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116E7" w14:textId="77777777" w:rsidR="00A9476F" w:rsidRDefault="00A9476F" w:rsidP="00CF0396">
      <w:pPr>
        <w:jc w:val="center"/>
        <w:rPr>
          <w:b/>
        </w:rPr>
      </w:pPr>
      <w:bookmarkStart w:id="0" w:name="_GoBack"/>
      <w:bookmarkEnd w:id="0"/>
    </w:p>
    <w:p w14:paraId="0E687190" w14:textId="77777777" w:rsidR="00A9476F" w:rsidRDefault="00A9476F" w:rsidP="00CF0396">
      <w:pPr>
        <w:jc w:val="center"/>
        <w:rPr>
          <w:b/>
        </w:rPr>
      </w:pPr>
    </w:p>
    <w:p w14:paraId="57D96C64" w14:textId="77777777" w:rsidR="00CF0396" w:rsidRPr="00B13F68" w:rsidRDefault="00CF0396" w:rsidP="00CF0396">
      <w:pPr>
        <w:jc w:val="center"/>
        <w:rPr>
          <w:b/>
          <w:szCs w:val="22"/>
        </w:rPr>
      </w:pPr>
      <w:r w:rsidRPr="00B13F68">
        <w:rPr>
          <w:b/>
        </w:rPr>
        <w:t>SÚHRN CHARAKTERISTICKÝCH VLASTNOSTÍ LIEKU</w:t>
      </w:r>
    </w:p>
    <w:p w14:paraId="4B201251" w14:textId="77777777" w:rsidR="00B06E24" w:rsidRDefault="00B06E24" w:rsidP="00CF0396">
      <w:pPr>
        <w:widowControl w:val="0"/>
        <w:ind w:left="0" w:firstLine="0"/>
        <w:rPr>
          <w:szCs w:val="22"/>
        </w:rPr>
      </w:pPr>
    </w:p>
    <w:p w14:paraId="286B8D09" w14:textId="77777777" w:rsidR="00CF0396" w:rsidRPr="00B13F68" w:rsidRDefault="00CF0396" w:rsidP="00CF0396">
      <w:pPr>
        <w:widowControl w:val="0"/>
        <w:ind w:left="0" w:firstLine="0"/>
        <w:rPr>
          <w:szCs w:val="22"/>
        </w:rPr>
      </w:pPr>
    </w:p>
    <w:p w14:paraId="410E636B" w14:textId="77777777" w:rsidR="00780926" w:rsidRPr="003021DE" w:rsidRDefault="00780926" w:rsidP="00BE2473">
      <w:pPr>
        <w:keepNext/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6008CED8" w14:textId="77777777" w:rsidR="00780926" w:rsidRPr="003021DE" w:rsidRDefault="00780926" w:rsidP="00BE2473">
      <w:pPr>
        <w:keepNext/>
        <w:rPr>
          <w:szCs w:val="22"/>
        </w:rPr>
      </w:pPr>
    </w:p>
    <w:p w14:paraId="4CF41F8A" w14:textId="77777777" w:rsidR="00CF0396" w:rsidRDefault="00A432A7" w:rsidP="00CF03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Mylan 2,5 </w:t>
      </w:r>
      <w:r w:rsidR="00793F96">
        <w:rPr>
          <w:sz w:val="22"/>
          <w:szCs w:val="22"/>
        </w:rPr>
        <w:t>mg tablety</w:t>
      </w:r>
    </w:p>
    <w:p w14:paraId="4C6AE0A0" w14:textId="77777777" w:rsidR="00CF0396" w:rsidRPr="003B1562" w:rsidRDefault="00A432A7" w:rsidP="00CF0396">
      <w:pPr>
        <w:pStyle w:val="Default"/>
        <w:rPr>
          <w:sz w:val="22"/>
          <w:szCs w:val="22"/>
          <w:highlight w:val="lightGray"/>
        </w:rPr>
      </w:pPr>
      <w:r w:rsidRPr="003B1562">
        <w:rPr>
          <w:sz w:val="22"/>
          <w:szCs w:val="22"/>
          <w:highlight w:val="lightGray"/>
        </w:rPr>
        <w:t>Everolimus Mylan 5 </w:t>
      </w:r>
      <w:r w:rsidR="00793F96" w:rsidRPr="003B1562">
        <w:rPr>
          <w:sz w:val="22"/>
          <w:szCs w:val="22"/>
          <w:highlight w:val="lightGray"/>
        </w:rPr>
        <w:t>mg tablety</w:t>
      </w:r>
    </w:p>
    <w:p w14:paraId="3B383EC1" w14:textId="77777777" w:rsidR="00780926" w:rsidRPr="003021DE" w:rsidRDefault="00A432A7" w:rsidP="00CF0396">
      <w:pPr>
        <w:rPr>
          <w:szCs w:val="22"/>
        </w:rPr>
      </w:pPr>
      <w:r w:rsidRPr="003B1562">
        <w:rPr>
          <w:szCs w:val="22"/>
          <w:highlight w:val="lightGray"/>
        </w:rPr>
        <w:t>Everolimus Mylan 10 </w:t>
      </w:r>
      <w:r w:rsidR="00CF0396" w:rsidRPr="003B1562">
        <w:rPr>
          <w:szCs w:val="22"/>
          <w:highlight w:val="lightGray"/>
        </w:rPr>
        <w:t>mg tablety</w:t>
      </w:r>
    </w:p>
    <w:p w14:paraId="77CC49C7" w14:textId="77777777" w:rsidR="00780926" w:rsidRDefault="00780926" w:rsidP="00E41B3F">
      <w:pPr>
        <w:rPr>
          <w:szCs w:val="22"/>
        </w:rPr>
      </w:pPr>
    </w:p>
    <w:p w14:paraId="7337450F" w14:textId="77777777" w:rsidR="00CF0396" w:rsidRPr="003021DE" w:rsidRDefault="00CF0396" w:rsidP="00E41B3F">
      <w:pPr>
        <w:rPr>
          <w:szCs w:val="22"/>
        </w:rPr>
      </w:pPr>
    </w:p>
    <w:p w14:paraId="2A6154B3" w14:textId="77777777" w:rsidR="00780926" w:rsidRPr="003021DE" w:rsidRDefault="00780926" w:rsidP="00BE2473">
      <w:pPr>
        <w:keepNext/>
        <w:keepLines/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72FB216E" w14:textId="77777777" w:rsidR="00780926" w:rsidRPr="00A75ECC" w:rsidRDefault="00780926" w:rsidP="00BE2473">
      <w:pPr>
        <w:keepNext/>
        <w:keepLines/>
        <w:ind w:left="0" w:firstLine="0"/>
      </w:pPr>
    </w:p>
    <w:p w14:paraId="273E60F7" w14:textId="77777777" w:rsidR="00CF0396" w:rsidRPr="00CF0396" w:rsidRDefault="00BE2473" w:rsidP="00BE2473">
      <w:pPr>
        <w:pStyle w:val="Default"/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Everolimus Mylan 2,5 </w:t>
      </w:r>
      <w:r w:rsidR="00793F96">
        <w:rPr>
          <w:sz w:val="22"/>
          <w:szCs w:val="22"/>
          <w:u w:val="single"/>
        </w:rPr>
        <w:t>mg tablety</w:t>
      </w:r>
    </w:p>
    <w:p w14:paraId="1F1A9BB4" w14:textId="77777777" w:rsidR="00CF0396" w:rsidRDefault="00CF0396" w:rsidP="00793F96">
      <w:pPr>
        <w:rPr>
          <w:szCs w:val="22"/>
        </w:rPr>
      </w:pPr>
      <w:r>
        <w:rPr>
          <w:szCs w:val="22"/>
        </w:rPr>
        <w:t>Každá tab</w:t>
      </w:r>
      <w:r w:rsidR="00793F96">
        <w:rPr>
          <w:szCs w:val="22"/>
        </w:rPr>
        <w:t>leta obsahuje 2,5 mg everolimu.</w:t>
      </w:r>
    </w:p>
    <w:p w14:paraId="5AD4162A" w14:textId="77777777" w:rsidR="00CF0396" w:rsidRDefault="00CF0396" w:rsidP="00793F96">
      <w:pPr>
        <w:rPr>
          <w:szCs w:val="22"/>
        </w:rPr>
      </w:pPr>
    </w:p>
    <w:p w14:paraId="156337EE" w14:textId="77777777" w:rsidR="00CF0396" w:rsidRDefault="00BE2473" w:rsidP="00BE2473">
      <w:pPr>
        <w:pStyle w:val="Default"/>
        <w:keepNext/>
        <w:keepLines/>
        <w:rPr>
          <w:sz w:val="22"/>
          <w:szCs w:val="22"/>
        </w:rPr>
      </w:pPr>
      <w:r>
        <w:rPr>
          <w:sz w:val="22"/>
          <w:szCs w:val="22"/>
          <w:u w:val="single"/>
        </w:rPr>
        <w:t>Pomocná látka so </w:t>
      </w:r>
      <w:r w:rsidR="00CF0396" w:rsidRPr="00CF0396">
        <w:rPr>
          <w:sz w:val="22"/>
          <w:szCs w:val="22"/>
          <w:u w:val="single"/>
        </w:rPr>
        <w:t>známym účinkom</w:t>
      </w:r>
      <w:r w:rsidR="00CF0396">
        <w:rPr>
          <w:sz w:val="22"/>
          <w:szCs w:val="22"/>
        </w:rPr>
        <w:t xml:space="preserve">: </w:t>
      </w:r>
    </w:p>
    <w:p w14:paraId="1A6563CE" w14:textId="04A88E76" w:rsidR="00CF0396" w:rsidRDefault="00CF0396" w:rsidP="00793F96">
      <w:pPr>
        <w:rPr>
          <w:szCs w:val="22"/>
        </w:rPr>
      </w:pPr>
      <w:r>
        <w:rPr>
          <w:szCs w:val="22"/>
        </w:rPr>
        <w:t>Každá tab</w:t>
      </w:r>
      <w:r w:rsidR="00793F96">
        <w:rPr>
          <w:szCs w:val="22"/>
        </w:rPr>
        <w:t>leta obsahuje 74,</w:t>
      </w:r>
      <w:r w:rsidR="00082578">
        <w:rPr>
          <w:szCs w:val="22"/>
        </w:rPr>
        <w:t>0</w:t>
      </w:r>
      <w:r w:rsidR="00793F96">
        <w:rPr>
          <w:szCs w:val="22"/>
        </w:rPr>
        <w:t>  mg laktózy.</w:t>
      </w:r>
    </w:p>
    <w:p w14:paraId="3EB28E1C" w14:textId="77777777" w:rsidR="00CF0396" w:rsidRDefault="00CF0396" w:rsidP="00793F96">
      <w:pPr>
        <w:rPr>
          <w:szCs w:val="22"/>
        </w:rPr>
      </w:pPr>
    </w:p>
    <w:p w14:paraId="63028B75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Everolimus Mylan 5 </w:t>
      </w:r>
      <w:r w:rsidR="00793F96" w:rsidRPr="003B1562">
        <w:rPr>
          <w:sz w:val="22"/>
          <w:szCs w:val="22"/>
          <w:highlight w:val="lightGray"/>
          <w:u w:val="single"/>
        </w:rPr>
        <w:t>mg tablety</w:t>
      </w:r>
    </w:p>
    <w:p w14:paraId="73ACE5B0" w14:textId="77777777" w:rsidR="00CF0396" w:rsidRPr="003B1562" w:rsidRDefault="00BE2473" w:rsidP="00BE2473">
      <w:pPr>
        <w:rPr>
          <w:highlight w:val="lightGray"/>
        </w:rPr>
      </w:pPr>
      <w:r w:rsidRPr="003B1562">
        <w:rPr>
          <w:highlight w:val="lightGray"/>
        </w:rPr>
        <w:t>Každá tableta obsahuje 5 </w:t>
      </w:r>
      <w:r w:rsidR="00793F96" w:rsidRPr="003B1562">
        <w:rPr>
          <w:highlight w:val="lightGray"/>
        </w:rPr>
        <w:t>mg everolimu.</w:t>
      </w:r>
    </w:p>
    <w:p w14:paraId="4AF47724" w14:textId="77777777" w:rsidR="007A730C" w:rsidRPr="003B1562" w:rsidRDefault="007A730C" w:rsidP="00793F96">
      <w:pPr>
        <w:rPr>
          <w:szCs w:val="22"/>
          <w:highlight w:val="lightGray"/>
        </w:rPr>
      </w:pPr>
    </w:p>
    <w:p w14:paraId="1F8B70A1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Pomocná látka so </w:t>
      </w:r>
      <w:r w:rsidR="00CF0396" w:rsidRPr="003B1562">
        <w:rPr>
          <w:sz w:val="22"/>
          <w:szCs w:val="22"/>
          <w:highlight w:val="lightGray"/>
          <w:u w:val="single"/>
        </w:rPr>
        <w:t xml:space="preserve">známym účinkom: </w:t>
      </w:r>
    </w:p>
    <w:p w14:paraId="436C8E14" w14:textId="00D4D10E" w:rsidR="00CF0396" w:rsidRPr="003B1562" w:rsidRDefault="00CF0396" w:rsidP="00793F96">
      <w:pPr>
        <w:rPr>
          <w:szCs w:val="22"/>
          <w:highlight w:val="lightGray"/>
        </w:rPr>
      </w:pPr>
      <w:r w:rsidRPr="003B1562">
        <w:rPr>
          <w:szCs w:val="22"/>
          <w:highlight w:val="lightGray"/>
        </w:rPr>
        <w:t>Kaž</w:t>
      </w:r>
      <w:r w:rsidR="007A730C" w:rsidRPr="003B1562">
        <w:rPr>
          <w:szCs w:val="22"/>
          <w:highlight w:val="lightGray"/>
        </w:rPr>
        <w:t>dá tableta obsahuje 14</w:t>
      </w:r>
      <w:r w:rsidR="00082578">
        <w:rPr>
          <w:szCs w:val="22"/>
          <w:highlight w:val="lightGray"/>
        </w:rPr>
        <w:t>7</w:t>
      </w:r>
      <w:r w:rsidR="007A730C" w:rsidRPr="003B1562">
        <w:rPr>
          <w:szCs w:val="22"/>
          <w:highlight w:val="lightGray"/>
        </w:rPr>
        <w:t>,</w:t>
      </w:r>
      <w:r w:rsidR="00082578">
        <w:rPr>
          <w:szCs w:val="22"/>
          <w:highlight w:val="lightGray"/>
        </w:rPr>
        <w:t>9</w:t>
      </w:r>
      <w:r w:rsidR="007A730C" w:rsidRPr="003B1562">
        <w:rPr>
          <w:szCs w:val="22"/>
          <w:highlight w:val="lightGray"/>
        </w:rPr>
        <w:t> </w:t>
      </w:r>
      <w:r w:rsidR="00793F96" w:rsidRPr="003B1562">
        <w:rPr>
          <w:szCs w:val="22"/>
          <w:highlight w:val="lightGray"/>
        </w:rPr>
        <w:t>mg laktózy.</w:t>
      </w:r>
    </w:p>
    <w:p w14:paraId="36937AF2" w14:textId="77777777" w:rsidR="00CF0396" w:rsidRPr="003B1562" w:rsidRDefault="00CF0396" w:rsidP="00793F96">
      <w:pPr>
        <w:rPr>
          <w:szCs w:val="22"/>
          <w:highlight w:val="lightGray"/>
        </w:rPr>
      </w:pPr>
    </w:p>
    <w:p w14:paraId="52E05C0C" w14:textId="77777777" w:rsidR="00CF0396" w:rsidRPr="003B1562" w:rsidRDefault="00CF0396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Everolimu</w:t>
      </w:r>
      <w:r w:rsidR="00BE2473" w:rsidRPr="003B1562">
        <w:rPr>
          <w:sz w:val="22"/>
          <w:szCs w:val="22"/>
          <w:highlight w:val="lightGray"/>
          <w:u w:val="single"/>
        </w:rPr>
        <w:t>s Mylan 10 </w:t>
      </w:r>
      <w:r w:rsidR="00793F96" w:rsidRPr="003B1562">
        <w:rPr>
          <w:sz w:val="22"/>
          <w:szCs w:val="22"/>
          <w:highlight w:val="lightGray"/>
          <w:u w:val="single"/>
        </w:rPr>
        <w:t>mg tablety</w:t>
      </w:r>
    </w:p>
    <w:p w14:paraId="043812CD" w14:textId="77777777" w:rsidR="00CF0396" w:rsidRPr="003B1562" w:rsidRDefault="00BE2473" w:rsidP="00793F96">
      <w:pPr>
        <w:rPr>
          <w:szCs w:val="22"/>
          <w:highlight w:val="lightGray"/>
        </w:rPr>
      </w:pPr>
      <w:r w:rsidRPr="003B1562">
        <w:rPr>
          <w:szCs w:val="22"/>
          <w:highlight w:val="lightGray"/>
        </w:rPr>
        <w:t>Každá tableta obsahuje 10 </w:t>
      </w:r>
      <w:r w:rsidR="00793F96" w:rsidRPr="003B1562">
        <w:rPr>
          <w:szCs w:val="22"/>
          <w:highlight w:val="lightGray"/>
        </w:rPr>
        <w:t>mg everolimu.</w:t>
      </w:r>
    </w:p>
    <w:p w14:paraId="7635FF29" w14:textId="77777777" w:rsidR="007A730C" w:rsidRPr="003B1562" w:rsidRDefault="007A730C" w:rsidP="00793F96">
      <w:pPr>
        <w:rPr>
          <w:szCs w:val="22"/>
          <w:highlight w:val="lightGray"/>
        </w:rPr>
      </w:pPr>
    </w:p>
    <w:p w14:paraId="108ACD0C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Pomocná látka so </w:t>
      </w:r>
      <w:r w:rsidR="00CF0396" w:rsidRPr="003B1562">
        <w:rPr>
          <w:sz w:val="22"/>
          <w:szCs w:val="22"/>
          <w:highlight w:val="lightGray"/>
          <w:u w:val="single"/>
        </w:rPr>
        <w:t xml:space="preserve">známym účinkom: </w:t>
      </w:r>
    </w:p>
    <w:p w14:paraId="37E8F04B" w14:textId="52EB209E" w:rsidR="00CF0396" w:rsidRDefault="00CF0396" w:rsidP="00793F96">
      <w:pPr>
        <w:rPr>
          <w:szCs w:val="22"/>
        </w:rPr>
      </w:pPr>
      <w:r w:rsidRPr="003B1562">
        <w:rPr>
          <w:szCs w:val="22"/>
          <w:highlight w:val="lightGray"/>
        </w:rPr>
        <w:t>Každá tableta obsahuje 29</w:t>
      </w:r>
      <w:r w:rsidR="00082578">
        <w:rPr>
          <w:szCs w:val="22"/>
          <w:highlight w:val="lightGray"/>
        </w:rPr>
        <w:t>5</w:t>
      </w:r>
      <w:r w:rsidR="007A730C" w:rsidRPr="003B1562">
        <w:rPr>
          <w:szCs w:val="22"/>
          <w:highlight w:val="lightGray"/>
        </w:rPr>
        <w:t>,</w:t>
      </w:r>
      <w:r w:rsidR="00082578">
        <w:rPr>
          <w:szCs w:val="22"/>
          <w:highlight w:val="lightGray"/>
        </w:rPr>
        <w:t>8</w:t>
      </w:r>
      <w:r w:rsidR="00082578" w:rsidRPr="003B1562">
        <w:rPr>
          <w:szCs w:val="22"/>
          <w:highlight w:val="lightGray"/>
        </w:rPr>
        <w:t> </w:t>
      </w:r>
      <w:r w:rsidRPr="003B1562">
        <w:rPr>
          <w:szCs w:val="22"/>
          <w:highlight w:val="lightGray"/>
        </w:rPr>
        <w:t>mg laktózy.</w:t>
      </w:r>
      <w:r>
        <w:rPr>
          <w:szCs w:val="22"/>
        </w:rPr>
        <w:t xml:space="preserve"> </w:t>
      </w:r>
    </w:p>
    <w:p w14:paraId="7E574A27" w14:textId="77777777" w:rsidR="00CF0396" w:rsidRDefault="00CF0396" w:rsidP="00793F96">
      <w:pPr>
        <w:rPr>
          <w:szCs w:val="22"/>
        </w:rPr>
      </w:pPr>
    </w:p>
    <w:p w14:paraId="75C4C35C" w14:textId="77777777" w:rsidR="00780926" w:rsidRPr="003021DE" w:rsidRDefault="00CF0396" w:rsidP="00793F96">
      <w:pPr>
        <w:rPr>
          <w:szCs w:val="22"/>
        </w:rPr>
      </w:pPr>
      <w:r>
        <w:rPr>
          <w:szCs w:val="22"/>
        </w:rPr>
        <w:t>Úplný zoz</w:t>
      </w:r>
      <w:r w:rsidR="00BE2473">
        <w:rPr>
          <w:szCs w:val="22"/>
        </w:rPr>
        <w:t>nam pomocných látok, pozri časť </w:t>
      </w:r>
      <w:r>
        <w:rPr>
          <w:szCs w:val="22"/>
        </w:rPr>
        <w:t>6.1.</w:t>
      </w:r>
    </w:p>
    <w:p w14:paraId="188790BE" w14:textId="77777777" w:rsidR="00780926" w:rsidRDefault="00780926" w:rsidP="00E41B3F">
      <w:pPr>
        <w:rPr>
          <w:szCs w:val="22"/>
        </w:rPr>
      </w:pPr>
    </w:p>
    <w:p w14:paraId="23C8874A" w14:textId="77777777" w:rsidR="007A730C" w:rsidRPr="003021DE" w:rsidRDefault="007A730C" w:rsidP="00E41B3F">
      <w:pPr>
        <w:rPr>
          <w:szCs w:val="22"/>
        </w:rPr>
      </w:pPr>
    </w:p>
    <w:p w14:paraId="5EFAF98C" w14:textId="77777777" w:rsidR="00780926" w:rsidRPr="003021DE" w:rsidRDefault="00780926" w:rsidP="00BE2473">
      <w:pPr>
        <w:keepNext/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5D445DA1" w14:textId="77777777" w:rsidR="00780926" w:rsidRPr="003021DE" w:rsidRDefault="00780926" w:rsidP="00BE2473">
      <w:pPr>
        <w:keepNext/>
      </w:pPr>
    </w:p>
    <w:p w14:paraId="22C8C74D" w14:textId="77777777" w:rsidR="00780926" w:rsidRDefault="007A730C" w:rsidP="00E41B3F">
      <w:pPr>
        <w:rPr>
          <w:szCs w:val="22"/>
        </w:rPr>
      </w:pPr>
      <w:r>
        <w:rPr>
          <w:szCs w:val="22"/>
        </w:rPr>
        <w:t>Tableta.</w:t>
      </w:r>
    </w:p>
    <w:p w14:paraId="0B929856" w14:textId="77777777" w:rsidR="007A730C" w:rsidRDefault="007A730C" w:rsidP="00E41B3F"/>
    <w:p w14:paraId="11EADA09" w14:textId="77777777" w:rsidR="007A730C" w:rsidRDefault="00BE2473" w:rsidP="00BE2473">
      <w:pPr>
        <w:keepNext/>
        <w:ind w:left="0" w:firstLine="0"/>
        <w:rPr>
          <w:szCs w:val="22"/>
        </w:rPr>
      </w:pPr>
      <w:r>
        <w:rPr>
          <w:szCs w:val="22"/>
        </w:rPr>
        <w:t>2,5 </w:t>
      </w:r>
      <w:r w:rsidR="00793F96">
        <w:rPr>
          <w:szCs w:val="22"/>
        </w:rPr>
        <w:t>mg tablety</w:t>
      </w:r>
    </w:p>
    <w:p w14:paraId="79BB46FC" w14:textId="19FE7D5E" w:rsidR="007A730C" w:rsidRDefault="00793F96" w:rsidP="007A730C">
      <w:pPr>
        <w:ind w:left="0" w:firstLine="0"/>
        <w:rPr>
          <w:szCs w:val="22"/>
        </w:rPr>
      </w:pPr>
      <w:r>
        <w:rPr>
          <w:szCs w:val="22"/>
        </w:rPr>
        <w:t>B</w:t>
      </w:r>
      <w:r w:rsidR="007A730C" w:rsidRPr="007A730C">
        <w:rPr>
          <w:szCs w:val="22"/>
        </w:rPr>
        <w:t>iele až takmer biele oválne bikonvexné tablety</w:t>
      </w:r>
      <w:r w:rsidR="007A730C">
        <w:rPr>
          <w:szCs w:val="22"/>
        </w:rPr>
        <w:t xml:space="preserve"> (</w:t>
      </w:r>
      <w:r w:rsidR="007A730C" w:rsidRPr="009E408D">
        <w:rPr>
          <w:szCs w:val="22"/>
        </w:rPr>
        <w:t>pr</w:t>
      </w:r>
      <w:r w:rsidR="009E408D">
        <w:rPr>
          <w:szCs w:val="22"/>
        </w:rPr>
        <w:t>ibližne</w:t>
      </w:r>
      <w:r w:rsidR="007A730C">
        <w:rPr>
          <w:szCs w:val="22"/>
        </w:rPr>
        <w:t xml:space="preserve"> 10 x 5 mm), s vyrytým znakom </w:t>
      </w:r>
      <w:r w:rsidR="007A730C" w:rsidRPr="00785076">
        <w:rPr>
          <w:szCs w:val="22"/>
        </w:rPr>
        <w:t>E9VS</w:t>
      </w:r>
      <w:r w:rsidR="007A730C">
        <w:rPr>
          <w:szCs w:val="22"/>
        </w:rPr>
        <w:t xml:space="preserve"> </w:t>
      </w:r>
      <w:r w:rsidR="00BE2473">
        <w:rPr>
          <w:szCs w:val="22"/>
        </w:rPr>
        <w:t>na jednej strane a 2,5 na </w:t>
      </w:r>
      <w:r w:rsidR="007A730C">
        <w:rPr>
          <w:szCs w:val="22"/>
        </w:rPr>
        <w:t>druhej strane.</w:t>
      </w:r>
    </w:p>
    <w:p w14:paraId="209F28D6" w14:textId="77777777" w:rsidR="007A730C" w:rsidRDefault="007A730C" w:rsidP="007A730C">
      <w:pPr>
        <w:ind w:left="0" w:firstLine="0"/>
        <w:rPr>
          <w:szCs w:val="22"/>
        </w:rPr>
      </w:pPr>
    </w:p>
    <w:p w14:paraId="14EE53D1" w14:textId="77777777" w:rsidR="007A730C" w:rsidRPr="003B1562" w:rsidRDefault="00BE2473" w:rsidP="00BE2473">
      <w:pPr>
        <w:keepNext/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5 </w:t>
      </w:r>
      <w:r w:rsidR="00793F96" w:rsidRPr="003B1562">
        <w:rPr>
          <w:szCs w:val="22"/>
          <w:highlight w:val="lightGray"/>
        </w:rPr>
        <w:t>mg tablety</w:t>
      </w:r>
    </w:p>
    <w:p w14:paraId="161223A3" w14:textId="7EDCD29E" w:rsidR="007A730C" w:rsidRPr="003B1562" w:rsidRDefault="00793F96" w:rsidP="007A730C">
      <w:pPr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B</w:t>
      </w:r>
      <w:r w:rsidR="007A730C" w:rsidRPr="003B1562">
        <w:rPr>
          <w:szCs w:val="22"/>
          <w:highlight w:val="lightGray"/>
        </w:rPr>
        <w:t>iele až takmer biele oválne a bikonvexné tablety (</w:t>
      </w:r>
      <w:r w:rsidR="009E408D" w:rsidRPr="003B1562">
        <w:rPr>
          <w:szCs w:val="22"/>
          <w:highlight w:val="lightGray"/>
        </w:rPr>
        <w:t>približne</w:t>
      </w:r>
      <w:r w:rsidR="007A730C" w:rsidRPr="003B1562">
        <w:rPr>
          <w:szCs w:val="22"/>
          <w:highlight w:val="lightGray"/>
        </w:rPr>
        <w:t xml:space="preserve"> 13 x 6 mm), s vyrytým znakom E9VS</w:t>
      </w:r>
      <w:r w:rsidR="009E408D" w:rsidRPr="003B1562">
        <w:rPr>
          <w:szCs w:val="22"/>
          <w:highlight w:val="lightGray"/>
        </w:rPr>
        <w:t xml:space="preserve"> </w:t>
      </w:r>
      <w:r w:rsidR="00BE2473" w:rsidRPr="003B1562">
        <w:rPr>
          <w:szCs w:val="22"/>
          <w:highlight w:val="lightGray"/>
        </w:rPr>
        <w:t>5</w:t>
      </w:r>
      <w:r w:rsidR="007A730C" w:rsidRPr="003B1562">
        <w:rPr>
          <w:szCs w:val="22"/>
          <w:highlight w:val="lightGray"/>
        </w:rPr>
        <w:t xml:space="preserve"> na jednej strane.</w:t>
      </w:r>
    </w:p>
    <w:p w14:paraId="50EDEC38" w14:textId="77777777" w:rsidR="007A730C" w:rsidRPr="003B1562" w:rsidRDefault="007A730C" w:rsidP="007A730C">
      <w:pPr>
        <w:ind w:left="0" w:firstLine="0"/>
        <w:rPr>
          <w:szCs w:val="22"/>
          <w:highlight w:val="lightGray"/>
        </w:rPr>
      </w:pPr>
    </w:p>
    <w:p w14:paraId="528C0F89" w14:textId="77777777" w:rsidR="007A730C" w:rsidRPr="003B1562" w:rsidRDefault="00793F96" w:rsidP="00BE2473">
      <w:pPr>
        <w:keepNext/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10 mg tablety</w:t>
      </w:r>
    </w:p>
    <w:p w14:paraId="623CE9E3" w14:textId="383C6FF4" w:rsidR="007A730C" w:rsidRDefault="00793F96" w:rsidP="00793F96">
      <w:pPr>
        <w:ind w:left="0" w:firstLine="0"/>
        <w:rPr>
          <w:szCs w:val="22"/>
        </w:rPr>
      </w:pPr>
      <w:r w:rsidRPr="003B1562">
        <w:rPr>
          <w:szCs w:val="22"/>
          <w:highlight w:val="lightGray"/>
        </w:rPr>
        <w:t>B</w:t>
      </w:r>
      <w:r w:rsidR="007A730C" w:rsidRPr="003B1562">
        <w:rPr>
          <w:szCs w:val="22"/>
          <w:highlight w:val="lightGray"/>
        </w:rPr>
        <w:t>iele až takmer biele oválne a bikonvexné tablety (</w:t>
      </w:r>
      <w:r w:rsidR="009E408D" w:rsidRPr="003B1562">
        <w:rPr>
          <w:szCs w:val="22"/>
          <w:highlight w:val="lightGray"/>
        </w:rPr>
        <w:t>približne</w:t>
      </w:r>
      <w:r w:rsidR="007A730C" w:rsidRPr="003B1562">
        <w:rPr>
          <w:szCs w:val="22"/>
          <w:highlight w:val="lightGray"/>
        </w:rPr>
        <w:t xml:space="preserve"> 16 x 8 mm), s vyrytým znakom E9VS</w:t>
      </w:r>
      <w:r w:rsidR="009E408D" w:rsidRPr="003B1562">
        <w:rPr>
          <w:szCs w:val="22"/>
          <w:highlight w:val="lightGray"/>
        </w:rPr>
        <w:t xml:space="preserve"> </w:t>
      </w:r>
      <w:r w:rsidR="00BE2473" w:rsidRPr="003B1562">
        <w:rPr>
          <w:szCs w:val="22"/>
          <w:highlight w:val="lightGray"/>
        </w:rPr>
        <w:t>10</w:t>
      </w:r>
      <w:r w:rsidR="007A730C" w:rsidRPr="003B1562">
        <w:rPr>
          <w:szCs w:val="22"/>
          <w:highlight w:val="lightGray"/>
        </w:rPr>
        <w:t xml:space="preserve"> na jednej strane.</w:t>
      </w:r>
    </w:p>
    <w:p w14:paraId="55E5919D" w14:textId="77777777" w:rsidR="007A730C" w:rsidRPr="007A730C" w:rsidRDefault="007A730C" w:rsidP="007A730C">
      <w:pPr>
        <w:ind w:left="0" w:firstLine="0"/>
      </w:pPr>
    </w:p>
    <w:p w14:paraId="6310204E" w14:textId="77777777" w:rsidR="00780926" w:rsidRPr="003021DE" w:rsidRDefault="00780926" w:rsidP="00E41B3F">
      <w:pPr>
        <w:rPr>
          <w:szCs w:val="22"/>
        </w:rPr>
      </w:pPr>
    </w:p>
    <w:p w14:paraId="7CB43C3B" w14:textId="77777777" w:rsidR="00780926" w:rsidRPr="003021DE" w:rsidRDefault="00780926" w:rsidP="00A9476F">
      <w:pPr>
        <w:keepNext/>
        <w:rPr>
          <w:caps/>
          <w:szCs w:val="22"/>
        </w:rPr>
      </w:pPr>
      <w:r w:rsidRPr="003021DE">
        <w:rPr>
          <w:b/>
          <w:caps/>
          <w:szCs w:val="22"/>
        </w:rPr>
        <w:lastRenderedPageBreak/>
        <w:t>4.</w:t>
      </w:r>
      <w:r w:rsidRPr="003021DE">
        <w:rPr>
          <w:b/>
          <w:caps/>
          <w:szCs w:val="22"/>
        </w:rPr>
        <w:tab/>
        <w:t>KLINICKÉ ÚDAJE</w:t>
      </w:r>
    </w:p>
    <w:p w14:paraId="297792DB" w14:textId="77777777" w:rsidR="00780926" w:rsidRPr="003021DE" w:rsidRDefault="00780926" w:rsidP="00A9476F">
      <w:pPr>
        <w:keepNext/>
        <w:rPr>
          <w:szCs w:val="22"/>
        </w:rPr>
      </w:pPr>
    </w:p>
    <w:p w14:paraId="6B4992EE" w14:textId="77777777" w:rsidR="00780926" w:rsidRPr="003021DE" w:rsidRDefault="00780926" w:rsidP="00A9476F">
      <w:pPr>
        <w:keepNext/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00969738" w14:textId="77777777" w:rsidR="00780926" w:rsidRPr="003021DE" w:rsidRDefault="00780926" w:rsidP="00A9476F">
      <w:pPr>
        <w:keepNext/>
        <w:rPr>
          <w:szCs w:val="22"/>
        </w:rPr>
      </w:pPr>
    </w:p>
    <w:p w14:paraId="2C340268" w14:textId="77777777" w:rsidR="007A730C" w:rsidRPr="007A730C" w:rsidRDefault="00BE2473" w:rsidP="00A9476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Pokročilý karcinóm prsníka s </w:t>
      </w:r>
      <w:r w:rsidR="007A730C" w:rsidRPr="007A730C">
        <w:rPr>
          <w:sz w:val="22"/>
          <w:szCs w:val="22"/>
          <w:u w:val="single"/>
        </w:rPr>
        <w:t>pozi</w:t>
      </w:r>
      <w:r w:rsidR="00793F96">
        <w:rPr>
          <w:sz w:val="22"/>
          <w:szCs w:val="22"/>
          <w:u w:val="single"/>
        </w:rPr>
        <w:t>tivitou hormonálnych receptorov</w:t>
      </w:r>
    </w:p>
    <w:p w14:paraId="624D190F" w14:textId="3774DDFA" w:rsidR="007A730C" w:rsidRDefault="00DD5F73" w:rsidP="00793F96">
      <w:pPr>
        <w:pStyle w:val="Default"/>
        <w:rPr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7A730C">
        <w:rPr>
          <w:sz w:val="22"/>
          <w:szCs w:val="22"/>
        </w:rPr>
        <w:t xml:space="preserve"> je indikovaný </w:t>
      </w:r>
      <w:r w:rsidR="00BE2473">
        <w:rPr>
          <w:sz w:val="22"/>
          <w:szCs w:val="22"/>
        </w:rPr>
        <w:t>na </w:t>
      </w:r>
      <w:r w:rsidR="007A730C">
        <w:rPr>
          <w:sz w:val="22"/>
          <w:szCs w:val="22"/>
        </w:rPr>
        <w:t xml:space="preserve">liečbu </w:t>
      </w:r>
      <w:r w:rsidR="00BE2473">
        <w:rPr>
          <w:sz w:val="22"/>
          <w:szCs w:val="22"/>
        </w:rPr>
        <w:t>pokročilého karcinómu prsníka s </w:t>
      </w:r>
      <w:r w:rsidR="007A730C">
        <w:rPr>
          <w:sz w:val="22"/>
          <w:szCs w:val="22"/>
        </w:rPr>
        <w:t>pozitivitou hormonálnych rece</w:t>
      </w:r>
      <w:r w:rsidR="00BE2473">
        <w:rPr>
          <w:sz w:val="22"/>
          <w:szCs w:val="22"/>
        </w:rPr>
        <w:t>ptorov a negativitou HER2/neu v kombinácii s </w:t>
      </w:r>
      <w:r w:rsidR="007A730C">
        <w:rPr>
          <w:sz w:val="22"/>
          <w:szCs w:val="22"/>
        </w:rPr>
        <w:t>exemestánom u</w:t>
      </w:r>
      <w:r w:rsidR="00793F96">
        <w:rPr>
          <w:sz w:val="22"/>
          <w:szCs w:val="22"/>
        </w:rPr>
        <w:t> </w:t>
      </w:r>
      <w:r w:rsidR="007A730C">
        <w:rPr>
          <w:sz w:val="22"/>
          <w:szCs w:val="22"/>
        </w:rPr>
        <w:t>postmenopauzálnych žien bez</w:t>
      </w:r>
      <w:r w:rsidR="00BE2473">
        <w:rPr>
          <w:sz w:val="22"/>
          <w:szCs w:val="22"/>
        </w:rPr>
        <w:t> </w:t>
      </w:r>
      <w:r w:rsidR="007A730C">
        <w:rPr>
          <w:sz w:val="22"/>
          <w:szCs w:val="22"/>
        </w:rPr>
        <w:t>symptomaticke</w:t>
      </w:r>
      <w:r w:rsidR="00BE2473">
        <w:rPr>
          <w:sz w:val="22"/>
          <w:szCs w:val="22"/>
        </w:rPr>
        <w:t>j choroby vnútorných orgánov po recidíve alebo progresii p</w:t>
      </w:r>
      <w:r w:rsidR="00E30AD8">
        <w:rPr>
          <w:sz w:val="22"/>
          <w:szCs w:val="22"/>
        </w:rPr>
        <w:t>o liečbe</w:t>
      </w:r>
      <w:r w:rsidR="00BE2473">
        <w:rPr>
          <w:sz w:val="22"/>
          <w:szCs w:val="22"/>
        </w:rPr>
        <w:t> </w:t>
      </w:r>
      <w:r w:rsidR="007A730C">
        <w:rPr>
          <w:sz w:val="22"/>
          <w:szCs w:val="22"/>
        </w:rPr>
        <w:t>nesteroidn</w:t>
      </w:r>
      <w:r w:rsidR="00E30AD8">
        <w:rPr>
          <w:sz w:val="22"/>
          <w:szCs w:val="22"/>
        </w:rPr>
        <w:t>ým</w:t>
      </w:r>
      <w:r w:rsidR="007A730C">
        <w:rPr>
          <w:sz w:val="22"/>
          <w:szCs w:val="22"/>
        </w:rPr>
        <w:t xml:space="preserve"> inhibítor</w:t>
      </w:r>
      <w:r w:rsidR="00E30AD8">
        <w:rPr>
          <w:sz w:val="22"/>
          <w:szCs w:val="22"/>
        </w:rPr>
        <w:t>om</w:t>
      </w:r>
      <w:r w:rsidR="007A730C">
        <w:rPr>
          <w:sz w:val="22"/>
          <w:szCs w:val="22"/>
        </w:rPr>
        <w:t xml:space="preserve"> </w:t>
      </w:r>
      <w:r w:rsidR="00BE2473">
        <w:rPr>
          <w:sz w:val="22"/>
          <w:szCs w:val="22"/>
        </w:rPr>
        <w:t>aromatázy.</w:t>
      </w:r>
    </w:p>
    <w:p w14:paraId="42C75284" w14:textId="77777777" w:rsidR="007A730C" w:rsidRDefault="007A730C" w:rsidP="007A730C">
      <w:pPr>
        <w:pStyle w:val="Default"/>
        <w:rPr>
          <w:sz w:val="22"/>
          <w:szCs w:val="22"/>
        </w:rPr>
      </w:pPr>
    </w:p>
    <w:p w14:paraId="73B5700F" w14:textId="77777777" w:rsidR="007A730C" w:rsidRPr="007A730C" w:rsidRDefault="007A730C" w:rsidP="007A730C">
      <w:pPr>
        <w:pStyle w:val="Default"/>
        <w:rPr>
          <w:color w:val="auto"/>
          <w:sz w:val="22"/>
          <w:szCs w:val="22"/>
          <w:u w:val="single"/>
        </w:rPr>
      </w:pPr>
      <w:r w:rsidRPr="007A730C">
        <w:rPr>
          <w:color w:val="auto"/>
          <w:sz w:val="22"/>
          <w:szCs w:val="22"/>
          <w:u w:val="single"/>
        </w:rPr>
        <w:t>Neuroendokrin</w:t>
      </w:r>
      <w:r w:rsidR="00793F96">
        <w:rPr>
          <w:color w:val="auto"/>
          <w:sz w:val="22"/>
          <w:szCs w:val="22"/>
          <w:u w:val="single"/>
        </w:rPr>
        <w:t>né nádory pankreatického pôvodu</w:t>
      </w:r>
    </w:p>
    <w:p w14:paraId="1298F50D" w14:textId="1974A2A7" w:rsidR="007A730C" w:rsidRDefault="00DD5F73" w:rsidP="007A730C">
      <w:pPr>
        <w:pStyle w:val="Default"/>
        <w:rPr>
          <w:color w:val="auto"/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BE2473">
        <w:rPr>
          <w:color w:val="auto"/>
          <w:sz w:val="22"/>
          <w:szCs w:val="22"/>
        </w:rPr>
        <w:t xml:space="preserve"> je indikovaný na </w:t>
      </w:r>
      <w:r w:rsidR="007A730C">
        <w:rPr>
          <w:color w:val="auto"/>
          <w:sz w:val="22"/>
          <w:szCs w:val="22"/>
        </w:rPr>
        <w:t xml:space="preserve">liečbu neresekovateľných alebo </w:t>
      </w:r>
      <w:r w:rsidR="00E30AD8">
        <w:rPr>
          <w:color w:val="auto"/>
          <w:sz w:val="22"/>
          <w:szCs w:val="22"/>
        </w:rPr>
        <w:t>metastatických</w:t>
      </w:r>
      <w:r w:rsidR="007A730C">
        <w:rPr>
          <w:color w:val="auto"/>
          <w:sz w:val="22"/>
          <w:szCs w:val="22"/>
        </w:rPr>
        <w:t xml:space="preserve">, dobre alebo stredne diferencovaných neuroendokrinných </w:t>
      </w:r>
      <w:r w:rsidR="00BE2473">
        <w:rPr>
          <w:color w:val="auto"/>
          <w:sz w:val="22"/>
          <w:szCs w:val="22"/>
        </w:rPr>
        <w:t>nádorov pankreatického pôvodu u </w:t>
      </w:r>
      <w:r w:rsidR="007A730C">
        <w:rPr>
          <w:color w:val="auto"/>
          <w:sz w:val="22"/>
          <w:szCs w:val="22"/>
        </w:rPr>
        <w:t>dospelých s</w:t>
      </w:r>
      <w:r w:rsidR="00BE2473">
        <w:rPr>
          <w:color w:val="auto"/>
          <w:sz w:val="22"/>
          <w:szCs w:val="22"/>
        </w:rPr>
        <w:t> </w:t>
      </w:r>
      <w:r w:rsidR="00793F96">
        <w:rPr>
          <w:color w:val="auto"/>
          <w:sz w:val="22"/>
          <w:szCs w:val="22"/>
        </w:rPr>
        <w:t>progredujúcou chorobou.</w:t>
      </w:r>
    </w:p>
    <w:p w14:paraId="10FDA21B" w14:textId="77777777" w:rsidR="007A730C" w:rsidRDefault="007A730C" w:rsidP="007A730C">
      <w:pPr>
        <w:pStyle w:val="Default"/>
        <w:rPr>
          <w:color w:val="auto"/>
          <w:sz w:val="22"/>
          <w:szCs w:val="22"/>
        </w:rPr>
      </w:pPr>
    </w:p>
    <w:p w14:paraId="6D40A9FE" w14:textId="77777777" w:rsidR="007A730C" w:rsidRPr="007A730C" w:rsidRDefault="007A730C" w:rsidP="007A730C">
      <w:pPr>
        <w:pStyle w:val="Default"/>
        <w:rPr>
          <w:color w:val="auto"/>
          <w:sz w:val="22"/>
          <w:szCs w:val="22"/>
          <w:u w:val="single"/>
        </w:rPr>
      </w:pPr>
      <w:r w:rsidRPr="007A730C">
        <w:rPr>
          <w:color w:val="auto"/>
          <w:sz w:val="22"/>
          <w:szCs w:val="22"/>
          <w:u w:val="single"/>
        </w:rPr>
        <w:t>Neuroendokrinné nádory gastrointes</w:t>
      </w:r>
      <w:r w:rsidR="00793F96">
        <w:rPr>
          <w:color w:val="auto"/>
          <w:sz w:val="22"/>
          <w:szCs w:val="22"/>
          <w:u w:val="single"/>
        </w:rPr>
        <w:t>tinálneho alebo pľúcneho pôvodu</w:t>
      </w:r>
    </w:p>
    <w:p w14:paraId="64C65A5A" w14:textId="2A90AA8D" w:rsidR="007A730C" w:rsidRDefault="00DD5F73" w:rsidP="007A730C">
      <w:pPr>
        <w:pStyle w:val="Default"/>
        <w:rPr>
          <w:color w:val="auto"/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BE2473">
        <w:rPr>
          <w:color w:val="auto"/>
          <w:sz w:val="22"/>
          <w:szCs w:val="22"/>
        </w:rPr>
        <w:t xml:space="preserve"> je indikovaný na </w:t>
      </w:r>
      <w:r w:rsidR="007A730C">
        <w:rPr>
          <w:color w:val="auto"/>
          <w:sz w:val="22"/>
          <w:szCs w:val="22"/>
        </w:rPr>
        <w:t xml:space="preserve">liečbu neresekovateľných alebo </w:t>
      </w:r>
      <w:r w:rsidR="00E30AD8">
        <w:rPr>
          <w:color w:val="auto"/>
          <w:sz w:val="22"/>
          <w:szCs w:val="22"/>
        </w:rPr>
        <w:t>metastatických</w:t>
      </w:r>
      <w:r w:rsidR="00BE2473">
        <w:rPr>
          <w:color w:val="auto"/>
          <w:sz w:val="22"/>
          <w:szCs w:val="22"/>
        </w:rPr>
        <w:t>, dobre diferencovaných (stupeň 1 alebo stupeň </w:t>
      </w:r>
      <w:r w:rsidR="007A730C">
        <w:rPr>
          <w:color w:val="auto"/>
          <w:sz w:val="22"/>
          <w:szCs w:val="22"/>
        </w:rPr>
        <w:t>2) nefunkčných neuroendokrinných nádorov gastrointesti</w:t>
      </w:r>
      <w:r w:rsidR="00BE2473">
        <w:rPr>
          <w:color w:val="auto"/>
          <w:sz w:val="22"/>
          <w:szCs w:val="22"/>
        </w:rPr>
        <w:t>nálneho alebo pľúcneho pôvodu u dospelých s </w:t>
      </w:r>
      <w:r w:rsidR="007A730C">
        <w:rPr>
          <w:color w:val="auto"/>
          <w:sz w:val="22"/>
          <w:szCs w:val="22"/>
        </w:rPr>
        <w:t>prog</w:t>
      </w:r>
      <w:r w:rsidR="0069420C">
        <w:rPr>
          <w:color w:val="auto"/>
          <w:sz w:val="22"/>
          <w:szCs w:val="22"/>
        </w:rPr>
        <w:t>redujúcou chorobou (pozri časti </w:t>
      </w:r>
      <w:r w:rsidR="007A730C">
        <w:rPr>
          <w:color w:val="auto"/>
          <w:sz w:val="22"/>
          <w:szCs w:val="22"/>
        </w:rPr>
        <w:t>4.4 a</w:t>
      </w:r>
      <w:r w:rsidR="00793F96">
        <w:rPr>
          <w:color w:val="auto"/>
          <w:sz w:val="22"/>
          <w:szCs w:val="22"/>
        </w:rPr>
        <w:t> 5.1).</w:t>
      </w:r>
    </w:p>
    <w:p w14:paraId="288509E3" w14:textId="77777777" w:rsidR="007A730C" w:rsidRDefault="007A730C" w:rsidP="007A730C">
      <w:pPr>
        <w:pStyle w:val="Default"/>
        <w:rPr>
          <w:color w:val="auto"/>
          <w:sz w:val="22"/>
          <w:szCs w:val="22"/>
        </w:rPr>
      </w:pPr>
    </w:p>
    <w:p w14:paraId="12D8FF1E" w14:textId="06BAA226" w:rsidR="007A730C" w:rsidRPr="007A730C" w:rsidRDefault="00793F96" w:rsidP="007A730C">
      <w:pPr>
        <w:pStyle w:val="Default"/>
        <w:tabs>
          <w:tab w:val="left" w:pos="0"/>
          <w:tab w:val="left" w:pos="142"/>
        </w:tabs>
        <w:rPr>
          <w:color w:val="auto"/>
          <w:sz w:val="22"/>
          <w:szCs w:val="22"/>
          <w:u w:val="single"/>
        </w:rPr>
      </w:pPr>
      <w:r w:rsidRPr="005D2B5C">
        <w:rPr>
          <w:color w:val="auto"/>
          <w:sz w:val="22"/>
          <w:szCs w:val="22"/>
          <w:u w:val="single"/>
        </w:rPr>
        <w:t>Karcinóm obličkových bunie</w:t>
      </w:r>
      <w:r>
        <w:rPr>
          <w:color w:val="auto"/>
          <w:sz w:val="22"/>
          <w:szCs w:val="22"/>
          <w:u w:val="single"/>
        </w:rPr>
        <w:t>k</w:t>
      </w:r>
    </w:p>
    <w:p w14:paraId="29BFD779" w14:textId="77777777" w:rsidR="00780926" w:rsidRDefault="00DD5F73" w:rsidP="00793F96">
      <w:pPr>
        <w:tabs>
          <w:tab w:val="left" w:pos="0"/>
        </w:tabs>
        <w:ind w:left="0" w:firstLine="0"/>
        <w:rPr>
          <w:szCs w:val="22"/>
        </w:rPr>
      </w:pPr>
      <w:r w:rsidRPr="00DD5F73">
        <w:rPr>
          <w:szCs w:val="22"/>
        </w:rPr>
        <w:t>Everolimus Mylan</w:t>
      </w:r>
      <w:r w:rsidR="00BE2473">
        <w:rPr>
          <w:szCs w:val="22"/>
        </w:rPr>
        <w:t xml:space="preserve"> je indikovaný na liečbu pacientov s </w:t>
      </w:r>
      <w:r w:rsidR="007A730C">
        <w:rPr>
          <w:szCs w:val="22"/>
        </w:rPr>
        <w:t xml:space="preserve">pokročilým karcinómom </w:t>
      </w:r>
      <w:r w:rsidR="003D39F4">
        <w:rPr>
          <w:szCs w:val="22"/>
        </w:rPr>
        <w:t xml:space="preserve">z </w:t>
      </w:r>
      <w:r w:rsidR="007A730C">
        <w:rPr>
          <w:szCs w:val="22"/>
        </w:rPr>
        <w:t>obličkových buniek, u</w:t>
      </w:r>
      <w:r w:rsidR="00BE2473">
        <w:rPr>
          <w:szCs w:val="22"/>
        </w:rPr>
        <w:t> </w:t>
      </w:r>
      <w:r w:rsidR="007A730C">
        <w:rPr>
          <w:szCs w:val="22"/>
        </w:rPr>
        <w:t>ktorých ochorenie progredovalo p</w:t>
      </w:r>
      <w:r w:rsidR="00BE2473">
        <w:rPr>
          <w:szCs w:val="22"/>
        </w:rPr>
        <w:t>očas alebo po liečbe cielenej na </w:t>
      </w:r>
      <w:r w:rsidR="007A730C">
        <w:rPr>
          <w:szCs w:val="22"/>
        </w:rPr>
        <w:t>VEGF.</w:t>
      </w:r>
    </w:p>
    <w:p w14:paraId="3FBA11ED" w14:textId="77777777" w:rsidR="007A730C" w:rsidRPr="00B13F68" w:rsidRDefault="007A730C" w:rsidP="007A730C">
      <w:pPr>
        <w:rPr>
          <w:szCs w:val="22"/>
        </w:rPr>
      </w:pPr>
    </w:p>
    <w:p w14:paraId="604E8A30" w14:textId="77777777" w:rsidR="00780926" w:rsidRPr="00B13F68" w:rsidRDefault="00780926" w:rsidP="00BE2473">
      <w:pPr>
        <w:keepNext/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40182C27" w14:textId="77777777" w:rsidR="00780926" w:rsidRPr="00B13F68" w:rsidRDefault="00780926" w:rsidP="00BE2473">
      <w:pPr>
        <w:keepNext/>
        <w:rPr>
          <w:szCs w:val="22"/>
        </w:rPr>
      </w:pPr>
    </w:p>
    <w:p w14:paraId="7A62B067" w14:textId="77777777" w:rsidR="00E1698A" w:rsidRDefault="00A5282A" w:rsidP="00BE247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Liečbu Everolimom</w:t>
      </w:r>
      <w:r w:rsidR="00DD5F73" w:rsidRPr="00DD5F73">
        <w:rPr>
          <w:szCs w:val="22"/>
        </w:rPr>
        <w:t xml:space="preserve"> Mylan</w:t>
      </w:r>
      <w:r w:rsidR="00DD5F73">
        <w:rPr>
          <w:szCs w:val="22"/>
        </w:rPr>
        <w:t xml:space="preserve"> má začať a vie</w:t>
      </w:r>
      <w:r w:rsidR="00BE2473">
        <w:rPr>
          <w:szCs w:val="22"/>
        </w:rPr>
        <w:t>sť lekár, ktorý má skúsenosti s </w:t>
      </w:r>
      <w:r w:rsidR="00DD5F73">
        <w:rPr>
          <w:szCs w:val="22"/>
        </w:rPr>
        <w:t>podávaním protinádorovej liečby.</w:t>
      </w:r>
    </w:p>
    <w:p w14:paraId="37165043" w14:textId="77777777" w:rsidR="00DD5F73" w:rsidRDefault="00DD5F73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E11E318" w14:textId="77777777" w:rsidR="00DD5F73" w:rsidRDefault="00DD5F73" w:rsidP="00BE2473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D5F73">
        <w:rPr>
          <w:szCs w:val="22"/>
          <w:u w:val="single"/>
        </w:rPr>
        <w:t>Dávkovanie</w:t>
      </w:r>
    </w:p>
    <w:p w14:paraId="3F41F7DF" w14:textId="0AEB9A73" w:rsidR="00DD5F73" w:rsidRDefault="00BE2473" w:rsidP="00793F96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Pre </w:t>
      </w:r>
      <w:r w:rsidR="00DD5F73">
        <w:rPr>
          <w:szCs w:val="22"/>
        </w:rPr>
        <w:t xml:space="preserve">rôzne </w:t>
      </w:r>
      <w:r w:rsidR="003D39F4">
        <w:rPr>
          <w:szCs w:val="22"/>
        </w:rPr>
        <w:t xml:space="preserve">dávkovacie </w:t>
      </w:r>
      <w:r w:rsidR="00DD5F73">
        <w:rPr>
          <w:szCs w:val="22"/>
        </w:rPr>
        <w:t xml:space="preserve">režimy je </w:t>
      </w:r>
      <w:r w:rsidR="00DD5F73" w:rsidRPr="00DD5F73">
        <w:rPr>
          <w:szCs w:val="22"/>
        </w:rPr>
        <w:t>Everolimus Mylan</w:t>
      </w:r>
      <w:r w:rsidR="00DD5F73">
        <w:rPr>
          <w:szCs w:val="22"/>
        </w:rPr>
        <w:t xml:space="preserve"> dostupný ako 2,5 mg, 5 mg a 10 mg tablety.</w:t>
      </w:r>
    </w:p>
    <w:p w14:paraId="60CEEC11" w14:textId="77777777" w:rsidR="00DD5F73" w:rsidRDefault="00DD5F73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D434201" w14:textId="77777777" w:rsidR="00DD5F73" w:rsidRDefault="00BE2473" w:rsidP="00DD5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Odporúčaná dávka je 10 </w:t>
      </w:r>
      <w:r w:rsidR="00DD5F73">
        <w:rPr>
          <w:sz w:val="22"/>
          <w:szCs w:val="22"/>
        </w:rPr>
        <w:t>mg everolimu raz denne. Liečba má pokračovať tak dlho, kým sa pozoruje klinický prínos alebo kým sa nevyskyt</w:t>
      </w:r>
      <w:r w:rsidR="00793F96">
        <w:rPr>
          <w:sz w:val="22"/>
          <w:szCs w:val="22"/>
        </w:rPr>
        <w:t>nú neprijateľné toxické účinky.</w:t>
      </w:r>
    </w:p>
    <w:p w14:paraId="18482DE8" w14:textId="77777777" w:rsidR="00DD5F73" w:rsidRDefault="00DD5F73" w:rsidP="00DD5F73">
      <w:pPr>
        <w:pStyle w:val="Default"/>
        <w:rPr>
          <w:sz w:val="22"/>
          <w:szCs w:val="22"/>
        </w:rPr>
      </w:pPr>
    </w:p>
    <w:p w14:paraId="2415D568" w14:textId="0B90DC3D" w:rsidR="00DD5F73" w:rsidRDefault="0069420C" w:rsidP="00DD5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 </w:t>
      </w:r>
      <w:r w:rsidR="00DD5F73">
        <w:rPr>
          <w:sz w:val="22"/>
          <w:szCs w:val="22"/>
        </w:rPr>
        <w:t xml:space="preserve">vynechaní dávky si pacient nemá vziať dávku </w:t>
      </w:r>
      <w:r w:rsidR="003D39F4">
        <w:rPr>
          <w:sz w:val="22"/>
          <w:szCs w:val="22"/>
        </w:rPr>
        <w:t>dodatočne</w:t>
      </w:r>
      <w:r w:rsidR="00DD5F73">
        <w:rPr>
          <w:sz w:val="22"/>
          <w:szCs w:val="22"/>
        </w:rPr>
        <w:t>, ale má užiť najbližšiu</w:t>
      </w:r>
      <w:r w:rsidR="00793F96">
        <w:rPr>
          <w:sz w:val="22"/>
          <w:szCs w:val="22"/>
        </w:rPr>
        <w:t xml:space="preserve"> predpísanú dávku ako zvyčajne.</w:t>
      </w:r>
    </w:p>
    <w:p w14:paraId="74A8AC21" w14:textId="77777777" w:rsidR="00DD5F73" w:rsidRDefault="00DD5F73" w:rsidP="00DD5F73">
      <w:pPr>
        <w:pStyle w:val="Default"/>
        <w:rPr>
          <w:sz w:val="22"/>
          <w:szCs w:val="22"/>
        </w:rPr>
      </w:pPr>
    </w:p>
    <w:p w14:paraId="05E0546B" w14:textId="4F5DB4F3" w:rsidR="00DD5F73" w:rsidRDefault="00DD5F73" w:rsidP="00BE2473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Úprava dávkovania pre nežiaduce </w:t>
      </w:r>
      <w:r w:rsidR="003D39F4">
        <w:rPr>
          <w:i/>
          <w:iCs/>
          <w:sz w:val="22"/>
          <w:szCs w:val="22"/>
        </w:rPr>
        <w:t>reakcie</w:t>
      </w:r>
    </w:p>
    <w:p w14:paraId="0A134C0A" w14:textId="2052B773" w:rsidR="00DD5F73" w:rsidRDefault="00DD5F73" w:rsidP="00793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Liečba závažných a/alebo netolerovateľných suspektných nežiaducich reakcií si môže vyžiadať zníženie dávkovania a/alebo </w:t>
      </w:r>
      <w:r w:rsidR="00A5282A">
        <w:rPr>
          <w:sz w:val="22"/>
          <w:szCs w:val="22"/>
        </w:rPr>
        <w:t>dočasné prerušenie liečby</w:t>
      </w:r>
      <w:r>
        <w:rPr>
          <w:sz w:val="22"/>
          <w:szCs w:val="22"/>
        </w:rPr>
        <w:t xml:space="preserve"> </w:t>
      </w:r>
      <w:r w:rsidR="00A5282A">
        <w:rPr>
          <w:sz w:val="22"/>
          <w:szCs w:val="22"/>
        </w:rPr>
        <w:t>Everolimom</w:t>
      </w:r>
      <w:r w:rsidRPr="00DD5F73">
        <w:rPr>
          <w:sz w:val="22"/>
          <w:szCs w:val="22"/>
        </w:rPr>
        <w:t xml:space="preserve"> Mylan</w:t>
      </w:r>
      <w:r w:rsidR="00A5282A">
        <w:rPr>
          <w:sz w:val="22"/>
          <w:szCs w:val="22"/>
        </w:rPr>
        <w:t>. V </w:t>
      </w:r>
      <w:r>
        <w:rPr>
          <w:sz w:val="22"/>
          <w:szCs w:val="22"/>
        </w:rPr>
        <w:t>prí</w:t>
      </w:r>
      <w:r w:rsidR="0069420C">
        <w:rPr>
          <w:sz w:val="22"/>
          <w:szCs w:val="22"/>
        </w:rPr>
        <w:t>pade nežiaducich reakcií stupňa </w:t>
      </w:r>
      <w:r>
        <w:rPr>
          <w:sz w:val="22"/>
          <w:szCs w:val="22"/>
        </w:rPr>
        <w:t>1 nie je úprava dávky zvyčajne potrebná. Ak je potrebné dávkovani</w:t>
      </w:r>
      <w:r w:rsidR="00A5282A">
        <w:rPr>
          <w:sz w:val="22"/>
          <w:szCs w:val="22"/>
        </w:rPr>
        <w:t>e znížiť, odporúčaná dávka je 5 </w:t>
      </w:r>
      <w:r>
        <w:rPr>
          <w:sz w:val="22"/>
          <w:szCs w:val="22"/>
        </w:rPr>
        <w:t xml:space="preserve">mg </w:t>
      </w:r>
      <w:r w:rsidR="00A5282A">
        <w:rPr>
          <w:sz w:val="22"/>
          <w:szCs w:val="22"/>
        </w:rPr>
        <w:t>denne a nesmie byť nižšia ako 5 </w:t>
      </w:r>
      <w:r w:rsidR="00793F96">
        <w:rPr>
          <w:sz w:val="22"/>
          <w:szCs w:val="22"/>
        </w:rPr>
        <w:t>mg denne.</w:t>
      </w:r>
    </w:p>
    <w:p w14:paraId="2158D3D5" w14:textId="77777777" w:rsidR="00DD5F73" w:rsidRDefault="00DD5F73" w:rsidP="00DD5F73">
      <w:pPr>
        <w:pStyle w:val="Default"/>
        <w:rPr>
          <w:sz w:val="22"/>
          <w:szCs w:val="22"/>
        </w:rPr>
      </w:pPr>
    </w:p>
    <w:p w14:paraId="67C34EB2" w14:textId="77777777" w:rsidR="00DD5F73" w:rsidRDefault="00A5282A" w:rsidP="00DD5F73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Tabuľka </w:t>
      </w:r>
      <w:r w:rsidRPr="00DE7496">
        <w:rPr>
          <w:b/>
          <w:szCs w:val="22"/>
        </w:rPr>
        <w:t>1</w:t>
      </w:r>
      <w:r>
        <w:rPr>
          <w:szCs w:val="22"/>
        </w:rPr>
        <w:t xml:space="preserve"> uvádza súhrn odporúčaní </w:t>
      </w:r>
      <w:r w:rsidR="00793F96">
        <w:rPr>
          <w:szCs w:val="22"/>
        </w:rPr>
        <w:t>na</w:t>
      </w:r>
      <w:r>
        <w:rPr>
          <w:szCs w:val="22"/>
        </w:rPr>
        <w:t> úpravu dávky v </w:t>
      </w:r>
      <w:r w:rsidR="00DD5F73">
        <w:rPr>
          <w:szCs w:val="22"/>
        </w:rPr>
        <w:t>prípade špecifických nežia</w:t>
      </w:r>
      <w:r>
        <w:rPr>
          <w:szCs w:val="22"/>
        </w:rPr>
        <w:t>ducich reakcií (pozri tiež časť </w:t>
      </w:r>
      <w:r w:rsidR="00DD5F73">
        <w:rPr>
          <w:szCs w:val="22"/>
        </w:rPr>
        <w:t>4.4).</w:t>
      </w:r>
    </w:p>
    <w:p w14:paraId="4AAEE4F8" w14:textId="77777777" w:rsidR="00DD5F73" w:rsidRDefault="00DD5F73" w:rsidP="00DD5F7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292E3EC" w14:textId="77777777" w:rsidR="00957949" w:rsidRPr="00957949" w:rsidRDefault="00DD5F73" w:rsidP="00BE2473">
      <w:pPr>
        <w:keepNext/>
        <w:autoSpaceDE w:val="0"/>
        <w:autoSpaceDN w:val="0"/>
        <w:adjustRightInd w:val="0"/>
        <w:ind w:left="0" w:firstLine="0"/>
        <w:rPr>
          <w:bCs/>
          <w:szCs w:val="22"/>
        </w:rPr>
      </w:pPr>
      <w:r w:rsidRPr="00A5282A">
        <w:rPr>
          <w:bCs/>
          <w:i/>
          <w:szCs w:val="22"/>
        </w:rPr>
        <w:t xml:space="preserve">Tabuľka </w:t>
      </w:r>
      <w:r w:rsidRPr="00DE7496">
        <w:rPr>
          <w:b/>
          <w:bCs/>
          <w:i/>
          <w:szCs w:val="22"/>
        </w:rPr>
        <w:t>1</w:t>
      </w:r>
      <w:r w:rsidRPr="00A5282A">
        <w:rPr>
          <w:bCs/>
          <w:i/>
          <w:szCs w:val="22"/>
        </w:rPr>
        <w:t xml:space="preserve"> Odporúčania pre úpravu dá</w:t>
      </w:r>
      <w:r w:rsidR="00A5282A">
        <w:rPr>
          <w:bCs/>
          <w:i/>
          <w:szCs w:val="22"/>
        </w:rPr>
        <w:t>vky Everolimu</w:t>
      </w:r>
      <w:r w:rsidR="00957949" w:rsidRPr="00A5282A">
        <w:rPr>
          <w:bCs/>
          <w:i/>
          <w:szCs w:val="22"/>
        </w:rPr>
        <w:t xml:space="preserve"> Mylan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691"/>
        <w:gridCol w:w="5149"/>
      </w:tblGrid>
      <w:tr w:rsidR="00DD5F73" w:rsidRPr="002D242D" w14:paraId="78EAC42B" w14:textId="77777777" w:rsidTr="002D242D">
        <w:tc>
          <w:tcPr>
            <w:tcW w:w="2127" w:type="dxa"/>
            <w:shd w:val="clear" w:color="auto" w:fill="auto"/>
          </w:tcPr>
          <w:p w14:paraId="483EA8C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Nežiaduca reakcia </w:t>
            </w:r>
          </w:p>
          <w:p w14:paraId="26DEB909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96D4BB6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Závažnosť</w:t>
            </w:r>
            <w:r w:rsidRPr="003B1562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00FE5CDD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93D324C" w14:textId="77777777" w:rsidR="00957949" w:rsidRPr="002D242D" w:rsidRDefault="00957949" w:rsidP="00957949">
            <w:pPr>
              <w:pStyle w:val="Default"/>
              <w:rPr>
                <w:b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Úprava dávky </w:t>
            </w:r>
            <w:r w:rsidR="00A5282A">
              <w:rPr>
                <w:b/>
                <w:sz w:val="22"/>
                <w:szCs w:val="22"/>
              </w:rPr>
              <w:t>Everolimu</w:t>
            </w:r>
            <w:r w:rsidRPr="002D242D">
              <w:rPr>
                <w:b/>
                <w:sz w:val="22"/>
                <w:szCs w:val="22"/>
              </w:rPr>
              <w:t xml:space="preserve"> Mylan</w:t>
            </w:r>
          </w:p>
          <w:p w14:paraId="7BBF674C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46FA6D6" w14:textId="77777777" w:rsidTr="002D242D">
        <w:trPr>
          <w:trHeight w:val="679"/>
        </w:trPr>
        <w:tc>
          <w:tcPr>
            <w:tcW w:w="2127" w:type="dxa"/>
            <w:vMerge w:val="restart"/>
            <w:shd w:val="clear" w:color="auto" w:fill="auto"/>
          </w:tcPr>
          <w:p w14:paraId="6174A5AC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Neinfekčná pneumonitída</w:t>
            </w:r>
          </w:p>
          <w:p w14:paraId="5304A1A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3BA92A1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57981A3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1323681" w14:textId="77777777" w:rsidR="00957949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Zvážte prerušenie liečby až do </w:t>
            </w:r>
            <w:r w:rsidR="00957949" w:rsidRPr="002D242D">
              <w:rPr>
                <w:sz w:val="22"/>
                <w:szCs w:val="22"/>
              </w:rPr>
              <w:t>zlepšenia prí</w:t>
            </w:r>
            <w:r w:rsidR="00E04903" w:rsidRPr="002D242D">
              <w:rPr>
                <w:sz w:val="22"/>
                <w:szCs w:val="22"/>
              </w:rPr>
              <w:t>znakov na</w:t>
            </w:r>
            <w:r>
              <w:rPr>
                <w:sz w:val="22"/>
                <w:szCs w:val="22"/>
              </w:rPr>
              <w:t> </w:t>
            </w:r>
            <w:r w:rsidR="00E04903" w:rsidRPr="002D242D">
              <w:rPr>
                <w:sz w:val="22"/>
                <w:szCs w:val="22"/>
              </w:rPr>
              <w:t>stupeň ≤ </w:t>
            </w:r>
            <w:r w:rsidR="00793F96">
              <w:rPr>
                <w:sz w:val="22"/>
                <w:szCs w:val="22"/>
              </w:rPr>
              <w:t>1.</w:t>
            </w:r>
          </w:p>
          <w:p w14:paraId="7E619EC5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O</w:t>
            </w:r>
            <w:r w:rsidR="00E04903" w:rsidRPr="002D242D">
              <w:rPr>
                <w:sz w:val="22"/>
                <w:szCs w:val="22"/>
              </w:rPr>
              <w:t>pätovne začnite liečbu dávkou 5 </w:t>
            </w:r>
            <w:r w:rsidR="00793F96">
              <w:rPr>
                <w:sz w:val="22"/>
                <w:szCs w:val="22"/>
              </w:rPr>
              <w:t>mg denne.</w:t>
            </w:r>
          </w:p>
          <w:p w14:paraId="0214D65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U</w:t>
            </w:r>
            <w:r w:rsidR="00A5282A">
              <w:rPr>
                <w:szCs w:val="22"/>
              </w:rPr>
              <w:t>končite liečbu, ak nedôjde do </w:t>
            </w:r>
            <w:r w:rsidR="00E04903" w:rsidRPr="002D242D">
              <w:rPr>
                <w:szCs w:val="22"/>
              </w:rPr>
              <w:t>4 </w:t>
            </w:r>
            <w:r w:rsidR="00A5282A">
              <w:rPr>
                <w:szCs w:val="22"/>
              </w:rPr>
              <w:t>týždňov k </w:t>
            </w:r>
            <w:r w:rsidRPr="002D242D">
              <w:rPr>
                <w:szCs w:val="22"/>
              </w:rPr>
              <w:t xml:space="preserve">zotaveniu </w:t>
            </w:r>
          </w:p>
        </w:tc>
      </w:tr>
      <w:tr w:rsidR="00957949" w:rsidRPr="002D242D" w14:paraId="10C5E55B" w14:textId="77777777" w:rsidTr="002D242D">
        <w:tc>
          <w:tcPr>
            <w:tcW w:w="2127" w:type="dxa"/>
            <w:vMerge/>
            <w:shd w:val="clear" w:color="auto" w:fill="auto"/>
          </w:tcPr>
          <w:p w14:paraId="7A605AC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D875896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2C5E59A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AA2D388" w14:textId="77777777" w:rsidR="00957949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Prerušte liečbu až do zlepšenia príznakov na </w:t>
            </w:r>
            <w:r w:rsidR="00E04903" w:rsidRPr="002D242D">
              <w:rPr>
                <w:sz w:val="22"/>
                <w:szCs w:val="22"/>
              </w:rPr>
              <w:t>stupeň ≤ </w:t>
            </w:r>
            <w:r w:rsidR="00793F96">
              <w:rPr>
                <w:sz w:val="22"/>
                <w:szCs w:val="22"/>
              </w:rPr>
              <w:t>1.</w:t>
            </w:r>
          </w:p>
          <w:p w14:paraId="1399DD27" w14:textId="4E48BD46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lastRenderedPageBreak/>
              <w:t>Zvážte o</w:t>
            </w:r>
            <w:r w:rsidR="00E04903" w:rsidRPr="002D242D">
              <w:rPr>
                <w:szCs w:val="22"/>
              </w:rPr>
              <w:t>pätovný začiatok liečby dávkou 5 </w:t>
            </w:r>
            <w:r w:rsidRPr="002D242D">
              <w:rPr>
                <w:szCs w:val="22"/>
              </w:rPr>
              <w:t xml:space="preserve"> mg denne. </w:t>
            </w:r>
            <w:r w:rsidR="00A5282A">
              <w:rPr>
                <w:szCs w:val="22"/>
              </w:rPr>
              <w:t xml:space="preserve">Ak </w:t>
            </w:r>
            <w:r w:rsidR="003D39F4">
              <w:rPr>
                <w:szCs w:val="22"/>
              </w:rPr>
              <w:t>sa znova</w:t>
            </w:r>
            <w:r w:rsidR="00A5282A">
              <w:rPr>
                <w:szCs w:val="22"/>
              </w:rPr>
              <w:t> </w:t>
            </w:r>
            <w:r w:rsidRPr="002D242D">
              <w:rPr>
                <w:szCs w:val="22"/>
              </w:rPr>
              <w:t>v</w:t>
            </w:r>
            <w:r w:rsidR="000F1E8D">
              <w:rPr>
                <w:szCs w:val="22"/>
              </w:rPr>
              <w:t>y</w:t>
            </w:r>
            <w:r w:rsidRPr="002D242D">
              <w:rPr>
                <w:szCs w:val="22"/>
              </w:rPr>
              <w:t>sk</w:t>
            </w:r>
            <w:r w:rsidR="00A5282A">
              <w:rPr>
                <w:szCs w:val="22"/>
              </w:rPr>
              <w:t>yt</w:t>
            </w:r>
            <w:r w:rsidR="003D39F4">
              <w:rPr>
                <w:szCs w:val="22"/>
              </w:rPr>
              <w:t>nú</w:t>
            </w:r>
            <w:r w:rsidR="00A5282A">
              <w:rPr>
                <w:szCs w:val="22"/>
              </w:rPr>
              <w:t xml:space="preserve"> toxick</w:t>
            </w:r>
            <w:r w:rsidR="003D39F4">
              <w:rPr>
                <w:szCs w:val="22"/>
              </w:rPr>
              <w:t>é</w:t>
            </w:r>
            <w:r w:rsidR="00A5282A">
              <w:rPr>
                <w:szCs w:val="22"/>
              </w:rPr>
              <w:t xml:space="preserve"> reakci</w:t>
            </w:r>
            <w:r w:rsidR="003D39F4">
              <w:rPr>
                <w:szCs w:val="22"/>
              </w:rPr>
              <w:t>e</w:t>
            </w:r>
            <w:r w:rsidR="00A5282A">
              <w:rPr>
                <w:szCs w:val="22"/>
              </w:rPr>
              <w:t xml:space="preserve"> stupňa </w:t>
            </w:r>
            <w:r w:rsidRPr="002D242D">
              <w:rPr>
                <w:szCs w:val="22"/>
              </w:rPr>
              <w:t>3, zvážte ukončenie liečby.</w:t>
            </w:r>
          </w:p>
        </w:tc>
      </w:tr>
      <w:tr w:rsidR="00957949" w:rsidRPr="002D242D" w14:paraId="26FDA8B2" w14:textId="77777777" w:rsidTr="002D242D">
        <w:tc>
          <w:tcPr>
            <w:tcW w:w="2127" w:type="dxa"/>
            <w:vMerge/>
            <w:shd w:val="clear" w:color="auto" w:fill="auto"/>
          </w:tcPr>
          <w:p w14:paraId="12FC92C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E97910A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17A4280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FA0E7C5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2AE825C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FBD17E2" w14:textId="77777777" w:rsidTr="002D242D">
        <w:tc>
          <w:tcPr>
            <w:tcW w:w="2127" w:type="dxa"/>
            <w:vMerge w:val="restart"/>
            <w:shd w:val="clear" w:color="auto" w:fill="auto"/>
          </w:tcPr>
          <w:p w14:paraId="6C3D7BF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Stomatitída</w:t>
            </w:r>
          </w:p>
          <w:p w14:paraId="0DCABC7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jc w:val="center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5AD823E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5C6A49E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74A22AC3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</w:t>
            </w:r>
            <w:r w:rsidR="00A5282A">
              <w:rPr>
                <w:sz w:val="22"/>
                <w:szCs w:val="22"/>
              </w:rPr>
              <w:t>rerušte dočasne podávanie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3D39F4">
              <w:rPr>
                <w:rStyle w:val="Bodytext2"/>
                <w:sz w:val="22"/>
                <w:szCs w:val="22"/>
                <w:u w:val="none"/>
              </w:rPr>
              <w:t>1</w:t>
            </w:r>
            <w:r w:rsidR="00793F96">
              <w:rPr>
                <w:sz w:val="22"/>
                <w:szCs w:val="22"/>
              </w:rPr>
              <w:t>.</w:t>
            </w:r>
          </w:p>
          <w:p w14:paraId="0C4F60BF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Opätovne </w:t>
            </w:r>
            <w:r w:rsidR="00793F96">
              <w:rPr>
                <w:sz w:val="22"/>
                <w:szCs w:val="22"/>
              </w:rPr>
              <w:t>začnite liečbu rovnakou dávkou.</w:t>
            </w:r>
          </w:p>
          <w:p w14:paraId="5C3F340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Pr</w:t>
            </w:r>
            <w:r w:rsidR="00A5282A">
              <w:rPr>
                <w:szCs w:val="22"/>
              </w:rPr>
              <w:t>i </w:t>
            </w:r>
            <w:r w:rsidR="000E6408" w:rsidRPr="002D242D">
              <w:rPr>
                <w:szCs w:val="22"/>
              </w:rPr>
              <w:t>rekurencii stomatitídy stupňa </w:t>
            </w:r>
            <w:r w:rsidRPr="002D242D">
              <w:rPr>
                <w:szCs w:val="22"/>
              </w:rPr>
              <w:t>2 pre</w:t>
            </w:r>
            <w:r w:rsidR="00A5282A">
              <w:rPr>
                <w:szCs w:val="22"/>
              </w:rPr>
              <w:t>rušte dávkovanie až do zotavenia na </w:t>
            </w:r>
            <w:r w:rsidRPr="002D242D">
              <w:rPr>
                <w:szCs w:val="22"/>
              </w:rPr>
              <w:t xml:space="preserve">stupeň </w:t>
            </w:r>
            <w:r w:rsidR="000E6408" w:rsidRPr="003B1562">
              <w:rPr>
                <w:rStyle w:val="Bodytext2"/>
                <w:sz w:val="22"/>
                <w:szCs w:val="22"/>
                <w:u w:val="none"/>
              </w:rPr>
              <w:t>≤ 1</w:t>
            </w:r>
            <w:r w:rsidRPr="002D242D">
              <w:rPr>
                <w:szCs w:val="22"/>
              </w:rPr>
              <w:t xml:space="preserve">. </w:t>
            </w:r>
            <w:r w:rsidR="000E6408" w:rsidRPr="002D242D">
              <w:rPr>
                <w:szCs w:val="22"/>
              </w:rPr>
              <w:t>Opätovne začnite liečbu dávkou 5 </w:t>
            </w:r>
            <w:r w:rsidRPr="002D242D">
              <w:rPr>
                <w:szCs w:val="22"/>
              </w:rPr>
              <w:t>mg denne.</w:t>
            </w:r>
          </w:p>
        </w:tc>
      </w:tr>
      <w:tr w:rsidR="00957949" w:rsidRPr="002D242D" w14:paraId="78F85B22" w14:textId="77777777" w:rsidTr="002D242D">
        <w:tc>
          <w:tcPr>
            <w:tcW w:w="2127" w:type="dxa"/>
            <w:vMerge/>
            <w:shd w:val="clear" w:color="auto" w:fill="auto"/>
          </w:tcPr>
          <w:p w14:paraId="144A43A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011E53D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499415E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118EFFF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</w:t>
            </w:r>
            <w:r w:rsidR="00A5282A">
              <w:rPr>
                <w:sz w:val="22"/>
                <w:szCs w:val="22"/>
              </w:rPr>
              <w:t>rerušte dočasne podávanie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2D242D">
              <w:rPr>
                <w:rStyle w:val="Bodytext2"/>
                <w:sz w:val="22"/>
                <w:szCs w:val="22"/>
              </w:rPr>
              <w:t>&lt; </w:t>
            </w:r>
            <w:r w:rsidR="00793F96">
              <w:rPr>
                <w:sz w:val="22"/>
                <w:szCs w:val="22"/>
              </w:rPr>
              <w:t>1.</w:t>
            </w:r>
          </w:p>
          <w:p w14:paraId="44BBF02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</w:t>
            </w:r>
            <w:r w:rsidR="000E6408" w:rsidRPr="002D242D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>mg denne.</w:t>
            </w:r>
          </w:p>
        </w:tc>
      </w:tr>
      <w:tr w:rsidR="00957949" w:rsidRPr="002D242D" w14:paraId="5D73A35B" w14:textId="77777777" w:rsidTr="002D242D">
        <w:tc>
          <w:tcPr>
            <w:tcW w:w="2127" w:type="dxa"/>
            <w:vMerge/>
            <w:shd w:val="clear" w:color="auto" w:fill="auto"/>
          </w:tcPr>
          <w:p w14:paraId="6ACD212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A7EEF66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52B3087A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95903CB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26F3439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5F55F0F" w14:textId="77777777" w:rsidTr="002D242D">
        <w:tc>
          <w:tcPr>
            <w:tcW w:w="2127" w:type="dxa"/>
            <w:vMerge w:val="restart"/>
            <w:shd w:val="clear" w:color="auto" w:fill="auto"/>
          </w:tcPr>
          <w:p w14:paraId="384ED52B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Iné nehematologické toxicity </w:t>
            </w:r>
          </w:p>
          <w:p w14:paraId="435496CE" w14:textId="4E6032DA" w:rsidR="00957949" w:rsidRPr="002D242D" w:rsidRDefault="00957949" w:rsidP="00571C79">
            <w:pPr>
              <w:autoSpaceDE w:val="0"/>
              <w:autoSpaceDN w:val="0"/>
              <w:adjustRightInd w:val="0"/>
              <w:ind w:left="34" w:hanging="34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(</w:t>
            </w:r>
            <w:r w:rsidR="00571C79">
              <w:rPr>
                <w:szCs w:val="22"/>
              </w:rPr>
              <w:t>okrem</w:t>
            </w:r>
            <w:r w:rsidRPr="002D242D">
              <w:rPr>
                <w:szCs w:val="22"/>
              </w:rPr>
              <w:t xml:space="preserve"> metabolick</w:t>
            </w:r>
            <w:r w:rsidR="00571C79">
              <w:rPr>
                <w:szCs w:val="22"/>
              </w:rPr>
              <w:t>ých</w:t>
            </w:r>
            <w:r w:rsidRPr="002D242D">
              <w:rPr>
                <w:szCs w:val="22"/>
              </w:rPr>
              <w:t xml:space="preserve"> príhod) </w:t>
            </w:r>
          </w:p>
          <w:p w14:paraId="1F2A41E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  <w:p w14:paraId="332F891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1AC3F4E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0805736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428BE49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Ak je toxicita dobre znášaná, nie je potrebná úprava dávky. </w:t>
            </w:r>
          </w:p>
          <w:p w14:paraId="3A18D322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Ak je toxicita zle tolerovaná, 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 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Pr="002D242D">
              <w:rPr>
                <w:sz w:val="22"/>
                <w:szCs w:val="22"/>
              </w:rPr>
              <w:t xml:space="preserve">1. Opätovne začnite liečbu rovnakou dávkou. </w:t>
            </w:r>
          </w:p>
          <w:p w14:paraId="6568864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 xml:space="preserve">Pri </w:t>
            </w:r>
            <w:r w:rsidR="00A5282A">
              <w:rPr>
                <w:szCs w:val="22"/>
              </w:rPr>
              <w:t>rekurencii toxicity stupňa </w:t>
            </w:r>
            <w:r w:rsidRPr="002D242D">
              <w:rPr>
                <w:szCs w:val="22"/>
              </w:rPr>
              <w:t>2 prerušte dávkov</w:t>
            </w:r>
            <w:r w:rsidR="00A5282A">
              <w:rPr>
                <w:szCs w:val="22"/>
              </w:rPr>
              <w:t>anie až do zotavenia na </w:t>
            </w:r>
            <w:r w:rsidR="000E6408" w:rsidRPr="002D242D">
              <w:rPr>
                <w:szCs w:val="22"/>
              </w:rPr>
              <w:t>stupeň</w:t>
            </w:r>
            <w:r w:rsidR="00A5282A">
              <w:rPr>
                <w:szCs w:val="22"/>
              </w:rPr>
              <w:t> </w:t>
            </w:r>
            <w:r w:rsidR="000E6408" w:rsidRPr="002D242D">
              <w:rPr>
                <w:szCs w:val="22"/>
              </w:rPr>
              <w:t xml:space="preserve"> </w:t>
            </w:r>
            <w:r w:rsidR="000E6408" w:rsidRPr="003B1562">
              <w:rPr>
                <w:rStyle w:val="Bodytext2"/>
                <w:szCs w:val="22"/>
                <w:u w:val="none"/>
              </w:rPr>
              <w:t>≤ </w:t>
            </w:r>
            <w:r w:rsidRPr="002D242D">
              <w:rPr>
                <w:szCs w:val="22"/>
              </w:rPr>
              <w:t>1. O</w:t>
            </w:r>
            <w:r w:rsidR="00A5282A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077D7C2D" w14:textId="77777777" w:rsidTr="002D242D">
        <w:tc>
          <w:tcPr>
            <w:tcW w:w="2127" w:type="dxa"/>
            <w:vMerge/>
            <w:shd w:val="clear" w:color="auto" w:fill="auto"/>
          </w:tcPr>
          <w:p w14:paraId="614CC4E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92A8E89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50AAF59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99C50D6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</w:t>
            </w:r>
            <w:r w:rsidR="00A5282A">
              <w:rPr>
                <w:sz w:val="22"/>
                <w:szCs w:val="22"/>
              </w:rPr>
              <w:t>nie až do zotavenia na </w:t>
            </w:r>
            <w:r w:rsidR="000E6408"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556988">
              <w:rPr>
                <w:sz w:val="22"/>
                <w:szCs w:val="22"/>
              </w:rPr>
              <w:t>1.</w:t>
            </w:r>
          </w:p>
          <w:p w14:paraId="0CD5F75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Zvážte op</w:t>
            </w:r>
            <w:r w:rsidR="000E6408" w:rsidRPr="002D242D">
              <w:rPr>
                <w:szCs w:val="22"/>
              </w:rPr>
              <w:t>ätovný začiatok liečby dávkou 5 </w:t>
            </w:r>
            <w:r w:rsidRPr="002D242D">
              <w:rPr>
                <w:szCs w:val="22"/>
              </w:rPr>
              <w:t xml:space="preserve">mg denne. Ak dôjde </w:t>
            </w:r>
            <w:r w:rsidR="00A5282A">
              <w:rPr>
                <w:szCs w:val="22"/>
              </w:rPr>
              <w:t>k </w:t>
            </w:r>
            <w:r w:rsidRPr="002D242D">
              <w:rPr>
                <w:szCs w:val="22"/>
              </w:rPr>
              <w:t>opätovnému v</w:t>
            </w:r>
            <w:r w:rsidR="00A5282A">
              <w:rPr>
                <w:szCs w:val="22"/>
              </w:rPr>
              <w:t>ýskytu toxických reakcií stupňa </w:t>
            </w:r>
            <w:r w:rsidRPr="002D242D">
              <w:rPr>
                <w:szCs w:val="22"/>
              </w:rPr>
              <w:t>3, zvážte ukončenie liečby.</w:t>
            </w:r>
          </w:p>
        </w:tc>
      </w:tr>
      <w:tr w:rsidR="00957949" w:rsidRPr="002D242D" w14:paraId="64755AF4" w14:textId="77777777" w:rsidTr="002D242D">
        <w:tc>
          <w:tcPr>
            <w:tcW w:w="2127" w:type="dxa"/>
            <w:vMerge/>
            <w:shd w:val="clear" w:color="auto" w:fill="auto"/>
          </w:tcPr>
          <w:p w14:paraId="7411821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EB8B1F3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6E8FB26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19BB4427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40324B0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65B6F013" w14:textId="77777777" w:rsidTr="002D242D">
        <w:tc>
          <w:tcPr>
            <w:tcW w:w="2127" w:type="dxa"/>
            <w:vMerge w:val="restart"/>
            <w:shd w:val="clear" w:color="auto" w:fill="auto"/>
          </w:tcPr>
          <w:p w14:paraId="052F35CF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Metabolické príhody (napr. hyperglykémia, dyslipidémia) </w:t>
            </w:r>
          </w:p>
          <w:p w14:paraId="7F3000A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  <w:p w14:paraId="6F95877D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67BC69D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657F46C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ECB4703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Nie je potrebná úprava dávky.</w:t>
            </w:r>
          </w:p>
          <w:p w14:paraId="37702E8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1F0294B5" w14:textId="77777777" w:rsidTr="002D242D">
        <w:tc>
          <w:tcPr>
            <w:tcW w:w="2127" w:type="dxa"/>
            <w:vMerge/>
            <w:shd w:val="clear" w:color="auto" w:fill="auto"/>
          </w:tcPr>
          <w:p w14:paraId="3624F7B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340407C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12F6AB7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1C1BD217" w14:textId="77777777" w:rsidR="00957949" w:rsidRPr="002D242D" w:rsidRDefault="00556988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Dočasne prerušte dávkovanie.</w:t>
            </w:r>
          </w:p>
          <w:p w14:paraId="72576D2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Opätovn</w:t>
            </w:r>
            <w:r w:rsidR="000E6408" w:rsidRPr="002D242D">
              <w:rPr>
                <w:szCs w:val="22"/>
              </w:rPr>
              <w:t>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40B74976" w14:textId="77777777" w:rsidTr="002D242D">
        <w:tc>
          <w:tcPr>
            <w:tcW w:w="2127" w:type="dxa"/>
            <w:vMerge/>
            <w:shd w:val="clear" w:color="auto" w:fill="auto"/>
          </w:tcPr>
          <w:p w14:paraId="410FB8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31A4B35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72C3D91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E6C20F8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7539AD3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BDF34D7" w14:textId="77777777" w:rsidTr="002D242D">
        <w:tc>
          <w:tcPr>
            <w:tcW w:w="2127" w:type="dxa"/>
            <w:vMerge w:val="restart"/>
            <w:shd w:val="clear" w:color="auto" w:fill="auto"/>
          </w:tcPr>
          <w:p w14:paraId="528A011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Trombocytopénia </w:t>
            </w:r>
          </w:p>
          <w:p w14:paraId="1359C02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52D735A" w14:textId="19173A53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0E6408" w:rsidRPr="002D242D">
              <w:rPr>
                <w:sz w:val="22"/>
                <w:szCs w:val="22"/>
              </w:rPr>
              <w:t>2 (&lt; 75, ≥ </w:t>
            </w:r>
            <w:r w:rsidR="00957949" w:rsidRPr="002D242D">
              <w:rPr>
                <w:sz w:val="22"/>
                <w:szCs w:val="22"/>
              </w:rPr>
              <w:t xml:space="preserve">50 x 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6BAF461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E1FFC7A" w14:textId="08026262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</w:t>
            </w:r>
            <w:r w:rsidR="000E6408" w:rsidRPr="002D242D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1 (≥ 75 x 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Opätovne začnite liečbu rovnakou dávkou.</w:t>
            </w:r>
          </w:p>
          <w:p w14:paraId="6C25A95D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558D9E41" w14:textId="77777777" w:rsidTr="002D242D">
        <w:tc>
          <w:tcPr>
            <w:tcW w:w="2127" w:type="dxa"/>
            <w:vMerge/>
            <w:shd w:val="clear" w:color="auto" w:fill="auto"/>
          </w:tcPr>
          <w:p w14:paraId="3CFB173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7B65D3E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 a 4</w:t>
            </w:r>
          </w:p>
          <w:p w14:paraId="7A23D934" w14:textId="2CA07473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(&lt; </w:t>
            </w:r>
            <w:r w:rsidR="00957949" w:rsidRPr="002D242D">
              <w:rPr>
                <w:sz w:val="22"/>
                <w:szCs w:val="22"/>
              </w:rPr>
              <w:t>50</w:t>
            </w:r>
            <w:r w:rsidRPr="002D242D">
              <w:rPr>
                <w:sz w:val="22"/>
                <w:szCs w:val="22"/>
              </w:rPr>
              <w:t>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4C509D3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BAD4F61" w14:textId="77DD936C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2D242D">
              <w:rPr>
                <w:sz w:val="22"/>
                <w:szCs w:val="22"/>
              </w:rPr>
              <w:t>1 (≥ </w:t>
            </w:r>
            <w:r w:rsidRPr="002D242D">
              <w:rPr>
                <w:sz w:val="22"/>
                <w:szCs w:val="22"/>
              </w:rPr>
              <w:t>75</w:t>
            </w:r>
            <w:r w:rsidR="000E6408" w:rsidRPr="002D242D">
              <w:rPr>
                <w:sz w:val="22"/>
                <w:szCs w:val="22"/>
              </w:rPr>
              <w:t>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</w:t>
            </w:r>
            <w:r w:rsidR="000E6408" w:rsidRPr="002D242D">
              <w:rPr>
                <w:sz w:val="22"/>
                <w:szCs w:val="22"/>
              </w:rPr>
              <w:t>pätovne začnite liečbu dávkou 5 </w:t>
            </w:r>
            <w:r w:rsidRPr="002D242D">
              <w:rPr>
                <w:sz w:val="22"/>
                <w:szCs w:val="22"/>
              </w:rPr>
              <w:t>mg denne.</w:t>
            </w:r>
          </w:p>
          <w:p w14:paraId="52CB1FBE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B4E55F9" w14:textId="77777777" w:rsidTr="002D242D">
        <w:tc>
          <w:tcPr>
            <w:tcW w:w="2127" w:type="dxa"/>
            <w:vMerge w:val="restart"/>
            <w:shd w:val="clear" w:color="auto" w:fill="auto"/>
          </w:tcPr>
          <w:p w14:paraId="34FD0279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Neutropénia </w:t>
            </w:r>
          </w:p>
          <w:p w14:paraId="6954B42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jc w:val="center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18FE7A0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2 </w:t>
            </w:r>
          </w:p>
          <w:p w14:paraId="38B5CC74" w14:textId="26095CDA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(≥ 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317144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61522BFF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Nie je potrebná úprava dávky.</w:t>
            </w:r>
          </w:p>
          <w:p w14:paraId="286EBCD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7B7D829" w14:textId="77777777" w:rsidTr="002D242D">
        <w:tc>
          <w:tcPr>
            <w:tcW w:w="2127" w:type="dxa"/>
            <w:vMerge/>
            <w:shd w:val="clear" w:color="auto" w:fill="auto"/>
          </w:tcPr>
          <w:p w14:paraId="474506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E0BBD13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3 </w:t>
            </w:r>
          </w:p>
          <w:p w14:paraId="636166FB" w14:textId="23F17698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(&lt; 1, ≥ 0,5 </w:t>
            </w:r>
            <w:r w:rsidR="00957949" w:rsidRPr="002D242D">
              <w:rPr>
                <w:sz w:val="22"/>
                <w:szCs w:val="22"/>
              </w:rPr>
              <w:t>x</w:t>
            </w:r>
            <w:r w:rsidRPr="002D242D">
              <w:rPr>
                <w:sz w:val="22"/>
                <w:szCs w:val="22"/>
              </w:rPr>
              <w:t>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 xml:space="preserve">/l) </w:t>
            </w:r>
          </w:p>
          <w:p w14:paraId="2AB8864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404E6A8" w14:textId="446CB8B8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Dočasne prerušt</w:t>
            </w:r>
            <w:r w:rsidR="00A5282A">
              <w:rPr>
                <w:sz w:val="22"/>
                <w:szCs w:val="22"/>
              </w:rPr>
              <w:t>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 xml:space="preserve">≤ 2 </w:t>
            </w:r>
            <w:r w:rsidR="000E6408" w:rsidRPr="002D242D">
              <w:rPr>
                <w:sz w:val="22"/>
                <w:szCs w:val="22"/>
              </w:rPr>
              <w:t>(≥ 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Opätovne začnite liečbu rovnakou dávkou.</w:t>
            </w:r>
          </w:p>
          <w:p w14:paraId="4B1174BA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4C8D6CB0" w14:textId="77777777" w:rsidTr="002D242D">
        <w:tc>
          <w:tcPr>
            <w:tcW w:w="2127" w:type="dxa"/>
            <w:vMerge/>
            <w:shd w:val="clear" w:color="auto" w:fill="auto"/>
          </w:tcPr>
          <w:p w14:paraId="62EC9FDE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ABDF4F8" w14:textId="404ED0F9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0E6408" w:rsidRPr="002D242D">
              <w:rPr>
                <w:sz w:val="22"/>
                <w:szCs w:val="22"/>
              </w:rPr>
              <w:t>4 (&lt; 0,5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 xml:space="preserve">/l) </w:t>
            </w:r>
          </w:p>
          <w:p w14:paraId="546BA87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12A6C97" w14:textId="4E4EECA4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dávkovanie až do zotavenia na 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2D242D">
              <w:rPr>
                <w:sz w:val="22"/>
                <w:szCs w:val="22"/>
              </w:rPr>
              <w:t>2 (≥ 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</w:t>
            </w:r>
            <w:r w:rsidR="000E6408" w:rsidRPr="002D242D">
              <w:rPr>
                <w:sz w:val="22"/>
                <w:szCs w:val="22"/>
              </w:rPr>
              <w:t>pätovne začnite liečbu dávkou 5 </w:t>
            </w:r>
            <w:r w:rsidRPr="002D242D">
              <w:rPr>
                <w:sz w:val="22"/>
                <w:szCs w:val="22"/>
              </w:rPr>
              <w:t xml:space="preserve">mg denne. </w:t>
            </w:r>
          </w:p>
          <w:p w14:paraId="1394BFC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CC8E1CC" w14:textId="77777777" w:rsidTr="002D242D">
        <w:tc>
          <w:tcPr>
            <w:tcW w:w="2127" w:type="dxa"/>
            <w:shd w:val="clear" w:color="auto" w:fill="auto"/>
          </w:tcPr>
          <w:p w14:paraId="688F7566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lastRenderedPageBreak/>
              <w:t xml:space="preserve">Febrilná neutropénia </w:t>
            </w:r>
          </w:p>
          <w:p w14:paraId="6297C59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384DFAA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3 </w:t>
            </w:r>
          </w:p>
          <w:p w14:paraId="4B856F7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9125264" w14:textId="31F148C2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dávkovanie až do zotavenia na 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615DE1">
              <w:rPr>
                <w:rStyle w:val="Bodytext2"/>
                <w:sz w:val="22"/>
                <w:szCs w:val="22"/>
                <w:u w:val="none"/>
              </w:rPr>
              <w:t>≤ </w:t>
            </w:r>
            <w:r w:rsidRPr="002D242D">
              <w:rPr>
                <w:sz w:val="22"/>
                <w:szCs w:val="22"/>
              </w:rPr>
              <w:t xml:space="preserve">2 (≥ </w:t>
            </w:r>
            <w:r w:rsidR="000E6408" w:rsidRPr="002D242D">
              <w:rPr>
                <w:sz w:val="22"/>
                <w:szCs w:val="22"/>
              </w:rPr>
              <w:t> 1,25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A5282A">
              <w:rPr>
                <w:sz w:val="22"/>
                <w:szCs w:val="22"/>
              </w:rPr>
              <w:t>/l) a </w:t>
            </w:r>
            <w:r w:rsidR="00615DE1">
              <w:rPr>
                <w:sz w:val="22"/>
                <w:szCs w:val="22"/>
              </w:rPr>
              <w:t>vymiznutia</w:t>
            </w:r>
            <w:r w:rsidR="00A5282A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horúčky. </w:t>
            </w:r>
          </w:p>
          <w:p w14:paraId="2EEFB39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</w:t>
            </w:r>
            <w:r w:rsidR="000E6408" w:rsidRPr="002D242D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7776D249" w14:textId="77777777" w:rsidTr="002D242D">
        <w:tc>
          <w:tcPr>
            <w:tcW w:w="2127" w:type="dxa"/>
            <w:shd w:val="clear" w:color="auto" w:fill="auto"/>
          </w:tcPr>
          <w:p w14:paraId="018B2F5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3A318F5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3301436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2828D0B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Ukončite liečbu. </w:t>
            </w:r>
          </w:p>
          <w:p w14:paraId="7569D0A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2D2A856" w14:textId="77777777" w:rsidTr="002D242D">
        <w:trPr>
          <w:trHeight w:val="556"/>
        </w:trPr>
        <w:tc>
          <w:tcPr>
            <w:tcW w:w="9103" w:type="dxa"/>
            <w:gridSpan w:val="3"/>
            <w:shd w:val="clear" w:color="auto" w:fill="auto"/>
          </w:tcPr>
          <w:p w14:paraId="246E3421" w14:textId="10811418" w:rsidR="00957949" w:rsidRPr="002D242D" w:rsidRDefault="00957949" w:rsidP="000E6408">
            <w:pPr>
              <w:pStyle w:val="Default"/>
              <w:rPr>
                <w:szCs w:val="22"/>
                <w:u w:val="single"/>
              </w:rPr>
            </w:pPr>
            <w:r w:rsidRPr="003B1562">
              <w:rPr>
                <w:sz w:val="22"/>
                <w:szCs w:val="22"/>
                <w:vertAlign w:val="superscript"/>
              </w:rPr>
              <w:t>1</w:t>
            </w:r>
            <w:r w:rsidRPr="002D242D">
              <w:rPr>
                <w:sz w:val="14"/>
                <w:szCs w:val="14"/>
              </w:rPr>
              <w:t xml:space="preserve"> </w:t>
            </w:r>
            <w:r w:rsidRPr="002D242D">
              <w:rPr>
                <w:sz w:val="22"/>
                <w:szCs w:val="22"/>
              </w:rPr>
              <w:t>Stup</w:t>
            </w:r>
            <w:r w:rsidR="00615DE1">
              <w:rPr>
                <w:sz w:val="22"/>
                <w:szCs w:val="22"/>
              </w:rPr>
              <w:t>ne</w:t>
            </w:r>
            <w:r w:rsidRPr="002D242D">
              <w:rPr>
                <w:sz w:val="22"/>
                <w:szCs w:val="22"/>
              </w:rPr>
              <w:t xml:space="preserve"> podľa </w:t>
            </w:r>
            <w:r w:rsidR="00615DE1" w:rsidRPr="00615DE1">
              <w:rPr>
                <w:sz w:val="22"/>
                <w:szCs w:val="22"/>
              </w:rPr>
              <w:t xml:space="preserve">Všeobecných terminologických kritérií pre nežiaduce udalosti </w:t>
            </w:r>
            <w:r w:rsidRPr="002D242D">
              <w:rPr>
                <w:sz w:val="22"/>
                <w:szCs w:val="22"/>
              </w:rPr>
              <w:t xml:space="preserve">Národného inštitútu pre výskum rakoviny (National Cancer Institute </w:t>
            </w:r>
            <w:r w:rsidR="00A5282A">
              <w:rPr>
                <w:sz w:val="22"/>
                <w:szCs w:val="22"/>
              </w:rPr>
              <w:t>Common Terminology Criteria for </w:t>
            </w:r>
            <w:r w:rsidRPr="002D242D">
              <w:rPr>
                <w:sz w:val="22"/>
                <w:szCs w:val="22"/>
              </w:rPr>
              <w:t>Ad</w:t>
            </w:r>
            <w:r w:rsidR="00A5282A">
              <w:rPr>
                <w:sz w:val="22"/>
                <w:szCs w:val="22"/>
              </w:rPr>
              <w:t>verse Events, NCI CTCAE) verzia </w:t>
            </w:r>
            <w:r w:rsidRPr="002D242D">
              <w:rPr>
                <w:sz w:val="22"/>
                <w:szCs w:val="22"/>
              </w:rPr>
              <w:t>3</w:t>
            </w:r>
            <w:r w:rsidR="00615DE1">
              <w:rPr>
                <w:sz w:val="22"/>
                <w:szCs w:val="22"/>
              </w:rPr>
              <w:t>.0</w:t>
            </w:r>
            <w:r w:rsidRPr="002D242D">
              <w:rPr>
                <w:sz w:val="22"/>
                <w:szCs w:val="22"/>
              </w:rPr>
              <w:t xml:space="preserve"> </w:t>
            </w:r>
          </w:p>
        </w:tc>
      </w:tr>
    </w:tbl>
    <w:p w14:paraId="5690B69E" w14:textId="77777777" w:rsidR="00A9476F" w:rsidRDefault="00A9476F" w:rsidP="00AC320D">
      <w:pPr>
        <w:pStyle w:val="Default"/>
        <w:rPr>
          <w:iCs/>
          <w:sz w:val="22"/>
          <w:szCs w:val="22"/>
          <w:u w:val="single"/>
        </w:rPr>
      </w:pPr>
    </w:p>
    <w:p w14:paraId="08BAC144" w14:textId="77777777" w:rsidR="00AC320D" w:rsidRDefault="00AC320D" w:rsidP="00D37FBF">
      <w:pPr>
        <w:pStyle w:val="Default"/>
        <w:keepNext/>
        <w:rPr>
          <w:iCs/>
          <w:sz w:val="22"/>
          <w:szCs w:val="22"/>
          <w:u w:val="single"/>
        </w:rPr>
      </w:pPr>
      <w:r w:rsidRPr="00D37FBF">
        <w:rPr>
          <w:iCs/>
          <w:sz w:val="22"/>
          <w:szCs w:val="22"/>
          <w:u w:val="single"/>
        </w:rPr>
        <w:t>Osobitné skupiny</w:t>
      </w:r>
      <w:r w:rsidRPr="00AC320D">
        <w:rPr>
          <w:iCs/>
          <w:sz w:val="22"/>
          <w:szCs w:val="22"/>
          <w:u w:val="single"/>
        </w:rPr>
        <w:t xml:space="preserve"> </w:t>
      </w:r>
    </w:p>
    <w:p w14:paraId="7F94F676" w14:textId="77777777" w:rsidR="00AC320D" w:rsidRPr="00AC320D" w:rsidRDefault="00AC320D" w:rsidP="00D37FBF">
      <w:pPr>
        <w:pStyle w:val="Default"/>
        <w:keepNext/>
        <w:rPr>
          <w:sz w:val="22"/>
          <w:szCs w:val="22"/>
          <w:u w:val="single"/>
        </w:rPr>
      </w:pPr>
    </w:p>
    <w:p w14:paraId="10C005E1" w14:textId="77777777" w:rsidR="00AC320D" w:rsidRDefault="00AC320D" w:rsidP="00D37FB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Starší pacienti (≥ 65 rokov) </w:t>
      </w:r>
    </w:p>
    <w:p w14:paraId="31AE49B4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potrebn</w:t>
      </w:r>
      <w:r w:rsidR="0069420C">
        <w:rPr>
          <w:sz w:val="22"/>
          <w:szCs w:val="22"/>
        </w:rPr>
        <w:t>á úprava dávkovania (pozri časť </w:t>
      </w:r>
      <w:r w:rsidR="00C73325">
        <w:rPr>
          <w:sz w:val="22"/>
          <w:szCs w:val="22"/>
        </w:rPr>
        <w:t>5.2).</w:t>
      </w:r>
    </w:p>
    <w:p w14:paraId="064E4461" w14:textId="77777777" w:rsidR="00AC320D" w:rsidRDefault="00AC320D" w:rsidP="00AC320D">
      <w:pPr>
        <w:pStyle w:val="Default"/>
        <w:rPr>
          <w:sz w:val="22"/>
          <w:szCs w:val="22"/>
        </w:rPr>
      </w:pPr>
    </w:p>
    <w:p w14:paraId="03A1E361" w14:textId="77777777" w:rsidR="00AC320D" w:rsidRDefault="00AC320D" w:rsidP="00D37FB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obličiek </w:t>
      </w:r>
    </w:p>
    <w:p w14:paraId="749CC52B" w14:textId="77777777" w:rsidR="00AC320D" w:rsidRDefault="00AC320D" w:rsidP="00793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potrebná úprava dávkovania (pozri čas</w:t>
      </w:r>
      <w:r w:rsidR="00D37FBF">
        <w:rPr>
          <w:sz w:val="22"/>
          <w:szCs w:val="22"/>
        </w:rPr>
        <w:t>ť </w:t>
      </w:r>
      <w:r>
        <w:rPr>
          <w:sz w:val="22"/>
          <w:szCs w:val="22"/>
        </w:rPr>
        <w:t>5.2).</w:t>
      </w:r>
    </w:p>
    <w:p w14:paraId="3D450705" w14:textId="77777777" w:rsidR="00AC320D" w:rsidRDefault="00AC320D" w:rsidP="00AC320D">
      <w:pPr>
        <w:pStyle w:val="Default"/>
        <w:rPr>
          <w:sz w:val="22"/>
          <w:szCs w:val="22"/>
        </w:rPr>
      </w:pPr>
    </w:p>
    <w:p w14:paraId="1C2B2329" w14:textId="77777777" w:rsidR="00AC320D" w:rsidRDefault="00AC320D" w:rsidP="00D37FBF">
      <w:pPr>
        <w:pStyle w:val="Default"/>
        <w:keepNext/>
        <w:ind w:left="425" w:hanging="425"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pečene</w:t>
      </w:r>
    </w:p>
    <w:p w14:paraId="3DF0954A" w14:textId="77777777" w:rsidR="00AC320D" w:rsidRDefault="00AC320D" w:rsidP="00793F96">
      <w:pPr>
        <w:pStyle w:val="Default"/>
        <w:keepNext/>
        <w:numPr>
          <w:ilvl w:val="0"/>
          <w:numId w:val="13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Mierna</w:t>
      </w:r>
      <w:r w:rsidR="00D37FBF">
        <w:rPr>
          <w:sz w:val="22"/>
          <w:szCs w:val="22"/>
        </w:rPr>
        <w:t xml:space="preserve"> porucha funkcie pečene (trieda A podľa </w:t>
      </w:r>
      <w:r>
        <w:rPr>
          <w:sz w:val="22"/>
          <w:szCs w:val="22"/>
        </w:rPr>
        <w:t>Childa-Pugha) – odporúčaná dávka je 7,5 mg denne.</w:t>
      </w:r>
    </w:p>
    <w:p w14:paraId="519C16F7" w14:textId="77777777" w:rsidR="00AC320D" w:rsidRDefault="00AC320D" w:rsidP="00793F96">
      <w:pPr>
        <w:pStyle w:val="Default"/>
        <w:numPr>
          <w:ilvl w:val="0"/>
          <w:numId w:val="13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Stredne ťažká</w:t>
      </w:r>
      <w:r w:rsidR="00D37FBF">
        <w:rPr>
          <w:sz w:val="22"/>
          <w:szCs w:val="22"/>
        </w:rPr>
        <w:t xml:space="preserve"> porucha funkcie pečene (trieda </w:t>
      </w:r>
      <w:r>
        <w:rPr>
          <w:sz w:val="22"/>
          <w:szCs w:val="22"/>
        </w:rPr>
        <w:t>B podľa Childa-Pugha) – odporúčaná dávka je 5 mg denne.</w:t>
      </w:r>
    </w:p>
    <w:p w14:paraId="6C29EED3" w14:textId="77777777" w:rsidR="00AC320D" w:rsidRDefault="00AC320D" w:rsidP="00793F96">
      <w:pPr>
        <w:pStyle w:val="Default"/>
        <w:numPr>
          <w:ilvl w:val="0"/>
          <w:numId w:val="1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Ťažká porucha funkcie p</w:t>
      </w:r>
      <w:r w:rsidR="00D37FBF">
        <w:rPr>
          <w:sz w:val="22"/>
          <w:szCs w:val="22"/>
        </w:rPr>
        <w:t>ečene (trieda </w:t>
      </w:r>
      <w:r>
        <w:rPr>
          <w:sz w:val="22"/>
          <w:szCs w:val="22"/>
        </w:rPr>
        <w:t xml:space="preserve">C podľa Childa-Pugha) – </w:t>
      </w:r>
      <w:r w:rsidRPr="00DD5F73">
        <w:rPr>
          <w:sz w:val="22"/>
          <w:szCs w:val="22"/>
        </w:rPr>
        <w:t>Everolimus Mylan</w:t>
      </w:r>
      <w:r>
        <w:rPr>
          <w:sz w:val="22"/>
          <w:szCs w:val="22"/>
        </w:rPr>
        <w:t xml:space="preserve"> sa odporúča len vtedy, ak </w:t>
      </w:r>
      <w:r w:rsidR="00D37FBF">
        <w:rPr>
          <w:sz w:val="22"/>
          <w:szCs w:val="22"/>
        </w:rPr>
        <w:t>želaný prínos preváži riziko. V </w:t>
      </w:r>
      <w:r>
        <w:rPr>
          <w:sz w:val="22"/>
          <w:szCs w:val="22"/>
        </w:rPr>
        <w:t>takom prípade sa nesmi</w:t>
      </w:r>
      <w:r w:rsidR="00793F96">
        <w:rPr>
          <w:sz w:val="22"/>
          <w:szCs w:val="22"/>
        </w:rPr>
        <w:t>e prekročiť dávka 2,5 mg denne.</w:t>
      </w:r>
    </w:p>
    <w:p w14:paraId="1FBC007A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Dávka sa má upravovať, ak sa počas liečby mení stav pečene pacienta (podľa Childa-Pugha)</w:t>
      </w:r>
      <w:r w:rsidR="0069420C">
        <w:rPr>
          <w:sz w:val="22"/>
          <w:szCs w:val="22"/>
        </w:rPr>
        <w:t xml:space="preserve"> (pozri tiež časti </w:t>
      </w:r>
      <w:r>
        <w:rPr>
          <w:sz w:val="22"/>
          <w:szCs w:val="22"/>
        </w:rPr>
        <w:t>4.4 a 5.2).</w:t>
      </w:r>
    </w:p>
    <w:p w14:paraId="0A6B0A7C" w14:textId="77777777" w:rsidR="00AC320D" w:rsidRDefault="00AC320D" w:rsidP="00AC320D">
      <w:pPr>
        <w:pStyle w:val="Default"/>
        <w:rPr>
          <w:sz w:val="22"/>
          <w:szCs w:val="22"/>
        </w:rPr>
      </w:pPr>
    </w:p>
    <w:p w14:paraId="477DF96F" w14:textId="77777777" w:rsidR="00AC320D" w:rsidRDefault="00AC320D" w:rsidP="00D37FBF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Pediatrická populácia</w:t>
      </w:r>
    </w:p>
    <w:p w14:paraId="46D6EE9E" w14:textId="77777777" w:rsidR="00AC320D" w:rsidRDefault="00AC320D" w:rsidP="00793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Bezpečnosť a účinnosť </w:t>
      </w:r>
      <w:r w:rsidR="00D37FBF">
        <w:rPr>
          <w:sz w:val="22"/>
          <w:szCs w:val="22"/>
        </w:rPr>
        <w:t>Everolimu</w:t>
      </w:r>
      <w:r w:rsidRPr="00DD5F73">
        <w:rPr>
          <w:sz w:val="22"/>
          <w:szCs w:val="22"/>
        </w:rPr>
        <w:t xml:space="preserve"> Mylan</w:t>
      </w:r>
      <w:r w:rsidR="00D37FBF">
        <w:rPr>
          <w:color w:val="auto"/>
          <w:sz w:val="22"/>
          <w:szCs w:val="22"/>
        </w:rPr>
        <w:t xml:space="preserve"> u detí vo veku 0 až </w:t>
      </w:r>
      <w:r>
        <w:rPr>
          <w:color w:val="auto"/>
          <w:sz w:val="22"/>
          <w:szCs w:val="22"/>
        </w:rPr>
        <w:t>18 rokov neboli stanovené. K </w:t>
      </w:r>
      <w:r w:rsidR="00793F96">
        <w:rPr>
          <w:color w:val="auto"/>
          <w:sz w:val="22"/>
          <w:szCs w:val="22"/>
        </w:rPr>
        <w:t>dispozícii nie sú žiadne údaje.</w:t>
      </w:r>
    </w:p>
    <w:p w14:paraId="3E8CEE54" w14:textId="77777777" w:rsidR="00AC320D" w:rsidRDefault="00AC320D" w:rsidP="00AC320D">
      <w:pPr>
        <w:pStyle w:val="Default"/>
        <w:rPr>
          <w:color w:val="auto"/>
          <w:sz w:val="22"/>
          <w:szCs w:val="22"/>
        </w:rPr>
      </w:pPr>
    </w:p>
    <w:p w14:paraId="3F9FD891" w14:textId="77777777" w:rsidR="00AC320D" w:rsidRPr="00AC320D" w:rsidRDefault="00793F96" w:rsidP="00D37FBF">
      <w:pPr>
        <w:pStyle w:val="Default"/>
        <w:keepNext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Spôsob podávania</w:t>
      </w:r>
    </w:p>
    <w:p w14:paraId="72441A86" w14:textId="42EC997C" w:rsidR="00AC320D" w:rsidRDefault="00AC320D" w:rsidP="00793F96">
      <w:pPr>
        <w:ind w:left="0" w:firstLine="0"/>
        <w:rPr>
          <w:u w:val="single"/>
        </w:rPr>
      </w:pPr>
      <w:r w:rsidRPr="00793F96">
        <w:t>Everolimus Mylan sa m</w:t>
      </w:r>
      <w:r w:rsidR="00D37FBF" w:rsidRPr="00793F96">
        <w:t>á podávať perorálne raz denne v </w:t>
      </w:r>
      <w:r w:rsidRPr="00793F96">
        <w:t>rovnakom čase každý deň, vždy buď s</w:t>
      </w:r>
      <w:r w:rsidR="00D37FBF" w:rsidRPr="00793F96">
        <w:t> jedlom, alebo bez jedla (pozri časť </w:t>
      </w:r>
      <w:r w:rsidRPr="00793F96">
        <w:t>5.2). Tablety Everolimus Mylan sa majú prehĺtať celé a zapíjať</w:t>
      </w:r>
      <w:r>
        <w:t xml:space="preserve"> pohárom vody. Tablety sa nemajú hrýzť </w:t>
      </w:r>
      <w:r w:rsidR="00615DE1">
        <w:t>ani</w:t>
      </w:r>
      <w:r>
        <w:t xml:space="preserve"> drviť.</w:t>
      </w:r>
    </w:p>
    <w:p w14:paraId="39BA7D71" w14:textId="77777777" w:rsidR="00780926" w:rsidRPr="003021DE" w:rsidRDefault="00780926" w:rsidP="00793F96">
      <w:pPr>
        <w:pStyle w:val="Default"/>
        <w:rPr>
          <w:szCs w:val="22"/>
        </w:rPr>
      </w:pPr>
    </w:p>
    <w:p w14:paraId="426B2E25" w14:textId="77777777" w:rsidR="00780926" w:rsidRPr="003021DE" w:rsidRDefault="00780926" w:rsidP="00D37FBF">
      <w:pPr>
        <w:keepNext/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24D60FF8" w14:textId="77777777" w:rsidR="00780926" w:rsidRPr="003021DE" w:rsidRDefault="00780926" w:rsidP="00D37FBF">
      <w:pPr>
        <w:keepNext/>
        <w:rPr>
          <w:szCs w:val="22"/>
        </w:rPr>
      </w:pPr>
    </w:p>
    <w:p w14:paraId="432F5E5B" w14:textId="77777777" w:rsidR="00780926" w:rsidRPr="00793F96" w:rsidRDefault="00D37FBF" w:rsidP="00793F96">
      <w:pPr>
        <w:ind w:left="0" w:firstLine="0"/>
      </w:pPr>
      <w:r w:rsidRPr="00793F96">
        <w:t>Precitlivenosť </w:t>
      </w:r>
      <w:r w:rsidR="00780926" w:rsidRPr="00793F96">
        <w:t>na liečivo</w:t>
      </w:r>
      <w:r w:rsidRPr="00793F96">
        <w:t>, na </w:t>
      </w:r>
      <w:r w:rsidR="00AC320D" w:rsidRPr="00793F96">
        <w:t>iné deriváty rapamycínu</w:t>
      </w:r>
      <w:r w:rsidRPr="00793F96">
        <w:t xml:space="preserve"> alebo na </w:t>
      </w:r>
      <w:r w:rsidR="00780926" w:rsidRPr="00793F96">
        <w:t>ktorúkoľvek</w:t>
      </w:r>
      <w:r w:rsidRPr="00793F96">
        <w:t xml:space="preserve"> z </w:t>
      </w:r>
      <w:r w:rsidR="00793F96">
        <w:t xml:space="preserve">pomocných látok </w:t>
      </w:r>
      <w:r w:rsidRPr="00793F96">
        <w:t>uvedených v časti </w:t>
      </w:r>
      <w:r w:rsidR="001B73FD" w:rsidRPr="00793F96">
        <w:t>6.1.</w:t>
      </w:r>
    </w:p>
    <w:p w14:paraId="0B43AAEB" w14:textId="77777777" w:rsidR="00AC320D" w:rsidRPr="00793F96" w:rsidRDefault="00AC320D" w:rsidP="00793F96">
      <w:pPr>
        <w:pStyle w:val="Default"/>
        <w:rPr>
          <w:color w:val="auto"/>
          <w:sz w:val="22"/>
          <w:szCs w:val="22"/>
        </w:rPr>
      </w:pPr>
    </w:p>
    <w:p w14:paraId="3E00B564" w14:textId="77777777" w:rsidR="00780926" w:rsidRPr="00B13F68" w:rsidRDefault="00780926" w:rsidP="00D37FBF">
      <w:pPr>
        <w:keepNext/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</w:t>
      </w:r>
      <w:r w:rsidR="00D37FBF">
        <w:rPr>
          <w:b/>
          <w:szCs w:val="22"/>
        </w:rPr>
        <w:t>tné upozornenia a opatrenia pri </w:t>
      </w:r>
      <w:r w:rsidRPr="00B13F68">
        <w:rPr>
          <w:b/>
          <w:szCs w:val="22"/>
        </w:rPr>
        <w:t>používaní</w:t>
      </w:r>
    </w:p>
    <w:p w14:paraId="3C3B83C3" w14:textId="77777777" w:rsidR="00AC320D" w:rsidRDefault="00AC320D" w:rsidP="00D37FBF">
      <w:pPr>
        <w:pStyle w:val="Default"/>
        <w:keepNext/>
        <w:rPr>
          <w:sz w:val="22"/>
          <w:szCs w:val="22"/>
        </w:rPr>
      </w:pPr>
    </w:p>
    <w:p w14:paraId="523A9FCA" w14:textId="77777777" w:rsidR="00AC320D" w:rsidRPr="00AC320D" w:rsidRDefault="00556988" w:rsidP="00D37FB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Neinfekčná pneumonitída</w:t>
      </w:r>
    </w:p>
    <w:p w14:paraId="2E10DAF5" w14:textId="016FF894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Neinfekčná pneumonitída je účinok triedy derivátov rapamycínu vrátane everolimu. Neinfekčná pneumonitída (vrátane intersticiálnej choroby</w:t>
      </w:r>
      <w:r w:rsidR="00D37FBF">
        <w:rPr>
          <w:sz w:val="22"/>
          <w:szCs w:val="22"/>
        </w:rPr>
        <w:t xml:space="preserve"> pľúc) bola </w:t>
      </w:r>
      <w:r w:rsidR="00615DE1">
        <w:rPr>
          <w:sz w:val="22"/>
          <w:szCs w:val="22"/>
        </w:rPr>
        <w:t>často</w:t>
      </w:r>
      <w:r w:rsidR="00D37FBF">
        <w:rPr>
          <w:sz w:val="22"/>
          <w:szCs w:val="22"/>
        </w:rPr>
        <w:t xml:space="preserve"> hlásená u </w:t>
      </w:r>
      <w:r>
        <w:rPr>
          <w:sz w:val="22"/>
          <w:szCs w:val="22"/>
        </w:rPr>
        <w:t xml:space="preserve">pacientov užívajúcich </w:t>
      </w:r>
      <w:r w:rsidRPr="00DD5F73">
        <w:rPr>
          <w:sz w:val="22"/>
          <w:szCs w:val="22"/>
        </w:rPr>
        <w:t>Everolimus Mylan</w:t>
      </w:r>
      <w:r w:rsidR="0069420C">
        <w:rPr>
          <w:sz w:val="22"/>
          <w:szCs w:val="22"/>
        </w:rPr>
        <w:t xml:space="preserve"> (pozri časť </w:t>
      </w:r>
      <w:r>
        <w:rPr>
          <w:sz w:val="22"/>
          <w:szCs w:val="22"/>
        </w:rPr>
        <w:t>4.8). Niektoré prípady boli závažné a zriedkavo sa pozorovalo, že sa skončili fatálne. Diagnóza neinfekč</w:t>
      </w:r>
      <w:r w:rsidR="0069420C">
        <w:rPr>
          <w:sz w:val="22"/>
          <w:szCs w:val="22"/>
        </w:rPr>
        <w:t>nej pneumonitídy sa má vziať do úvahy u </w:t>
      </w:r>
      <w:r>
        <w:rPr>
          <w:sz w:val="22"/>
          <w:szCs w:val="22"/>
        </w:rPr>
        <w:t>paci</w:t>
      </w:r>
      <w:r w:rsidR="00D37FBF">
        <w:rPr>
          <w:sz w:val="22"/>
          <w:szCs w:val="22"/>
        </w:rPr>
        <w:t xml:space="preserve">entov, </w:t>
      </w:r>
      <w:r w:rsidR="0069420C">
        <w:rPr>
          <w:sz w:val="22"/>
          <w:szCs w:val="22"/>
        </w:rPr>
        <w:t>u </w:t>
      </w:r>
      <w:r>
        <w:rPr>
          <w:sz w:val="22"/>
          <w:szCs w:val="22"/>
        </w:rPr>
        <w:t>ktorých sa objavia nešpecifické respi</w:t>
      </w:r>
      <w:r w:rsidR="00D37FBF">
        <w:rPr>
          <w:sz w:val="22"/>
          <w:szCs w:val="22"/>
        </w:rPr>
        <w:t xml:space="preserve">račné príznaky a prejavy, napr. </w:t>
      </w:r>
      <w:r>
        <w:rPr>
          <w:sz w:val="22"/>
          <w:szCs w:val="22"/>
        </w:rPr>
        <w:t>hypoxia, pleurálny vý</w:t>
      </w:r>
      <w:r w:rsidR="00D37FBF">
        <w:rPr>
          <w:sz w:val="22"/>
          <w:szCs w:val="22"/>
        </w:rPr>
        <w:t>potok, kašeľ alebo dyspnoe, a u </w:t>
      </w:r>
      <w:r>
        <w:rPr>
          <w:sz w:val="22"/>
          <w:szCs w:val="22"/>
        </w:rPr>
        <w:t>ktorých sa príslušnými vyšetreniami vylúčili infekčné, neoplastické aleb</w:t>
      </w:r>
      <w:r w:rsidR="00D37FBF">
        <w:rPr>
          <w:sz w:val="22"/>
          <w:szCs w:val="22"/>
        </w:rPr>
        <w:t>o iné nemedicínske príčiny. Pri </w:t>
      </w:r>
      <w:r>
        <w:rPr>
          <w:sz w:val="22"/>
          <w:szCs w:val="22"/>
        </w:rPr>
        <w:t xml:space="preserve">diferenciálnej diagnostike neinfekčnej pneumonitídy sa majú vylúčiť oportúnne infekcie ako pneumónia spôsobená </w:t>
      </w:r>
      <w:r w:rsidR="00615DE1" w:rsidRPr="003B1562">
        <w:rPr>
          <w:i/>
          <w:sz w:val="22"/>
          <w:szCs w:val="22"/>
        </w:rPr>
        <w:t>P</w:t>
      </w:r>
      <w:r w:rsidRPr="003B1562">
        <w:rPr>
          <w:i/>
          <w:sz w:val="22"/>
          <w:szCs w:val="22"/>
        </w:rPr>
        <w:t>neumocystis jirovecii</w:t>
      </w:r>
      <w:r>
        <w:rPr>
          <w:sz w:val="22"/>
          <w:szCs w:val="22"/>
        </w:rPr>
        <w:t xml:space="preserve"> (</w:t>
      </w:r>
      <w:r w:rsidR="00615DE1" w:rsidRPr="003B1562">
        <w:rPr>
          <w:i/>
          <w:sz w:val="22"/>
          <w:szCs w:val="22"/>
        </w:rPr>
        <w:t xml:space="preserve">Pneumocystis </w:t>
      </w:r>
      <w:r w:rsidRPr="003B1562">
        <w:rPr>
          <w:i/>
          <w:sz w:val="22"/>
          <w:szCs w:val="22"/>
        </w:rPr>
        <w:t>carinii</w:t>
      </w:r>
      <w:r>
        <w:rPr>
          <w:sz w:val="22"/>
          <w:szCs w:val="22"/>
        </w:rPr>
        <w:t>) (PJP, PCP) (pozri „Infekcie“ nižšie). Pacientov je potrebné upozorniť, aby ihneď hlásili akékoľvek nové alebo zho</w:t>
      </w:r>
      <w:r w:rsidR="00556988">
        <w:rPr>
          <w:sz w:val="22"/>
          <w:szCs w:val="22"/>
        </w:rPr>
        <w:t>ršujúce sa respiračné symptómy.</w:t>
      </w:r>
    </w:p>
    <w:p w14:paraId="57ACA2EC" w14:textId="77777777" w:rsidR="008944CD" w:rsidRDefault="008944CD" w:rsidP="00AC320D">
      <w:pPr>
        <w:pStyle w:val="Default"/>
        <w:rPr>
          <w:sz w:val="22"/>
          <w:szCs w:val="22"/>
        </w:rPr>
      </w:pPr>
    </w:p>
    <w:p w14:paraId="14F3213D" w14:textId="77777777" w:rsidR="00AC320D" w:rsidRDefault="00D37FBF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Pacienti, u </w:t>
      </w:r>
      <w:r w:rsidR="00AC320D">
        <w:rPr>
          <w:sz w:val="22"/>
          <w:szCs w:val="22"/>
        </w:rPr>
        <w:t>ktorých nastanú rá</w:t>
      </w:r>
      <w:r>
        <w:rPr>
          <w:sz w:val="22"/>
          <w:szCs w:val="22"/>
        </w:rPr>
        <w:t>diologické zmeny poukazujúce na </w:t>
      </w:r>
      <w:r w:rsidR="00AC320D">
        <w:rPr>
          <w:sz w:val="22"/>
          <w:szCs w:val="22"/>
        </w:rPr>
        <w:t>neinfekčnú pneumonitídu a majú len málo symptómov alebo nemajú žiadne symptómy, môžu</w:t>
      </w:r>
      <w:r w:rsidR="0069420C">
        <w:rPr>
          <w:sz w:val="22"/>
          <w:szCs w:val="22"/>
        </w:rPr>
        <w:t xml:space="preserve"> naďalej dostávať liečbu Everolimom</w:t>
      </w:r>
      <w:r w:rsidR="00AC320D" w:rsidRPr="00DD5F73">
        <w:rPr>
          <w:sz w:val="22"/>
          <w:szCs w:val="22"/>
        </w:rPr>
        <w:t xml:space="preserve"> Mylan</w:t>
      </w:r>
      <w:r>
        <w:rPr>
          <w:sz w:val="22"/>
          <w:szCs w:val="22"/>
        </w:rPr>
        <w:t xml:space="preserve"> bez </w:t>
      </w:r>
      <w:r w:rsidR="00AC320D">
        <w:rPr>
          <w:sz w:val="22"/>
          <w:szCs w:val="22"/>
        </w:rPr>
        <w:t>úpravy dávkovania. Ak sú symptómy stredne z</w:t>
      </w:r>
      <w:r>
        <w:rPr>
          <w:sz w:val="22"/>
          <w:szCs w:val="22"/>
        </w:rPr>
        <w:t xml:space="preserve">ávažné </w:t>
      </w:r>
      <w:r w:rsidR="0069420C">
        <w:rPr>
          <w:sz w:val="22"/>
          <w:szCs w:val="22"/>
        </w:rPr>
        <w:t>(stupeň </w:t>
      </w:r>
      <w:r>
        <w:rPr>
          <w:sz w:val="22"/>
          <w:szCs w:val="22"/>
        </w:rPr>
        <w:t>2) alebo závažné (stupeň </w:t>
      </w:r>
      <w:r w:rsidR="00AC320D">
        <w:rPr>
          <w:sz w:val="22"/>
          <w:szCs w:val="22"/>
        </w:rPr>
        <w:t>3), môže byť indikované p</w:t>
      </w:r>
      <w:r>
        <w:rPr>
          <w:sz w:val="22"/>
          <w:szCs w:val="22"/>
        </w:rPr>
        <w:t>odávanie kortikosteroidov až do </w:t>
      </w:r>
      <w:r w:rsidR="00556988">
        <w:rPr>
          <w:sz w:val="22"/>
          <w:szCs w:val="22"/>
        </w:rPr>
        <w:t xml:space="preserve">ústupu </w:t>
      </w:r>
      <w:r w:rsidR="00615DE1">
        <w:rPr>
          <w:sz w:val="22"/>
          <w:szCs w:val="22"/>
        </w:rPr>
        <w:t xml:space="preserve">klinických </w:t>
      </w:r>
      <w:r w:rsidR="00556988">
        <w:rPr>
          <w:sz w:val="22"/>
          <w:szCs w:val="22"/>
        </w:rPr>
        <w:t>symptómov.</w:t>
      </w:r>
    </w:p>
    <w:p w14:paraId="4E4ECB0B" w14:textId="77777777" w:rsidR="008944CD" w:rsidRDefault="008944CD" w:rsidP="00AC320D">
      <w:pPr>
        <w:pStyle w:val="Default"/>
        <w:rPr>
          <w:sz w:val="22"/>
          <w:szCs w:val="22"/>
        </w:rPr>
      </w:pPr>
    </w:p>
    <w:p w14:paraId="3FD05371" w14:textId="3F9FF5B8" w:rsidR="00780926" w:rsidRDefault="0069420C" w:rsidP="00AC320D">
      <w:pPr>
        <w:ind w:left="0" w:firstLine="0"/>
        <w:rPr>
          <w:szCs w:val="22"/>
        </w:rPr>
      </w:pPr>
      <w:r>
        <w:rPr>
          <w:szCs w:val="22"/>
        </w:rPr>
        <w:t>U pacientov s </w:t>
      </w:r>
      <w:r w:rsidR="00AC320D">
        <w:rPr>
          <w:szCs w:val="22"/>
        </w:rPr>
        <w:t xml:space="preserve">neinfekčnou pneumonitídou, ktorých je potrebné liečiť kortikosteroidmi, je vhodné zvážiť profylaxiu pneumónie spôsobenej </w:t>
      </w:r>
      <w:r w:rsidR="00615DE1">
        <w:rPr>
          <w:i/>
          <w:szCs w:val="22"/>
        </w:rPr>
        <w:t>P</w:t>
      </w:r>
      <w:r w:rsidR="00AC320D" w:rsidRPr="003B1562">
        <w:rPr>
          <w:i/>
          <w:szCs w:val="22"/>
        </w:rPr>
        <w:t>neumocystis jirovecii</w:t>
      </w:r>
      <w:r w:rsidR="00AC320D">
        <w:rPr>
          <w:szCs w:val="22"/>
        </w:rPr>
        <w:t xml:space="preserve"> (</w:t>
      </w:r>
      <w:r w:rsidR="00615DE1">
        <w:rPr>
          <w:i/>
          <w:szCs w:val="22"/>
        </w:rPr>
        <w:t>P</w:t>
      </w:r>
      <w:r w:rsidR="00615DE1" w:rsidRPr="00F2359B">
        <w:rPr>
          <w:i/>
          <w:szCs w:val="22"/>
        </w:rPr>
        <w:t>neumocystis</w:t>
      </w:r>
      <w:r w:rsidR="00615DE1">
        <w:rPr>
          <w:szCs w:val="22"/>
        </w:rPr>
        <w:t xml:space="preserve"> </w:t>
      </w:r>
      <w:r w:rsidR="00AC320D" w:rsidRPr="003B1562">
        <w:rPr>
          <w:i/>
          <w:szCs w:val="22"/>
        </w:rPr>
        <w:t>carinii</w:t>
      </w:r>
      <w:r w:rsidR="00AC320D">
        <w:rPr>
          <w:szCs w:val="22"/>
        </w:rPr>
        <w:t>) (PJP, PCP).</w:t>
      </w:r>
    </w:p>
    <w:p w14:paraId="361DE5DA" w14:textId="77777777" w:rsidR="00AC320D" w:rsidRDefault="00AC320D" w:rsidP="00AC320D">
      <w:pPr>
        <w:rPr>
          <w:szCs w:val="22"/>
        </w:rPr>
      </w:pPr>
    </w:p>
    <w:p w14:paraId="3407A0D5" w14:textId="77777777" w:rsidR="00AC320D" w:rsidRPr="00AC320D" w:rsidRDefault="00556988" w:rsidP="008944CD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Infekcie</w:t>
      </w:r>
    </w:p>
    <w:p w14:paraId="23B1CD8B" w14:textId="4BD49C92" w:rsidR="00AC320D" w:rsidRDefault="00AC320D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má imunosupresívne vlastnosti a môže u pac</w:t>
      </w:r>
      <w:r w:rsidR="00D37FBF">
        <w:rPr>
          <w:sz w:val="22"/>
          <w:szCs w:val="22"/>
        </w:rPr>
        <w:t>ientov vyvolať predispozíciu na </w:t>
      </w:r>
      <w:r>
        <w:rPr>
          <w:sz w:val="22"/>
          <w:szCs w:val="22"/>
        </w:rPr>
        <w:t>bakteriálne, hubové, vírusové alebo protozoálne infekcie vrátane infekcií op</w:t>
      </w:r>
      <w:r w:rsidR="00D37FBF">
        <w:rPr>
          <w:sz w:val="22"/>
          <w:szCs w:val="22"/>
        </w:rPr>
        <w:t>ortúnnym</w:t>
      </w:r>
      <w:r w:rsidR="0069420C">
        <w:rPr>
          <w:sz w:val="22"/>
          <w:szCs w:val="22"/>
        </w:rPr>
        <w:t>i patogénmi (pozri časť 4.8). U </w:t>
      </w:r>
      <w:r>
        <w:rPr>
          <w:sz w:val="22"/>
          <w:szCs w:val="22"/>
        </w:rPr>
        <w:t xml:space="preserve">pacientov užívajúcich </w:t>
      </w:r>
      <w:r w:rsidR="00615DE1">
        <w:rPr>
          <w:sz w:val="22"/>
          <w:szCs w:val="22"/>
        </w:rPr>
        <w:t>e</w:t>
      </w:r>
      <w:r w:rsidR="008944CD" w:rsidRPr="00DD5F73">
        <w:rPr>
          <w:sz w:val="22"/>
          <w:szCs w:val="22"/>
        </w:rPr>
        <w:t>verolimus</w:t>
      </w:r>
      <w:r>
        <w:rPr>
          <w:sz w:val="22"/>
          <w:szCs w:val="22"/>
        </w:rPr>
        <w:t xml:space="preserve"> boli opísané lokalizované a systémové infekcie vrátane pneumónie, iné bakteriálne infekcie, i</w:t>
      </w:r>
      <w:r w:rsidR="0069420C">
        <w:rPr>
          <w:sz w:val="22"/>
          <w:szCs w:val="22"/>
        </w:rPr>
        <w:t>nvazívne hubové infekcie, napr. </w:t>
      </w:r>
      <w:r>
        <w:rPr>
          <w:sz w:val="22"/>
          <w:szCs w:val="22"/>
        </w:rPr>
        <w:t xml:space="preserve">aspergilóza, kandidóza alebo pneumónia spôsobená </w:t>
      </w:r>
      <w:r w:rsidR="00615DE1">
        <w:rPr>
          <w:i/>
          <w:sz w:val="22"/>
          <w:szCs w:val="22"/>
        </w:rPr>
        <w:t>P</w:t>
      </w:r>
      <w:r w:rsidRPr="003B1562">
        <w:rPr>
          <w:i/>
          <w:sz w:val="22"/>
          <w:szCs w:val="22"/>
        </w:rPr>
        <w:t>neumocystis jirovecii</w:t>
      </w:r>
      <w:r>
        <w:rPr>
          <w:sz w:val="22"/>
          <w:szCs w:val="22"/>
        </w:rPr>
        <w:t xml:space="preserve"> (</w:t>
      </w:r>
      <w:r w:rsidR="00615DE1">
        <w:rPr>
          <w:i/>
          <w:sz w:val="22"/>
          <w:szCs w:val="22"/>
        </w:rPr>
        <w:t>P</w:t>
      </w:r>
      <w:r w:rsidR="00615DE1" w:rsidRPr="00F2359B">
        <w:rPr>
          <w:i/>
          <w:sz w:val="22"/>
          <w:szCs w:val="22"/>
        </w:rPr>
        <w:t>neumocystis</w:t>
      </w:r>
      <w:r w:rsidR="00615DE1">
        <w:rPr>
          <w:sz w:val="22"/>
          <w:szCs w:val="22"/>
        </w:rPr>
        <w:t xml:space="preserve"> </w:t>
      </w:r>
      <w:r w:rsidRPr="003B1562">
        <w:rPr>
          <w:i/>
          <w:sz w:val="22"/>
          <w:szCs w:val="22"/>
        </w:rPr>
        <w:t>carinii</w:t>
      </w:r>
      <w:r>
        <w:rPr>
          <w:sz w:val="22"/>
          <w:szCs w:val="22"/>
        </w:rPr>
        <w:t>) (PJP, PCP) a vírusové infekcie vrátan</w:t>
      </w:r>
      <w:r w:rsidR="00D37FBF">
        <w:rPr>
          <w:sz w:val="22"/>
          <w:szCs w:val="22"/>
        </w:rPr>
        <w:t>e reaktivácie vírusu hepatitídy B. Niektoré z </w:t>
      </w:r>
      <w:r>
        <w:rPr>
          <w:sz w:val="22"/>
          <w:szCs w:val="22"/>
        </w:rPr>
        <w:t>týchto infekčný</w:t>
      </w:r>
      <w:r w:rsidR="00D37FBF">
        <w:rPr>
          <w:sz w:val="22"/>
          <w:szCs w:val="22"/>
        </w:rPr>
        <w:t>ch ochorení boli závažné (napr. </w:t>
      </w:r>
      <w:r>
        <w:rPr>
          <w:sz w:val="22"/>
          <w:szCs w:val="22"/>
        </w:rPr>
        <w:t>viedli k</w:t>
      </w:r>
      <w:r w:rsidR="00D37FBF">
        <w:rPr>
          <w:sz w:val="22"/>
          <w:szCs w:val="22"/>
        </w:rPr>
        <w:t> </w:t>
      </w:r>
      <w:r>
        <w:rPr>
          <w:sz w:val="22"/>
          <w:szCs w:val="22"/>
        </w:rPr>
        <w:t>sepse, zlyhaniu dýchania alebo pečene) a prí</w:t>
      </w:r>
      <w:r w:rsidR="00556988">
        <w:rPr>
          <w:sz w:val="22"/>
          <w:szCs w:val="22"/>
        </w:rPr>
        <w:t>ležitostne sa skončili fatálne.</w:t>
      </w:r>
    </w:p>
    <w:p w14:paraId="77270FE1" w14:textId="77777777" w:rsidR="008944CD" w:rsidRDefault="008944CD" w:rsidP="00556988">
      <w:pPr>
        <w:pStyle w:val="Default"/>
        <w:rPr>
          <w:sz w:val="22"/>
          <w:szCs w:val="22"/>
        </w:rPr>
      </w:pPr>
    </w:p>
    <w:p w14:paraId="30992865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Lekári aj pacienti si majú byť vedomí zvýšeného rizi</w:t>
      </w:r>
      <w:r w:rsidR="00D37FBF">
        <w:rPr>
          <w:sz w:val="22"/>
          <w:szCs w:val="22"/>
        </w:rPr>
        <w:t>ka infekcie pri </w:t>
      </w:r>
      <w:r>
        <w:rPr>
          <w:sz w:val="22"/>
          <w:szCs w:val="22"/>
        </w:rPr>
        <w:t xml:space="preserve">užívaní </w:t>
      </w:r>
      <w:r w:rsidR="00D37FBF">
        <w:rPr>
          <w:sz w:val="22"/>
          <w:szCs w:val="22"/>
        </w:rPr>
        <w:t>Everolimu</w:t>
      </w:r>
      <w:r w:rsidR="008944CD" w:rsidRPr="00DD5F73">
        <w:rPr>
          <w:sz w:val="22"/>
          <w:szCs w:val="22"/>
        </w:rPr>
        <w:t xml:space="preserve"> Mylan</w:t>
      </w:r>
      <w:r>
        <w:rPr>
          <w:sz w:val="22"/>
          <w:szCs w:val="22"/>
        </w:rPr>
        <w:t>. Už existujúce infekčné ochorenia sa majú primerane li</w:t>
      </w:r>
      <w:r w:rsidR="00D37FBF">
        <w:rPr>
          <w:sz w:val="22"/>
          <w:szCs w:val="22"/>
        </w:rPr>
        <w:t>ečiť a majú úplne vymiznúť pred </w:t>
      </w:r>
      <w:r>
        <w:rPr>
          <w:sz w:val="22"/>
          <w:szCs w:val="22"/>
        </w:rPr>
        <w:t xml:space="preserve">začatím liečby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D37FBF">
        <w:rPr>
          <w:sz w:val="22"/>
          <w:szCs w:val="22"/>
        </w:rPr>
        <w:t>. Počas užívania</w:t>
      </w:r>
      <w:r w:rsidR="008944CD">
        <w:rPr>
          <w:sz w:val="22"/>
          <w:szCs w:val="22"/>
        </w:rPr>
        <w:t xml:space="preserve"> </w:t>
      </w:r>
      <w:r w:rsidR="00D37FBF">
        <w:rPr>
          <w:sz w:val="22"/>
          <w:szCs w:val="22"/>
        </w:rPr>
        <w:t>Everolimu</w:t>
      </w:r>
      <w:r w:rsidR="008944CD" w:rsidRPr="00DD5F73">
        <w:rPr>
          <w:sz w:val="22"/>
          <w:szCs w:val="22"/>
        </w:rPr>
        <w:t xml:space="preserve"> Mylan</w:t>
      </w:r>
      <w:r w:rsidR="00D37FBF">
        <w:rPr>
          <w:sz w:val="22"/>
          <w:szCs w:val="22"/>
        </w:rPr>
        <w:t xml:space="preserve"> je potrebné dávať pozor na </w:t>
      </w:r>
      <w:r>
        <w:rPr>
          <w:sz w:val="22"/>
          <w:szCs w:val="22"/>
        </w:rPr>
        <w:t>príznaky a prejavy infekcie; ak sa diagnostikuje infekcia, má sa ihneď začať náležitá liečba a má sa zvážiť pr</w:t>
      </w:r>
      <w:r w:rsidR="00D37FBF">
        <w:rPr>
          <w:sz w:val="22"/>
          <w:szCs w:val="22"/>
        </w:rPr>
        <w:t>erušenie alebo ukončenie liečby</w:t>
      </w:r>
      <w:r w:rsidR="008944CD">
        <w:rPr>
          <w:sz w:val="22"/>
          <w:szCs w:val="22"/>
        </w:rPr>
        <w:t xml:space="preserve">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556988">
        <w:rPr>
          <w:sz w:val="22"/>
          <w:szCs w:val="22"/>
        </w:rPr>
        <w:t>.</w:t>
      </w:r>
    </w:p>
    <w:p w14:paraId="7EAF75B1" w14:textId="77777777" w:rsidR="008944CD" w:rsidRDefault="008944CD" w:rsidP="00AC320D">
      <w:pPr>
        <w:pStyle w:val="Default"/>
        <w:rPr>
          <w:sz w:val="22"/>
          <w:szCs w:val="22"/>
        </w:rPr>
      </w:pPr>
    </w:p>
    <w:p w14:paraId="2C4300B0" w14:textId="36875B1E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diagnostikuje invazívna systémová hubová infekcia, liečba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8944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má ihneď a natrvalo ukončiť a pacient má dostať primeranú </w:t>
      </w:r>
      <w:r w:rsidR="00843038">
        <w:rPr>
          <w:sz w:val="22"/>
          <w:szCs w:val="22"/>
        </w:rPr>
        <w:t>antimykotickú</w:t>
      </w:r>
      <w:r>
        <w:rPr>
          <w:sz w:val="22"/>
          <w:szCs w:val="22"/>
        </w:rPr>
        <w:t xml:space="preserve"> liečbu.</w:t>
      </w:r>
    </w:p>
    <w:p w14:paraId="217E1D4E" w14:textId="77777777" w:rsidR="008944CD" w:rsidRDefault="008944CD" w:rsidP="00AC320D">
      <w:pPr>
        <w:pStyle w:val="Default"/>
        <w:rPr>
          <w:sz w:val="22"/>
          <w:szCs w:val="22"/>
        </w:rPr>
      </w:pPr>
    </w:p>
    <w:p w14:paraId="7E370A1B" w14:textId="00D7D62B" w:rsidR="00AC320D" w:rsidRDefault="0069420C" w:rsidP="008944CD">
      <w:pPr>
        <w:ind w:left="0" w:firstLine="0"/>
        <w:rPr>
          <w:szCs w:val="22"/>
        </w:rPr>
      </w:pPr>
      <w:r>
        <w:rPr>
          <w:szCs w:val="22"/>
        </w:rPr>
        <w:t>U </w:t>
      </w:r>
      <w:r w:rsidR="00AC320D">
        <w:rPr>
          <w:szCs w:val="22"/>
        </w:rPr>
        <w:t xml:space="preserve">pacientov užívajúcich everolimus sa zaznamenali prípady pneumónie spôsobenej </w:t>
      </w:r>
      <w:r w:rsidR="00843038" w:rsidRPr="003B1562">
        <w:rPr>
          <w:i/>
          <w:szCs w:val="22"/>
        </w:rPr>
        <w:t>P</w:t>
      </w:r>
      <w:r w:rsidR="00AC320D" w:rsidRPr="003B1562">
        <w:rPr>
          <w:i/>
          <w:szCs w:val="22"/>
        </w:rPr>
        <w:t>neumocystis jirovecii</w:t>
      </w:r>
      <w:r w:rsidR="00AC320D">
        <w:rPr>
          <w:szCs w:val="22"/>
        </w:rPr>
        <w:t xml:space="preserve"> (</w:t>
      </w:r>
      <w:r w:rsidR="00843038" w:rsidRPr="00F2359B">
        <w:rPr>
          <w:i/>
          <w:szCs w:val="22"/>
        </w:rPr>
        <w:t>Pneumocystis</w:t>
      </w:r>
      <w:r w:rsidR="00843038">
        <w:rPr>
          <w:szCs w:val="22"/>
        </w:rPr>
        <w:t xml:space="preserve"> </w:t>
      </w:r>
      <w:r w:rsidR="00D37FBF" w:rsidRPr="003B1562">
        <w:rPr>
          <w:i/>
          <w:szCs w:val="22"/>
        </w:rPr>
        <w:t>carinii</w:t>
      </w:r>
      <w:r w:rsidR="00D37FBF">
        <w:rPr>
          <w:szCs w:val="22"/>
        </w:rPr>
        <w:t>) (PJP, PCP), niektoré s </w:t>
      </w:r>
      <w:r w:rsidR="00AC320D">
        <w:rPr>
          <w:szCs w:val="22"/>
        </w:rPr>
        <w:t>fatálnym k</w:t>
      </w:r>
      <w:r w:rsidR="00D37FBF">
        <w:rPr>
          <w:szCs w:val="22"/>
        </w:rPr>
        <w:t>oncom. PJP/PCP môže súvisieť so </w:t>
      </w:r>
      <w:r w:rsidR="00AC320D">
        <w:rPr>
          <w:szCs w:val="22"/>
        </w:rPr>
        <w:t>súbežnou liečbou kortikosteroidmi alebo inými imunosupresívami. Ak je potrebná súbežná liečba kortikosteroidmi alebo inými imunosupr</w:t>
      </w:r>
      <w:r w:rsidR="00D37FBF">
        <w:rPr>
          <w:szCs w:val="22"/>
        </w:rPr>
        <w:t xml:space="preserve">esívami, má sa </w:t>
      </w:r>
      <w:r w:rsidR="00843038">
        <w:rPr>
          <w:szCs w:val="22"/>
        </w:rPr>
        <w:t>zvážiť</w:t>
      </w:r>
      <w:r w:rsidR="00D37FBF">
        <w:rPr>
          <w:szCs w:val="22"/>
        </w:rPr>
        <w:t> </w:t>
      </w:r>
      <w:r w:rsidR="00AC320D">
        <w:rPr>
          <w:szCs w:val="22"/>
        </w:rPr>
        <w:t>profylaxi</w:t>
      </w:r>
      <w:r w:rsidR="00843038">
        <w:rPr>
          <w:szCs w:val="22"/>
        </w:rPr>
        <w:t>a</w:t>
      </w:r>
      <w:r w:rsidR="00AC320D">
        <w:rPr>
          <w:szCs w:val="22"/>
        </w:rPr>
        <w:t xml:space="preserve"> PJP/PCP.</w:t>
      </w:r>
    </w:p>
    <w:p w14:paraId="208BA6AC" w14:textId="77777777" w:rsidR="008944CD" w:rsidRDefault="008944CD" w:rsidP="008944CD">
      <w:pPr>
        <w:ind w:left="0" w:firstLine="0"/>
        <w:rPr>
          <w:szCs w:val="22"/>
        </w:rPr>
      </w:pPr>
    </w:p>
    <w:p w14:paraId="2885C783" w14:textId="77777777" w:rsidR="008944CD" w:rsidRPr="008944CD" w:rsidRDefault="00D37FBF" w:rsidP="00D37FB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Reakcie z </w:t>
      </w:r>
      <w:r w:rsidR="00556988">
        <w:rPr>
          <w:sz w:val="22"/>
          <w:szCs w:val="22"/>
          <w:u w:val="single"/>
        </w:rPr>
        <w:t>precitlivenosti</w:t>
      </w:r>
    </w:p>
    <w:p w14:paraId="2F43BAD1" w14:textId="77777777" w:rsidR="008944CD" w:rsidRDefault="00D37FBF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 </w:t>
      </w:r>
      <w:r w:rsidR="008944CD">
        <w:rPr>
          <w:sz w:val="22"/>
          <w:szCs w:val="22"/>
        </w:rPr>
        <w:t>ev</w:t>
      </w:r>
      <w:r>
        <w:rPr>
          <w:sz w:val="22"/>
          <w:szCs w:val="22"/>
        </w:rPr>
        <w:t>erolime sa pozorovali reakcie z </w:t>
      </w:r>
      <w:r w:rsidR="008944CD">
        <w:rPr>
          <w:sz w:val="22"/>
          <w:szCs w:val="22"/>
        </w:rPr>
        <w:t>precitlivenosti prejavujúce sa symptómami, ktoré zahŕňali, ale neboli obmedzené len na</w:t>
      </w:r>
      <w:r>
        <w:rPr>
          <w:sz w:val="22"/>
          <w:szCs w:val="22"/>
        </w:rPr>
        <w:t> </w:t>
      </w:r>
      <w:r w:rsidR="008944CD">
        <w:rPr>
          <w:sz w:val="22"/>
          <w:szCs w:val="22"/>
        </w:rPr>
        <w:t xml:space="preserve">anafylaxiu, dyspnoe, návaly horúčavy, bolesť </w:t>
      </w:r>
      <w:r w:rsidR="008A362A">
        <w:rPr>
          <w:sz w:val="22"/>
          <w:szCs w:val="22"/>
        </w:rPr>
        <w:t>na hrudi alebo angioedém (napr. </w:t>
      </w:r>
      <w:r w:rsidR="008944CD">
        <w:rPr>
          <w:sz w:val="22"/>
          <w:szCs w:val="22"/>
        </w:rPr>
        <w:t>edém d</w:t>
      </w:r>
      <w:r w:rsidR="008A362A">
        <w:rPr>
          <w:sz w:val="22"/>
          <w:szCs w:val="22"/>
        </w:rPr>
        <w:t>ýchacích ciest alebo jazyka, so zhoršením dýchania alebo bez neho) (pozri časť</w:t>
      </w:r>
      <w:r w:rsidR="0069420C">
        <w:rPr>
          <w:sz w:val="22"/>
          <w:szCs w:val="22"/>
        </w:rPr>
        <w:t> </w:t>
      </w:r>
      <w:r w:rsidR="00556988">
        <w:rPr>
          <w:sz w:val="22"/>
          <w:szCs w:val="22"/>
        </w:rPr>
        <w:t>4.3).</w:t>
      </w:r>
    </w:p>
    <w:p w14:paraId="5462AFAD" w14:textId="77777777" w:rsidR="008944CD" w:rsidRDefault="008944CD" w:rsidP="008944CD">
      <w:pPr>
        <w:pStyle w:val="Default"/>
        <w:rPr>
          <w:sz w:val="22"/>
          <w:szCs w:val="22"/>
        </w:rPr>
      </w:pPr>
    </w:p>
    <w:p w14:paraId="68FA7230" w14:textId="77777777" w:rsidR="008944CD" w:rsidRPr="008944CD" w:rsidRDefault="008944CD" w:rsidP="008A362A">
      <w:pPr>
        <w:pStyle w:val="Default"/>
        <w:keepNext/>
        <w:rPr>
          <w:sz w:val="22"/>
          <w:szCs w:val="22"/>
          <w:u w:val="single"/>
        </w:rPr>
      </w:pPr>
      <w:r w:rsidRPr="008944CD">
        <w:rPr>
          <w:sz w:val="22"/>
          <w:szCs w:val="22"/>
          <w:u w:val="single"/>
        </w:rPr>
        <w:t>Sú</w:t>
      </w:r>
      <w:r>
        <w:rPr>
          <w:sz w:val="22"/>
          <w:szCs w:val="22"/>
          <w:u w:val="single"/>
        </w:rPr>
        <w:t>bežná</w:t>
      </w:r>
      <w:r w:rsidR="0069420C">
        <w:rPr>
          <w:sz w:val="22"/>
          <w:szCs w:val="22"/>
          <w:u w:val="single"/>
        </w:rPr>
        <w:t xml:space="preserve"> liečba s </w:t>
      </w:r>
      <w:r w:rsidRPr="008944CD">
        <w:rPr>
          <w:sz w:val="22"/>
          <w:szCs w:val="22"/>
          <w:u w:val="single"/>
        </w:rPr>
        <w:t>inhibítormi enzýmu k</w:t>
      </w:r>
      <w:r w:rsidR="00556988">
        <w:rPr>
          <w:sz w:val="22"/>
          <w:szCs w:val="22"/>
          <w:u w:val="single"/>
        </w:rPr>
        <w:t>onvertujúceho angiotenzín (ACE)</w:t>
      </w:r>
    </w:p>
    <w:p w14:paraId="6AFB7C51" w14:textId="733FD575" w:rsidR="008944CD" w:rsidRDefault="008944CD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Pacienti užívajúci súbežn</w:t>
      </w:r>
      <w:r w:rsidR="0069420C">
        <w:rPr>
          <w:szCs w:val="22"/>
        </w:rPr>
        <w:t>e liečbu ACE </w:t>
      </w:r>
      <w:r w:rsidR="008A362A">
        <w:rPr>
          <w:szCs w:val="22"/>
        </w:rPr>
        <w:t>inhibítormi (napr. </w:t>
      </w:r>
      <w:r>
        <w:rPr>
          <w:szCs w:val="22"/>
        </w:rPr>
        <w:t>ramipril) môžu mať z</w:t>
      </w:r>
      <w:r w:rsidR="008A362A">
        <w:rPr>
          <w:szCs w:val="22"/>
        </w:rPr>
        <w:t>výšené riziko angioedému (napr. </w:t>
      </w:r>
      <w:r>
        <w:rPr>
          <w:szCs w:val="22"/>
        </w:rPr>
        <w:t xml:space="preserve">opuch </w:t>
      </w:r>
      <w:r w:rsidR="008A362A">
        <w:rPr>
          <w:szCs w:val="22"/>
        </w:rPr>
        <w:t>dýchacích ciest alebo jazyka, s</w:t>
      </w:r>
      <w:r w:rsidR="00843038">
        <w:rPr>
          <w:szCs w:val="22"/>
        </w:rPr>
        <w:t>o zhoršením dýchania</w:t>
      </w:r>
      <w:r w:rsidR="008A362A">
        <w:rPr>
          <w:szCs w:val="22"/>
        </w:rPr>
        <w:t> alebo bez </w:t>
      </w:r>
      <w:r w:rsidR="00843038">
        <w:rPr>
          <w:szCs w:val="22"/>
        </w:rPr>
        <w:t>neho</w:t>
      </w:r>
      <w:r>
        <w:rPr>
          <w:szCs w:val="22"/>
        </w:rPr>
        <w:t>) (pozri časť 4.5)</w:t>
      </w:r>
    </w:p>
    <w:p w14:paraId="4CDD2A4F" w14:textId="77777777" w:rsidR="008944CD" w:rsidRDefault="008944CD" w:rsidP="008944CD">
      <w:pPr>
        <w:ind w:left="0" w:firstLine="0"/>
        <w:rPr>
          <w:szCs w:val="22"/>
        </w:rPr>
      </w:pPr>
    </w:p>
    <w:p w14:paraId="5BACEE57" w14:textId="77777777" w:rsidR="008944CD" w:rsidRPr="008944CD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Stomatitída</w:t>
      </w:r>
    </w:p>
    <w:p w14:paraId="1440710D" w14:textId="2D3B06EA" w:rsidR="008944CD" w:rsidRDefault="008944CD" w:rsidP="00556988">
      <w:pPr>
        <w:ind w:left="0" w:firstLine="0"/>
        <w:rPr>
          <w:szCs w:val="22"/>
        </w:rPr>
      </w:pPr>
      <w:r>
        <w:rPr>
          <w:szCs w:val="22"/>
        </w:rPr>
        <w:t>Stomatitída, vrátane ulcerácií ústnej dutiny a orálnej mukozitídy, je najčastejšie</w:t>
      </w:r>
      <w:r w:rsidR="008A362A">
        <w:rPr>
          <w:szCs w:val="22"/>
        </w:rPr>
        <w:t xml:space="preserve"> hlásenou nežiaducou reakciou u </w:t>
      </w:r>
      <w:r>
        <w:rPr>
          <w:szCs w:val="22"/>
        </w:rPr>
        <w:t xml:space="preserve">pacientov liečených </w:t>
      </w:r>
      <w:r w:rsidR="0072699F">
        <w:rPr>
          <w:szCs w:val="22"/>
        </w:rPr>
        <w:t>e</w:t>
      </w:r>
      <w:r w:rsidR="008A362A">
        <w:rPr>
          <w:szCs w:val="22"/>
        </w:rPr>
        <w:t>verolimom</w:t>
      </w:r>
      <w:r>
        <w:rPr>
          <w:szCs w:val="22"/>
        </w:rPr>
        <w:t xml:space="preserve"> (pozri časť</w:t>
      </w:r>
      <w:r w:rsidR="006F24C7">
        <w:rPr>
          <w:szCs w:val="22"/>
        </w:rPr>
        <w:t> </w:t>
      </w:r>
      <w:r>
        <w:rPr>
          <w:szCs w:val="22"/>
        </w:rPr>
        <w:t>4.8). Stomatit</w:t>
      </w:r>
      <w:r w:rsidR="008A362A">
        <w:rPr>
          <w:szCs w:val="22"/>
        </w:rPr>
        <w:t>ída sa väčšinou vyskytuje počas </w:t>
      </w:r>
      <w:r>
        <w:rPr>
          <w:szCs w:val="22"/>
        </w:rPr>
        <w:t>pr</w:t>
      </w:r>
      <w:r w:rsidR="008A362A">
        <w:rPr>
          <w:szCs w:val="22"/>
        </w:rPr>
        <w:t>vých 8 týždňov liečby. Štúdia s</w:t>
      </w:r>
      <w:r w:rsidR="0072699F">
        <w:rPr>
          <w:szCs w:val="22"/>
        </w:rPr>
        <w:t> </w:t>
      </w:r>
      <w:r>
        <w:rPr>
          <w:szCs w:val="22"/>
        </w:rPr>
        <w:t>jedným ramenom u</w:t>
      </w:r>
      <w:r w:rsidR="008A362A">
        <w:rPr>
          <w:szCs w:val="22"/>
        </w:rPr>
        <w:t> </w:t>
      </w:r>
      <w:r w:rsidR="006F24C7">
        <w:rPr>
          <w:szCs w:val="22"/>
        </w:rPr>
        <w:t>postmenopauzálnych pacientok s </w:t>
      </w:r>
      <w:r>
        <w:rPr>
          <w:szCs w:val="22"/>
        </w:rPr>
        <w:t xml:space="preserve">karcinómom prsníka liečených </w:t>
      </w:r>
      <w:r w:rsidR="0072699F">
        <w:rPr>
          <w:szCs w:val="22"/>
        </w:rPr>
        <w:t>e</w:t>
      </w:r>
      <w:r w:rsidR="008A362A">
        <w:rPr>
          <w:szCs w:val="22"/>
        </w:rPr>
        <w:t>verolimom</w:t>
      </w:r>
      <w:r w:rsidR="006F24C7">
        <w:rPr>
          <w:szCs w:val="22"/>
        </w:rPr>
        <w:t xml:space="preserve"> </w:t>
      </w:r>
      <w:r>
        <w:rPr>
          <w:szCs w:val="22"/>
        </w:rPr>
        <w:t>a exemestánom ukázala, že orálny roztok kortikosteroidu neobsahujú</w:t>
      </w:r>
      <w:r w:rsidR="008A362A">
        <w:rPr>
          <w:szCs w:val="22"/>
        </w:rPr>
        <w:t>ci alkohol, ktorý sa používa na </w:t>
      </w:r>
      <w:r>
        <w:rPr>
          <w:szCs w:val="22"/>
        </w:rPr>
        <w:t>vyplachovanie ústnej dutiny počas prvých 8</w:t>
      </w:r>
      <w:r w:rsidR="008A362A">
        <w:rPr>
          <w:szCs w:val="22"/>
        </w:rPr>
        <w:t> </w:t>
      </w:r>
      <w:r>
        <w:rPr>
          <w:szCs w:val="22"/>
        </w:rPr>
        <w:t>týždňov liečby, môže znížiť incidenciu a zá</w:t>
      </w:r>
      <w:r w:rsidR="008A362A">
        <w:rPr>
          <w:szCs w:val="22"/>
        </w:rPr>
        <w:t>važnosť stomatitídy (pozri časť </w:t>
      </w:r>
      <w:r>
        <w:rPr>
          <w:szCs w:val="22"/>
        </w:rPr>
        <w:t>5.1). Zvládnutie stomatitídy pr</w:t>
      </w:r>
      <w:r w:rsidR="008A362A">
        <w:rPr>
          <w:szCs w:val="22"/>
        </w:rPr>
        <w:t>eto môže zahŕňať profylaktické a</w:t>
      </w:r>
      <w:r>
        <w:rPr>
          <w:szCs w:val="22"/>
        </w:rPr>
        <w:t>/alebo terapeutické použitie topických liekov, ako je orálny roztok kortikos</w:t>
      </w:r>
      <w:r w:rsidR="008A362A">
        <w:rPr>
          <w:szCs w:val="22"/>
        </w:rPr>
        <w:t>teroidu neobsahujúci alkohol na </w:t>
      </w:r>
      <w:r>
        <w:rPr>
          <w:szCs w:val="22"/>
        </w:rPr>
        <w:t>vyplachovanie ústnej dutiny. Je však potrebné vyhnúť sa produktom obsahujúcim alkohol, peroxid vodíka, jód a</w:t>
      </w:r>
      <w:r w:rsidR="0072699F">
        <w:rPr>
          <w:szCs w:val="22"/>
        </w:rPr>
        <w:t xml:space="preserve"> deriváty </w:t>
      </w:r>
      <w:r>
        <w:rPr>
          <w:szCs w:val="22"/>
        </w:rPr>
        <w:t>tymián</w:t>
      </w:r>
      <w:r w:rsidR="0072699F">
        <w:rPr>
          <w:szCs w:val="22"/>
        </w:rPr>
        <w:t>u</w:t>
      </w:r>
      <w:r>
        <w:rPr>
          <w:szCs w:val="22"/>
        </w:rPr>
        <w:t>, pretože môžu stav zhoršiť. Odporúča sa monitorovanie a li</w:t>
      </w:r>
      <w:r w:rsidR="008A362A">
        <w:rPr>
          <w:szCs w:val="22"/>
        </w:rPr>
        <w:t>ečba hubovej infekcie, hlavne u </w:t>
      </w:r>
      <w:r>
        <w:rPr>
          <w:szCs w:val="22"/>
        </w:rPr>
        <w:t>pacientov liečených liekmi steroid</w:t>
      </w:r>
      <w:r w:rsidR="0072699F">
        <w:rPr>
          <w:szCs w:val="22"/>
        </w:rPr>
        <w:t>ného charakteru</w:t>
      </w:r>
      <w:r>
        <w:rPr>
          <w:szCs w:val="22"/>
        </w:rPr>
        <w:t xml:space="preserve">. </w:t>
      </w:r>
      <w:r w:rsidR="0072699F">
        <w:rPr>
          <w:szCs w:val="22"/>
        </w:rPr>
        <w:t>Antimykotiká</w:t>
      </w:r>
      <w:r>
        <w:rPr>
          <w:szCs w:val="22"/>
        </w:rPr>
        <w:t xml:space="preserve"> sa nemajú používať, pokiaľ sa nediagnostikov</w:t>
      </w:r>
      <w:r w:rsidR="008A362A">
        <w:rPr>
          <w:szCs w:val="22"/>
        </w:rPr>
        <w:t>ala hubová infekcia (pozri časť </w:t>
      </w:r>
      <w:r>
        <w:rPr>
          <w:szCs w:val="22"/>
        </w:rPr>
        <w:t>4.5).</w:t>
      </w:r>
    </w:p>
    <w:p w14:paraId="073DB35A" w14:textId="77777777" w:rsidR="006F24C7" w:rsidRDefault="006F24C7" w:rsidP="008944CD">
      <w:pPr>
        <w:ind w:left="0" w:firstLine="0"/>
        <w:rPr>
          <w:szCs w:val="22"/>
        </w:rPr>
      </w:pPr>
    </w:p>
    <w:p w14:paraId="65163CF0" w14:textId="77777777" w:rsidR="006F24C7" w:rsidRPr="006F24C7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Prípady zlyhania obličiek</w:t>
      </w:r>
    </w:p>
    <w:p w14:paraId="212CBAB3" w14:textId="27DADCBB" w:rsidR="006F24C7" w:rsidRDefault="008A362A" w:rsidP="00556988">
      <w:pPr>
        <w:ind w:left="0" w:firstLine="0"/>
        <w:rPr>
          <w:szCs w:val="22"/>
        </w:rPr>
      </w:pPr>
      <w:r>
        <w:rPr>
          <w:szCs w:val="22"/>
        </w:rPr>
        <w:t xml:space="preserve">U pacientov liečených </w:t>
      </w:r>
      <w:r w:rsidR="0072699F">
        <w:rPr>
          <w:szCs w:val="22"/>
        </w:rPr>
        <w:t>e</w:t>
      </w:r>
      <w:r>
        <w:rPr>
          <w:szCs w:val="22"/>
        </w:rPr>
        <w:t>verolimom</w:t>
      </w:r>
      <w:r w:rsidR="006F24C7">
        <w:rPr>
          <w:szCs w:val="22"/>
        </w:rPr>
        <w:t xml:space="preserve"> sa pozorovali prípady zlyhania obličiek (vrátane akútneho zlyhania obličiek), ktoré sa niekedy skončili fat</w:t>
      </w:r>
      <w:r>
        <w:rPr>
          <w:szCs w:val="22"/>
        </w:rPr>
        <w:t>álne (pozri časť </w:t>
      </w:r>
      <w:r w:rsidR="006F24C7">
        <w:rPr>
          <w:szCs w:val="22"/>
        </w:rPr>
        <w:t xml:space="preserve">4.8). Funkcia obličiek sa má </w:t>
      </w:r>
      <w:r>
        <w:rPr>
          <w:szCs w:val="22"/>
        </w:rPr>
        <w:t>monitorovať najmä u pacientov s </w:t>
      </w:r>
      <w:r w:rsidR="006F24C7">
        <w:rPr>
          <w:szCs w:val="22"/>
        </w:rPr>
        <w:t>ďalšími rizikovými faktormi, ktoré môžu funkciu obličiek ďalej zhoršovať.</w:t>
      </w:r>
    </w:p>
    <w:p w14:paraId="4C033400" w14:textId="77777777" w:rsidR="006F24C7" w:rsidRDefault="006F24C7" w:rsidP="006F24C7">
      <w:pPr>
        <w:ind w:left="0" w:firstLine="0"/>
        <w:rPr>
          <w:szCs w:val="22"/>
        </w:rPr>
      </w:pPr>
    </w:p>
    <w:p w14:paraId="31EECF13" w14:textId="77777777" w:rsidR="006F24C7" w:rsidRPr="006F24C7" w:rsidRDefault="006F24C7" w:rsidP="006F24C7">
      <w:pPr>
        <w:pStyle w:val="Default"/>
        <w:keepNext/>
        <w:rPr>
          <w:sz w:val="22"/>
          <w:szCs w:val="22"/>
          <w:u w:val="single"/>
        </w:rPr>
      </w:pPr>
      <w:r w:rsidRPr="006F24C7">
        <w:rPr>
          <w:sz w:val="22"/>
          <w:szCs w:val="22"/>
          <w:u w:val="single"/>
        </w:rPr>
        <w:t>La</w:t>
      </w:r>
      <w:r w:rsidR="00556988">
        <w:rPr>
          <w:sz w:val="22"/>
          <w:szCs w:val="22"/>
          <w:u w:val="single"/>
        </w:rPr>
        <w:t>boratórne testy a monitorovanie</w:t>
      </w:r>
    </w:p>
    <w:p w14:paraId="318AD509" w14:textId="77777777" w:rsidR="006F24C7" w:rsidRDefault="006F24C7" w:rsidP="006F24C7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Funkcia obličiek</w:t>
      </w:r>
    </w:p>
    <w:p w14:paraId="361B7889" w14:textId="1252C448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Bolo hlásené zvýšenie sérového kreatinínu, zvyčajne mi</w:t>
      </w:r>
      <w:r w:rsidR="008A362A">
        <w:rPr>
          <w:sz w:val="22"/>
          <w:szCs w:val="22"/>
        </w:rPr>
        <w:t>erne, a proteinúria (pozri časť </w:t>
      </w:r>
      <w:r>
        <w:rPr>
          <w:sz w:val="22"/>
          <w:szCs w:val="22"/>
        </w:rPr>
        <w:t>4.8). Monitorovanie funkcie obličiek, vráta</w:t>
      </w:r>
      <w:r w:rsidR="008A362A">
        <w:rPr>
          <w:sz w:val="22"/>
          <w:szCs w:val="22"/>
        </w:rPr>
        <w:t>ne stanovenia dusíka močoviny v krvi (BUN), bielkovín v </w:t>
      </w:r>
      <w:r>
        <w:rPr>
          <w:sz w:val="22"/>
          <w:szCs w:val="22"/>
        </w:rPr>
        <w:t>moči alebo sérové</w:t>
      </w:r>
      <w:r w:rsidR="008A362A">
        <w:rPr>
          <w:sz w:val="22"/>
          <w:szCs w:val="22"/>
        </w:rPr>
        <w:t>ho kreatinínu, sa odporúča pred začatím liečby Everolimom</w:t>
      </w:r>
      <w:r w:rsidR="00556988"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 w:rsidR="00556988">
        <w:rPr>
          <w:sz w:val="22"/>
          <w:szCs w:val="22"/>
        </w:rPr>
        <w:t>.</w:t>
      </w:r>
    </w:p>
    <w:p w14:paraId="56EBF76F" w14:textId="77777777" w:rsidR="006F24C7" w:rsidRDefault="006F24C7" w:rsidP="00556988">
      <w:pPr>
        <w:pStyle w:val="Default"/>
        <w:rPr>
          <w:sz w:val="22"/>
          <w:szCs w:val="22"/>
        </w:rPr>
      </w:pPr>
    </w:p>
    <w:p w14:paraId="35804B18" w14:textId="77777777" w:rsidR="006F24C7" w:rsidRDefault="008A362A" w:rsidP="006F24C7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Glukóza v </w:t>
      </w:r>
      <w:r w:rsidR="006F24C7">
        <w:rPr>
          <w:i/>
          <w:iCs/>
          <w:sz w:val="22"/>
          <w:szCs w:val="22"/>
        </w:rPr>
        <w:t>krvi</w:t>
      </w:r>
    </w:p>
    <w:p w14:paraId="15CDB588" w14:textId="53609231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Bola hl</w:t>
      </w:r>
      <w:r w:rsidR="008A362A">
        <w:rPr>
          <w:sz w:val="22"/>
          <w:szCs w:val="22"/>
        </w:rPr>
        <w:t>ásená hyperglykémia (pozri časť 4.8). Monitorovanie glukózy v </w:t>
      </w:r>
      <w:r>
        <w:rPr>
          <w:sz w:val="22"/>
          <w:szCs w:val="22"/>
        </w:rPr>
        <w:t>sére nalačno sa odporúča pred</w:t>
      </w:r>
      <w:r w:rsidR="008A362A">
        <w:rPr>
          <w:sz w:val="22"/>
          <w:szCs w:val="22"/>
        </w:rPr>
        <w:t> začatím liečby Everolimom</w:t>
      </w:r>
      <w:r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>
        <w:rPr>
          <w:sz w:val="22"/>
          <w:szCs w:val="22"/>
        </w:rPr>
        <w:t xml:space="preserve">. Ak sa </w:t>
      </w:r>
      <w:r w:rsidRPr="006F24C7">
        <w:rPr>
          <w:sz w:val="22"/>
          <w:szCs w:val="22"/>
        </w:rPr>
        <w:t>Everolimus Mylan</w:t>
      </w:r>
      <w:r>
        <w:rPr>
          <w:sz w:val="22"/>
          <w:szCs w:val="22"/>
        </w:rPr>
        <w:t xml:space="preserve"> podáva spolu s</w:t>
      </w:r>
      <w:r w:rsidR="008A362A">
        <w:rPr>
          <w:sz w:val="22"/>
          <w:szCs w:val="22"/>
        </w:rPr>
        <w:t> </w:t>
      </w:r>
      <w:r>
        <w:rPr>
          <w:sz w:val="22"/>
          <w:szCs w:val="22"/>
        </w:rPr>
        <w:t>inými liekmi, ktoré môžu indukovať hyperglykémiu, odporúča sa častejš</w:t>
      </w:r>
      <w:r w:rsidR="00AD0354">
        <w:rPr>
          <w:sz w:val="22"/>
          <w:szCs w:val="22"/>
        </w:rPr>
        <w:t>ie</w:t>
      </w:r>
      <w:r>
        <w:rPr>
          <w:sz w:val="22"/>
          <w:szCs w:val="22"/>
        </w:rPr>
        <w:t xml:space="preserve"> monitor</w:t>
      </w:r>
      <w:r w:rsidR="00AD0354">
        <w:rPr>
          <w:sz w:val="22"/>
          <w:szCs w:val="22"/>
        </w:rPr>
        <w:t>ovanie</w:t>
      </w:r>
      <w:r>
        <w:rPr>
          <w:sz w:val="22"/>
          <w:szCs w:val="22"/>
        </w:rPr>
        <w:t>. Ak je to možné, op</w:t>
      </w:r>
      <w:r w:rsidR="008A362A">
        <w:rPr>
          <w:sz w:val="22"/>
          <w:szCs w:val="22"/>
        </w:rPr>
        <w:t>timálna úprava glykémie sa má u pacienta dosiahnuť pred </w:t>
      </w:r>
      <w:r>
        <w:rPr>
          <w:sz w:val="22"/>
          <w:szCs w:val="22"/>
        </w:rPr>
        <w:t xml:space="preserve">začiatkom liečby </w:t>
      </w:r>
      <w:r w:rsidR="008A362A">
        <w:rPr>
          <w:sz w:val="22"/>
          <w:szCs w:val="22"/>
        </w:rPr>
        <w:t>Everolimom</w:t>
      </w:r>
      <w:r>
        <w:rPr>
          <w:sz w:val="22"/>
          <w:szCs w:val="22"/>
        </w:rPr>
        <w:t xml:space="preserve"> Mylan</w:t>
      </w:r>
      <w:r w:rsidR="00556988">
        <w:rPr>
          <w:sz w:val="22"/>
          <w:szCs w:val="22"/>
        </w:rPr>
        <w:t>.</w:t>
      </w:r>
    </w:p>
    <w:p w14:paraId="0FB9E5C5" w14:textId="77777777" w:rsidR="00556988" w:rsidRDefault="00556988" w:rsidP="00556988">
      <w:pPr>
        <w:pStyle w:val="Default"/>
        <w:rPr>
          <w:sz w:val="22"/>
          <w:szCs w:val="22"/>
        </w:rPr>
      </w:pPr>
    </w:p>
    <w:p w14:paraId="69B0755B" w14:textId="77777777" w:rsidR="006F24C7" w:rsidRDefault="008A362A" w:rsidP="008A362A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Lipidy v </w:t>
      </w:r>
      <w:r w:rsidR="006F24C7">
        <w:rPr>
          <w:i/>
          <w:iCs/>
          <w:sz w:val="22"/>
          <w:szCs w:val="22"/>
        </w:rPr>
        <w:t>krvi</w:t>
      </w:r>
    </w:p>
    <w:p w14:paraId="31930624" w14:textId="2049E0AB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 hlásená dyslipidémia (vrátane </w:t>
      </w:r>
      <w:r w:rsidR="00AD0354" w:rsidRPr="00AD0354">
        <w:rPr>
          <w:sz w:val="22"/>
          <w:szCs w:val="22"/>
        </w:rPr>
        <w:t>hypercholesterolémie</w:t>
      </w:r>
      <w:r>
        <w:rPr>
          <w:sz w:val="22"/>
          <w:szCs w:val="22"/>
        </w:rPr>
        <w:t xml:space="preserve"> a </w:t>
      </w:r>
      <w:r w:rsidRPr="005D2B5C">
        <w:rPr>
          <w:sz w:val="22"/>
          <w:szCs w:val="22"/>
        </w:rPr>
        <w:t>hypertriacylglycerolémie</w:t>
      </w:r>
      <w:r>
        <w:rPr>
          <w:sz w:val="22"/>
          <w:szCs w:val="22"/>
        </w:rPr>
        <w:t>). Monitorovanie cho</w:t>
      </w:r>
      <w:r w:rsidR="008A362A">
        <w:rPr>
          <w:sz w:val="22"/>
          <w:szCs w:val="22"/>
        </w:rPr>
        <w:t>lesterolu a triacylglycerolov v krvi sa odporúča pred začatím liečby Everolimom</w:t>
      </w:r>
      <w:r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>
        <w:rPr>
          <w:sz w:val="22"/>
          <w:szCs w:val="22"/>
        </w:rPr>
        <w:t xml:space="preserve"> ako a</w:t>
      </w:r>
      <w:r w:rsidR="00556988">
        <w:rPr>
          <w:sz w:val="22"/>
          <w:szCs w:val="22"/>
        </w:rPr>
        <w:t>j ich kontrola vhodnou liečbou.</w:t>
      </w:r>
    </w:p>
    <w:p w14:paraId="705F6400" w14:textId="77777777" w:rsidR="006F24C7" w:rsidRDefault="006F24C7" w:rsidP="006F24C7">
      <w:pPr>
        <w:pStyle w:val="Default"/>
        <w:rPr>
          <w:sz w:val="22"/>
          <w:szCs w:val="22"/>
        </w:rPr>
      </w:pPr>
    </w:p>
    <w:p w14:paraId="168C3470" w14:textId="77777777" w:rsidR="006F24C7" w:rsidRDefault="006F24C7" w:rsidP="008A362A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Hematologické parametre</w:t>
      </w:r>
    </w:p>
    <w:p w14:paraId="1BC45779" w14:textId="4D3CBF23" w:rsidR="006F24C7" w:rsidRDefault="006F24C7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Bol hlásený pokles hemoglobínu, lymfocytov, neutrofilov a trombocytov (pozri</w:t>
      </w:r>
      <w:r w:rsidR="008A362A">
        <w:rPr>
          <w:szCs w:val="22"/>
        </w:rPr>
        <w:t xml:space="preserve"> časť </w:t>
      </w:r>
      <w:r>
        <w:rPr>
          <w:szCs w:val="22"/>
        </w:rPr>
        <w:t xml:space="preserve">4.8). Monitorovanie kompletného </w:t>
      </w:r>
      <w:r w:rsidR="008A362A">
        <w:rPr>
          <w:szCs w:val="22"/>
        </w:rPr>
        <w:t>krvného obrazu sa odporúča pred začatím liečby Everolimom</w:t>
      </w:r>
      <w:r>
        <w:rPr>
          <w:szCs w:val="22"/>
        </w:rPr>
        <w:t xml:space="preserve"> Mylan a </w:t>
      </w:r>
      <w:r w:rsidR="00AD0354" w:rsidRPr="00AD0354">
        <w:rPr>
          <w:szCs w:val="22"/>
        </w:rPr>
        <w:t>následne v pravidelných intervaloch</w:t>
      </w:r>
      <w:r>
        <w:rPr>
          <w:szCs w:val="22"/>
        </w:rPr>
        <w:t>.</w:t>
      </w:r>
    </w:p>
    <w:p w14:paraId="565C8BEE" w14:textId="77777777" w:rsidR="006F24C7" w:rsidRDefault="006F24C7" w:rsidP="006F24C7">
      <w:pPr>
        <w:ind w:left="0" w:firstLine="0"/>
        <w:rPr>
          <w:szCs w:val="22"/>
        </w:rPr>
      </w:pPr>
    </w:p>
    <w:p w14:paraId="37711489" w14:textId="77777777" w:rsidR="006F24C7" w:rsidRPr="006F24C7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Funkčné karcinoidné nádory</w:t>
      </w:r>
    </w:p>
    <w:p w14:paraId="082D94E7" w14:textId="1D98382B" w:rsidR="006F24C7" w:rsidRDefault="0069420C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 </w:t>
      </w:r>
      <w:r w:rsidR="006F24C7">
        <w:rPr>
          <w:szCs w:val="22"/>
        </w:rPr>
        <w:t xml:space="preserve">randomizovanom, dvojito </w:t>
      </w:r>
      <w:r w:rsidR="008A362A">
        <w:rPr>
          <w:szCs w:val="22"/>
        </w:rPr>
        <w:t>zaslepenom</w:t>
      </w:r>
      <w:r w:rsidR="006F24C7">
        <w:rPr>
          <w:szCs w:val="22"/>
        </w:rPr>
        <w:t>, mult</w:t>
      </w:r>
      <w:r w:rsidR="008A362A">
        <w:rPr>
          <w:szCs w:val="22"/>
        </w:rPr>
        <w:t>icentrickom klinickom skúšaní s pacientmi s </w:t>
      </w:r>
      <w:r w:rsidR="006F24C7">
        <w:rPr>
          <w:szCs w:val="22"/>
        </w:rPr>
        <w:t xml:space="preserve">funkčnými karcinoidnými nádormi sa </w:t>
      </w:r>
      <w:r w:rsidR="00AD0354">
        <w:rPr>
          <w:szCs w:val="22"/>
        </w:rPr>
        <w:t>e</w:t>
      </w:r>
      <w:r w:rsidR="006F24C7">
        <w:rPr>
          <w:szCs w:val="22"/>
        </w:rPr>
        <w:t xml:space="preserve">verolimus </w:t>
      </w:r>
      <w:r w:rsidR="008A362A">
        <w:rPr>
          <w:szCs w:val="22"/>
        </w:rPr>
        <w:t>a depotný oktreotid porovnávali s </w:t>
      </w:r>
      <w:r w:rsidR="006F24C7">
        <w:rPr>
          <w:szCs w:val="22"/>
        </w:rPr>
        <w:t>pla</w:t>
      </w:r>
      <w:r w:rsidR="008A362A">
        <w:rPr>
          <w:szCs w:val="22"/>
        </w:rPr>
        <w:t>cebom a depotným oktreotidom. V </w:t>
      </w:r>
      <w:r w:rsidR="006F24C7">
        <w:rPr>
          <w:szCs w:val="22"/>
        </w:rPr>
        <w:t xml:space="preserve">štúdii sa nedosiahol primárny </w:t>
      </w:r>
      <w:r w:rsidR="00AD0354">
        <w:rPr>
          <w:szCs w:val="22"/>
        </w:rPr>
        <w:t xml:space="preserve">koncový </w:t>
      </w:r>
      <w:r w:rsidR="006F24C7">
        <w:rPr>
          <w:szCs w:val="22"/>
        </w:rPr>
        <w:t>ukazo</w:t>
      </w:r>
      <w:r w:rsidR="008A362A">
        <w:rPr>
          <w:szCs w:val="22"/>
        </w:rPr>
        <w:t>vateľ účinnosti (prežívanie bez </w:t>
      </w:r>
      <w:r w:rsidR="006F24C7">
        <w:rPr>
          <w:szCs w:val="22"/>
        </w:rPr>
        <w:t>progresie [PFS]) a predbežná analýza celkového prežívania (OS) ukázala numericky pria</w:t>
      </w:r>
      <w:r w:rsidR="008A362A">
        <w:rPr>
          <w:szCs w:val="22"/>
        </w:rPr>
        <w:t>znivejšie výsledky v </w:t>
      </w:r>
      <w:r w:rsidR="006F24C7">
        <w:rPr>
          <w:szCs w:val="22"/>
        </w:rPr>
        <w:t>skupine placeba a depotného oktreoti</w:t>
      </w:r>
      <w:r w:rsidR="008A362A">
        <w:rPr>
          <w:szCs w:val="22"/>
        </w:rPr>
        <w:t>du. Bezpečnosť a účinnosť Everolimu Mylan u pacientov s </w:t>
      </w:r>
      <w:r w:rsidR="006F24C7">
        <w:rPr>
          <w:szCs w:val="22"/>
        </w:rPr>
        <w:t>funkčnými karcinoidnými nádormi sa preto nepreukázali.</w:t>
      </w:r>
    </w:p>
    <w:p w14:paraId="57B6202F" w14:textId="77777777" w:rsidR="006F24C7" w:rsidRDefault="006F24C7" w:rsidP="006F24C7">
      <w:pPr>
        <w:ind w:left="0" w:firstLine="0"/>
        <w:rPr>
          <w:szCs w:val="22"/>
        </w:rPr>
      </w:pPr>
    </w:p>
    <w:p w14:paraId="00FD82BF" w14:textId="77777777" w:rsidR="006F24C7" w:rsidRPr="006F24C7" w:rsidRDefault="008A362A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Prognostické faktory u </w:t>
      </w:r>
      <w:r w:rsidR="006F24C7" w:rsidRPr="006F24C7">
        <w:rPr>
          <w:sz w:val="22"/>
          <w:szCs w:val="22"/>
          <w:u w:val="single"/>
        </w:rPr>
        <w:t>neuroendokrinných nádorov gastrointes</w:t>
      </w:r>
      <w:r w:rsidR="00F47233">
        <w:rPr>
          <w:sz w:val="22"/>
          <w:szCs w:val="22"/>
          <w:u w:val="single"/>
        </w:rPr>
        <w:t>tinálneho alebo pľúcneho pôvodu</w:t>
      </w:r>
    </w:p>
    <w:p w14:paraId="188D7A6F" w14:textId="4DA859D8" w:rsidR="006F24C7" w:rsidRDefault="008A362A" w:rsidP="00F47233">
      <w:pPr>
        <w:ind w:left="0" w:firstLine="0"/>
        <w:rPr>
          <w:szCs w:val="22"/>
        </w:rPr>
      </w:pPr>
      <w:r>
        <w:rPr>
          <w:szCs w:val="22"/>
        </w:rPr>
        <w:t>U pacientov s </w:t>
      </w:r>
      <w:r w:rsidR="006F24C7">
        <w:rPr>
          <w:szCs w:val="22"/>
        </w:rPr>
        <w:t xml:space="preserve">nefunkčnými </w:t>
      </w:r>
      <w:r w:rsidR="00AD0354" w:rsidRPr="00AD0354">
        <w:rPr>
          <w:szCs w:val="22"/>
        </w:rPr>
        <w:t xml:space="preserve">neuroendokrinnými </w:t>
      </w:r>
      <w:r w:rsidR="006F24C7">
        <w:rPr>
          <w:szCs w:val="22"/>
        </w:rPr>
        <w:t xml:space="preserve">nádormi </w:t>
      </w:r>
      <w:r w:rsidR="00AD0354" w:rsidRPr="00AD0354">
        <w:rPr>
          <w:szCs w:val="22"/>
        </w:rPr>
        <w:t xml:space="preserve">gastrointestinálneho alebo pľúcneho pôvodu </w:t>
      </w:r>
      <w:r w:rsidR="006F24C7">
        <w:rPr>
          <w:szCs w:val="22"/>
        </w:rPr>
        <w:t>a dobr</w:t>
      </w:r>
      <w:r>
        <w:rPr>
          <w:szCs w:val="22"/>
        </w:rPr>
        <w:t>ými prognostickými faktormi pri vstupnom vyšetrení, napr. </w:t>
      </w:r>
      <w:r w:rsidR="006F24C7">
        <w:rPr>
          <w:szCs w:val="22"/>
        </w:rPr>
        <w:t>ileum ako primárn</w:t>
      </w:r>
      <w:r w:rsidR="00173FCB">
        <w:rPr>
          <w:szCs w:val="22"/>
        </w:rPr>
        <w:t>e miesto vzniku</w:t>
      </w:r>
      <w:r w:rsidR="006F24C7">
        <w:rPr>
          <w:szCs w:val="22"/>
        </w:rPr>
        <w:t xml:space="preserve"> nádoru a</w:t>
      </w:r>
      <w:r>
        <w:rPr>
          <w:szCs w:val="22"/>
        </w:rPr>
        <w:t xml:space="preserve"> normálne hodnoty chromogranínu A alebo bez </w:t>
      </w:r>
      <w:r w:rsidR="006F24C7">
        <w:rPr>
          <w:szCs w:val="22"/>
        </w:rPr>
        <w:t>postihnutia kostí, sa má individuálne zhodnotenie pomer</w:t>
      </w:r>
      <w:r>
        <w:rPr>
          <w:szCs w:val="22"/>
        </w:rPr>
        <w:t xml:space="preserve">u prínosu a rizika vykonať pred začatím liečby Everolimom Mylan. Obmedzené dôkazy o prínose </w:t>
      </w:r>
      <w:r w:rsidR="00173FCB">
        <w:rPr>
          <w:szCs w:val="22"/>
        </w:rPr>
        <w:t>z hľadiska</w:t>
      </w:r>
      <w:r>
        <w:rPr>
          <w:szCs w:val="22"/>
        </w:rPr>
        <w:t> PFS sa zaznamenali v podskupine pacientov s </w:t>
      </w:r>
      <w:r w:rsidR="006F24C7">
        <w:rPr>
          <w:szCs w:val="22"/>
        </w:rPr>
        <w:t>ileom ako primá</w:t>
      </w:r>
      <w:r>
        <w:rPr>
          <w:szCs w:val="22"/>
        </w:rPr>
        <w:t xml:space="preserve">rnym </w:t>
      </w:r>
      <w:r w:rsidR="00173FCB">
        <w:rPr>
          <w:szCs w:val="22"/>
        </w:rPr>
        <w:t>miestom vzniku</w:t>
      </w:r>
      <w:r>
        <w:rPr>
          <w:szCs w:val="22"/>
        </w:rPr>
        <w:t xml:space="preserve"> nádoru (pozri časť </w:t>
      </w:r>
      <w:r w:rsidR="006F24C7">
        <w:rPr>
          <w:szCs w:val="22"/>
        </w:rPr>
        <w:t>5.1).</w:t>
      </w:r>
    </w:p>
    <w:p w14:paraId="069EABC7" w14:textId="77777777" w:rsidR="006F24C7" w:rsidRDefault="006F24C7" w:rsidP="006F24C7">
      <w:pPr>
        <w:ind w:left="0" w:firstLine="0"/>
        <w:rPr>
          <w:szCs w:val="22"/>
        </w:rPr>
      </w:pPr>
    </w:p>
    <w:p w14:paraId="103099CC" w14:textId="77777777" w:rsidR="006F24C7" w:rsidRPr="006F24C7" w:rsidRDefault="00F47233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Interakcie</w:t>
      </w:r>
    </w:p>
    <w:p w14:paraId="3388CE30" w14:textId="0E1BBE7B" w:rsidR="006F24C7" w:rsidRDefault="006F24C7" w:rsidP="00F4723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Súbežnému podávaniu </w:t>
      </w:r>
      <w:r w:rsidR="008A362A">
        <w:rPr>
          <w:sz w:val="22"/>
          <w:szCs w:val="22"/>
        </w:rPr>
        <w:t>s </w:t>
      </w:r>
      <w:r>
        <w:rPr>
          <w:sz w:val="22"/>
          <w:szCs w:val="22"/>
        </w:rPr>
        <w:t xml:space="preserve">inhibítormi a induktormi CYP3A4 a/alebo </w:t>
      </w:r>
      <w:r w:rsidR="00173FCB">
        <w:rPr>
          <w:sz w:val="22"/>
          <w:szCs w:val="22"/>
        </w:rPr>
        <w:t xml:space="preserve">nešpecifickej </w:t>
      </w:r>
      <w:r>
        <w:rPr>
          <w:sz w:val="22"/>
          <w:szCs w:val="22"/>
        </w:rPr>
        <w:t>efluxnej pum</w:t>
      </w:r>
      <w:r w:rsidR="008A362A">
        <w:rPr>
          <w:sz w:val="22"/>
          <w:szCs w:val="22"/>
        </w:rPr>
        <w:t>py glykoproteínu </w:t>
      </w:r>
      <w:r>
        <w:rPr>
          <w:sz w:val="22"/>
          <w:szCs w:val="22"/>
        </w:rPr>
        <w:t>P (PgP) je potrebné sa vyhnúť</w:t>
      </w:r>
      <w:r w:rsidR="00A371A6">
        <w:rPr>
          <w:sz w:val="22"/>
          <w:szCs w:val="22"/>
        </w:rPr>
        <w:t>. Ak sa nemožno vyhnúť súbežnému</w:t>
      </w:r>
      <w:r>
        <w:rPr>
          <w:sz w:val="22"/>
          <w:szCs w:val="22"/>
        </w:rPr>
        <w:t xml:space="preserve"> podávaniu </w:t>
      </w:r>
      <w:r>
        <w:rPr>
          <w:b/>
          <w:bCs/>
          <w:i/>
          <w:iCs/>
          <w:sz w:val="22"/>
          <w:szCs w:val="22"/>
        </w:rPr>
        <w:t xml:space="preserve">stredne silného </w:t>
      </w:r>
      <w:r>
        <w:rPr>
          <w:sz w:val="22"/>
          <w:szCs w:val="22"/>
        </w:rPr>
        <w:t>inhibítora alebo induktora CYP3A4 a/</w:t>
      </w:r>
      <w:r w:rsidR="0069420C">
        <w:rPr>
          <w:sz w:val="22"/>
          <w:szCs w:val="22"/>
        </w:rPr>
        <w:t>alebo PgP, na </w:t>
      </w:r>
      <w:r>
        <w:rPr>
          <w:sz w:val="22"/>
          <w:szCs w:val="22"/>
        </w:rPr>
        <w:t xml:space="preserve">základe predpokladanej AUC sa môže zvážiť úprava dávky </w:t>
      </w:r>
      <w:r w:rsidR="008A362A">
        <w:rPr>
          <w:sz w:val="22"/>
          <w:szCs w:val="22"/>
        </w:rPr>
        <w:t>Everolimu</w:t>
      </w:r>
      <w:r w:rsidR="00A371A6">
        <w:rPr>
          <w:sz w:val="22"/>
          <w:szCs w:val="22"/>
        </w:rPr>
        <w:t xml:space="preserve"> Mylan</w:t>
      </w:r>
      <w:r w:rsidR="008A362A">
        <w:rPr>
          <w:sz w:val="22"/>
          <w:szCs w:val="22"/>
        </w:rPr>
        <w:t xml:space="preserve"> (pozri časť </w:t>
      </w:r>
      <w:r w:rsidR="00F47233">
        <w:rPr>
          <w:sz w:val="22"/>
          <w:szCs w:val="22"/>
        </w:rPr>
        <w:t>4.5).</w:t>
      </w:r>
    </w:p>
    <w:p w14:paraId="225AC392" w14:textId="77777777" w:rsidR="006F24C7" w:rsidRDefault="00A371A6" w:rsidP="006F24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Súbežná</w:t>
      </w:r>
      <w:r w:rsidR="006F24C7">
        <w:rPr>
          <w:sz w:val="22"/>
          <w:szCs w:val="22"/>
        </w:rPr>
        <w:t xml:space="preserve"> liečba </w:t>
      </w:r>
      <w:r w:rsidR="006F24C7">
        <w:rPr>
          <w:b/>
          <w:bCs/>
          <w:i/>
          <w:iCs/>
          <w:sz w:val="22"/>
          <w:szCs w:val="22"/>
        </w:rPr>
        <w:t xml:space="preserve">silnými </w:t>
      </w:r>
      <w:r w:rsidR="008A362A">
        <w:rPr>
          <w:sz w:val="22"/>
          <w:szCs w:val="22"/>
        </w:rPr>
        <w:t>inibítormi CYP3A4 má za </w:t>
      </w:r>
      <w:r w:rsidR="006F24C7">
        <w:rPr>
          <w:sz w:val="22"/>
          <w:szCs w:val="22"/>
        </w:rPr>
        <w:t>následok dramaticky zvýšené plazmatické ko</w:t>
      </w:r>
      <w:r w:rsidR="008A362A">
        <w:rPr>
          <w:sz w:val="22"/>
          <w:szCs w:val="22"/>
        </w:rPr>
        <w:t>ncentrácie everolimu (pozri čas  4.5). V </w:t>
      </w:r>
      <w:r w:rsidR="006F24C7">
        <w:rPr>
          <w:sz w:val="22"/>
          <w:szCs w:val="22"/>
        </w:rPr>
        <w:t>súčasnosti nie sú dostatočné údaje, ktoré by umožnili odporuč</w:t>
      </w:r>
      <w:r w:rsidR="008A362A">
        <w:rPr>
          <w:sz w:val="22"/>
          <w:szCs w:val="22"/>
        </w:rPr>
        <w:t>iť dávkovanie v tejto situácii. Preto sa súbežná</w:t>
      </w:r>
      <w:r w:rsidR="006F24C7">
        <w:rPr>
          <w:sz w:val="22"/>
          <w:szCs w:val="22"/>
        </w:rPr>
        <w:t xml:space="preserve"> liečba </w:t>
      </w:r>
      <w:r w:rsidR="008A362A">
        <w:rPr>
          <w:sz w:val="22"/>
          <w:szCs w:val="22"/>
        </w:rPr>
        <w:t>Everolimom</w:t>
      </w:r>
      <w:r>
        <w:rPr>
          <w:sz w:val="22"/>
          <w:szCs w:val="22"/>
        </w:rPr>
        <w:t xml:space="preserve"> Mylan</w:t>
      </w:r>
      <w:r w:rsidR="006F24C7">
        <w:rPr>
          <w:sz w:val="22"/>
          <w:szCs w:val="22"/>
        </w:rPr>
        <w:t xml:space="preserve"> a </w:t>
      </w:r>
      <w:r w:rsidR="006F24C7">
        <w:rPr>
          <w:b/>
          <w:bCs/>
          <w:i/>
          <w:iCs/>
          <w:sz w:val="22"/>
          <w:szCs w:val="22"/>
        </w:rPr>
        <w:t xml:space="preserve">silnými </w:t>
      </w:r>
      <w:r w:rsidR="00F47233">
        <w:rPr>
          <w:sz w:val="22"/>
          <w:szCs w:val="22"/>
        </w:rPr>
        <w:t>inhibítormi neodporúča.</w:t>
      </w:r>
    </w:p>
    <w:p w14:paraId="0F0D75BF" w14:textId="77777777" w:rsidR="00A371A6" w:rsidRDefault="00A371A6" w:rsidP="006F24C7">
      <w:pPr>
        <w:pStyle w:val="Default"/>
        <w:rPr>
          <w:sz w:val="22"/>
          <w:szCs w:val="22"/>
        </w:rPr>
      </w:pPr>
    </w:p>
    <w:p w14:paraId="126AD6FA" w14:textId="77777777" w:rsidR="006F24C7" w:rsidRDefault="00822612" w:rsidP="006F24C7">
      <w:pPr>
        <w:ind w:left="0" w:firstLine="0"/>
        <w:rPr>
          <w:szCs w:val="22"/>
        </w:rPr>
      </w:pPr>
      <w:r>
        <w:rPr>
          <w:szCs w:val="22"/>
        </w:rPr>
        <w:t>Vzhľadom na </w:t>
      </w:r>
      <w:r w:rsidR="006F24C7">
        <w:rPr>
          <w:szCs w:val="22"/>
        </w:rPr>
        <w:t>možnosť liekových inter</w:t>
      </w:r>
      <w:r>
        <w:rPr>
          <w:szCs w:val="22"/>
        </w:rPr>
        <w:t>akcií je potrebná opatrnosť pri </w:t>
      </w:r>
      <w:r w:rsidR="006F24C7">
        <w:rPr>
          <w:szCs w:val="22"/>
        </w:rPr>
        <w:t xml:space="preserve">užívaní </w:t>
      </w:r>
      <w:r>
        <w:rPr>
          <w:szCs w:val="22"/>
        </w:rPr>
        <w:t>Everolimu</w:t>
      </w:r>
      <w:r w:rsidR="00A371A6">
        <w:rPr>
          <w:szCs w:val="22"/>
        </w:rPr>
        <w:t xml:space="preserve"> Mylan v </w:t>
      </w:r>
      <w:r>
        <w:rPr>
          <w:szCs w:val="22"/>
        </w:rPr>
        <w:t>kombinácii s </w:t>
      </w:r>
      <w:r w:rsidR="006F24C7">
        <w:rPr>
          <w:szCs w:val="22"/>
        </w:rPr>
        <w:t>perorálne podávanými substr</w:t>
      </w:r>
      <w:r>
        <w:rPr>
          <w:szCs w:val="22"/>
        </w:rPr>
        <w:t>átmi CYP3A4 s </w:t>
      </w:r>
      <w:r w:rsidR="006F24C7">
        <w:rPr>
          <w:szCs w:val="22"/>
        </w:rPr>
        <w:t xml:space="preserve">úzkym terapeutickým indexom. Ak sa </w:t>
      </w:r>
      <w:r w:rsidR="00A371A6">
        <w:rPr>
          <w:szCs w:val="22"/>
        </w:rPr>
        <w:lastRenderedPageBreak/>
        <w:t>Everolimus Mylan</w:t>
      </w:r>
      <w:r>
        <w:rPr>
          <w:szCs w:val="22"/>
        </w:rPr>
        <w:t xml:space="preserve"> užíva s </w:t>
      </w:r>
      <w:r w:rsidR="006F24C7">
        <w:rPr>
          <w:szCs w:val="22"/>
        </w:rPr>
        <w:t>perorálne</w:t>
      </w:r>
      <w:r>
        <w:rPr>
          <w:szCs w:val="22"/>
        </w:rPr>
        <w:t xml:space="preserve"> podávanými substrátmi CYP3A4 s </w:t>
      </w:r>
      <w:r w:rsidR="006F24C7">
        <w:rPr>
          <w:szCs w:val="22"/>
        </w:rPr>
        <w:t>úzkym terapeutickým indexom (napr. pimozidom, terfenadínom, astemizolom, cisapridom, chinidínom alebo derivátmi námeľových alkaloidov), pacie</w:t>
      </w:r>
      <w:r>
        <w:rPr>
          <w:szCs w:val="22"/>
        </w:rPr>
        <w:t>nta je potrebné sledovať pre nežiaduce účinky opísané v </w:t>
      </w:r>
      <w:r w:rsidR="006F24C7">
        <w:rPr>
          <w:szCs w:val="22"/>
        </w:rPr>
        <w:t>informácii o</w:t>
      </w:r>
      <w:r w:rsidR="0069420C">
        <w:rPr>
          <w:szCs w:val="22"/>
        </w:rPr>
        <w:t> </w:t>
      </w:r>
      <w:r w:rsidR="006F24C7">
        <w:rPr>
          <w:szCs w:val="22"/>
        </w:rPr>
        <w:t>lieku perorálne podávané</w:t>
      </w:r>
      <w:r>
        <w:rPr>
          <w:szCs w:val="22"/>
        </w:rPr>
        <w:t>ho substrátu CYP3A4 (pozri časť </w:t>
      </w:r>
      <w:r w:rsidR="006F24C7">
        <w:rPr>
          <w:szCs w:val="22"/>
        </w:rPr>
        <w:t>4.5).</w:t>
      </w:r>
    </w:p>
    <w:p w14:paraId="27C5E197" w14:textId="77777777" w:rsidR="00A371A6" w:rsidRDefault="00A371A6" w:rsidP="006F24C7">
      <w:pPr>
        <w:ind w:left="0" w:firstLine="0"/>
        <w:rPr>
          <w:szCs w:val="22"/>
        </w:rPr>
      </w:pPr>
    </w:p>
    <w:p w14:paraId="6D6C38DA" w14:textId="77777777" w:rsidR="00A371A6" w:rsidRPr="00A371A6" w:rsidRDefault="00F4723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 funkcie pečene</w:t>
      </w:r>
    </w:p>
    <w:p w14:paraId="6BCE0754" w14:textId="77777777" w:rsidR="00A371A6" w:rsidRDefault="00A371A6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822612">
        <w:rPr>
          <w:sz w:val="22"/>
          <w:szCs w:val="22"/>
        </w:rPr>
        <w:t>xpozícia everolimu sa zvýšila u pacientov s miernou (trieda A podľa </w:t>
      </w:r>
      <w:r>
        <w:rPr>
          <w:sz w:val="22"/>
          <w:szCs w:val="22"/>
        </w:rPr>
        <w:t>Childa-Pugha), stredne ťažkou (</w:t>
      </w:r>
      <w:r w:rsidR="00822612">
        <w:rPr>
          <w:sz w:val="22"/>
          <w:szCs w:val="22"/>
        </w:rPr>
        <w:t>trieda </w:t>
      </w:r>
      <w:r>
        <w:rPr>
          <w:sz w:val="22"/>
          <w:szCs w:val="22"/>
        </w:rPr>
        <w:t>B podľa</w:t>
      </w:r>
      <w:r w:rsidR="00822612">
        <w:rPr>
          <w:sz w:val="22"/>
          <w:szCs w:val="22"/>
        </w:rPr>
        <w:t> Childa-Pugha) a ťažkou (trieda C podľa </w:t>
      </w:r>
      <w:r>
        <w:rPr>
          <w:sz w:val="22"/>
          <w:szCs w:val="22"/>
        </w:rPr>
        <w:t>Childa-Pugha) poru</w:t>
      </w:r>
      <w:r w:rsidR="00822612">
        <w:rPr>
          <w:sz w:val="22"/>
          <w:szCs w:val="22"/>
        </w:rPr>
        <w:t>chou funkcie pečene (pozri časť </w:t>
      </w:r>
      <w:r w:rsidR="00F47233">
        <w:rPr>
          <w:sz w:val="22"/>
          <w:szCs w:val="22"/>
        </w:rPr>
        <w:t>5.2).</w:t>
      </w:r>
    </w:p>
    <w:p w14:paraId="59FC1AF9" w14:textId="77777777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Použitie Everolimu Mylan sa odporúča u pacientov s </w:t>
      </w:r>
      <w:r w:rsidR="00A371A6">
        <w:rPr>
          <w:sz w:val="22"/>
          <w:szCs w:val="22"/>
        </w:rPr>
        <w:t xml:space="preserve">ťažkou </w:t>
      </w:r>
      <w:r>
        <w:rPr>
          <w:sz w:val="22"/>
          <w:szCs w:val="22"/>
        </w:rPr>
        <w:t>poruchou funkcie pečene (trieda </w:t>
      </w:r>
      <w:r w:rsidR="00A371A6">
        <w:rPr>
          <w:sz w:val="22"/>
          <w:szCs w:val="22"/>
        </w:rPr>
        <w:t>C podľa</w:t>
      </w:r>
      <w:r>
        <w:rPr>
          <w:sz w:val="22"/>
          <w:szCs w:val="22"/>
        </w:rPr>
        <w:t> </w:t>
      </w:r>
      <w:r w:rsidR="00A371A6">
        <w:rPr>
          <w:sz w:val="22"/>
          <w:szCs w:val="22"/>
        </w:rPr>
        <w:t>Childa-Pugha), len ak možný prínos prevá</w:t>
      </w:r>
      <w:r>
        <w:rPr>
          <w:sz w:val="22"/>
          <w:szCs w:val="22"/>
        </w:rPr>
        <w:t>ži riziko (pozri časti 4.2 a </w:t>
      </w:r>
      <w:r w:rsidR="00F47233">
        <w:rPr>
          <w:sz w:val="22"/>
          <w:szCs w:val="22"/>
        </w:rPr>
        <w:t>5.2).</w:t>
      </w:r>
    </w:p>
    <w:p w14:paraId="37A3AD3B" w14:textId="673A0A85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súčasností nie sú k dispozícii klinické údaje o bezpečnosti a účinnosti, na </w:t>
      </w:r>
      <w:r w:rsidR="00A371A6">
        <w:rPr>
          <w:sz w:val="22"/>
          <w:szCs w:val="22"/>
        </w:rPr>
        <w:t>základe ktorých by bolo m</w:t>
      </w:r>
      <w:r>
        <w:rPr>
          <w:sz w:val="22"/>
          <w:szCs w:val="22"/>
        </w:rPr>
        <w:t>ožné odporučiť úpravu dávky pri </w:t>
      </w:r>
      <w:r w:rsidR="00173FCB">
        <w:rPr>
          <w:sz w:val="22"/>
          <w:szCs w:val="22"/>
        </w:rPr>
        <w:t>zvládaní</w:t>
      </w:r>
      <w:r>
        <w:rPr>
          <w:sz w:val="22"/>
          <w:szCs w:val="22"/>
        </w:rPr>
        <w:t xml:space="preserve"> nežiaducich reakcií u pacientov s </w:t>
      </w:r>
      <w:r w:rsidR="00F47233">
        <w:rPr>
          <w:sz w:val="22"/>
          <w:szCs w:val="22"/>
        </w:rPr>
        <w:t>poruchou funkcie pečene.</w:t>
      </w:r>
    </w:p>
    <w:p w14:paraId="1D39840E" w14:textId="77777777" w:rsidR="00A371A6" w:rsidRDefault="00A371A6" w:rsidP="00A371A6">
      <w:pPr>
        <w:pStyle w:val="Default"/>
        <w:rPr>
          <w:sz w:val="22"/>
          <w:szCs w:val="22"/>
        </w:rPr>
      </w:pPr>
    </w:p>
    <w:p w14:paraId="428BDBD6" w14:textId="77777777" w:rsidR="00A371A6" w:rsidRPr="00A371A6" w:rsidRDefault="009776A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Očkovanie</w:t>
      </w:r>
    </w:p>
    <w:p w14:paraId="0A7D76EA" w14:textId="13B6FD5E" w:rsidR="00A371A6" w:rsidRDefault="00173FCB" w:rsidP="009776A3">
      <w:pPr>
        <w:pStyle w:val="Default"/>
        <w:rPr>
          <w:sz w:val="22"/>
          <w:szCs w:val="22"/>
        </w:rPr>
      </w:pPr>
      <w:r w:rsidRPr="00173FCB">
        <w:rPr>
          <w:sz w:val="22"/>
          <w:szCs w:val="22"/>
        </w:rPr>
        <w:t xml:space="preserve">Je potrebné sa vyhnúť </w:t>
      </w:r>
      <w:r>
        <w:rPr>
          <w:sz w:val="22"/>
          <w:szCs w:val="22"/>
        </w:rPr>
        <w:t>p</w:t>
      </w:r>
      <w:r w:rsidR="00822612">
        <w:rPr>
          <w:sz w:val="22"/>
          <w:szCs w:val="22"/>
        </w:rPr>
        <w:t xml:space="preserve">oužitiu živých </w:t>
      </w:r>
      <w:r w:rsidR="009776A3">
        <w:rPr>
          <w:sz w:val="22"/>
          <w:szCs w:val="22"/>
        </w:rPr>
        <w:t>očkovacích látok</w:t>
      </w:r>
      <w:r w:rsidR="00822612">
        <w:rPr>
          <w:sz w:val="22"/>
          <w:szCs w:val="22"/>
        </w:rPr>
        <w:t xml:space="preserve"> počas liečby Everolimom</w:t>
      </w:r>
      <w:r w:rsidR="00A371A6">
        <w:rPr>
          <w:sz w:val="22"/>
          <w:szCs w:val="22"/>
        </w:rPr>
        <w:t xml:space="preserve"> Mylan</w:t>
      </w:r>
      <w:r w:rsidR="00822612">
        <w:rPr>
          <w:sz w:val="22"/>
          <w:szCs w:val="22"/>
        </w:rPr>
        <w:t xml:space="preserve"> (pozri časť </w:t>
      </w:r>
      <w:r w:rsidR="00F47233">
        <w:rPr>
          <w:sz w:val="22"/>
          <w:szCs w:val="22"/>
        </w:rPr>
        <w:t>4.5).</w:t>
      </w:r>
    </w:p>
    <w:p w14:paraId="0A479E24" w14:textId="77777777" w:rsidR="00A371A6" w:rsidRDefault="00A371A6" w:rsidP="00A371A6">
      <w:pPr>
        <w:pStyle w:val="Default"/>
        <w:rPr>
          <w:sz w:val="22"/>
          <w:szCs w:val="22"/>
        </w:rPr>
      </w:pPr>
    </w:p>
    <w:p w14:paraId="788A8837" w14:textId="77777777" w:rsidR="00A371A6" w:rsidRPr="00822612" w:rsidRDefault="00F4723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Komplikácie hojenia rán</w:t>
      </w:r>
    </w:p>
    <w:p w14:paraId="7598AE92" w14:textId="6E22C175" w:rsidR="00A371A6" w:rsidRPr="00822612" w:rsidRDefault="00A371A6" w:rsidP="009776A3">
      <w:pPr>
        <w:pStyle w:val="Default"/>
        <w:rPr>
          <w:sz w:val="22"/>
          <w:szCs w:val="22"/>
        </w:rPr>
      </w:pPr>
      <w:r w:rsidRPr="00822612">
        <w:rPr>
          <w:sz w:val="22"/>
          <w:szCs w:val="22"/>
        </w:rPr>
        <w:t xml:space="preserve">Zhoršené hojenie rán je účinok triedy derivátov rapamycínu, vrátane everolimu. </w:t>
      </w:r>
      <w:r w:rsidR="00822612" w:rsidRPr="00822612">
        <w:rPr>
          <w:sz w:val="22"/>
          <w:szCs w:val="22"/>
        </w:rPr>
        <w:t xml:space="preserve">Preto je potrebná opatrnosť pri použití </w:t>
      </w:r>
      <w:r w:rsidRPr="00822612">
        <w:rPr>
          <w:sz w:val="22"/>
          <w:szCs w:val="22"/>
        </w:rPr>
        <w:t>Evero</w:t>
      </w:r>
      <w:r w:rsidR="00822612" w:rsidRPr="00822612">
        <w:rPr>
          <w:sz w:val="22"/>
          <w:szCs w:val="22"/>
        </w:rPr>
        <w:t>limu Mylan v </w:t>
      </w:r>
      <w:r w:rsidR="00173FCB" w:rsidRPr="00173FCB">
        <w:rPr>
          <w:sz w:val="22"/>
          <w:szCs w:val="22"/>
        </w:rPr>
        <w:t>perioperačnom období</w:t>
      </w:r>
      <w:r w:rsidRPr="00822612">
        <w:rPr>
          <w:sz w:val="22"/>
          <w:szCs w:val="22"/>
        </w:rPr>
        <w:t>.</w:t>
      </w:r>
    </w:p>
    <w:p w14:paraId="7D6E1C55" w14:textId="77777777" w:rsidR="00A371A6" w:rsidRPr="00822612" w:rsidRDefault="00A371A6" w:rsidP="00A371A6">
      <w:pPr>
        <w:pStyle w:val="Default"/>
        <w:rPr>
          <w:sz w:val="22"/>
          <w:szCs w:val="22"/>
        </w:rPr>
      </w:pPr>
    </w:p>
    <w:p w14:paraId="0441EE7B" w14:textId="77777777" w:rsidR="00A371A6" w:rsidRPr="00822612" w:rsidRDefault="00822612" w:rsidP="00822612">
      <w:pPr>
        <w:keepNext/>
        <w:rPr>
          <w:szCs w:val="22"/>
        </w:rPr>
      </w:pPr>
      <w:r w:rsidRPr="00822612">
        <w:rPr>
          <w:rStyle w:val="Bodytext2"/>
          <w:sz w:val="22"/>
          <w:szCs w:val="22"/>
        </w:rPr>
        <w:t>Laktóza</w:t>
      </w:r>
    </w:p>
    <w:p w14:paraId="70669310" w14:textId="77777777" w:rsidR="00A371A6" w:rsidRDefault="00822612" w:rsidP="00F47233">
      <w:pPr>
        <w:ind w:left="0" w:firstLine="0"/>
        <w:rPr>
          <w:szCs w:val="22"/>
        </w:rPr>
      </w:pPr>
      <w:r>
        <w:rPr>
          <w:szCs w:val="22"/>
        </w:rPr>
        <w:t>Pacienti so </w:t>
      </w:r>
      <w:r w:rsidR="00A371A6" w:rsidRPr="00822612">
        <w:rPr>
          <w:szCs w:val="22"/>
        </w:rPr>
        <w:t>zriedkavými dedičnými problémami galaktózovej intolerancie, celkovým deficitom laktázy alebo glukózo</w:t>
      </w:r>
      <w:r w:rsidR="00A371A6">
        <w:t>-galaktózovou malabsorpciou nesmú užívať tento liek.</w:t>
      </w:r>
    </w:p>
    <w:p w14:paraId="2A24B75D" w14:textId="77777777" w:rsidR="00A371A6" w:rsidRPr="003021DE" w:rsidRDefault="00A371A6" w:rsidP="00A371A6">
      <w:pPr>
        <w:ind w:left="0" w:firstLine="0"/>
        <w:rPr>
          <w:szCs w:val="22"/>
        </w:rPr>
      </w:pPr>
    </w:p>
    <w:p w14:paraId="5D9B29A6" w14:textId="77777777" w:rsidR="00780926" w:rsidRDefault="00780926" w:rsidP="00822612">
      <w:pPr>
        <w:keepNext/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2499AE5B" w14:textId="77777777" w:rsidR="00780926" w:rsidRDefault="00780926" w:rsidP="00822612">
      <w:pPr>
        <w:keepNext/>
        <w:rPr>
          <w:szCs w:val="22"/>
        </w:rPr>
      </w:pPr>
    </w:p>
    <w:p w14:paraId="36C2A5DC" w14:textId="1CC8D2DA" w:rsidR="00A371A6" w:rsidRDefault="00A371A6" w:rsidP="00822612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Everolimus je substrát CYP3A4 a tiež substrát a stredne silný inhibítor PgP. Preto môže byť absorpcia a následná eliminácia everolimu ovpl</w:t>
      </w:r>
      <w:r w:rsidR="00822612">
        <w:rPr>
          <w:sz w:val="22"/>
          <w:szCs w:val="22"/>
        </w:rPr>
        <w:t>yvnená liekmi, ktoré pôsobia na </w:t>
      </w:r>
      <w:r>
        <w:rPr>
          <w:sz w:val="22"/>
          <w:szCs w:val="22"/>
        </w:rPr>
        <w:t xml:space="preserve">CYP3A4 a/alebo PgP. Everolimus je </w:t>
      </w:r>
      <w:r w:rsidR="00822612">
        <w:rPr>
          <w:i/>
          <w:iCs/>
          <w:sz w:val="22"/>
          <w:szCs w:val="22"/>
        </w:rPr>
        <w:t>in </w:t>
      </w:r>
      <w:r>
        <w:rPr>
          <w:i/>
          <w:iCs/>
          <w:sz w:val="22"/>
          <w:szCs w:val="22"/>
        </w:rPr>
        <w:t xml:space="preserve">vitro </w:t>
      </w:r>
      <w:r>
        <w:rPr>
          <w:sz w:val="22"/>
          <w:szCs w:val="22"/>
        </w:rPr>
        <w:t>kompetitívny inhibítor CYP3</w:t>
      </w:r>
      <w:r w:rsidR="00F47233">
        <w:rPr>
          <w:sz w:val="22"/>
          <w:szCs w:val="22"/>
        </w:rPr>
        <w:t>A4 a zmiešaný inhibítor CYP2D6.</w:t>
      </w:r>
    </w:p>
    <w:p w14:paraId="6461C9BA" w14:textId="77777777" w:rsidR="00A371A6" w:rsidRDefault="00A371A6" w:rsidP="00A371A6">
      <w:pPr>
        <w:pStyle w:val="Default"/>
        <w:rPr>
          <w:sz w:val="22"/>
          <w:szCs w:val="22"/>
        </w:rPr>
      </w:pPr>
    </w:p>
    <w:p w14:paraId="1684D87D" w14:textId="77777777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Známe a teoretické interakcie s </w:t>
      </w:r>
      <w:r w:rsidR="00A371A6">
        <w:rPr>
          <w:sz w:val="22"/>
          <w:szCs w:val="22"/>
        </w:rPr>
        <w:t>vybranými inhibítormi a induktormi C</w:t>
      </w:r>
      <w:r>
        <w:rPr>
          <w:sz w:val="22"/>
          <w:szCs w:val="22"/>
        </w:rPr>
        <w:t>YP3A4 a PgP sú uvedené nižšie v Tabuľke </w:t>
      </w:r>
      <w:r w:rsidR="00F47233" w:rsidRPr="00DE7496">
        <w:rPr>
          <w:b/>
          <w:sz w:val="22"/>
          <w:szCs w:val="22"/>
        </w:rPr>
        <w:t>2</w:t>
      </w:r>
      <w:r w:rsidR="00F47233">
        <w:rPr>
          <w:sz w:val="22"/>
          <w:szCs w:val="22"/>
        </w:rPr>
        <w:t>.</w:t>
      </w:r>
    </w:p>
    <w:p w14:paraId="0171E6D1" w14:textId="77777777" w:rsidR="00A371A6" w:rsidRDefault="00A371A6" w:rsidP="00A371A6">
      <w:pPr>
        <w:pStyle w:val="Default"/>
        <w:rPr>
          <w:sz w:val="22"/>
          <w:szCs w:val="22"/>
        </w:rPr>
      </w:pPr>
    </w:p>
    <w:p w14:paraId="09B08445" w14:textId="77777777" w:rsidR="00A371A6" w:rsidRPr="00A371A6" w:rsidRDefault="00A371A6" w:rsidP="00822612">
      <w:pPr>
        <w:pStyle w:val="Default"/>
        <w:keepNext/>
        <w:rPr>
          <w:sz w:val="22"/>
          <w:szCs w:val="22"/>
          <w:u w:val="single"/>
        </w:rPr>
      </w:pPr>
      <w:r w:rsidRPr="00A371A6">
        <w:rPr>
          <w:sz w:val="22"/>
          <w:szCs w:val="22"/>
          <w:u w:val="single"/>
        </w:rPr>
        <w:t>Inhibítory CYP3A4 a PgP z</w:t>
      </w:r>
      <w:r w:rsidR="009776A3">
        <w:rPr>
          <w:sz w:val="22"/>
          <w:szCs w:val="22"/>
          <w:u w:val="single"/>
        </w:rPr>
        <w:t>vyšujúce koncentrácie everolimu</w:t>
      </w:r>
    </w:p>
    <w:p w14:paraId="53CF0237" w14:textId="77777777" w:rsidR="00A371A6" w:rsidRDefault="00A371A6" w:rsidP="00F4723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Látky, ktoré sú inhibítormi CYP3A4 alebo PgP, môžu zvýšiť</w:t>
      </w:r>
      <w:r w:rsidR="00822612">
        <w:rPr>
          <w:sz w:val="22"/>
          <w:szCs w:val="22"/>
        </w:rPr>
        <w:t xml:space="preserve"> koncentrácie everolimu v </w:t>
      </w:r>
      <w:r>
        <w:rPr>
          <w:sz w:val="22"/>
          <w:szCs w:val="22"/>
        </w:rPr>
        <w:t>krvi znížením metab</w:t>
      </w:r>
      <w:r w:rsidR="00822612">
        <w:rPr>
          <w:sz w:val="22"/>
          <w:szCs w:val="22"/>
        </w:rPr>
        <w:t>olizmu alebo efluxu everolimu z </w:t>
      </w:r>
      <w:r w:rsidR="009776A3">
        <w:rPr>
          <w:sz w:val="22"/>
          <w:szCs w:val="22"/>
        </w:rPr>
        <w:t>črevných buniek.</w:t>
      </w:r>
    </w:p>
    <w:p w14:paraId="4794D155" w14:textId="77777777" w:rsidR="00A371A6" w:rsidRDefault="00A371A6" w:rsidP="00A371A6">
      <w:pPr>
        <w:pStyle w:val="Default"/>
        <w:rPr>
          <w:sz w:val="22"/>
          <w:szCs w:val="22"/>
        </w:rPr>
      </w:pPr>
    </w:p>
    <w:p w14:paraId="332F87D7" w14:textId="77777777" w:rsidR="00A371A6" w:rsidRPr="00A371A6" w:rsidRDefault="00A371A6" w:rsidP="00822612">
      <w:pPr>
        <w:pStyle w:val="Default"/>
        <w:keepNext/>
        <w:rPr>
          <w:sz w:val="22"/>
          <w:szCs w:val="22"/>
          <w:u w:val="single"/>
        </w:rPr>
      </w:pPr>
      <w:r w:rsidRPr="00A371A6">
        <w:rPr>
          <w:sz w:val="22"/>
          <w:szCs w:val="22"/>
          <w:u w:val="single"/>
        </w:rPr>
        <w:t xml:space="preserve">Induktory CYP3A4 a PgP znižujúce koncentrácie everolimu </w:t>
      </w:r>
    </w:p>
    <w:p w14:paraId="417B1467" w14:textId="77777777" w:rsidR="00A371A6" w:rsidRDefault="00A371A6" w:rsidP="009776A3">
      <w:pPr>
        <w:ind w:left="0" w:firstLine="0"/>
        <w:rPr>
          <w:szCs w:val="22"/>
        </w:rPr>
      </w:pPr>
      <w:r>
        <w:rPr>
          <w:szCs w:val="22"/>
        </w:rPr>
        <w:t xml:space="preserve">Látky, ktoré sú induktormi CYP3A4 alebo PgP, môžu </w:t>
      </w:r>
      <w:r w:rsidR="00822612">
        <w:rPr>
          <w:szCs w:val="22"/>
        </w:rPr>
        <w:t>znížiť koncentrácie everolimu v </w:t>
      </w:r>
      <w:r>
        <w:rPr>
          <w:szCs w:val="22"/>
        </w:rPr>
        <w:t>krvi zvyšovaním metab</w:t>
      </w:r>
      <w:r w:rsidR="00822612">
        <w:rPr>
          <w:szCs w:val="22"/>
        </w:rPr>
        <w:t>olizmu alebo efluxu everolimu z </w:t>
      </w:r>
      <w:r>
        <w:rPr>
          <w:szCs w:val="22"/>
        </w:rPr>
        <w:t>črevných buniek.</w:t>
      </w:r>
    </w:p>
    <w:p w14:paraId="29CA9055" w14:textId="77777777" w:rsidR="00A371A6" w:rsidRDefault="00754270" w:rsidP="00A371A6">
      <w:pPr>
        <w:rPr>
          <w:szCs w:val="22"/>
        </w:rPr>
      </w:pPr>
      <w:r>
        <w:rPr>
          <w:szCs w:val="22"/>
        </w:rPr>
        <w:br w:type="page"/>
      </w:r>
    </w:p>
    <w:p w14:paraId="5B0FC958" w14:textId="77777777" w:rsidR="00A371A6" w:rsidRDefault="00A371A6" w:rsidP="00A371A6">
      <w:pPr>
        <w:rPr>
          <w:bCs/>
          <w:szCs w:val="22"/>
        </w:rPr>
      </w:pPr>
      <w:r w:rsidRPr="00822612">
        <w:rPr>
          <w:bCs/>
          <w:i/>
          <w:szCs w:val="22"/>
        </w:rPr>
        <w:lastRenderedPageBreak/>
        <w:t>T</w:t>
      </w:r>
      <w:r w:rsidR="00822612">
        <w:rPr>
          <w:bCs/>
          <w:i/>
          <w:szCs w:val="22"/>
        </w:rPr>
        <w:t xml:space="preserve">abuľka </w:t>
      </w:r>
      <w:r w:rsidR="00822612" w:rsidRPr="00DE7496">
        <w:rPr>
          <w:b/>
          <w:bCs/>
          <w:i/>
          <w:szCs w:val="22"/>
        </w:rPr>
        <w:t>2</w:t>
      </w:r>
      <w:r w:rsidR="00822612">
        <w:rPr>
          <w:bCs/>
          <w:i/>
          <w:szCs w:val="22"/>
        </w:rPr>
        <w:t xml:space="preserve"> Účinky iných liečiv na </w:t>
      </w:r>
      <w:r w:rsidRPr="00822612">
        <w:rPr>
          <w:bCs/>
          <w:i/>
          <w:szCs w:val="22"/>
        </w:rPr>
        <w:t>everolimus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921"/>
        <w:gridCol w:w="3269"/>
      </w:tblGrid>
      <w:tr w:rsidR="00A371A6" w:rsidRPr="002D242D" w14:paraId="4D6E3D65" w14:textId="77777777" w:rsidTr="002D242D">
        <w:tc>
          <w:tcPr>
            <w:tcW w:w="2693" w:type="dxa"/>
            <w:shd w:val="clear" w:color="auto" w:fill="auto"/>
          </w:tcPr>
          <w:p w14:paraId="07AC2537" w14:textId="77777777" w:rsidR="00706ACA" w:rsidRPr="002D242D" w:rsidRDefault="00706ACA" w:rsidP="00706ACA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Liečivo podľa interakcie </w:t>
            </w:r>
          </w:p>
          <w:p w14:paraId="721C6633" w14:textId="77777777" w:rsidR="00A371A6" w:rsidRPr="002D242D" w:rsidRDefault="00A371A6" w:rsidP="002D242D">
            <w:pPr>
              <w:ind w:left="-567" w:firstLine="0"/>
              <w:jc w:val="right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89ADB6" w14:textId="77777777" w:rsidR="00706ACA" w:rsidRPr="002D242D" w:rsidRDefault="00706ACA" w:rsidP="002D242D">
            <w:pPr>
              <w:pStyle w:val="Default"/>
              <w:ind w:left="-72"/>
              <w:rPr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Interakcia – zmena AUC/C</w:t>
            </w:r>
            <w:r w:rsidRPr="002D242D">
              <w:rPr>
                <w:b/>
                <w:bCs/>
                <w:sz w:val="14"/>
                <w:szCs w:val="14"/>
              </w:rPr>
              <w:t xml:space="preserve">max </w:t>
            </w:r>
            <w:r w:rsidRPr="002D242D">
              <w:rPr>
                <w:b/>
                <w:bCs/>
                <w:sz w:val="22"/>
                <w:szCs w:val="22"/>
              </w:rPr>
              <w:t xml:space="preserve">everolimu </w:t>
            </w:r>
          </w:p>
          <w:p w14:paraId="2AD9EA46" w14:textId="5F4DC0DF" w:rsidR="00A371A6" w:rsidRPr="002D242D" w:rsidRDefault="007C1F75" w:rsidP="002D242D">
            <w:pPr>
              <w:ind w:left="-72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t>P</w:t>
            </w:r>
            <w:r w:rsidRPr="007C1F75">
              <w:rPr>
                <w:b/>
                <w:bCs/>
                <w:szCs w:val="22"/>
              </w:rPr>
              <w:t>omer geometrických priemerov</w:t>
            </w:r>
            <w:r w:rsidR="00706ACA" w:rsidRPr="002D242D">
              <w:rPr>
                <w:b/>
                <w:bCs/>
                <w:szCs w:val="22"/>
              </w:rPr>
              <w:t xml:space="preserve"> (pozorované rozmedzie) </w:t>
            </w:r>
          </w:p>
        </w:tc>
        <w:tc>
          <w:tcPr>
            <w:tcW w:w="3367" w:type="dxa"/>
            <w:shd w:val="clear" w:color="auto" w:fill="auto"/>
          </w:tcPr>
          <w:p w14:paraId="04FD3A07" w14:textId="77777777" w:rsidR="00706ACA" w:rsidRPr="002D242D" w:rsidRDefault="00706ACA" w:rsidP="002D242D">
            <w:pPr>
              <w:ind w:left="-567" w:firstLine="0"/>
              <w:rPr>
                <w:szCs w:val="22"/>
              </w:rPr>
            </w:pPr>
          </w:p>
          <w:p w14:paraId="01A7D3AC" w14:textId="77777777" w:rsidR="00706ACA" w:rsidRPr="002D242D" w:rsidRDefault="00822612" w:rsidP="00706ACA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Odporúčania pre </w:t>
            </w:r>
            <w:r w:rsidR="00706ACA" w:rsidRPr="002D242D">
              <w:rPr>
                <w:b/>
                <w:bCs/>
                <w:sz w:val="22"/>
                <w:szCs w:val="22"/>
              </w:rPr>
              <w:t xml:space="preserve">súbežné podávanie </w:t>
            </w:r>
          </w:p>
          <w:p w14:paraId="1E7018A5" w14:textId="77777777" w:rsidR="00A371A6" w:rsidRPr="002D242D" w:rsidRDefault="00A371A6" w:rsidP="00706ACA">
            <w:pPr>
              <w:rPr>
                <w:szCs w:val="22"/>
              </w:rPr>
            </w:pPr>
          </w:p>
        </w:tc>
      </w:tr>
      <w:tr w:rsidR="00A371A6" w:rsidRPr="002D242D" w14:paraId="5F5B004F" w14:textId="77777777" w:rsidTr="002D242D">
        <w:tc>
          <w:tcPr>
            <w:tcW w:w="2693" w:type="dxa"/>
            <w:shd w:val="clear" w:color="auto" w:fill="auto"/>
          </w:tcPr>
          <w:p w14:paraId="19362DAA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828602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05BDDDC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</w:tr>
      <w:tr w:rsidR="00706ACA" w:rsidRPr="002D242D" w14:paraId="2E8391F6" w14:textId="77777777" w:rsidTr="002D242D">
        <w:trPr>
          <w:trHeight w:val="392"/>
        </w:trPr>
        <w:tc>
          <w:tcPr>
            <w:tcW w:w="9037" w:type="dxa"/>
            <w:gridSpan w:val="3"/>
            <w:shd w:val="clear" w:color="auto" w:fill="auto"/>
          </w:tcPr>
          <w:p w14:paraId="4127CA2A" w14:textId="77777777" w:rsidR="00706ACA" w:rsidRPr="002D242D" w:rsidRDefault="00706ACA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Silné </w:t>
            </w:r>
            <w:r w:rsidRPr="002D242D">
              <w:rPr>
                <w:b/>
                <w:bCs/>
                <w:sz w:val="22"/>
                <w:szCs w:val="22"/>
              </w:rPr>
              <w:t xml:space="preserve">inhibítory CYP3A4/PgP </w:t>
            </w:r>
          </w:p>
        </w:tc>
      </w:tr>
      <w:tr w:rsidR="00754270" w:rsidRPr="002D242D" w14:paraId="7DDFF4D0" w14:textId="77777777" w:rsidTr="002D242D">
        <w:tc>
          <w:tcPr>
            <w:tcW w:w="2693" w:type="dxa"/>
            <w:shd w:val="clear" w:color="auto" w:fill="auto"/>
          </w:tcPr>
          <w:p w14:paraId="0883690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Ketokonazol </w:t>
            </w:r>
          </w:p>
          <w:p w14:paraId="34600EA6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41ED47D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↑15,3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0DCAA59E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(rozmedzie 11,2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–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22,5) </w:t>
            </w:r>
          </w:p>
          <w:p w14:paraId="32404896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↑4,1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672D6015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2,6 – </w:t>
            </w:r>
            <w:r w:rsidR="00754270" w:rsidRPr="002D242D">
              <w:rPr>
                <w:szCs w:val="22"/>
              </w:rPr>
              <w:t xml:space="preserve">7,0)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52CBEB4E" w14:textId="77777777" w:rsidR="00754270" w:rsidRPr="002D242D" w:rsidRDefault="00822612" w:rsidP="00754270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Súbežná liečba Everolimom</w:t>
            </w:r>
            <w:r w:rsidR="00754270" w:rsidRPr="002D242D">
              <w:rPr>
                <w:sz w:val="22"/>
                <w:szCs w:val="22"/>
              </w:rPr>
              <w:t xml:space="preserve"> Mylan a silnými inhibítormi sa neodporúča. </w:t>
            </w:r>
          </w:p>
          <w:p w14:paraId="740EFBD4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15E47D3A" w14:textId="77777777" w:rsidTr="002D242D">
        <w:tc>
          <w:tcPr>
            <w:tcW w:w="2693" w:type="dxa"/>
            <w:shd w:val="clear" w:color="auto" w:fill="auto"/>
          </w:tcPr>
          <w:p w14:paraId="13BFD90F" w14:textId="77777777" w:rsidR="00754270" w:rsidRPr="002D242D" w:rsidRDefault="00754270" w:rsidP="002D242D">
            <w:pPr>
              <w:tabs>
                <w:tab w:val="left" w:pos="1680"/>
              </w:tabs>
              <w:ind w:left="34" w:firstLine="0"/>
              <w:rPr>
                <w:szCs w:val="22"/>
              </w:rPr>
            </w:pPr>
            <w:r w:rsidRPr="002D242D">
              <w:rPr>
                <w:b/>
                <w:bCs/>
                <w:szCs w:val="22"/>
              </w:rPr>
              <w:t xml:space="preserve">Itrakonazol, posakonazol, vorikonazol </w:t>
            </w:r>
          </w:p>
          <w:p w14:paraId="41F6D3EA" w14:textId="77777777" w:rsidR="00754270" w:rsidRPr="002D242D" w:rsidRDefault="00754270" w:rsidP="002D242D">
            <w:pPr>
              <w:tabs>
                <w:tab w:val="left" w:pos="1680"/>
              </w:tabs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52C8C14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veľké zvýšenie koncentrácie everolimu. </w:t>
            </w:r>
          </w:p>
          <w:p w14:paraId="0906AD7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60396BAC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FE7E15C" w14:textId="77777777" w:rsidTr="002D242D">
        <w:tc>
          <w:tcPr>
            <w:tcW w:w="2693" w:type="dxa"/>
            <w:shd w:val="clear" w:color="auto" w:fill="auto"/>
          </w:tcPr>
          <w:p w14:paraId="79A4E87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Telitromycín, klaritromycín </w:t>
            </w:r>
          </w:p>
          <w:p w14:paraId="4676371A" w14:textId="77777777" w:rsidR="00754270" w:rsidRPr="002D242D" w:rsidRDefault="00754270" w:rsidP="002D242D">
            <w:pPr>
              <w:ind w:left="-567" w:firstLine="0"/>
              <w:jc w:val="center"/>
              <w:rPr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2CCA9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1165F80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2BF13DB5" w14:textId="77777777" w:rsidTr="002D242D">
        <w:tc>
          <w:tcPr>
            <w:tcW w:w="2693" w:type="dxa"/>
            <w:shd w:val="clear" w:color="auto" w:fill="auto"/>
          </w:tcPr>
          <w:p w14:paraId="4DBD333A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Nefazodón </w:t>
            </w:r>
          </w:p>
          <w:p w14:paraId="6E6329BC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D45003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B252B0D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6E426D93" w14:textId="77777777" w:rsidTr="002D242D">
        <w:tc>
          <w:tcPr>
            <w:tcW w:w="2693" w:type="dxa"/>
            <w:shd w:val="clear" w:color="auto" w:fill="auto"/>
          </w:tcPr>
          <w:p w14:paraId="60D9142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Ritonavir, atazanavir, sakvinavir, darunavir, indinavir, nelfinavir </w:t>
            </w:r>
          </w:p>
          <w:p w14:paraId="02E62BDB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32D1952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4313171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F7ACD52" w14:textId="77777777" w:rsidTr="002D242D">
        <w:tc>
          <w:tcPr>
            <w:tcW w:w="2693" w:type="dxa"/>
            <w:shd w:val="clear" w:color="auto" w:fill="auto"/>
          </w:tcPr>
          <w:p w14:paraId="0572A315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9E707B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F1FBBF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6FF51869" w14:textId="77777777" w:rsidTr="002D242D">
        <w:tc>
          <w:tcPr>
            <w:tcW w:w="9037" w:type="dxa"/>
            <w:gridSpan w:val="3"/>
            <w:shd w:val="clear" w:color="auto" w:fill="auto"/>
          </w:tcPr>
          <w:p w14:paraId="75238D6A" w14:textId="77777777" w:rsidR="00754270" w:rsidRPr="002D242D" w:rsidRDefault="00754270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Stredne silné </w:t>
            </w:r>
            <w:r w:rsidRPr="002D242D">
              <w:rPr>
                <w:b/>
                <w:bCs/>
                <w:sz w:val="22"/>
                <w:szCs w:val="22"/>
              </w:rPr>
              <w:t xml:space="preserve">inibítory CYP3A4/PgP </w:t>
            </w:r>
          </w:p>
        </w:tc>
      </w:tr>
      <w:tr w:rsidR="00754270" w:rsidRPr="002D242D" w14:paraId="2B04E029" w14:textId="77777777" w:rsidTr="002D242D">
        <w:tc>
          <w:tcPr>
            <w:tcW w:w="2693" w:type="dxa"/>
            <w:shd w:val="clear" w:color="auto" w:fill="auto"/>
          </w:tcPr>
          <w:p w14:paraId="28B66C8E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Erytromycín </w:t>
            </w:r>
          </w:p>
          <w:p w14:paraId="796F5987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CA76FF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↑4,4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5543DE4A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(rozmedzie 2,0 – </w:t>
            </w:r>
            <w:r w:rsidR="00754270" w:rsidRPr="002D242D">
              <w:rPr>
                <w:sz w:val="22"/>
                <w:szCs w:val="22"/>
              </w:rPr>
              <w:t xml:space="preserve">12,6) </w:t>
            </w:r>
          </w:p>
          <w:p w14:paraId="27B3ABEE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↑2,0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 xml:space="preserve"> 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32D78448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 xml:space="preserve">(rozmedzie 0,9 – </w:t>
            </w:r>
            <w:r w:rsidR="00754270" w:rsidRPr="002D242D">
              <w:rPr>
                <w:szCs w:val="22"/>
              </w:rPr>
              <w:t xml:space="preserve">3,5)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10FA8830" w14:textId="1607F34F" w:rsidR="00CC0BAB" w:rsidRPr="002D242D" w:rsidRDefault="00CC0BAB" w:rsidP="00CC0BAB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Postupujte opatrne, keď sa nemožn</w:t>
            </w:r>
            <w:r w:rsidR="00822612">
              <w:rPr>
                <w:sz w:val="22"/>
                <w:szCs w:val="22"/>
              </w:rPr>
              <w:t>o vyhnúť súbežnému podávaniu so </w:t>
            </w:r>
            <w:r w:rsidRPr="002D242D">
              <w:rPr>
                <w:sz w:val="22"/>
                <w:szCs w:val="22"/>
              </w:rPr>
              <w:t>stredne silnými inhibítormi CYP3A4</w:t>
            </w:r>
            <w:r w:rsidR="00822612">
              <w:rPr>
                <w:sz w:val="22"/>
                <w:szCs w:val="22"/>
              </w:rPr>
              <w:t xml:space="preserve"> alebo inhibítormi PgP. Ak sa u </w:t>
            </w:r>
            <w:r w:rsidRPr="002D242D">
              <w:rPr>
                <w:sz w:val="22"/>
                <w:szCs w:val="22"/>
              </w:rPr>
              <w:t>pacientov vyžaduje súbežné podávanie so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stredne silným inhibítorom CYP3A4 alebo PgP,</w:t>
            </w:r>
            <w:r w:rsidR="00822612">
              <w:rPr>
                <w:sz w:val="22"/>
                <w:szCs w:val="22"/>
              </w:rPr>
              <w:t xml:space="preserve"> možno zvážiť zníženie dávky na </w:t>
            </w:r>
            <w:r w:rsidRPr="002D242D">
              <w:rPr>
                <w:sz w:val="22"/>
                <w:szCs w:val="22"/>
              </w:rPr>
              <w:t>5 mg denne alebo 2,5 mg denne.</w:t>
            </w:r>
            <w:r w:rsidR="00822612">
              <w:rPr>
                <w:sz w:val="22"/>
                <w:szCs w:val="22"/>
              </w:rPr>
              <w:t xml:space="preserve"> </w:t>
            </w:r>
            <w:r w:rsidR="0082511C">
              <w:rPr>
                <w:sz w:val="22"/>
                <w:szCs w:val="22"/>
              </w:rPr>
              <w:t>Avšak n</w:t>
            </w:r>
            <w:r w:rsidR="00822612">
              <w:rPr>
                <w:sz w:val="22"/>
                <w:szCs w:val="22"/>
              </w:rPr>
              <w:t xml:space="preserve">ie sú </w:t>
            </w:r>
            <w:r w:rsidR="0082511C">
              <w:rPr>
                <w:sz w:val="22"/>
                <w:szCs w:val="22"/>
              </w:rPr>
              <w:t>k dispozícii</w:t>
            </w:r>
            <w:r w:rsidR="00822612">
              <w:rPr>
                <w:sz w:val="22"/>
                <w:szCs w:val="22"/>
              </w:rPr>
              <w:t xml:space="preserve"> klinické údaje pri tejto úprave dávky. Vzhľadom na </w:t>
            </w:r>
            <w:r w:rsidR="0082511C" w:rsidRPr="0082511C">
              <w:rPr>
                <w:sz w:val="22"/>
                <w:szCs w:val="22"/>
              </w:rPr>
              <w:t>interindividuálnu variabilitu</w:t>
            </w:r>
            <w:r w:rsidRPr="002D242D">
              <w:rPr>
                <w:sz w:val="22"/>
                <w:szCs w:val="22"/>
              </w:rPr>
              <w:t xml:space="preserve"> nemusí byť odporú</w:t>
            </w:r>
            <w:r w:rsidR="00822612">
              <w:rPr>
                <w:sz w:val="22"/>
                <w:szCs w:val="22"/>
              </w:rPr>
              <w:t>čaná úprava dávky optimálna pre </w:t>
            </w:r>
            <w:r w:rsidRPr="002D242D">
              <w:rPr>
                <w:sz w:val="22"/>
                <w:szCs w:val="22"/>
              </w:rPr>
              <w:t xml:space="preserve">všetkých jedincov, preto sa odporúča dôsledné sledovanie vedľajších účinkov. </w:t>
            </w:r>
          </w:p>
          <w:p w14:paraId="76475E98" w14:textId="4A0DD705" w:rsidR="00754270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Po ukončení podávania stredne silného inhibí</w:t>
            </w:r>
            <w:r w:rsidR="00822612">
              <w:rPr>
                <w:sz w:val="22"/>
                <w:szCs w:val="22"/>
              </w:rPr>
              <w:t xml:space="preserve">tora je potrebné zvážiť dobu </w:t>
            </w:r>
            <w:r w:rsidR="0082511C">
              <w:rPr>
                <w:sz w:val="22"/>
                <w:szCs w:val="22"/>
              </w:rPr>
              <w:t>potrebnú na elimináciu</w:t>
            </w:r>
            <w:r w:rsidR="00822612">
              <w:rPr>
                <w:sz w:val="22"/>
                <w:szCs w:val="22"/>
              </w:rPr>
              <w:t xml:space="preserve"> v </w:t>
            </w:r>
            <w:r w:rsidRPr="002D242D">
              <w:rPr>
                <w:sz w:val="22"/>
                <w:szCs w:val="22"/>
              </w:rPr>
              <w:t>dĺžke aspoň 2 až 3 dní (</w:t>
            </w:r>
            <w:r w:rsidR="00822612">
              <w:rPr>
                <w:sz w:val="22"/>
                <w:szCs w:val="22"/>
              </w:rPr>
              <w:t>priemerný eliminačný polčas pre </w:t>
            </w:r>
            <w:r w:rsidRPr="002D242D">
              <w:rPr>
                <w:sz w:val="22"/>
                <w:szCs w:val="22"/>
              </w:rPr>
              <w:t>väčšinu bežne používaných stredne silných inhibítorov) pre</w:t>
            </w:r>
            <w:r w:rsidR="00822612">
              <w:rPr>
                <w:sz w:val="22"/>
                <w:szCs w:val="22"/>
              </w:rPr>
              <w:t xml:space="preserve">dtým, ako sa dávka Everolimu Mylan vráti </w:t>
            </w:r>
            <w:r w:rsidR="00822612">
              <w:rPr>
                <w:sz w:val="22"/>
                <w:szCs w:val="22"/>
              </w:rPr>
              <w:lastRenderedPageBreak/>
              <w:t>na dávku používanú pred </w:t>
            </w:r>
            <w:r w:rsidRPr="002D242D">
              <w:rPr>
                <w:sz w:val="22"/>
                <w:szCs w:val="22"/>
              </w:rPr>
              <w:t xml:space="preserve">začatím súbežného podávania. </w:t>
            </w:r>
          </w:p>
        </w:tc>
      </w:tr>
      <w:tr w:rsidR="0038104C" w:rsidRPr="002D242D" w14:paraId="3E953BE2" w14:textId="77777777" w:rsidTr="002D242D">
        <w:tc>
          <w:tcPr>
            <w:tcW w:w="2693" w:type="dxa"/>
            <w:shd w:val="clear" w:color="auto" w:fill="auto"/>
          </w:tcPr>
          <w:p w14:paraId="4A197AF0" w14:textId="156D528E" w:rsidR="0038104C" w:rsidRPr="002D242D" w:rsidRDefault="0038104C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Imatinib</w:t>
            </w:r>
          </w:p>
        </w:tc>
        <w:tc>
          <w:tcPr>
            <w:tcW w:w="2977" w:type="dxa"/>
            <w:shd w:val="clear" w:color="auto" w:fill="auto"/>
          </w:tcPr>
          <w:p w14:paraId="210553D7" w14:textId="5CE9C01F" w:rsidR="001F6E96" w:rsidRPr="002D242D" w:rsidRDefault="001F6E96" w:rsidP="001F6E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AUC ↑3,7 </w:t>
            </w:r>
            <w:r w:rsidRPr="002D24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4E8E1C82" w14:textId="2AFC555F" w:rsidR="0038104C" w:rsidRPr="001F6E96" w:rsidRDefault="001F6E96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  <w:vertAlign w:val="subscript"/>
              </w:rPr>
              <w:t xml:space="preserve">max </w:t>
            </w:r>
            <w:r w:rsidR="003B1562">
              <w:rPr>
                <w:sz w:val="22"/>
                <w:szCs w:val="22"/>
              </w:rPr>
              <w:t>↑</w:t>
            </w:r>
            <w:r>
              <w:rPr>
                <w:sz w:val="22"/>
                <w:szCs w:val="22"/>
              </w:rPr>
              <w:t xml:space="preserve"> 2,2 - násobné</w:t>
            </w:r>
          </w:p>
        </w:tc>
        <w:tc>
          <w:tcPr>
            <w:tcW w:w="3367" w:type="dxa"/>
            <w:vMerge/>
            <w:shd w:val="clear" w:color="auto" w:fill="auto"/>
          </w:tcPr>
          <w:p w14:paraId="3CE88077" w14:textId="77777777" w:rsidR="0038104C" w:rsidRPr="002D242D" w:rsidRDefault="0038104C" w:rsidP="00CC0BAB">
            <w:pPr>
              <w:pStyle w:val="Default"/>
              <w:rPr>
                <w:sz w:val="22"/>
                <w:szCs w:val="22"/>
              </w:rPr>
            </w:pPr>
          </w:p>
        </w:tc>
      </w:tr>
      <w:tr w:rsidR="00754270" w:rsidRPr="002D242D" w14:paraId="11B432CB" w14:textId="77777777" w:rsidTr="002D242D">
        <w:tc>
          <w:tcPr>
            <w:tcW w:w="2693" w:type="dxa"/>
            <w:shd w:val="clear" w:color="auto" w:fill="auto"/>
          </w:tcPr>
          <w:p w14:paraId="751850F2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Verapamil </w:t>
            </w:r>
          </w:p>
          <w:p w14:paraId="40E63BC4" w14:textId="77777777" w:rsidR="00754270" w:rsidRPr="002D242D" w:rsidRDefault="00754270" w:rsidP="002D242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B8F9EC0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↑3,5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2FCA0FB5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2,2 – </w:t>
            </w:r>
            <w:r w:rsidR="00754270" w:rsidRPr="002D242D">
              <w:rPr>
                <w:sz w:val="22"/>
                <w:szCs w:val="22"/>
              </w:rPr>
              <w:t xml:space="preserve">6,3) </w:t>
            </w:r>
          </w:p>
          <w:p w14:paraId="75C95211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↑2,3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475E42AC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(rozmedzie1,3 – </w:t>
            </w:r>
            <w:r w:rsidR="00754270" w:rsidRPr="002D242D">
              <w:rPr>
                <w:szCs w:val="22"/>
              </w:rPr>
              <w:t xml:space="preserve">3,8) </w:t>
            </w:r>
          </w:p>
        </w:tc>
        <w:tc>
          <w:tcPr>
            <w:tcW w:w="3367" w:type="dxa"/>
            <w:vMerge/>
            <w:shd w:val="clear" w:color="auto" w:fill="auto"/>
          </w:tcPr>
          <w:p w14:paraId="06309AED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92A5B03" w14:textId="77777777" w:rsidTr="002D242D">
        <w:tc>
          <w:tcPr>
            <w:tcW w:w="2693" w:type="dxa"/>
            <w:shd w:val="clear" w:color="auto" w:fill="auto"/>
          </w:tcPr>
          <w:p w14:paraId="490D4E2B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Cyklosporín </w:t>
            </w:r>
            <w:r w:rsidR="0082511C">
              <w:rPr>
                <w:b/>
                <w:bCs/>
                <w:sz w:val="22"/>
                <w:szCs w:val="22"/>
              </w:rPr>
              <w:t xml:space="preserve">podávaný </w:t>
            </w:r>
            <w:r w:rsidRPr="002D242D">
              <w:rPr>
                <w:b/>
                <w:bCs/>
                <w:sz w:val="22"/>
                <w:szCs w:val="22"/>
              </w:rPr>
              <w:t xml:space="preserve">perorálne </w:t>
            </w:r>
          </w:p>
          <w:p w14:paraId="1E7C98D9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D006C6A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↑2,7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044BDF1A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1,5 – </w:t>
            </w:r>
            <w:r w:rsidR="00754270" w:rsidRPr="002D242D">
              <w:rPr>
                <w:sz w:val="22"/>
                <w:szCs w:val="22"/>
              </w:rPr>
              <w:t xml:space="preserve">4,7) </w:t>
            </w:r>
          </w:p>
          <w:p w14:paraId="6DBA8B96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↑1,8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2889DA9A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1,3 – </w:t>
            </w:r>
            <w:r w:rsidR="00754270" w:rsidRPr="002D242D">
              <w:rPr>
                <w:szCs w:val="22"/>
              </w:rPr>
              <w:t xml:space="preserve">2,6) </w:t>
            </w:r>
          </w:p>
        </w:tc>
        <w:tc>
          <w:tcPr>
            <w:tcW w:w="3367" w:type="dxa"/>
            <w:vMerge/>
            <w:shd w:val="clear" w:color="auto" w:fill="auto"/>
          </w:tcPr>
          <w:p w14:paraId="4B940901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5C87746" w14:textId="77777777" w:rsidTr="002D242D">
        <w:tc>
          <w:tcPr>
            <w:tcW w:w="2693" w:type="dxa"/>
            <w:shd w:val="clear" w:color="auto" w:fill="auto"/>
          </w:tcPr>
          <w:p w14:paraId="38F227EE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Flukonazol </w:t>
            </w:r>
          </w:p>
          <w:p w14:paraId="3CF2A4E3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43AC609F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expozícia. </w:t>
            </w:r>
          </w:p>
          <w:p w14:paraId="47038A8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6DE643EB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76A9F31" w14:textId="77777777" w:rsidTr="002D242D">
        <w:tc>
          <w:tcPr>
            <w:tcW w:w="2693" w:type="dxa"/>
            <w:shd w:val="clear" w:color="auto" w:fill="auto"/>
          </w:tcPr>
          <w:p w14:paraId="6694774B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Diltiazem </w:t>
            </w:r>
          </w:p>
          <w:p w14:paraId="68B1614B" w14:textId="77777777" w:rsidR="00754270" w:rsidRPr="002D242D" w:rsidRDefault="00754270" w:rsidP="002D242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7EE6D68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10E835F5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2B106C1C" w14:textId="77777777" w:rsidTr="002D242D">
        <w:tc>
          <w:tcPr>
            <w:tcW w:w="2693" w:type="dxa"/>
            <w:shd w:val="clear" w:color="auto" w:fill="auto"/>
          </w:tcPr>
          <w:p w14:paraId="1069F49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Amprenavir, fosamprenavir </w:t>
            </w:r>
          </w:p>
          <w:p w14:paraId="4BD82961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EB84BC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  <w:p w14:paraId="3F3ED29A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expozícia. </w:t>
            </w:r>
          </w:p>
          <w:p w14:paraId="68222D38" w14:textId="77777777" w:rsidR="00754270" w:rsidRPr="002D242D" w:rsidRDefault="00754270" w:rsidP="00754270">
            <w:pPr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22D9DE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73A6B6E" w14:textId="77777777" w:rsidTr="002D242D">
        <w:tc>
          <w:tcPr>
            <w:tcW w:w="2693" w:type="dxa"/>
            <w:shd w:val="clear" w:color="auto" w:fill="auto"/>
          </w:tcPr>
          <w:p w14:paraId="30102DF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Grapefruitová šťava alebo iné jedlo ovplyvňujúce CYP3A4/PgP </w:t>
            </w:r>
          </w:p>
          <w:p w14:paraId="77BF30C4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BED492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  <w:p w14:paraId="3FEDF188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 (účinok sa značne líši). </w:t>
            </w:r>
          </w:p>
          <w:p w14:paraId="2657B810" w14:textId="77777777" w:rsidR="00754270" w:rsidRPr="002D242D" w:rsidRDefault="00754270" w:rsidP="002D242D">
            <w:pPr>
              <w:tabs>
                <w:tab w:val="left" w:pos="1125"/>
              </w:tabs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3D067F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  <w:p w14:paraId="562EF0F4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Kombinácii je potrebné sa vyhnúť. </w:t>
            </w:r>
          </w:p>
          <w:p w14:paraId="61DEB108" w14:textId="77777777" w:rsidR="00754270" w:rsidRPr="002D242D" w:rsidRDefault="00754270" w:rsidP="00CC0BAB">
            <w:pPr>
              <w:rPr>
                <w:szCs w:val="22"/>
              </w:rPr>
            </w:pPr>
          </w:p>
        </w:tc>
      </w:tr>
      <w:tr w:rsidR="00754270" w:rsidRPr="002D242D" w14:paraId="4CB9F7B7" w14:textId="77777777" w:rsidTr="002D242D">
        <w:tc>
          <w:tcPr>
            <w:tcW w:w="2693" w:type="dxa"/>
            <w:shd w:val="clear" w:color="auto" w:fill="auto"/>
          </w:tcPr>
          <w:p w14:paraId="57382789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51A50A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735242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44D00038" w14:textId="77777777" w:rsidTr="002D242D">
        <w:tc>
          <w:tcPr>
            <w:tcW w:w="9037" w:type="dxa"/>
            <w:gridSpan w:val="3"/>
            <w:shd w:val="clear" w:color="auto" w:fill="auto"/>
          </w:tcPr>
          <w:p w14:paraId="1560FCD4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Silné a stredne silné </w:t>
            </w:r>
            <w:r w:rsidRPr="002D242D">
              <w:rPr>
                <w:b/>
                <w:bCs/>
                <w:sz w:val="22"/>
                <w:szCs w:val="22"/>
              </w:rPr>
              <w:t xml:space="preserve">induktory CYP3A4/PgP </w:t>
            </w:r>
          </w:p>
        </w:tc>
      </w:tr>
      <w:tr w:rsidR="00CC0BAB" w:rsidRPr="002D242D" w14:paraId="1DC6BD31" w14:textId="77777777" w:rsidTr="002D242D">
        <w:tc>
          <w:tcPr>
            <w:tcW w:w="2693" w:type="dxa"/>
            <w:shd w:val="clear" w:color="auto" w:fill="auto"/>
          </w:tcPr>
          <w:p w14:paraId="7AA54ED0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Rifampicín </w:t>
            </w:r>
          </w:p>
          <w:p w14:paraId="32CD860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9BE682" w14:textId="77777777" w:rsidR="00CC0BAB" w:rsidRPr="002D242D" w:rsidRDefault="00C80D23" w:rsidP="00CC0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AUC ↓63 </w:t>
            </w:r>
            <w:r w:rsidR="00CC0BAB" w:rsidRPr="002D242D">
              <w:rPr>
                <w:sz w:val="22"/>
                <w:szCs w:val="22"/>
              </w:rPr>
              <w:t xml:space="preserve">% </w:t>
            </w:r>
          </w:p>
          <w:p w14:paraId="24E6B789" w14:textId="77777777" w:rsidR="00CC0BAB" w:rsidRPr="002D242D" w:rsidRDefault="00822612" w:rsidP="00CC0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0 – </w:t>
            </w:r>
            <w:r w:rsidR="00CC0BAB" w:rsidRPr="002D242D">
              <w:rPr>
                <w:sz w:val="22"/>
                <w:szCs w:val="22"/>
              </w:rPr>
              <w:t xml:space="preserve">80 %) </w:t>
            </w:r>
          </w:p>
          <w:p w14:paraId="421BBFFC" w14:textId="77777777" w:rsidR="00CC0BAB" w:rsidRPr="002D242D" w:rsidRDefault="00CC0BAB" w:rsidP="00CC0BAB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="00822612">
              <w:rPr>
                <w:sz w:val="22"/>
                <w:szCs w:val="22"/>
              </w:rPr>
              <w:t>↓58 </w:t>
            </w:r>
            <w:r w:rsidRPr="002D242D">
              <w:rPr>
                <w:sz w:val="22"/>
                <w:szCs w:val="22"/>
              </w:rPr>
              <w:t xml:space="preserve">% </w:t>
            </w:r>
          </w:p>
          <w:p w14:paraId="3DA10FBF" w14:textId="77777777" w:rsidR="00CC0BAB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10 – 70 </w:t>
            </w:r>
            <w:r w:rsidR="00CC0BAB" w:rsidRPr="002D242D">
              <w:rPr>
                <w:szCs w:val="22"/>
              </w:rPr>
              <w:t xml:space="preserve">%)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66E5ED1F" w14:textId="3A820A5E" w:rsidR="00CC0BAB" w:rsidRPr="002D242D" w:rsidRDefault="00CC0BAB" w:rsidP="00D67E11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Vyhý</w:t>
            </w:r>
            <w:r w:rsidR="00822612">
              <w:rPr>
                <w:sz w:val="22"/>
                <w:szCs w:val="22"/>
              </w:rPr>
              <w:t>bajte sa súbežnému podávaniu so </w:t>
            </w:r>
            <w:r w:rsidRPr="002D242D">
              <w:rPr>
                <w:sz w:val="22"/>
                <w:szCs w:val="22"/>
              </w:rPr>
              <w:t>sil</w:t>
            </w:r>
            <w:r w:rsidR="00822612">
              <w:rPr>
                <w:sz w:val="22"/>
                <w:szCs w:val="22"/>
              </w:rPr>
              <w:t>nými induktormi CYP3A4. Ak sa u </w:t>
            </w:r>
            <w:r w:rsidRPr="002D242D">
              <w:rPr>
                <w:sz w:val="22"/>
                <w:szCs w:val="22"/>
              </w:rPr>
              <w:t>pacientov vyžaduje súbežné podávanie so silným induktorom CYP3A4, m</w:t>
            </w:r>
            <w:r w:rsidR="00822612">
              <w:rPr>
                <w:sz w:val="22"/>
                <w:szCs w:val="22"/>
              </w:rPr>
              <w:t>á sa zvážiť zvýšenie dávky Everolimu</w:t>
            </w:r>
            <w:r w:rsidRPr="002D242D">
              <w:rPr>
                <w:sz w:val="22"/>
                <w:szCs w:val="22"/>
              </w:rPr>
              <w:t xml:space="preserve"> Mylan z 10</w:t>
            </w:r>
            <w:r w:rsidR="00822612">
              <w:rPr>
                <w:sz w:val="22"/>
                <w:szCs w:val="22"/>
              </w:rPr>
              <w:t> mg denne až na 20 mg denne, so </w:t>
            </w:r>
            <w:r w:rsidRPr="002D242D">
              <w:rPr>
                <w:sz w:val="22"/>
                <w:szCs w:val="22"/>
              </w:rPr>
              <w:t>zvyšovaním po 5 mg alebo menej uskutočneným na 4. a 8. deň po začatí liečby in</w:t>
            </w:r>
            <w:r w:rsidR="00822612">
              <w:rPr>
                <w:sz w:val="22"/>
                <w:szCs w:val="22"/>
              </w:rPr>
              <w:t xml:space="preserve">duktorom. Pri tejto dávke </w:t>
            </w:r>
            <w:r w:rsidRPr="002D242D">
              <w:rPr>
                <w:sz w:val="22"/>
                <w:szCs w:val="22"/>
              </w:rPr>
              <w:t>Everolimu Mylan sa predpokladá, že AUC sa upraví do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rozmedzia pozorovaného bez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induktorov.</w:t>
            </w:r>
            <w:r w:rsidR="00822612">
              <w:rPr>
                <w:sz w:val="22"/>
                <w:szCs w:val="22"/>
              </w:rPr>
              <w:t xml:space="preserve"> </w:t>
            </w:r>
            <w:r w:rsidR="00255853">
              <w:rPr>
                <w:sz w:val="22"/>
                <w:szCs w:val="22"/>
              </w:rPr>
              <w:t>Avšak n</w:t>
            </w:r>
            <w:r w:rsidR="00822612">
              <w:rPr>
                <w:sz w:val="22"/>
                <w:szCs w:val="22"/>
              </w:rPr>
              <w:t xml:space="preserve">ie sú </w:t>
            </w:r>
            <w:r w:rsidR="00255853">
              <w:rPr>
                <w:sz w:val="22"/>
                <w:szCs w:val="22"/>
              </w:rPr>
              <w:t>k dispozícii</w:t>
            </w:r>
            <w:r w:rsidR="00822612">
              <w:rPr>
                <w:sz w:val="22"/>
                <w:szCs w:val="22"/>
              </w:rPr>
              <w:t xml:space="preserve"> klinické údaje pri </w:t>
            </w:r>
            <w:r w:rsidRPr="002D242D">
              <w:rPr>
                <w:sz w:val="22"/>
                <w:szCs w:val="22"/>
              </w:rPr>
              <w:t xml:space="preserve">tejto úprave dávky. Ak sa liečba induktorom ukončí, je potrebné zvážiť dobu </w:t>
            </w:r>
            <w:r w:rsidR="00255853">
              <w:rPr>
                <w:sz w:val="22"/>
                <w:szCs w:val="22"/>
              </w:rPr>
              <w:t>potrebnú na elimináciu</w:t>
            </w:r>
            <w:r w:rsidR="00822612">
              <w:rPr>
                <w:sz w:val="22"/>
                <w:szCs w:val="22"/>
              </w:rPr>
              <w:t xml:space="preserve"> v dĺžke aspoň 3 až </w:t>
            </w:r>
            <w:r w:rsidRPr="002D242D">
              <w:rPr>
                <w:sz w:val="22"/>
                <w:szCs w:val="22"/>
              </w:rPr>
              <w:t>5 dní (dostatočný čas na značnú enzýmovú deindukc</w:t>
            </w:r>
            <w:r w:rsidR="00D67E11">
              <w:rPr>
                <w:sz w:val="22"/>
                <w:szCs w:val="22"/>
              </w:rPr>
              <w:t>iu) predtým, ako sa dávka Everolimu Mylan vráti na </w:t>
            </w:r>
            <w:r w:rsidRPr="002D242D">
              <w:rPr>
                <w:sz w:val="22"/>
                <w:szCs w:val="22"/>
              </w:rPr>
              <w:t>dávku používanú pred</w:t>
            </w:r>
            <w:r w:rsidR="00D67E11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začatím súbežného podávania.</w:t>
            </w:r>
          </w:p>
        </w:tc>
      </w:tr>
      <w:tr w:rsidR="00CC0BAB" w:rsidRPr="002D242D" w14:paraId="27E96194" w14:textId="77777777" w:rsidTr="002D242D">
        <w:tc>
          <w:tcPr>
            <w:tcW w:w="2693" w:type="dxa"/>
            <w:shd w:val="clear" w:color="auto" w:fill="auto"/>
          </w:tcPr>
          <w:p w14:paraId="6C54CF1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Dexametazón</w:t>
            </w:r>
          </w:p>
        </w:tc>
        <w:tc>
          <w:tcPr>
            <w:tcW w:w="2977" w:type="dxa"/>
            <w:shd w:val="clear" w:color="auto" w:fill="auto"/>
          </w:tcPr>
          <w:p w14:paraId="0C99EB2B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07DF987B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5AF0B2B3" w14:textId="77777777" w:rsidTr="002D242D">
        <w:tc>
          <w:tcPr>
            <w:tcW w:w="2693" w:type="dxa"/>
            <w:shd w:val="clear" w:color="auto" w:fill="auto"/>
          </w:tcPr>
          <w:p w14:paraId="3F513BC3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Karbamazepín, fenobarbital, fenytoín</w:t>
            </w:r>
          </w:p>
        </w:tc>
        <w:tc>
          <w:tcPr>
            <w:tcW w:w="2977" w:type="dxa"/>
            <w:shd w:val="clear" w:color="auto" w:fill="auto"/>
          </w:tcPr>
          <w:p w14:paraId="2A6E8F3E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6E7A0A79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2DA58E9A" w14:textId="77777777" w:rsidTr="002D242D">
        <w:tc>
          <w:tcPr>
            <w:tcW w:w="2693" w:type="dxa"/>
            <w:shd w:val="clear" w:color="auto" w:fill="auto"/>
          </w:tcPr>
          <w:p w14:paraId="5F0468D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Efavirenz, nevirapín</w:t>
            </w:r>
          </w:p>
        </w:tc>
        <w:tc>
          <w:tcPr>
            <w:tcW w:w="2977" w:type="dxa"/>
            <w:shd w:val="clear" w:color="auto" w:fill="auto"/>
          </w:tcPr>
          <w:p w14:paraId="47373548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2C03ECF0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14EA412D" w14:textId="77777777" w:rsidTr="002D242D">
        <w:tc>
          <w:tcPr>
            <w:tcW w:w="2693" w:type="dxa"/>
            <w:shd w:val="clear" w:color="auto" w:fill="auto"/>
          </w:tcPr>
          <w:p w14:paraId="435C7480" w14:textId="77777777" w:rsidR="00754270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Ľubovník bodkovaný</w:t>
            </w:r>
          </w:p>
          <w:p w14:paraId="4CEE2213" w14:textId="77777777" w:rsidR="00CC0BAB" w:rsidRPr="002D242D" w:rsidRDefault="00CC0BAB" w:rsidP="00754270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2D242D">
              <w:rPr>
                <w:b/>
                <w:bCs/>
                <w:i/>
                <w:sz w:val="22"/>
                <w:szCs w:val="22"/>
              </w:rPr>
              <w:t>(Hypericum perforatum)</w:t>
            </w:r>
          </w:p>
        </w:tc>
        <w:tc>
          <w:tcPr>
            <w:tcW w:w="2977" w:type="dxa"/>
            <w:shd w:val="clear" w:color="auto" w:fill="auto"/>
          </w:tcPr>
          <w:p w14:paraId="669E08FE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veľké zníženie expozície. </w:t>
            </w:r>
          </w:p>
          <w:p w14:paraId="57CBED29" w14:textId="77777777" w:rsidR="00754270" w:rsidRPr="002D242D" w:rsidRDefault="00754270" w:rsidP="002D242D">
            <w:pPr>
              <w:ind w:left="-567" w:firstLine="708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5562585" w14:textId="77777777" w:rsidR="00754270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Lieky obsahujúce ľubovník bodkovaný sa počas liečby everolimom nemajú používať. </w:t>
            </w:r>
          </w:p>
        </w:tc>
      </w:tr>
    </w:tbl>
    <w:p w14:paraId="79D3175D" w14:textId="77777777" w:rsidR="00A371A6" w:rsidRDefault="00A371A6" w:rsidP="00A371A6">
      <w:pPr>
        <w:rPr>
          <w:szCs w:val="22"/>
        </w:rPr>
      </w:pPr>
    </w:p>
    <w:p w14:paraId="32343795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C1F75">
        <w:rPr>
          <w:sz w:val="22"/>
          <w:szCs w:val="22"/>
          <w:u w:val="single"/>
        </w:rPr>
        <w:t>Lát</w:t>
      </w:r>
      <w:r w:rsidRPr="007554D4">
        <w:rPr>
          <w:sz w:val="22"/>
          <w:szCs w:val="22"/>
          <w:u w:val="single"/>
        </w:rPr>
        <w:t>ky, ktorých plazmatickú kon</w:t>
      </w:r>
      <w:r w:rsidR="009776A3">
        <w:rPr>
          <w:sz w:val="22"/>
          <w:szCs w:val="22"/>
          <w:u w:val="single"/>
        </w:rPr>
        <w:t>centráciu môže meniť everolimus</w:t>
      </w:r>
    </w:p>
    <w:p w14:paraId="18451F15" w14:textId="77777777" w:rsidR="007554D4" w:rsidRDefault="00D67E11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Vzhľadom na </w:t>
      </w:r>
      <w:r w:rsidR="007554D4">
        <w:rPr>
          <w:sz w:val="22"/>
          <w:szCs w:val="22"/>
        </w:rPr>
        <w:t xml:space="preserve">výsledky </w:t>
      </w:r>
      <w:r w:rsidRPr="003B1562">
        <w:rPr>
          <w:b/>
          <w:i/>
          <w:iCs/>
          <w:sz w:val="22"/>
          <w:szCs w:val="22"/>
        </w:rPr>
        <w:t>in </w:t>
      </w:r>
      <w:r w:rsidR="007554D4" w:rsidRPr="003B1562">
        <w:rPr>
          <w:b/>
          <w:i/>
          <w:iCs/>
          <w:sz w:val="22"/>
          <w:szCs w:val="22"/>
        </w:rPr>
        <w:t>vitro</w:t>
      </w:r>
      <w:r w:rsidR="007554D4">
        <w:rPr>
          <w:i/>
          <w:iCs/>
          <w:sz w:val="22"/>
          <w:szCs w:val="22"/>
        </w:rPr>
        <w:t xml:space="preserve"> </w:t>
      </w:r>
      <w:r w:rsidR="007554D4">
        <w:rPr>
          <w:sz w:val="22"/>
          <w:szCs w:val="22"/>
        </w:rPr>
        <w:t>je nepravdepodobná inhibícia PgP, CYP3A4 a CYP2D6 systémovými konce</w:t>
      </w:r>
      <w:r>
        <w:rPr>
          <w:sz w:val="22"/>
          <w:szCs w:val="22"/>
        </w:rPr>
        <w:t>ntráciami, ktoré sa dosiahnu po perorálnych denných dávkach 10 mg. Inhibíciu CYP3A4 a PgP v </w:t>
      </w:r>
      <w:r w:rsidR="007554D4">
        <w:rPr>
          <w:sz w:val="22"/>
          <w:szCs w:val="22"/>
        </w:rPr>
        <w:t>čreve však nemož</w:t>
      </w:r>
      <w:r>
        <w:rPr>
          <w:sz w:val="22"/>
          <w:szCs w:val="22"/>
        </w:rPr>
        <w:t>no vylúčiť. Štúdia interakcií u </w:t>
      </w:r>
      <w:r w:rsidR="007554D4">
        <w:rPr>
          <w:sz w:val="22"/>
          <w:szCs w:val="22"/>
        </w:rPr>
        <w:t>zdravých osôb ukázala, že súbežné perorálne podanie dávky midazolamu, citlivého testovacieho substrátu CYP3A, a eve</w:t>
      </w:r>
      <w:r>
        <w:rPr>
          <w:sz w:val="22"/>
          <w:szCs w:val="22"/>
        </w:rPr>
        <w:t>rolimu malo za </w:t>
      </w:r>
      <w:r w:rsidR="007554D4">
        <w:rPr>
          <w:sz w:val="22"/>
          <w:szCs w:val="22"/>
        </w:rPr>
        <w:t>následok zvýšenie C</w:t>
      </w:r>
      <w:r w:rsidR="007554D4">
        <w:rPr>
          <w:sz w:val="14"/>
          <w:szCs w:val="14"/>
        </w:rPr>
        <w:t xml:space="preserve">max </w:t>
      </w:r>
      <w:r>
        <w:rPr>
          <w:sz w:val="22"/>
          <w:szCs w:val="22"/>
        </w:rPr>
        <w:t>midazolamu o 25 </w:t>
      </w:r>
      <w:r w:rsidR="007554D4">
        <w:rPr>
          <w:sz w:val="22"/>
          <w:szCs w:val="22"/>
        </w:rPr>
        <w:t>% a zvýšenie AUC</w:t>
      </w:r>
      <w:r w:rsidR="007554D4">
        <w:rPr>
          <w:sz w:val="14"/>
          <w:szCs w:val="14"/>
        </w:rPr>
        <w:t xml:space="preserve">(0-inf) </w:t>
      </w:r>
      <w:r>
        <w:rPr>
          <w:sz w:val="22"/>
          <w:szCs w:val="22"/>
        </w:rPr>
        <w:t>midazolamu o 30 </w:t>
      </w:r>
      <w:r w:rsidR="007554D4">
        <w:rPr>
          <w:sz w:val="22"/>
          <w:szCs w:val="22"/>
        </w:rPr>
        <w:t>%. Tento účinok pravdepodobne vyvoláva inhibícia črevného CYP3A4 everolimom. Preto everolimus môže ovplyvniť biologickú dostupnosť súbežne perorálne podávaných substrátov CYP3</w:t>
      </w:r>
      <w:r>
        <w:rPr>
          <w:sz w:val="22"/>
          <w:szCs w:val="22"/>
        </w:rPr>
        <w:t>A4. Klinicky významný účinok na </w:t>
      </w:r>
      <w:r w:rsidR="007554D4">
        <w:rPr>
          <w:sz w:val="22"/>
          <w:szCs w:val="22"/>
        </w:rPr>
        <w:t>expozíciu systémovo podávaným substrátom CYP3</w:t>
      </w:r>
      <w:r>
        <w:rPr>
          <w:sz w:val="22"/>
          <w:szCs w:val="22"/>
        </w:rPr>
        <w:t>A4 sa však neočakáva (pozri čas </w:t>
      </w:r>
      <w:r w:rsidR="009776A3">
        <w:rPr>
          <w:sz w:val="22"/>
          <w:szCs w:val="22"/>
        </w:rPr>
        <w:t xml:space="preserve"> 4.4).</w:t>
      </w:r>
    </w:p>
    <w:p w14:paraId="2EC614D7" w14:textId="5BB77CBB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Súbežné podávanie everolimu a depotného oktreotidu zvýšilo C</w:t>
      </w:r>
      <w:r>
        <w:rPr>
          <w:sz w:val="14"/>
          <w:szCs w:val="14"/>
        </w:rPr>
        <w:t xml:space="preserve">min </w:t>
      </w:r>
      <w:r w:rsidR="00D67E11">
        <w:rPr>
          <w:sz w:val="22"/>
          <w:szCs w:val="22"/>
        </w:rPr>
        <w:t xml:space="preserve">oktreotidu </w:t>
      </w:r>
      <w:r w:rsidR="007C1F75" w:rsidRPr="007C1F75">
        <w:rPr>
          <w:sz w:val="22"/>
          <w:szCs w:val="22"/>
        </w:rPr>
        <w:t>pričom pomer geometrických priemerov</w:t>
      </w:r>
      <w:r>
        <w:rPr>
          <w:sz w:val="22"/>
          <w:szCs w:val="22"/>
        </w:rPr>
        <w:t xml:space="preserve"> (everolimus/placebo) </w:t>
      </w:r>
      <w:r w:rsidR="007C1F75">
        <w:rPr>
          <w:sz w:val="22"/>
          <w:szCs w:val="22"/>
        </w:rPr>
        <w:t xml:space="preserve">bol </w:t>
      </w:r>
      <w:r>
        <w:rPr>
          <w:sz w:val="22"/>
          <w:szCs w:val="22"/>
        </w:rPr>
        <w:t>1,47. Klinicky významné ov</w:t>
      </w:r>
      <w:r w:rsidR="00D67E11">
        <w:rPr>
          <w:sz w:val="22"/>
          <w:szCs w:val="22"/>
        </w:rPr>
        <w:t>plyvnenie účinnosti odpovede na everolimus u pacientov s </w:t>
      </w:r>
      <w:r>
        <w:rPr>
          <w:sz w:val="22"/>
          <w:szCs w:val="22"/>
        </w:rPr>
        <w:t>pokročilými neuroendokrinn</w:t>
      </w:r>
      <w:r w:rsidR="00D67E11">
        <w:rPr>
          <w:sz w:val="22"/>
          <w:szCs w:val="22"/>
        </w:rPr>
        <w:t>ými nádormi sa nepreukázalo.</w:t>
      </w:r>
    </w:p>
    <w:p w14:paraId="001A3607" w14:textId="77777777" w:rsidR="007554D4" w:rsidRDefault="007554D4" w:rsidP="007554D4">
      <w:pPr>
        <w:pStyle w:val="Default"/>
        <w:rPr>
          <w:color w:val="auto"/>
        </w:rPr>
      </w:pPr>
    </w:p>
    <w:p w14:paraId="08976DAF" w14:textId="07B9DC9B" w:rsidR="007554D4" w:rsidRDefault="007554D4" w:rsidP="007554D4">
      <w:pPr>
        <w:ind w:left="0" w:firstLine="0"/>
        <w:rPr>
          <w:szCs w:val="22"/>
        </w:rPr>
      </w:pPr>
      <w:r>
        <w:rPr>
          <w:szCs w:val="22"/>
        </w:rPr>
        <w:t>Súbežné podávanie everolimu a exemestánu zvýšilo C</w:t>
      </w:r>
      <w:r>
        <w:rPr>
          <w:sz w:val="14"/>
          <w:szCs w:val="14"/>
        </w:rPr>
        <w:t xml:space="preserve">min </w:t>
      </w:r>
      <w:r w:rsidR="00D67E11">
        <w:rPr>
          <w:szCs w:val="22"/>
        </w:rPr>
        <w:t>exemestánu o 45 </w:t>
      </w:r>
      <w:r>
        <w:rPr>
          <w:szCs w:val="22"/>
        </w:rPr>
        <w:t>% a C</w:t>
      </w:r>
      <w:r>
        <w:rPr>
          <w:sz w:val="14"/>
          <w:szCs w:val="14"/>
        </w:rPr>
        <w:t xml:space="preserve">2h </w:t>
      </w:r>
      <w:r w:rsidR="00D67E11">
        <w:rPr>
          <w:szCs w:val="22"/>
        </w:rPr>
        <w:t>o 64 </w:t>
      </w:r>
      <w:r>
        <w:rPr>
          <w:szCs w:val="22"/>
        </w:rPr>
        <w:t>%. Avšak v rovnovážnom stave (4 týždne) sa zodpovedajúc</w:t>
      </w:r>
      <w:r w:rsidR="00D67E11">
        <w:rPr>
          <w:szCs w:val="22"/>
        </w:rPr>
        <w:t>e koncentrácie estradiolu medzi </w:t>
      </w:r>
      <w:r>
        <w:rPr>
          <w:szCs w:val="22"/>
        </w:rPr>
        <w:t>obo</w:t>
      </w:r>
      <w:r w:rsidR="00D67E11">
        <w:rPr>
          <w:szCs w:val="22"/>
        </w:rPr>
        <w:t>ma skupinami liečby nelíšili. U pacientok s pokročilým karcinómom prsníka s </w:t>
      </w:r>
      <w:r>
        <w:rPr>
          <w:szCs w:val="22"/>
        </w:rPr>
        <w:t xml:space="preserve">pozitivitou hormonálnych receptorov, ktoré dostávali kombináciu, sa nepozorovalo zvýšenie nežiaducich udalostí súvisiacich </w:t>
      </w:r>
      <w:r>
        <w:rPr>
          <w:szCs w:val="22"/>
        </w:rPr>
        <w:lastRenderedPageBreak/>
        <w:t>s</w:t>
      </w:r>
      <w:r w:rsidR="00D67E11">
        <w:rPr>
          <w:szCs w:val="22"/>
        </w:rPr>
        <w:t> </w:t>
      </w:r>
      <w:r>
        <w:rPr>
          <w:szCs w:val="22"/>
        </w:rPr>
        <w:t xml:space="preserve">exemestánom. </w:t>
      </w:r>
      <w:r w:rsidR="00EE60FB" w:rsidRPr="00EE60FB">
        <w:rPr>
          <w:szCs w:val="22"/>
        </w:rPr>
        <w:t>Zvýšenie hladín exem</w:t>
      </w:r>
      <w:r w:rsidR="00EE60FB">
        <w:rPr>
          <w:szCs w:val="22"/>
        </w:rPr>
        <w:t>estánu pravdepodobne nemá</w:t>
      </w:r>
      <w:r w:rsidR="00D67E11">
        <w:rPr>
          <w:szCs w:val="22"/>
        </w:rPr>
        <w:t xml:space="preserve"> vplyv na </w:t>
      </w:r>
      <w:r>
        <w:rPr>
          <w:szCs w:val="22"/>
        </w:rPr>
        <w:t>účinnosť alebo bezpečnosť.</w:t>
      </w:r>
    </w:p>
    <w:p w14:paraId="34577C76" w14:textId="77777777" w:rsidR="007554D4" w:rsidRDefault="007554D4" w:rsidP="007554D4">
      <w:pPr>
        <w:ind w:left="0" w:firstLine="0"/>
        <w:rPr>
          <w:szCs w:val="22"/>
        </w:rPr>
      </w:pPr>
    </w:p>
    <w:p w14:paraId="1B4E9154" w14:textId="77777777" w:rsidR="007554D4" w:rsidRPr="007554D4" w:rsidRDefault="00D67E11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Súbežná liečba s </w:t>
      </w:r>
      <w:r w:rsidR="007554D4" w:rsidRPr="007554D4">
        <w:rPr>
          <w:sz w:val="22"/>
          <w:szCs w:val="22"/>
          <w:u w:val="single"/>
        </w:rPr>
        <w:t>inhibítormi enzýmu konvertujúceho angiotenzín (ACE)</w:t>
      </w:r>
    </w:p>
    <w:p w14:paraId="3029FF46" w14:textId="7777777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Pacienti užívajúci súbežne liečbu ACE inhibítormi (napr. ramipril) môžu mať zvýše</w:t>
      </w:r>
      <w:r w:rsidR="00DB68AF">
        <w:rPr>
          <w:sz w:val="22"/>
          <w:szCs w:val="22"/>
        </w:rPr>
        <w:t>né riziko angioedému (pozri časť </w:t>
      </w:r>
      <w:r w:rsidR="009776A3">
        <w:rPr>
          <w:sz w:val="22"/>
          <w:szCs w:val="22"/>
        </w:rPr>
        <w:t>4.4)</w:t>
      </w:r>
    </w:p>
    <w:p w14:paraId="5632E1A7" w14:textId="77777777" w:rsidR="00D67E11" w:rsidRDefault="00D67E11" w:rsidP="009776A3">
      <w:pPr>
        <w:pStyle w:val="Default"/>
        <w:autoSpaceDE/>
        <w:autoSpaceDN/>
        <w:adjustRightInd/>
        <w:rPr>
          <w:sz w:val="22"/>
          <w:szCs w:val="22"/>
        </w:rPr>
      </w:pPr>
    </w:p>
    <w:p w14:paraId="7907B538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Očkovanie</w:t>
      </w:r>
    </w:p>
    <w:p w14:paraId="37C01CEE" w14:textId="39F8D5C0" w:rsidR="007554D4" w:rsidRDefault="00D67E11" w:rsidP="009776A3">
      <w:pPr>
        <w:ind w:left="0" w:firstLine="0"/>
        <w:rPr>
          <w:szCs w:val="22"/>
        </w:rPr>
      </w:pPr>
      <w:r>
        <w:rPr>
          <w:szCs w:val="22"/>
        </w:rPr>
        <w:t>Počas liečby Everolimom</w:t>
      </w:r>
      <w:r w:rsidR="007554D4">
        <w:rPr>
          <w:szCs w:val="22"/>
        </w:rPr>
        <w:t xml:space="preserve"> Mylan môže byť</w:t>
      </w:r>
      <w:r>
        <w:rPr>
          <w:szCs w:val="22"/>
        </w:rPr>
        <w:t xml:space="preserve"> ovplyvnená imunitná odpoveď na </w:t>
      </w:r>
      <w:r w:rsidR="009776A3">
        <w:rPr>
          <w:szCs w:val="22"/>
        </w:rPr>
        <w:t>očkovanie</w:t>
      </w:r>
      <w:r w:rsidR="007554D4">
        <w:rPr>
          <w:szCs w:val="22"/>
        </w:rPr>
        <w:t xml:space="preserve">, preto </w:t>
      </w:r>
      <w:r w:rsidR="009776A3">
        <w:rPr>
          <w:szCs w:val="22"/>
        </w:rPr>
        <w:t>očkovanie</w:t>
      </w:r>
      <w:r w:rsidR="007554D4">
        <w:rPr>
          <w:szCs w:val="22"/>
        </w:rPr>
        <w:t xml:space="preserve"> môže byť menej účinn</w:t>
      </w:r>
      <w:r w:rsidR="009776A3">
        <w:rPr>
          <w:szCs w:val="22"/>
        </w:rPr>
        <w:t>é</w:t>
      </w:r>
      <w:r w:rsidR="007554D4">
        <w:rPr>
          <w:szCs w:val="22"/>
        </w:rPr>
        <w:t xml:space="preserve">. </w:t>
      </w:r>
      <w:r w:rsidR="00D97F2D">
        <w:rPr>
          <w:szCs w:val="22"/>
        </w:rPr>
        <w:t>J</w:t>
      </w:r>
      <w:r w:rsidR="00D97F2D" w:rsidRPr="00D97F2D">
        <w:rPr>
          <w:szCs w:val="22"/>
        </w:rPr>
        <w:t xml:space="preserve">e potrebné sa vyhnúť </w:t>
      </w:r>
      <w:r w:rsidR="00D97F2D">
        <w:rPr>
          <w:szCs w:val="22"/>
        </w:rPr>
        <w:t>p</w:t>
      </w:r>
      <w:r w:rsidR="007554D4">
        <w:rPr>
          <w:szCs w:val="22"/>
        </w:rPr>
        <w:t>oužitiu ži</w:t>
      </w:r>
      <w:r>
        <w:rPr>
          <w:szCs w:val="22"/>
        </w:rPr>
        <w:t xml:space="preserve">vých </w:t>
      </w:r>
      <w:r w:rsidR="009776A3">
        <w:rPr>
          <w:szCs w:val="22"/>
        </w:rPr>
        <w:t>očkovacích látok</w:t>
      </w:r>
      <w:r>
        <w:rPr>
          <w:szCs w:val="22"/>
        </w:rPr>
        <w:t xml:space="preserve"> počas liečby Everolimom</w:t>
      </w:r>
      <w:r w:rsidR="007554D4">
        <w:rPr>
          <w:szCs w:val="22"/>
        </w:rPr>
        <w:t xml:space="preserve"> Mylan</w:t>
      </w:r>
      <w:r>
        <w:rPr>
          <w:szCs w:val="22"/>
        </w:rPr>
        <w:t xml:space="preserve"> (pozri časť </w:t>
      </w:r>
      <w:r w:rsidR="007554D4">
        <w:rPr>
          <w:szCs w:val="22"/>
        </w:rPr>
        <w:t xml:space="preserve">4.4). Príkladom živých </w:t>
      </w:r>
      <w:r w:rsidR="009776A3">
        <w:rPr>
          <w:szCs w:val="22"/>
        </w:rPr>
        <w:t>očkovacích látok</w:t>
      </w:r>
      <w:r>
        <w:rPr>
          <w:szCs w:val="22"/>
        </w:rPr>
        <w:t xml:space="preserve"> je: intranazálna </w:t>
      </w:r>
      <w:r w:rsidR="009776A3">
        <w:rPr>
          <w:szCs w:val="22"/>
        </w:rPr>
        <w:t>očkovacia látka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chrípke, </w:t>
      </w:r>
      <w:r w:rsidR="009776A3">
        <w:rPr>
          <w:szCs w:val="22"/>
        </w:rPr>
        <w:t>očkovacie látky</w:t>
      </w:r>
      <w:r w:rsidR="007554D4">
        <w:rPr>
          <w:szCs w:val="22"/>
        </w:rPr>
        <w:t xml:space="preserve"> proti osýpkam, mumpsu, r</w:t>
      </w:r>
      <w:r>
        <w:rPr>
          <w:szCs w:val="22"/>
        </w:rPr>
        <w:t xml:space="preserve">ubeole, perorálna </w:t>
      </w:r>
      <w:r w:rsidR="009776A3">
        <w:rPr>
          <w:szCs w:val="22"/>
        </w:rPr>
        <w:t>očkovacia látka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poliomyelitíde, BCG (Bacillus </w:t>
      </w:r>
      <w:r>
        <w:rPr>
          <w:szCs w:val="22"/>
        </w:rPr>
        <w:t xml:space="preserve">Calmette-Guérin), </w:t>
      </w:r>
      <w:r w:rsidR="009776A3">
        <w:rPr>
          <w:szCs w:val="22"/>
        </w:rPr>
        <w:t>očkovacie látky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žltej zimnici, </w:t>
      </w:r>
      <w:r w:rsidR="00EE60FB">
        <w:rPr>
          <w:szCs w:val="22"/>
        </w:rPr>
        <w:t>ovčím kiahňam</w:t>
      </w:r>
      <w:r w:rsidR="007554D4">
        <w:rPr>
          <w:szCs w:val="22"/>
        </w:rPr>
        <w:t xml:space="preserve"> a týfu</w:t>
      </w:r>
      <w:r w:rsidR="00EE60FB">
        <w:rPr>
          <w:szCs w:val="22"/>
        </w:rPr>
        <w:t>su</w:t>
      </w:r>
      <w:r w:rsidR="007554D4">
        <w:rPr>
          <w:szCs w:val="22"/>
        </w:rPr>
        <w:t xml:space="preserve"> TY21a.</w:t>
      </w:r>
    </w:p>
    <w:p w14:paraId="6022AC67" w14:textId="77777777" w:rsidR="007554D4" w:rsidRDefault="007554D4" w:rsidP="007554D4">
      <w:pPr>
        <w:ind w:left="0" w:firstLine="0"/>
        <w:rPr>
          <w:szCs w:val="22"/>
        </w:rPr>
      </w:pPr>
    </w:p>
    <w:p w14:paraId="2D3CD25F" w14:textId="77777777" w:rsidR="00780926" w:rsidRPr="003021DE" w:rsidRDefault="00780926" w:rsidP="00D67E11">
      <w:pPr>
        <w:keepNext/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115F5005" w14:textId="77777777" w:rsidR="00E1698A" w:rsidRPr="00B13F68" w:rsidRDefault="00E1698A" w:rsidP="00D67E11">
      <w:pPr>
        <w:keepNext/>
      </w:pPr>
    </w:p>
    <w:p w14:paraId="108D8A90" w14:textId="210B1F16" w:rsidR="007554D4" w:rsidRPr="007554D4" w:rsidRDefault="00D67E11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Ženy v</w:t>
      </w:r>
      <w:r w:rsidR="00D97F2D">
        <w:rPr>
          <w:sz w:val="22"/>
          <w:szCs w:val="22"/>
          <w:u w:val="single"/>
        </w:rPr>
        <w:t>o fertilnom</w:t>
      </w:r>
      <w:r w:rsidR="007554D4" w:rsidRPr="007554D4">
        <w:rPr>
          <w:sz w:val="22"/>
          <w:szCs w:val="22"/>
          <w:u w:val="single"/>
        </w:rPr>
        <w:t xml:space="preserve"> veku/</w:t>
      </w:r>
      <w:r>
        <w:rPr>
          <w:sz w:val="22"/>
          <w:szCs w:val="22"/>
          <w:u w:val="single"/>
        </w:rPr>
        <w:t>Antikoncepcia u </w:t>
      </w:r>
      <w:r w:rsidR="009776A3">
        <w:rPr>
          <w:sz w:val="22"/>
          <w:szCs w:val="22"/>
          <w:u w:val="single"/>
        </w:rPr>
        <w:t>mužov a žien</w:t>
      </w:r>
    </w:p>
    <w:p w14:paraId="21097960" w14:textId="46B55D90" w:rsidR="007554D4" w:rsidRDefault="00D67E11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Ženy v</w:t>
      </w:r>
      <w:r w:rsidR="00D97F2D">
        <w:rPr>
          <w:sz w:val="22"/>
          <w:szCs w:val="22"/>
        </w:rPr>
        <w:t>o fertilnom</w:t>
      </w:r>
      <w:r w:rsidR="007554D4">
        <w:rPr>
          <w:sz w:val="22"/>
          <w:szCs w:val="22"/>
        </w:rPr>
        <w:t xml:space="preserve"> veku musia používať vysoko účinnú </w:t>
      </w:r>
      <w:r w:rsidR="00D97F2D">
        <w:rPr>
          <w:sz w:val="22"/>
          <w:szCs w:val="22"/>
        </w:rPr>
        <w:t xml:space="preserve">metódu </w:t>
      </w:r>
      <w:r w:rsidR="007554D4">
        <w:rPr>
          <w:sz w:val="22"/>
          <w:szCs w:val="22"/>
        </w:rPr>
        <w:t>antikoncepci</w:t>
      </w:r>
      <w:r w:rsidR="00D97F2D">
        <w:rPr>
          <w:sz w:val="22"/>
          <w:szCs w:val="22"/>
        </w:rPr>
        <w:t>e</w:t>
      </w:r>
      <w:r w:rsidR="007554D4">
        <w:rPr>
          <w:sz w:val="22"/>
          <w:szCs w:val="22"/>
        </w:rPr>
        <w:t xml:space="preserve"> (napr. </w:t>
      </w:r>
      <w:r w:rsidR="00D97F2D">
        <w:rPr>
          <w:sz w:val="22"/>
          <w:szCs w:val="22"/>
        </w:rPr>
        <w:t>hormonálnu antikoncepciu bez obsahu estrogénov používanú</w:t>
      </w:r>
      <w:r w:rsidR="00D97F2D" w:rsidRPr="00D97F2D">
        <w:rPr>
          <w:sz w:val="22"/>
          <w:szCs w:val="22"/>
        </w:rPr>
        <w:t xml:space="preserve"> vo forme perorálnych tabliet, injekcií alebo implantátu</w:t>
      </w:r>
      <w:r w:rsidR="007554D4">
        <w:rPr>
          <w:sz w:val="22"/>
          <w:szCs w:val="22"/>
        </w:rPr>
        <w:t>,</w:t>
      </w:r>
      <w:r w:rsidR="00D97F2D">
        <w:rPr>
          <w:sz w:val="22"/>
          <w:szCs w:val="22"/>
        </w:rPr>
        <w:t xml:space="preserve"> antikoncepciu</w:t>
      </w:r>
      <w:r w:rsidR="00D97F2D" w:rsidRPr="00D97F2D">
        <w:rPr>
          <w:sz w:val="22"/>
          <w:szCs w:val="22"/>
        </w:rPr>
        <w:t xml:space="preserve"> založená na progesteróne</w:t>
      </w:r>
      <w:r w:rsidR="00D97F2D">
        <w:rPr>
          <w:sz w:val="22"/>
          <w:szCs w:val="22"/>
        </w:rPr>
        <w:t xml:space="preserve">, </w:t>
      </w:r>
      <w:r w:rsidR="007554D4">
        <w:rPr>
          <w:sz w:val="22"/>
          <w:szCs w:val="22"/>
        </w:rPr>
        <w:t>hysterektómiu, tubálnu ligáciu, úplnú abstinenciu, bariérové metódy, vnútromaternicové teliesko [VMT] a/alebo ženskú/mužskú sterilizáciu) p</w:t>
      </w:r>
      <w:r>
        <w:rPr>
          <w:sz w:val="22"/>
          <w:szCs w:val="22"/>
        </w:rPr>
        <w:t>očas užívania everolimu a až do 8 týždňov po </w:t>
      </w:r>
      <w:r w:rsidR="007554D4">
        <w:rPr>
          <w:sz w:val="22"/>
          <w:szCs w:val="22"/>
        </w:rPr>
        <w:t xml:space="preserve">ukončení liečby. Pacientom mužského pohlavia nemá byť </w:t>
      </w:r>
      <w:r w:rsidR="009776A3">
        <w:rPr>
          <w:sz w:val="22"/>
          <w:szCs w:val="22"/>
        </w:rPr>
        <w:t>zakázané pokúšať sa počať deti.</w:t>
      </w:r>
    </w:p>
    <w:p w14:paraId="03822129" w14:textId="77777777" w:rsidR="007554D4" w:rsidRDefault="007554D4" w:rsidP="007554D4">
      <w:pPr>
        <w:pStyle w:val="Default"/>
        <w:rPr>
          <w:sz w:val="22"/>
          <w:szCs w:val="22"/>
        </w:rPr>
      </w:pPr>
    </w:p>
    <w:p w14:paraId="323EC7BC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2D8146B9" w14:textId="7777777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Nie sú </w:t>
      </w:r>
      <w:r w:rsidR="00D67E11">
        <w:rPr>
          <w:sz w:val="22"/>
          <w:szCs w:val="22"/>
        </w:rPr>
        <w:t>k dispozícii dostatočné údaje o použití everolimu u gravidných žien. Štúdie na </w:t>
      </w:r>
      <w:r>
        <w:rPr>
          <w:sz w:val="22"/>
          <w:szCs w:val="22"/>
        </w:rPr>
        <w:t>zvieratách preukázali reprodukčnú toxic</w:t>
      </w:r>
      <w:r w:rsidR="00D67E11">
        <w:rPr>
          <w:sz w:val="22"/>
          <w:szCs w:val="22"/>
        </w:rPr>
        <w:t>itu vrátane toxického účin</w:t>
      </w:r>
      <w:r w:rsidR="00DB68AF">
        <w:rPr>
          <w:sz w:val="22"/>
          <w:szCs w:val="22"/>
        </w:rPr>
        <w:t>ku na embryo a plod (pozri časť </w:t>
      </w:r>
      <w:r>
        <w:rPr>
          <w:sz w:val="22"/>
          <w:szCs w:val="22"/>
        </w:rPr>
        <w:t>5.3</w:t>
      </w:r>
      <w:r w:rsidR="00D67E11">
        <w:rPr>
          <w:sz w:val="22"/>
          <w:szCs w:val="22"/>
        </w:rPr>
        <w:t>). Potenciálne riziko pre </w:t>
      </w:r>
      <w:r w:rsidR="009776A3">
        <w:rPr>
          <w:sz w:val="22"/>
          <w:szCs w:val="22"/>
        </w:rPr>
        <w:t>ľudí nie je známe.</w:t>
      </w:r>
    </w:p>
    <w:p w14:paraId="5382EF5D" w14:textId="77777777" w:rsidR="007554D4" w:rsidRDefault="007554D4" w:rsidP="007554D4">
      <w:pPr>
        <w:pStyle w:val="Default"/>
        <w:rPr>
          <w:sz w:val="22"/>
          <w:szCs w:val="22"/>
        </w:rPr>
      </w:pPr>
    </w:p>
    <w:p w14:paraId="6125998D" w14:textId="77777777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sa neodporúča pod</w:t>
      </w:r>
      <w:r w:rsidR="00D67E11">
        <w:rPr>
          <w:sz w:val="22"/>
          <w:szCs w:val="22"/>
        </w:rPr>
        <w:t>ávať počas gravidity a ženám vo </w:t>
      </w:r>
      <w:r>
        <w:rPr>
          <w:sz w:val="22"/>
          <w:szCs w:val="22"/>
        </w:rPr>
        <w:t>fertilnom veku, k</w:t>
      </w:r>
      <w:r w:rsidR="009776A3">
        <w:rPr>
          <w:sz w:val="22"/>
          <w:szCs w:val="22"/>
        </w:rPr>
        <w:t>toré nepoužívajú antikoncepciu.</w:t>
      </w:r>
    </w:p>
    <w:p w14:paraId="7A809D19" w14:textId="77777777" w:rsidR="007554D4" w:rsidRDefault="007554D4" w:rsidP="007554D4">
      <w:pPr>
        <w:pStyle w:val="Default"/>
        <w:rPr>
          <w:sz w:val="22"/>
          <w:szCs w:val="22"/>
        </w:rPr>
      </w:pPr>
    </w:p>
    <w:p w14:paraId="3317B0FC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2EED726A" w14:textId="62B7E52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znám</w:t>
      </w:r>
      <w:r w:rsidR="00D67E11">
        <w:rPr>
          <w:sz w:val="22"/>
          <w:szCs w:val="22"/>
        </w:rPr>
        <w:t>e, či sa everolimus vylučuje</w:t>
      </w:r>
      <w:r w:rsidR="00DB68AF">
        <w:rPr>
          <w:sz w:val="22"/>
          <w:szCs w:val="22"/>
        </w:rPr>
        <w:t xml:space="preserve"> do ľudského materského mlieka.</w:t>
      </w:r>
      <w:r w:rsidR="000F1E8D">
        <w:rPr>
          <w:sz w:val="22"/>
          <w:szCs w:val="22"/>
        </w:rPr>
        <w:t xml:space="preserve"> </w:t>
      </w:r>
      <w:r w:rsidR="00DB68AF">
        <w:rPr>
          <w:sz w:val="22"/>
          <w:szCs w:val="22"/>
        </w:rPr>
        <w:t>U</w:t>
      </w:r>
      <w:r w:rsidR="00D67E11">
        <w:rPr>
          <w:sz w:val="22"/>
          <w:szCs w:val="22"/>
        </w:rPr>
        <w:t> </w:t>
      </w:r>
      <w:r>
        <w:rPr>
          <w:sz w:val="22"/>
          <w:szCs w:val="22"/>
        </w:rPr>
        <w:t xml:space="preserve"> potkanov však everolimus a/alebo jeho </w:t>
      </w:r>
      <w:r w:rsidR="00D67E11">
        <w:rPr>
          <w:sz w:val="22"/>
          <w:szCs w:val="22"/>
        </w:rPr>
        <w:t>metabolity ľahko prechádzajú do mlieka (pozri časť </w:t>
      </w:r>
      <w:r>
        <w:rPr>
          <w:sz w:val="22"/>
          <w:szCs w:val="22"/>
        </w:rPr>
        <w:t>5.3). Preto ženy užívajúce</w:t>
      </w:r>
      <w:r w:rsidR="00D67E11">
        <w:rPr>
          <w:sz w:val="22"/>
          <w:szCs w:val="22"/>
        </w:rPr>
        <w:t xml:space="preserve"> everolimus nemaj</w:t>
      </w:r>
      <w:r w:rsidR="00DB68AF">
        <w:rPr>
          <w:sz w:val="22"/>
          <w:szCs w:val="22"/>
        </w:rPr>
        <w:t>ú dojčiť počas liečby a počas 2 týždňov od </w:t>
      </w:r>
      <w:r w:rsidR="00D97F2D">
        <w:rPr>
          <w:sz w:val="22"/>
          <w:szCs w:val="22"/>
        </w:rPr>
        <w:t xml:space="preserve">užitia </w:t>
      </w:r>
      <w:r w:rsidR="009776A3">
        <w:rPr>
          <w:sz w:val="22"/>
          <w:szCs w:val="22"/>
        </w:rPr>
        <w:t>poslednej dávky.</w:t>
      </w:r>
    </w:p>
    <w:p w14:paraId="664B0F31" w14:textId="77777777" w:rsidR="007554D4" w:rsidRDefault="007554D4" w:rsidP="007554D4">
      <w:pPr>
        <w:pStyle w:val="Default"/>
        <w:rPr>
          <w:sz w:val="22"/>
          <w:szCs w:val="22"/>
        </w:rPr>
      </w:pPr>
    </w:p>
    <w:p w14:paraId="6892BDF7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608E8D89" w14:textId="43DEFCB5" w:rsidR="00780926" w:rsidRDefault="007554D4" w:rsidP="009776A3">
      <w:pPr>
        <w:ind w:left="0" w:firstLine="0"/>
        <w:rPr>
          <w:szCs w:val="22"/>
        </w:rPr>
      </w:pPr>
      <w:r>
        <w:rPr>
          <w:szCs w:val="22"/>
        </w:rPr>
        <w:t xml:space="preserve">Nie je známe, </w:t>
      </w:r>
      <w:r w:rsidR="00D67E11">
        <w:rPr>
          <w:szCs w:val="22"/>
        </w:rPr>
        <w:t>či everolimus môže zapríčiniť u </w:t>
      </w:r>
      <w:r>
        <w:rPr>
          <w:szCs w:val="22"/>
        </w:rPr>
        <w:t>pacientov mužského a ženského pohlavia neplodnosť, u</w:t>
      </w:r>
      <w:r w:rsidR="00D67E11">
        <w:rPr>
          <w:szCs w:val="22"/>
        </w:rPr>
        <w:t> </w:t>
      </w:r>
      <w:r>
        <w:rPr>
          <w:szCs w:val="22"/>
        </w:rPr>
        <w:t>paciento</w:t>
      </w:r>
      <w:r w:rsidR="00D97F2D">
        <w:rPr>
          <w:szCs w:val="22"/>
        </w:rPr>
        <w:t>k</w:t>
      </w:r>
      <w:r>
        <w:rPr>
          <w:szCs w:val="22"/>
        </w:rPr>
        <w:t xml:space="preserve"> ženského pohlavia však bola pozorovaná amenorea (sekundárna amenorea a iné nepravide</w:t>
      </w:r>
      <w:r w:rsidR="00D67E11">
        <w:rPr>
          <w:szCs w:val="22"/>
        </w:rPr>
        <w:t>lnosti menštruačného cyklu) a s ňou spojená nerovnováha medzi </w:t>
      </w:r>
      <w:r>
        <w:rPr>
          <w:szCs w:val="22"/>
        </w:rPr>
        <w:t>luteinizačným hormónom (LH) a folikuly stimulujúcim hormónom (FSH). Podľa predklinických zistení môže liečba everolimom zhoršiť mužskú</w:t>
      </w:r>
      <w:r w:rsidR="00D67E11">
        <w:rPr>
          <w:szCs w:val="22"/>
        </w:rPr>
        <w:t xml:space="preserve"> a ženskú fertilitu (pozri časť </w:t>
      </w:r>
      <w:r>
        <w:rPr>
          <w:szCs w:val="22"/>
        </w:rPr>
        <w:t>5.3).</w:t>
      </w:r>
    </w:p>
    <w:p w14:paraId="57D8B4AF" w14:textId="77777777" w:rsidR="007554D4" w:rsidRPr="003021DE" w:rsidRDefault="007554D4" w:rsidP="007554D4">
      <w:pPr>
        <w:ind w:left="0" w:firstLine="0"/>
        <w:rPr>
          <w:szCs w:val="22"/>
        </w:rPr>
      </w:pPr>
    </w:p>
    <w:p w14:paraId="2F987757" w14:textId="77777777" w:rsidR="00780926" w:rsidRPr="003021DE" w:rsidRDefault="00780926" w:rsidP="00D67E11">
      <w:pPr>
        <w:keepNext/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7270F50" w14:textId="77777777" w:rsidR="00780926" w:rsidRPr="003021DE" w:rsidRDefault="00780926" w:rsidP="00D67E11">
      <w:pPr>
        <w:keepNext/>
        <w:rPr>
          <w:szCs w:val="22"/>
        </w:rPr>
      </w:pPr>
    </w:p>
    <w:p w14:paraId="00832737" w14:textId="564323F1" w:rsidR="00780926" w:rsidRDefault="00DB68AF" w:rsidP="009776A3">
      <w:pPr>
        <w:ind w:left="0" w:firstLine="0"/>
        <w:rPr>
          <w:szCs w:val="22"/>
        </w:rPr>
      </w:pPr>
      <w:r>
        <w:rPr>
          <w:szCs w:val="22"/>
        </w:rPr>
        <w:t>Everolimus Mylan</w:t>
      </w:r>
      <w:r w:rsidR="007554D4">
        <w:rPr>
          <w:szCs w:val="22"/>
        </w:rPr>
        <w:t xml:space="preserve"> môže</w:t>
      </w:r>
      <w:r w:rsidR="00D67E11">
        <w:rPr>
          <w:szCs w:val="22"/>
        </w:rPr>
        <w:t xml:space="preserve"> mať malý alebo mierny vplyv na </w:t>
      </w:r>
      <w:r w:rsidR="007554D4">
        <w:rPr>
          <w:szCs w:val="22"/>
        </w:rPr>
        <w:t xml:space="preserve">schopnosť viesť vozidlá a obsluhovať stroje. Pacientov je potrebné </w:t>
      </w:r>
      <w:r w:rsidR="00D67E11">
        <w:rPr>
          <w:szCs w:val="22"/>
        </w:rPr>
        <w:t>upozorniť, aby boli opatrní pri </w:t>
      </w:r>
      <w:r w:rsidR="007554D4">
        <w:rPr>
          <w:szCs w:val="22"/>
        </w:rPr>
        <w:t>vedení vozidla alebo obsluhe str</w:t>
      </w:r>
      <w:r w:rsidR="00D67E11">
        <w:rPr>
          <w:szCs w:val="22"/>
        </w:rPr>
        <w:t xml:space="preserve">ojov, ak </w:t>
      </w:r>
      <w:r w:rsidR="003F23B4">
        <w:rPr>
          <w:szCs w:val="22"/>
        </w:rPr>
        <w:t xml:space="preserve">sa u nich </w:t>
      </w:r>
      <w:r w:rsidR="00D67E11">
        <w:rPr>
          <w:szCs w:val="22"/>
        </w:rPr>
        <w:t>počas liečby Everolimom Mylan</w:t>
      </w:r>
      <w:r w:rsidR="007554D4">
        <w:rPr>
          <w:szCs w:val="22"/>
        </w:rPr>
        <w:t xml:space="preserve"> </w:t>
      </w:r>
      <w:r w:rsidR="003F23B4">
        <w:rPr>
          <w:szCs w:val="22"/>
        </w:rPr>
        <w:t>vyskytne</w:t>
      </w:r>
      <w:r w:rsidR="007554D4">
        <w:rPr>
          <w:szCs w:val="22"/>
        </w:rPr>
        <w:t xml:space="preserve"> únav</w:t>
      </w:r>
      <w:r w:rsidR="003F23B4">
        <w:rPr>
          <w:szCs w:val="22"/>
        </w:rPr>
        <w:t>a</w:t>
      </w:r>
      <w:r w:rsidR="007554D4">
        <w:rPr>
          <w:szCs w:val="22"/>
        </w:rPr>
        <w:t>.</w:t>
      </w:r>
    </w:p>
    <w:p w14:paraId="42841078" w14:textId="77777777" w:rsidR="007554D4" w:rsidRPr="003021DE" w:rsidRDefault="007554D4" w:rsidP="007554D4">
      <w:pPr>
        <w:ind w:left="0" w:firstLine="0"/>
        <w:rPr>
          <w:szCs w:val="22"/>
        </w:rPr>
      </w:pPr>
    </w:p>
    <w:p w14:paraId="5F789ADE" w14:textId="77777777" w:rsidR="00780926" w:rsidRPr="003021DE" w:rsidRDefault="00780926" w:rsidP="00D67E11">
      <w:pPr>
        <w:keepNext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30DA22B2" w14:textId="77777777" w:rsidR="00780926" w:rsidRPr="00B13F68" w:rsidRDefault="00780926" w:rsidP="00D67E11">
      <w:pPr>
        <w:keepNext/>
      </w:pPr>
    </w:p>
    <w:p w14:paraId="3B71DDA8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554D4">
        <w:rPr>
          <w:sz w:val="22"/>
          <w:szCs w:val="22"/>
          <w:u w:val="single"/>
        </w:rPr>
        <w:t xml:space="preserve">Zhrnutie </w:t>
      </w:r>
      <w:r>
        <w:rPr>
          <w:sz w:val="22"/>
          <w:szCs w:val="22"/>
          <w:u w:val="single"/>
        </w:rPr>
        <w:t xml:space="preserve">bezpečnostného </w:t>
      </w:r>
      <w:r w:rsidR="009776A3">
        <w:rPr>
          <w:sz w:val="22"/>
          <w:szCs w:val="22"/>
          <w:u w:val="single"/>
        </w:rPr>
        <w:t>profilu</w:t>
      </w:r>
    </w:p>
    <w:p w14:paraId="1A514B74" w14:textId="28B8010C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Bez</w:t>
      </w:r>
      <w:r w:rsidR="00D67E11">
        <w:rPr>
          <w:sz w:val="22"/>
          <w:szCs w:val="22"/>
        </w:rPr>
        <w:t>pečnostný profil je založený na združených údajoch od </w:t>
      </w:r>
      <w:r>
        <w:rPr>
          <w:sz w:val="22"/>
          <w:szCs w:val="22"/>
        </w:rPr>
        <w:t>2 </w:t>
      </w:r>
      <w:r w:rsidR="00082578">
        <w:rPr>
          <w:sz w:val="22"/>
          <w:szCs w:val="22"/>
        </w:rPr>
        <w:t>879</w:t>
      </w:r>
      <w:r>
        <w:rPr>
          <w:sz w:val="22"/>
          <w:szCs w:val="22"/>
        </w:rPr>
        <w:t xml:space="preserve"> pacientov liečených </w:t>
      </w:r>
      <w:r w:rsidR="003F23B4">
        <w:rPr>
          <w:sz w:val="22"/>
          <w:szCs w:val="22"/>
        </w:rPr>
        <w:t>e</w:t>
      </w:r>
      <w:r w:rsidR="00D67E11">
        <w:rPr>
          <w:sz w:val="22"/>
          <w:szCs w:val="22"/>
        </w:rPr>
        <w:t>verolimom v </w:t>
      </w:r>
      <w:r w:rsidR="00082578">
        <w:rPr>
          <w:sz w:val="22"/>
          <w:szCs w:val="22"/>
        </w:rPr>
        <w:t>jedenástich</w:t>
      </w:r>
      <w:r>
        <w:rPr>
          <w:sz w:val="22"/>
          <w:szCs w:val="22"/>
        </w:rPr>
        <w:t xml:space="preserve"> klinický</w:t>
      </w:r>
      <w:r w:rsidR="00D67E11">
        <w:rPr>
          <w:sz w:val="22"/>
          <w:szCs w:val="22"/>
        </w:rPr>
        <w:t>ch skúšaniach pozostávajúcich z </w:t>
      </w:r>
      <w:r>
        <w:rPr>
          <w:sz w:val="22"/>
          <w:szCs w:val="22"/>
        </w:rPr>
        <w:t xml:space="preserve">piatich randomizovaných, dvojito zaslepených, </w:t>
      </w:r>
      <w:r>
        <w:rPr>
          <w:sz w:val="22"/>
          <w:szCs w:val="22"/>
        </w:rPr>
        <w:lastRenderedPageBreak/>
        <w:t>place</w:t>
      </w:r>
      <w:r w:rsidR="00D67E11">
        <w:rPr>
          <w:sz w:val="22"/>
          <w:szCs w:val="22"/>
        </w:rPr>
        <w:t>bom kontrolovaných skúšaní fázy III a z</w:t>
      </w:r>
      <w:r w:rsidR="00FA06C4">
        <w:rPr>
          <w:sz w:val="22"/>
          <w:szCs w:val="22"/>
        </w:rPr>
        <w:t> o šiestich</w:t>
      </w:r>
      <w:r w:rsidR="00D67E11">
        <w:rPr>
          <w:sz w:val="22"/>
          <w:szCs w:val="22"/>
        </w:rPr>
        <w:t xml:space="preserve"> otvorených skúšaní fázy I a fázy II súvisiacich so </w:t>
      </w:r>
      <w:r w:rsidR="009776A3">
        <w:rPr>
          <w:sz w:val="22"/>
          <w:szCs w:val="22"/>
        </w:rPr>
        <w:t>schválen</w:t>
      </w:r>
      <w:r w:rsidR="003F23B4">
        <w:rPr>
          <w:sz w:val="22"/>
          <w:szCs w:val="22"/>
        </w:rPr>
        <w:t>ými</w:t>
      </w:r>
      <w:r w:rsidR="009776A3">
        <w:rPr>
          <w:sz w:val="22"/>
          <w:szCs w:val="22"/>
        </w:rPr>
        <w:t xml:space="preserve"> indikáci</w:t>
      </w:r>
      <w:r w:rsidR="003F23B4">
        <w:rPr>
          <w:sz w:val="22"/>
          <w:szCs w:val="22"/>
        </w:rPr>
        <w:t>ami</w:t>
      </w:r>
      <w:r w:rsidR="009776A3">
        <w:rPr>
          <w:sz w:val="22"/>
          <w:szCs w:val="22"/>
        </w:rPr>
        <w:t>.</w:t>
      </w:r>
    </w:p>
    <w:p w14:paraId="3BC85750" w14:textId="77777777" w:rsidR="007554D4" w:rsidRDefault="007554D4" w:rsidP="007554D4">
      <w:pPr>
        <w:pStyle w:val="Default"/>
        <w:rPr>
          <w:sz w:val="22"/>
          <w:szCs w:val="22"/>
        </w:rPr>
      </w:pPr>
    </w:p>
    <w:p w14:paraId="0FCA7E6B" w14:textId="77777777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Najčastejšími ne</w:t>
      </w:r>
      <w:r w:rsidR="00D67E11">
        <w:rPr>
          <w:sz w:val="22"/>
          <w:szCs w:val="22"/>
        </w:rPr>
        <w:t>žiaducimi reakciami (incidencia ≥ 1/10) zo združených údajov o </w:t>
      </w:r>
      <w:r>
        <w:rPr>
          <w:sz w:val="22"/>
          <w:szCs w:val="22"/>
        </w:rPr>
        <w:t>bezpečnosti boli (v klesajúcom poradí): stomatitída, exantém, únava, hnačka, in</w:t>
      </w:r>
      <w:r w:rsidR="00D67E11">
        <w:rPr>
          <w:sz w:val="22"/>
          <w:szCs w:val="22"/>
        </w:rPr>
        <w:t>fekcie, nauzea, znížená chuť do </w:t>
      </w:r>
      <w:r>
        <w:rPr>
          <w:sz w:val="22"/>
          <w:szCs w:val="22"/>
        </w:rPr>
        <w:t xml:space="preserve">jedla, anémia, dysgeúzia, pneumonitída, periférny edém, hyperglykémia, asténia, pruritus, pokles hmotnosti, hypercholesterolémia, </w:t>
      </w:r>
      <w:r w:rsidR="00515CAE">
        <w:rPr>
          <w:sz w:val="22"/>
          <w:szCs w:val="22"/>
        </w:rPr>
        <w:t>epistaxa, kašeľ a bolesť hlavy.</w:t>
      </w:r>
    </w:p>
    <w:p w14:paraId="666086FE" w14:textId="01858DD8" w:rsidR="00780926" w:rsidRDefault="007554D4" w:rsidP="00515CAE">
      <w:pPr>
        <w:ind w:left="0" w:firstLine="0"/>
        <w:rPr>
          <w:szCs w:val="22"/>
        </w:rPr>
      </w:pPr>
      <w:r>
        <w:rPr>
          <w:szCs w:val="22"/>
        </w:rPr>
        <w:t>Najčas</w:t>
      </w:r>
      <w:r w:rsidR="00D67E11">
        <w:rPr>
          <w:szCs w:val="22"/>
        </w:rPr>
        <w:t>tejšie nežiaduce reakcie stupňa 3 – 4 (incidencia ≥ 1/100 až &lt; </w:t>
      </w:r>
      <w:r>
        <w:rPr>
          <w:szCs w:val="22"/>
        </w:rPr>
        <w:t>1/10) boli stomatitída, anémia, hyperglykémia, infekcie, únava, hnačka, pneumonitída, asténia, trombocytopénia, neutropénia, dyspnoe, prote</w:t>
      </w:r>
      <w:r w:rsidR="000F1E8D">
        <w:rPr>
          <w:szCs w:val="22"/>
        </w:rPr>
        <w:t>i</w:t>
      </w:r>
      <w:r>
        <w:rPr>
          <w:szCs w:val="22"/>
        </w:rPr>
        <w:t xml:space="preserve">núria, lymfopénia, krvácanie, hypofosfatémia, exantém, hypertenzia, pneumónia, zvýšená </w:t>
      </w:r>
      <w:r w:rsidR="003F23B4">
        <w:rPr>
          <w:szCs w:val="22"/>
        </w:rPr>
        <w:t>hladina alanínaminotransferázy</w:t>
      </w:r>
      <w:r>
        <w:rPr>
          <w:szCs w:val="22"/>
        </w:rPr>
        <w:t xml:space="preserve"> (ALT), zvýšená </w:t>
      </w:r>
      <w:r w:rsidR="003F23B4" w:rsidRPr="003F23B4">
        <w:rPr>
          <w:szCs w:val="22"/>
        </w:rPr>
        <w:t xml:space="preserve">hladina aspartátaminotransferázy </w:t>
      </w:r>
      <w:r>
        <w:rPr>
          <w:szCs w:val="22"/>
        </w:rPr>
        <w:t>(AST) a diabetes mellitus. Stupne zodpovedajú C</w:t>
      </w:r>
      <w:r w:rsidR="00D67E11">
        <w:rPr>
          <w:szCs w:val="22"/>
        </w:rPr>
        <w:t>TCAE, verzii </w:t>
      </w:r>
      <w:r>
        <w:rPr>
          <w:szCs w:val="22"/>
        </w:rPr>
        <w:t>3.0 a 4.03.</w:t>
      </w:r>
    </w:p>
    <w:p w14:paraId="202799FD" w14:textId="77777777" w:rsidR="007554D4" w:rsidRDefault="007554D4" w:rsidP="007554D4">
      <w:pPr>
        <w:ind w:left="0" w:firstLine="0"/>
        <w:rPr>
          <w:szCs w:val="22"/>
        </w:rPr>
      </w:pPr>
    </w:p>
    <w:p w14:paraId="2A4B3EFA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554D4">
        <w:rPr>
          <w:sz w:val="22"/>
          <w:szCs w:val="22"/>
          <w:u w:val="single"/>
        </w:rPr>
        <w:t>Tabuľ</w:t>
      </w:r>
      <w:r w:rsidR="00515CAE">
        <w:rPr>
          <w:sz w:val="22"/>
          <w:szCs w:val="22"/>
          <w:u w:val="single"/>
        </w:rPr>
        <w:t>kový zoznam nežiaducich reakcií</w:t>
      </w:r>
    </w:p>
    <w:p w14:paraId="23BBBBE9" w14:textId="252671D1" w:rsidR="007554D4" w:rsidRDefault="00DB68AF" w:rsidP="00515CAE">
      <w:pPr>
        <w:ind w:left="0" w:firstLine="0"/>
        <w:rPr>
          <w:szCs w:val="22"/>
        </w:rPr>
      </w:pPr>
      <w:r>
        <w:rPr>
          <w:szCs w:val="22"/>
        </w:rPr>
        <w:t>Tabuľka </w:t>
      </w:r>
      <w:r w:rsidR="007554D4" w:rsidRPr="00DE7496">
        <w:rPr>
          <w:b/>
          <w:szCs w:val="22"/>
        </w:rPr>
        <w:t>3</w:t>
      </w:r>
      <w:r w:rsidR="007554D4">
        <w:rPr>
          <w:szCs w:val="22"/>
        </w:rPr>
        <w:t xml:space="preserve"> uvádza </w:t>
      </w:r>
      <w:r w:rsidR="003F23B4" w:rsidRPr="003F23B4">
        <w:rPr>
          <w:szCs w:val="22"/>
        </w:rPr>
        <w:t>kategórie frekvencie nežiaducich reakcií udávané na základe analýzy súhrnných údajov o bezpečnosti</w:t>
      </w:r>
      <w:r w:rsidR="007554D4">
        <w:rPr>
          <w:szCs w:val="22"/>
        </w:rPr>
        <w:t>. Nežiaduce reakcie sú uvedené podľa triedy orgánových systémov a kategórie frekvencií MedDRA. Kateg</w:t>
      </w:r>
      <w:r w:rsidR="00D67E11">
        <w:rPr>
          <w:szCs w:val="22"/>
        </w:rPr>
        <w:t>órie frekvencie sú definované s </w:t>
      </w:r>
      <w:r w:rsidR="007554D4">
        <w:rPr>
          <w:szCs w:val="22"/>
        </w:rPr>
        <w:t>použitím nasledu</w:t>
      </w:r>
      <w:r w:rsidR="00D67E11">
        <w:rPr>
          <w:szCs w:val="22"/>
        </w:rPr>
        <w:t>júcej konvencie: veľmi časté (≥ 1/10); časté (≥ 1/100 až &lt; 1/10); menej časté (≥ 1/1 000 až &lt; 1/100); zriedkavé (≥ 1/10 000 až &lt; 1/1 000); veľmi zriedkavé (&lt; </w:t>
      </w:r>
      <w:r w:rsidR="007554D4">
        <w:rPr>
          <w:szCs w:val="22"/>
        </w:rPr>
        <w:t>1/10 000). V rámci jednotlivých skupín frekvencií sú</w:t>
      </w:r>
      <w:r w:rsidR="00D67E11">
        <w:rPr>
          <w:szCs w:val="22"/>
        </w:rPr>
        <w:t xml:space="preserve"> nežiaduce účinky usporiadané v </w:t>
      </w:r>
      <w:r w:rsidR="007554D4">
        <w:rPr>
          <w:szCs w:val="22"/>
        </w:rPr>
        <w:t>poradí klesajúcej závažnosti.</w:t>
      </w:r>
    </w:p>
    <w:p w14:paraId="7424B13C" w14:textId="77777777" w:rsidR="007554D4" w:rsidRDefault="007554D4" w:rsidP="007554D4">
      <w:pPr>
        <w:ind w:left="0" w:firstLine="0"/>
        <w:rPr>
          <w:szCs w:val="22"/>
        </w:rPr>
      </w:pPr>
    </w:p>
    <w:p w14:paraId="3EB03199" w14:textId="77777777" w:rsidR="007554D4" w:rsidRPr="00D67E11" w:rsidRDefault="007554D4" w:rsidP="007554D4">
      <w:pPr>
        <w:ind w:left="0" w:firstLine="0"/>
        <w:rPr>
          <w:bCs/>
          <w:i/>
          <w:szCs w:val="22"/>
        </w:rPr>
      </w:pPr>
      <w:r w:rsidRPr="00D67E11">
        <w:rPr>
          <w:bCs/>
          <w:i/>
          <w:szCs w:val="22"/>
        </w:rPr>
        <w:t>Tabuľk</w:t>
      </w:r>
      <w:r w:rsidR="00D67E11">
        <w:rPr>
          <w:bCs/>
          <w:i/>
          <w:szCs w:val="22"/>
        </w:rPr>
        <w:t xml:space="preserve">a </w:t>
      </w:r>
      <w:r w:rsidR="00D67E11" w:rsidRPr="00DE7496">
        <w:rPr>
          <w:b/>
          <w:bCs/>
          <w:i/>
          <w:szCs w:val="22"/>
        </w:rPr>
        <w:t>3</w:t>
      </w:r>
      <w:r w:rsidR="00D67E11">
        <w:rPr>
          <w:bCs/>
          <w:i/>
          <w:szCs w:val="22"/>
        </w:rPr>
        <w:t xml:space="preserve"> Nežiaduce reakcie hlásené v </w:t>
      </w:r>
      <w:r w:rsidRPr="00D67E11">
        <w:rPr>
          <w:bCs/>
          <w:i/>
          <w:szCs w:val="22"/>
        </w:rPr>
        <w:t>klinických skúšaniach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7546"/>
      </w:tblGrid>
      <w:tr w:rsidR="00A32F67" w:rsidRPr="002D242D" w14:paraId="236036F1" w14:textId="77777777" w:rsidTr="002D242D">
        <w:tc>
          <w:tcPr>
            <w:tcW w:w="9211" w:type="dxa"/>
            <w:gridSpan w:val="2"/>
            <w:shd w:val="clear" w:color="auto" w:fill="auto"/>
          </w:tcPr>
          <w:p w14:paraId="086B9C84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Infekcie a nákazy </w:t>
            </w:r>
          </w:p>
        </w:tc>
      </w:tr>
      <w:tr w:rsidR="007554D4" w:rsidRPr="002D242D" w14:paraId="783ACAB8" w14:textId="77777777" w:rsidTr="00DB68AF">
        <w:trPr>
          <w:trHeight w:val="252"/>
        </w:trPr>
        <w:tc>
          <w:tcPr>
            <w:tcW w:w="1526" w:type="dxa"/>
            <w:shd w:val="clear" w:color="auto" w:fill="auto"/>
          </w:tcPr>
          <w:p w14:paraId="3D287DDD" w14:textId="77777777" w:rsidR="007554D4" w:rsidRPr="002D242D" w:rsidRDefault="00A32F67" w:rsidP="00DB68AF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7685" w:type="dxa"/>
            <w:shd w:val="clear" w:color="auto" w:fill="auto"/>
          </w:tcPr>
          <w:p w14:paraId="5571579B" w14:textId="77777777" w:rsidR="007554D4" w:rsidRPr="002D242D" w:rsidRDefault="00A32F67" w:rsidP="00DB68AF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Infekcie </w:t>
            </w:r>
            <w:r w:rsidRPr="003B1562">
              <w:rPr>
                <w:sz w:val="22"/>
                <w:szCs w:val="22"/>
                <w:vertAlign w:val="superscript"/>
              </w:rPr>
              <w:t>a</w:t>
            </w:r>
            <w:r w:rsidRPr="002D242D">
              <w:rPr>
                <w:sz w:val="14"/>
                <w:szCs w:val="14"/>
              </w:rPr>
              <w:t xml:space="preserve">, </w:t>
            </w:r>
            <w:r w:rsidRPr="002D242D">
              <w:rPr>
                <w:sz w:val="22"/>
                <w:szCs w:val="22"/>
              </w:rPr>
              <w:t xml:space="preserve">* </w:t>
            </w:r>
          </w:p>
        </w:tc>
      </w:tr>
      <w:tr w:rsidR="00A32F67" w:rsidRPr="002D242D" w14:paraId="7FC9579F" w14:textId="77777777" w:rsidTr="002D242D">
        <w:tc>
          <w:tcPr>
            <w:tcW w:w="9211" w:type="dxa"/>
            <w:gridSpan w:val="2"/>
            <w:shd w:val="clear" w:color="auto" w:fill="auto"/>
          </w:tcPr>
          <w:p w14:paraId="027FE6E4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krvi a lymfatického systému </w:t>
            </w:r>
          </w:p>
        </w:tc>
      </w:tr>
      <w:tr w:rsidR="007554D4" w:rsidRPr="002D242D" w14:paraId="13322955" w14:textId="77777777" w:rsidTr="002D242D">
        <w:tc>
          <w:tcPr>
            <w:tcW w:w="1526" w:type="dxa"/>
            <w:shd w:val="clear" w:color="auto" w:fill="auto"/>
          </w:tcPr>
          <w:p w14:paraId="6A3361B4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5038195F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Anémia </w:t>
            </w:r>
          </w:p>
        </w:tc>
      </w:tr>
      <w:tr w:rsidR="007554D4" w:rsidRPr="002D242D" w14:paraId="0227EEE3" w14:textId="77777777" w:rsidTr="002D242D">
        <w:tc>
          <w:tcPr>
            <w:tcW w:w="1526" w:type="dxa"/>
            <w:shd w:val="clear" w:color="auto" w:fill="auto"/>
          </w:tcPr>
          <w:p w14:paraId="066850DD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6AF2DD7D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Trombocytopénia, neutropénia, leukopénia, lymfopénia </w:t>
            </w:r>
          </w:p>
        </w:tc>
      </w:tr>
      <w:tr w:rsidR="007554D4" w:rsidRPr="002D242D" w14:paraId="1B860D5E" w14:textId="77777777" w:rsidTr="002D242D">
        <w:tc>
          <w:tcPr>
            <w:tcW w:w="1526" w:type="dxa"/>
            <w:shd w:val="clear" w:color="auto" w:fill="auto"/>
          </w:tcPr>
          <w:p w14:paraId="51043249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  <w:p w14:paraId="290A00BA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7685" w:type="dxa"/>
            <w:shd w:val="clear" w:color="auto" w:fill="auto"/>
          </w:tcPr>
          <w:p w14:paraId="7FCAA0C1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Pancytopénia </w:t>
            </w:r>
          </w:p>
        </w:tc>
      </w:tr>
      <w:tr w:rsidR="007554D4" w:rsidRPr="002D242D" w14:paraId="28A08DEA" w14:textId="77777777" w:rsidTr="002D242D">
        <w:tc>
          <w:tcPr>
            <w:tcW w:w="1526" w:type="dxa"/>
            <w:shd w:val="clear" w:color="auto" w:fill="auto"/>
          </w:tcPr>
          <w:p w14:paraId="00BB8F5E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3677AFD0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Čistá aplázia erytrocytov </w:t>
            </w:r>
          </w:p>
        </w:tc>
      </w:tr>
      <w:tr w:rsidR="00A32F67" w:rsidRPr="002D242D" w14:paraId="377F2444" w14:textId="77777777" w:rsidTr="002D242D">
        <w:tc>
          <w:tcPr>
            <w:tcW w:w="9211" w:type="dxa"/>
            <w:gridSpan w:val="2"/>
            <w:shd w:val="clear" w:color="auto" w:fill="auto"/>
          </w:tcPr>
          <w:p w14:paraId="327116A9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imunitného systému </w:t>
            </w:r>
          </w:p>
        </w:tc>
      </w:tr>
      <w:tr w:rsidR="00A32F67" w:rsidRPr="002D242D" w14:paraId="052AD0EB" w14:textId="77777777" w:rsidTr="002D242D">
        <w:tc>
          <w:tcPr>
            <w:tcW w:w="1526" w:type="dxa"/>
            <w:shd w:val="clear" w:color="auto" w:fill="auto"/>
          </w:tcPr>
          <w:p w14:paraId="239F1A80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9C85327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Precitlivenosť</w:t>
            </w:r>
          </w:p>
        </w:tc>
      </w:tr>
      <w:tr w:rsidR="00A32F67" w:rsidRPr="002D242D" w14:paraId="7378BD40" w14:textId="77777777" w:rsidTr="002D242D">
        <w:tc>
          <w:tcPr>
            <w:tcW w:w="9211" w:type="dxa"/>
            <w:gridSpan w:val="2"/>
            <w:shd w:val="clear" w:color="auto" w:fill="auto"/>
          </w:tcPr>
          <w:p w14:paraId="569D815D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metabolizmu a výživy </w:t>
            </w:r>
          </w:p>
        </w:tc>
      </w:tr>
      <w:tr w:rsidR="00A32F67" w:rsidRPr="002D242D" w14:paraId="139C1A0A" w14:textId="77777777" w:rsidTr="002D242D">
        <w:tc>
          <w:tcPr>
            <w:tcW w:w="1526" w:type="dxa"/>
            <w:shd w:val="clear" w:color="auto" w:fill="auto"/>
          </w:tcPr>
          <w:p w14:paraId="7A0132BD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1B046B7B" w14:textId="77777777" w:rsidR="00A32F67" w:rsidRPr="002D242D" w:rsidRDefault="00D67E11" w:rsidP="002D242D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Znížená chuť do </w:t>
            </w:r>
            <w:r w:rsidR="00A32F67" w:rsidRPr="002D242D">
              <w:rPr>
                <w:sz w:val="22"/>
                <w:szCs w:val="22"/>
              </w:rPr>
              <w:t xml:space="preserve">jedla, hyperglykémia, hypercholesterolémia </w:t>
            </w:r>
          </w:p>
        </w:tc>
      </w:tr>
      <w:tr w:rsidR="00A32F67" w:rsidRPr="002D242D" w14:paraId="40E44CB8" w14:textId="77777777" w:rsidTr="002D242D">
        <w:tc>
          <w:tcPr>
            <w:tcW w:w="1526" w:type="dxa"/>
            <w:shd w:val="clear" w:color="auto" w:fill="auto"/>
          </w:tcPr>
          <w:p w14:paraId="669FA8A1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6150EC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Hypertriacyglycerolémia, hypofosfatémia, diabetes mellitus, hyperlipidémia, hypokaliémia, dehydratácia, hypokalciémia </w:t>
            </w:r>
          </w:p>
        </w:tc>
      </w:tr>
      <w:tr w:rsidR="00A32F67" w:rsidRPr="002D242D" w14:paraId="2D1FE8E7" w14:textId="77777777" w:rsidTr="002D242D">
        <w:tc>
          <w:tcPr>
            <w:tcW w:w="9211" w:type="dxa"/>
            <w:gridSpan w:val="2"/>
            <w:shd w:val="clear" w:color="auto" w:fill="auto"/>
          </w:tcPr>
          <w:p w14:paraId="11600EAE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Psychické poruchy </w:t>
            </w:r>
          </w:p>
        </w:tc>
      </w:tr>
      <w:tr w:rsidR="00A32F67" w:rsidRPr="002D242D" w14:paraId="5ADD1C16" w14:textId="77777777" w:rsidTr="002D242D">
        <w:tc>
          <w:tcPr>
            <w:tcW w:w="1526" w:type="dxa"/>
            <w:shd w:val="clear" w:color="auto" w:fill="auto"/>
          </w:tcPr>
          <w:p w14:paraId="3C36A888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7EC2F3E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Nespavosť</w:t>
            </w:r>
          </w:p>
        </w:tc>
      </w:tr>
      <w:tr w:rsidR="00A32F67" w:rsidRPr="002D242D" w14:paraId="52A91DB1" w14:textId="77777777" w:rsidTr="002D242D">
        <w:tc>
          <w:tcPr>
            <w:tcW w:w="9211" w:type="dxa"/>
            <w:gridSpan w:val="2"/>
            <w:shd w:val="clear" w:color="auto" w:fill="auto"/>
          </w:tcPr>
          <w:p w14:paraId="6F8B6B87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nervového systému </w:t>
            </w:r>
          </w:p>
        </w:tc>
      </w:tr>
      <w:tr w:rsidR="00A32F67" w:rsidRPr="002D242D" w14:paraId="2BE5CA0D" w14:textId="77777777" w:rsidTr="002D242D">
        <w:tc>
          <w:tcPr>
            <w:tcW w:w="1526" w:type="dxa"/>
            <w:shd w:val="clear" w:color="auto" w:fill="auto"/>
          </w:tcPr>
          <w:p w14:paraId="3CE4EEAF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35A5922E" w14:textId="4EE936BE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Dysge</w:t>
            </w:r>
            <w:r w:rsidR="00085BF0">
              <w:rPr>
                <w:sz w:val="22"/>
                <w:szCs w:val="22"/>
              </w:rPr>
              <w:t>ú</w:t>
            </w:r>
            <w:r w:rsidRPr="002D242D">
              <w:rPr>
                <w:sz w:val="22"/>
                <w:szCs w:val="22"/>
              </w:rPr>
              <w:t xml:space="preserve">zia, bolesť hlavy </w:t>
            </w:r>
          </w:p>
        </w:tc>
      </w:tr>
      <w:tr w:rsidR="00A32F67" w:rsidRPr="002D242D" w14:paraId="60859268" w14:textId="77777777" w:rsidTr="002D242D">
        <w:tc>
          <w:tcPr>
            <w:tcW w:w="1526" w:type="dxa"/>
            <w:shd w:val="clear" w:color="auto" w:fill="auto"/>
          </w:tcPr>
          <w:p w14:paraId="2985184F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2026264" w14:textId="63E5EC5D" w:rsidR="00A32F67" w:rsidRPr="003B1562" w:rsidRDefault="00A32F67" w:rsidP="002D242D">
            <w:pPr>
              <w:ind w:left="0" w:firstLine="0"/>
              <w:rPr>
                <w:bCs/>
                <w:szCs w:val="22"/>
              </w:rPr>
            </w:pPr>
            <w:r w:rsidRPr="003B1562">
              <w:rPr>
                <w:bCs/>
                <w:szCs w:val="22"/>
              </w:rPr>
              <w:t>Age</w:t>
            </w:r>
            <w:r w:rsidR="00085BF0">
              <w:rPr>
                <w:bCs/>
                <w:szCs w:val="22"/>
              </w:rPr>
              <w:t>ú</w:t>
            </w:r>
            <w:r w:rsidRPr="003B1562">
              <w:rPr>
                <w:bCs/>
                <w:szCs w:val="22"/>
              </w:rPr>
              <w:t>zia</w:t>
            </w:r>
          </w:p>
        </w:tc>
      </w:tr>
      <w:tr w:rsidR="00A32F67" w:rsidRPr="002D242D" w14:paraId="053165AC" w14:textId="77777777" w:rsidTr="002D242D">
        <w:tc>
          <w:tcPr>
            <w:tcW w:w="9211" w:type="dxa"/>
            <w:gridSpan w:val="2"/>
            <w:shd w:val="clear" w:color="auto" w:fill="auto"/>
          </w:tcPr>
          <w:p w14:paraId="7F4E9830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Cs w:val="22"/>
              </w:rPr>
              <w:t>Poruchy oka</w:t>
            </w:r>
          </w:p>
        </w:tc>
      </w:tr>
      <w:tr w:rsidR="00A32F67" w:rsidRPr="002D242D" w14:paraId="7A98A4D6" w14:textId="77777777" w:rsidTr="002D242D">
        <w:tc>
          <w:tcPr>
            <w:tcW w:w="1526" w:type="dxa"/>
            <w:shd w:val="clear" w:color="auto" w:fill="auto"/>
          </w:tcPr>
          <w:p w14:paraId="53163141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56C662E" w14:textId="77777777" w:rsidR="00A32F67" w:rsidRPr="002D242D" w:rsidRDefault="00A32F67" w:rsidP="00A32F67">
            <w:pPr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Opuch viečka</w:t>
            </w:r>
          </w:p>
        </w:tc>
      </w:tr>
      <w:tr w:rsidR="00A32F67" w:rsidRPr="002D242D" w14:paraId="7B3056E2" w14:textId="77777777" w:rsidTr="002D242D">
        <w:tc>
          <w:tcPr>
            <w:tcW w:w="1526" w:type="dxa"/>
            <w:shd w:val="clear" w:color="auto" w:fill="auto"/>
          </w:tcPr>
          <w:p w14:paraId="4CF89370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73D0687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Konjunktivitída</w:t>
            </w:r>
          </w:p>
        </w:tc>
      </w:tr>
      <w:tr w:rsidR="00A32F67" w:rsidRPr="002D242D" w14:paraId="042E1AF2" w14:textId="77777777" w:rsidTr="002D242D">
        <w:tc>
          <w:tcPr>
            <w:tcW w:w="9211" w:type="dxa"/>
            <w:gridSpan w:val="2"/>
            <w:shd w:val="clear" w:color="auto" w:fill="auto"/>
          </w:tcPr>
          <w:p w14:paraId="08822766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srdca a srdcovej činnosti </w:t>
            </w:r>
          </w:p>
        </w:tc>
      </w:tr>
      <w:tr w:rsidR="00A32F67" w:rsidRPr="002D242D" w14:paraId="44F99F44" w14:textId="77777777" w:rsidTr="002D242D">
        <w:tc>
          <w:tcPr>
            <w:tcW w:w="1526" w:type="dxa"/>
            <w:shd w:val="clear" w:color="auto" w:fill="auto"/>
          </w:tcPr>
          <w:p w14:paraId="77CC73CD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983810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Kongestívne zlyhávanie srdca </w:t>
            </w:r>
          </w:p>
        </w:tc>
      </w:tr>
      <w:tr w:rsidR="00A32F67" w:rsidRPr="002D242D" w14:paraId="72BBCF63" w14:textId="77777777" w:rsidTr="002D242D">
        <w:tc>
          <w:tcPr>
            <w:tcW w:w="9211" w:type="dxa"/>
            <w:gridSpan w:val="2"/>
            <w:shd w:val="clear" w:color="auto" w:fill="auto"/>
          </w:tcPr>
          <w:p w14:paraId="375FD6AF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ciev </w:t>
            </w:r>
          </w:p>
        </w:tc>
      </w:tr>
      <w:tr w:rsidR="00A32F67" w:rsidRPr="002D242D" w14:paraId="08C78D12" w14:textId="77777777" w:rsidTr="002D242D">
        <w:tc>
          <w:tcPr>
            <w:tcW w:w="1526" w:type="dxa"/>
            <w:shd w:val="clear" w:color="auto" w:fill="auto"/>
          </w:tcPr>
          <w:p w14:paraId="2A1004AC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3901021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Krvácanie</w:t>
            </w:r>
            <w:r w:rsidRPr="003B1562">
              <w:rPr>
                <w:sz w:val="22"/>
                <w:szCs w:val="22"/>
                <w:vertAlign w:val="superscript"/>
              </w:rPr>
              <w:t xml:space="preserve"> b</w:t>
            </w:r>
            <w:r w:rsidRPr="002D242D">
              <w:rPr>
                <w:sz w:val="22"/>
                <w:szCs w:val="22"/>
              </w:rPr>
              <w:t xml:space="preserve">, hypertenzia </w:t>
            </w:r>
          </w:p>
        </w:tc>
      </w:tr>
      <w:tr w:rsidR="00A32F67" w:rsidRPr="002D242D" w14:paraId="49D32ECC" w14:textId="77777777" w:rsidTr="002D242D">
        <w:tc>
          <w:tcPr>
            <w:tcW w:w="1526" w:type="dxa"/>
            <w:shd w:val="clear" w:color="auto" w:fill="auto"/>
          </w:tcPr>
          <w:p w14:paraId="6A7B9F2A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395EDDE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Návaly tepla, hĺbková venózna trombóza </w:t>
            </w:r>
          </w:p>
        </w:tc>
      </w:tr>
      <w:tr w:rsidR="00A32F67" w:rsidRPr="002D242D" w14:paraId="1BFD6BB4" w14:textId="77777777" w:rsidTr="002D242D">
        <w:tc>
          <w:tcPr>
            <w:tcW w:w="9211" w:type="dxa"/>
            <w:gridSpan w:val="2"/>
            <w:shd w:val="clear" w:color="auto" w:fill="auto"/>
          </w:tcPr>
          <w:p w14:paraId="45B7171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dýchacej sústavy, hrudníka a mediastína </w:t>
            </w:r>
          </w:p>
        </w:tc>
      </w:tr>
      <w:tr w:rsidR="00A32F67" w:rsidRPr="002D242D" w14:paraId="7845CE94" w14:textId="77777777" w:rsidTr="002D242D">
        <w:tc>
          <w:tcPr>
            <w:tcW w:w="1526" w:type="dxa"/>
            <w:shd w:val="clear" w:color="auto" w:fill="auto"/>
          </w:tcPr>
          <w:p w14:paraId="6419A185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46564FF2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Pneumonitída </w:t>
            </w:r>
            <w:r w:rsidRPr="003B1562">
              <w:rPr>
                <w:sz w:val="22"/>
                <w:szCs w:val="22"/>
                <w:vertAlign w:val="superscript"/>
              </w:rPr>
              <w:t>c</w:t>
            </w:r>
            <w:r w:rsidRPr="002D242D">
              <w:rPr>
                <w:sz w:val="22"/>
                <w:szCs w:val="22"/>
              </w:rPr>
              <w:t xml:space="preserve">, epistaxa, kašeľ </w:t>
            </w:r>
          </w:p>
        </w:tc>
      </w:tr>
      <w:tr w:rsidR="00A32F67" w:rsidRPr="002D242D" w14:paraId="7611E15B" w14:textId="77777777" w:rsidTr="002D242D">
        <w:tc>
          <w:tcPr>
            <w:tcW w:w="1526" w:type="dxa"/>
            <w:shd w:val="clear" w:color="auto" w:fill="auto"/>
          </w:tcPr>
          <w:p w14:paraId="2912F18A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6C8F2A7" w14:textId="77777777" w:rsidR="00A32F67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Dyspnoe</w:t>
            </w:r>
          </w:p>
        </w:tc>
      </w:tr>
      <w:tr w:rsidR="00A32F67" w:rsidRPr="002D242D" w14:paraId="79D02DDA" w14:textId="77777777" w:rsidTr="002D242D">
        <w:tc>
          <w:tcPr>
            <w:tcW w:w="1526" w:type="dxa"/>
            <w:shd w:val="clear" w:color="auto" w:fill="auto"/>
          </w:tcPr>
          <w:p w14:paraId="26FF6775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F30AFAC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Hemoptýza, pľúcna embólia </w:t>
            </w:r>
          </w:p>
        </w:tc>
      </w:tr>
      <w:tr w:rsidR="00A32F67" w:rsidRPr="002D242D" w14:paraId="2000154B" w14:textId="77777777" w:rsidTr="002D242D">
        <w:tc>
          <w:tcPr>
            <w:tcW w:w="1526" w:type="dxa"/>
            <w:shd w:val="clear" w:color="auto" w:fill="auto"/>
          </w:tcPr>
          <w:p w14:paraId="427BF244" w14:textId="77777777" w:rsidR="00A32F67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2809EE1A" w14:textId="06A9A7B8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Syndróm akútnej </w:t>
            </w:r>
            <w:r w:rsidR="000F1E8D">
              <w:rPr>
                <w:sz w:val="22"/>
                <w:szCs w:val="22"/>
              </w:rPr>
              <w:t>respiračnej</w:t>
            </w:r>
            <w:r w:rsidRPr="002D242D">
              <w:rPr>
                <w:sz w:val="22"/>
                <w:szCs w:val="22"/>
              </w:rPr>
              <w:t xml:space="preserve"> tiesne </w:t>
            </w:r>
          </w:p>
        </w:tc>
      </w:tr>
      <w:tr w:rsidR="00620BCB" w:rsidRPr="002D242D" w14:paraId="5C59A8E0" w14:textId="77777777" w:rsidTr="002D242D">
        <w:tc>
          <w:tcPr>
            <w:tcW w:w="9211" w:type="dxa"/>
            <w:gridSpan w:val="2"/>
            <w:shd w:val="clear" w:color="auto" w:fill="auto"/>
          </w:tcPr>
          <w:p w14:paraId="3E3D9A6A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gastrointestinálneho traktu </w:t>
            </w:r>
          </w:p>
        </w:tc>
      </w:tr>
      <w:tr w:rsidR="00620BCB" w:rsidRPr="002D242D" w14:paraId="22BB4C8A" w14:textId="77777777" w:rsidTr="002D242D">
        <w:tc>
          <w:tcPr>
            <w:tcW w:w="1526" w:type="dxa"/>
            <w:shd w:val="clear" w:color="auto" w:fill="auto"/>
          </w:tcPr>
          <w:p w14:paraId="76B0877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6D48F3BB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Stomatitída </w:t>
            </w:r>
            <w:r w:rsidRPr="003B1562">
              <w:rPr>
                <w:sz w:val="22"/>
                <w:szCs w:val="22"/>
                <w:vertAlign w:val="superscript"/>
              </w:rPr>
              <w:t>d</w:t>
            </w:r>
            <w:r w:rsidRPr="002D242D">
              <w:rPr>
                <w:sz w:val="22"/>
                <w:szCs w:val="22"/>
              </w:rPr>
              <w:t xml:space="preserve">, hnačka, nauzea </w:t>
            </w:r>
          </w:p>
        </w:tc>
      </w:tr>
      <w:tr w:rsidR="00620BCB" w:rsidRPr="002D242D" w14:paraId="63D5FD8D" w14:textId="77777777" w:rsidTr="002D242D">
        <w:tc>
          <w:tcPr>
            <w:tcW w:w="1526" w:type="dxa"/>
            <w:shd w:val="clear" w:color="auto" w:fill="auto"/>
          </w:tcPr>
          <w:p w14:paraId="06740A80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lastRenderedPageBreak/>
              <w:t>Časté</w:t>
            </w:r>
          </w:p>
        </w:tc>
        <w:tc>
          <w:tcPr>
            <w:tcW w:w="7685" w:type="dxa"/>
            <w:shd w:val="clear" w:color="auto" w:fill="auto"/>
          </w:tcPr>
          <w:p w14:paraId="2CC3851A" w14:textId="77777777" w:rsidR="00620BCB" w:rsidRPr="002D242D" w:rsidRDefault="002739FF" w:rsidP="002D242D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Vracanie, suchosť v </w:t>
            </w:r>
            <w:r w:rsidR="00620BCB" w:rsidRPr="002D242D">
              <w:rPr>
                <w:sz w:val="22"/>
                <w:szCs w:val="22"/>
              </w:rPr>
              <w:t xml:space="preserve">ústach, bolesť brucha, zápal slizníc, bolesť úst, dyspepsia, dysfágia </w:t>
            </w:r>
          </w:p>
        </w:tc>
      </w:tr>
      <w:tr w:rsidR="00620BCB" w:rsidRPr="002D242D" w14:paraId="25A0D287" w14:textId="77777777" w:rsidTr="002D242D">
        <w:tc>
          <w:tcPr>
            <w:tcW w:w="9211" w:type="dxa"/>
            <w:gridSpan w:val="2"/>
            <w:shd w:val="clear" w:color="auto" w:fill="auto"/>
          </w:tcPr>
          <w:p w14:paraId="236CF286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pečene a žlčových ciest </w:t>
            </w:r>
          </w:p>
        </w:tc>
      </w:tr>
      <w:tr w:rsidR="00620BCB" w:rsidRPr="002D242D" w14:paraId="653F4DF9" w14:textId="77777777" w:rsidTr="002D242D">
        <w:tc>
          <w:tcPr>
            <w:tcW w:w="1526" w:type="dxa"/>
            <w:shd w:val="clear" w:color="auto" w:fill="auto"/>
          </w:tcPr>
          <w:p w14:paraId="25B94256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F32A70C" w14:textId="0A1BCBC1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Zvýšenie </w:t>
            </w:r>
            <w:r w:rsidR="00085BF0" w:rsidRPr="00085BF0">
              <w:rPr>
                <w:sz w:val="22"/>
                <w:szCs w:val="22"/>
              </w:rPr>
              <w:t>hladiny aspartátaminotransferázy</w:t>
            </w:r>
            <w:r w:rsidRPr="002D242D">
              <w:rPr>
                <w:sz w:val="22"/>
                <w:szCs w:val="22"/>
              </w:rPr>
              <w:t xml:space="preserve">, zvýšenie </w:t>
            </w:r>
            <w:r w:rsidR="00085BF0" w:rsidRPr="00085BF0">
              <w:rPr>
                <w:sz w:val="22"/>
                <w:szCs w:val="22"/>
              </w:rPr>
              <w:t>hladiny alanínaminotransferázy</w:t>
            </w:r>
          </w:p>
        </w:tc>
      </w:tr>
      <w:tr w:rsidR="00620BCB" w:rsidRPr="002D242D" w14:paraId="21B72B9F" w14:textId="77777777" w:rsidTr="002D242D">
        <w:tc>
          <w:tcPr>
            <w:tcW w:w="9211" w:type="dxa"/>
            <w:gridSpan w:val="2"/>
            <w:shd w:val="clear" w:color="auto" w:fill="auto"/>
          </w:tcPr>
          <w:p w14:paraId="489F48C3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kože a podkožného tkaniva </w:t>
            </w:r>
          </w:p>
        </w:tc>
      </w:tr>
      <w:tr w:rsidR="00620BCB" w:rsidRPr="002D242D" w14:paraId="1318583F" w14:textId="77777777" w:rsidTr="002D242D">
        <w:tc>
          <w:tcPr>
            <w:tcW w:w="1526" w:type="dxa"/>
            <w:shd w:val="clear" w:color="auto" w:fill="auto"/>
          </w:tcPr>
          <w:p w14:paraId="0B1130E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2D8CF178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Exantém, pruritus </w:t>
            </w:r>
          </w:p>
        </w:tc>
      </w:tr>
      <w:tr w:rsidR="00A32F67" w:rsidRPr="002D242D" w14:paraId="57804431" w14:textId="77777777" w:rsidTr="002D242D">
        <w:tc>
          <w:tcPr>
            <w:tcW w:w="1526" w:type="dxa"/>
            <w:shd w:val="clear" w:color="auto" w:fill="auto"/>
          </w:tcPr>
          <w:p w14:paraId="27FE1F96" w14:textId="77777777" w:rsidR="00A32F67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B0E87E5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Suchosť kože, ochorenie nechtov, mierna alopécia, akné, erytém, onychoklázia, syndróm palmárno-plantárnej erytrodyzestézie, exfoliácia kože, kožná lézia </w:t>
            </w:r>
          </w:p>
        </w:tc>
      </w:tr>
      <w:tr w:rsidR="00620BCB" w:rsidRPr="002D242D" w14:paraId="0DD3C03C" w14:textId="77777777" w:rsidTr="002D242D">
        <w:tc>
          <w:tcPr>
            <w:tcW w:w="1526" w:type="dxa"/>
            <w:shd w:val="clear" w:color="auto" w:fill="auto"/>
          </w:tcPr>
          <w:p w14:paraId="6EC4EA22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13570E7E" w14:textId="7F68016A" w:rsidR="00620BCB" w:rsidRPr="00DE7496" w:rsidRDefault="00620BCB" w:rsidP="002D242D">
            <w:pPr>
              <w:pStyle w:val="Default"/>
              <w:rPr>
                <w:b/>
                <w:bCs/>
                <w:szCs w:val="22"/>
                <w:vertAlign w:val="superscript"/>
              </w:rPr>
            </w:pPr>
            <w:r w:rsidRPr="002D242D">
              <w:rPr>
                <w:sz w:val="22"/>
                <w:szCs w:val="22"/>
              </w:rPr>
              <w:t>Angioedém</w:t>
            </w:r>
            <w:r w:rsidR="00082578" w:rsidRPr="00082578">
              <w:rPr>
                <w:sz w:val="22"/>
                <w:szCs w:val="22"/>
              </w:rPr>
              <w:t>*</w:t>
            </w:r>
            <w:r w:rsidRPr="002D242D">
              <w:rPr>
                <w:sz w:val="22"/>
                <w:szCs w:val="22"/>
              </w:rPr>
              <w:t xml:space="preserve"> </w:t>
            </w:r>
          </w:p>
        </w:tc>
      </w:tr>
      <w:tr w:rsidR="00620BCB" w:rsidRPr="002D242D" w14:paraId="18381383" w14:textId="77777777" w:rsidTr="002D242D">
        <w:tc>
          <w:tcPr>
            <w:tcW w:w="9211" w:type="dxa"/>
            <w:gridSpan w:val="2"/>
            <w:shd w:val="clear" w:color="auto" w:fill="auto"/>
          </w:tcPr>
          <w:p w14:paraId="0F8263B7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kostrovej a svalovej sústavy a spojivového tkaniva </w:t>
            </w:r>
          </w:p>
        </w:tc>
      </w:tr>
      <w:tr w:rsidR="00620BCB" w:rsidRPr="002D242D" w14:paraId="716DAD0E" w14:textId="77777777" w:rsidTr="002D242D">
        <w:tc>
          <w:tcPr>
            <w:tcW w:w="1526" w:type="dxa"/>
            <w:shd w:val="clear" w:color="auto" w:fill="auto"/>
          </w:tcPr>
          <w:p w14:paraId="3A514CA0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BF56D4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Artralgia </w:t>
            </w:r>
          </w:p>
        </w:tc>
      </w:tr>
      <w:tr w:rsidR="00620BCB" w:rsidRPr="002D242D" w14:paraId="474B1C33" w14:textId="77777777" w:rsidTr="002D242D">
        <w:tc>
          <w:tcPr>
            <w:tcW w:w="9211" w:type="dxa"/>
            <w:gridSpan w:val="2"/>
            <w:shd w:val="clear" w:color="auto" w:fill="auto"/>
          </w:tcPr>
          <w:p w14:paraId="1794ECBF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obličiek a močových ciest </w:t>
            </w:r>
          </w:p>
        </w:tc>
      </w:tr>
      <w:tr w:rsidR="00620BCB" w:rsidRPr="002D242D" w14:paraId="4577F202" w14:textId="77777777" w:rsidTr="002D242D">
        <w:tc>
          <w:tcPr>
            <w:tcW w:w="1526" w:type="dxa"/>
            <w:shd w:val="clear" w:color="auto" w:fill="auto"/>
          </w:tcPr>
          <w:p w14:paraId="2785AEF0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E9501EE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Proteinúria*, zvýšenie kreatinínu v krvi, zlyhanie obličiek* </w:t>
            </w:r>
          </w:p>
        </w:tc>
      </w:tr>
      <w:tr w:rsidR="00620BCB" w:rsidRPr="002D242D" w14:paraId="0779A753" w14:textId="77777777" w:rsidTr="002D242D">
        <w:tc>
          <w:tcPr>
            <w:tcW w:w="1526" w:type="dxa"/>
            <w:shd w:val="clear" w:color="auto" w:fill="auto"/>
          </w:tcPr>
          <w:p w14:paraId="258C1BCF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0B1388F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Zvýšené močenie počas dňa, akútne zlyhanie obličiek* </w:t>
            </w:r>
          </w:p>
        </w:tc>
      </w:tr>
      <w:tr w:rsidR="00620BCB" w:rsidRPr="002D242D" w14:paraId="77365D6C" w14:textId="77777777" w:rsidTr="002D242D">
        <w:tc>
          <w:tcPr>
            <w:tcW w:w="9211" w:type="dxa"/>
            <w:gridSpan w:val="2"/>
            <w:shd w:val="clear" w:color="auto" w:fill="auto"/>
          </w:tcPr>
          <w:p w14:paraId="6114D4D8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reprodukčného systému a prsníkov </w:t>
            </w:r>
          </w:p>
        </w:tc>
      </w:tr>
      <w:tr w:rsidR="00620BCB" w:rsidRPr="002D242D" w14:paraId="24399AD8" w14:textId="77777777" w:rsidTr="002D242D">
        <w:tc>
          <w:tcPr>
            <w:tcW w:w="1526" w:type="dxa"/>
            <w:shd w:val="clear" w:color="auto" w:fill="auto"/>
          </w:tcPr>
          <w:p w14:paraId="7BAAFB35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69740D92" w14:textId="676463FB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Nepravidelná menštruácia </w:t>
            </w:r>
            <w:r w:rsidR="004F1AE8" w:rsidRPr="003B1562">
              <w:rPr>
                <w:vertAlign w:val="superscript"/>
              </w:rPr>
              <w:t>e</w:t>
            </w:r>
            <w:r w:rsidRPr="003B1562">
              <w:t xml:space="preserve"> </w:t>
            </w:r>
          </w:p>
        </w:tc>
      </w:tr>
      <w:tr w:rsidR="00620BCB" w:rsidRPr="002D242D" w14:paraId="2F4A306F" w14:textId="77777777" w:rsidTr="002D242D">
        <w:tc>
          <w:tcPr>
            <w:tcW w:w="1526" w:type="dxa"/>
            <w:shd w:val="clear" w:color="auto" w:fill="auto"/>
          </w:tcPr>
          <w:p w14:paraId="50F60D29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0A63BCAF" w14:textId="60F7E5A2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Amenorea </w:t>
            </w:r>
            <w:r w:rsidRPr="002D242D">
              <w:rPr>
                <w:vertAlign w:val="superscript"/>
              </w:rPr>
              <w:t xml:space="preserve">e </w:t>
            </w:r>
            <w:r w:rsidR="00082578" w:rsidRPr="00082578">
              <w:rPr>
                <w:vertAlign w:val="superscript"/>
              </w:rPr>
              <w:t>*</w:t>
            </w:r>
          </w:p>
        </w:tc>
      </w:tr>
      <w:tr w:rsidR="00620BCB" w:rsidRPr="002D242D" w14:paraId="0B4B5FA8" w14:textId="77777777" w:rsidTr="002D242D">
        <w:tc>
          <w:tcPr>
            <w:tcW w:w="9211" w:type="dxa"/>
            <w:gridSpan w:val="2"/>
            <w:shd w:val="clear" w:color="auto" w:fill="auto"/>
          </w:tcPr>
          <w:p w14:paraId="4C30E84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Celkové poruchy a reakcie v mieste podania </w:t>
            </w:r>
          </w:p>
        </w:tc>
      </w:tr>
      <w:tr w:rsidR="00620BCB" w:rsidRPr="002D242D" w14:paraId="34DE43CD" w14:textId="77777777" w:rsidTr="002D242D">
        <w:tc>
          <w:tcPr>
            <w:tcW w:w="1526" w:type="dxa"/>
            <w:shd w:val="clear" w:color="auto" w:fill="auto"/>
          </w:tcPr>
          <w:p w14:paraId="65A17989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7EC05DE0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Únava, asténia, periférny edém </w:t>
            </w:r>
          </w:p>
        </w:tc>
      </w:tr>
      <w:tr w:rsidR="00620BCB" w:rsidRPr="002D242D" w14:paraId="30EBCCBE" w14:textId="77777777" w:rsidTr="002D242D">
        <w:tc>
          <w:tcPr>
            <w:tcW w:w="1526" w:type="dxa"/>
            <w:shd w:val="clear" w:color="auto" w:fill="auto"/>
          </w:tcPr>
          <w:p w14:paraId="4DDBD8D4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061A103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Pyrexia</w:t>
            </w:r>
          </w:p>
        </w:tc>
      </w:tr>
      <w:tr w:rsidR="00620BCB" w:rsidRPr="002D242D" w14:paraId="1DC834A7" w14:textId="77777777" w:rsidTr="002D242D">
        <w:tc>
          <w:tcPr>
            <w:tcW w:w="1526" w:type="dxa"/>
            <w:shd w:val="clear" w:color="auto" w:fill="auto"/>
          </w:tcPr>
          <w:p w14:paraId="611A5D8D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4B83E3D5" w14:textId="115C8F38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Bolesť na hrudi</w:t>
            </w:r>
            <w:r w:rsidR="00085BF0">
              <w:rPr>
                <w:sz w:val="22"/>
                <w:szCs w:val="22"/>
              </w:rPr>
              <w:t xml:space="preserve"> iného ako</w:t>
            </w:r>
            <w:r w:rsidRPr="002D242D">
              <w:rPr>
                <w:sz w:val="22"/>
                <w:szCs w:val="22"/>
              </w:rPr>
              <w:t xml:space="preserve"> srdcového pôvodu, zhoršené hojenie rán</w:t>
            </w:r>
          </w:p>
        </w:tc>
      </w:tr>
      <w:tr w:rsidR="00620BCB" w:rsidRPr="002D242D" w14:paraId="108165E4" w14:textId="77777777" w:rsidTr="002D242D">
        <w:tc>
          <w:tcPr>
            <w:tcW w:w="9211" w:type="dxa"/>
            <w:gridSpan w:val="2"/>
            <w:shd w:val="clear" w:color="auto" w:fill="auto"/>
          </w:tcPr>
          <w:p w14:paraId="2498AF1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Laboratórne a funkčné vyšetrenia</w:t>
            </w:r>
          </w:p>
        </w:tc>
      </w:tr>
      <w:tr w:rsidR="00620BCB" w:rsidRPr="002D242D" w14:paraId="11AC6F4D" w14:textId="77777777" w:rsidTr="002D242D">
        <w:tc>
          <w:tcPr>
            <w:tcW w:w="1526" w:type="dxa"/>
            <w:shd w:val="clear" w:color="auto" w:fill="auto"/>
          </w:tcPr>
          <w:p w14:paraId="4F2E8437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46930826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Zníženie telesnej hmotnosti </w:t>
            </w:r>
          </w:p>
        </w:tc>
      </w:tr>
      <w:tr w:rsidR="00620BCB" w:rsidRPr="002D242D" w14:paraId="42B8677A" w14:textId="77777777" w:rsidTr="002D242D">
        <w:tc>
          <w:tcPr>
            <w:tcW w:w="9211" w:type="dxa"/>
            <w:gridSpan w:val="2"/>
            <w:shd w:val="clear" w:color="auto" w:fill="auto"/>
          </w:tcPr>
          <w:p w14:paraId="1F369A1E" w14:textId="26EF1490" w:rsidR="00620BCB" w:rsidRPr="002D242D" w:rsidRDefault="004F1AE8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*</w:t>
            </w:r>
            <w:r w:rsidR="00620BCB" w:rsidRPr="002D242D">
              <w:rPr>
                <w:sz w:val="22"/>
                <w:szCs w:val="22"/>
              </w:rPr>
              <w:t>pozri aj odsek „Popis</w:t>
            </w:r>
            <w:r w:rsidR="00515CAE">
              <w:rPr>
                <w:sz w:val="22"/>
                <w:szCs w:val="22"/>
              </w:rPr>
              <w:t xml:space="preserve"> vybraných nežiaducich reakcií</w:t>
            </w:r>
            <w:r w:rsidR="00085BF0">
              <w:rPr>
                <w:sz w:val="22"/>
                <w:szCs w:val="22"/>
              </w:rPr>
              <w:t>“</w:t>
            </w:r>
          </w:p>
          <w:p w14:paraId="0CC32CC5" w14:textId="0CDCCCC9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 xml:space="preserve">a </w:t>
            </w:r>
            <w:r w:rsidR="002739FF">
              <w:rPr>
                <w:sz w:val="22"/>
                <w:szCs w:val="22"/>
              </w:rPr>
              <w:t xml:space="preserve">Zahŕňa všetky reakcie </w:t>
            </w:r>
            <w:r w:rsidR="00976E1E">
              <w:rPr>
                <w:sz w:val="22"/>
                <w:szCs w:val="22"/>
              </w:rPr>
              <w:t>patriace do</w:t>
            </w:r>
            <w:r w:rsidR="002739FF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tried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 xml:space="preserve"> orgánových systémov </w:t>
            </w:r>
            <w:r w:rsidR="00976E1E">
              <w:rPr>
                <w:sz w:val="22"/>
                <w:szCs w:val="22"/>
              </w:rPr>
              <w:t>„I</w:t>
            </w:r>
            <w:r w:rsidRPr="002D242D">
              <w:rPr>
                <w:sz w:val="22"/>
                <w:szCs w:val="22"/>
              </w:rPr>
              <w:t>nfekcie a</w:t>
            </w:r>
            <w:r w:rsidR="00976E1E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nákazy</w:t>
            </w:r>
            <w:r w:rsidR="00976E1E">
              <w:rPr>
                <w:sz w:val="22"/>
                <w:szCs w:val="22"/>
              </w:rPr>
              <w:t>“</w:t>
            </w:r>
            <w:r w:rsidRPr="002D242D">
              <w:rPr>
                <w:sz w:val="22"/>
                <w:szCs w:val="22"/>
              </w:rPr>
              <w:t xml:space="preserve"> vrátane (časté) pneumóni</w:t>
            </w:r>
            <w:r w:rsidR="00976E1E">
              <w:rPr>
                <w:sz w:val="22"/>
                <w:szCs w:val="22"/>
              </w:rPr>
              <w:t>e</w:t>
            </w:r>
            <w:r w:rsidRPr="002D242D">
              <w:rPr>
                <w:sz w:val="22"/>
                <w:szCs w:val="22"/>
              </w:rPr>
              <w:t>, infekcie močových ciest; (menej časté) bronchitíd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>, herpes zoster, seps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>, absces</w:t>
            </w:r>
            <w:r w:rsidR="00976E1E">
              <w:rPr>
                <w:sz w:val="22"/>
                <w:szCs w:val="22"/>
              </w:rPr>
              <w:t>u</w:t>
            </w:r>
            <w:r w:rsidRPr="002D242D">
              <w:rPr>
                <w:sz w:val="22"/>
                <w:szCs w:val="22"/>
              </w:rPr>
              <w:t xml:space="preserve"> a ojedinel</w:t>
            </w:r>
            <w:r w:rsidR="00976E1E">
              <w:rPr>
                <w:sz w:val="22"/>
                <w:szCs w:val="22"/>
              </w:rPr>
              <w:t>ých</w:t>
            </w:r>
            <w:r w:rsidRPr="002D242D">
              <w:rPr>
                <w:sz w:val="22"/>
                <w:szCs w:val="22"/>
              </w:rPr>
              <w:t xml:space="preserve"> prípad</w:t>
            </w:r>
            <w:r w:rsidR="00976E1E">
              <w:rPr>
                <w:sz w:val="22"/>
                <w:szCs w:val="22"/>
              </w:rPr>
              <w:t>ov</w:t>
            </w:r>
            <w:r w:rsidRPr="002D242D">
              <w:rPr>
                <w:sz w:val="22"/>
                <w:szCs w:val="22"/>
              </w:rPr>
              <w:t xml:space="preserve"> oportúnnych infekcií [napr. aspergilóza, kandidóza, pneumónia spôsobená </w:t>
            </w:r>
            <w:r w:rsidR="00976E1E" w:rsidRPr="003B1562">
              <w:rPr>
                <w:i/>
                <w:sz w:val="22"/>
                <w:szCs w:val="22"/>
              </w:rPr>
              <w:t>P</w:t>
            </w:r>
            <w:r w:rsidRPr="003B1562">
              <w:rPr>
                <w:i/>
                <w:sz w:val="22"/>
                <w:szCs w:val="22"/>
              </w:rPr>
              <w:t>neumocystis jirovecii</w:t>
            </w:r>
            <w:r w:rsidRPr="002D242D">
              <w:rPr>
                <w:sz w:val="22"/>
                <w:szCs w:val="22"/>
              </w:rPr>
              <w:t xml:space="preserve"> (</w:t>
            </w:r>
            <w:r w:rsidR="00976E1E" w:rsidRPr="00C96BE5">
              <w:rPr>
                <w:i/>
                <w:sz w:val="22"/>
                <w:szCs w:val="22"/>
              </w:rPr>
              <w:t>Pneumocystis</w:t>
            </w:r>
            <w:r w:rsidR="00976E1E" w:rsidRPr="002D242D">
              <w:rPr>
                <w:sz w:val="22"/>
                <w:szCs w:val="22"/>
              </w:rPr>
              <w:t xml:space="preserve"> </w:t>
            </w:r>
            <w:r w:rsidRPr="003B1562">
              <w:rPr>
                <w:i/>
                <w:sz w:val="22"/>
                <w:szCs w:val="22"/>
              </w:rPr>
              <w:t>carinii</w:t>
            </w:r>
            <w:r w:rsidRPr="002D242D">
              <w:rPr>
                <w:sz w:val="22"/>
                <w:szCs w:val="22"/>
              </w:rPr>
              <w:t>) (PJP</w:t>
            </w:r>
            <w:r w:rsidR="002739FF">
              <w:rPr>
                <w:sz w:val="22"/>
                <w:szCs w:val="22"/>
              </w:rPr>
              <w:t>, PCP) a hepatitíd</w:t>
            </w:r>
            <w:r w:rsidR="00976E1E">
              <w:rPr>
                <w:sz w:val="22"/>
                <w:szCs w:val="22"/>
              </w:rPr>
              <w:t>y</w:t>
            </w:r>
            <w:r w:rsidR="002739FF">
              <w:rPr>
                <w:sz w:val="22"/>
                <w:szCs w:val="22"/>
              </w:rPr>
              <w:t> B (pozri aj časť </w:t>
            </w:r>
            <w:r w:rsidRPr="002D242D">
              <w:rPr>
                <w:sz w:val="22"/>
                <w:szCs w:val="22"/>
              </w:rPr>
              <w:t xml:space="preserve">4.4)] a (zriedkavé) </w:t>
            </w:r>
            <w:r w:rsidR="00515CAE">
              <w:rPr>
                <w:sz w:val="22"/>
                <w:szCs w:val="22"/>
              </w:rPr>
              <w:t>vírusov</w:t>
            </w:r>
            <w:r w:rsidR="00976E1E">
              <w:rPr>
                <w:sz w:val="22"/>
                <w:szCs w:val="22"/>
              </w:rPr>
              <w:t>ej</w:t>
            </w:r>
            <w:r w:rsidR="00515CAE">
              <w:rPr>
                <w:sz w:val="22"/>
                <w:szCs w:val="22"/>
              </w:rPr>
              <w:t xml:space="preserve"> myokarditíd</w:t>
            </w:r>
            <w:r w:rsidR="00976E1E">
              <w:rPr>
                <w:sz w:val="22"/>
                <w:szCs w:val="22"/>
              </w:rPr>
              <w:t>y</w:t>
            </w:r>
          </w:p>
          <w:p w14:paraId="36993A10" w14:textId="77777777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>b</w:t>
            </w:r>
            <w:r w:rsidRPr="002D242D">
              <w:rPr>
                <w:sz w:val="22"/>
                <w:szCs w:val="22"/>
              </w:rPr>
              <w:t xml:space="preserve"> Za</w:t>
            </w:r>
            <w:r w:rsidR="002739FF">
              <w:rPr>
                <w:sz w:val="22"/>
                <w:szCs w:val="22"/>
              </w:rPr>
              <w:t>hŕňa rôzne prípady krvácania na </w:t>
            </w:r>
            <w:r w:rsidRPr="002D242D">
              <w:rPr>
                <w:sz w:val="22"/>
                <w:szCs w:val="22"/>
              </w:rPr>
              <w:t>rôznych miestach</w:t>
            </w:r>
            <w:r w:rsidR="00A16443">
              <w:rPr>
                <w:sz w:val="22"/>
                <w:szCs w:val="22"/>
              </w:rPr>
              <w:t>, ktoré nie sú uvedené osobitne</w:t>
            </w:r>
          </w:p>
          <w:p w14:paraId="2F555001" w14:textId="1EEFFAFC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 xml:space="preserve">c </w:t>
            </w:r>
            <w:r w:rsidRPr="002D242D">
              <w:rPr>
                <w:sz w:val="22"/>
                <w:szCs w:val="22"/>
              </w:rPr>
              <w:t>Zahŕňa (</w:t>
            </w:r>
            <w:r w:rsidR="00082578">
              <w:rPr>
                <w:sz w:val="22"/>
                <w:szCs w:val="22"/>
              </w:rPr>
              <w:t xml:space="preserve">veľmi </w:t>
            </w:r>
            <w:r w:rsidRPr="002D242D">
              <w:rPr>
                <w:sz w:val="22"/>
                <w:szCs w:val="22"/>
              </w:rPr>
              <w:t xml:space="preserve">časté) pneumonitídu, </w:t>
            </w:r>
            <w:r w:rsidR="00082578">
              <w:rPr>
                <w:sz w:val="22"/>
                <w:szCs w:val="22"/>
              </w:rPr>
              <w:t xml:space="preserve">(časté) </w:t>
            </w:r>
            <w:r w:rsidRPr="002D242D">
              <w:rPr>
                <w:sz w:val="22"/>
                <w:szCs w:val="22"/>
              </w:rPr>
              <w:t>intersticiálnu chorobu pľúc, pľúcnu infiltráciu a (zriedkavé) pľúcnu alveolárnu hemorágiu, pľúcnu toxicitu a alveolit</w:t>
            </w:r>
            <w:r w:rsidR="00A16443">
              <w:rPr>
                <w:sz w:val="22"/>
                <w:szCs w:val="22"/>
              </w:rPr>
              <w:t>ídu</w:t>
            </w:r>
          </w:p>
          <w:p w14:paraId="76EB082F" w14:textId="26B27135" w:rsidR="00620BCB" w:rsidRPr="002D242D" w:rsidRDefault="004F1AE8" w:rsidP="003B1562">
            <w:pPr>
              <w:pStyle w:val="Default"/>
              <w:rPr>
                <w:sz w:val="22"/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d</w:t>
            </w:r>
            <w:r w:rsidR="00620BCB" w:rsidRPr="002D242D">
              <w:rPr>
                <w:sz w:val="22"/>
                <w:szCs w:val="22"/>
              </w:rPr>
              <w:t xml:space="preserve"> Zahŕňa (veľmi časté) stomatitídu, (časté) aftóznu stomatitídu, ulceráciu úst a jazyka a (men</w:t>
            </w:r>
            <w:r w:rsidR="00A16443">
              <w:rPr>
                <w:sz w:val="22"/>
                <w:szCs w:val="22"/>
              </w:rPr>
              <w:t>ej časté) glosod</w:t>
            </w:r>
            <w:r w:rsidR="00976E1E">
              <w:rPr>
                <w:sz w:val="22"/>
                <w:szCs w:val="22"/>
              </w:rPr>
              <w:t>ý</w:t>
            </w:r>
            <w:r w:rsidR="00A16443">
              <w:rPr>
                <w:sz w:val="22"/>
                <w:szCs w:val="22"/>
              </w:rPr>
              <w:t>niu, glositídu</w:t>
            </w:r>
          </w:p>
          <w:p w14:paraId="31A5DA67" w14:textId="3B640D77" w:rsidR="00620BCB" w:rsidRPr="002D242D" w:rsidRDefault="00620BCB" w:rsidP="003B1562">
            <w:pPr>
              <w:rPr>
                <w:b/>
                <w:bCs/>
                <w:szCs w:val="22"/>
              </w:rPr>
            </w:pPr>
            <w:r w:rsidRPr="002D242D">
              <w:rPr>
                <w:szCs w:val="22"/>
                <w:vertAlign w:val="superscript"/>
              </w:rPr>
              <w:t>e</w:t>
            </w:r>
            <w:r w:rsidR="002739FF">
              <w:rPr>
                <w:szCs w:val="22"/>
              </w:rPr>
              <w:t xml:space="preserve"> Frekvencia určená </w:t>
            </w:r>
            <w:r w:rsidRPr="002D242D">
              <w:rPr>
                <w:szCs w:val="22"/>
              </w:rPr>
              <w:t xml:space="preserve">podľa počtu žien vo veku </w:t>
            </w:r>
            <w:r w:rsidR="00976E1E">
              <w:rPr>
                <w:szCs w:val="22"/>
              </w:rPr>
              <w:t xml:space="preserve">od </w:t>
            </w:r>
            <w:r w:rsidRPr="002D242D">
              <w:rPr>
                <w:szCs w:val="22"/>
              </w:rPr>
              <w:t xml:space="preserve">10 </w:t>
            </w:r>
            <w:r w:rsidR="00976E1E">
              <w:rPr>
                <w:szCs w:val="22"/>
              </w:rPr>
              <w:t>do</w:t>
            </w:r>
            <w:r w:rsidRPr="002D242D">
              <w:rPr>
                <w:szCs w:val="22"/>
              </w:rPr>
              <w:t xml:space="preserve"> 55 rokov </w:t>
            </w:r>
            <w:r w:rsidR="00976E1E" w:rsidRPr="00976E1E">
              <w:rPr>
                <w:szCs w:val="22"/>
                <w:lang w:eastAsia="en-US" w:bidi="en-US"/>
              </w:rPr>
              <w:t>zahrnutých v analýze súhrnných údajov</w:t>
            </w:r>
          </w:p>
        </w:tc>
      </w:tr>
    </w:tbl>
    <w:p w14:paraId="376686CB" w14:textId="77777777" w:rsidR="005D38C8" w:rsidRDefault="005D38C8" w:rsidP="007554D4">
      <w:pPr>
        <w:ind w:left="0" w:firstLine="0"/>
        <w:rPr>
          <w:b/>
          <w:bCs/>
          <w:szCs w:val="22"/>
        </w:rPr>
      </w:pPr>
    </w:p>
    <w:p w14:paraId="734DDA8E" w14:textId="77777777" w:rsidR="005D38C8" w:rsidRPr="005D38C8" w:rsidRDefault="005D38C8" w:rsidP="002739FF">
      <w:pPr>
        <w:pStyle w:val="Default"/>
        <w:keepNext/>
        <w:rPr>
          <w:sz w:val="22"/>
          <w:szCs w:val="22"/>
          <w:u w:val="single"/>
        </w:rPr>
      </w:pPr>
      <w:r w:rsidRPr="005D38C8">
        <w:rPr>
          <w:sz w:val="22"/>
          <w:szCs w:val="22"/>
          <w:u w:val="single"/>
        </w:rPr>
        <w:t xml:space="preserve">Popis vybraných nežiaducich reakcií </w:t>
      </w:r>
    </w:p>
    <w:p w14:paraId="0CC67E5D" w14:textId="3408DB37" w:rsidR="005D38C8" w:rsidRDefault="002739FF" w:rsidP="007644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sa v </w:t>
      </w:r>
      <w:r w:rsidR="005D38C8">
        <w:rPr>
          <w:sz w:val="22"/>
          <w:szCs w:val="22"/>
        </w:rPr>
        <w:t>klin</w:t>
      </w:r>
      <w:r>
        <w:rPr>
          <w:sz w:val="22"/>
          <w:szCs w:val="22"/>
        </w:rPr>
        <w:t>ických štúdiách a</w:t>
      </w:r>
      <w:r w:rsidR="00976E1E">
        <w:rPr>
          <w:sz w:val="22"/>
          <w:szCs w:val="22"/>
        </w:rPr>
        <w:t xml:space="preserve"> v spontánnych </w:t>
      </w:r>
      <w:r>
        <w:rPr>
          <w:sz w:val="22"/>
          <w:szCs w:val="22"/>
        </w:rPr>
        <w:t>hláseniach po uvedení lieku na trh dával do </w:t>
      </w:r>
      <w:r w:rsidR="005D38C8">
        <w:rPr>
          <w:sz w:val="22"/>
          <w:szCs w:val="22"/>
        </w:rPr>
        <w:t>súvislosti so</w:t>
      </w:r>
      <w:r>
        <w:rPr>
          <w:sz w:val="22"/>
          <w:szCs w:val="22"/>
        </w:rPr>
        <w:t> </w:t>
      </w:r>
      <w:r w:rsidR="005D38C8">
        <w:rPr>
          <w:sz w:val="22"/>
          <w:szCs w:val="22"/>
        </w:rPr>
        <w:t xml:space="preserve">závažnými </w:t>
      </w:r>
      <w:r>
        <w:rPr>
          <w:sz w:val="22"/>
          <w:szCs w:val="22"/>
        </w:rPr>
        <w:t>prípadmi reaktivácie hepatitídy </w:t>
      </w:r>
      <w:r w:rsidR="005D38C8">
        <w:rPr>
          <w:sz w:val="22"/>
          <w:szCs w:val="22"/>
        </w:rPr>
        <w:t xml:space="preserve">B, vrátane </w:t>
      </w:r>
      <w:r w:rsidR="00976E1E" w:rsidRPr="00976E1E">
        <w:rPr>
          <w:sz w:val="22"/>
          <w:szCs w:val="22"/>
        </w:rPr>
        <w:t>smrteľných prípadov</w:t>
      </w:r>
      <w:r w:rsidR="005D38C8">
        <w:rPr>
          <w:sz w:val="22"/>
          <w:szCs w:val="22"/>
        </w:rPr>
        <w:t xml:space="preserve">. Reaktivácia </w:t>
      </w:r>
      <w:r>
        <w:rPr>
          <w:sz w:val="22"/>
          <w:szCs w:val="22"/>
        </w:rPr>
        <w:t>infekcie je očakávaná udalosť v </w:t>
      </w:r>
      <w:r w:rsidR="0076442E">
        <w:rPr>
          <w:sz w:val="22"/>
          <w:szCs w:val="22"/>
        </w:rPr>
        <w:t>obdobiach imunosupresie.</w:t>
      </w:r>
    </w:p>
    <w:p w14:paraId="35EA642B" w14:textId="77777777" w:rsidR="005D38C8" w:rsidRDefault="005D38C8" w:rsidP="005D38C8">
      <w:pPr>
        <w:pStyle w:val="Default"/>
        <w:rPr>
          <w:sz w:val="22"/>
          <w:szCs w:val="22"/>
        </w:rPr>
      </w:pPr>
    </w:p>
    <w:p w14:paraId="7C1189CD" w14:textId="59B7FC6E" w:rsidR="005D38C8" w:rsidRDefault="002739FF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</w:t>
      </w:r>
      <w:r w:rsidR="005D38C8">
        <w:rPr>
          <w:sz w:val="22"/>
          <w:szCs w:val="22"/>
        </w:rPr>
        <w:t>klinických štúdi</w:t>
      </w:r>
      <w:r>
        <w:rPr>
          <w:sz w:val="22"/>
          <w:szCs w:val="22"/>
        </w:rPr>
        <w:t>ách a</w:t>
      </w:r>
      <w:r w:rsidR="00976E1E">
        <w:rPr>
          <w:sz w:val="22"/>
          <w:szCs w:val="22"/>
        </w:rPr>
        <w:t xml:space="preserve"> v </w:t>
      </w:r>
      <w:r>
        <w:rPr>
          <w:sz w:val="22"/>
          <w:szCs w:val="22"/>
        </w:rPr>
        <w:t xml:space="preserve">spontánnych hláseniach po uvedení </w:t>
      </w:r>
      <w:r w:rsidR="00976E1E">
        <w:rPr>
          <w:sz w:val="22"/>
          <w:szCs w:val="22"/>
        </w:rPr>
        <w:t xml:space="preserve">lieku </w:t>
      </w:r>
      <w:r>
        <w:rPr>
          <w:sz w:val="22"/>
          <w:szCs w:val="22"/>
        </w:rPr>
        <w:t>na trh sa everolimus dával do </w:t>
      </w:r>
      <w:r w:rsidR="005D38C8">
        <w:rPr>
          <w:sz w:val="22"/>
          <w:szCs w:val="22"/>
        </w:rPr>
        <w:t>súvislosti s</w:t>
      </w:r>
      <w:r>
        <w:rPr>
          <w:sz w:val="22"/>
          <w:szCs w:val="22"/>
        </w:rPr>
        <w:t> </w:t>
      </w:r>
      <w:r w:rsidR="005D38C8">
        <w:rPr>
          <w:sz w:val="22"/>
          <w:szCs w:val="22"/>
        </w:rPr>
        <w:t xml:space="preserve">prípadmi zlyhania obličiek (vrátane </w:t>
      </w:r>
      <w:r w:rsidR="00976E1E" w:rsidRPr="00976E1E">
        <w:rPr>
          <w:sz w:val="22"/>
          <w:szCs w:val="22"/>
        </w:rPr>
        <w:t>smrteľných prípadov</w:t>
      </w:r>
      <w:r w:rsidR="005D38C8">
        <w:rPr>
          <w:sz w:val="22"/>
          <w:szCs w:val="22"/>
        </w:rPr>
        <w:t>) a proteinúriou. Odporúča sa monitorovan</w:t>
      </w:r>
      <w:r>
        <w:rPr>
          <w:sz w:val="22"/>
          <w:szCs w:val="22"/>
        </w:rPr>
        <w:t>ie funkcie obličiek (pozri časť </w:t>
      </w:r>
      <w:r w:rsidR="0076442E">
        <w:rPr>
          <w:sz w:val="22"/>
          <w:szCs w:val="22"/>
        </w:rPr>
        <w:t>4.4).</w:t>
      </w:r>
    </w:p>
    <w:p w14:paraId="47E088EA" w14:textId="77777777" w:rsidR="005D38C8" w:rsidRDefault="005D38C8" w:rsidP="005D38C8">
      <w:pPr>
        <w:pStyle w:val="Default"/>
        <w:rPr>
          <w:sz w:val="22"/>
          <w:szCs w:val="22"/>
        </w:rPr>
      </w:pPr>
    </w:p>
    <w:p w14:paraId="0BF15433" w14:textId="77777777" w:rsidR="005D38C8" w:rsidRDefault="007157CD" w:rsidP="005D38C8">
      <w:pPr>
        <w:pStyle w:val="Default"/>
        <w:rPr>
          <w:sz w:val="22"/>
          <w:szCs w:val="22"/>
        </w:rPr>
      </w:pPr>
      <w:r w:rsidRPr="007157CD">
        <w:rPr>
          <w:sz w:val="22"/>
          <w:szCs w:val="22"/>
        </w:rPr>
        <w:t>V </w:t>
      </w:r>
      <w:r w:rsidR="005D38C8" w:rsidRPr="007157CD">
        <w:rPr>
          <w:sz w:val="22"/>
          <w:szCs w:val="22"/>
        </w:rPr>
        <w:t>klinických</w:t>
      </w:r>
      <w:r>
        <w:rPr>
          <w:sz w:val="22"/>
          <w:szCs w:val="22"/>
        </w:rPr>
        <w:t xml:space="preserve"> skúšaniach a v spontánnych hláseniach po uvedení lieku na </w:t>
      </w:r>
      <w:r w:rsidR="005D38C8">
        <w:rPr>
          <w:sz w:val="22"/>
          <w:szCs w:val="22"/>
        </w:rPr>
        <w:t>trh bolo</w:t>
      </w:r>
      <w:r>
        <w:rPr>
          <w:sz w:val="22"/>
          <w:szCs w:val="22"/>
        </w:rPr>
        <w:t xml:space="preserve"> používanie everolimu spojené s </w:t>
      </w:r>
      <w:r w:rsidR="005D38C8">
        <w:rPr>
          <w:sz w:val="22"/>
          <w:szCs w:val="22"/>
        </w:rPr>
        <w:t>prípadmi amenorey (sekundárna amenorea a iné nepravide</w:t>
      </w:r>
      <w:r>
        <w:rPr>
          <w:sz w:val="22"/>
          <w:szCs w:val="22"/>
        </w:rPr>
        <w:t>lnosti menštruačného cyklu).</w:t>
      </w:r>
    </w:p>
    <w:p w14:paraId="4437DE2D" w14:textId="1B903486" w:rsidR="005D38C8" w:rsidRDefault="007157CD" w:rsidP="005D38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klinických skúšaniach a v spontánnych hláseniach po </w:t>
      </w:r>
      <w:r w:rsidR="005D38C8">
        <w:rPr>
          <w:color w:val="auto"/>
          <w:sz w:val="22"/>
          <w:szCs w:val="22"/>
        </w:rPr>
        <w:t>uvedení li</w:t>
      </w:r>
      <w:r>
        <w:rPr>
          <w:color w:val="auto"/>
          <w:sz w:val="22"/>
          <w:szCs w:val="22"/>
        </w:rPr>
        <w:t>eku na </w:t>
      </w:r>
      <w:r w:rsidR="005D38C8">
        <w:rPr>
          <w:color w:val="auto"/>
          <w:sz w:val="22"/>
          <w:szCs w:val="22"/>
        </w:rPr>
        <w:t>trh bolo p</w:t>
      </w:r>
      <w:r>
        <w:rPr>
          <w:color w:val="auto"/>
          <w:sz w:val="22"/>
          <w:szCs w:val="22"/>
        </w:rPr>
        <w:t>oužívanie everolimu spojené s </w:t>
      </w:r>
      <w:r w:rsidR="005D38C8">
        <w:rPr>
          <w:color w:val="auto"/>
          <w:sz w:val="22"/>
          <w:szCs w:val="22"/>
        </w:rPr>
        <w:t xml:space="preserve">prípadmi pneumónie spôsobenej </w:t>
      </w:r>
      <w:r w:rsidR="00976E1E" w:rsidRPr="003B1562">
        <w:rPr>
          <w:i/>
          <w:color w:val="auto"/>
          <w:sz w:val="22"/>
          <w:szCs w:val="22"/>
        </w:rPr>
        <w:t>P</w:t>
      </w:r>
      <w:r w:rsidR="005D38C8" w:rsidRPr="003B1562">
        <w:rPr>
          <w:i/>
          <w:color w:val="auto"/>
          <w:sz w:val="22"/>
          <w:szCs w:val="22"/>
        </w:rPr>
        <w:t>neumocystis jirovecii</w:t>
      </w:r>
      <w:r w:rsidR="005D38C8">
        <w:rPr>
          <w:color w:val="auto"/>
          <w:sz w:val="22"/>
          <w:szCs w:val="22"/>
        </w:rPr>
        <w:t xml:space="preserve"> (</w:t>
      </w:r>
      <w:r w:rsidR="00976E1E" w:rsidRPr="00C96BE5">
        <w:rPr>
          <w:i/>
          <w:color w:val="auto"/>
          <w:sz w:val="22"/>
          <w:szCs w:val="22"/>
        </w:rPr>
        <w:t>Pneumocystis</w:t>
      </w:r>
      <w:r w:rsidR="00976E1E">
        <w:rPr>
          <w:color w:val="auto"/>
          <w:sz w:val="22"/>
          <w:szCs w:val="22"/>
        </w:rPr>
        <w:t xml:space="preserve"> </w:t>
      </w:r>
      <w:r w:rsidR="005D38C8" w:rsidRPr="003B1562">
        <w:rPr>
          <w:i/>
          <w:color w:val="auto"/>
          <w:sz w:val="22"/>
          <w:szCs w:val="22"/>
        </w:rPr>
        <w:t>carinii</w:t>
      </w:r>
      <w:r w:rsidR="005D38C8">
        <w:rPr>
          <w:color w:val="auto"/>
          <w:sz w:val="22"/>
          <w:szCs w:val="22"/>
        </w:rPr>
        <w:t>) (PJP, PCP), niektor</w:t>
      </w:r>
      <w:r>
        <w:rPr>
          <w:color w:val="auto"/>
          <w:sz w:val="22"/>
          <w:szCs w:val="22"/>
        </w:rPr>
        <w:t>é s fatálnym koncom (pozri časť </w:t>
      </w:r>
      <w:r w:rsidR="0076442E">
        <w:rPr>
          <w:color w:val="auto"/>
          <w:sz w:val="22"/>
          <w:szCs w:val="22"/>
        </w:rPr>
        <w:t>4.4).</w:t>
      </w:r>
    </w:p>
    <w:p w14:paraId="2E534049" w14:textId="77777777" w:rsidR="005D38C8" w:rsidRDefault="005D38C8" w:rsidP="005D38C8">
      <w:pPr>
        <w:pStyle w:val="Default"/>
        <w:rPr>
          <w:color w:val="auto"/>
          <w:sz w:val="22"/>
          <w:szCs w:val="22"/>
        </w:rPr>
      </w:pPr>
    </w:p>
    <w:p w14:paraId="4AD6057D" w14:textId="063BC018" w:rsidR="005D38C8" w:rsidRDefault="007157CD" w:rsidP="005D38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klinických skúšaniach a v spontánnych hláseniach po uvedení lieku na </w:t>
      </w:r>
      <w:r w:rsidR="005D38C8">
        <w:rPr>
          <w:color w:val="auto"/>
          <w:sz w:val="22"/>
          <w:szCs w:val="22"/>
        </w:rPr>
        <w:t>trh bol zaznam</w:t>
      </w:r>
      <w:r>
        <w:rPr>
          <w:color w:val="auto"/>
          <w:sz w:val="22"/>
          <w:szCs w:val="22"/>
        </w:rPr>
        <w:t>enaný angioedém pri </w:t>
      </w:r>
      <w:r w:rsidR="00976E1E">
        <w:rPr>
          <w:color w:val="auto"/>
          <w:sz w:val="22"/>
          <w:szCs w:val="22"/>
        </w:rPr>
        <w:t>súbežnom</w:t>
      </w:r>
      <w:r>
        <w:rPr>
          <w:color w:val="auto"/>
          <w:sz w:val="22"/>
          <w:szCs w:val="22"/>
        </w:rPr>
        <w:t xml:space="preserve"> užívaní s ACE inhibítormi aj bez nich (pozri časť </w:t>
      </w:r>
      <w:r w:rsidR="0076442E">
        <w:rPr>
          <w:color w:val="auto"/>
          <w:sz w:val="22"/>
          <w:szCs w:val="22"/>
        </w:rPr>
        <w:t>4.4).</w:t>
      </w:r>
    </w:p>
    <w:p w14:paraId="0F9D6581" w14:textId="77777777" w:rsidR="005D38C8" w:rsidRDefault="005D38C8" w:rsidP="005D38C8">
      <w:pPr>
        <w:pStyle w:val="Default"/>
        <w:rPr>
          <w:color w:val="auto"/>
          <w:sz w:val="22"/>
          <w:szCs w:val="22"/>
        </w:rPr>
      </w:pPr>
    </w:p>
    <w:p w14:paraId="244BB838" w14:textId="77777777" w:rsidR="005D38C8" w:rsidRPr="005D38C8" w:rsidRDefault="0076442E" w:rsidP="005D38C8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Starší pacienti</w:t>
      </w:r>
    </w:p>
    <w:p w14:paraId="07E6F239" w14:textId="69F3E9C1" w:rsidR="007554D4" w:rsidRDefault="007157CD" w:rsidP="005D38C8">
      <w:pPr>
        <w:ind w:left="0" w:firstLine="0"/>
        <w:rPr>
          <w:b/>
          <w:bCs/>
          <w:szCs w:val="22"/>
        </w:rPr>
      </w:pPr>
      <w:r>
        <w:rPr>
          <w:szCs w:val="22"/>
        </w:rPr>
        <w:t>V </w:t>
      </w:r>
      <w:r w:rsidR="00976E1E" w:rsidRPr="00976E1E">
        <w:rPr>
          <w:bCs/>
          <w:szCs w:val="22"/>
          <w:lang w:eastAsia="en-US"/>
        </w:rPr>
        <w:t>analýze súhrnných údajov</w:t>
      </w:r>
      <w:r>
        <w:rPr>
          <w:szCs w:val="22"/>
        </w:rPr>
        <w:t xml:space="preserve"> o </w:t>
      </w:r>
      <w:r w:rsidR="005D38C8">
        <w:rPr>
          <w:szCs w:val="22"/>
        </w:rPr>
        <w:t xml:space="preserve">bezpečnosti bolo </w:t>
      </w:r>
      <w:r>
        <w:rPr>
          <w:szCs w:val="22"/>
        </w:rPr>
        <w:t xml:space="preserve">37 % pacientov liečených </w:t>
      </w:r>
      <w:r w:rsidR="00976E1E">
        <w:rPr>
          <w:szCs w:val="22"/>
        </w:rPr>
        <w:t>e</w:t>
      </w:r>
      <w:r>
        <w:rPr>
          <w:szCs w:val="22"/>
        </w:rPr>
        <w:t>verolimom</w:t>
      </w:r>
      <w:r w:rsidR="005D38C8">
        <w:rPr>
          <w:szCs w:val="22"/>
        </w:rPr>
        <w:t xml:space="preserve"> vo veku 65 a</w:t>
      </w:r>
      <w:r>
        <w:rPr>
          <w:szCs w:val="22"/>
        </w:rPr>
        <w:t xml:space="preserve"> viac rokov. Počet pacientov, u </w:t>
      </w:r>
      <w:r w:rsidR="005D38C8">
        <w:rPr>
          <w:szCs w:val="22"/>
        </w:rPr>
        <w:t>ktorých bola liečb</w:t>
      </w:r>
      <w:r>
        <w:rPr>
          <w:szCs w:val="22"/>
        </w:rPr>
        <w:t>a z </w:t>
      </w:r>
      <w:r w:rsidR="005D38C8">
        <w:rPr>
          <w:szCs w:val="22"/>
        </w:rPr>
        <w:t>dôvodu nežiaducej reakcie ukončená, bol vyšší vo</w:t>
      </w:r>
      <w:r>
        <w:rPr>
          <w:szCs w:val="22"/>
        </w:rPr>
        <w:t> </w:t>
      </w:r>
      <w:r w:rsidR="005D38C8">
        <w:rPr>
          <w:szCs w:val="22"/>
        </w:rPr>
        <w:t xml:space="preserve">vekovej skupine 65 rokov a viac (20 % </w:t>
      </w:r>
      <w:r w:rsidR="005D38C8">
        <w:rPr>
          <w:i/>
          <w:iCs/>
          <w:szCs w:val="22"/>
        </w:rPr>
        <w:t>vs</w:t>
      </w:r>
      <w:r>
        <w:rPr>
          <w:i/>
          <w:iCs/>
          <w:szCs w:val="22"/>
        </w:rPr>
        <w:t>. </w:t>
      </w:r>
      <w:r w:rsidR="005D38C8">
        <w:rPr>
          <w:szCs w:val="22"/>
        </w:rPr>
        <w:t>13 %). Najčastejšie nežiaduce rea</w:t>
      </w:r>
      <w:r w:rsidR="000F1E8D">
        <w:rPr>
          <w:szCs w:val="22"/>
        </w:rPr>
        <w:t>k</w:t>
      </w:r>
      <w:r w:rsidR="005D38C8">
        <w:rPr>
          <w:szCs w:val="22"/>
        </w:rPr>
        <w:t>cie vedúce k</w:t>
      </w:r>
      <w:r>
        <w:rPr>
          <w:szCs w:val="22"/>
        </w:rPr>
        <w:t> </w:t>
      </w:r>
      <w:r w:rsidR="005D38C8">
        <w:rPr>
          <w:szCs w:val="22"/>
        </w:rPr>
        <w:t>ukončeniu liečby boli pneumonitída (vrátane intersticiálnej choroby pľúc), stomatitída, únava a dyspnoe.</w:t>
      </w:r>
    </w:p>
    <w:p w14:paraId="41E718D3" w14:textId="77777777" w:rsidR="007554D4" w:rsidRPr="003021DE" w:rsidRDefault="007554D4" w:rsidP="007554D4">
      <w:pPr>
        <w:ind w:left="0" w:firstLine="0"/>
        <w:rPr>
          <w:szCs w:val="22"/>
        </w:rPr>
      </w:pPr>
    </w:p>
    <w:p w14:paraId="59B01F42" w14:textId="77777777" w:rsidR="007E5956" w:rsidRPr="003021DE" w:rsidRDefault="007E5956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</w:t>
      </w:r>
      <w:r w:rsidR="007157CD">
        <w:rPr>
          <w:noProof/>
          <w:szCs w:val="22"/>
          <w:u w:val="single"/>
        </w:rPr>
        <w:t xml:space="preserve"> podozrení na </w:t>
      </w:r>
      <w:r w:rsidRPr="003021DE">
        <w:rPr>
          <w:noProof/>
          <w:szCs w:val="22"/>
          <w:u w:val="single"/>
        </w:rPr>
        <w:t>nežiaduce reakcie</w:t>
      </w:r>
    </w:p>
    <w:p w14:paraId="54AC0130" w14:textId="77777777" w:rsidR="007E5956" w:rsidRPr="003021DE" w:rsidRDefault="007157CD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Hlásenie podozrení na nežiaduce reakcie po </w:t>
      </w:r>
      <w:r w:rsidR="007E5956" w:rsidRPr="003021DE">
        <w:rPr>
          <w:noProof/>
          <w:szCs w:val="22"/>
        </w:rPr>
        <w:t>registrácii lieku je dôležité.</w:t>
      </w:r>
      <w:r w:rsidR="007E5956" w:rsidRPr="003021DE">
        <w:rPr>
          <w:szCs w:val="22"/>
        </w:rPr>
        <w:t xml:space="preserve"> </w:t>
      </w:r>
      <w:r w:rsidR="007E5956" w:rsidRPr="003021DE">
        <w:rPr>
          <w:noProof/>
          <w:szCs w:val="22"/>
        </w:rPr>
        <w:t>Umožňuje priebežné monitorovanie pomeru prínosu a rizika lieku.</w:t>
      </w:r>
      <w:r w:rsidR="00FE2DB9">
        <w:rPr>
          <w:szCs w:val="22"/>
        </w:rPr>
        <w:t xml:space="preserve"> Od </w:t>
      </w:r>
      <w:r w:rsidR="007E5956" w:rsidRPr="003021DE">
        <w:rPr>
          <w:noProof/>
          <w:szCs w:val="22"/>
        </w:rPr>
        <w:t xml:space="preserve">zdravotníckych pracovníkov sa vyžaduje, aby </w:t>
      </w:r>
      <w:r w:rsidR="00FE2DB9">
        <w:rPr>
          <w:noProof/>
          <w:szCs w:val="22"/>
        </w:rPr>
        <w:t>hlásili akékoľvek podozrenia na </w:t>
      </w:r>
      <w:r w:rsidR="007E5956" w:rsidRPr="003021DE">
        <w:rPr>
          <w:noProof/>
          <w:szCs w:val="22"/>
        </w:rPr>
        <w:t xml:space="preserve">nežiaduce reakcie </w:t>
      </w:r>
      <w:r w:rsidR="00F66A28">
        <w:rPr>
          <w:noProof/>
          <w:szCs w:val="22"/>
        </w:rPr>
        <w:t>na</w:t>
      </w:r>
      <w:r w:rsidR="00FE2DB9">
        <w:rPr>
          <w:noProof/>
          <w:szCs w:val="22"/>
        </w:rPr>
        <w:t> </w:t>
      </w:r>
      <w:r w:rsidR="007E5956"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="007E5956" w:rsidRPr="00B13F68">
        <w:rPr>
          <w:noProof/>
          <w:szCs w:val="22"/>
          <w:highlight w:val="lightGray"/>
        </w:rPr>
        <w:t>hlásenia uvedené v </w:t>
      </w:r>
      <w:hyperlink r:id="rId8" w:history="1">
        <w:r w:rsidR="007E5956" w:rsidRPr="003B156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C80D23">
        <w:rPr>
          <w:noProof/>
          <w:szCs w:val="22"/>
          <w:highlight w:val="lightGray"/>
        </w:rPr>
        <w:t>.</w:t>
      </w:r>
    </w:p>
    <w:p w14:paraId="65B682F3" w14:textId="77777777" w:rsidR="005D38C8" w:rsidRPr="0076442E" w:rsidRDefault="005D38C8" w:rsidP="00E41B3F">
      <w:pPr>
        <w:rPr>
          <w:szCs w:val="22"/>
        </w:rPr>
      </w:pPr>
    </w:p>
    <w:p w14:paraId="25CA8F6D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66ED18B2" w14:textId="77777777" w:rsidR="00780926" w:rsidRPr="003021DE" w:rsidRDefault="00780926" w:rsidP="00E41B3F">
      <w:pPr>
        <w:rPr>
          <w:szCs w:val="22"/>
        </w:rPr>
      </w:pPr>
    </w:p>
    <w:p w14:paraId="30D9452C" w14:textId="77777777" w:rsidR="00780926" w:rsidRDefault="00FE2DB9" w:rsidP="005D38C8">
      <w:pPr>
        <w:ind w:left="0" w:firstLine="0"/>
        <w:rPr>
          <w:szCs w:val="22"/>
        </w:rPr>
      </w:pPr>
      <w:r>
        <w:rPr>
          <w:szCs w:val="22"/>
        </w:rPr>
        <w:t>Hlásené skúsenosti s </w:t>
      </w:r>
      <w:r w:rsidR="005D38C8">
        <w:rPr>
          <w:szCs w:val="22"/>
        </w:rPr>
        <w:t>predávkovaním u ľudí sú veľmi obmedzené. Jed</w:t>
      </w:r>
      <w:r>
        <w:rPr>
          <w:szCs w:val="22"/>
        </w:rPr>
        <w:t>norazové dávky až do 70 mg boli podané s </w:t>
      </w:r>
      <w:r w:rsidR="005D38C8">
        <w:rPr>
          <w:szCs w:val="22"/>
        </w:rPr>
        <w:t>prijate</w:t>
      </w:r>
      <w:r>
        <w:rPr>
          <w:szCs w:val="22"/>
        </w:rPr>
        <w:t>ľnou akútnou znášanlivosťou. Vo </w:t>
      </w:r>
      <w:r w:rsidR="005D38C8">
        <w:rPr>
          <w:szCs w:val="22"/>
        </w:rPr>
        <w:t>všetkých prípadoch pr</w:t>
      </w:r>
      <w:r>
        <w:rPr>
          <w:szCs w:val="22"/>
        </w:rPr>
        <w:t>edávkovania je potrebné začať s </w:t>
      </w:r>
      <w:r w:rsidR="005D38C8">
        <w:rPr>
          <w:szCs w:val="22"/>
        </w:rPr>
        <w:t>celkovými podpornými opatreniami.</w:t>
      </w:r>
    </w:p>
    <w:p w14:paraId="1A3F8107" w14:textId="77777777" w:rsidR="005D38C8" w:rsidRDefault="005D38C8" w:rsidP="005D38C8">
      <w:pPr>
        <w:ind w:left="0" w:firstLine="0"/>
        <w:rPr>
          <w:szCs w:val="22"/>
        </w:rPr>
      </w:pPr>
    </w:p>
    <w:p w14:paraId="1145AD6E" w14:textId="77777777" w:rsidR="005D38C8" w:rsidRPr="003021DE" w:rsidRDefault="005D38C8" w:rsidP="005D38C8">
      <w:pPr>
        <w:ind w:left="0" w:firstLine="0"/>
        <w:rPr>
          <w:szCs w:val="22"/>
        </w:rPr>
      </w:pPr>
    </w:p>
    <w:p w14:paraId="391B1E2B" w14:textId="77777777" w:rsidR="00780926" w:rsidRPr="003021DE" w:rsidRDefault="00780926" w:rsidP="00FE2DB9">
      <w:pPr>
        <w:keepNext/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60611CDA" w14:textId="77777777" w:rsidR="00780926" w:rsidRPr="003021DE" w:rsidRDefault="00780926" w:rsidP="00FE2DB9">
      <w:pPr>
        <w:keepNext/>
        <w:rPr>
          <w:bCs/>
          <w:szCs w:val="22"/>
        </w:rPr>
      </w:pPr>
    </w:p>
    <w:p w14:paraId="089CD11B" w14:textId="77777777" w:rsidR="00780926" w:rsidRPr="003021DE" w:rsidRDefault="00780926" w:rsidP="00FE2DB9">
      <w:pPr>
        <w:keepNext/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030EC098" w14:textId="77777777" w:rsidR="00780926" w:rsidRPr="003021DE" w:rsidRDefault="00780926" w:rsidP="00FE2DB9">
      <w:pPr>
        <w:keepNext/>
        <w:rPr>
          <w:szCs w:val="22"/>
        </w:rPr>
      </w:pPr>
    </w:p>
    <w:p w14:paraId="67FF3B24" w14:textId="77777777" w:rsidR="005D38C8" w:rsidRDefault="005D38C8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Farmakoterapeutická skupina: cytostatiká, iné cytostatiká, inhibítory proteínkinázy</w:t>
      </w:r>
    </w:p>
    <w:p w14:paraId="458CCF90" w14:textId="77777777" w:rsidR="005D38C8" w:rsidRDefault="005D38C8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ATC kód: L01XE10 </w:t>
      </w:r>
    </w:p>
    <w:p w14:paraId="46039EFB" w14:textId="77777777" w:rsidR="005D38C8" w:rsidRDefault="005D38C8" w:rsidP="005D38C8">
      <w:pPr>
        <w:pStyle w:val="Default"/>
        <w:rPr>
          <w:sz w:val="22"/>
          <w:szCs w:val="22"/>
        </w:rPr>
      </w:pPr>
    </w:p>
    <w:p w14:paraId="13F6CA98" w14:textId="77777777" w:rsidR="005D38C8" w:rsidRPr="005D38C8" w:rsidRDefault="0076442E" w:rsidP="00FE2DB9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7DC6E0AA" w14:textId="3DBBE869" w:rsidR="005D38C8" w:rsidRDefault="005D38C8" w:rsidP="0076442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Eve</w:t>
      </w:r>
      <w:r w:rsidR="00FE2DB9">
        <w:rPr>
          <w:szCs w:val="22"/>
        </w:rPr>
        <w:t>rolimus je selektívny inhibítor mTOR (cieľ</w:t>
      </w:r>
      <w:r w:rsidR="00976E1E">
        <w:rPr>
          <w:szCs w:val="22"/>
        </w:rPr>
        <w:t>ové miesto</w:t>
      </w:r>
      <w:r w:rsidR="00FE2DB9">
        <w:rPr>
          <w:szCs w:val="22"/>
        </w:rPr>
        <w:t xml:space="preserve"> rapamycínu u </w:t>
      </w:r>
      <w:r>
        <w:rPr>
          <w:szCs w:val="22"/>
        </w:rPr>
        <w:t xml:space="preserve">cicavcov). mTOR je kľúčová </w:t>
      </w:r>
      <w:r w:rsidR="00FE2DB9">
        <w:rPr>
          <w:szCs w:val="22"/>
        </w:rPr>
        <w:t>seríntreonínkináza, o </w:t>
      </w:r>
      <w:r>
        <w:rPr>
          <w:szCs w:val="22"/>
        </w:rPr>
        <w:t>aktivite kto</w:t>
      </w:r>
      <w:r w:rsidR="00FE2DB9">
        <w:rPr>
          <w:szCs w:val="22"/>
        </w:rPr>
        <w:t>rej je známe, že je zvýšená pri </w:t>
      </w:r>
      <w:r>
        <w:rPr>
          <w:szCs w:val="22"/>
        </w:rPr>
        <w:t>niek</w:t>
      </w:r>
      <w:r w:rsidR="00FE2DB9">
        <w:rPr>
          <w:szCs w:val="22"/>
        </w:rPr>
        <w:t>oľkých druhoch rakoviny u </w:t>
      </w:r>
      <w:r>
        <w:rPr>
          <w:szCs w:val="22"/>
        </w:rPr>
        <w:t xml:space="preserve">ľudí. </w:t>
      </w:r>
      <w:r w:rsidR="00FE2DB9">
        <w:rPr>
          <w:szCs w:val="22"/>
        </w:rPr>
        <w:t>Everolimus sa viaže na </w:t>
      </w:r>
      <w:r>
        <w:rPr>
          <w:szCs w:val="22"/>
        </w:rPr>
        <w:t xml:space="preserve">vnútrobunkovú bielkovinu FKBP-12, čím tvorí komplex, ktorý inhibuje aktivitu mTOR </w:t>
      </w:r>
      <w:r w:rsidR="00976E1E" w:rsidRPr="00976E1E">
        <w:rPr>
          <w:szCs w:val="22"/>
        </w:rPr>
        <w:t xml:space="preserve">komplexu-1 </w:t>
      </w:r>
      <w:r>
        <w:rPr>
          <w:szCs w:val="22"/>
        </w:rPr>
        <w:t>(mTORC1). Inhibícia signálnej dráhy mTORC1 narúša transláciu a syntézu bielkovín znížením aktivity ribozómovej proteínkinázy S6 (S6K1) a</w:t>
      </w:r>
      <w:r w:rsidR="004569E0">
        <w:rPr>
          <w:szCs w:val="22"/>
        </w:rPr>
        <w:t xml:space="preserve"> väzobného </w:t>
      </w:r>
      <w:r>
        <w:rPr>
          <w:szCs w:val="22"/>
        </w:rPr>
        <w:t>proteínu 4E eukaryotického elongačného faktora (4EBP-1), ktoré regulujú bielkoviny podieľajúce sa na</w:t>
      </w:r>
      <w:r w:rsidR="00FE2DB9">
        <w:rPr>
          <w:szCs w:val="22"/>
        </w:rPr>
        <w:t> </w:t>
      </w:r>
      <w:r>
        <w:rPr>
          <w:szCs w:val="22"/>
        </w:rPr>
        <w:t xml:space="preserve">bunkovom cykle, angiogenéze a glykolýze. Predpokladá sa, že S6K1 fosforyluje </w:t>
      </w:r>
      <w:r w:rsidR="004569E0">
        <w:rPr>
          <w:szCs w:val="22"/>
        </w:rPr>
        <w:t>aktivačnú funkčnú doménu 1</w:t>
      </w:r>
      <w:r>
        <w:rPr>
          <w:szCs w:val="22"/>
        </w:rPr>
        <w:t xml:space="preserve"> estrogénovéh</w:t>
      </w:r>
      <w:r w:rsidR="00FE2DB9">
        <w:rPr>
          <w:szCs w:val="22"/>
        </w:rPr>
        <w:t>o receptora, ktorý zodpovedá za </w:t>
      </w:r>
      <w:r>
        <w:rPr>
          <w:szCs w:val="22"/>
        </w:rPr>
        <w:t>a</w:t>
      </w:r>
      <w:r w:rsidR="00FE2DB9">
        <w:rPr>
          <w:szCs w:val="22"/>
        </w:rPr>
        <w:t>ktiváciu receptora nezávislú od </w:t>
      </w:r>
      <w:r>
        <w:rPr>
          <w:szCs w:val="22"/>
        </w:rPr>
        <w:t xml:space="preserve">ligandu. Everolimus znižuje hladiny rastového faktora cievneho endotelu (VEGF), ktorý potenciuje angiogénne procesy v nádore. Everolimus je účinný inhibítor rastu a proliferácie nádorových buniek, endotelových buniek, fibroblastov a buniek </w:t>
      </w:r>
      <w:r w:rsidR="00FE2DB9">
        <w:rPr>
          <w:szCs w:val="22"/>
        </w:rPr>
        <w:t xml:space="preserve">hladkého svalstva </w:t>
      </w:r>
      <w:r>
        <w:rPr>
          <w:szCs w:val="22"/>
        </w:rPr>
        <w:t>krvný</w:t>
      </w:r>
      <w:r w:rsidR="004569E0">
        <w:rPr>
          <w:szCs w:val="22"/>
        </w:rPr>
        <w:t>ch</w:t>
      </w:r>
      <w:r>
        <w:rPr>
          <w:szCs w:val="22"/>
        </w:rPr>
        <w:t xml:space="preserve"> ciev a preukázalo sa, že </w:t>
      </w:r>
      <w:r w:rsidR="00FE2DB9">
        <w:rPr>
          <w:szCs w:val="22"/>
        </w:rPr>
        <w:t>znižuje glykolýzu v </w:t>
      </w:r>
      <w:r>
        <w:rPr>
          <w:szCs w:val="22"/>
        </w:rPr>
        <w:t xml:space="preserve">solídnych nádoroch </w:t>
      </w:r>
      <w:r w:rsidR="00FE2DB9">
        <w:rPr>
          <w:i/>
          <w:iCs/>
          <w:szCs w:val="22"/>
        </w:rPr>
        <w:t>in </w:t>
      </w:r>
      <w:r>
        <w:rPr>
          <w:i/>
          <w:iCs/>
          <w:szCs w:val="22"/>
        </w:rPr>
        <w:t xml:space="preserve">vitro </w:t>
      </w:r>
      <w:r>
        <w:rPr>
          <w:szCs w:val="22"/>
        </w:rPr>
        <w:t>a</w:t>
      </w:r>
      <w:r w:rsidR="00FE2DB9">
        <w:rPr>
          <w:szCs w:val="22"/>
        </w:rPr>
        <w:t> </w:t>
      </w:r>
      <w:r w:rsidR="00FE2DB9">
        <w:rPr>
          <w:i/>
          <w:iCs/>
          <w:szCs w:val="22"/>
        </w:rPr>
        <w:t>in </w:t>
      </w:r>
      <w:r>
        <w:rPr>
          <w:i/>
          <w:iCs/>
          <w:szCs w:val="22"/>
        </w:rPr>
        <w:t>vivo</w:t>
      </w:r>
      <w:r w:rsidR="0076442E">
        <w:rPr>
          <w:szCs w:val="22"/>
        </w:rPr>
        <w:t>.</w:t>
      </w:r>
    </w:p>
    <w:p w14:paraId="51A5C37B" w14:textId="77777777" w:rsidR="0076442E" w:rsidRDefault="0076442E" w:rsidP="0076442E">
      <w:pPr>
        <w:autoSpaceDE w:val="0"/>
        <w:autoSpaceDN w:val="0"/>
        <w:adjustRightInd w:val="0"/>
        <w:rPr>
          <w:szCs w:val="22"/>
        </w:rPr>
      </w:pPr>
    </w:p>
    <w:p w14:paraId="5F492AE9" w14:textId="77777777" w:rsidR="00CE386A" w:rsidRPr="00CE386A" w:rsidRDefault="00CE386A" w:rsidP="00E3547B">
      <w:pPr>
        <w:pStyle w:val="Default"/>
        <w:keepNext/>
        <w:rPr>
          <w:sz w:val="22"/>
          <w:szCs w:val="22"/>
          <w:u w:val="single"/>
        </w:rPr>
      </w:pPr>
      <w:r w:rsidRPr="00CE386A">
        <w:rPr>
          <w:sz w:val="22"/>
          <w:szCs w:val="22"/>
          <w:u w:val="single"/>
        </w:rPr>
        <w:t xml:space="preserve">Klinická účinnosť a bezpečnosť </w:t>
      </w:r>
    </w:p>
    <w:p w14:paraId="150015B2" w14:textId="77777777" w:rsidR="00CE386A" w:rsidRDefault="00FE2DB9" w:rsidP="0076442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Pokročilý karcinóm prsníka s </w:t>
      </w:r>
      <w:r w:rsidR="00CE386A">
        <w:rPr>
          <w:i/>
          <w:iCs/>
          <w:sz w:val="22"/>
          <w:szCs w:val="22"/>
        </w:rPr>
        <w:t>pozitivitou hormonálnych receptorov</w:t>
      </w:r>
    </w:p>
    <w:p w14:paraId="3F4D1A77" w14:textId="7E783339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BOLERO-2 (klinické skúšanie CRAD001Y2301), randomizované, dvojito zaslepené, multic</w:t>
      </w:r>
      <w:r w:rsidR="00FE2DB9">
        <w:rPr>
          <w:sz w:val="22"/>
          <w:szCs w:val="22"/>
        </w:rPr>
        <w:t xml:space="preserve">entrické klinické skúšanie fázy III </w:t>
      </w:r>
      <w:r w:rsidR="00DF7A0E">
        <w:rPr>
          <w:sz w:val="22"/>
          <w:szCs w:val="22"/>
        </w:rPr>
        <w:t>e</w:t>
      </w:r>
      <w:r w:rsidR="00FE2DB9">
        <w:rPr>
          <w:sz w:val="22"/>
          <w:szCs w:val="22"/>
        </w:rPr>
        <w:t>verolimu+ exemestánu oproti placebu + </w:t>
      </w:r>
      <w:r>
        <w:rPr>
          <w:sz w:val="22"/>
          <w:szCs w:val="22"/>
        </w:rPr>
        <w:t>exemestánu, sa vykonalo u</w:t>
      </w:r>
      <w:r w:rsidR="00FE2DB9">
        <w:rPr>
          <w:sz w:val="22"/>
          <w:szCs w:val="22"/>
        </w:rPr>
        <w:t> postmenopauzálnych žien s </w:t>
      </w:r>
      <w:r>
        <w:rPr>
          <w:sz w:val="22"/>
          <w:szCs w:val="22"/>
        </w:rPr>
        <w:t>pokročilým kar</w:t>
      </w:r>
      <w:r w:rsidR="00FE2DB9">
        <w:rPr>
          <w:sz w:val="22"/>
          <w:szCs w:val="22"/>
        </w:rPr>
        <w:t>cinómom prsníka s </w:t>
      </w:r>
      <w:r>
        <w:rPr>
          <w:sz w:val="22"/>
          <w:szCs w:val="22"/>
        </w:rPr>
        <w:t>pozitivitou estrogénových recept</w:t>
      </w:r>
      <w:r w:rsidR="00FE2DB9">
        <w:rPr>
          <w:sz w:val="22"/>
          <w:szCs w:val="22"/>
        </w:rPr>
        <w:t>orov a negativitou HER2/neu pri recidíve alebo progresii po </w:t>
      </w:r>
      <w:r>
        <w:rPr>
          <w:sz w:val="22"/>
          <w:szCs w:val="22"/>
        </w:rPr>
        <w:t>predchádzajúcej liečbe letrozolom alebo anastrozolom. Randomi</w:t>
      </w:r>
      <w:r w:rsidR="00FE2DB9">
        <w:rPr>
          <w:sz w:val="22"/>
          <w:szCs w:val="22"/>
        </w:rPr>
        <w:t>zácia bola stratifikovaná podľa </w:t>
      </w:r>
      <w:r w:rsidR="004569E0">
        <w:rPr>
          <w:sz w:val="22"/>
          <w:szCs w:val="22"/>
        </w:rPr>
        <w:t>z</w:t>
      </w:r>
      <w:r w:rsidR="00FE2DB9">
        <w:rPr>
          <w:sz w:val="22"/>
          <w:szCs w:val="22"/>
        </w:rPr>
        <w:t>dokumentovanej citlivosti na </w:t>
      </w:r>
      <w:r>
        <w:rPr>
          <w:sz w:val="22"/>
          <w:szCs w:val="22"/>
        </w:rPr>
        <w:t>predchádzajúcu hormonáln</w:t>
      </w:r>
      <w:r w:rsidR="00FE2DB9">
        <w:rPr>
          <w:sz w:val="22"/>
          <w:szCs w:val="22"/>
        </w:rPr>
        <w:t>u liečbu a podľa </w:t>
      </w:r>
      <w:r>
        <w:rPr>
          <w:sz w:val="22"/>
          <w:szCs w:val="22"/>
        </w:rPr>
        <w:t>prítomnosti visc</w:t>
      </w:r>
      <w:r w:rsidR="00FE2DB9">
        <w:rPr>
          <w:sz w:val="22"/>
          <w:szCs w:val="22"/>
        </w:rPr>
        <w:t>erálnych metastáz. Citlivosť na </w:t>
      </w:r>
      <w:r>
        <w:rPr>
          <w:sz w:val="22"/>
          <w:szCs w:val="22"/>
        </w:rPr>
        <w:t xml:space="preserve">predchádzajúcu hormonálnu liečbu bola definovaná buď ako (1) </w:t>
      </w:r>
      <w:r w:rsidR="004569E0">
        <w:rPr>
          <w:sz w:val="22"/>
          <w:szCs w:val="22"/>
        </w:rPr>
        <w:t>z</w:t>
      </w:r>
      <w:r>
        <w:rPr>
          <w:sz w:val="22"/>
          <w:szCs w:val="22"/>
        </w:rPr>
        <w:t>dokumentovaný klinický prínos (kompletná odpoveď [CR], čiastočná odpo</w:t>
      </w:r>
      <w:r w:rsidR="00FE2DB9">
        <w:rPr>
          <w:sz w:val="22"/>
          <w:szCs w:val="22"/>
        </w:rPr>
        <w:t>veď [PR], stabilizovaná choroba ≥ </w:t>
      </w:r>
      <w:r>
        <w:rPr>
          <w:sz w:val="22"/>
          <w:szCs w:val="22"/>
        </w:rPr>
        <w:t>24 týždňov) vyvolaný najmenej jednou predchád</w:t>
      </w:r>
      <w:r w:rsidR="00FE2DB9">
        <w:rPr>
          <w:sz w:val="22"/>
          <w:szCs w:val="22"/>
        </w:rPr>
        <w:t>zajúcou hormonálnou liečbou pri </w:t>
      </w:r>
      <w:r>
        <w:rPr>
          <w:sz w:val="22"/>
          <w:szCs w:val="22"/>
        </w:rPr>
        <w:t>pokročilej</w:t>
      </w:r>
      <w:r w:rsidR="00FE2DB9">
        <w:rPr>
          <w:sz w:val="22"/>
          <w:szCs w:val="22"/>
        </w:rPr>
        <w:t xml:space="preserve"> chorobe, alebo (2) najmenej 24 </w:t>
      </w:r>
      <w:r>
        <w:rPr>
          <w:sz w:val="22"/>
          <w:szCs w:val="22"/>
        </w:rPr>
        <w:t>mesiacov adju</w:t>
      </w:r>
      <w:r w:rsidR="00FE2DB9">
        <w:rPr>
          <w:sz w:val="22"/>
          <w:szCs w:val="22"/>
        </w:rPr>
        <w:t>vantnej hormonálnej liečby pred </w:t>
      </w:r>
      <w:r w:rsidR="0076442E">
        <w:rPr>
          <w:sz w:val="22"/>
          <w:szCs w:val="22"/>
        </w:rPr>
        <w:t>recidívou.</w:t>
      </w:r>
    </w:p>
    <w:p w14:paraId="0BFD280B" w14:textId="01B9ABD2" w:rsidR="00CE386A" w:rsidRDefault="00FE2DB9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Primárnym </w:t>
      </w:r>
      <w:r w:rsidR="004569E0">
        <w:rPr>
          <w:sz w:val="22"/>
          <w:szCs w:val="22"/>
        </w:rPr>
        <w:t xml:space="preserve">koncovým </w:t>
      </w:r>
      <w:r>
        <w:rPr>
          <w:sz w:val="22"/>
          <w:szCs w:val="22"/>
        </w:rPr>
        <w:t>ukazovateľom v </w:t>
      </w:r>
      <w:r w:rsidR="00CE386A">
        <w:rPr>
          <w:sz w:val="22"/>
          <w:szCs w:val="22"/>
        </w:rPr>
        <w:t>klinic</w:t>
      </w:r>
      <w:r>
        <w:rPr>
          <w:sz w:val="22"/>
          <w:szCs w:val="22"/>
        </w:rPr>
        <w:t>kom skúšaní bolo prežívanie bez </w:t>
      </w:r>
      <w:r w:rsidR="00CE386A">
        <w:rPr>
          <w:sz w:val="22"/>
          <w:szCs w:val="22"/>
        </w:rPr>
        <w:t>progresie (PFS) vyhodnotené prostredníctvom RECIST (</w:t>
      </w:r>
      <w:r>
        <w:rPr>
          <w:sz w:val="22"/>
          <w:szCs w:val="22"/>
        </w:rPr>
        <w:t>Response Evaluation Criteria in </w:t>
      </w:r>
      <w:r w:rsidR="00CE386A">
        <w:rPr>
          <w:sz w:val="22"/>
          <w:szCs w:val="22"/>
        </w:rPr>
        <w:t>Solid Tumors, kri</w:t>
      </w:r>
      <w:r>
        <w:rPr>
          <w:sz w:val="22"/>
          <w:szCs w:val="22"/>
        </w:rPr>
        <w:t>tériá vyhodnotenia odpovede pri solídnych nádoroch), pri ktorom sa vychádzalo z </w:t>
      </w:r>
      <w:r w:rsidR="00CE386A">
        <w:rPr>
          <w:sz w:val="22"/>
          <w:szCs w:val="22"/>
        </w:rPr>
        <w:t xml:space="preserve">hodnotenia skúšajúcim </w:t>
      </w:r>
      <w:r w:rsidR="00CE386A">
        <w:rPr>
          <w:sz w:val="22"/>
          <w:szCs w:val="22"/>
        </w:rPr>
        <w:lastRenderedPageBreak/>
        <w:t>lekárom (lokáln</w:t>
      </w:r>
      <w:r w:rsidR="00542BDF">
        <w:rPr>
          <w:sz w:val="22"/>
          <w:szCs w:val="22"/>
        </w:rPr>
        <w:t>e</w:t>
      </w:r>
      <w:r w:rsidR="00CE386A">
        <w:rPr>
          <w:sz w:val="22"/>
          <w:szCs w:val="22"/>
        </w:rPr>
        <w:t xml:space="preserve"> rádiológi</w:t>
      </w:r>
      <w:r w:rsidR="00542BDF">
        <w:rPr>
          <w:sz w:val="22"/>
          <w:szCs w:val="22"/>
        </w:rPr>
        <w:t>cké hodnotenie</w:t>
      </w:r>
      <w:r w:rsidR="00CE386A">
        <w:rPr>
          <w:sz w:val="22"/>
          <w:szCs w:val="22"/>
        </w:rPr>
        <w:t>). Podpo</w:t>
      </w:r>
      <w:r>
        <w:rPr>
          <w:sz w:val="22"/>
          <w:szCs w:val="22"/>
        </w:rPr>
        <w:t>rné analýzy PFS sa zakladali na </w:t>
      </w:r>
      <w:r w:rsidR="00CE386A">
        <w:rPr>
          <w:sz w:val="22"/>
          <w:szCs w:val="22"/>
        </w:rPr>
        <w:t>nez</w:t>
      </w:r>
      <w:r w:rsidR="0076442E">
        <w:rPr>
          <w:sz w:val="22"/>
          <w:szCs w:val="22"/>
        </w:rPr>
        <w:t>ávislo</w:t>
      </w:r>
      <w:r w:rsidR="00542BDF">
        <w:rPr>
          <w:sz w:val="22"/>
          <w:szCs w:val="22"/>
        </w:rPr>
        <w:t>m</w:t>
      </w:r>
      <w:r w:rsidR="0076442E">
        <w:rPr>
          <w:sz w:val="22"/>
          <w:szCs w:val="22"/>
        </w:rPr>
        <w:t xml:space="preserve"> centrálno</w:t>
      </w:r>
      <w:r w:rsidR="00542BDF">
        <w:rPr>
          <w:sz w:val="22"/>
          <w:szCs w:val="22"/>
        </w:rPr>
        <w:t>m</w:t>
      </w:r>
      <w:r w:rsidR="0076442E">
        <w:rPr>
          <w:sz w:val="22"/>
          <w:szCs w:val="22"/>
        </w:rPr>
        <w:t xml:space="preserve"> rádiológi</w:t>
      </w:r>
      <w:r w:rsidR="00542BDF">
        <w:rPr>
          <w:sz w:val="22"/>
          <w:szCs w:val="22"/>
        </w:rPr>
        <w:t>ckom hodnotení</w:t>
      </w:r>
      <w:r w:rsidR="0076442E">
        <w:rPr>
          <w:sz w:val="22"/>
          <w:szCs w:val="22"/>
        </w:rPr>
        <w:t>.</w:t>
      </w:r>
    </w:p>
    <w:p w14:paraId="09F5D530" w14:textId="77777777" w:rsidR="00CE386A" w:rsidRDefault="00CE386A" w:rsidP="00CE386A">
      <w:pPr>
        <w:pStyle w:val="Default"/>
        <w:rPr>
          <w:sz w:val="22"/>
          <w:szCs w:val="22"/>
        </w:rPr>
      </w:pPr>
    </w:p>
    <w:p w14:paraId="370045D7" w14:textId="26B4C272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Sekundárne </w:t>
      </w:r>
      <w:r w:rsidR="00542BDF">
        <w:rPr>
          <w:sz w:val="22"/>
          <w:szCs w:val="22"/>
        </w:rPr>
        <w:t xml:space="preserve">koncové </w:t>
      </w:r>
      <w:r>
        <w:rPr>
          <w:sz w:val="22"/>
          <w:szCs w:val="22"/>
        </w:rPr>
        <w:t xml:space="preserve">ukazovatele zahŕňali celkové prežívanie (OS), </w:t>
      </w:r>
      <w:r w:rsidR="00A1070D">
        <w:rPr>
          <w:sz w:val="22"/>
          <w:szCs w:val="22"/>
        </w:rPr>
        <w:t>miera</w:t>
      </w:r>
      <w:r>
        <w:rPr>
          <w:sz w:val="22"/>
          <w:szCs w:val="22"/>
        </w:rPr>
        <w:t xml:space="preserve"> objektívnych odpovedí, </w:t>
      </w:r>
      <w:r w:rsidR="00A1070D">
        <w:rPr>
          <w:sz w:val="22"/>
          <w:szCs w:val="22"/>
        </w:rPr>
        <w:t>miera</w:t>
      </w:r>
      <w:r>
        <w:rPr>
          <w:sz w:val="22"/>
          <w:szCs w:val="22"/>
        </w:rPr>
        <w:t xml:space="preserve"> klinického prínosu, bezpečnosť, zmen</w:t>
      </w:r>
      <w:r w:rsidR="00E3547B">
        <w:rPr>
          <w:sz w:val="22"/>
          <w:szCs w:val="22"/>
        </w:rPr>
        <w:t>u kvality života (QoL) a čas do </w:t>
      </w:r>
      <w:r>
        <w:rPr>
          <w:sz w:val="22"/>
          <w:szCs w:val="22"/>
        </w:rPr>
        <w:t xml:space="preserve">zhoršenia </w:t>
      </w:r>
      <w:r w:rsidR="00DF7A0E">
        <w:rPr>
          <w:sz w:val="22"/>
          <w:szCs w:val="22"/>
        </w:rPr>
        <w:t xml:space="preserve">výkonnostného stavu (PS) podľa </w:t>
      </w:r>
      <w:r>
        <w:rPr>
          <w:sz w:val="22"/>
          <w:szCs w:val="22"/>
        </w:rPr>
        <w:t>ECOG (Eastern Cooperative Onco</w:t>
      </w:r>
      <w:r w:rsidR="0076442E">
        <w:rPr>
          <w:sz w:val="22"/>
          <w:szCs w:val="22"/>
        </w:rPr>
        <w:t>logy Group performance status).</w:t>
      </w:r>
    </w:p>
    <w:p w14:paraId="208413D0" w14:textId="77777777" w:rsidR="00CE386A" w:rsidRDefault="00CE386A" w:rsidP="00CE386A">
      <w:pPr>
        <w:pStyle w:val="Default"/>
        <w:rPr>
          <w:sz w:val="22"/>
          <w:szCs w:val="22"/>
        </w:rPr>
      </w:pPr>
    </w:p>
    <w:p w14:paraId="05F8C9B7" w14:textId="3CDA05F6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Celkovo bolo rand</w:t>
      </w:r>
      <w:r w:rsidR="00E3547B">
        <w:rPr>
          <w:sz w:val="22"/>
          <w:szCs w:val="22"/>
        </w:rPr>
        <w:t>omizovaných 724 pacientok v pomere 2:1 buď do </w:t>
      </w:r>
      <w:r>
        <w:rPr>
          <w:sz w:val="22"/>
          <w:szCs w:val="22"/>
        </w:rPr>
        <w:t>s</w:t>
      </w:r>
      <w:r w:rsidR="00E3547B">
        <w:rPr>
          <w:sz w:val="22"/>
          <w:szCs w:val="22"/>
        </w:rPr>
        <w:t>kupiny kombinácie everolimu (10 mg denne) + exemestánu (25 </w:t>
      </w:r>
      <w:r>
        <w:rPr>
          <w:sz w:val="22"/>
          <w:szCs w:val="22"/>
        </w:rPr>
        <w:t>mg denne) (n</w:t>
      </w:r>
      <w:r w:rsidR="00E3547B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E3547B">
        <w:rPr>
          <w:sz w:val="22"/>
          <w:szCs w:val="22"/>
        </w:rPr>
        <w:t> 485), alebo do skupiny placeba + exemestánu (25 mg denne) (n = 239). V </w:t>
      </w:r>
      <w:r>
        <w:rPr>
          <w:sz w:val="22"/>
          <w:szCs w:val="22"/>
        </w:rPr>
        <w:t>čase finálnej analýzy celkového prežívania bol medián trvania lieč</w:t>
      </w:r>
      <w:r w:rsidR="00E3547B">
        <w:rPr>
          <w:sz w:val="22"/>
          <w:szCs w:val="22"/>
        </w:rPr>
        <w:t>by everolimom 24,0 týždňov (rozmedzie 1,0 – 199, </w:t>
      </w:r>
      <w:r>
        <w:rPr>
          <w:sz w:val="22"/>
          <w:szCs w:val="22"/>
        </w:rPr>
        <w:t xml:space="preserve"> týždňov). Medián trvania</w:t>
      </w:r>
      <w:r w:rsidR="00E3547B">
        <w:rPr>
          <w:sz w:val="22"/>
          <w:szCs w:val="22"/>
        </w:rPr>
        <w:t xml:space="preserve"> liečby exemestánom bol dlhší v skupine everolimus + exemestán v </w:t>
      </w:r>
      <w:r w:rsidR="00DF7A0E">
        <w:rPr>
          <w:sz w:val="22"/>
          <w:szCs w:val="22"/>
        </w:rPr>
        <w:t>trvaní</w:t>
      </w:r>
      <w:r w:rsidR="00E3547B">
        <w:rPr>
          <w:sz w:val="22"/>
          <w:szCs w:val="22"/>
        </w:rPr>
        <w:t xml:space="preserve"> 29,5 týždňov (1,0 – 199,1) v porovnaní s</w:t>
      </w:r>
      <w:r w:rsidR="00DF7A0E">
        <w:rPr>
          <w:sz w:val="22"/>
          <w:szCs w:val="22"/>
        </w:rPr>
        <w:t> </w:t>
      </w:r>
      <w:r w:rsidR="00E3547B">
        <w:rPr>
          <w:sz w:val="22"/>
          <w:szCs w:val="22"/>
        </w:rPr>
        <w:t>14,1 týždň</w:t>
      </w:r>
      <w:r w:rsidR="00DF7A0E">
        <w:rPr>
          <w:sz w:val="22"/>
          <w:szCs w:val="22"/>
        </w:rPr>
        <w:t>ami</w:t>
      </w:r>
      <w:r w:rsidR="00E3547B">
        <w:rPr>
          <w:sz w:val="22"/>
          <w:szCs w:val="22"/>
        </w:rPr>
        <w:t xml:space="preserve"> (1,0 – 156,0) v skupine placebo + </w:t>
      </w:r>
      <w:r>
        <w:rPr>
          <w:sz w:val="22"/>
          <w:szCs w:val="22"/>
        </w:rPr>
        <w:t xml:space="preserve">exemestán. </w:t>
      </w:r>
    </w:p>
    <w:p w14:paraId="345F18F8" w14:textId="77777777" w:rsidR="00CE386A" w:rsidRDefault="00CE386A" w:rsidP="00CE386A">
      <w:pPr>
        <w:pStyle w:val="Default"/>
        <w:rPr>
          <w:sz w:val="22"/>
          <w:szCs w:val="22"/>
        </w:rPr>
      </w:pPr>
    </w:p>
    <w:p w14:paraId="229A43BC" w14:textId="59D5CB00" w:rsidR="005D38C8" w:rsidRDefault="00E3547B" w:rsidP="009F3B6F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Výsledky účinnosti</w:t>
      </w:r>
      <w:r w:rsidR="009F3B6F">
        <w:rPr>
          <w:szCs w:val="22"/>
        </w:rPr>
        <w:t xml:space="preserve"> z hľadiska</w:t>
      </w:r>
      <w:r>
        <w:rPr>
          <w:szCs w:val="22"/>
        </w:rPr>
        <w:t> </w:t>
      </w:r>
      <w:r w:rsidR="00CE386A">
        <w:rPr>
          <w:szCs w:val="22"/>
        </w:rPr>
        <w:t>pr</w:t>
      </w:r>
      <w:r>
        <w:rPr>
          <w:szCs w:val="22"/>
        </w:rPr>
        <w:t>imárn</w:t>
      </w:r>
      <w:r w:rsidR="009F3B6F">
        <w:rPr>
          <w:szCs w:val="22"/>
        </w:rPr>
        <w:t>eho</w:t>
      </w:r>
      <w:r>
        <w:rPr>
          <w:szCs w:val="22"/>
        </w:rPr>
        <w:t xml:space="preserve"> koncov</w:t>
      </w:r>
      <w:r w:rsidR="009F3B6F">
        <w:rPr>
          <w:szCs w:val="22"/>
        </w:rPr>
        <w:t>ého</w:t>
      </w:r>
      <w:r>
        <w:rPr>
          <w:szCs w:val="22"/>
        </w:rPr>
        <w:t xml:space="preserve"> </w:t>
      </w:r>
      <w:r w:rsidR="009F3B6F" w:rsidRPr="009F3B6F">
        <w:rPr>
          <w:szCs w:val="22"/>
        </w:rPr>
        <w:t>ukazovateľa</w:t>
      </w:r>
      <w:r>
        <w:rPr>
          <w:szCs w:val="22"/>
        </w:rPr>
        <w:t xml:space="preserve"> sa získali z </w:t>
      </w:r>
      <w:r w:rsidR="00CE386A">
        <w:rPr>
          <w:szCs w:val="22"/>
        </w:rPr>
        <w:t>finá</w:t>
      </w:r>
      <w:r>
        <w:rPr>
          <w:szCs w:val="22"/>
        </w:rPr>
        <w:t>lnej analýzy PFS (pozri Tabuľku </w:t>
      </w:r>
      <w:r w:rsidR="00CE386A" w:rsidRPr="00DE7496">
        <w:rPr>
          <w:b/>
          <w:szCs w:val="22"/>
        </w:rPr>
        <w:t>4</w:t>
      </w:r>
      <w:r w:rsidR="00CE386A">
        <w:rPr>
          <w:szCs w:val="22"/>
        </w:rPr>
        <w:t xml:space="preserve"> a </w:t>
      </w:r>
      <w:r w:rsidRPr="00DE7496">
        <w:rPr>
          <w:b/>
          <w:szCs w:val="22"/>
        </w:rPr>
        <w:t>Obrázok 1</w:t>
      </w:r>
      <w:r>
        <w:rPr>
          <w:szCs w:val="22"/>
        </w:rPr>
        <w:t>). Pacientky v skupine placeba + exemestánu neprešli v čase progresie na </w:t>
      </w:r>
      <w:r w:rsidR="009F3B6F">
        <w:rPr>
          <w:szCs w:val="22"/>
        </w:rPr>
        <w:t xml:space="preserve">liečbu </w:t>
      </w:r>
      <w:r w:rsidR="00CE386A">
        <w:rPr>
          <w:szCs w:val="22"/>
        </w:rPr>
        <w:t>everolim</w:t>
      </w:r>
      <w:r w:rsidR="009F3B6F">
        <w:rPr>
          <w:szCs w:val="22"/>
        </w:rPr>
        <w:t>om</w:t>
      </w:r>
      <w:r w:rsidR="00CE386A">
        <w:rPr>
          <w:szCs w:val="22"/>
        </w:rPr>
        <w:t>.</w:t>
      </w:r>
    </w:p>
    <w:p w14:paraId="13253BF2" w14:textId="77777777" w:rsidR="00CE386A" w:rsidRDefault="00CE386A" w:rsidP="00CE386A">
      <w:pPr>
        <w:autoSpaceDE w:val="0"/>
        <w:autoSpaceDN w:val="0"/>
        <w:adjustRightInd w:val="0"/>
        <w:rPr>
          <w:szCs w:val="22"/>
        </w:rPr>
      </w:pPr>
    </w:p>
    <w:p w14:paraId="167972AE" w14:textId="77777777" w:rsidR="00805539" w:rsidRPr="00CE386A" w:rsidRDefault="00E3547B" w:rsidP="00E3547B">
      <w:pPr>
        <w:keepNext/>
        <w:autoSpaceDE w:val="0"/>
        <w:autoSpaceDN w:val="0"/>
        <w:adjustRightInd w:val="0"/>
        <w:rPr>
          <w:bCs/>
          <w:szCs w:val="22"/>
        </w:rPr>
      </w:pPr>
      <w:r w:rsidRPr="00E3547B">
        <w:rPr>
          <w:bCs/>
          <w:i/>
          <w:szCs w:val="22"/>
        </w:rPr>
        <w:t>Tabuľka </w:t>
      </w:r>
      <w:r w:rsidR="00CE386A" w:rsidRPr="00DE7496">
        <w:rPr>
          <w:b/>
          <w:bCs/>
          <w:i/>
          <w:szCs w:val="22"/>
        </w:rPr>
        <w:t>4</w:t>
      </w:r>
      <w:r w:rsidR="00CE386A" w:rsidRPr="00E3547B">
        <w:rPr>
          <w:bCs/>
          <w:i/>
          <w:szCs w:val="22"/>
        </w:rPr>
        <w:t xml:space="preserve"> BOLERO-2 – výsledky účinnosti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810"/>
        <w:gridCol w:w="1649"/>
        <w:gridCol w:w="1642"/>
        <w:gridCol w:w="1370"/>
      </w:tblGrid>
      <w:tr w:rsidR="00CE386A" w:rsidRPr="002D242D" w14:paraId="2B9C93F1" w14:textId="77777777" w:rsidTr="00805539">
        <w:tc>
          <w:tcPr>
            <w:tcW w:w="2410" w:type="dxa"/>
            <w:shd w:val="clear" w:color="auto" w:fill="auto"/>
          </w:tcPr>
          <w:p w14:paraId="4C3146CA" w14:textId="77777777" w:rsidR="00CE386A" w:rsidRPr="002D242D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Analýza</w:t>
            </w:r>
          </w:p>
        </w:tc>
        <w:tc>
          <w:tcPr>
            <w:tcW w:w="1843" w:type="dxa"/>
            <w:shd w:val="clear" w:color="auto" w:fill="auto"/>
          </w:tcPr>
          <w:p w14:paraId="19759B76" w14:textId="77777777" w:rsidR="00CE386A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Everolimus</w:t>
            </w:r>
            <w:r w:rsidRPr="00A939D2">
              <w:rPr>
                <w:b/>
                <w:bCs/>
                <w:szCs w:val="22"/>
                <w:vertAlign w:val="superscript"/>
              </w:rPr>
              <w:t>a</w:t>
            </w:r>
          </w:p>
          <w:p w14:paraId="4FD9BCCE" w14:textId="77777777" w:rsidR="00A939D2" w:rsidRPr="002D242D" w:rsidRDefault="00E3547B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939D2">
              <w:rPr>
                <w:b/>
                <w:bCs/>
                <w:szCs w:val="22"/>
              </w:rPr>
              <w:t>=485</w:t>
            </w:r>
          </w:p>
        </w:tc>
        <w:tc>
          <w:tcPr>
            <w:tcW w:w="1701" w:type="dxa"/>
            <w:shd w:val="clear" w:color="auto" w:fill="auto"/>
          </w:tcPr>
          <w:p w14:paraId="6F2D1ADA" w14:textId="77777777" w:rsidR="00CE386A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Placebo</w:t>
            </w:r>
          </w:p>
          <w:p w14:paraId="306C0C3E" w14:textId="77777777" w:rsidR="00A939D2" w:rsidRPr="002D242D" w:rsidRDefault="00805539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939D2">
              <w:rPr>
                <w:b/>
                <w:bCs/>
                <w:szCs w:val="22"/>
              </w:rPr>
              <w:t>=239</w:t>
            </w:r>
          </w:p>
        </w:tc>
        <w:tc>
          <w:tcPr>
            <w:tcW w:w="1701" w:type="dxa"/>
            <w:shd w:val="clear" w:color="auto" w:fill="auto"/>
          </w:tcPr>
          <w:p w14:paraId="3C1E617E" w14:textId="77777777" w:rsidR="00CE386A" w:rsidRPr="002D242D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Pomer rizika</w:t>
            </w:r>
          </w:p>
        </w:tc>
        <w:tc>
          <w:tcPr>
            <w:tcW w:w="1382" w:type="dxa"/>
            <w:shd w:val="clear" w:color="auto" w:fill="auto"/>
          </w:tcPr>
          <w:p w14:paraId="748EF6BD" w14:textId="77777777" w:rsidR="00CE386A" w:rsidRPr="002D242D" w:rsidRDefault="00E3547B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Hodnota </w:t>
            </w:r>
            <w:r w:rsidR="00A939D2">
              <w:rPr>
                <w:b/>
                <w:bCs/>
                <w:szCs w:val="22"/>
              </w:rPr>
              <w:t>p</w:t>
            </w:r>
          </w:p>
        </w:tc>
      </w:tr>
      <w:tr w:rsidR="00A939D2" w:rsidRPr="002D242D" w14:paraId="4228C978" w14:textId="77777777" w:rsidTr="001E0817">
        <w:tc>
          <w:tcPr>
            <w:tcW w:w="9037" w:type="dxa"/>
            <w:gridSpan w:val="5"/>
            <w:shd w:val="clear" w:color="auto" w:fill="auto"/>
          </w:tcPr>
          <w:p w14:paraId="30E451F4" w14:textId="3F88E318" w:rsidR="00A939D2" w:rsidRPr="002D242D" w:rsidRDefault="00E3547B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A939D2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939D2">
              <w:rPr>
                <w:b/>
                <w:bCs/>
                <w:sz w:val="22"/>
                <w:szCs w:val="22"/>
              </w:rPr>
              <w:t>% IS</w:t>
            </w:r>
            <w:r w:rsidR="001571A6">
              <w:rPr>
                <w:b/>
                <w:bCs/>
                <w:sz w:val="22"/>
                <w:szCs w:val="22"/>
              </w:rPr>
              <w:t xml:space="preserve"> – Index spoľahlivosti</w:t>
            </w:r>
            <w:r w:rsidR="00A939D2">
              <w:rPr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CE386A" w:rsidRPr="002D242D" w14:paraId="4044CF78" w14:textId="77777777" w:rsidTr="00805539">
        <w:tc>
          <w:tcPr>
            <w:tcW w:w="2410" w:type="dxa"/>
            <w:shd w:val="clear" w:color="auto" w:fill="auto"/>
          </w:tcPr>
          <w:p w14:paraId="31C5D38A" w14:textId="77777777" w:rsidR="00CE386A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Rádiologické hodnotenie skúšajúcim lekárom </w:t>
            </w:r>
          </w:p>
        </w:tc>
        <w:tc>
          <w:tcPr>
            <w:tcW w:w="1843" w:type="dxa"/>
            <w:shd w:val="clear" w:color="auto" w:fill="auto"/>
          </w:tcPr>
          <w:p w14:paraId="0D5131E6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14:paraId="7EF3F315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(6,9 až 8,5)</w:t>
            </w:r>
          </w:p>
        </w:tc>
        <w:tc>
          <w:tcPr>
            <w:tcW w:w="1701" w:type="dxa"/>
            <w:shd w:val="clear" w:color="auto" w:fill="auto"/>
          </w:tcPr>
          <w:p w14:paraId="6FC1651C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  <w:p w14:paraId="6950E65E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(2,8 až 4,1)</w:t>
            </w:r>
          </w:p>
        </w:tc>
        <w:tc>
          <w:tcPr>
            <w:tcW w:w="1701" w:type="dxa"/>
            <w:shd w:val="clear" w:color="auto" w:fill="auto"/>
          </w:tcPr>
          <w:p w14:paraId="5FA2A672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0,45 </w:t>
            </w:r>
          </w:p>
          <w:p w14:paraId="7DD85EBE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(0,38 až 0,54) </w:t>
            </w:r>
          </w:p>
        </w:tc>
        <w:tc>
          <w:tcPr>
            <w:tcW w:w="1382" w:type="dxa"/>
            <w:shd w:val="clear" w:color="auto" w:fill="auto"/>
          </w:tcPr>
          <w:p w14:paraId="70B79E79" w14:textId="77777777" w:rsidR="00A939D2" w:rsidRDefault="00E3547B" w:rsidP="00A939D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</w:p>
          <w:p w14:paraId="4F47871C" w14:textId="77777777" w:rsidR="00A939D2" w:rsidRDefault="00A939D2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  <w:p w14:paraId="06172075" w14:textId="77777777" w:rsidR="00CE386A" w:rsidRPr="00A939D2" w:rsidRDefault="00CE386A" w:rsidP="00A939D2">
            <w:pPr>
              <w:jc w:val="center"/>
              <w:rPr>
                <w:szCs w:val="22"/>
              </w:rPr>
            </w:pPr>
          </w:p>
        </w:tc>
      </w:tr>
      <w:tr w:rsidR="00CE386A" w:rsidRPr="002D242D" w14:paraId="4905DDEB" w14:textId="77777777" w:rsidTr="00805539">
        <w:tc>
          <w:tcPr>
            <w:tcW w:w="2410" w:type="dxa"/>
            <w:shd w:val="clear" w:color="auto" w:fill="auto"/>
          </w:tcPr>
          <w:p w14:paraId="2AD7F374" w14:textId="77777777" w:rsidR="00A939D2" w:rsidRDefault="00A939D2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Nezávislé rádiologické hodnotenie </w:t>
            </w:r>
          </w:p>
          <w:p w14:paraId="39A38035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07A4DA4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14:paraId="7F0164FD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(9,7 až 15,0)</w:t>
            </w:r>
          </w:p>
        </w:tc>
        <w:tc>
          <w:tcPr>
            <w:tcW w:w="1701" w:type="dxa"/>
            <w:shd w:val="clear" w:color="auto" w:fill="auto"/>
          </w:tcPr>
          <w:p w14:paraId="738C4AFF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  <w:p w14:paraId="68261A09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(2,9 až 5,6)</w:t>
            </w:r>
          </w:p>
        </w:tc>
        <w:tc>
          <w:tcPr>
            <w:tcW w:w="1701" w:type="dxa"/>
            <w:shd w:val="clear" w:color="auto" w:fill="auto"/>
          </w:tcPr>
          <w:p w14:paraId="18C1BFC9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  <w:p w14:paraId="5BE746CD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(0,31 až 0,48)</w:t>
            </w:r>
          </w:p>
        </w:tc>
        <w:tc>
          <w:tcPr>
            <w:tcW w:w="1382" w:type="dxa"/>
            <w:shd w:val="clear" w:color="auto" w:fill="auto"/>
          </w:tcPr>
          <w:p w14:paraId="52941CEF" w14:textId="77777777" w:rsidR="00A939D2" w:rsidRDefault="00E3547B" w:rsidP="00A939D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 xml:space="preserve">0,0001 </w:t>
            </w:r>
          </w:p>
          <w:p w14:paraId="1726DD56" w14:textId="77777777" w:rsidR="00CE386A" w:rsidRPr="002D242D" w:rsidRDefault="00CE386A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</w:p>
        </w:tc>
      </w:tr>
      <w:tr w:rsidR="00A939D2" w:rsidRPr="002D242D" w14:paraId="2D4A1EF8" w14:textId="77777777" w:rsidTr="001E0817">
        <w:tc>
          <w:tcPr>
            <w:tcW w:w="9037" w:type="dxa"/>
            <w:gridSpan w:val="5"/>
            <w:shd w:val="clear" w:color="auto" w:fill="auto"/>
          </w:tcPr>
          <w:p w14:paraId="011F6AA0" w14:textId="77777777" w:rsidR="00A939D2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celkového prežívania (mesiace) (95</w:t>
            </w:r>
            <w:r w:rsidR="00E3547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CE386A" w:rsidRPr="002D242D" w14:paraId="476A3F82" w14:textId="77777777" w:rsidTr="00805539">
        <w:tc>
          <w:tcPr>
            <w:tcW w:w="2410" w:type="dxa"/>
            <w:shd w:val="clear" w:color="auto" w:fill="auto"/>
          </w:tcPr>
          <w:p w14:paraId="0F92D555" w14:textId="77777777" w:rsidR="00A939D2" w:rsidRDefault="00A939D2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Medián celkového prežívania </w:t>
            </w:r>
          </w:p>
          <w:p w14:paraId="0F0ED691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4A28BE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14:paraId="0309DBBA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(28,0 – 34,6)</w:t>
            </w:r>
          </w:p>
        </w:tc>
        <w:tc>
          <w:tcPr>
            <w:tcW w:w="1701" w:type="dxa"/>
            <w:shd w:val="clear" w:color="auto" w:fill="auto"/>
          </w:tcPr>
          <w:p w14:paraId="2C3F3082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14:paraId="0F34BF14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(22,6 – 33,1)</w:t>
            </w:r>
          </w:p>
        </w:tc>
        <w:tc>
          <w:tcPr>
            <w:tcW w:w="1701" w:type="dxa"/>
            <w:shd w:val="clear" w:color="auto" w:fill="auto"/>
          </w:tcPr>
          <w:p w14:paraId="75931032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0,89 </w:t>
            </w:r>
          </w:p>
          <w:p w14:paraId="25E13544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(0,73 – 1,10) </w:t>
            </w:r>
          </w:p>
        </w:tc>
        <w:tc>
          <w:tcPr>
            <w:tcW w:w="1382" w:type="dxa"/>
            <w:shd w:val="clear" w:color="auto" w:fill="auto"/>
          </w:tcPr>
          <w:p w14:paraId="4BC54925" w14:textId="086A74E9" w:rsidR="00A939D2" w:rsidRDefault="00A939D2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0,1426</w:t>
            </w:r>
          </w:p>
          <w:p w14:paraId="6A93E94E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A939D2" w:rsidRPr="002D242D" w14:paraId="4890FC5F" w14:textId="77777777" w:rsidTr="001E0817">
        <w:tc>
          <w:tcPr>
            <w:tcW w:w="9037" w:type="dxa"/>
            <w:gridSpan w:val="5"/>
            <w:shd w:val="clear" w:color="auto" w:fill="auto"/>
          </w:tcPr>
          <w:p w14:paraId="521346D3" w14:textId="77777777" w:rsidR="00A939D2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Najlepšia celková odpoveď (%) (95</w:t>
            </w:r>
            <w:r w:rsidR="00E3547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CE386A" w:rsidRPr="002D242D" w14:paraId="09AFDA50" w14:textId="77777777" w:rsidTr="00805539">
        <w:tc>
          <w:tcPr>
            <w:tcW w:w="2410" w:type="dxa"/>
            <w:shd w:val="clear" w:color="auto" w:fill="auto"/>
          </w:tcPr>
          <w:p w14:paraId="7D2E9BAE" w14:textId="79D9A653" w:rsidR="00A939D2" w:rsidRDefault="00A1070D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Miera</w:t>
            </w:r>
            <w:r w:rsidR="00A939D2">
              <w:rPr>
                <w:sz w:val="22"/>
                <w:szCs w:val="22"/>
              </w:rPr>
              <w:t xml:space="preserve"> objektívnych odpovedí</w:t>
            </w:r>
            <w:r w:rsidR="00A939D2" w:rsidRPr="00A939D2">
              <w:rPr>
                <w:sz w:val="22"/>
                <w:szCs w:val="22"/>
                <w:vertAlign w:val="superscript"/>
              </w:rPr>
              <w:t xml:space="preserve">b </w:t>
            </w:r>
          </w:p>
          <w:p w14:paraId="001753E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9F9A759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1995B530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(9,8 až 15,9)</w:t>
            </w:r>
          </w:p>
        </w:tc>
        <w:tc>
          <w:tcPr>
            <w:tcW w:w="1701" w:type="dxa"/>
            <w:shd w:val="clear" w:color="auto" w:fill="auto"/>
          </w:tcPr>
          <w:p w14:paraId="1F54A7E2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0DB9484A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(0,5 až 4,2)</w:t>
            </w:r>
          </w:p>
        </w:tc>
        <w:tc>
          <w:tcPr>
            <w:tcW w:w="1701" w:type="dxa"/>
            <w:shd w:val="clear" w:color="auto" w:fill="auto"/>
          </w:tcPr>
          <w:p w14:paraId="1816EF37" w14:textId="77777777" w:rsidR="00A939D2" w:rsidRDefault="00A939D2" w:rsidP="00805539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Pr="00A939D2">
              <w:rPr>
                <w:sz w:val="22"/>
                <w:szCs w:val="22"/>
                <w:vertAlign w:val="superscript"/>
              </w:rPr>
              <w:t>d</w:t>
            </w:r>
          </w:p>
          <w:p w14:paraId="42E3CA87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7DD63B4" w14:textId="7713B6F4" w:rsidR="00A939D2" w:rsidRDefault="00E3547B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  <w:r w:rsidR="00A939D2" w:rsidRPr="00A939D2">
              <w:rPr>
                <w:sz w:val="22"/>
                <w:szCs w:val="22"/>
                <w:vertAlign w:val="superscript"/>
              </w:rPr>
              <w:t>e</w:t>
            </w:r>
          </w:p>
          <w:p w14:paraId="4346AEE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CE386A" w:rsidRPr="002D242D" w14:paraId="424D8351" w14:textId="77777777" w:rsidTr="00805539">
        <w:tc>
          <w:tcPr>
            <w:tcW w:w="2410" w:type="dxa"/>
            <w:shd w:val="clear" w:color="auto" w:fill="auto"/>
          </w:tcPr>
          <w:p w14:paraId="3A56EA1B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5FECBE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0A1430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B51CC6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5A1DBFA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CE386A" w:rsidRPr="002D242D" w14:paraId="35EA355B" w14:textId="77777777" w:rsidTr="00805539">
        <w:tc>
          <w:tcPr>
            <w:tcW w:w="2410" w:type="dxa"/>
            <w:shd w:val="clear" w:color="auto" w:fill="auto"/>
          </w:tcPr>
          <w:p w14:paraId="32B38F9F" w14:textId="2DCEB5F7" w:rsidR="00A939D2" w:rsidRDefault="00A1070D" w:rsidP="003B156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Miera</w:t>
            </w:r>
            <w:r w:rsidR="00E3547B">
              <w:rPr>
                <w:sz w:val="22"/>
                <w:szCs w:val="22"/>
              </w:rPr>
              <w:t xml:space="preserve"> klinického prínosu</w:t>
            </w:r>
            <w:r w:rsidR="00E3547B" w:rsidRPr="00E3547B">
              <w:rPr>
                <w:sz w:val="22"/>
                <w:szCs w:val="22"/>
                <w:vertAlign w:val="superscript"/>
              </w:rPr>
              <w:t>c</w:t>
            </w:r>
            <w:r w:rsidR="00A939D2" w:rsidRPr="00E3547B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D998E65" w14:textId="77777777" w:rsidR="00CE386A" w:rsidRPr="002D242D" w:rsidRDefault="00CE386A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6F8850A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3714D45C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(46,8 až 55,9)</w:t>
            </w:r>
          </w:p>
        </w:tc>
        <w:tc>
          <w:tcPr>
            <w:tcW w:w="1701" w:type="dxa"/>
            <w:shd w:val="clear" w:color="auto" w:fill="auto"/>
          </w:tcPr>
          <w:p w14:paraId="35238D7D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2FF7B380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(20,9 až 32,4)</w:t>
            </w:r>
          </w:p>
        </w:tc>
        <w:tc>
          <w:tcPr>
            <w:tcW w:w="1701" w:type="dxa"/>
            <w:shd w:val="clear" w:color="auto" w:fill="auto"/>
          </w:tcPr>
          <w:p w14:paraId="4CAE0D17" w14:textId="77777777" w:rsidR="00A939D2" w:rsidRDefault="00A939D2" w:rsidP="00805539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Pr="00A939D2">
              <w:rPr>
                <w:sz w:val="22"/>
                <w:szCs w:val="22"/>
                <w:vertAlign w:val="superscript"/>
              </w:rPr>
              <w:t>d</w:t>
            </w:r>
          </w:p>
          <w:p w14:paraId="4C391228" w14:textId="77777777" w:rsidR="00A939D2" w:rsidRDefault="00A939D2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  <w:p w14:paraId="447A6A76" w14:textId="77777777" w:rsidR="00CE386A" w:rsidRPr="00A939D2" w:rsidRDefault="00CE386A" w:rsidP="00A939D2">
            <w:pPr>
              <w:jc w:val="center"/>
              <w:rPr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27531A38" w14:textId="4A5EA434" w:rsidR="00A939D2" w:rsidRDefault="00E3547B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  <w:r w:rsidR="00A939D2" w:rsidRPr="00A939D2">
              <w:rPr>
                <w:sz w:val="22"/>
                <w:szCs w:val="22"/>
                <w:vertAlign w:val="superscript"/>
              </w:rPr>
              <w:t>e</w:t>
            </w:r>
          </w:p>
          <w:p w14:paraId="3A2198A8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A939D2" w:rsidRPr="002D242D" w14:paraId="06890C35" w14:textId="77777777" w:rsidTr="001E0817">
        <w:trPr>
          <w:trHeight w:val="779"/>
        </w:trPr>
        <w:tc>
          <w:tcPr>
            <w:tcW w:w="9037" w:type="dxa"/>
            <w:gridSpan w:val="5"/>
            <w:shd w:val="clear" w:color="auto" w:fill="auto"/>
          </w:tcPr>
          <w:p w14:paraId="750DB31B" w14:textId="10873112" w:rsidR="00805539" w:rsidRDefault="00805539" w:rsidP="00805539">
            <w:pPr>
              <w:pStyle w:val="Default"/>
              <w:ind w:left="601" w:hanging="601"/>
              <w:rPr>
                <w:sz w:val="22"/>
                <w:szCs w:val="22"/>
                <w:vertAlign w:val="superscript"/>
              </w:rPr>
            </w:pPr>
          </w:p>
          <w:p w14:paraId="299D04DA" w14:textId="77777777" w:rsidR="00A939D2" w:rsidRPr="009F3B6F" w:rsidRDefault="00A939D2" w:rsidP="00805539">
            <w:pPr>
              <w:pStyle w:val="Default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a</w:t>
            </w:r>
            <w:r w:rsidRPr="00A939D2">
              <w:rPr>
                <w:sz w:val="22"/>
                <w:szCs w:val="22"/>
              </w:rPr>
              <w:t xml:space="preserve">   </w:t>
            </w:r>
            <w:r w:rsidR="00805539">
              <w:rPr>
                <w:sz w:val="22"/>
                <w:szCs w:val="22"/>
              </w:rPr>
              <w:t xml:space="preserve"> </w:t>
            </w:r>
            <w:r w:rsidR="00134157" w:rsidRPr="003B1562">
              <w:rPr>
                <w:spacing w:val="-1"/>
                <w:sz w:val="22"/>
                <w:szCs w:val="22"/>
              </w:rPr>
              <w:t>V kombinácii s</w:t>
            </w:r>
            <w:r w:rsidR="00E3547B" w:rsidRPr="003B1562">
              <w:rPr>
                <w:spacing w:val="-1"/>
                <w:sz w:val="22"/>
                <w:szCs w:val="22"/>
              </w:rPr>
              <w:t> </w:t>
            </w:r>
            <w:r w:rsidR="00134157" w:rsidRPr="003B1562">
              <w:rPr>
                <w:spacing w:val="-1"/>
                <w:sz w:val="22"/>
                <w:szCs w:val="22"/>
              </w:rPr>
              <w:t>exemestánom</w:t>
            </w:r>
          </w:p>
          <w:p w14:paraId="07CFE45C" w14:textId="65D25EB5" w:rsidR="00A939D2" w:rsidRPr="007A6ABC" w:rsidRDefault="00A939D2" w:rsidP="002E0BBA">
            <w:pPr>
              <w:pStyle w:val="Default"/>
              <w:ind w:left="317" w:hanging="317"/>
              <w:rPr>
                <w:sz w:val="22"/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b</w:t>
            </w:r>
            <w:r w:rsidRPr="009F3B6F">
              <w:rPr>
                <w:sz w:val="22"/>
                <w:szCs w:val="22"/>
              </w:rPr>
              <w:t xml:space="preserve"> </w:t>
            </w:r>
            <w:r w:rsidR="00E3547B" w:rsidRPr="009F3B6F">
              <w:rPr>
                <w:sz w:val="22"/>
                <w:szCs w:val="22"/>
              </w:rPr>
              <w:t xml:space="preserve">   </w:t>
            </w:r>
            <w:r w:rsidR="00A1070D">
              <w:rPr>
                <w:sz w:val="22"/>
                <w:szCs w:val="22"/>
              </w:rPr>
              <w:t>Miera</w:t>
            </w:r>
            <w:r w:rsidR="00E3547B" w:rsidRPr="009F3B6F">
              <w:rPr>
                <w:sz w:val="22"/>
                <w:szCs w:val="22"/>
              </w:rPr>
              <w:t xml:space="preserve"> objektívnych odpovedí = </w:t>
            </w:r>
            <w:r w:rsidR="007A6ABC" w:rsidRPr="00FF5E71">
              <w:rPr>
                <w:sz w:val="22"/>
                <w:szCs w:val="22"/>
              </w:rPr>
              <w:t>podiel</w:t>
            </w:r>
            <w:r w:rsidR="00E3547B" w:rsidRPr="009F3B6F">
              <w:rPr>
                <w:sz w:val="22"/>
                <w:szCs w:val="22"/>
              </w:rPr>
              <w:t xml:space="preserve"> pacientok s </w:t>
            </w:r>
            <w:r w:rsidRPr="009F3B6F">
              <w:rPr>
                <w:sz w:val="22"/>
                <w:szCs w:val="22"/>
              </w:rPr>
              <w:t>kompletnou alebo čiastoč</w:t>
            </w:r>
            <w:r w:rsidR="00805539" w:rsidRPr="009F3B6F">
              <w:rPr>
                <w:sz w:val="22"/>
                <w:szCs w:val="22"/>
              </w:rPr>
              <w:t>nou</w:t>
            </w:r>
            <w:r w:rsidR="002E0BBA" w:rsidRPr="009F3B6F">
              <w:rPr>
                <w:sz w:val="22"/>
                <w:szCs w:val="22"/>
              </w:rPr>
              <w:t xml:space="preserve"> </w:t>
            </w:r>
            <w:r w:rsidRPr="007A6ABC">
              <w:rPr>
                <w:sz w:val="22"/>
                <w:szCs w:val="22"/>
              </w:rPr>
              <w:t xml:space="preserve">odpoveďou </w:t>
            </w:r>
          </w:p>
          <w:p w14:paraId="4D7843A3" w14:textId="4CDA48C0" w:rsidR="00A939D2" w:rsidRPr="007A6ABC" w:rsidRDefault="00A939D2" w:rsidP="002E0BBA">
            <w:pPr>
              <w:pStyle w:val="Default"/>
              <w:ind w:left="317" w:hanging="317"/>
              <w:rPr>
                <w:sz w:val="22"/>
                <w:szCs w:val="22"/>
              </w:rPr>
            </w:pPr>
            <w:r w:rsidRPr="007A6ABC">
              <w:rPr>
                <w:sz w:val="22"/>
                <w:szCs w:val="22"/>
                <w:vertAlign w:val="superscript"/>
              </w:rPr>
              <w:t>c</w:t>
            </w:r>
            <w:r w:rsidR="00E3547B" w:rsidRPr="007A6ABC">
              <w:rPr>
                <w:sz w:val="22"/>
                <w:szCs w:val="22"/>
              </w:rPr>
              <w:t xml:space="preserve">    </w:t>
            </w:r>
            <w:r w:rsidR="00A1070D">
              <w:rPr>
                <w:sz w:val="22"/>
                <w:szCs w:val="22"/>
              </w:rPr>
              <w:t>Miera</w:t>
            </w:r>
            <w:r w:rsidR="00E3547B" w:rsidRPr="007A6ABC">
              <w:rPr>
                <w:sz w:val="22"/>
                <w:szCs w:val="22"/>
              </w:rPr>
              <w:t xml:space="preserve"> klinického prínosu = </w:t>
            </w:r>
            <w:r w:rsidR="007A6ABC" w:rsidRPr="00FF5E71">
              <w:rPr>
                <w:sz w:val="22"/>
                <w:szCs w:val="22"/>
              </w:rPr>
              <w:t>podiel</w:t>
            </w:r>
            <w:r w:rsidR="00E3547B" w:rsidRPr="007A6ABC">
              <w:rPr>
                <w:sz w:val="22"/>
                <w:szCs w:val="22"/>
              </w:rPr>
              <w:t xml:space="preserve"> pacientok s </w:t>
            </w:r>
            <w:r w:rsidRPr="007A6ABC">
              <w:rPr>
                <w:sz w:val="22"/>
                <w:szCs w:val="22"/>
              </w:rPr>
              <w:t>kompletnou alebo čiastočnou odpoveďou alebo stabilizovanou chorobou</w:t>
            </w:r>
            <w:r w:rsidR="00805539" w:rsidRPr="007A6ABC">
              <w:rPr>
                <w:sz w:val="22"/>
                <w:szCs w:val="22"/>
              </w:rPr>
              <w:t> </w:t>
            </w:r>
            <w:r w:rsidRPr="007A6ABC">
              <w:rPr>
                <w:sz w:val="22"/>
                <w:szCs w:val="22"/>
              </w:rPr>
              <w:t>≥</w:t>
            </w:r>
            <w:r w:rsidR="00805539" w:rsidRPr="007A6ABC">
              <w:rPr>
                <w:sz w:val="22"/>
                <w:szCs w:val="22"/>
              </w:rPr>
              <w:t> </w:t>
            </w:r>
            <w:r w:rsidRPr="007A6ABC">
              <w:rPr>
                <w:sz w:val="22"/>
                <w:szCs w:val="22"/>
              </w:rPr>
              <w:t xml:space="preserve">24 týždňov </w:t>
            </w:r>
          </w:p>
          <w:p w14:paraId="19C7901F" w14:textId="77777777" w:rsidR="00A939D2" w:rsidRPr="00B92A61" w:rsidRDefault="00A939D2" w:rsidP="00805539">
            <w:pPr>
              <w:pStyle w:val="Default"/>
              <w:ind w:left="601" w:hanging="601"/>
              <w:rPr>
                <w:sz w:val="22"/>
                <w:szCs w:val="22"/>
              </w:rPr>
            </w:pPr>
            <w:r w:rsidRPr="00B92A61">
              <w:rPr>
                <w:sz w:val="22"/>
                <w:szCs w:val="22"/>
                <w:vertAlign w:val="superscript"/>
              </w:rPr>
              <w:t>d</w:t>
            </w:r>
            <w:r w:rsidRPr="00B92A61">
              <w:rPr>
                <w:sz w:val="22"/>
                <w:szCs w:val="22"/>
              </w:rPr>
              <w:t xml:space="preserve">    Neaplikovateľné </w:t>
            </w:r>
          </w:p>
          <w:p w14:paraId="17F0A8D1" w14:textId="6D25CB09" w:rsidR="00A939D2" w:rsidRPr="002D242D" w:rsidRDefault="00A939D2" w:rsidP="002E0BBA">
            <w:pPr>
              <w:autoSpaceDE w:val="0"/>
              <w:autoSpaceDN w:val="0"/>
              <w:adjustRightInd w:val="0"/>
              <w:ind w:left="317" w:hanging="317"/>
              <w:rPr>
                <w:b/>
                <w:bCs/>
                <w:szCs w:val="22"/>
              </w:rPr>
            </w:pPr>
            <w:r w:rsidRPr="00B92A61">
              <w:rPr>
                <w:szCs w:val="22"/>
                <w:vertAlign w:val="superscript"/>
              </w:rPr>
              <w:t xml:space="preserve">e </w:t>
            </w:r>
            <w:r w:rsidR="00E3547B" w:rsidRPr="00B92A61">
              <w:rPr>
                <w:szCs w:val="22"/>
              </w:rPr>
              <w:t xml:space="preserve">   Hodnota p získaná z </w:t>
            </w:r>
            <w:r w:rsidRPr="00B92A61">
              <w:rPr>
                <w:szCs w:val="22"/>
              </w:rPr>
              <w:t>ex</w:t>
            </w:r>
            <w:r w:rsidR="00E3547B" w:rsidRPr="00B92A61">
              <w:rPr>
                <w:szCs w:val="22"/>
              </w:rPr>
              <w:t>aktného testu podľa </w:t>
            </w:r>
            <w:r w:rsidRPr="00B92A61">
              <w:rPr>
                <w:szCs w:val="22"/>
              </w:rPr>
              <w:t xml:space="preserve">Cochrana-Mantela-Haenszela </w:t>
            </w:r>
            <w:r w:rsidR="007A6ABC">
              <w:rPr>
                <w:szCs w:val="22"/>
              </w:rPr>
              <w:t>s využitím</w:t>
            </w:r>
            <w:r w:rsidRPr="007A6ABC">
              <w:rPr>
                <w:szCs w:val="22"/>
              </w:rPr>
              <w:t xml:space="preserve"> stratifikovanej </w:t>
            </w:r>
            <w:r w:rsidR="00E3547B" w:rsidRPr="007A6ABC">
              <w:rPr>
                <w:szCs w:val="22"/>
              </w:rPr>
              <w:t>verzie permutačného testu podľa </w:t>
            </w:r>
            <w:r w:rsidRPr="007A6ABC">
              <w:rPr>
                <w:szCs w:val="22"/>
              </w:rPr>
              <w:t>Cochrana-Armitagea.</w:t>
            </w:r>
            <w:r>
              <w:rPr>
                <w:szCs w:val="22"/>
              </w:rPr>
              <w:t xml:space="preserve"> </w:t>
            </w:r>
          </w:p>
        </w:tc>
      </w:tr>
    </w:tbl>
    <w:p w14:paraId="52A5FC29" w14:textId="77777777" w:rsidR="00CE386A" w:rsidRPr="00805539" w:rsidRDefault="00CE386A" w:rsidP="00CE386A">
      <w:pPr>
        <w:autoSpaceDE w:val="0"/>
        <w:autoSpaceDN w:val="0"/>
        <w:adjustRightInd w:val="0"/>
        <w:rPr>
          <w:bCs/>
          <w:szCs w:val="22"/>
        </w:rPr>
      </w:pPr>
    </w:p>
    <w:p w14:paraId="3472F35E" w14:textId="2BD631FC" w:rsidR="00805539" w:rsidRPr="00E3547B" w:rsidRDefault="00805539" w:rsidP="00DE7496">
      <w:pPr>
        <w:keepNext/>
        <w:autoSpaceDE w:val="0"/>
        <w:autoSpaceDN w:val="0"/>
        <w:adjustRightInd w:val="0"/>
        <w:ind w:left="993" w:hanging="993"/>
        <w:rPr>
          <w:bCs/>
          <w:i/>
          <w:szCs w:val="22"/>
        </w:rPr>
      </w:pPr>
      <w:r w:rsidRPr="00DE7496">
        <w:rPr>
          <w:b/>
          <w:bCs/>
          <w:i/>
          <w:szCs w:val="22"/>
        </w:rPr>
        <w:lastRenderedPageBreak/>
        <w:t>Obrázok 1</w:t>
      </w:r>
      <w:r w:rsidR="002A18FE">
        <w:rPr>
          <w:b/>
          <w:bCs/>
          <w:i/>
          <w:szCs w:val="22"/>
        </w:rPr>
        <w:t xml:space="preserve"> </w:t>
      </w:r>
      <w:r w:rsidRPr="00E3547B">
        <w:rPr>
          <w:bCs/>
          <w:i/>
          <w:szCs w:val="22"/>
        </w:rPr>
        <w:t>B</w:t>
      </w:r>
      <w:r w:rsidR="00E3547B" w:rsidRPr="00E3547B">
        <w:rPr>
          <w:bCs/>
          <w:i/>
          <w:szCs w:val="22"/>
        </w:rPr>
        <w:t>OLERO-2 – krivky prežívania bez </w:t>
      </w:r>
      <w:r w:rsidRPr="00E3547B">
        <w:rPr>
          <w:bCs/>
          <w:i/>
          <w:szCs w:val="22"/>
        </w:rPr>
        <w:t>progresie podľa Kaplana-Meiera (rádiologické hodnotenie skúšajúcim lekárom)</w:t>
      </w:r>
    </w:p>
    <w:p w14:paraId="38EF3AE2" w14:textId="77777777" w:rsidR="001E0817" w:rsidRPr="005504F6" w:rsidRDefault="001E0817" w:rsidP="001E0817">
      <w:pPr>
        <w:keepNext/>
        <w:keepLines/>
        <w:tabs>
          <w:tab w:val="left" w:pos="1280"/>
        </w:tabs>
        <w:rPr>
          <w:szCs w:val="22"/>
        </w:rPr>
      </w:pPr>
    </w:p>
    <w:p w14:paraId="4CB2D2DB" w14:textId="044B947D" w:rsidR="00CE386A" w:rsidRDefault="00DE31F9" w:rsidP="001E0817">
      <w:pPr>
        <w:keepNext/>
        <w:autoSpaceDE w:val="0"/>
        <w:autoSpaceDN w:val="0"/>
        <w:adjustRightInd w:val="0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9D9F72" wp14:editId="01C52C92">
                <wp:simplePos x="0" y="0"/>
                <wp:positionH relativeFrom="column">
                  <wp:posOffset>3357880</wp:posOffset>
                </wp:positionH>
                <wp:positionV relativeFrom="paragraph">
                  <wp:posOffset>1366520</wp:posOffset>
                </wp:positionV>
                <wp:extent cx="2303780" cy="208280"/>
                <wp:effectExtent l="635" t="0" r="635" b="0"/>
                <wp:wrapNone/>
                <wp:docPr id="16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52D2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9D9F72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264.4pt;margin-top:107.6pt;width:181.4pt;height:1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HntA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" filled="f" stroked="f">
                <v:textbox style="mso-fit-shape-to-text:t">
                  <w:txbxContent>
                    <w:p w14:paraId="562152D2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Cenzúrovanie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FAB865" wp14:editId="00075330">
                <wp:simplePos x="0" y="0"/>
                <wp:positionH relativeFrom="column">
                  <wp:posOffset>3375660</wp:posOffset>
                </wp:positionH>
                <wp:positionV relativeFrom="paragraph">
                  <wp:posOffset>1499235</wp:posOffset>
                </wp:positionV>
                <wp:extent cx="2378710" cy="208280"/>
                <wp:effectExtent l="0" t="4445" r="3175" b="0"/>
                <wp:wrapNone/>
                <wp:docPr id="15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D9377" w14:textId="77777777" w:rsidR="00FA06C4" w:rsidRPr="00C83579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Everolimus 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7A6ABC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mg + </w:t>
                            </w:r>
                            <w:r w:rsidRPr="003B156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exemestán</w:t>
                            </w:r>
                            <w:r w:rsidRPr="007A6ABC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(n/N = 310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/485)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AB865" id="Text Box 450" o:spid="_x0000_s1027" type="#_x0000_t202" style="position:absolute;left:0;text-align:left;margin-left:265.8pt;margin-top:118.05pt;width:187.3pt;height:1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PEug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" filled="f" stroked="f">
                <v:textbox style="mso-fit-shape-to-text:t">
                  <w:txbxContent>
                    <w:p w14:paraId="787D9377" w14:textId="77777777" w:rsidR="00FA06C4" w:rsidRPr="00C83579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Everolimus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7A6ABC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mg + </w:t>
                      </w:r>
                      <w:proofErr w:type="spellStart"/>
                      <w:r w:rsidRPr="003B156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exemestán</w:t>
                      </w:r>
                      <w:proofErr w:type="spellEnd"/>
                      <w:r w:rsidRPr="007A6ABC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(n/N = 310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/485)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80EEAF" wp14:editId="7C11F19C">
                <wp:simplePos x="0" y="0"/>
                <wp:positionH relativeFrom="column">
                  <wp:posOffset>3357880</wp:posOffset>
                </wp:positionH>
                <wp:positionV relativeFrom="paragraph">
                  <wp:posOffset>1666875</wp:posOffset>
                </wp:positionV>
                <wp:extent cx="2303780" cy="208280"/>
                <wp:effectExtent l="635" t="635" r="635" b="635"/>
                <wp:wrapNone/>
                <wp:docPr id="1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C87" w14:textId="77777777" w:rsidR="00FA06C4" w:rsidRPr="00C83579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Placebo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 (n/N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0/239)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0EEAF" id="Text Box 451" o:spid="_x0000_s1028" type="#_x0000_t202" style="position:absolute;left:0;text-align:left;margin-left:264.4pt;margin-top:131.25pt;width:181.4pt;height:1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H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" filled="f" stroked="f">
                <v:textbox style="mso-fit-shape-to-text:t">
                  <w:txbxContent>
                    <w:p w14:paraId="0395DC87" w14:textId="77777777" w:rsidR="00FA06C4" w:rsidRPr="00C83579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Placebo + </w:t>
                      </w: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(n/N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=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20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0/239)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69F3" wp14:editId="46D733DC">
                <wp:simplePos x="0" y="0"/>
                <wp:positionH relativeFrom="column">
                  <wp:posOffset>3282950</wp:posOffset>
                </wp:positionH>
                <wp:positionV relativeFrom="paragraph">
                  <wp:posOffset>240665</wp:posOffset>
                </wp:positionV>
                <wp:extent cx="2303780" cy="1055370"/>
                <wp:effectExtent l="1905" t="3175" r="0" b="0"/>
                <wp:wrapNone/>
                <wp:docPr id="13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E9F0C" w14:textId="77777777" w:rsidR="00FA06C4" w:rsidRPr="00134157" w:rsidRDefault="00FA06C4" w:rsidP="001E0817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134157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Pomer riz</w:t>
                            </w:r>
                            <w:r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ika</w:t>
                            </w:r>
                            <w:r w:rsidRPr="00134157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 xml:space="preserve"> = 0,45</w:t>
                            </w:r>
                          </w:p>
                          <w:p w14:paraId="79088957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95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% I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S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[0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;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54]</w:t>
                            </w:r>
                          </w:p>
                          <w:p w14:paraId="5789C3B8" w14:textId="77777777" w:rsidR="00FA06C4" w:rsidRPr="00134157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B264016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noBreakHyphen/>
                              <w:t>hodnota l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og-rank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testu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: &lt;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0001</w:t>
                            </w:r>
                          </w:p>
                          <w:p w14:paraId="65756874" w14:textId="77777777" w:rsidR="00FA06C4" w:rsidRPr="00134157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64350986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Mediány PFS podľa Kaplana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noBreakHyphen/>
                              <w:t>Meiera</w:t>
                            </w:r>
                          </w:p>
                          <w:p w14:paraId="61BB3C49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Everolimus 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mg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n: 7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82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esiacov</w:t>
                            </w:r>
                          </w:p>
                          <w:p w14:paraId="670497DB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Placebo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n: 3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19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mesiacov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169F3" id="Text Box 448" o:spid="_x0000_s1029" type="#_x0000_t202" style="position:absolute;left:0;text-align:left;margin-left:258.5pt;margin-top:18.95pt;width:181.4pt;height:8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z+uw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" filled="f" stroked="f">
                <v:textbox style="mso-fit-shape-to-text:t">
                  <w:txbxContent>
                    <w:p w14:paraId="705E9F0C" w14:textId="77777777" w:rsidR="00FA06C4" w:rsidRPr="00134157" w:rsidRDefault="00FA06C4" w:rsidP="001E0817">
                      <w:pPr>
                        <w:pStyle w:val="Default"/>
                        <w:rPr>
                          <w:sz w:val="18"/>
                          <w:szCs w:val="18"/>
                          <w:lang w:val="en-GB" w:eastAsia="en-GB"/>
                        </w:rPr>
                      </w:pPr>
                      <w:proofErr w:type="spellStart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>Pomer</w:t>
                      </w:r>
                      <w:proofErr w:type="spellEnd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>riz</w:t>
                      </w:r>
                      <w:r>
                        <w:rPr>
                          <w:sz w:val="18"/>
                          <w:szCs w:val="18"/>
                          <w:lang w:val="en-GB" w:eastAsia="en-GB"/>
                        </w:rPr>
                        <w:t>ika</w:t>
                      </w:r>
                      <w:proofErr w:type="spellEnd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= 0,45</w:t>
                      </w:r>
                    </w:p>
                    <w:p w14:paraId="79088957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95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% I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S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[0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38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;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54]</w:t>
                      </w:r>
                    </w:p>
                    <w:p w14:paraId="5789C3B8" w14:textId="77777777" w:rsidR="00FA06C4" w:rsidRPr="00134157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  <w:p w14:paraId="5B264016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p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noBreakHyphen/>
                        <w:t>hodnota l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og-</w:t>
                      </w:r>
                      <w:proofErr w:type="spellStart"/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rank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testu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&lt;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0001</w:t>
                      </w:r>
                    </w:p>
                    <w:p w14:paraId="65756874" w14:textId="77777777" w:rsidR="00FA06C4" w:rsidRPr="00134157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64350986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Mediány PFS podľa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Kaplana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noBreakHyphen/>
                        <w:t>Meiera</w:t>
                      </w:r>
                      <w:proofErr w:type="spellEnd"/>
                    </w:p>
                    <w:p w14:paraId="61BB3C49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Everolimus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mg + </w:t>
                      </w: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7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82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m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esiacov</w:t>
                      </w:r>
                    </w:p>
                    <w:p w14:paraId="670497DB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Placebo + </w:t>
                      </w: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3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19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mesiacov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noProof/>
          <w:sz w:val="18"/>
          <w:szCs w:val="18"/>
        </w:rPr>
        <w:drawing>
          <wp:inline distT="0" distB="0" distL="0" distR="0" wp14:anchorId="655A2F7F" wp14:editId="4FDCF906">
            <wp:extent cx="5899785" cy="413448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004D6" w14:textId="77777777" w:rsidR="00134157" w:rsidRPr="00134157" w:rsidRDefault="00134157" w:rsidP="001E0817">
      <w:pPr>
        <w:keepNext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FD64116" w14:textId="1A28C468" w:rsidR="001E0817" w:rsidRPr="00134157" w:rsidRDefault="001E0817" w:rsidP="001E0817">
      <w:pPr>
        <w:pStyle w:val="Default"/>
        <w:ind w:right="-1"/>
        <w:rPr>
          <w:sz w:val="18"/>
          <w:szCs w:val="18"/>
        </w:rPr>
      </w:pPr>
      <w:r w:rsidRPr="00134157">
        <w:rPr>
          <w:sz w:val="18"/>
          <w:szCs w:val="18"/>
        </w:rPr>
        <w:t>Pravdepodobnosť (%) udalosti (Probability (%) of event); Čas (týždne) (Time (weeks))</w:t>
      </w:r>
    </w:p>
    <w:p w14:paraId="498BBD70" w14:textId="77777777" w:rsidR="00134157" w:rsidRPr="00134157" w:rsidRDefault="00134157" w:rsidP="001E0817">
      <w:pPr>
        <w:pStyle w:val="Default"/>
        <w:ind w:right="-1"/>
        <w:rPr>
          <w:sz w:val="18"/>
          <w:szCs w:val="18"/>
        </w:rPr>
      </w:pPr>
    </w:p>
    <w:p w14:paraId="10EF575E" w14:textId="77777777" w:rsidR="001E0817" w:rsidRPr="00134157" w:rsidRDefault="001E0817" w:rsidP="001E0817">
      <w:pPr>
        <w:ind w:right="-1"/>
        <w:rPr>
          <w:spacing w:val="2"/>
          <w:sz w:val="18"/>
          <w:szCs w:val="18"/>
        </w:rPr>
      </w:pPr>
      <w:r w:rsidRPr="00134157">
        <w:rPr>
          <w:spacing w:val="2"/>
          <w:sz w:val="18"/>
          <w:szCs w:val="18"/>
        </w:rPr>
        <w:t>Počet pacientok s pretrvávajúcim rizikom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627"/>
        <w:gridCol w:w="381"/>
        <w:gridCol w:w="408"/>
        <w:gridCol w:w="403"/>
        <w:gridCol w:w="415"/>
        <w:gridCol w:w="408"/>
        <w:gridCol w:w="410"/>
        <w:gridCol w:w="408"/>
        <w:gridCol w:w="408"/>
        <w:gridCol w:w="308"/>
        <w:gridCol w:w="321"/>
        <w:gridCol w:w="350"/>
        <w:gridCol w:w="319"/>
        <w:gridCol w:w="330"/>
        <w:gridCol w:w="325"/>
        <w:gridCol w:w="332"/>
        <w:gridCol w:w="337"/>
        <w:gridCol w:w="403"/>
        <w:gridCol w:w="414"/>
        <w:gridCol w:w="406"/>
        <w:gridCol w:w="401"/>
      </w:tblGrid>
      <w:tr w:rsidR="001E0817" w:rsidRPr="00134157" w14:paraId="616D5172" w14:textId="77777777" w:rsidTr="001E0817">
        <w:trPr>
          <w:trHeight w:val="189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48F77748" w14:textId="77777777" w:rsidR="001E0817" w:rsidRPr="00134157" w:rsidRDefault="001E0817" w:rsidP="0013415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Čas</w:t>
            </w:r>
            <w:r w:rsidR="00134157" w:rsidRPr="00134157">
              <w:rPr>
                <w:sz w:val="18"/>
                <w:szCs w:val="18"/>
              </w:rPr>
              <w:t>(</w:t>
            </w:r>
            <w:r w:rsidRPr="00134157">
              <w:rPr>
                <w:sz w:val="18"/>
                <w:szCs w:val="18"/>
              </w:rPr>
              <w:t>týždne)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DF9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D4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9353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503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B0D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C25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006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90B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59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02F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969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557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5C7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736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5A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C5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11F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D03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197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108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6AAE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727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120</w:t>
            </w:r>
          </w:p>
        </w:tc>
      </w:tr>
      <w:tr w:rsidR="001E0817" w:rsidRPr="00134157" w14:paraId="17ADAB57" w14:textId="77777777" w:rsidTr="001E0817">
        <w:trPr>
          <w:trHeight w:val="79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39DA5E0D" w14:textId="77777777" w:rsidR="001E0817" w:rsidRPr="00134157" w:rsidRDefault="001E0817" w:rsidP="001E081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Everolimus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F82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485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E64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55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F79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5F0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257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BE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221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6DC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7CA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06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E1BA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6FEA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111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262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9A5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4AC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BD9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0E2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145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E29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F0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F24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  <w:tr w:rsidR="001E0817" w:rsidRPr="00134157" w14:paraId="6A64CCC6" w14:textId="77777777" w:rsidTr="001E0817">
        <w:trPr>
          <w:trHeight w:val="63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7C92E884" w14:textId="77777777" w:rsidR="001E0817" w:rsidRPr="00134157" w:rsidRDefault="001E0817" w:rsidP="001E081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Placebo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0DD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239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843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190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F1A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132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161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682EA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2FF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D75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E81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D9E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155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85F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589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DA1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8FE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311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2FD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7DC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32A1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66D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0FF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EE0A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</w:tbl>
    <w:p w14:paraId="3810AB49" w14:textId="77777777" w:rsidR="00780926" w:rsidRPr="00134157" w:rsidRDefault="00780926" w:rsidP="00E41B3F">
      <w:pPr>
        <w:rPr>
          <w:sz w:val="20"/>
          <w:szCs w:val="20"/>
        </w:rPr>
      </w:pPr>
    </w:p>
    <w:p w14:paraId="7287E3D0" w14:textId="290382E1" w:rsidR="00A206A7" w:rsidRDefault="00E3547B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Odhadovaný účinok liečby </w:t>
      </w:r>
      <w:r w:rsidR="00B92A61">
        <w:rPr>
          <w:sz w:val="22"/>
          <w:szCs w:val="22"/>
        </w:rPr>
        <w:t>z hľadiska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PFS po</w:t>
      </w:r>
      <w:r>
        <w:rPr>
          <w:sz w:val="22"/>
          <w:szCs w:val="22"/>
        </w:rPr>
        <w:t>tvrdila plánovaná analýza PFS v </w:t>
      </w:r>
      <w:r w:rsidR="00A206A7">
        <w:rPr>
          <w:sz w:val="22"/>
          <w:szCs w:val="22"/>
        </w:rPr>
        <w:t>podskupinách podľa ho</w:t>
      </w:r>
      <w:r>
        <w:rPr>
          <w:sz w:val="22"/>
          <w:szCs w:val="22"/>
        </w:rPr>
        <w:t>dnotenia skúšajúcim lekárom. Vo </w:t>
      </w:r>
      <w:r w:rsidR="00A206A7">
        <w:rPr>
          <w:sz w:val="22"/>
          <w:szCs w:val="22"/>
        </w:rPr>
        <w:t xml:space="preserve">všetkých analyzovaných podskupinách </w:t>
      </w:r>
      <w:r>
        <w:rPr>
          <w:sz w:val="22"/>
          <w:szCs w:val="22"/>
        </w:rPr>
        <w:t>(vek, citlivosť na </w:t>
      </w:r>
      <w:r w:rsidR="00A206A7">
        <w:rPr>
          <w:sz w:val="22"/>
          <w:szCs w:val="22"/>
        </w:rPr>
        <w:t>predchádzajúcu hormonálnu liečbu, počet postihnutých orgánov</w:t>
      </w:r>
      <w:r>
        <w:rPr>
          <w:sz w:val="22"/>
          <w:szCs w:val="22"/>
        </w:rPr>
        <w:t>, východiskový stav lézií len v </w:t>
      </w:r>
      <w:r w:rsidR="00A206A7">
        <w:rPr>
          <w:sz w:val="22"/>
          <w:szCs w:val="22"/>
        </w:rPr>
        <w:t xml:space="preserve">kostiach a prítomnosť viscerálnych metastáz, ako aj naprieč </w:t>
      </w:r>
      <w:r w:rsidR="00233F41">
        <w:rPr>
          <w:sz w:val="22"/>
          <w:szCs w:val="22"/>
        </w:rPr>
        <w:t xml:space="preserve">hlavnými </w:t>
      </w:r>
      <w:r w:rsidR="00A206A7">
        <w:rPr>
          <w:sz w:val="22"/>
          <w:szCs w:val="22"/>
        </w:rPr>
        <w:t>demografickými a prognostickými podskupinami) sa pozoroval pozitívny účinok liečby pr</w:t>
      </w:r>
      <w:r>
        <w:rPr>
          <w:sz w:val="22"/>
          <w:szCs w:val="22"/>
        </w:rPr>
        <w:t>i everolime + exemestáne s </w:t>
      </w:r>
      <w:r w:rsidR="00A206A7">
        <w:rPr>
          <w:sz w:val="22"/>
          <w:szCs w:val="22"/>
        </w:rPr>
        <w:t>odhadovaným pomerom rizik</w:t>
      </w:r>
      <w:r>
        <w:rPr>
          <w:sz w:val="22"/>
          <w:szCs w:val="22"/>
        </w:rPr>
        <w:t>a oproti placebu + exemestánu v rozmedzí 0,25 až </w:t>
      </w:r>
      <w:r w:rsidR="002E0BBA">
        <w:rPr>
          <w:sz w:val="22"/>
          <w:szCs w:val="22"/>
        </w:rPr>
        <w:t>0,60.</w:t>
      </w:r>
    </w:p>
    <w:p w14:paraId="623B89A9" w14:textId="77777777" w:rsidR="00A206A7" w:rsidRDefault="00A206A7" w:rsidP="00A206A7">
      <w:pPr>
        <w:pStyle w:val="Default"/>
        <w:rPr>
          <w:sz w:val="22"/>
          <w:szCs w:val="22"/>
        </w:rPr>
      </w:pPr>
    </w:p>
    <w:p w14:paraId="211D1634" w14:textId="777C699D" w:rsidR="004318EF" w:rsidRDefault="00E3547B" w:rsidP="00AA4630">
      <w:pPr>
        <w:ind w:left="0" w:firstLine="0"/>
        <w:rPr>
          <w:szCs w:val="22"/>
        </w:rPr>
      </w:pPr>
      <w:r>
        <w:rPr>
          <w:szCs w:val="22"/>
        </w:rPr>
        <w:t>V </w:t>
      </w:r>
      <w:r w:rsidR="00A206A7">
        <w:rPr>
          <w:szCs w:val="22"/>
        </w:rPr>
        <w:t>oboch skupinách li</w:t>
      </w:r>
      <w:r w:rsidR="00CF14D9">
        <w:rPr>
          <w:szCs w:val="22"/>
        </w:rPr>
        <w:t>ečby sa nepozorovali rozdiely v čase do zhoršenia (≥ 5 </w:t>
      </w:r>
      <w:r w:rsidR="00A206A7">
        <w:rPr>
          <w:szCs w:val="22"/>
        </w:rPr>
        <w:t xml:space="preserve">%) celkového skóre a </w:t>
      </w:r>
      <w:r w:rsidR="00CF14D9">
        <w:rPr>
          <w:szCs w:val="22"/>
        </w:rPr>
        <w:t>skóre vo </w:t>
      </w:r>
      <w:r w:rsidR="00A206A7">
        <w:rPr>
          <w:szCs w:val="22"/>
        </w:rPr>
        <w:t>funkčných oblastiach podľa QLQ-C30.</w:t>
      </w:r>
    </w:p>
    <w:p w14:paraId="7AECA497" w14:textId="63733F19" w:rsidR="00082578" w:rsidRDefault="00082578" w:rsidP="00AA4630">
      <w:pPr>
        <w:ind w:left="0" w:firstLine="0"/>
        <w:rPr>
          <w:szCs w:val="22"/>
        </w:rPr>
      </w:pPr>
    </w:p>
    <w:p w14:paraId="08079091" w14:textId="15D5E1FD" w:rsidR="00985554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t>BOLERO-6 (štúdia CRAD001Y2201), trojramenné, randomizované, otvorené skúšanie fázy II s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everolimom v</w:t>
      </w:r>
      <w:r w:rsidR="00FA06C4">
        <w:rPr>
          <w:szCs w:val="22"/>
        </w:rPr>
        <w:t> </w:t>
      </w:r>
      <w:r w:rsidRPr="00985554">
        <w:rPr>
          <w:szCs w:val="22"/>
        </w:rPr>
        <w:t>kombinácii s</w:t>
      </w:r>
      <w:r w:rsidR="00FA06C4">
        <w:rPr>
          <w:szCs w:val="22"/>
        </w:rPr>
        <w:t> </w:t>
      </w:r>
      <w:r w:rsidRPr="00985554">
        <w:rPr>
          <w:szCs w:val="22"/>
        </w:rPr>
        <w:t>exemestánom oproti samotnému everolimu a oproti kapecitabínu v</w:t>
      </w:r>
      <w:r w:rsidR="00FA06C4">
        <w:rPr>
          <w:szCs w:val="22"/>
        </w:rPr>
        <w:t> </w:t>
      </w:r>
      <w:r w:rsidRPr="00985554">
        <w:rPr>
          <w:szCs w:val="22"/>
        </w:rPr>
        <w:t>liečbe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postmenopauzálnych žien s</w:t>
      </w:r>
      <w:r w:rsidR="00FA06C4">
        <w:rPr>
          <w:szCs w:val="22"/>
        </w:rPr>
        <w:t> </w:t>
      </w:r>
      <w:r w:rsidRPr="00985554">
        <w:rPr>
          <w:szCs w:val="22"/>
        </w:rPr>
        <w:t>lokálne pokročilým, recidivujúcim alebo metastatickým karcinómom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prsníka s</w:t>
      </w:r>
      <w:r w:rsidR="00FA06C4">
        <w:rPr>
          <w:szCs w:val="22"/>
        </w:rPr>
        <w:t> </w:t>
      </w:r>
      <w:r w:rsidRPr="00985554">
        <w:rPr>
          <w:szCs w:val="22"/>
        </w:rPr>
        <w:t>pozitivitou estrogénových receptorov a negativitou HER2/neu pri recidíve alebo progresii po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predchádzajúcej liečbe letrozolom alebo anastrozolom.</w:t>
      </w:r>
    </w:p>
    <w:p w14:paraId="104ECA13" w14:textId="77777777" w:rsidR="00985554" w:rsidRPr="00985554" w:rsidRDefault="00985554" w:rsidP="00985554">
      <w:pPr>
        <w:ind w:left="0" w:firstLine="0"/>
        <w:rPr>
          <w:szCs w:val="22"/>
        </w:rPr>
      </w:pPr>
    </w:p>
    <w:p w14:paraId="12768E5D" w14:textId="4CB2FB81" w:rsidR="00985554" w:rsidRDefault="00985554">
      <w:pPr>
        <w:ind w:left="0" w:firstLine="0"/>
        <w:rPr>
          <w:szCs w:val="22"/>
        </w:rPr>
      </w:pPr>
      <w:r w:rsidRPr="00985554">
        <w:rPr>
          <w:szCs w:val="22"/>
        </w:rPr>
        <w:t>Primárnym ukazovateľom v</w:t>
      </w:r>
      <w:r w:rsidR="00FA06C4">
        <w:rPr>
          <w:szCs w:val="22"/>
        </w:rPr>
        <w:t> </w:t>
      </w:r>
      <w:r w:rsidRPr="00985554">
        <w:rPr>
          <w:szCs w:val="22"/>
        </w:rPr>
        <w:t>klinickom skúšaní bol odhad HR PFS pre everolimus + exemestán oproti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everolimu samotnému. Hlavným sekundárnym ukazovateľom bol odhad HR PFS pre</w:t>
      </w:r>
      <w:r w:rsidR="00FA06C4">
        <w:rPr>
          <w:szCs w:val="22"/>
        </w:rPr>
        <w:t> </w:t>
      </w:r>
      <w:r w:rsidRPr="00985554">
        <w:rPr>
          <w:szCs w:val="22"/>
        </w:rPr>
        <w:t>everolimus</w:t>
      </w:r>
      <w:r w:rsidR="00FA06C4">
        <w:rPr>
          <w:szCs w:val="22"/>
        </w:rPr>
        <w:t> </w:t>
      </w:r>
      <w:r w:rsidRPr="00985554">
        <w:rPr>
          <w:szCs w:val="22"/>
        </w:rPr>
        <w:t>+</w:t>
      </w:r>
      <w:r w:rsidR="00FA06C4">
        <w:rPr>
          <w:szCs w:val="22"/>
        </w:rPr>
        <w:t> </w:t>
      </w:r>
      <w:r w:rsidRPr="00985554">
        <w:rPr>
          <w:szCs w:val="22"/>
        </w:rPr>
        <w:t>exemestán oproti kapecitabínu.</w:t>
      </w:r>
    </w:p>
    <w:p w14:paraId="6C5CDE5C" w14:textId="77777777" w:rsidR="00985554" w:rsidRPr="00985554" w:rsidRDefault="00985554" w:rsidP="00985554">
      <w:pPr>
        <w:ind w:left="0" w:firstLine="0"/>
        <w:rPr>
          <w:szCs w:val="22"/>
        </w:rPr>
      </w:pPr>
    </w:p>
    <w:p w14:paraId="574880DD" w14:textId="62FA8E29" w:rsidR="00082578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lastRenderedPageBreak/>
        <w:t>Ďalšie sekundárne ukazovatele zahŕňali OS, podiel objektívnych odpovedí, podiel klinického prínosu,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bezpečnosť, čas do zhoršenia výkonnostného stavu podľa ECOG, čas do zhoršenia QoL a</w:t>
      </w:r>
      <w:r w:rsidR="00FA06C4">
        <w:rPr>
          <w:szCs w:val="22"/>
        </w:rPr>
        <w:t> </w:t>
      </w:r>
      <w:r w:rsidRPr="00985554">
        <w:rPr>
          <w:szCs w:val="22"/>
        </w:rPr>
        <w:t>spokojnosť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s</w:t>
      </w:r>
      <w:r w:rsidR="00FA06C4">
        <w:rPr>
          <w:szCs w:val="22"/>
        </w:rPr>
        <w:t> </w:t>
      </w:r>
      <w:r w:rsidRPr="00985554">
        <w:rPr>
          <w:szCs w:val="22"/>
        </w:rPr>
        <w:t>liečbou (TSQM). Formálne štatistické porovnanie nebolo naplánované.</w:t>
      </w:r>
    </w:p>
    <w:p w14:paraId="2FB2167C" w14:textId="5E155462" w:rsidR="00985554" w:rsidRDefault="00985554" w:rsidP="00985554">
      <w:pPr>
        <w:ind w:left="0" w:firstLine="0"/>
        <w:rPr>
          <w:szCs w:val="22"/>
        </w:rPr>
      </w:pPr>
    </w:p>
    <w:p w14:paraId="293C5664" w14:textId="1B0275DD" w:rsidR="00985554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t>Celkovo bolo randomizovaných 309</w:t>
      </w:r>
      <w:r w:rsidR="00FA06C4">
        <w:rPr>
          <w:szCs w:val="22"/>
        </w:rPr>
        <w:t> </w:t>
      </w:r>
      <w:r w:rsidRPr="00985554">
        <w:rPr>
          <w:szCs w:val="22"/>
        </w:rPr>
        <w:t>pacientok v</w:t>
      </w:r>
      <w:r w:rsidR="00FA06C4">
        <w:rPr>
          <w:szCs w:val="22"/>
        </w:rPr>
        <w:t> </w:t>
      </w:r>
      <w:r w:rsidRPr="00985554">
        <w:rPr>
          <w:szCs w:val="22"/>
        </w:rPr>
        <w:t>pomere 1:1:1 na liečbu kombináciou everolimus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(10</w:t>
      </w:r>
      <w:r w:rsidR="00FA06C4">
        <w:rPr>
          <w:szCs w:val="22"/>
        </w:rPr>
        <w:t> </w:t>
      </w:r>
      <w:r w:rsidRPr="00985554">
        <w:rPr>
          <w:szCs w:val="22"/>
        </w:rPr>
        <w:t>mg denne) + exemestán (25</w:t>
      </w:r>
      <w:r w:rsidR="00FA06C4">
        <w:rPr>
          <w:szCs w:val="22"/>
        </w:rPr>
        <w:t> </w:t>
      </w:r>
      <w:r w:rsidRPr="00985554">
        <w:rPr>
          <w:szCs w:val="22"/>
        </w:rPr>
        <w:t>mg denne) (n=104), samotným everolimom (10</w:t>
      </w:r>
      <w:r w:rsidR="00FA06C4">
        <w:rPr>
          <w:szCs w:val="22"/>
        </w:rPr>
        <w:t> </w:t>
      </w:r>
      <w:r w:rsidRPr="00985554">
        <w:rPr>
          <w:szCs w:val="22"/>
        </w:rPr>
        <w:t>mg denne) (n=103)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alebo kapecitabínom (dávka 1250 mg/m2 dvakrát denne počas 2</w:t>
      </w:r>
      <w:r w:rsidR="00FA06C4">
        <w:rPr>
          <w:szCs w:val="22"/>
        </w:rPr>
        <w:t> </w:t>
      </w:r>
      <w:r w:rsidRPr="00985554">
        <w:rPr>
          <w:szCs w:val="22"/>
        </w:rPr>
        <w:t>týždňov a následne jeden týžden bez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liečby, 3-týždňový cyklus) (n=102). V</w:t>
      </w:r>
      <w:r w:rsidR="00FA06C4">
        <w:rPr>
          <w:szCs w:val="22"/>
        </w:rPr>
        <w:t> </w:t>
      </w:r>
      <w:r w:rsidRPr="00985554">
        <w:rPr>
          <w:szCs w:val="22"/>
        </w:rPr>
        <w:t>čase ukončenia zberu údajov bol medián trvania liečby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27,5</w:t>
      </w:r>
      <w:r w:rsidR="00FA06C4">
        <w:rPr>
          <w:szCs w:val="22"/>
        </w:rPr>
        <w:t> </w:t>
      </w:r>
      <w:r w:rsidRPr="00985554">
        <w:rPr>
          <w:szCs w:val="22"/>
        </w:rPr>
        <w:t>týždňov (rozsah 2,0-165,7) v ramene s everolimom + exemestán, 20</w:t>
      </w:r>
      <w:r w:rsidR="00FA06C4">
        <w:rPr>
          <w:szCs w:val="22"/>
        </w:rPr>
        <w:t> </w:t>
      </w:r>
      <w:r w:rsidRPr="00985554">
        <w:rPr>
          <w:szCs w:val="22"/>
        </w:rPr>
        <w:t>týždňov (1,3-145,0) v</w:t>
      </w:r>
      <w:r w:rsidR="00FA06C4">
        <w:rPr>
          <w:szCs w:val="22"/>
        </w:rPr>
        <w:t> </w:t>
      </w:r>
      <w:r w:rsidRPr="00985554">
        <w:rPr>
          <w:szCs w:val="22"/>
        </w:rPr>
        <w:t>ramene so samotným everolimom a 26,7 týždňov (1,4-177,1) v</w:t>
      </w:r>
      <w:r w:rsidR="00FA06C4">
        <w:rPr>
          <w:szCs w:val="22"/>
        </w:rPr>
        <w:t> </w:t>
      </w:r>
      <w:r w:rsidRPr="00985554">
        <w:rPr>
          <w:szCs w:val="22"/>
        </w:rPr>
        <w:t>ramene s</w:t>
      </w:r>
      <w:r w:rsidR="00FA06C4">
        <w:rPr>
          <w:szCs w:val="22"/>
        </w:rPr>
        <w:t> </w:t>
      </w:r>
      <w:r w:rsidRPr="00985554">
        <w:rPr>
          <w:szCs w:val="22"/>
        </w:rPr>
        <w:t>kapecitabínom.</w:t>
      </w:r>
    </w:p>
    <w:p w14:paraId="081EC107" w14:textId="77777777" w:rsidR="00985554" w:rsidRPr="00985554" w:rsidRDefault="00985554" w:rsidP="00985554">
      <w:pPr>
        <w:ind w:left="0" w:firstLine="0"/>
        <w:rPr>
          <w:szCs w:val="22"/>
        </w:rPr>
      </w:pPr>
    </w:p>
    <w:p w14:paraId="73531C6C" w14:textId="7197C15E" w:rsidR="00985554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t>Výsledok finálnej PFS analýzy po zaznamenaní 154 udalostí PFS na základe hodnotenia lokálneho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skúšajúceho lekára preukázal odhadovaný HR v</w:t>
      </w:r>
      <w:r w:rsidR="00FA06C4">
        <w:rPr>
          <w:szCs w:val="22"/>
        </w:rPr>
        <w:t> </w:t>
      </w:r>
      <w:r w:rsidRPr="00985554">
        <w:rPr>
          <w:szCs w:val="22"/>
        </w:rPr>
        <w:t>hodnote 0,74 (90% IS: 0,57; 0,97) v</w:t>
      </w:r>
      <w:r w:rsidR="00FA06C4">
        <w:rPr>
          <w:szCs w:val="22"/>
        </w:rPr>
        <w:t> </w:t>
      </w:r>
      <w:r w:rsidRPr="00985554">
        <w:rPr>
          <w:szCs w:val="22"/>
        </w:rPr>
        <w:t>prospech ramena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everolimus + exemestán oproti ramenu so samotným everolimom. Medián PFS bol 8,4 mesiacov (90</w:t>
      </w:r>
      <w:r w:rsidR="00FA06C4">
        <w:rPr>
          <w:szCs w:val="22"/>
        </w:rPr>
        <w:t> </w:t>
      </w:r>
      <w:r w:rsidRPr="00985554">
        <w:rPr>
          <w:szCs w:val="22"/>
        </w:rPr>
        <w:t>%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IS: 6,6; 9,7) a 6,8 mesiacov (90% IS: 5,5; 7,2) v</w:t>
      </w:r>
      <w:r w:rsidR="00FA06C4">
        <w:rPr>
          <w:szCs w:val="22"/>
        </w:rPr>
        <w:t> </w:t>
      </w:r>
      <w:r w:rsidRPr="00985554">
        <w:rPr>
          <w:szCs w:val="22"/>
        </w:rPr>
        <w:t>uvedenom poradí.</w:t>
      </w:r>
    </w:p>
    <w:p w14:paraId="5C1643D8" w14:textId="5D35AF27" w:rsidR="00985554" w:rsidRDefault="00985554" w:rsidP="00985554">
      <w:pPr>
        <w:ind w:left="0" w:firstLine="0"/>
        <w:rPr>
          <w:szCs w:val="22"/>
        </w:rPr>
      </w:pPr>
    </w:p>
    <w:p w14:paraId="402262C2" w14:textId="2F26F47B" w:rsidR="00985554" w:rsidRPr="00985554" w:rsidRDefault="00985554" w:rsidP="00DE7496">
      <w:pPr>
        <w:keepNext/>
        <w:autoSpaceDE w:val="0"/>
        <w:autoSpaceDN w:val="0"/>
        <w:adjustRightInd w:val="0"/>
        <w:ind w:left="993" w:hanging="993"/>
        <w:rPr>
          <w:b/>
          <w:bCs/>
          <w:i/>
          <w:szCs w:val="22"/>
        </w:rPr>
      </w:pPr>
      <w:r w:rsidRPr="009B6F53">
        <w:rPr>
          <w:b/>
          <w:bCs/>
          <w:i/>
          <w:szCs w:val="22"/>
        </w:rPr>
        <w:t xml:space="preserve">Obrázok </w:t>
      </w:r>
      <w:r w:rsidRPr="00985554">
        <w:rPr>
          <w:b/>
          <w:bCs/>
          <w:i/>
          <w:szCs w:val="22"/>
        </w:rPr>
        <w:t>2</w:t>
      </w:r>
      <w:r w:rsidR="002A18FE">
        <w:rPr>
          <w:b/>
          <w:bCs/>
          <w:i/>
          <w:szCs w:val="22"/>
        </w:rPr>
        <w:tab/>
      </w:r>
      <w:r w:rsidRPr="00DE7496">
        <w:rPr>
          <w:b/>
        </w:rPr>
        <w:t>BOLERO-6 krivky prežívania bez progresie ochorenia podľa Kaplana-Meiera (rádiologické hodnotenie skúšajúcim lekárom)</w:t>
      </w:r>
    </w:p>
    <w:p w14:paraId="0B18328C" w14:textId="3A57D723" w:rsidR="00985554" w:rsidRDefault="00985554" w:rsidP="00985554">
      <w:pPr>
        <w:ind w:left="0" w:firstLine="0"/>
        <w:rPr>
          <w:szCs w:val="22"/>
        </w:rPr>
      </w:pPr>
    </w:p>
    <w:p w14:paraId="56E52EFB" w14:textId="3476D9AD" w:rsidR="00985554" w:rsidRDefault="00985554" w:rsidP="00DE7496">
      <w:pPr>
        <w:ind w:left="-426" w:hanging="283"/>
        <w:rPr>
          <w:szCs w:val="22"/>
        </w:rPr>
      </w:pPr>
      <w:r>
        <w:rPr>
          <w:noProof/>
        </w:rPr>
        <w:drawing>
          <wp:inline distT="0" distB="0" distL="0" distR="0" wp14:anchorId="4E899F48" wp14:editId="01F36EA5">
            <wp:extent cx="6241473" cy="3261360"/>
            <wp:effectExtent l="0" t="0" r="698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1753" cy="32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97B64" w14:textId="77777777" w:rsidR="00A206A7" w:rsidRDefault="00A206A7" w:rsidP="00A206A7">
      <w:pPr>
        <w:rPr>
          <w:szCs w:val="22"/>
        </w:rPr>
      </w:pPr>
    </w:p>
    <w:p w14:paraId="62DC544A" w14:textId="10E33D79" w:rsidR="00985554" w:rsidRDefault="00985554" w:rsidP="00985554">
      <w:pPr>
        <w:pStyle w:val="Default"/>
        <w:rPr>
          <w:iCs/>
          <w:sz w:val="22"/>
          <w:szCs w:val="22"/>
        </w:rPr>
      </w:pPr>
      <w:r w:rsidRPr="00985554">
        <w:rPr>
          <w:iCs/>
          <w:sz w:val="22"/>
          <w:szCs w:val="22"/>
        </w:rPr>
        <w:t>Pri celkovom počte 148 zaznamenaných udalostí bol pri hlavnom sekundárnom ukazovateli PFS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odhadovaný HR 1,26 (90% IS: 0,96; 1,66) v prospech ramena s kapecitabínom oproti ramenu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everolimus + exemestán.</w:t>
      </w:r>
    </w:p>
    <w:p w14:paraId="1F411485" w14:textId="77777777" w:rsidR="00985554" w:rsidRPr="00985554" w:rsidRDefault="00985554" w:rsidP="00985554">
      <w:pPr>
        <w:pStyle w:val="Default"/>
        <w:rPr>
          <w:iCs/>
          <w:sz w:val="22"/>
          <w:szCs w:val="22"/>
        </w:rPr>
      </w:pPr>
    </w:p>
    <w:p w14:paraId="264050A9" w14:textId="02259A15" w:rsidR="00985554" w:rsidRPr="00DE7496" w:rsidRDefault="00985554">
      <w:pPr>
        <w:pStyle w:val="Default"/>
        <w:rPr>
          <w:iCs/>
          <w:sz w:val="22"/>
          <w:szCs w:val="22"/>
        </w:rPr>
      </w:pPr>
      <w:r w:rsidRPr="00985554">
        <w:rPr>
          <w:iCs/>
          <w:sz w:val="22"/>
          <w:szCs w:val="22"/>
        </w:rPr>
        <w:t>Výsledky pre sekundárny ukazovateľ OS neboli konzistentné s primárnym ukazovateľom PFS, bol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zaznamenaný trend v prospech ramena so samotným everolimom. Odhadovaný HR pre relatívne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porovnanie OS medzi ramenom so samotným everolimom a ramenom s kombináciou everolimus</w:t>
      </w:r>
      <w:r w:rsidR="002A18FE">
        <w:rPr>
          <w:iCs/>
          <w:sz w:val="22"/>
          <w:szCs w:val="22"/>
        </w:rPr>
        <w:t> </w:t>
      </w:r>
      <w:r w:rsidRPr="00985554">
        <w:rPr>
          <w:iCs/>
          <w:sz w:val="22"/>
          <w:szCs w:val="22"/>
        </w:rPr>
        <w:t>+</w:t>
      </w:r>
      <w:r w:rsidR="002A18FE">
        <w:rPr>
          <w:iCs/>
          <w:sz w:val="22"/>
          <w:szCs w:val="22"/>
        </w:rPr>
        <w:t> </w:t>
      </w:r>
      <w:r w:rsidRPr="00985554">
        <w:rPr>
          <w:iCs/>
          <w:sz w:val="22"/>
          <w:szCs w:val="22"/>
        </w:rPr>
        <w:t>exemestán bol 1,27 (90% IS: 0,95; 1,70). Odhadovaný HR pre relatívne porovnanie OS medzi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ramenom s kombináciou everolimus + exemestán a ramenom s kapecitabínom bol 1,33 (90% IS: 0,99;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1,79).</w:t>
      </w:r>
      <w:r w:rsidRPr="00985554">
        <w:rPr>
          <w:iCs/>
          <w:sz w:val="22"/>
          <w:szCs w:val="22"/>
        </w:rPr>
        <w:cr/>
      </w:r>
    </w:p>
    <w:p w14:paraId="5F2F9580" w14:textId="04575ABA" w:rsidR="00A206A7" w:rsidRDefault="00A206A7" w:rsidP="00A206A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Pokročilé neuroendokrinné nádory pankreatického pôvodu (pNET)</w:t>
      </w:r>
    </w:p>
    <w:p w14:paraId="3F87382D" w14:textId="7794DA63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RADIANT-3 (štúdia </w:t>
      </w:r>
      <w:r w:rsidR="00A206A7">
        <w:rPr>
          <w:sz w:val="22"/>
          <w:szCs w:val="22"/>
        </w:rPr>
        <w:t>CRAD001C2324), multicentrická, randomizo</w:t>
      </w:r>
      <w:r>
        <w:rPr>
          <w:sz w:val="22"/>
          <w:szCs w:val="22"/>
        </w:rPr>
        <w:t xml:space="preserve">vaná, dvojito </w:t>
      </w:r>
      <w:r w:rsidR="00233F41">
        <w:rPr>
          <w:sz w:val="22"/>
          <w:szCs w:val="22"/>
        </w:rPr>
        <w:t>za</w:t>
      </w:r>
      <w:r>
        <w:rPr>
          <w:sz w:val="22"/>
          <w:szCs w:val="22"/>
        </w:rPr>
        <w:t>slep</w:t>
      </w:r>
      <w:r w:rsidR="00233F41">
        <w:rPr>
          <w:sz w:val="22"/>
          <w:szCs w:val="22"/>
        </w:rPr>
        <w:t>ená</w:t>
      </w:r>
      <w:r>
        <w:rPr>
          <w:sz w:val="22"/>
          <w:szCs w:val="22"/>
        </w:rPr>
        <w:t xml:space="preserve"> štúdia fázy III everolimu s </w:t>
      </w:r>
      <w:r w:rsidR="00A206A7">
        <w:rPr>
          <w:sz w:val="22"/>
          <w:szCs w:val="22"/>
        </w:rPr>
        <w:t>najlepšou podpornou starost</w:t>
      </w:r>
      <w:r>
        <w:rPr>
          <w:sz w:val="22"/>
          <w:szCs w:val="22"/>
        </w:rPr>
        <w:t>livosťou (BSC) oproti placebu s </w:t>
      </w:r>
      <w:r w:rsidR="00A206A7">
        <w:rPr>
          <w:sz w:val="22"/>
          <w:szCs w:val="22"/>
        </w:rPr>
        <w:t>BSC u pacientov s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pokročilými pN</w:t>
      </w:r>
      <w:r>
        <w:rPr>
          <w:sz w:val="22"/>
          <w:szCs w:val="22"/>
        </w:rPr>
        <w:t>ET preukázala v porovnaní s </w:t>
      </w:r>
      <w:r w:rsidR="00A206A7">
        <w:rPr>
          <w:sz w:val="22"/>
          <w:szCs w:val="22"/>
        </w:rPr>
        <w:t>placebom štatisticky význ</w:t>
      </w:r>
      <w:r>
        <w:rPr>
          <w:sz w:val="22"/>
          <w:szCs w:val="22"/>
        </w:rPr>
        <w:t>amný prínos everolimu, ktorý 2,4 </w:t>
      </w:r>
      <w:r w:rsidR="00A206A7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násobne</w:t>
      </w:r>
      <w:r>
        <w:rPr>
          <w:sz w:val="22"/>
          <w:szCs w:val="22"/>
        </w:rPr>
        <w:t xml:space="preserve"> predĺžil medián prežívania bez </w:t>
      </w:r>
      <w:r w:rsidR="00A206A7">
        <w:rPr>
          <w:sz w:val="22"/>
          <w:szCs w:val="22"/>
        </w:rPr>
        <w:t>progresie (PFS) (11,04 mesiacov oproti 4,6 mesiacom) (pomer rizika 0,35; 95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% IS: 0,27, 0,45; p</w:t>
      </w:r>
      <w:r>
        <w:rPr>
          <w:sz w:val="22"/>
          <w:szCs w:val="22"/>
        </w:rPr>
        <w:t> &lt; 0,0001) (pozri Tabuľku</w:t>
      </w:r>
      <w:r w:rsidRPr="006454C7">
        <w:rPr>
          <w:bCs/>
          <w:sz w:val="22"/>
          <w:szCs w:val="22"/>
        </w:rPr>
        <w:t> 5</w:t>
      </w:r>
      <w:r>
        <w:rPr>
          <w:sz w:val="22"/>
          <w:szCs w:val="22"/>
        </w:rPr>
        <w:t xml:space="preserve"> a Obrázok </w:t>
      </w:r>
      <w:r w:rsidR="00985554">
        <w:rPr>
          <w:sz w:val="22"/>
          <w:szCs w:val="22"/>
        </w:rPr>
        <w:t>3</w:t>
      </w:r>
      <w:r w:rsidR="00AA4630">
        <w:rPr>
          <w:sz w:val="22"/>
          <w:szCs w:val="22"/>
        </w:rPr>
        <w:t>).</w:t>
      </w:r>
    </w:p>
    <w:p w14:paraId="4182E6AC" w14:textId="77777777" w:rsidR="00A206A7" w:rsidRDefault="00A206A7" w:rsidP="00A206A7">
      <w:pPr>
        <w:pStyle w:val="Default"/>
        <w:rPr>
          <w:sz w:val="22"/>
          <w:szCs w:val="22"/>
        </w:rPr>
      </w:pPr>
    </w:p>
    <w:p w14:paraId="55D82388" w14:textId="77777777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 </w:t>
      </w:r>
      <w:r w:rsidR="00A206A7">
        <w:rPr>
          <w:sz w:val="22"/>
          <w:szCs w:val="22"/>
        </w:rPr>
        <w:t>RAD</w:t>
      </w:r>
      <w:r>
        <w:rPr>
          <w:sz w:val="22"/>
          <w:szCs w:val="22"/>
        </w:rPr>
        <w:t>IANT-3 boli zaradení pacienti s </w:t>
      </w:r>
      <w:r w:rsidR="00A206A7">
        <w:rPr>
          <w:sz w:val="22"/>
          <w:szCs w:val="22"/>
        </w:rPr>
        <w:t>dobre a stredne diferencovanými pokročilými pNET, ktorých choroba progredovala počas predchádzajúcich 12 mesiacov. Liečba analógmi somatostatín</w:t>
      </w:r>
      <w:r w:rsidR="00AA4630">
        <w:rPr>
          <w:sz w:val="22"/>
          <w:szCs w:val="22"/>
        </w:rPr>
        <w:t>u bola povolená ako súčasť BSC.</w:t>
      </w:r>
    </w:p>
    <w:p w14:paraId="5FD80A72" w14:textId="77777777" w:rsidR="00A206A7" w:rsidRDefault="00A206A7" w:rsidP="00A206A7">
      <w:pPr>
        <w:pStyle w:val="Default"/>
        <w:rPr>
          <w:sz w:val="22"/>
          <w:szCs w:val="22"/>
        </w:rPr>
      </w:pPr>
    </w:p>
    <w:p w14:paraId="7E15A2C8" w14:textId="29DBBD19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Primárnym </w:t>
      </w:r>
      <w:r w:rsidR="00233F41">
        <w:rPr>
          <w:sz w:val="22"/>
          <w:szCs w:val="22"/>
        </w:rPr>
        <w:t xml:space="preserve">koncovým </w:t>
      </w:r>
      <w:r>
        <w:rPr>
          <w:sz w:val="22"/>
          <w:szCs w:val="22"/>
        </w:rPr>
        <w:t>ukazovateľom v </w:t>
      </w:r>
      <w:r w:rsidR="00A206A7">
        <w:rPr>
          <w:sz w:val="22"/>
          <w:szCs w:val="22"/>
        </w:rPr>
        <w:t>štúdii bolo PFS hodnotené prostredníctvom RECIST (kri</w:t>
      </w:r>
      <w:r>
        <w:rPr>
          <w:sz w:val="22"/>
          <w:szCs w:val="22"/>
        </w:rPr>
        <w:t>tériá vyhodnotenia odpovede pri </w:t>
      </w:r>
      <w:r w:rsidR="00A206A7">
        <w:rPr>
          <w:sz w:val="22"/>
          <w:szCs w:val="22"/>
        </w:rPr>
        <w:t>solídnych nádoroch, Response Evaluation Criteria in Solid Tumors). Po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 xml:space="preserve">rádiologicky zdokumentovanej progresii mohol skúšajúci lekár </w:t>
      </w:r>
      <w:r w:rsidR="00233F41">
        <w:rPr>
          <w:sz w:val="22"/>
          <w:szCs w:val="22"/>
        </w:rPr>
        <w:t>vykonať</w:t>
      </w:r>
      <w:r w:rsidR="00A206A7">
        <w:rPr>
          <w:sz w:val="22"/>
          <w:szCs w:val="22"/>
        </w:rPr>
        <w:t xml:space="preserve"> odsl</w:t>
      </w:r>
      <w:r>
        <w:rPr>
          <w:sz w:val="22"/>
          <w:szCs w:val="22"/>
        </w:rPr>
        <w:t>ep</w:t>
      </w:r>
      <w:r w:rsidR="00233F41">
        <w:rPr>
          <w:sz w:val="22"/>
          <w:szCs w:val="22"/>
        </w:rPr>
        <w:t>enie liečby</w:t>
      </w:r>
      <w:r>
        <w:rPr>
          <w:sz w:val="22"/>
          <w:szCs w:val="22"/>
        </w:rPr>
        <w:t>. Pacienti randomizovaní do </w:t>
      </w:r>
      <w:r w:rsidR="00A206A7">
        <w:rPr>
          <w:sz w:val="22"/>
          <w:szCs w:val="22"/>
        </w:rPr>
        <w:t>skup</w:t>
      </w:r>
      <w:r>
        <w:rPr>
          <w:sz w:val="22"/>
          <w:szCs w:val="22"/>
        </w:rPr>
        <w:t xml:space="preserve">iny placeba mohli potom </w:t>
      </w:r>
      <w:r w:rsidRPr="00FF5E71">
        <w:rPr>
          <w:sz w:val="22"/>
          <w:szCs w:val="22"/>
        </w:rPr>
        <w:t>bez </w:t>
      </w:r>
      <w:r w:rsidR="00A206A7" w:rsidRPr="00FF5E71">
        <w:rPr>
          <w:sz w:val="22"/>
          <w:szCs w:val="22"/>
        </w:rPr>
        <w:t>zaslepenia</w:t>
      </w:r>
      <w:r w:rsidR="00AA4630">
        <w:rPr>
          <w:sz w:val="22"/>
          <w:szCs w:val="22"/>
        </w:rPr>
        <w:t xml:space="preserve"> dostávať everolimus.</w:t>
      </w:r>
    </w:p>
    <w:p w14:paraId="1F12DE06" w14:textId="77777777" w:rsidR="00A206A7" w:rsidRDefault="00A206A7" w:rsidP="00A206A7">
      <w:pPr>
        <w:pStyle w:val="Default"/>
        <w:rPr>
          <w:sz w:val="22"/>
          <w:szCs w:val="22"/>
        </w:rPr>
      </w:pPr>
    </w:p>
    <w:p w14:paraId="31DC6053" w14:textId="6DF23841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 </w:t>
      </w:r>
      <w:r w:rsidR="00A206A7">
        <w:rPr>
          <w:sz w:val="22"/>
          <w:szCs w:val="22"/>
        </w:rPr>
        <w:t xml:space="preserve">sekundárnym </w:t>
      </w:r>
      <w:r w:rsidR="00233F41">
        <w:rPr>
          <w:sz w:val="22"/>
          <w:szCs w:val="22"/>
        </w:rPr>
        <w:t xml:space="preserve">koncovým </w:t>
      </w:r>
      <w:r w:rsidR="00A206A7">
        <w:rPr>
          <w:sz w:val="22"/>
          <w:szCs w:val="22"/>
        </w:rPr>
        <w:t xml:space="preserve">ukazovateľom patrila bezpečnosť, </w:t>
      </w:r>
      <w:r w:rsidR="00A1070D">
        <w:rPr>
          <w:sz w:val="22"/>
          <w:szCs w:val="22"/>
        </w:rPr>
        <w:t>miera</w:t>
      </w:r>
      <w:r w:rsidR="00A206A7">
        <w:rPr>
          <w:sz w:val="22"/>
          <w:szCs w:val="22"/>
        </w:rPr>
        <w:t xml:space="preserve"> objektívnych odpovedí, trvanie odpo</w:t>
      </w:r>
      <w:r w:rsidR="00AA4630">
        <w:rPr>
          <w:sz w:val="22"/>
          <w:szCs w:val="22"/>
        </w:rPr>
        <w:t>vede a celkové prežívanie (OS).</w:t>
      </w:r>
    </w:p>
    <w:p w14:paraId="6E682951" w14:textId="77777777" w:rsidR="00A206A7" w:rsidRDefault="00A206A7" w:rsidP="00A206A7">
      <w:pPr>
        <w:pStyle w:val="Default"/>
        <w:rPr>
          <w:sz w:val="22"/>
          <w:szCs w:val="22"/>
        </w:rPr>
      </w:pPr>
    </w:p>
    <w:p w14:paraId="2D05E81C" w14:textId="77777777" w:rsidR="00A206A7" w:rsidRDefault="00A206A7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CF14D9">
        <w:rPr>
          <w:sz w:val="22"/>
          <w:szCs w:val="22"/>
        </w:rPr>
        <w:t>randomizovaných 410 pacientov v </w:t>
      </w:r>
      <w:r>
        <w:rPr>
          <w:sz w:val="22"/>
          <w:szCs w:val="22"/>
        </w:rPr>
        <w:t xml:space="preserve">pomere 1:1, aby dostávali </w:t>
      </w:r>
      <w:r w:rsidR="00CF14D9">
        <w:rPr>
          <w:sz w:val="22"/>
          <w:szCs w:val="22"/>
        </w:rPr>
        <w:t>buď everolimus 10 </w:t>
      </w:r>
      <w:r>
        <w:rPr>
          <w:sz w:val="22"/>
          <w:szCs w:val="22"/>
        </w:rPr>
        <w:t>mg/deň (n = 207), alebo placebo (n = 203). Demografické parametre boli dobre vyv</w:t>
      </w:r>
      <w:r w:rsidR="00CF14D9">
        <w:rPr>
          <w:sz w:val="22"/>
          <w:szCs w:val="22"/>
        </w:rPr>
        <w:t>ážené (medián veku 58 rokov, 55 % muži, 78,5 </w:t>
      </w:r>
      <w:r>
        <w:rPr>
          <w:sz w:val="22"/>
          <w:szCs w:val="22"/>
        </w:rPr>
        <w:t>% belosi). Syst</w:t>
      </w:r>
      <w:r w:rsidR="00CF14D9">
        <w:rPr>
          <w:sz w:val="22"/>
          <w:szCs w:val="22"/>
        </w:rPr>
        <w:t>émovú liečbu dostalo predtým 58 % pacientov v </w:t>
      </w:r>
      <w:r>
        <w:rPr>
          <w:sz w:val="22"/>
          <w:szCs w:val="22"/>
        </w:rPr>
        <w:t>oboch sku</w:t>
      </w:r>
      <w:r w:rsidR="00CF14D9">
        <w:rPr>
          <w:sz w:val="22"/>
          <w:szCs w:val="22"/>
        </w:rPr>
        <w:t>pinách. Medián trvania liečby v </w:t>
      </w:r>
      <w:r>
        <w:rPr>
          <w:sz w:val="22"/>
          <w:szCs w:val="22"/>
        </w:rPr>
        <w:t xml:space="preserve">zaslepenej štúdii </w:t>
      </w:r>
      <w:r w:rsidR="00CF14D9">
        <w:rPr>
          <w:sz w:val="22"/>
          <w:szCs w:val="22"/>
        </w:rPr>
        <w:t>bol 37,8 týždňov (rozmedzie 1,1 – 129,9 týždňov) u </w:t>
      </w:r>
      <w:r>
        <w:rPr>
          <w:sz w:val="22"/>
          <w:szCs w:val="22"/>
        </w:rPr>
        <w:t>pacientov, ktorí dostávali everolimus, a 16,1 týždňov (rozmedzie 0,4 – 147,0 týždňov) u</w:t>
      </w:r>
      <w:r w:rsidR="00CF14D9">
        <w:rPr>
          <w:sz w:val="22"/>
          <w:szCs w:val="22"/>
        </w:rPr>
        <w:t> </w:t>
      </w:r>
      <w:r>
        <w:rPr>
          <w:sz w:val="22"/>
          <w:szCs w:val="22"/>
        </w:rPr>
        <w:t>paci</w:t>
      </w:r>
      <w:r w:rsidR="00AA4630">
        <w:rPr>
          <w:sz w:val="22"/>
          <w:szCs w:val="22"/>
        </w:rPr>
        <w:t>entov, ktorí dostávali placebo.</w:t>
      </w:r>
    </w:p>
    <w:p w14:paraId="56A6525D" w14:textId="77777777" w:rsidR="00A206A7" w:rsidRDefault="00A206A7" w:rsidP="00A206A7">
      <w:pPr>
        <w:pStyle w:val="Default"/>
        <w:rPr>
          <w:sz w:val="22"/>
          <w:szCs w:val="22"/>
        </w:rPr>
      </w:pPr>
    </w:p>
    <w:p w14:paraId="45B28B9B" w14:textId="157EFE66" w:rsidR="00A206A7" w:rsidRDefault="00CF14D9" w:rsidP="00AA4630">
      <w:pPr>
        <w:ind w:left="0" w:firstLine="0"/>
        <w:rPr>
          <w:szCs w:val="22"/>
        </w:rPr>
      </w:pPr>
      <w:r>
        <w:rPr>
          <w:szCs w:val="22"/>
        </w:rPr>
        <w:t>Po progresii ochorenia alebo po odslepení štúdie prešlo 172 z </w:t>
      </w:r>
      <w:r w:rsidR="00A206A7">
        <w:rPr>
          <w:szCs w:val="22"/>
        </w:rPr>
        <w:t>203 pacien</w:t>
      </w:r>
      <w:r>
        <w:rPr>
          <w:szCs w:val="22"/>
        </w:rPr>
        <w:t>tov (84,7 </w:t>
      </w:r>
      <w:r w:rsidR="00A206A7">
        <w:rPr>
          <w:szCs w:val="22"/>
        </w:rPr>
        <w:t xml:space="preserve">%) pôvodne </w:t>
      </w:r>
      <w:r>
        <w:rPr>
          <w:szCs w:val="22"/>
        </w:rPr>
        <w:t>randomizovaných na placebo na </w:t>
      </w:r>
      <w:r w:rsidR="00A206A7" w:rsidRPr="00FF5E71">
        <w:rPr>
          <w:szCs w:val="22"/>
        </w:rPr>
        <w:t>nezaslepené</w:t>
      </w:r>
      <w:r w:rsidR="00A206A7">
        <w:rPr>
          <w:szCs w:val="22"/>
        </w:rPr>
        <w:t xml:space="preserve"> podávanie everolimu. Medián trvania nezaslepenej liečby bol 47,7 týždňov spomedzi vše</w:t>
      </w:r>
      <w:r>
        <w:rPr>
          <w:szCs w:val="22"/>
        </w:rPr>
        <w:t>tkých pacientov; 67,1 týždňov u 53 pacientov </w:t>
      </w:r>
      <w:r w:rsidR="00A206A7">
        <w:rPr>
          <w:szCs w:val="22"/>
        </w:rPr>
        <w:t xml:space="preserve">randomizovaných </w:t>
      </w:r>
      <w:r>
        <w:rPr>
          <w:szCs w:val="22"/>
        </w:rPr>
        <w:t>na everolimus, ktorí prestúpili na </w:t>
      </w:r>
      <w:r w:rsidR="00A206A7">
        <w:rPr>
          <w:szCs w:val="22"/>
        </w:rPr>
        <w:t>otvorenú lie</w:t>
      </w:r>
      <w:r>
        <w:rPr>
          <w:szCs w:val="22"/>
        </w:rPr>
        <w:t>čbu everolimom a 44,1 týždňov u </w:t>
      </w:r>
      <w:r w:rsidR="00A206A7">
        <w:rPr>
          <w:szCs w:val="22"/>
        </w:rPr>
        <w:t xml:space="preserve">172 pacientov </w:t>
      </w:r>
      <w:r>
        <w:rPr>
          <w:szCs w:val="22"/>
        </w:rPr>
        <w:t>randomizovaných na placebo, ktorí prestúpili na </w:t>
      </w:r>
      <w:r w:rsidR="00A206A7">
        <w:rPr>
          <w:szCs w:val="22"/>
        </w:rPr>
        <w:t>otvorenú liečbu everolimom.</w:t>
      </w:r>
    </w:p>
    <w:p w14:paraId="6DA2A0A2" w14:textId="77777777" w:rsidR="00A206A7" w:rsidRDefault="00A206A7" w:rsidP="00A206A7">
      <w:pPr>
        <w:rPr>
          <w:szCs w:val="22"/>
        </w:rPr>
      </w:pPr>
    </w:p>
    <w:p w14:paraId="12F95333" w14:textId="77777777" w:rsidR="00A206A7" w:rsidRPr="00A206A7" w:rsidRDefault="00CF14D9" w:rsidP="00CF14D9">
      <w:pPr>
        <w:keepNext/>
        <w:rPr>
          <w:bCs/>
          <w:szCs w:val="22"/>
        </w:rPr>
      </w:pPr>
      <w:r w:rsidRPr="00DE7496">
        <w:rPr>
          <w:b/>
          <w:i/>
          <w:szCs w:val="22"/>
        </w:rPr>
        <w:t xml:space="preserve">Tabuľka </w:t>
      </w:r>
      <w:r w:rsidR="00A206A7" w:rsidRPr="00DE7496">
        <w:rPr>
          <w:b/>
          <w:bCs/>
          <w:i/>
          <w:szCs w:val="22"/>
        </w:rPr>
        <w:t>5</w:t>
      </w:r>
      <w:r w:rsidR="00A206A7" w:rsidRPr="00CF14D9">
        <w:rPr>
          <w:bCs/>
          <w:i/>
          <w:szCs w:val="22"/>
        </w:rPr>
        <w:t xml:space="preserve"> </w:t>
      </w:r>
      <w:r w:rsidR="00A206A7" w:rsidRPr="00DE7496">
        <w:rPr>
          <w:b/>
          <w:bCs/>
          <w:i/>
          <w:szCs w:val="22"/>
        </w:rPr>
        <w:t>RADIANT-3 – výsledky účinnosti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715"/>
        <w:gridCol w:w="1693"/>
        <w:gridCol w:w="1685"/>
        <w:gridCol w:w="1711"/>
      </w:tblGrid>
      <w:tr w:rsidR="00A206A7" w:rsidRPr="004D58F8" w14:paraId="6183BF52" w14:textId="77777777" w:rsidTr="004D58F8">
        <w:tc>
          <w:tcPr>
            <w:tcW w:w="2202" w:type="dxa"/>
            <w:shd w:val="clear" w:color="auto" w:fill="auto"/>
          </w:tcPr>
          <w:p w14:paraId="01F9982F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Populácia</w:t>
            </w:r>
          </w:p>
        </w:tc>
        <w:tc>
          <w:tcPr>
            <w:tcW w:w="1744" w:type="dxa"/>
            <w:shd w:val="clear" w:color="auto" w:fill="auto"/>
          </w:tcPr>
          <w:p w14:paraId="5F4FEF94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Everolimus</w:t>
            </w:r>
          </w:p>
          <w:p w14:paraId="18A6FCED" w14:textId="0064FD18" w:rsidR="00A206A7" w:rsidRPr="004D58F8" w:rsidRDefault="00766B22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206A7" w:rsidRPr="004D58F8">
              <w:rPr>
                <w:b/>
                <w:bCs/>
                <w:szCs w:val="22"/>
              </w:rPr>
              <w:t>=2017</w:t>
            </w:r>
          </w:p>
        </w:tc>
        <w:tc>
          <w:tcPr>
            <w:tcW w:w="1744" w:type="dxa"/>
            <w:shd w:val="clear" w:color="auto" w:fill="auto"/>
          </w:tcPr>
          <w:p w14:paraId="5941D9C0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Placebo</w:t>
            </w:r>
          </w:p>
          <w:p w14:paraId="4E4B89CB" w14:textId="3D4E2F5A" w:rsidR="00A206A7" w:rsidRPr="004D58F8" w:rsidRDefault="00766B22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206A7" w:rsidRPr="004D58F8">
              <w:rPr>
                <w:b/>
                <w:bCs/>
                <w:szCs w:val="22"/>
              </w:rPr>
              <w:t>=203</w:t>
            </w:r>
          </w:p>
        </w:tc>
        <w:tc>
          <w:tcPr>
            <w:tcW w:w="1744" w:type="dxa"/>
            <w:shd w:val="clear" w:color="auto" w:fill="auto"/>
          </w:tcPr>
          <w:p w14:paraId="42F211EE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Pomer rizika</w:t>
            </w:r>
          </w:p>
          <w:p w14:paraId="5BA6A17D" w14:textId="77777777" w:rsidR="00A206A7" w:rsidRPr="004D58F8" w:rsidRDefault="00A206A7" w:rsidP="00CF14D9">
            <w:pPr>
              <w:pStyle w:val="Default"/>
              <w:keepNext/>
              <w:rPr>
                <w:b/>
                <w:bCs/>
                <w:szCs w:val="22"/>
              </w:rPr>
            </w:pPr>
            <w:r>
              <w:t xml:space="preserve">(95% IS) </w:t>
            </w:r>
          </w:p>
        </w:tc>
        <w:tc>
          <w:tcPr>
            <w:tcW w:w="1745" w:type="dxa"/>
            <w:shd w:val="clear" w:color="auto" w:fill="auto"/>
          </w:tcPr>
          <w:p w14:paraId="228E23EF" w14:textId="77777777" w:rsidR="00A206A7" w:rsidRPr="004D58F8" w:rsidRDefault="00CF14D9" w:rsidP="00CF14D9">
            <w:pPr>
              <w:pStyle w:val="Default"/>
              <w:keepNext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 </w:t>
            </w:r>
            <w:r w:rsidR="00A206A7" w:rsidRPr="004D58F8">
              <w:rPr>
                <w:b/>
                <w:bCs/>
                <w:sz w:val="22"/>
                <w:szCs w:val="22"/>
              </w:rPr>
              <w:t xml:space="preserve">p </w:t>
            </w:r>
          </w:p>
          <w:p w14:paraId="42055467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03EF8009" w14:textId="77777777" w:rsidTr="004D58F8">
        <w:tc>
          <w:tcPr>
            <w:tcW w:w="9179" w:type="dxa"/>
            <w:gridSpan w:val="5"/>
            <w:shd w:val="clear" w:color="auto" w:fill="auto"/>
          </w:tcPr>
          <w:p w14:paraId="164F86B5" w14:textId="77777777" w:rsidR="00A206A7" w:rsidRPr="004D58F8" w:rsidRDefault="00CF14D9" w:rsidP="00A206A7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A206A7" w:rsidRPr="004D58F8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206A7" w:rsidRPr="004D58F8"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A206A7" w:rsidRPr="004D58F8" w14:paraId="5D0F86B1" w14:textId="77777777" w:rsidTr="004D58F8">
        <w:tc>
          <w:tcPr>
            <w:tcW w:w="2202" w:type="dxa"/>
            <w:shd w:val="clear" w:color="auto" w:fill="auto"/>
          </w:tcPr>
          <w:p w14:paraId="160F882D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Rádiologické hodnotenie skúšajúcim lekárom </w:t>
            </w:r>
          </w:p>
          <w:p w14:paraId="6CE7F4F2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9ACD683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11,04 </w:t>
            </w:r>
          </w:p>
          <w:p w14:paraId="16AE16F7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(8,41; 13,86) </w:t>
            </w:r>
          </w:p>
        </w:tc>
        <w:tc>
          <w:tcPr>
            <w:tcW w:w="1744" w:type="dxa"/>
            <w:shd w:val="clear" w:color="auto" w:fill="auto"/>
          </w:tcPr>
          <w:p w14:paraId="2FB3BE20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4,60 </w:t>
            </w:r>
          </w:p>
          <w:p w14:paraId="1D91948A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(3,06; 5,39) </w:t>
            </w:r>
          </w:p>
        </w:tc>
        <w:tc>
          <w:tcPr>
            <w:tcW w:w="1744" w:type="dxa"/>
            <w:shd w:val="clear" w:color="auto" w:fill="auto"/>
          </w:tcPr>
          <w:p w14:paraId="74FC2D79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0,35 </w:t>
            </w:r>
          </w:p>
          <w:p w14:paraId="096975C5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(0,27; 0,45) </w:t>
            </w:r>
          </w:p>
        </w:tc>
        <w:tc>
          <w:tcPr>
            <w:tcW w:w="1745" w:type="dxa"/>
            <w:shd w:val="clear" w:color="auto" w:fill="auto"/>
          </w:tcPr>
          <w:p w14:paraId="2DD7AEF4" w14:textId="77777777" w:rsidR="00A206A7" w:rsidRPr="004D58F8" w:rsidRDefault="00CF14D9" w:rsidP="00A206A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206A7" w:rsidRPr="004D58F8">
              <w:rPr>
                <w:sz w:val="22"/>
                <w:szCs w:val="22"/>
              </w:rPr>
              <w:t xml:space="preserve">0,0001 </w:t>
            </w:r>
          </w:p>
          <w:p w14:paraId="465F9CCF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11A0847C" w14:textId="77777777" w:rsidTr="004D58F8">
        <w:tc>
          <w:tcPr>
            <w:tcW w:w="2202" w:type="dxa"/>
            <w:shd w:val="clear" w:color="auto" w:fill="auto"/>
          </w:tcPr>
          <w:p w14:paraId="37AF17CE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Nezávislé rádiologické hodnotenie </w:t>
            </w:r>
          </w:p>
          <w:p w14:paraId="53311C11" w14:textId="77777777" w:rsidR="00A206A7" w:rsidRPr="004D58F8" w:rsidRDefault="00A206A7" w:rsidP="004D58F8">
            <w:pPr>
              <w:ind w:left="0" w:firstLine="708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E0E970A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13,67 </w:t>
            </w:r>
          </w:p>
          <w:p w14:paraId="30C50C76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(11,17; 18,79) </w:t>
            </w:r>
          </w:p>
          <w:p w14:paraId="127BDCB1" w14:textId="77777777" w:rsidR="00A206A7" w:rsidRPr="004D58F8" w:rsidRDefault="00A206A7" w:rsidP="004D58F8">
            <w:pPr>
              <w:jc w:val="center"/>
              <w:rPr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34CE3344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5,68 </w:t>
            </w:r>
          </w:p>
          <w:p w14:paraId="65917DAF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(5,39; 8,31) </w:t>
            </w:r>
          </w:p>
        </w:tc>
        <w:tc>
          <w:tcPr>
            <w:tcW w:w="1744" w:type="dxa"/>
            <w:shd w:val="clear" w:color="auto" w:fill="auto"/>
          </w:tcPr>
          <w:p w14:paraId="198F9571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0,38 </w:t>
            </w:r>
          </w:p>
          <w:p w14:paraId="3464D4FC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(0,28; 0,51) </w:t>
            </w:r>
          </w:p>
        </w:tc>
        <w:tc>
          <w:tcPr>
            <w:tcW w:w="1745" w:type="dxa"/>
            <w:shd w:val="clear" w:color="auto" w:fill="auto"/>
          </w:tcPr>
          <w:p w14:paraId="1B4BA596" w14:textId="77777777" w:rsidR="00A206A7" w:rsidRPr="004D58F8" w:rsidRDefault="00CF14D9" w:rsidP="00A206A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206A7" w:rsidRPr="004D58F8">
              <w:rPr>
                <w:sz w:val="22"/>
                <w:szCs w:val="22"/>
              </w:rPr>
              <w:t xml:space="preserve">0,0001 </w:t>
            </w:r>
          </w:p>
          <w:p w14:paraId="401C1D65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7011022F" w14:textId="77777777" w:rsidTr="004D58F8">
        <w:tc>
          <w:tcPr>
            <w:tcW w:w="9179" w:type="dxa"/>
            <w:gridSpan w:val="5"/>
            <w:shd w:val="clear" w:color="auto" w:fill="auto"/>
          </w:tcPr>
          <w:p w14:paraId="560745E3" w14:textId="77777777" w:rsidR="00A206A7" w:rsidRPr="004D58F8" w:rsidRDefault="00A206A7" w:rsidP="00A206A7">
            <w:pPr>
              <w:pStyle w:val="Default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>Medián celkového prežívania (mesiace) (95</w:t>
            </w:r>
            <w:r w:rsidR="00CF14D9">
              <w:rPr>
                <w:b/>
                <w:bCs/>
                <w:sz w:val="22"/>
                <w:szCs w:val="22"/>
              </w:rPr>
              <w:t> </w:t>
            </w:r>
            <w:r w:rsidRPr="004D58F8"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A206A7" w:rsidRPr="004D58F8" w14:paraId="24E95260" w14:textId="77777777" w:rsidTr="004D58F8">
        <w:tc>
          <w:tcPr>
            <w:tcW w:w="2202" w:type="dxa"/>
            <w:shd w:val="clear" w:color="auto" w:fill="auto"/>
          </w:tcPr>
          <w:p w14:paraId="578DB46B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Medián celkového prežívania </w:t>
            </w:r>
          </w:p>
          <w:p w14:paraId="724F43B6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65E58AF6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44,02 </w:t>
            </w:r>
          </w:p>
          <w:p w14:paraId="3210E44C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(35,61; 51,75) </w:t>
            </w:r>
          </w:p>
        </w:tc>
        <w:tc>
          <w:tcPr>
            <w:tcW w:w="1744" w:type="dxa"/>
            <w:shd w:val="clear" w:color="auto" w:fill="auto"/>
          </w:tcPr>
          <w:p w14:paraId="4D1304C9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37,68 </w:t>
            </w:r>
          </w:p>
          <w:p w14:paraId="6DAB704E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(29,14; 45,77) </w:t>
            </w:r>
          </w:p>
        </w:tc>
        <w:tc>
          <w:tcPr>
            <w:tcW w:w="1744" w:type="dxa"/>
            <w:shd w:val="clear" w:color="auto" w:fill="auto"/>
          </w:tcPr>
          <w:p w14:paraId="65003FA5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0,94 </w:t>
            </w:r>
          </w:p>
          <w:p w14:paraId="55967894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(0,73; 1,20) </w:t>
            </w:r>
          </w:p>
        </w:tc>
        <w:tc>
          <w:tcPr>
            <w:tcW w:w="1745" w:type="dxa"/>
            <w:shd w:val="clear" w:color="auto" w:fill="auto"/>
          </w:tcPr>
          <w:p w14:paraId="089CA53A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0,300 </w:t>
            </w:r>
          </w:p>
          <w:p w14:paraId="7C7B6547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</w:tbl>
    <w:p w14:paraId="2609F0D6" w14:textId="77777777" w:rsidR="00A206A7" w:rsidRDefault="00A206A7" w:rsidP="00A206A7">
      <w:pPr>
        <w:rPr>
          <w:b/>
          <w:bCs/>
          <w:szCs w:val="22"/>
        </w:rPr>
      </w:pPr>
    </w:p>
    <w:p w14:paraId="67E1257B" w14:textId="03DC6CDA" w:rsidR="00A206A7" w:rsidRPr="00DE7496" w:rsidRDefault="00A206A7" w:rsidP="00DE7496">
      <w:pPr>
        <w:keepNext/>
        <w:ind w:left="851" w:hanging="851"/>
        <w:rPr>
          <w:b/>
          <w:i/>
          <w:szCs w:val="22"/>
        </w:rPr>
      </w:pPr>
      <w:r w:rsidRPr="00DE7496">
        <w:rPr>
          <w:b/>
          <w:bCs/>
          <w:i/>
          <w:szCs w:val="22"/>
        </w:rPr>
        <w:lastRenderedPageBreak/>
        <w:t xml:space="preserve">Obrázok </w:t>
      </w:r>
      <w:r w:rsidR="00985554" w:rsidRPr="00DE7496">
        <w:rPr>
          <w:b/>
          <w:bCs/>
          <w:i/>
          <w:szCs w:val="22"/>
        </w:rPr>
        <w:t>3</w:t>
      </w:r>
      <w:r w:rsidRPr="00DE7496">
        <w:rPr>
          <w:b/>
          <w:bCs/>
          <w:i/>
          <w:szCs w:val="22"/>
        </w:rPr>
        <w:t xml:space="preserve"> RADIANT-3 – krivky prežívania bez progresie podľa Kaplana-Meiera (rádiologické hodnotenie skúšajúcim lekárom</w:t>
      </w:r>
      <w:r w:rsidRPr="00DE7496">
        <w:rPr>
          <w:b/>
          <w:i/>
          <w:szCs w:val="22"/>
        </w:rPr>
        <w:t>)</w:t>
      </w:r>
    </w:p>
    <w:p w14:paraId="4367D9F7" w14:textId="77777777" w:rsidR="001E0817" w:rsidRPr="0063701D" w:rsidRDefault="001E0817" w:rsidP="001E0817">
      <w:pPr>
        <w:keepNext/>
        <w:keepLines/>
        <w:rPr>
          <w:bCs/>
          <w:szCs w:val="22"/>
        </w:rPr>
      </w:pPr>
    </w:p>
    <w:p w14:paraId="0221C35C" w14:textId="48D64CF9" w:rsidR="001E0817" w:rsidRPr="00A206A7" w:rsidRDefault="00DE31F9" w:rsidP="001E0817">
      <w:pPr>
        <w:keepNext/>
        <w:ind w:left="0" w:firstLine="0"/>
        <w:rPr>
          <w:bCs/>
          <w:szCs w:val="22"/>
        </w:rPr>
      </w:pPr>
      <w:r>
        <w:rPr>
          <w:b/>
          <w:bCs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4A3C82" wp14:editId="5FCCA4AC">
                <wp:simplePos x="0" y="0"/>
                <wp:positionH relativeFrom="column">
                  <wp:posOffset>3825875</wp:posOffset>
                </wp:positionH>
                <wp:positionV relativeFrom="paragraph">
                  <wp:posOffset>95885</wp:posOffset>
                </wp:positionV>
                <wp:extent cx="1740535" cy="1849755"/>
                <wp:effectExtent l="1905" t="1905" r="635" b="0"/>
                <wp:wrapNone/>
                <wp:docPr id="12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CCEC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Pomer rizika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35</w:t>
                            </w:r>
                          </w:p>
                          <w:p w14:paraId="6E864F73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95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% I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[0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;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45]</w:t>
                            </w:r>
                          </w:p>
                          <w:p w14:paraId="31A2E730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18BF261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noBreakHyphen/>
                              <w:t>hodnota l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og-rank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testu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001</w:t>
                            </w:r>
                          </w:p>
                          <w:p w14:paraId="00DE5A32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D36D34E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Mediány PFS podľa 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Kaplan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noBreakHyphen/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Meier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  <w:p w14:paraId="6B553871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Everolimus: 11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iaca</w:t>
                            </w:r>
                          </w:p>
                          <w:p w14:paraId="3F633C04" w14:textId="77777777" w:rsidR="00FA06C4" w:rsidRPr="00766B22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Placebo: </w:t>
                            </w:r>
                            <w:r w:rsidRPr="00766B2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4,60 </w:t>
                            </w:r>
                            <w:r w:rsidRPr="003B156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mesiaca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A3C82" id="Text Box 447" o:spid="_x0000_s1030" type="#_x0000_t202" style="position:absolute;margin-left:301.25pt;margin-top:7.55pt;width:137.05pt;height:145.6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ly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" filled="f" stroked="f">
                <v:textbox>
                  <w:txbxContent>
                    <w:p w14:paraId="3394CCEC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Pomer rizika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35</w:t>
                      </w:r>
                    </w:p>
                    <w:p w14:paraId="6E864F73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95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% I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S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[0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;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45]</w:t>
                      </w:r>
                    </w:p>
                    <w:p w14:paraId="31A2E730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18BF261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noBreakHyphen/>
                        <w:t>hodnota l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og-</w:t>
                      </w: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rank</w:t>
                      </w:r>
                      <w:proofErr w:type="spellEnd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testu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001</w:t>
                      </w:r>
                    </w:p>
                    <w:p w14:paraId="00DE5A32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D36D34E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Mediány PFS podľa </w:t>
                      </w: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Kaplan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noBreakHyphen/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Meier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</w:t>
                      </w:r>
                      <w:proofErr w:type="spellEnd"/>
                    </w:p>
                    <w:p w14:paraId="6B553871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: 11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04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e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iaca</w:t>
                      </w:r>
                    </w:p>
                    <w:p w14:paraId="3F633C04" w14:textId="77777777" w:rsidR="00FA06C4" w:rsidRPr="00766B22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Placebo: </w:t>
                      </w:r>
                      <w:r w:rsidRPr="00766B22">
                        <w:rPr>
                          <w:rFonts w:ascii="Arial" w:hAnsi="Arial" w:cs="Arial"/>
                          <w:sz w:val="15"/>
                          <w:szCs w:val="15"/>
                        </w:rPr>
                        <w:t>4,60 </w:t>
                      </w:r>
                      <w:r w:rsidRPr="003B1562">
                        <w:rPr>
                          <w:rFonts w:ascii="Arial" w:hAnsi="Arial" w:cs="Arial"/>
                          <w:sz w:val="15"/>
                          <w:szCs w:val="15"/>
                        </w:rPr>
                        <w:t>mesiaca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00458F" wp14:editId="4D059A6A">
                <wp:simplePos x="0" y="0"/>
                <wp:positionH relativeFrom="column">
                  <wp:posOffset>4660265</wp:posOffset>
                </wp:positionH>
                <wp:positionV relativeFrom="paragraph">
                  <wp:posOffset>1089660</wp:posOffset>
                </wp:positionV>
                <wp:extent cx="1068705" cy="231775"/>
                <wp:effectExtent l="0" t="4445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502E" w14:textId="77777777" w:rsidR="00FA06C4" w:rsidRPr="00046C9F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0458F" id="Text Box 2" o:spid="_x0000_s1031" type="#_x0000_t202" style="position:absolute;margin-left:366.95pt;margin-top:85.8pt;width:84.15pt;height:1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HI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" filled="f" stroked="f">
                <v:textbox>
                  <w:txbxContent>
                    <w:p w14:paraId="37A2502E" w14:textId="77777777" w:rsidR="00FA06C4" w:rsidRPr="00046C9F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Cenzúrovanie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793C05" wp14:editId="396F4DF5">
                <wp:simplePos x="0" y="0"/>
                <wp:positionH relativeFrom="column">
                  <wp:posOffset>4660265</wp:posOffset>
                </wp:positionH>
                <wp:positionV relativeFrom="paragraph">
                  <wp:posOffset>1356360</wp:posOffset>
                </wp:positionV>
                <wp:extent cx="1001395" cy="1843405"/>
                <wp:effectExtent l="635" t="0" r="0" b="0"/>
                <wp:wrapNone/>
                <wp:docPr id="10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C09F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Placebo (n=203)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93C05" id="Text Box 446" o:spid="_x0000_s1032" type="#_x0000_t202" style="position:absolute;margin-left:366.95pt;margin-top:106.8pt;width:78.85pt;height:145.1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gnuQ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" filled="f" stroked="f">
                <v:textbox>
                  <w:txbxContent>
                    <w:p w14:paraId="13BAC09F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Placebo (n=203)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0040B8" wp14:editId="13F002BF">
                <wp:simplePos x="0" y="0"/>
                <wp:positionH relativeFrom="column">
                  <wp:posOffset>4660265</wp:posOffset>
                </wp:positionH>
                <wp:positionV relativeFrom="paragraph">
                  <wp:posOffset>1219835</wp:posOffset>
                </wp:positionV>
                <wp:extent cx="1068705" cy="237490"/>
                <wp:effectExtent l="0" t="1270" r="0" b="0"/>
                <wp:wrapNone/>
                <wp:docPr id="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C7956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 (n=207)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040B8" id="Text Box 445" o:spid="_x0000_s1033" type="#_x0000_t202" style="position:absolute;margin-left:366.95pt;margin-top:96.05pt;width:84.15pt;height:18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g4ug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" filled="f" stroked="f">
                <v:textbox>
                  <w:txbxContent>
                    <w:p w14:paraId="016C7956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(n=207)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noProof/>
        </w:rPr>
        <w:drawing>
          <wp:inline distT="0" distB="0" distL="0" distR="0" wp14:anchorId="21BF8F77" wp14:editId="4CEF79AF">
            <wp:extent cx="5709285" cy="4118610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03FBD" w14:textId="77777777" w:rsidR="00A206A7" w:rsidRDefault="00A206A7" w:rsidP="00A206A7">
      <w:pPr>
        <w:rPr>
          <w:b/>
          <w:bCs/>
          <w:szCs w:val="22"/>
        </w:rPr>
      </w:pPr>
    </w:p>
    <w:p w14:paraId="75AA3304" w14:textId="7B7B5AEC" w:rsidR="001E0817" w:rsidRPr="00134157" w:rsidRDefault="001E0817" w:rsidP="001E0817">
      <w:pPr>
        <w:ind w:right="-1"/>
        <w:rPr>
          <w:sz w:val="18"/>
          <w:szCs w:val="18"/>
        </w:rPr>
      </w:pPr>
      <w:r w:rsidRPr="00134157">
        <w:rPr>
          <w:sz w:val="18"/>
          <w:szCs w:val="18"/>
        </w:rPr>
        <w:t>Pravdepodobnosť (%) (Probability (%)); Čas (mesiace) (Time (months))</w:t>
      </w:r>
    </w:p>
    <w:p w14:paraId="1D740CE0" w14:textId="77777777" w:rsidR="00134157" w:rsidRPr="001E0817" w:rsidRDefault="00134157" w:rsidP="001E0817">
      <w:pPr>
        <w:ind w:right="-1"/>
        <w:rPr>
          <w:rFonts w:eastAsia="Arial"/>
          <w:szCs w:val="22"/>
        </w:rPr>
      </w:pPr>
    </w:p>
    <w:p w14:paraId="081EC0EC" w14:textId="77777777" w:rsidR="001E0817" w:rsidRPr="00134157" w:rsidRDefault="001E0817" w:rsidP="001E0817">
      <w:pPr>
        <w:ind w:right="-1"/>
        <w:rPr>
          <w:rFonts w:eastAsia="Arial"/>
          <w:sz w:val="18"/>
          <w:szCs w:val="18"/>
        </w:rPr>
      </w:pPr>
      <w:r w:rsidRPr="00134157">
        <w:rPr>
          <w:spacing w:val="2"/>
          <w:sz w:val="18"/>
          <w:szCs w:val="18"/>
        </w:rPr>
        <w:t>Počet pacientov s pretrvávajúcim rizikom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11"/>
        <w:gridCol w:w="512"/>
        <w:gridCol w:w="512"/>
        <w:gridCol w:w="512"/>
        <w:gridCol w:w="512"/>
        <w:gridCol w:w="512"/>
        <w:gridCol w:w="512"/>
        <w:gridCol w:w="512"/>
        <w:gridCol w:w="511"/>
        <w:gridCol w:w="512"/>
        <w:gridCol w:w="512"/>
        <w:gridCol w:w="512"/>
        <w:gridCol w:w="512"/>
        <w:gridCol w:w="512"/>
        <w:gridCol w:w="512"/>
        <w:gridCol w:w="512"/>
      </w:tblGrid>
      <w:tr w:rsidR="001E0817" w:rsidRPr="00134157" w14:paraId="18624AA4" w14:textId="77777777" w:rsidTr="001E0817">
        <w:trPr>
          <w:trHeight w:hRule="exact" w:val="18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E585" w14:textId="77777777" w:rsidR="001E0817" w:rsidRPr="00134157" w:rsidRDefault="001E0817" w:rsidP="001E0817">
            <w:pPr>
              <w:ind w:right="-1"/>
              <w:rPr>
                <w:rFonts w:eastAsia="Arial"/>
                <w:sz w:val="18"/>
                <w:szCs w:val="18"/>
              </w:rPr>
            </w:pPr>
            <w:r w:rsidRPr="00134157">
              <w:rPr>
                <w:rFonts w:eastAsia="Arial"/>
                <w:sz w:val="18"/>
                <w:szCs w:val="18"/>
              </w:rPr>
              <w:t>Everolimusus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D33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207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C6A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689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D2C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1FA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C06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0EFE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2A9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010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546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5AE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B41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1A6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225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F2B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776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  <w:tr w:rsidR="001E0817" w:rsidRPr="00134157" w14:paraId="433C9AC5" w14:textId="77777777" w:rsidTr="001E0817">
        <w:trPr>
          <w:trHeight w:hRule="exact" w:val="31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2D1A" w14:textId="77777777" w:rsidR="001E0817" w:rsidRPr="00134157" w:rsidRDefault="001E0817" w:rsidP="001E0817">
            <w:pPr>
              <w:ind w:right="-1"/>
              <w:rPr>
                <w:rFonts w:eastAsia="Arial"/>
                <w:sz w:val="18"/>
                <w:szCs w:val="18"/>
              </w:rPr>
            </w:pPr>
            <w:r w:rsidRPr="00134157">
              <w:rPr>
                <w:rFonts w:eastAsia="Arial"/>
                <w:sz w:val="18"/>
                <w:szCs w:val="18"/>
              </w:rPr>
              <w:t>Placebo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8C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74F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E3E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C2F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A5A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AD3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3EB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CD8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356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218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44C7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918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836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9EE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CCB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846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</w:tbl>
    <w:p w14:paraId="070A3D54" w14:textId="77777777" w:rsidR="00A206A7" w:rsidRPr="00DE7496" w:rsidRDefault="00A206A7" w:rsidP="00A206A7">
      <w:pPr>
        <w:rPr>
          <w:szCs w:val="22"/>
        </w:rPr>
      </w:pPr>
    </w:p>
    <w:p w14:paraId="2EDF771D" w14:textId="77777777" w:rsidR="001E0817" w:rsidRDefault="001E0817" w:rsidP="001E081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Pokročilé neuroendokrinné nádory gastrointestinálneho alebo pľúcneho pôvodu </w:t>
      </w:r>
    </w:p>
    <w:p w14:paraId="4DE964D5" w14:textId="77777777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RADIANT-4 (štúdia CRAD001T2302), randomizovaná, dvojito zaslepená, multicentri</w:t>
      </w:r>
      <w:r w:rsidR="00CF14D9">
        <w:rPr>
          <w:sz w:val="22"/>
          <w:szCs w:val="22"/>
        </w:rPr>
        <w:t>cká štúdia fázy III everolimu s </w:t>
      </w:r>
      <w:r>
        <w:rPr>
          <w:sz w:val="22"/>
          <w:szCs w:val="22"/>
        </w:rPr>
        <w:t>najlepšou podpornou starost</w:t>
      </w:r>
      <w:r w:rsidR="00CF14D9">
        <w:rPr>
          <w:sz w:val="22"/>
          <w:szCs w:val="22"/>
        </w:rPr>
        <w:t>livosťou (BSC) oproti placebu s </w:t>
      </w:r>
      <w:r>
        <w:rPr>
          <w:sz w:val="22"/>
          <w:szCs w:val="22"/>
        </w:rPr>
        <w:t>BSC bola vykonaná u</w:t>
      </w:r>
      <w:r w:rsidR="00CF14D9">
        <w:rPr>
          <w:sz w:val="22"/>
          <w:szCs w:val="22"/>
        </w:rPr>
        <w:t> pacientov s </w:t>
      </w:r>
      <w:r>
        <w:rPr>
          <w:sz w:val="22"/>
          <w:szCs w:val="22"/>
        </w:rPr>
        <w:t>pokročilými</w:t>
      </w:r>
      <w:r w:rsidR="00CF14D9">
        <w:rPr>
          <w:sz w:val="22"/>
          <w:szCs w:val="22"/>
        </w:rPr>
        <w:t>, dobre diferencovanými (stupeň 1 alebo stupeň </w:t>
      </w:r>
      <w:r>
        <w:rPr>
          <w:sz w:val="22"/>
          <w:szCs w:val="22"/>
        </w:rPr>
        <w:t>2) nefunkčnými neuroendokrinnými nádormi gastrointestiná</w:t>
      </w:r>
      <w:r w:rsidR="00CF14D9">
        <w:rPr>
          <w:sz w:val="22"/>
          <w:szCs w:val="22"/>
        </w:rPr>
        <w:t>lneho alebo pľúcneho pôvodu bez </w:t>
      </w:r>
      <w:r>
        <w:rPr>
          <w:sz w:val="22"/>
          <w:szCs w:val="22"/>
        </w:rPr>
        <w:t>predošlej anamnézy a aktívny</w:t>
      </w:r>
      <w:r w:rsidR="00CF14D9">
        <w:rPr>
          <w:sz w:val="22"/>
          <w:szCs w:val="22"/>
        </w:rPr>
        <w:t>ch príznakov spojených s </w:t>
      </w:r>
      <w:r w:rsidR="00AA4630">
        <w:rPr>
          <w:sz w:val="22"/>
          <w:szCs w:val="22"/>
        </w:rPr>
        <w:t>karcinoidným syndrómom.</w:t>
      </w:r>
    </w:p>
    <w:p w14:paraId="0DCE1C4B" w14:textId="77777777" w:rsidR="001E0817" w:rsidRDefault="001E0817" w:rsidP="001E0817">
      <w:pPr>
        <w:pStyle w:val="Default"/>
        <w:rPr>
          <w:sz w:val="22"/>
          <w:szCs w:val="22"/>
        </w:rPr>
      </w:pPr>
    </w:p>
    <w:p w14:paraId="372025B7" w14:textId="2A442522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Primárnym koncovým ukazovat</w:t>
      </w:r>
      <w:r w:rsidR="00CF14D9">
        <w:rPr>
          <w:sz w:val="22"/>
          <w:szCs w:val="22"/>
        </w:rPr>
        <w:t>eľom štúdie bolo prežívanie bez </w:t>
      </w:r>
      <w:r>
        <w:rPr>
          <w:sz w:val="22"/>
          <w:szCs w:val="22"/>
        </w:rPr>
        <w:t>progresie (PFS) hodnotené podľa RECIST (Response Evaluati</w:t>
      </w:r>
      <w:r w:rsidR="00CF14D9">
        <w:rPr>
          <w:sz w:val="22"/>
          <w:szCs w:val="22"/>
        </w:rPr>
        <w:t>on Criteria in Solid Tumors) na </w:t>
      </w:r>
      <w:r>
        <w:rPr>
          <w:sz w:val="22"/>
          <w:szCs w:val="22"/>
        </w:rPr>
        <w:t>základe nezávislého rádiologického hodnotenia. Podporná a</w:t>
      </w:r>
      <w:r w:rsidR="00CF14D9">
        <w:rPr>
          <w:sz w:val="22"/>
          <w:szCs w:val="22"/>
        </w:rPr>
        <w:t>nalýza PFS bola založená na </w:t>
      </w:r>
      <w:r w:rsidR="009A622D">
        <w:rPr>
          <w:sz w:val="22"/>
          <w:szCs w:val="22"/>
        </w:rPr>
        <w:t xml:space="preserve">lokálnom </w:t>
      </w:r>
      <w:r>
        <w:rPr>
          <w:sz w:val="22"/>
          <w:szCs w:val="22"/>
        </w:rPr>
        <w:t>hodnotení skúšajúc</w:t>
      </w:r>
      <w:r w:rsidR="009A622D">
        <w:rPr>
          <w:sz w:val="22"/>
          <w:szCs w:val="22"/>
        </w:rPr>
        <w:t>im</w:t>
      </w:r>
      <w:r>
        <w:rPr>
          <w:sz w:val="22"/>
          <w:szCs w:val="22"/>
        </w:rPr>
        <w:t xml:space="preserve"> lekár</w:t>
      </w:r>
      <w:r w:rsidR="009A622D">
        <w:rPr>
          <w:sz w:val="22"/>
          <w:szCs w:val="22"/>
        </w:rPr>
        <w:t>om</w:t>
      </w:r>
      <w:r>
        <w:rPr>
          <w:sz w:val="22"/>
          <w:szCs w:val="22"/>
        </w:rPr>
        <w:t xml:space="preserve">. Sekundárne koncové ukazovatele zahŕňali celkové prežívanie (OS), </w:t>
      </w:r>
      <w:r w:rsidR="009A622D">
        <w:rPr>
          <w:sz w:val="22"/>
          <w:szCs w:val="22"/>
        </w:rPr>
        <w:t xml:space="preserve">mieru </w:t>
      </w:r>
      <w:r>
        <w:rPr>
          <w:sz w:val="22"/>
          <w:szCs w:val="22"/>
        </w:rPr>
        <w:t>celkov</w:t>
      </w:r>
      <w:r w:rsidR="009A622D">
        <w:rPr>
          <w:sz w:val="22"/>
          <w:szCs w:val="22"/>
        </w:rPr>
        <w:t>ej</w:t>
      </w:r>
      <w:r>
        <w:rPr>
          <w:sz w:val="22"/>
          <w:szCs w:val="22"/>
        </w:rPr>
        <w:t xml:space="preserve"> odpovede, mieru kontroly</w:t>
      </w:r>
      <w:r w:rsidR="00CF14D9">
        <w:rPr>
          <w:sz w:val="22"/>
          <w:szCs w:val="22"/>
        </w:rPr>
        <w:t xml:space="preserve"> ochorenia, bezpečnosť, zmenu v </w:t>
      </w:r>
      <w:r>
        <w:rPr>
          <w:sz w:val="22"/>
          <w:szCs w:val="22"/>
        </w:rPr>
        <w:t>k</w:t>
      </w:r>
      <w:r w:rsidR="00CF14D9">
        <w:rPr>
          <w:sz w:val="22"/>
          <w:szCs w:val="22"/>
        </w:rPr>
        <w:t>valite života (FACT-G) a čas do </w:t>
      </w:r>
      <w:r>
        <w:rPr>
          <w:sz w:val="22"/>
          <w:szCs w:val="22"/>
        </w:rPr>
        <w:t>zhoršenia výkonnostn</w:t>
      </w:r>
      <w:r w:rsidR="00CF14D9">
        <w:rPr>
          <w:sz w:val="22"/>
          <w:szCs w:val="22"/>
        </w:rPr>
        <w:t>ého stavu podľa </w:t>
      </w:r>
      <w:r w:rsidR="00AA4630">
        <w:rPr>
          <w:sz w:val="22"/>
          <w:szCs w:val="22"/>
        </w:rPr>
        <w:t>WHO (WHO PS).</w:t>
      </w:r>
    </w:p>
    <w:p w14:paraId="6753A75C" w14:textId="77777777" w:rsidR="001E0817" w:rsidRDefault="001E0817" w:rsidP="001E0817">
      <w:pPr>
        <w:pStyle w:val="Default"/>
        <w:rPr>
          <w:sz w:val="22"/>
          <w:szCs w:val="22"/>
        </w:rPr>
      </w:pPr>
    </w:p>
    <w:p w14:paraId="0F485203" w14:textId="5A52E320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CF14D9">
        <w:rPr>
          <w:sz w:val="22"/>
          <w:szCs w:val="22"/>
        </w:rPr>
        <w:t>randomizovaných 302 pacientov v pomere 2:1 na everolimus (10 </w:t>
      </w:r>
      <w:r>
        <w:rPr>
          <w:sz w:val="22"/>
          <w:szCs w:val="22"/>
        </w:rPr>
        <w:t xml:space="preserve">mg denne) (n = 205) alebo placebo (n = 97). Demografické údaje a </w:t>
      </w:r>
      <w:r w:rsidR="005652D4">
        <w:rPr>
          <w:sz w:val="22"/>
          <w:szCs w:val="22"/>
        </w:rPr>
        <w:t>charakteristika ochoreni</w:t>
      </w:r>
      <w:r w:rsidR="009A622D">
        <w:rPr>
          <w:sz w:val="22"/>
          <w:szCs w:val="22"/>
        </w:rPr>
        <w:t>a</w:t>
      </w:r>
      <w:r w:rsidR="005652D4">
        <w:rPr>
          <w:sz w:val="22"/>
          <w:szCs w:val="22"/>
        </w:rPr>
        <w:t xml:space="preserve"> boli </w:t>
      </w:r>
      <w:r w:rsidR="005652D4" w:rsidRPr="00FF5E71">
        <w:rPr>
          <w:sz w:val="22"/>
          <w:szCs w:val="22"/>
        </w:rPr>
        <w:t>v </w:t>
      </w:r>
      <w:r w:rsidRPr="00FF5E71">
        <w:rPr>
          <w:sz w:val="22"/>
          <w:szCs w:val="22"/>
        </w:rPr>
        <w:t>zásade</w:t>
      </w:r>
      <w:r>
        <w:rPr>
          <w:sz w:val="22"/>
          <w:szCs w:val="22"/>
        </w:rPr>
        <w:t xml:space="preserve"> vyv</w:t>
      </w:r>
      <w:r w:rsidR="005652D4">
        <w:rPr>
          <w:sz w:val="22"/>
          <w:szCs w:val="22"/>
        </w:rPr>
        <w:t>ážené (medián veku pacientov 63 </w:t>
      </w:r>
      <w:r>
        <w:rPr>
          <w:sz w:val="22"/>
          <w:szCs w:val="22"/>
        </w:rPr>
        <w:t>rokov [rozs</w:t>
      </w:r>
      <w:r w:rsidR="005652D4">
        <w:rPr>
          <w:sz w:val="22"/>
          <w:szCs w:val="22"/>
        </w:rPr>
        <w:t>ah 22 až 86], 76 </w:t>
      </w:r>
      <w:r>
        <w:rPr>
          <w:sz w:val="22"/>
          <w:szCs w:val="22"/>
        </w:rPr>
        <w:t>% kaukazskej rasy, predošlé užívanie somatostatínového analógu [SSA]). Medián trvania zasle</w:t>
      </w:r>
      <w:r w:rsidR="005652D4">
        <w:rPr>
          <w:sz w:val="22"/>
          <w:szCs w:val="22"/>
        </w:rPr>
        <w:t>penej liečby bol 40,4 týždňov u </w:t>
      </w:r>
      <w:r>
        <w:rPr>
          <w:sz w:val="22"/>
          <w:szCs w:val="22"/>
        </w:rPr>
        <w:t>pacientov užívajúc</w:t>
      </w:r>
      <w:r w:rsidR="005652D4">
        <w:rPr>
          <w:sz w:val="22"/>
          <w:szCs w:val="22"/>
        </w:rPr>
        <w:t>ich everolimus a 19,6 týždňov u </w:t>
      </w:r>
      <w:r>
        <w:rPr>
          <w:sz w:val="22"/>
          <w:szCs w:val="22"/>
        </w:rPr>
        <w:t>pacientov užívajúcich placebo. Pacienti užívajúci placebo neprestú</w:t>
      </w:r>
      <w:r w:rsidR="005652D4">
        <w:rPr>
          <w:sz w:val="22"/>
          <w:szCs w:val="22"/>
        </w:rPr>
        <w:t>pili v čase progresie do </w:t>
      </w:r>
      <w:r w:rsidR="005F561F">
        <w:rPr>
          <w:sz w:val="22"/>
          <w:szCs w:val="22"/>
        </w:rPr>
        <w:t>ramena</w:t>
      </w:r>
      <w:r w:rsidR="005652D4">
        <w:rPr>
          <w:sz w:val="22"/>
          <w:szCs w:val="22"/>
        </w:rPr>
        <w:t xml:space="preserve"> s </w:t>
      </w:r>
      <w:r>
        <w:rPr>
          <w:sz w:val="22"/>
          <w:szCs w:val="22"/>
        </w:rPr>
        <w:t>everolimom.</w:t>
      </w:r>
    </w:p>
    <w:p w14:paraId="647EEB8B" w14:textId="3A488CA9" w:rsidR="001E0817" w:rsidRDefault="005652D4" w:rsidP="009A622D">
      <w:pPr>
        <w:ind w:left="0" w:firstLine="0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 xml:space="preserve">Výsledky účinnosti </w:t>
      </w:r>
      <w:r w:rsidR="009A622D">
        <w:rPr>
          <w:szCs w:val="22"/>
        </w:rPr>
        <w:t>z hľadiska</w:t>
      </w:r>
      <w:r>
        <w:rPr>
          <w:szCs w:val="22"/>
        </w:rPr>
        <w:t> </w:t>
      </w:r>
      <w:r w:rsidR="001E0817">
        <w:rPr>
          <w:szCs w:val="22"/>
        </w:rPr>
        <w:t>primá</w:t>
      </w:r>
      <w:r>
        <w:rPr>
          <w:szCs w:val="22"/>
        </w:rPr>
        <w:t>rn</w:t>
      </w:r>
      <w:r w:rsidR="009A622D">
        <w:rPr>
          <w:szCs w:val="22"/>
        </w:rPr>
        <w:t>eho</w:t>
      </w:r>
      <w:r>
        <w:rPr>
          <w:szCs w:val="22"/>
        </w:rPr>
        <w:t xml:space="preserve"> koncov</w:t>
      </w:r>
      <w:r w:rsidR="009A622D">
        <w:rPr>
          <w:szCs w:val="22"/>
        </w:rPr>
        <w:t>ého</w:t>
      </w:r>
      <w:r>
        <w:rPr>
          <w:szCs w:val="22"/>
        </w:rPr>
        <w:t xml:space="preserve"> </w:t>
      </w:r>
      <w:r w:rsidR="009A622D">
        <w:rPr>
          <w:szCs w:val="22"/>
        </w:rPr>
        <w:t>ukazovateľa</w:t>
      </w:r>
      <w:r>
        <w:rPr>
          <w:szCs w:val="22"/>
        </w:rPr>
        <w:t xml:space="preserve"> boli získané zo </w:t>
      </w:r>
      <w:r w:rsidR="001E0817">
        <w:rPr>
          <w:szCs w:val="22"/>
        </w:rPr>
        <w:t>záverečnej analýzy PFS (pozri tabuľku</w:t>
      </w:r>
      <w:r>
        <w:rPr>
          <w:szCs w:val="22"/>
        </w:rPr>
        <w:t> 6 a obrázok </w:t>
      </w:r>
      <w:r w:rsidR="00985554">
        <w:rPr>
          <w:szCs w:val="22"/>
        </w:rPr>
        <w:t>4</w:t>
      </w:r>
      <w:r w:rsidR="001E0817">
        <w:rPr>
          <w:szCs w:val="22"/>
        </w:rPr>
        <w:t>).</w:t>
      </w:r>
    </w:p>
    <w:p w14:paraId="741F2502" w14:textId="77777777" w:rsidR="005652D4" w:rsidRDefault="005652D4" w:rsidP="001E0817">
      <w:pPr>
        <w:rPr>
          <w:szCs w:val="22"/>
        </w:rPr>
      </w:pPr>
    </w:p>
    <w:p w14:paraId="69DBC50B" w14:textId="77777777" w:rsidR="001E0817" w:rsidRPr="00DE7496" w:rsidRDefault="005652D4" w:rsidP="001E0817">
      <w:pPr>
        <w:rPr>
          <w:b/>
          <w:bCs/>
          <w:i/>
          <w:szCs w:val="22"/>
        </w:rPr>
      </w:pPr>
      <w:r w:rsidRPr="00DE7496">
        <w:rPr>
          <w:b/>
          <w:bCs/>
          <w:i/>
          <w:szCs w:val="22"/>
        </w:rPr>
        <w:t>Tabuľka </w:t>
      </w:r>
      <w:r w:rsidR="001E0817" w:rsidRPr="00DE7496">
        <w:rPr>
          <w:b/>
          <w:bCs/>
          <w:i/>
          <w:szCs w:val="22"/>
        </w:rPr>
        <w:t>6 RADI</w:t>
      </w:r>
      <w:r w:rsidRPr="00DE7496">
        <w:rPr>
          <w:b/>
          <w:bCs/>
          <w:i/>
          <w:szCs w:val="22"/>
        </w:rPr>
        <w:t>ANT-4 – výsledky prežívania bez </w:t>
      </w:r>
      <w:r w:rsidR="001E0817" w:rsidRPr="00DE7496">
        <w:rPr>
          <w:b/>
          <w:bCs/>
          <w:i/>
          <w:szCs w:val="22"/>
        </w:rPr>
        <w:t>progresie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42"/>
        <w:gridCol w:w="1679"/>
        <w:gridCol w:w="1659"/>
        <w:gridCol w:w="1713"/>
      </w:tblGrid>
      <w:tr w:rsidR="001E0817" w:rsidRPr="004D58F8" w14:paraId="13377C25" w14:textId="77777777" w:rsidTr="004D58F8">
        <w:tc>
          <w:tcPr>
            <w:tcW w:w="2214" w:type="dxa"/>
            <w:shd w:val="clear" w:color="auto" w:fill="auto"/>
          </w:tcPr>
          <w:p w14:paraId="2F2338FF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Populácia</w:t>
            </w:r>
          </w:p>
        </w:tc>
        <w:tc>
          <w:tcPr>
            <w:tcW w:w="1774" w:type="dxa"/>
            <w:shd w:val="clear" w:color="auto" w:fill="auto"/>
          </w:tcPr>
          <w:p w14:paraId="754E6E18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Everolimus</w:t>
            </w:r>
          </w:p>
          <w:p w14:paraId="5CE2784B" w14:textId="38CD5C2A" w:rsidR="001E0817" w:rsidRPr="004D58F8" w:rsidRDefault="00B676E3" w:rsidP="004D58F8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1E0817" w:rsidRPr="004D58F8">
              <w:rPr>
                <w:b/>
                <w:szCs w:val="22"/>
              </w:rPr>
              <w:t>=205</w:t>
            </w:r>
          </w:p>
        </w:tc>
        <w:tc>
          <w:tcPr>
            <w:tcW w:w="1731" w:type="dxa"/>
            <w:shd w:val="clear" w:color="auto" w:fill="auto"/>
          </w:tcPr>
          <w:p w14:paraId="772DAC89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Placebo</w:t>
            </w:r>
          </w:p>
          <w:p w14:paraId="2E40F510" w14:textId="39559944" w:rsidR="001E0817" w:rsidRPr="004D58F8" w:rsidRDefault="00B676E3" w:rsidP="004D58F8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1E0817" w:rsidRPr="004D58F8">
              <w:rPr>
                <w:b/>
                <w:szCs w:val="22"/>
              </w:rPr>
              <w:t>=97</w:t>
            </w:r>
          </w:p>
        </w:tc>
        <w:tc>
          <w:tcPr>
            <w:tcW w:w="1717" w:type="dxa"/>
            <w:shd w:val="clear" w:color="auto" w:fill="auto"/>
          </w:tcPr>
          <w:p w14:paraId="0D0632DE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 xml:space="preserve">Pomer rizika (95% IS) </w:t>
            </w:r>
          </w:p>
          <w:p w14:paraId="41DA302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14:paraId="6A757F1C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 </w:t>
            </w:r>
            <w:r w:rsidR="001E0817" w:rsidRPr="004D58F8">
              <w:rPr>
                <w:b/>
                <w:bCs/>
                <w:sz w:val="22"/>
                <w:szCs w:val="22"/>
              </w:rPr>
              <w:t>p</w:t>
            </w:r>
            <w:r w:rsidR="001E0817" w:rsidRPr="004D58F8">
              <w:rPr>
                <w:b/>
                <w:bCs/>
                <w:sz w:val="22"/>
                <w:szCs w:val="22"/>
                <w:vertAlign w:val="superscript"/>
              </w:rPr>
              <w:t xml:space="preserve">a </w:t>
            </w:r>
          </w:p>
          <w:p w14:paraId="389A518E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39CFEC22" w14:textId="77777777" w:rsidTr="004D58F8">
        <w:tc>
          <w:tcPr>
            <w:tcW w:w="9179" w:type="dxa"/>
            <w:gridSpan w:val="5"/>
            <w:shd w:val="clear" w:color="auto" w:fill="auto"/>
          </w:tcPr>
          <w:p w14:paraId="52A25CD3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 xml:space="preserve">Medián prežívania bez progresie (mesiace) (95% IS) </w:t>
            </w:r>
          </w:p>
        </w:tc>
      </w:tr>
      <w:tr w:rsidR="001E0817" w:rsidRPr="004D58F8" w14:paraId="6C9EA007" w14:textId="77777777" w:rsidTr="004D58F8">
        <w:tc>
          <w:tcPr>
            <w:tcW w:w="2214" w:type="dxa"/>
            <w:shd w:val="clear" w:color="auto" w:fill="auto"/>
          </w:tcPr>
          <w:p w14:paraId="78A2BA40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Nezávislé rádiologické hodnotenie </w:t>
            </w:r>
          </w:p>
          <w:p w14:paraId="15D02AA7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6E0116D1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11,01 </w:t>
            </w:r>
          </w:p>
          <w:p w14:paraId="3AD53B1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(9,2; 13,3) </w:t>
            </w:r>
          </w:p>
        </w:tc>
        <w:tc>
          <w:tcPr>
            <w:tcW w:w="1731" w:type="dxa"/>
            <w:shd w:val="clear" w:color="auto" w:fill="auto"/>
          </w:tcPr>
          <w:p w14:paraId="21481827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3,91 </w:t>
            </w:r>
          </w:p>
          <w:p w14:paraId="65D3583F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(3,6; 7,4) </w:t>
            </w:r>
          </w:p>
        </w:tc>
        <w:tc>
          <w:tcPr>
            <w:tcW w:w="1717" w:type="dxa"/>
            <w:shd w:val="clear" w:color="auto" w:fill="auto"/>
          </w:tcPr>
          <w:p w14:paraId="77ED5F0C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0,48 </w:t>
            </w:r>
          </w:p>
          <w:p w14:paraId="68643A5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(0,35; 0,67) </w:t>
            </w:r>
          </w:p>
        </w:tc>
        <w:tc>
          <w:tcPr>
            <w:tcW w:w="1743" w:type="dxa"/>
            <w:shd w:val="clear" w:color="auto" w:fill="auto"/>
          </w:tcPr>
          <w:p w14:paraId="681F9D95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1E0817" w:rsidRPr="004D58F8">
              <w:rPr>
                <w:sz w:val="22"/>
                <w:szCs w:val="22"/>
              </w:rPr>
              <w:t xml:space="preserve">0,0001 </w:t>
            </w:r>
          </w:p>
          <w:p w14:paraId="1FED45E2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3BCAC1F4" w14:textId="77777777" w:rsidTr="004D58F8">
        <w:tc>
          <w:tcPr>
            <w:tcW w:w="2214" w:type="dxa"/>
            <w:shd w:val="clear" w:color="auto" w:fill="auto"/>
          </w:tcPr>
          <w:p w14:paraId="1C6E1DD6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Rádiologické hodnotenie skúšajúcim lekárom </w:t>
            </w:r>
          </w:p>
          <w:p w14:paraId="477B66C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64236198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13,96 </w:t>
            </w:r>
          </w:p>
          <w:p w14:paraId="3C63FAF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(11,2; 17,7) </w:t>
            </w:r>
          </w:p>
        </w:tc>
        <w:tc>
          <w:tcPr>
            <w:tcW w:w="1731" w:type="dxa"/>
            <w:shd w:val="clear" w:color="auto" w:fill="auto"/>
          </w:tcPr>
          <w:p w14:paraId="62A04533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5,45 </w:t>
            </w:r>
          </w:p>
          <w:p w14:paraId="398BA37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(3,7; 7,4) </w:t>
            </w:r>
          </w:p>
        </w:tc>
        <w:tc>
          <w:tcPr>
            <w:tcW w:w="1717" w:type="dxa"/>
            <w:shd w:val="clear" w:color="auto" w:fill="auto"/>
          </w:tcPr>
          <w:p w14:paraId="3D0A3829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0,39 </w:t>
            </w:r>
          </w:p>
          <w:p w14:paraId="4C195E60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(0,28; 0,54) </w:t>
            </w:r>
          </w:p>
        </w:tc>
        <w:tc>
          <w:tcPr>
            <w:tcW w:w="1743" w:type="dxa"/>
            <w:shd w:val="clear" w:color="auto" w:fill="auto"/>
          </w:tcPr>
          <w:p w14:paraId="04466EC8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1E0817" w:rsidRPr="004D58F8">
              <w:rPr>
                <w:sz w:val="22"/>
                <w:szCs w:val="22"/>
              </w:rPr>
              <w:t xml:space="preserve">0,0001 </w:t>
            </w:r>
          </w:p>
          <w:p w14:paraId="1D14A355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7509F981" w14:textId="77777777" w:rsidTr="004D58F8">
        <w:trPr>
          <w:trHeight w:val="411"/>
        </w:trPr>
        <w:tc>
          <w:tcPr>
            <w:tcW w:w="9179" w:type="dxa"/>
            <w:gridSpan w:val="5"/>
            <w:shd w:val="clear" w:color="auto" w:fill="auto"/>
          </w:tcPr>
          <w:p w14:paraId="6C7F91D1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a</w:t>
            </w:r>
            <w:r w:rsidRPr="004D58F8">
              <w:rPr>
                <w:sz w:val="14"/>
                <w:szCs w:val="14"/>
                <w:vertAlign w:val="superscript"/>
              </w:rPr>
              <w:t xml:space="preserve"> </w:t>
            </w:r>
            <w:r w:rsidR="005652D4" w:rsidRPr="00FF5E71">
              <w:rPr>
                <w:sz w:val="22"/>
                <w:szCs w:val="22"/>
              </w:rPr>
              <w:t>Jednostranná</w:t>
            </w:r>
            <w:r w:rsidR="005652D4">
              <w:rPr>
                <w:sz w:val="22"/>
                <w:szCs w:val="22"/>
              </w:rPr>
              <w:t xml:space="preserve"> hodnota </w:t>
            </w:r>
            <w:r w:rsidRPr="004D58F8">
              <w:rPr>
                <w:sz w:val="22"/>
                <w:szCs w:val="22"/>
              </w:rPr>
              <w:t xml:space="preserve">p podľa stratifikovaného log-rank testu </w:t>
            </w:r>
          </w:p>
        </w:tc>
      </w:tr>
    </w:tbl>
    <w:p w14:paraId="1AB5D05D" w14:textId="77777777" w:rsidR="001E0817" w:rsidRPr="001E0817" w:rsidRDefault="001E0817" w:rsidP="001E0817">
      <w:pPr>
        <w:rPr>
          <w:szCs w:val="22"/>
        </w:rPr>
      </w:pPr>
    </w:p>
    <w:p w14:paraId="4C07350F" w14:textId="0C490258" w:rsidR="001E0817" w:rsidRPr="00DE7496" w:rsidRDefault="001E0817" w:rsidP="00DE7496">
      <w:pPr>
        <w:ind w:left="851" w:hanging="851"/>
        <w:rPr>
          <w:b/>
          <w:bCs/>
          <w:i/>
          <w:szCs w:val="22"/>
        </w:rPr>
      </w:pPr>
      <w:r w:rsidRPr="00DE7496">
        <w:rPr>
          <w:b/>
          <w:bCs/>
          <w:i/>
          <w:szCs w:val="22"/>
        </w:rPr>
        <w:t xml:space="preserve">Obrázok </w:t>
      </w:r>
      <w:r w:rsidR="00985554" w:rsidRPr="00DE7496">
        <w:rPr>
          <w:b/>
          <w:bCs/>
          <w:i/>
          <w:szCs w:val="22"/>
        </w:rPr>
        <w:t>4</w:t>
      </w:r>
      <w:r w:rsidRPr="00DE7496">
        <w:rPr>
          <w:b/>
          <w:bCs/>
          <w:i/>
          <w:szCs w:val="22"/>
        </w:rPr>
        <w:t xml:space="preserve"> RA</w:t>
      </w:r>
      <w:r w:rsidR="005652D4" w:rsidRPr="00DE7496">
        <w:rPr>
          <w:b/>
          <w:bCs/>
          <w:i/>
          <w:szCs w:val="22"/>
        </w:rPr>
        <w:t>DIANT-4 – krivky prežívania bez </w:t>
      </w:r>
      <w:r w:rsidRPr="00DE7496">
        <w:rPr>
          <w:b/>
          <w:bCs/>
          <w:i/>
          <w:szCs w:val="22"/>
        </w:rPr>
        <w:t>progresie podľa Kaplana-Meiera (nezávislé rádiologické hodnotenie)</w:t>
      </w:r>
    </w:p>
    <w:p w14:paraId="05AB8DA6" w14:textId="77777777" w:rsidR="000154E4" w:rsidRPr="005652D4" w:rsidRDefault="000154E4" w:rsidP="001E0817">
      <w:pPr>
        <w:ind w:left="0" w:firstLine="0"/>
        <w:rPr>
          <w:bCs/>
          <w:i/>
          <w:szCs w:val="22"/>
        </w:rPr>
      </w:pPr>
    </w:p>
    <w:p w14:paraId="301024D4" w14:textId="77777777" w:rsidR="002E1428" w:rsidRDefault="000154E4" w:rsidP="00026803">
      <w:pPr>
        <w:ind w:left="0" w:firstLine="0"/>
        <w:rPr>
          <w:bCs/>
          <w:sz w:val="18"/>
          <w:szCs w:val="18"/>
        </w:rPr>
      </w:pPr>
      <w:r>
        <w:rPr>
          <w:noProof/>
        </w:rPr>
        <w:drawing>
          <wp:inline distT="0" distB="0" distL="0" distR="0" wp14:anchorId="2E18D580" wp14:editId="6AC988B1">
            <wp:extent cx="5760085" cy="2767965"/>
            <wp:effectExtent l="0" t="0" r="0" b="0"/>
            <wp:docPr id="168" name="Obrázok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24C65" w14:textId="77777777" w:rsidR="002E1428" w:rsidRDefault="002E1428" w:rsidP="00026803">
      <w:pPr>
        <w:ind w:left="0" w:firstLine="0"/>
        <w:rPr>
          <w:bCs/>
          <w:sz w:val="18"/>
          <w:szCs w:val="18"/>
        </w:rPr>
      </w:pPr>
    </w:p>
    <w:p w14:paraId="7DB322EF" w14:textId="4E41BB5C" w:rsidR="00D10B9F" w:rsidRPr="00D10B9F" w:rsidRDefault="000154E4" w:rsidP="00026803">
      <w:pPr>
        <w:ind w:left="0" w:firstLine="0"/>
        <w:rPr>
          <w:rFonts w:eastAsia="Calibri"/>
          <w:sz w:val="18"/>
          <w:szCs w:val="18"/>
        </w:rPr>
      </w:pPr>
      <w:r>
        <w:rPr>
          <w:bCs/>
          <w:sz w:val="18"/>
          <w:szCs w:val="18"/>
        </w:rPr>
        <w:t>P</w:t>
      </w:r>
      <w:r w:rsidR="00D10B9F" w:rsidRPr="00D10B9F">
        <w:rPr>
          <w:spacing w:val="2"/>
          <w:sz w:val="18"/>
          <w:szCs w:val="18"/>
        </w:rPr>
        <w:t>očet pacientov s pretrvávajúcim rizikom</w:t>
      </w:r>
    </w:p>
    <w:tbl>
      <w:tblPr>
        <w:tblW w:w="9382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613"/>
        <w:gridCol w:w="614"/>
        <w:gridCol w:w="614"/>
        <w:gridCol w:w="614"/>
        <w:gridCol w:w="614"/>
        <w:gridCol w:w="614"/>
        <w:gridCol w:w="613"/>
        <w:gridCol w:w="614"/>
        <w:gridCol w:w="614"/>
        <w:gridCol w:w="614"/>
        <w:gridCol w:w="614"/>
        <w:gridCol w:w="614"/>
        <w:gridCol w:w="614"/>
      </w:tblGrid>
      <w:tr w:rsidR="00D10B9F" w:rsidRPr="00D10B9F" w14:paraId="750EFEE0" w14:textId="77777777" w:rsidTr="00D10B9F">
        <w:trPr>
          <w:trHeight w:hRule="exact" w:val="23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C501871" w14:textId="77777777" w:rsidR="00D10B9F" w:rsidRPr="00D10B9F" w:rsidRDefault="00D10B9F" w:rsidP="00D10B9F">
            <w:pPr>
              <w:widowControl w:val="0"/>
              <w:spacing w:before="43"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Čas (mesiace</w:t>
            </w:r>
            <w:r w:rsidRPr="00D10B9F">
              <w:rPr>
                <w:rFonts w:eastAsia="Calibri"/>
                <w:spacing w:val="1"/>
                <w:sz w:val="18"/>
                <w:szCs w:val="18"/>
              </w:rPr>
              <w:t>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9D5E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CB5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4257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ED1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F50F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088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1935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CAE4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4EF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28A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EB2B0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D4DE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14B3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30</w:t>
            </w:r>
          </w:p>
        </w:tc>
      </w:tr>
      <w:tr w:rsidR="00D10B9F" w:rsidRPr="00D10B9F" w14:paraId="52CAC0EC" w14:textId="77777777" w:rsidTr="00D10B9F">
        <w:trPr>
          <w:trHeight w:hRule="exact" w:val="164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54CE49" w14:textId="77777777" w:rsidR="00D10B9F" w:rsidRPr="00D10B9F" w:rsidRDefault="00D10B9F" w:rsidP="00D10B9F">
            <w:pPr>
              <w:widowControl w:val="0"/>
              <w:spacing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E</w:t>
            </w:r>
            <w:r w:rsidRPr="00D10B9F">
              <w:rPr>
                <w:rFonts w:eastAsia="Calibri"/>
                <w:spacing w:val="-2"/>
                <w:sz w:val="18"/>
                <w:szCs w:val="18"/>
              </w:rPr>
              <w:t>v</w:t>
            </w:r>
            <w:r w:rsidRPr="00D10B9F">
              <w:rPr>
                <w:rFonts w:eastAsia="Calibri"/>
                <w:sz w:val="18"/>
                <w:szCs w:val="18"/>
              </w:rPr>
              <w:t>e</w:t>
            </w:r>
            <w:r w:rsidRPr="00D10B9F">
              <w:rPr>
                <w:rFonts w:eastAsia="Calibri"/>
                <w:spacing w:val="-1"/>
                <w:sz w:val="18"/>
                <w:szCs w:val="18"/>
              </w:rPr>
              <w:t>r</w:t>
            </w:r>
            <w:r w:rsidRPr="00D10B9F">
              <w:rPr>
                <w:rFonts w:eastAsia="Calibri"/>
                <w:sz w:val="18"/>
                <w:szCs w:val="18"/>
              </w:rPr>
              <w:t>o</w:t>
            </w:r>
            <w:r w:rsidRPr="00D10B9F">
              <w:rPr>
                <w:rFonts w:eastAsia="Calibri"/>
                <w:spacing w:val="-3"/>
                <w:sz w:val="18"/>
                <w:szCs w:val="18"/>
              </w:rPr>
              <w:t>li</w:t>
            </w:r>
            <w:r w:rsidRPr="00D10B9F">
              <w:rPr>
                <w:rFonts w:eastAsia="Calibri"/>
                <w:spacing w:val="-5"/>
                <w:sz w:val="18"/>
                <w:szCs w:val="18"/>
              </w:rPr>
              <w:t>m</w:t>
            </w:r>
            <w:r w:rsidRPr="00D10B9F">
              <w:rPr>
                <w:rFonts w:eastAsia="Calibri"/>
                <w:spacing w:val="-2"/>
                <w:sz w:val="18"/>
                <w:szCs w:val="18"/>
              </w:rPr>
              <w:t>u</w:t>
            </w:r>
            <w:r w:rsidRPr="00D10B9F"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AA8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A980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A23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D90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87D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7EF59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D671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6DD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95B3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A26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5A55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2D98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FB56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</w:tr>
      <w:tr w:rsidR="00D10B9F" w:rsidRPr="00D10B9F" w14:paraId="4410875B" w14:textId="77777777" w:rsidTr="00D10B9F">
        <w:trPr>
          <w:trHeight w:hRule="exact" w:val="26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757FDCB" w14:textId="77777777" w:rsidR="00D10B9F" w:rsidRPr="00D10B9F" w:rsidRDefault="00D10B9F" w:rsidP="00D10B9F">
            <w:pPr>
              <w:widowControl w:val="0"/>
              <w:spacing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P</w:t>
            </w:r>
            <w:r w:rsidRPr="00D10B9F">
              <w:rPr>
                <w:rFonts w:eastAsia="Calibri"/>
                <w:spacing w:val="-3"/>
                <w:sz w:val="18"/>
                <w:szCs w:val="18"/>
              </w:rPr>
              <w:t>l</w:t>
            </w:r>
            <w:r w:rsidRPr="00D10B9F">
              <w:rPr>
                <w:rFonts w:eastAsia="Calibri"/>
                <w:sz w:val="18"/>
                <w:szCs w:val="18"/>
              </w:rPr>
              <w:t>acebo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295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CB3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EA4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6655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CD7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B23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29DB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0B64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C9D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97D3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3538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8EB3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1071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</w:tr>
    </w:tbl>
    <w:p w14:paraId="492592C3" w14:textId="77777777" w:rsidR="001E0817" w:rsidRDefault="001E0817" w:rsidP="00D10B9F">
      <w:pPr>
        <w:spacing w:line="360" w:lineRule="auto"/>
        <w:rPr>
          <w:bCs/>
          <w:szCs w:val="22"/>
        </w:rPr>
      </w:pPr>
    </w:p>
    <w:p w14:paraId="417C2179" w14:textId="77777777" w:rsidR="00D10B9F" w:rsidRDefault="00D10B9F" w:rsidP="001E0817">
      <w:pPr>
        <w:rPr>
          <w:szCs w:val="22"/>
        </w:rPr>
      </w:pPr>
      <w:r>
        <w:rPr>
          <w:szCs w:val="22"/>
        </w:rPr>
        <w:t>Podľa podpornej analýzy bol pozitív</w:t>
      </w:r>
      <w:r w:rsidR="005652D4">
        <w:rPr>
          <w:szCs w:val="22"/>
        </w:rPr>
        <w:t>ny účinok liečby zaznamenaný vo </w:t>
      </w:r>
      <w:r>
        <w:rPr>
          <w:szCs w:val="22"/>
        </w:rPr>
        <w:t xml:space="preserve">všetkých podskupinách </w:t>
      </w:r>
    </w:p>
    <w:p w14:paraId="521D089B" w14:textId="67EBA05D" w:rsidR="001E0817" w:rsidRDefault="005652D4" w:rsidP="00D06906">
      <w:pPr>
        <w:ind w:left="0" w:firstLine="0"/>
        <w:rPr>
          <w:bCs/>
          <w:szCs w:val="22"/>
        </w:rPr>
      </w:pPr>
      <w:r>
        <w:rPr>
          <w:szCs w:val="22"/>
        </w:rPr>
        <w:t>pacientov s </w:t>
      </w:r>
      <w:r w:rsidR="00D10B9F">
        <w:rPr>
          <w:szCs w:val="22"/>
        </w:rPr>
        <w:t>výnimkou podskupiny pacientov, kde bolo ileum primárn</w:t>
      </w:r>
      <w:r w:rsidR="003E7101">
        <w:rPr>
          <w:szCs w:val="22"/>
        </w:rPr>
        <w:t>e miesto vzniku</w:t>
      </w:r>
      <w:r w:rsidR="00D10B9F">
        <w:rPr>
          <w:szCs w:val="22"/>
        </w:rPr>
        <w:t xml:space="preserve"> nádoru (ileum: </w:t>
      </w:r>
      <w:r w:rsidR="00D10B9F" w:rsidRPr="00FF5E71">
        <w:rPr>
          <w:szCs w:val="22"/>
        </w:rPr>
        <w:t>HR</w:t>
      </w:r>
      <w:r w:rsidR="00D10B9F">
        <w:rPr>
          <w:szCs w:val="22"/>
        </w:rPr>
        <w:t xml:space="preserve"> </w:t>
      </w:r>
      <w:r w:rsidR="00A1070D">
        <w:rPr>
          <w:szCs w:val="22"/>
        </w:rPr>
        <w:t xml:space="preserve">(pomer rizika) </w:t>
      </w:r>
      <w:r w:rsidR="00D10B9F">
        <w:rPr>
          <w:szCs w:val="22"/>
        </w:rPr>
        <w:t>= 1,22 [95</w:t>
      </w:r>
      <w:r>
        <w:rPr>
          <w:szCs w:val="22"/>
        </w:rPr>
        <w:t> </w:t>
      </w:r>
      <w:r w:rsidR="00D10B9F">
        <w:rPr>
          <w:szCs w:val="22"/>
        </w:rPr>
        <w:t>% IS: 0,56 až 2,65]; iné ako ileum: HR = 0,34 [95</w:t>
      </w:r>
      <w:r>
        <w:rPr>
          <w:szCs w:val="22"/>
        </w:rPr>
        <w:t> </w:t>
      </w:r>
      <w:r w:rsidR="00D10B9F">
        <w:rPr>
          <w:szCs w:val="22"/>
        </w:rPr>
        <w:t>% IS: 0,22 až 0,54]; pľúca: HR = 0,43 [95</w:t>
      </w:r>
      <w:r>
        <w:rPr>
          <w:szCs w:val="22"/>
        </w:rPr>
        <w:t> </w:t>
      </w:r>
      <w:r w:rsidR="00D10B9F">
        <w:rPr>
          <w:szCs w:val="22"/>
        </w:rPr>
        <w:t>% IS</w:t>
      </w:r>
      <w:r>
        <w:rPr>
          <w:szCs w:val="22"/>
        </w:rPr>
        <w:t>: 0,24 až 0,79]) (pozri obrázok </w:t>
      </w:r>
      <w:r w:rsidR="00985554">
        <w:rPr>
          <w:szCs w:val="22"/>
        </w:rPr>
        <w:t>5</w:t>
      </w:r>
      <w:r w:rsidR="00D10B9F">
        <w:rPr>
          <w:szCs w:val="22"/>
        </w:rPr>
        <w:t>).</w:t>
      </w:r>
    </w:p>
    <w:p w14:paraId="3EE0007E" w14:textId="77777777" w:rsidR="001E0817" w:rsidRDefault="00D10B9F" w:rsidP="001E0817">
      <w:pPr>
        <w:rPr>
          <w:bCs/>
          <w:szCs w:val="22"/>
        </w:rPr>
      </w:pPr>
      <w:r>
        <w:rPr>
          <w:bCs/>
          <w:szCs w:val="22"/>
        </w:rPr>
        <w:br w:type="page"/>
      </w:r>
    </w:p>
    <w:p w14:paraId="6B27925E" w14:textId="5FD8771E" w:rsidR="001E0817" w:rsidRPr="00DE7496" w:rsidRDefault="00D06906" w:rsidP="00DE7496">
      <w:pPr>
        <w:ind w:left="851" w:hanging="851"/>
        <w:rPr>
          <w:b/>
          <w:i/>
          <w:szCs w:val="22"/>
        </w:rPr>
      </w:pPr>
      <w:r w:rsidRPr="00DE7496">
        <w:rPr>
          <w:b/>
          <w:bCs/>
          <w:i/>
          <w:szCs w:val="22"/>
        </w:rPr>
        <w:lastRenderedPageBreak/>
        <w:t xml:space="preserve">Obrázok </w:t>
      </w:r>
      <w:r w:rsidR="00985554" w:rsidRPr="00DE7496">
        <w:rPr>
          <w:b/>
          <w:bCs/>
          <w:i/>
          <w:szCs w:val="22"/>
        </w:rPr>
        <w:t>5</w:t>
      </w:r>
      <w:r w:rsidR="002A18FE">
        <w:rPr>
          <w:b/>
          <w:bCs/>
          <w:i/>
          <w:szCs w:val="22"/>
        </w:rPr>
        <w:t xml:space="preserve"> </w:t>
      </w:r>
      <w:r w:rsidR="00D10B9F" w:rsidRPr="00DE7496">
        <w:rPr>
          <w:b/>
          <w:bCs/>
          <w:i/>
          <w:szCs w:val="22"/>
        </w:rPr>
        <w:t>RADI</w:t>
      </w:r>
      <w:r w:rsidR="005652D4" w:rsidRPr="00DE7496">
        <w:rPr>
          <w:b/>
          <w:bCs/>
          <w:i/>
          <w:szCs w:val="22"/>
        </w:rPr>
        <w:t>ANT-4 – Výsledky prežívania bez </w:t>
      </w:r>
      <w:r w:rsidR="00D10B9F" w:rsidRPr="00DE7496">
        <w:rPr>
          <w:b/>
          <w:bCs/>
          <w:i/>
          <w:szCs w:val="22"/>
        </w:rPr>
        <w:t>progresie podľa vopred špecifikovaných podskupín pacientov (nezávislé rádiologické hodnotenie)</w:t>
      </w:r>
    </w:p>
    <w:p w14:paraId="6827041A" w14:textId="49CB4773" w:rsidR="001E0817" w:rsidRDefault="001E0817" w:rsidP="001E0817">
      <w:pPr>
        <w:rPr>
          <w:szCs w:val="22"/>
        </w:rPr>
      </w:pPr>
    </w:p>
    <w:p w14:paraId="3BD53F46" w14:textId="19E4B793" w:rsidR="003379EC" w:rsidRPr="003379EC" w:rsidRDefault="005C5B3B" w:rsidP="003379EC">
      <w:pPr>
        <w:pStyle w:val="Default"/>
        <w:rPr>
          <w:sz w:val="22"/>
          <w:szCs w:val="22"/>
        </w:rPr>
      </w:pPr>
      <w:r>
        <w:rPr>
          <w:rFonts w:eastAsia="Calibri"/>
          <w:noProof/>
          <w:szCs w:val="22"/>
        </w:rPr>
        <w:drawing>
          <wp:inline distT="0" distB="0" distL="0" distR="0" wp14:anchorId="4D6A7727" wp14:editId="47F7F152">
            <wp:extent cx="5759450" cy="3816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9EC" w:rsidRPr="003379EC">
        <w:rPr>
          <w:sz w:val="22"/>
          <w:szCs w:val="22"/>
        </w:rPr>
        <w:t>*Iné ako ileum: žalúdok, hrubé črevo, konečník, prívesok slepého čreva, slepé črevo, dvanástnik, stredná</w:t>
      </w:r>
      <w:r w:rsidR="005652D4">
        <w:rPr>
          <w:sz w:val="22"/>
          <w:szCs w:val="22"/>
        </w:rPr>
        <w:t xml:space="preserve"> časť tenkého čreva, karcinóm s </w:t>
      </w:r>
      <w:r w:rsidR="003379EC" w:rsidRPr="003379EC">
        <w:rPr>
          <w:sz w:val="22"/>
          <w:szCs w:val="22"/>
        </w:rPr>
        <w:t>neznámym miestom primárneho vzniku a in</w:t>
      </w:r>
      <w:r w:rsidR="00D06906">
        <w:rPr>
          <w:sz w:val="22"/>
          <w:szCs w:val="22"/>
        </w:rPr>
        <w:t>ého gastrointestinálneho pôvodu</w:t>
      </w:r>
    </w:p>
    <w:p w14:paraId="7EE9347F" w14:textId="449AD304" w:rsidR="003379EC" w:rsidRPr="003379EC" w:rsidRDefault="00026803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ULN</w:t>
      </w:r>
      <w:r w:rsidR="00D06906">
        <w:rPr>
          <w:sz w:val="22"/>
          <w:szCs w:val="22"/>
        </w:rPr>
        <w:t>: horná hranica normálu</w:t>
      </w:r>
    </w:p>
    <w:p w14:paraId="538FE4B2" w14:textId="77777777" w:rsidR="003379EC" w:rsidRPr="003379EC" w:rsidRDefault="003379EC" w:rsidP="003379EC">
      <w:pPr>
        <w:pStyle w:val="Default"/>
        <w:rPr>
          <w:sz w:val="22"/>
          <w:szCs w:val="22"/>
        </w:rPr>
      </w:pPr>
      <w:r w:rsidRPr="003379EC">
        <w:rPr>
          <w:sz w:val="22"/>
          <w:szCs w:val="22"/>
        </w:rPr>
        <w:t>CgA: chromogr</w:t>
      </w:r>
      <w:r w:rsidR="005652D4">
        <w:rPr>
          <w:sz w:val="22"/>
          <w:szCs w:val="22"/>
        </w:rPr>
        <w:t>anín </w:t>
      </w:r>
      <w:r w:rsidR="00D06906">
        <w:rPr>
          <w:sz w:val="22"/>
          <w:szCs w:val="22"/>
        </w:rPr>
        <w:t>A</w:t>
      </w:r>
    </w:p>
    <w:p w14:paraId="5245648B" w14:textId="77777777" w:rsidR="003379EC" w:rsidRPr="003379EC" w:rsidRDefault="003379EC" w:rsidP="003379EC">
      <w:pPr>
        <w:pStyle w:val="Default"/>
        <w:rPr>
          <w:sz w:val="22"/>
          <w:szCs w:val="22"/>
        </w:rPr>
      </w:pPr>
      <w:r w:rsidRPr="003379EC">
        <w:rPr>
          <w:sz w:val="22"/>
          <w:szCs w:val="22"/>
        </w:rPr>
        <w:t>NS</w:t>
      </w:r>
      <w:r w:rsidR="00D06906">
        <w:rPr>
          <w:sz w:val="22"/>
          <w:szCs w:val="22"/>
        </w:rPr>
        <w:t>E: neurónová špecifická enoláza</w:t>
      </w:r>
    </w:p>
    <w:p w14:paraId="4B2F0735" w14:textId="77777777" w:rsidR="00D10B9F" w:rsidRDefault="003379EC" w:rsidP="003379EC">
      <w:pPr>
        <w:rPr>
          <w:szCs w:val="22"/>
        </w:rPr>
      </w:pPr>
      <w:r w:rsidRPr="003379EC">
        <w:rPr>
          <w:szCs w:val="22"/>
        </w:rPr>
        <w:t>Pomer rizika (95</w:t>
      </w:r>
      <w:r w:rsidR="005652D4">
        <w:rPr>
          <w:szCs w:val="22"/>
        </w:rPr>
        <w:t> </w:t>
      </w:r>
      <w:r w:rsidRPr="003379EC">
        <w:rPr>
          <w:szCs w:val="22"/>
        </w:rPr>
        <w:t>% IS) podľa stratifikovaného Coxovho modelu.</w:t>
      </w:r>
    </w:p>
    <w:p w14:paraId="66344681" w14:textId="77777777" w:rsidR="003379EC" w:rsidRDefault="003379EC" w:rsidP="003379EC">
      <w:pPr>
        <w:rPr>
          <w:szCs w:val="22"/>
        </w:rPr>
      </w:pPr>
    </w:p>
    <w:p w14:paraId="7E81C349" w14:textId="5A8942B5" w:rsidR="003379EC" w:rsidRDefault="003379EC" w:rsidP="00D06906">
      <w:pPr>
        <w:ind w:left="0" w:firstLine="0"/>
        <w:rPr>
          <w:szCs w:val="22"/>
        </w:rPr>
      </w:pPr>
      <w:r>
        <w:rPr>
          <w:szCs w:val="22"/>
        </w:rPr>
        <w:t xml:space="preserve">Výsledky vopred plánovanej predbežnej </w:t>
      </w:r>
      <w:r w:rsidR="005652D4">
        <w:rPr>
          <w:szCs w:val="22"/>
        </w:rPr>
        <w:t>analýzy celkového prežívania po </w:t>
      </w:r>
      <w:r w:rsidR="00DB68AF">
        <w:rPr>
          <w:szCs w:val="22"/>
        </w:rPr>
        <w:t>výskyte 101 </w:t>
      </w:r>
      <w:r>
        <w:rPr>
          <w:szCs w:val="22"/>
        </w:rPr>
        <w:t>úmrtí (z</w:t>
      </w:r>
      <w:r w:rsidR="005652D4">
        <w:rPr>
          <w:szCs w:val="22"/>
        </w:rPr>
        <w:t> celkového počtu 191 úmrtí potrebného pre </w:t>
      </w:r>
      <w:r w:rsidR="00DB68AF">
        <w:rPr>
          <w:szCs w:val="22"/>
        </w:rPr>
        <w:t>záverečnú analýzu) a 33 </w:t>
      </w:r>
      <w:r>
        <w:rPr>
          <w:szCs w:val="22"/>
        </w:rPr>
        <w:t xml:space="preserve">mesačné obdobie následného </w:t>
      </w:r>
      <w:r w:rsidR="005652D4">
        <w:rPr>
          <w:szCs w:val="22"/>
        </w:rPr>
        <w:t xml:space="preserve">sledovania boli v prospech </w:t>
      </w:r>
      <w:r w:rsidR="005F561F">
        <w:rPr>
          <w:szCs w:val="22"/>
        </w:rPr>
        <w:t>ramena</w:t>
      </w:r>
      <w:r w:rsidR="005652D4">
        <w:rPr>
          <w:szCs w:val="22"/>
        </w:rPr>
        <w:t xml:space="preserve"> s </w:t>
      </w:r>
      <w:r>
        <w:rPr>
          <w:szCs w:val="22"/>
        </w:rPr>
        <w:t>everolim</w:t>
      </w:r>
      <w:r w:rsidR="00BE4758">
        <w:rPr>
          <w:szCs w:val="22"/>
        </w:rPr>
        <w:t>om</w:t>
      </w:r>
      <w:r>
        <w:rPr>
          <w:szCs w:val="22"/>
        </w:rPr>
        <w:t>;</w:t>
      </w:r>
      <w:r w:rsidR="005652D4">
        <w:rPr>
          <w:szCs w:val="22"/>
        </w:rPr>
        <w:t xml:space="preserve"> štatisticky významný rozdiel v </w:t>
      </w:r>
      <w:r>
        <w:rPr>
          <w:szCs w:val="22"/>
        </w:rPr>
        <w:t>celkovom prežívaní sa však nezaznamenal (HR= 0,73 [95</w:t>
      </w:r>
      <w:r w:rsidR="005652D4">
        <w:rPr>
          <w:szCs w:val="22"/>
        </w:rPr>
        <w:t> % IS: 0,48 až 1,11; p = </w:t>
      </w:r>
      <w:r>
        <w:rPr>
          <w:szCs w:val="22"/>
        </w:rPr>
        <w:t>0,071]).</w:t>
      </w:r>
    </w:p>
    <w:p w14:paraId="655AB8EE" w14:textId="77777777" w:rsidR="00BE4758" w:rsidRDefault="00BE4758" w:rsidP="00D06906">
      <w:pPr>
        <w:ind w:left="0" w:firstLine="0"/>
        <w:rPr>
          <w:szCs w:val="22"/>
        </w:rPr>
      </w:pPr>
    </w:p>
    <w:p w14:paraId="647561EB" w14:textId="5B7B7CF6" w:rsidR="00BE4758" w:rsidRDefault="00FB19A9" w:rsidP="00D06906">
      <w:pPr>
        <w:ind w:left="0" w:firstLine="0"/>
        <w:rPr>
          <w:szCs w:val="22"/>
        </w:rPr>
      </w:pPr>
      <w:r>
        <w:rPr>
          <w:color w:val="000000"/>
          <w:szCs w:val="22"/>
          <w:lang w:val="en-US" w:eastAsia="en-US"/>
        </w:rPr>
        <w:t>Medzi oboma ramenami sa nepozoroval rozdiel v čase do konečného zhoršenia WHO PS (</w:t>
      </w:r>
      <w:r w:rsidRPr="00785076">
        <w:rPr>
          <w:color w:val="000000"/>
          <w:szCs w:val="22"/>
          <w:lang w:val="en-US" w:eastAsia="en-US"/>
        </w:rPr>
        <w:t>≥</w:t>
      </w:r>
      <w:r>
        <w:rPr>
          <w:color w:val="000000"/>
          <w:szCs w:val="22"/>
          <w:lang w:val="en-US" w:eastAsia="en-US"/>
        </w:rPr>
        <w:t xml:space="preserve"> 1bod) a v čase do konečného zhoršenia kvality života (celkové skóre FACT-G</w:t>
      </w:r>
      <w:r w:rsidRPr="00785076">
        <w:rPr>
          <w:color w:val="000000"/>
          <w:szCs w:val="22"/>
          <w:lang w:val="en-US" w:eastAsia="en-US"/>
        </w:rPr>
        <w:t xml:space="preserve"> ≥</w:t>
      </w:r>
      <w:r>
        <w:rPr>
          <w:color w:val="000000"/>
          <w:szCs w:val="22"/>
          <w:lang w:val="en-US" w:eastAsia="en-US"/>
        </w:rPr>
        <w:t>7 bodov)</w:t>
      </w:r>
      <w:r w:rsidR="00BE4758" w:rsidRPr="00785076">
        <w:rPr>
          <w:color w:val="000000"/>
          <w:szCs w:val="22"/>
          <w:lang w:val="en-US" w:eastAsia="en-US"/>
        </w:rPr>
        <w:t>.</w:t>
      </w:r>
    </w:p>
    <w:p w14:paraId="532DD475" w14:textId="77777777" w:rsidR="003379EC" w:rsidRDefault="003379EC" w:rsidP="003379EC">
      <w:pPr>
        <w:rPr>
          <w:szCs w:val="22"/>
        </w:rPr>
      </w:pPr>
    </w:p>
    <w:p w14:paraId="203C7FF8" w14:textId="77777777" w:rsidR="003379EC" w:rsidRDefault="003379EC" w:rsidP="003379EC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Pokročilý karcinóm </w:t>
      </w:r>
      <w:r w:rsidRPr="005E680B">
        <w:rPr>
          <w:i/>
          <w:iCs/>
          <w:sz w:val="22"/>
          <w:szCs w:val="22"/>
        </w:rPr>
        <w:t>obličkových buniek</w:t>
      </w:r>
    </w:p>
    <w:p w14:paraId="4C062369" w14:textId="71ACFBB0" w:rsidR="003379EC" w:rsidRDefault="003379EC" w:rsidP="003379EC">
      <w:pPr>
        <w:ind w:left="0" w:firstLine="0"/>
        <w:rPr>
          <w:szCs w:val="22"/>
        </w:rPr>
      </w:pPr>
      <w:r>
        <w:rPr>
          <w:szCs w:val="22"/>
        </w:rPr>
        <w:t>RECORD-1 (štúdia CRAD001C2240), medzinárodné, multicentrické, randomizované, dvojito z</w:t>
      </w:r>
      <w:r w:rsidR="005652D4">
        <w:rPr>
          <w:szCs w:val="22"/>
        </w:rPr>
        <w:t>aslepené klinické skúšanie fázy </w:t>
      </w:r>
      <w:r>
        <w:rPr>
          <w:szCs w:val="22"/>
        </w:rPr>
        <w:t>I</w:t>
      </w:r>
      <w:r w:rsidR="005652D4">
        <w:rPr>
          <w:szCs w:val="22"/>
        </w:rPr>
        <w:t>II, porovnávajúce everolimus 10 </w:t>
      </w:r>
      <w:r>
        <w:rPr>
          <w:szCs w:val="22"/>
        </w:rPr>
        <w:t xml:space="preserve">mg/deň a placebo, oboje </w:t>
      </w:r>
      <w:r w:rsidR="00BE4758">
        <w:rPr>
          <w:szCs w:val="22"/>
        </w:rPr>
        <w:t>podávané v kombinácii</w:t>
      </w:r>
      <w:r>
        <w:rPr>
          <w:szCs w:val="22"/>
        </w:rPr>
        <w:t xml:space="preserve"> s</w:t>
      </w:r>
      <w:r w:rsidR="005652D4">
        <w:rPr>
          <w:szCs w:val="22"/>
        </w:rPr>
        <w:t> </w:t>
      </w:r>
      <w:r>
        <w:rPr>
          <w:szCs w:val="22"/>
        </w:rPr>
        <w:t>najlepšou podpornou</w:t>
      </w:r>
      <w:r w:rsidR="005652D4">
        <w:rPr>
          <w:szCs w:val="22"/>
        </w:rPr>
        <w:t xml:space="preserve"> starostlivosťou, sa vykonalo u pacientov s </w:t>
      </w:r>
      <w:r w:rsidR="00B41B71">
        <w:rPr>
          <w:szCs w:val="22"/>
        </w:rPr>
        <w:t>metastatickým</w:t>
      </w:r>
      <w:r>
        <w:rPr>
          <w:szCs w:val="22"/>
        </w:rPr>
        <w:t xml:space="preserve"> karcinómom obličkových buniek, ktorých ochore</w:t>
      </w:r>
      <w:r w:rsidR="005652D4">
        <w:rPr>
          <w:szCs w:val="22"/>
        </w:rPr>
        <w:t>nie progredovalo počas alebo po </w:t>
      </w:r>
      <w:r>
        <w:rPr>
          <w:szCs w:val="22"/>
        </w:rPr>
        <w:t>liečbe VEGFR-TKI (inhibíto</w:t>
      </w:r>
      <w:r w:rsidR="005652D4">
        <w:rPr>
          <w:szCs w:val="22"/>
        </w:rPr>
        <w:t>rmi tyrozínkinázy receptora pre </w:t>
      </w:r>
      <w:r>
        <w:rPr>
          <w:szCs w:val="22"/>
        </w:rPr>
        <w:t>rastový faktor cievneho endotelu) (sunitinibom, sorafenibom, alebo sunitinibom aj sorafenib</w:t>
      </w:r>
      <w:r w:rsidR="00B41B71">
        <w:rPr>
          <w:szCs w:val="22"/>
        </w:rPr>
        <w:t>om</w:t>
      </w:r>
      <w:r>
        <w:rPr>
          <w:szCs w:val="22"/>
        </w:rPr>
        <w:t>). Povolená bola tiež predchádzajúca liečba bevacizumabom a interferónom-α. Pacienti boli stratifikovaní podľa prognostického skóre Memorial Sloan-Kettering C</w:t>
      </w:r>
      <w:r w:rsidR="005652D4">
        <w:rPr>
          <w:szCs w:val="22"/>
        </w:rPr>
        <w:t>ancer Center (MSKCC) (skupiny s </w:t>
      </w:r>
      <w:r>
        <w:rPr>
          <w:szCs w:val="22"/>
        </w:rPr>
        <w:t xml:space="preserve">priaznivým </w:t>
      </w:r>
      <w:r>
        <w:rPr>
          <w:i/>
          <w:iCs/>
          <w:szCs w:val="22"/>
        </w:rPr>
        <w:t xml:space="preserve">vs. </w:t>
      </w:r>
      <w:r>
        <w:rPr>
          <w:szCs w:val="22"/>
        </w:rPr>
        <w:t xml:space="preserve">stredným </w:t>
      </w:r>
      <w:r>
        <w:rPr>
          <w:i/>
          <w:iCs/>
          <w:szCs w:val="22"/>
        </w:rPr>
        <w:t xml:space="preserve">vs. </w:t>
      </w:r>
      <w:r>
        <w:rPr>
          <w:szCs w:val="22"/>
        </w:rPr>
        <w:t xml:space="preserve">vysokým rizikom) a predchádzajúcej protinádorovej liečby (1 </w:t>
      </w:r>
      <w:r>
        <w:rPr>
          <w:i/>
          <w:iCs/>
          <w:szCs w:val="22"/>
        </w:rPr>
        <w:t xml:space="preserve">vs. </w:t>
      </w:r>
      <w:r>
        <w:rPr>
          <w:szCs w:val="22"/>
        </w:rPr>
        <w:t>2 predchádzajúce liečby VEGFR-TKI).</w:t>
      </w:r>
    </w:p>
    <w:p w14:paraId="22895694" w14:textId="77777777" w:rsidR="003379EC" w:rsidRPr="003379EC" w:rsidRDefault="003379EC" w:rsidP="003379EC">
      <w:pPr>
        <w:ind w:left="0" w:firstLine="0"/>
        <w:rPr>
          <w:szCs w:val="22"/>
        </w:rPr>
      </w:pPr>
    </w:p>
    <w:p w14:paraId="09CB20AB" w14:textId="06286A88" w:rsidR="003379EC" w:rsidRDefault="005652D4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Prežívanie bez </w:t>
      </w:r>
      <w:r w:rsidR="003379EC">
        <w:rPr>
          <w:sz w:val="22"/>
          <w:szCs w:val="22"/>
        </w:rPr>
        <w:t xml:space="preserve">progresie </w:t>
      </w:r>
      <w:r w:rsidR="00B41B71" w:rsidRPr="005E680B">
        <w:rPr>
          <w:sz w:val="22"/>
          <w:szCs w:val="22"/>
        </w:rPr>
        <w:t>z</w:t>
      </w:r>
      <w:r w:rsidR="003379EC" w:rsidRPr="005E680B">
        <w:rPr>
          <w:sz w:val="22"/>
          <w:szCs w:val="22"/>
        </w:rPr>
        <w:t>dokumentované</w:t>
      </w:r>
      <w:r w:rsidR="003379EC">
        <w:rPr>
          <w:sz w:val="22"/>
          <w:szCs w:val="22"/>
        </w:rPr>
        <w:t xml:space="preserve"> pomocou RECIST (Response Evaluation Criteria in Solid Tumours) a stanovené zaslepeným, nezávislým centrálnym hodnotením, bolo primárn</w:t>
      </w:r>
      <w:r>
        <w:rPr>
          <w:sz w:val="22"/>
          <w:szCs w:val="22"/>
        </w:rPr>
        <w:t>ym koncovým ukazovateľom. Medzi </w:t>
      </w:r>
      <w:r w:rsidR="003379EC">
        <w:rPr>
          <w:sz w:val="22"/>
          <w:szCs w:val="22"/>
        </w:rPr>
        <w:t xml:space="preserve">sekundárne koncové ukazovatele patrila bezpečnosť, </w:t>
      </w:r>
      <w:r w:rsidR="00B41B71">
        <w:rPr>
          <w:sz w:val="22"/>
          <w:szCs w:val="22"/>
        </w:rPr>
        <w:t xml:space="preserve">miera </w:t>
      </w:r>
      <w:r w:rsidR="003379EC">
        <w:rPr>
          <w:sz w:val="22"/>
          <w:szCs w:val="22"/>
        </w:rPr>
        <w:t>objektívn</w:t>
      </w:r>
      <w:r w:rsidR="00B41B71">
        <w:rPr>
          <w:sz w:val="22"/>
          <w:szCs w:val="22"/>
        </w:rPr>
        <w:t>ej</w:t>
      </w:r>
      <w:r w:rsidR="003379EC">
        <w:rPr>
          <w:sz w:val="22"/>
          <w:szCs w:val="22"/>
        </w:rPr>
        <w:t xml:space="preserve"> </w:t>
      </w:r>
      <w:r w:rsidR="003379EC">
        <w:rPr>
          <w:sz w:val="22"/>
          <w:szCs w:val="22"/>
        </w:rPr>
        <w:lastRenderedPageBreak/>
        <w:t>odpovede nádoru, celkové p</w:t>
      </w:r>
      <w:r>
        <w:rPr>
          <w:sz w:val="22"/>
          <w:szCs w:val="22"/>
        </w:rPr>
        <w:t>režívanie, symptómy súvisiace s </w:t>
      </w:r>
      <w:r w:rsidR="003379EC">
        <w:rPr>
          <w:sz w:val="22"/>
          <w:szCs w:val="22"/>
        </w:rPr>
        <w:t>ochorením a kvalita života. Po</w:t>
      </w:r>
      <w:r>
        <w:rPr>
          <w:sz w:val="22"/>
          <w:szCs w:val="22"/>
        </w:rPr>
        <w:t> </w:t>
      </w:r>
      <w:r w:rsidR="003379EC">
        <w:rPr>
          <w:sz w:val="22"/>
          <w:szCs w:val="22"/>
        </w:rPr>
        <w:t>zdokumentovanej rádiologickej progresi</w:t>
      </w:r>
      <w:r w:rsidR="00B41B71">
        <w:rPr>
          <w:sz w:val="22"/>
          <w:szCs w:val="22"/>
        </w:rPr>
        <w:t>e</w:t>
      </w:r>
      <w:r w:rsidR="003379EC">
        <w:rPr>
          <w:sz w:val="22"/>
          <w:szCs w:val="22"/>
        </w:rPr>
        <w:t xml:space="preserve"> mohol skúšajúci lekár </w:t>
      </w:r>
      <w:r w:rsidR="00B41B71">
        <w:rPr>
          <w:sz w:val="22"/>
          <w:szCs w:val="22"/>
        </w:rPr>
        <w:t>vykonať</w:t>
      </w:r>
      <w:r w:rsidR="003379EC">
        <w:rPr>
          <w:sz w:val="22"/>
          <w:szCs w:val="22"/>
        </w:rPr>
        <w:t xml:space="preserve"> odslep</w:t>
      </w:r>
      <w:r w:rsidR="00B41B71">
        <w:rPr>
          <w:sz w:val="22"/>
          <w:szCs w:val="22"/>
        </w:rPr>
        <w:t>enie liečby</w:t>
      </w:r>
      <w:r w:rsidR="003379EC">
        <w:rPr>
          <w:sz w:val="22"/>
          <w:szCs w:val="22"/>
        </w:rPr>
        <w:t xml:space="preserve">: pacienti </w:t>
      </w:r>
      <w:r>
        <w:rPr>
          <w:sz w:val="22"/>
          <w:szCs w:val="22"/>
        </w:rPr>
        <w:t>randomizovaní do </w:t>
      </w:r>
      <w:r w:rsidR="003379EC">
        <w:rPr>
          <w:sz w:val="22"/>
          <w:szCs w:val="22"/>
        </w:rPr>
        <w:t>skupiny placeba mohli potom dostáva</w:t>
      </w:r>
      <w:r>
        <w:rPr>
          <w:sz w:val="22"/>
          <w:szCs w:val="22"/>
        </w:rPr>
        <w:t xml:space="preserve">ť </w:t>
      </w:r>
      <w:r w:rsidRPr="005E680B">
        <w:rPr>
          <w:sz w:val="22"/>
          <w:szCs w:val="22"/>
        </w:rPr>
        <w:t>otvorenú</w:t>
      </w:r>
      <w:r>
        <w:rPr>
          <w:sz w:val="22"/>
          <w:szCs w:val="22"/>
        </w:rPr>
        <w:t xml:space="preserve"> liečbu everolimom 10 mg/deň. Nezávislý výbor pre </w:t>
      </w:r>
      <w:r w:rsidR="003379EC">
        <w:rPr>
          <w:sz w:val="22"/>
          <w:szCs w:val="22"/>
        </w:rPr>
        <w:t>monitorovanie údajov (Independent Data Monitoring Committee) od</w:t>
      </w:r>
      <w:r>
        <w:rPr>
          <w:sz w:val="22"/>
          <w:szCs w:val="22"/>
        </w:rPr>
        <w:t>poručil ukončiť toto skúšanie v </w:t>
      </w:r>
      <w:r w:rsidR="003379EC">
        <w:rPr>
          <w:sz w:val="22"/>
          <w:szCs w:val="22"/>
        </w:rPr>
        <w:t>čase druhej predbežnej analýzy, keďže sa dosiah</w:t>
      </w:r>
      <w:r w:rsidR="00D06906">
        <w:rPr>
          <w:sz w:val="22"/>
          <w:szCs w:val="22"/>
        </w:rPr>
        <w:t>ol primárny koncový ukazovateľ.</w:t>
      </w:r>
    </w:p>
    <w:p w14:paraId="50B0FCBD" w14:textId="77777777" w:rsidR="003379EC" w:rsidRDefault="003379EC" w:rsidP="003379EC">
      <w:pPr>
        <w:pStyle w:val="Default"/>
        <w:rPr>
          <w:sz w:val="22"/>
          <w:szCs w:val="22"/>
        </w:rPr>
      </w:pPr>
    </w:p>
    <w:p w14:paraId="30DCB67A" w14:textId="77777777" w:rsidR="003379EC" w:rsidRDefault="003379EC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5652D4">
        <w:rPr>
          <w:sz w:val="22"/>
          <w:szCs w:val="22"/>
        </w:rPr>
        <w:t>randomizovaných 4</w:t>
      </w:r>
      <w:r w:rsidR="00DB68AF">
        <w:rPr>
          <w:sz w:val="22"/>
          <w:szCs w:val="22"/>
        </w:rPr>
        <w:t>16 </w:t>
      </w:r>
      <w:r w:rsidR="005652D4">
        <w:rPr>
          <w:sz w:val="22"/>
          <w:szCs w:val="22"/>
        </w:rPr>
        <w:t>pacientov v pomere 2:1 na </w:t>
      </w:r>
      <w:r>
        <w:rPr>
          <w:sz w:val="22"/>
          <w:szCs w:val="22"/>
        </w:rPr>
        <w:t>podávanie evero</w:t>
      </w:r>
      <w:r w:rsidR="005652D4">
        <w:rPr>
          <w:sz w:val="22"/>
          <w:szCs w:val="22"/>
        </w:rPr>
        <w:t>limu (n = 277) alebo placeba (n = </w:t>
      </w:r>
      <w:r>
        <w:rPr>
          <w:sz w:val="22"/>
          <w:szCs w:val="22"/>
        </w:rPr>
        <w:t xml:space="preserve">139). Demograficky bolo klinické skúšanie </w:t>
      </w:r>
      <w:r w:rsidRPr="005E680B">
        <w:rPr>
          <w:sz w:val="22"/>
          <w:szCs w:val="22"/>
        </w:rPr>
        <w:t>dobre</w:t>
      </w:r>
      <w:r>
        <w:rPr>
          <w:sz w:val="22"/>
          <w:szCs w:val="22"/>
        </w:rPr>
        <w:t xml:space="preserve"> vyvážené (zlúčený medi</w:t>
      </w:r>
      <w:r w:rsidR="005652D4">
        <w:rPr>
          <w:sz w:val="22"/>
          <w:szCs w:val="22"/>
        </w:rPr>
        <w:t>án veku [61 rokov; rozmedzie 27 – 85], 78 % mužov, 88 </w:t>
      </w:r>
      <w:r>
        <w:rPr>
          <w:sz w:val="22"/>
          <w:szCs w:val="22"/>
        </w:rPr>
        <w:t>% belochov, počet podaní predchádz</w:t>
      </w:r>
      <w:r w:rsidR="005652D4">
        <w:rPr>
          <w:sz w:val="22"/>
          <w:szCs w:val="22"/>
        </w:rPr>
        <w:t>ajúcej liečby VEGFR-TKI [1 – 74 %, 2 – 26 %]). Medián trvania liečby v </w:t>
      </w:r>
      <w:r>
        <w:rPr>
          <w:sz w:val="22"/>
          <w:szCs w:val="22"/>
        </w:rPr>
        <w:t>zaslepenej štúdii bol 1</w:t>
      </w:r>
      <w:r w:rsidR="005652D4">
        <w:rPr>
          <w:sz w:val="22"/>
          <w:szCs w:val="22"/>
        </w:rPr>
        <w:t>41 dní (rozmedzie 19-451 dní) u </w:t>
      </w:r>
      <w:r>
        <w:rPr>
          <w:sz w:val="22"/>
          <w:szCs w:val="22"/>
        </w:rPr>
        <w:t>pacientov, ktorí dostávali eve</w:t>
      </w:r>
      <w:r w:rsidR="005652D4">
        <w:rPr>
          <w:sz w:val="22"/>
          <w:szCs w:val="22"/>
        </w:rPr>
        <w:t>rolimus, a 60 dní (rozmedzie 21 – 295 dní) u </w:t>
      </w:r>
      <w:r>
        <w:rPr>
          <w:sz w:val="22"/>
          <w:szCs w:val="22"/>
        </w:rPr>
        <w:t>paci</w:t>
      </w:r>
      <w:r w:rsidR="00D06906">
        <w:rPr>
          <w:sz w:val="22"/>
          <w:szCs w:val="22"/>
        </w:rPr>
        <w:t>entov, ktorí dostávali placebo.</w:t>
      </w:r>
    </w:p>
    <w:p w14:paraId="1E513BAB" w14:textId="77777777" w:rsidR="003379EC" w:rsidRDefault="003379EC" w:rsidP="003379EC">
      <w:pPr>
        <w:pStyle w:val="Default"/>
        <w:rPr>
          <w:sz w:val="22"/>
          <w:szCs w:val="22"/>
        </w:rPr>
      </w:pPr>
    </w:p>
    <w:p w14:paraId="2D6ABE54" w14:textId="0E5E96BD" w:rsidR="00D10B9F" w:rsidRDefault="003379EC" w:rsidP="003379EC">
      <w:pPr>
        <w:ind w:left="0" w:firstLine="0"/>
        <w:rPr>
          <w:szCs w:val="22"/>
        </w:rPr>
      </w:pPr>
      <w:r>
        <w:rPr>
          <w:szCs w:val="22"/>
        </w:rPr>
        <w:t>Everoli</w:t>
      </w:r>
      <w:r w:rsidR="005652D4">
        <w:rPr>
          <w:szCs w:val="22"/>
        </w:rPr>
        <w:t>mus bol lepší než placebo z </w:t>
      </w:r>
      <w:r>
        <w:rPr>
          <w:szCs w:val="22"/>
        </w:rPr>
        <w:t>hľadiska primárneho koncového ukazovateľa prežívania bez</w:t>
      </w:r>
      <w:r w:rsidR="005652D4">
        <w:rPr>
          <w:szCs w:val="22"/>
        </w:rPr>
        <w:t> progresie, so </w:t>
      </w:r>
      <w:r>
        <w:rPr>
          <w:szCs w:val="22"/>
        </w:rPr>
        <w:t>štatisticky významným poklesom rizika progresie alebo úmrtia o</w:t>
      </w:r>
      <w:r w:rsidR="005652D4">
        <w:rPr>
          <w:szCs w:val="22"/>
        </w:rPr>
        <w:t> </w:t>
      </w:r>
      <w:r>
        <w:rPr>
          <w:szCs w:val="22"/>
        </w:rPr>
        <w:t>67</w:t>
      </w:r>
      <w:r w:rsidR="005652D4">
        <w:rPr>
          <w:szCs w:val="22"/>
        </w:rPr>
        <w:t> % (pozri Tabuľku </w:t>
      </w:r>
      <w:r w:rsidR="005652D4" w:rsidRPr="00DE7496">
        <w:rPr>
          <w:b/>
          <w:szCs w:val="22"/>
        </w:rPr>
        <w:t>7</w:t>
      </w:r>
      <w:r w:rsidR="005652D4">
        <w:rPr>
          <w:szCs w:val="22"/>
        </w:rPr>
        <w:t xml:space="preserve"> a Obrázok </w:t>
      </w:r>
      <w:r w:rsidR="00985554">
        <w:rPr>
          <w:szCs w:val="22"/>
        </w:rPr>
        <w:t>6</w:t>
      </w:r>
      <w:r>
        <w:rPr>
          <w:szCs w:val="22"/>
        </w:rPr>
        <w:t>).</w:t>
      </w:r>
    </w:p>
    <w:p w14:paraId="7314609F" w14:textId="77777777" w:rsidR="00D10B9F" w:rsidRDefault="00D10B9F" w:rsidP="007F7FBB">
      <w:pPr>
        <w:rPr>
          <w:szCs w:val="22"/>
        </w:rPr>
      </w:pPr>
    </w:p>
    <w:p w14:paraId="6FCBB83B" w14:textId="77777777" w:rsidR="003379EC" w:rsidRPr="00DE7496" w:rsidRDefault="003379EC" w:rsidP="007F7FBB">
      <w:pPr>
        <w:rPr>
          <w:b/>
          <w:szCs w:val="22"/>
        </w:rPr>
      </w:pPr>
      <w:r w:rsidRPr="00DE7496">
        <w:rPr>
          <w:b/>
          <w:bCs/>
          <w:i/>
          <w:szCs w:val="22"/>
        </w:rPr>
        <w:t>Tabuľka 7 RECORD-1 – výsledky prežívania bez progresie</w:t>
      </w:r>
    </w:p>
    <w:tbl>
      <w:tblPr>
        <w:tblW w:w="940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720"/>
        <w:gridCol w:w="1640"/>
        <w:gridCol w:w="1642"/>
        <w:gridCol w:w="1759"/>
        <w:gridCol w:w="1133"/>
      </w:tblGrid>
      <w:tr w:rsidR="003379EC" w:rsidRPr="005504F6" w14:paraId="1C8CB3F6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B507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zCs w:val="22"/>
              </w:rPr>
              <w:t>op</w:t>
            </w:r>
            <w:r w:rsidRPr="005504F6">
              <w:rPr>
                <w:b/>
                <w:bCs/>
                <w:spacing w:val="-1"/>
                <w:szCs w:val="22"/>
              </w:rPr>
              <w:t>u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>
              <w:rPr>
                <w:b/>
                <w:bCs/>
                <w:szCs w:val="22"/>
              </w:rPr>
              <w:t>ácia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C8A7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72ED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b/>
                <w:bCs/>
                <w:szCs w:val="22"/>
              </w:rPr>
            </w:pPr>
            <w:r w:rsidRPr="005504F6">
              <w:rPr>
                <w:b/>
                <w:bCs/>
                <w:spacing w:val="-1"/>
                <w:szCs w:val="22"/>
              </w:rPr>
              <w:t>Everolimus</w:t>
            </w:r>
          </w:p>
          <w:p w14:paraId="6583DA24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  <w:r>
              <w:rPr>
                <w:b/>
                <w:bCs/>
                <w:szCs w:val="22"/>
              </w:rPr>
              <w:t> </w:t>
            </w:r>
            <w:r w:rsidRPr="005504F6">
              <w:rPr>
                <w:b/>
                <w:bCs/>
                <w:spacing w:val="-1"/>
                <w:szCs w:val="22"/>
              </w:rPr>
              <w:t>=</w:t>
            </w:r>
            <w:r>
              <w:rPr>
                <w:b/>
                <w:bCs/>
                <w:spacing w:val="-1"/>
                <w:szCs w:val="22"/>
              </w:rPr>
              <w:t> </w:t>
            </w:r>
            <w:r w:rsidRPr="005504F6">
              <w:rPr>
                <w:b/>
                <w:bCs/>
                <w:szCs w:val="22"/>
              </w:rPr>
              <w:t>277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470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b/>
                <w:bCs/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 w:rsidRPr="005504F6">
              <w:rPr>
                <w:b/>
                <w:bCs/>
                <w:szCs w:val="22"/>
              </w:rPr>
              <w:t>ac</w:t>
            </w:r>
            <w:r w:rsidRPr="005504F6">
              <w:rPr>
                <w:b/>
                <w:bCs/>
                <w:spacing w:val="1"/>
                <w:szCs w:val="22"/>
              </w:rPr>
              <w:t>e</w:t>
            </w:r>
            <w:r w:rsidRPr="005504F6">
              <w:rPr>
                <w:b/>
                <w:bCs/>
                <w:szCs w:val="22"/>
              </w:rPr>
              <w:t xml:space="preserve">bo </w:t>
            </w:r>
          </w:p>
          <w:p w14:paraId="5DCF3BBE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  <w:r>
              <w:rPr>
                <w:b/>
                <w:bCs/>
                <w:szCs w:val="22"/>
              </w:rPr>
              <w:t> </w:t>
            </w:r>
            <w:r w:rsidRPr="005504F6">
              <w:rPr>
                <w:b/>
                <w:bCs/>
                <w:spacing w:val="-1"/>
                <w:szCs w:val="22"/>
              </w:rPr>
              <w:t>=</w:t>
            </w:r>
            <w:r>
              <w:rPr>
                <w:b/>
                <w:bCs/>
                <w:spacing w:val="-1"/>
                <w:szCs w:val="22"/>
              </w:rPr>
              <w:t> </w:t>
            </w:r>
            <w:r w:rsidRPr="005504F6">
              <w:rPr>
                <w:b/>
                <w:bCs/>
                <w:szCs w:val="22"/>
              </w:rPr>
              <w:t>139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48F" w14:textId="77777777" w:rsidR="003379EC" w:rsidRDefault="003379EC" w:rsidP="007F7FBB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Pomer rizika (95</w:t>
            </w:r>
            <w:r w:rsidR="007F7FB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  <w:p w14:paraId="4708884D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09C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p</w:t>
            </w:r>
            <w:r>
              <w:rPr>
                <w:b/>
                <w:bCs/>
                <w:szCs w:val="22"/>
              </w:rPr>
              <w:noBreakHyphen/>
              <w:t>hodnota</w:t>
            </w:r>
          </w:p>
        </w:tc>
      </w:tr>
      <w:tr w:rsidR="003379EC" w:rsidRPr="005504F6" w14:paraId="1F0CE54D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C30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C3A4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B21" w14:textId="77777777" w:rsidR="003379EC" w:rsidRDefault="007F7FBB" w:rsidP="007F7FBB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3379EC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3379EC">
              <w:rPr>
                <w:b/>
                <w:bCs/>
                <w:sz w:val="22"/>
                <w:szCs w:val="22"/>
              </w:rPr>
              <w:t xml:space="preserve">% IS) </w:t>
            </w:r>
          </w:p>
          <w:p w14:paraId="23831E95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971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08C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</w:tr>
      <w:tr w:rsidR="003379EC" w:rsidRPr="005504F6" w14:paraId="4E8C938B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7AA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zCs w:val="22"/>
              </w:rPr>
              <w:t>r</w:t>
            </w:r>
            <w:r w:rsidRPr="005504F6">
              <w:rPr>
                <w:b/>
                <w:bCs/>
                <w:spacing w:val="1"/>
                <w:szCs w:val="22"/>
              </w:rPr>
              <w:t>im</w:t>
            </w:r>
            <w:r>
              <w:rPr>
                <w:b/>
                <w:bCs/>
                <w:spacing w:val="1"/>
                <w:szCs w:val="22"/>
              </w:rPr>
              <w:t>á</w:t>
            </w:r>
            <w:r w:rsidRPr="005504F6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na</w:t>
            </w:r>
            <w:r w:rsidRPr="005504F6">
              <w:rPr>
                <w:b/>
                <w:bCs/>
                <w:szCs w:val="22"/>
              </w:rPr>
              <w:t xml:space="preserve"> ana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>
              <w:rPr>
                <w:b/>
                <w:bCs/>
                <w:spacing w:val="1"/>
                <w:szCs w:val="22"/>
              </w:rPr>
              <w:t>ýza</w:t>
            </w:r>
          </w:p>
        </w:tc>
      </w:tr>
      <w:tr w:rsidR="003379EC" w:rsidRPr="005504F6" w14:paraId="592B53B4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0CB9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Všetci (zaslepené nezávislé centrálne hodnotenie) </w:t>
            </w:r>
          </w:p>
          <w:p w14:paraId="16C5C4CA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39F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E5F6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4,9</w:t>
            </w:r>
          </w:p>
          <w:p w14:paraId="41020CC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BE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1,9</w:t>
            </w:r>
          </w:p>
          <w:p w14:paraId="478ABA0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797A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0,33</w:t>
            </w:r>
          </w:p>
          <w:p w14:paraId="3657113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25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BC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</w:t>
            </w:r>
            <w:r w:rsidRPr="005504F6">
              <w:rPr>
                <w:spacing w:val="1"/>
                <w:szCs w:val="22"/>
              </w:rPr>
              <w:t>1</w:t>
            </w:r>
            <w:r w:rsidRPr="005504F6">
              <w:rPr>
                <w:szCs w:val="22"/>
                <w:vertAlign w:val="superscript"/>
              </w:rPr>
              <w:t>a</w:t>
            </w:r>
          </w:p>
        </w:tc>
      </w:tr>
      <w:tr w:rsidR="003379EC" w:rsidRPr="005504F6" w14:paraId="4DBD4005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F761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>
              <w:rPr>
                <w:b/>
                <w:bCs/>
                <w:szCs w:val="22"/>
              </w:rPr>
              <w:t>Podporné analýzy/analýzy citlivosti</w:t>
            </w:r>
          </w:p>
        </w:tc>
      </w:tr>
      <w:tr w:rsidR="003379EC" w:rsidRPr="005504F6" w14:paraId="24F3C54D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DC5A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Všetci (lokálne hodnotenie skúšajúcim lekárom) </w:t>
            </w:r>
          </w:p>
          <w:p w14:paraId="760B4F0B" w14:textId="5E06F90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DFF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30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</w:t>
            </w:r>
          </w:p>
          <w:p w14:paraId="36A395CA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877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</w:p>
          <w:p w14:paraId="3806CE27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8E9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32</w:t>
            </w:r>
          </w:p>
          <w:p w14:paraId="6DAE7B0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25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36F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</w:t>
            </w:r>
            <w:r w:rsidRPr="005504F6">
              <w:rPr>
                <w:spacing w:val="1"/>
                <w:szCs w:val="22"/>
              </w:rPr>
              <w:t>1</w:t>
            </w:r>
            <w:r w:rsidRPr="005504F6">
              <w:rPr>
                <w:szCs w:val="22"/>
                <w:vertAlign w:val="superscript"/>
              </w:rPr>
              <w:t>a</w:t>
            </w:r>
          </w:p>
        </w:tc>
      </w:tr>
      <w:tr w:rsidR="003379EC" w:rsidRPr="005504F6" w14:paraId="2622FCFA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275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Prognostické skóre MSKCC (zaslepené nezávislé centrálne hodnotenie) </w:t>
            </w:r>
          </w:p>
          <w:p w14:paraId="05D060EC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</w:tr>
      <w:tr w:rsidR="003379EC" w:rsidRPr="005504F6" w14:paraId="1AC970F8" w14:textId="77777777" w:rsidTr="001F0020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C1FD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Priaznivé riziko </w:t>
            </w:r>
          </w:p>
          <w:p w14:paraId="39D1BF1B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517D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AB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6443F44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7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EC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</w:p>
          <w:p w14:paraId="0CDAADC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5A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31</w:t>
            </w:r>
          </w:p>
          <w:p w14:paraId="560492A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19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1F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0001</w:t>
            </w:r>
          </w:p>
        </w:tc>
      </w:tr>
      <w:tr w:rsidR="003379EC" w:rsidRPr="005504F6" w14:paraId="3AE72608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DD4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Stredné riziko </w:t>
            </w:r>
          </w:p>
          <w:p w14:paraId="3556AFA6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0C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235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0B7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</w:t>
            </w:r>
          </w:p>
          <w:p w14:paraId="08832FF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3D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7D3F688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A8D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32</w:t>
            </w:r>
          </w:p>
          <w:p w14:paraId="15EF45B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22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44)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F1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0001</w:t>
            </w:r>
          </w:p>
        </w:tc>
      </w:tr>
      <w:tr w:rsidR="003379EC" w:rsidRPr="005504F6" w14:paraId="74D01D1C" w14:textId="77777777" w:rsidTr="001F0020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C3BE" w14:textId="77777777" w:rsidR="005138CB" w:rsidRDefault="005138CB" w:rsidP="005138CB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Vysoké riziko </w:t>
            </w:r>
          </w:p>
          <w:p w14:paraId="42242AC3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536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61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8B1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</w:t>
            </w:r>
          </w:p>
          <w:p w14:paraId="6651775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8B0D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1F4F61AB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ED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44</w:t>
            </w:r>
          </w:p>
          <w:p w14:paraId="397436AF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22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A13B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007</w:t>
            </w:r>
          </w:p>
        </w:tc>
      </w:tr>
      <w:tr w:rsidR="003379EC" w:rsidRPr="005504F6" w14:paraId="7EAFD6F2" w14:textId="77777777" w:rsidTr="001F0020">
        <w:trPr>
          <w:trHeight w:hRule="exact" w:val="343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2B7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 w:rsidRPr="005504F6">
              <w:rPr>
                <w:szCs w:val="22"/>
                <w:vertAlign w:val="superscript"/>
              </w:rPr>
              <w:t xml:space="preserve">a </w:t>
            </w:r>
            <w:r w:rsidRPr="005504F6">
              <w:rPr>
                <w:szCs w:val="22"/>
              </w:rPr>
              <w:t>Stratifi</w:t>
            </w:r>
            <w:r>
              <w:rPr>
                <w:szCs w:val="22"/>
              </w:rPr>
              <w:t>kovaný</w:t>
            </w:r>
            <w:r w:rsidRPr="005504F6">
              <w:rPr>
                <w:szCs w:val="22"/>
              </w:rPr>
              <w:t xml:space="preserve"> log-rank test</w:t>
            </w:r>
          </w:p>
        </w:tc>
      </w:tr>
    </w:tbl>
    <w:p w14:paraId="3AD5F47B" w14:textId="77777777" w:rsidR="003379EC" w:rsidRPr="005504F6" w:rsidRDefault="003379EC" w:rsidP="003379EC">
      <w:pPr>
        <w:ind w:right="-1"/>
        <w:rPr>
          <w:szCs w:val="22"/>
        </w:rPr>
      </w:pPr>
    </w:p>
    <w:p w14:paraId="3D10E22F" w14:textId="77777777" w:rsidR="00D10B9F" w:rsidRDefault="00D10B9F" w:rsidP="001E0817">
      <w:pPr>
        <w:rPr>
          <w:szCs w:val="22"/>
        </w:rPr>
      </w:pPr>
    </w:p>
    <w:p w14:paraId="6AC21B2C" w14:textId="172CA0E6" w:rsidR="005138CB" w:rsidRPr="00DE7496" w:rsidRDefault="005138CB" w:rsidP="00DE7496">
      <w:pPr>
        <w:keepNext/>
        <w:ind w:left="1134" w:hanging="1134"/>
        <w:rPr>
          <w:b/>
          <w:i/>
          <w:szCs w:val="22"/>
        </w:rPr>
      </w:pPr>
      <w:r>
        <w:rPr>
          <w:szCs w:val="22"/>
        </w:rPr>
        <w:br w:type="page"/>
      </w:r>
      <w:r w:rsidRPr="00DE7496">
        <w:rPr>
          <w:b/>
          <w:bCs/>
          <w:i/>
          <w:spacing w:val="2"/>
          <w:szCs w:val="22"/>
        </w:rPr>
        <w:lastRenderedPageBreak/>
        <w:t>Obrázok </w:t>
      </w:r>
      <w:r w:rsidR="00985554" w:rsidRPr="00DE7496">
        <w:rPr>
          <w:b/>
          <w:bCs/>
          <w:i/>
          <w:szCs w:val="22"/>
        </w:rPr>
        <w:t>6</w:t>
      </w:r>
      <w:r w:rsidR="002A18FE">
        <w:rPr>
          <w:b/>
          <w:bCs/>
          <w:i/>
          <w:szCs w:val="22"/>
        </w:rPr>
        <w:t xml:space="preserve"> </w:t>
      </w:r>
      <w:r w:rsidRPr="00DE7496">
        <w:rPr>
          <w:b/>
          <w:bCs/>
          <w:i/>
          <w:spacing w:val="-1"/>
          <w:szCs w:val="22"/>
        </w:rPr>
        <w:t>REC</w:t>
      </w:r>
      <w:r w:rsidRPr="00DE7496">
        <w:rPr>
          <w:b/>
          <w:bCs/>
          <w:i/>
          <w:spacing w:val="1"/>
          <w:szCs w:val="22"/>
        </w:rPr>
        <w:t>O</w:t>
      </w:r>
      <w:r w:rsidRPr="00DE7496">
        <w:rPr>
          <w:b/>
          <w:bCs/>
          <w:i/>
          <w:spacing w:val="-1"/>
          <w:szCs w:val="22"/>
        </w:rPr>
        <w:t>R</w:t>
      </w:r>
      <w:r w:rsidRPr="00DE7496">
        <w:rPr>
          <w:b/>
          <w:bCs/>
          <w:i/>
          <w:szCs w:val="22"/>
        </w:rPr>
        <w:t>D</w:t>
      </w:r>
      <w:r w:rsidRPr="00DE7496">
        <w:rPr>
          <w:b/>
          <w:bCs/>
          <w:i/>
          <w:spacing w:val="1"/>
          <w:szCs w:val="22"/>
        </w:rPr>
        <w:t>-</w:t>
      </w:r>
      <w:r w:rsidRPr="00DE7496">
        <w:rPr>
          <w:b/>
          <w:bCs/>
          <w:i/>
          <w:szCs w:val="22"/>
        </w:rPr>
        <w:t>1 </w:t>
      </w:r>
      <w:r w:rsidRPr="00DE7496">
        <w:rPr>
          <w:b/>
          <w:bCs/>
          <w:i/>
          <w:szCs w:val="22"/>
        </w:rPr>
        <w:noBreakHyphen/>
        <w:t> </w:t>
      </w:r>
      <w:r w:rsidRPr="00DE7496">
        <w:rPr>
          <w:rFonts w:eastAsia="Calibri"/>
          <w:b/>
          <w:bCs/>
          <w:i/>
          <w:spacing w:val="1"/>
          <w:szCs w:val="22"/>
        </w:rPr>
        <w:t>K</w:t>
      </w:r>
      <w:r w:rsidRPr="00DE7496">
        <w:rPr>
          <w:rFonts w:eastAsia="Calibri"/>
          <w:b/>
          <w:bCs/>
          <w:i/>
          <w:szCs w:val="22"/>
        </w:rPr>
        <w:t>aplanove</w:t>
      </w:r>
      <w:r w:rsidRPr="00DE7496">
        <w:rPr>
          <w:rFonts w:eastAsia="Calibri"/>
          <w:b/>
          <w:bCs/>
          <w:i/>
          <w:szCs w:val="22"/>
        </w:rPr>
        <w:noBreakHyphen/>
        <w:t>M</w:t>
      </w:r>
      <w:r w:rsidRPr="00DE7496">
        <w:rPr>
          <w:rFonts w:eastAsia="Calibri"/>
          <w:b/>
          <w:bCs/>
          <w:i/>
          <w:spacing w:val="1"/>
          <w:szCs w:val="22"/>
        </w:rPr>
        <w:t>ei</w:t>
      </w:r>
      <w:r w:rsidRPr="00DE7496">
        <w:rPr>
          <w:rFonts w:eastAsia="Calibri"/>
          <w:b/>
          <w:bCs/>
          <w:i/>
          <w:szCs w:val="22"/>
        </w:rPr>
        <w:t>erove</w:t>
      </w:r>
      <w:r w:rsidRPr="00DE7496">
        <w:rPr>
          <w:rFonts w:eastAsia="Calibri"/>
          <w:b/>
          <w:bCs/>
          <w:i/>
          <w:spacing w:val="1"/>
          <w:szCs w:val="22"/>
        </w:rPr>
        <w:t xml:space="preserve"> </w:t>
      </w:r>
      <w:r w:rsidRPr="00DE7496">
        <w:rPr>
          <w:b/>
          <w:bCs/>
          <w:i/>
          <w:spacing w:val="1"/>
          <w:szCs w:val="22"/>
        </w:rPr>
        <w:t>krivky prežívania bez príznakov progresie ochorenia</w:t>
      </w:r>
      <w:r w:rsidRPr="00DE7496">
        <w:rPr>
          <w:rFonts w:eastAsia="Calibri"/>
          <w:b/>
          <w:bCs/>
          <w:i/>
          <w:szCs w:val="22"/>
        </w:rPr>
        <w:t xml:space="preserve"> </w:t>
      </w:r>
      <w:r w:rsidRPr="00DE7496">
        <w:rPr>
          <w:rFonts w:eastAsia="Calibri"/>
          <w:b/>
          <w:bCs/>
          <w:i/>
          <w:spacing w:val="1"/>
          <w:szCs w:val="22"/>
        </w:rPr>
        <w:t>(nezávislé centrálne hodnotenie</w:t>
      </w:r>
      <w:r w:rsidRPr="00DE7496">
        <w:rPr>
          <w:b/>
          <w:bCs/>
          <w:i/>
          <w:szCs w:val="22"/>
        </w:rPr>
        <w:t>)</w:t>
      </w:r>
    </w:p>
    <w:p w14:paraId="33994E3D" w14:textId="02F7ED69" w:rsidR="005138CB" w:rsidRPr="005504F6" w:rsidRDefault="00DE31F9" w:rsidP="007F7FBB">
      <w:pPr>
        <w:keepNext/>
        <w:ind w:right="-1"/>
        <w:jc w:val="right"/>
        <w:rPr>
          <w:rFonts w:eastAsia="Arial"/>
          <w:spacing w:val="-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290CB7" wp14:editId="2FB9B8EB">
                <wp:simplePos x="0" y="0"/>
                <wp:positionH relativeFrom="column">
                  <wp:posOffset>3263900</wp:posOffset>
                </wp:positionH>
                <wp:positionV relativeFrom="paragraph">
                  <wp:posOffset>668020</wp:posOffset>
                </wp:positionV>
                <wp:extent cx="1934845" cy="1026160"/>
                <wp:effectExtent l="1905" t="4445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56B1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Pomer rizika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  <w:p w14:paraId="7870ADF2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[0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;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43]</w:t>
                            </w:r>
                          </w:p>
                          <w:p w14:paraId="15CE219D" w14:textId="77777777" w:rsidR="00FA06C4" w:rsidRPr="006B6E8A" w:rsidRDefault="00FA06C4" w:rsidP="005138C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EC51E3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Mediány PFS podľa 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Kaplan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noBreakHyphen/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Meiera</w:t>
                            </w:r>
                          </w:p>
                          <w:p w14:paraId="480E40BD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Everolimus: 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mesiacov</w:t>
                            </w:r>
                          </w:p>
                          <w:p w14:paraId="65D6733E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Placebo: 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mesiacov</w:t>
                            </w:r>
                          </w:p>
                          <w:p w14:paraId="6F0FF088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8B7788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p-hodnota l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og-rank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testu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&lt;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290CB7" id="Text Box 1554" o:spid="_x0000_s1034" type="#_x0000_t202" style="position:absolute;left:0;text-align:left;margin-left:257pt;margin-top:52.6pt;width:152.35pt;height:80.8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j6ug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" filled="f" stroked="f">
                <v:textbox style="mso-fit-shape-to-text:t">
                  <w:txbxContent>
                    <w:p w14:paraId="7F9E56B1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Pomer rizika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33</w:t>
                      </w:r>
                    </w:p>
                    <w:p w14:paraId="7870ADF2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95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%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[0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;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43]</w:t>
                      </w:r>
                    </w:p>
                    <w:p w14:paraId="15CE219D" w14:textId="77777777" w:rsidR="00FA06C4" w:rsidRPr="006B6E8A" w:rsidRDefault="00FA06C4" w:rsidP="005138C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EC51E3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Mediány PFS podľa </w:t>
                      </w: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Kaplan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noBreakHyphen/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Meiera</w:t>
                      </w:r>
                      <w:proofErr w:type="spellEnd"/>
                    </w:p>
                    <w:p w14:paraId="480E40BD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 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90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mesiacov</w:t>
                      </w:r>
                    </w:p>
                    <w:p w14:paraId="65D6733E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Placebo: 1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87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mesiacov</w:t>
                      </w:r>
                    </w:p>
                    <w:p w14:paraId="6F0FF088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18B7788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p-hodnota l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og-</w:t>
                      </w: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rank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testu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&lt;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D9A339" wp14:editId="2CFB9C40">
                <wp:simplePos x="0" y="0"/>
                <wp:positionH relativeFrom="column">
                  <wp:posOffset>3854450</wp:posOffset>
                </wp:positionH>
                <wp:positionV relativeFrom="paragraph">
                  <wp:posOffset>175260</wp:posOffset>
                </wp:positionV>
                <wp:extent cx="1109345" cy="208280"/>
                <wp:effectExtent l="1905" t="0" r="3175" b="1270"/>
                <wp:wrapNone/>
                <wp:docPr id="7" name="Text Box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8FA48" w14:textId="7EFEB348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D9A339" id="Text Box 1555" o:spid="_x0000_s1035" type="#_x0000_t202" style="position:absolute;left:0;text-align:left;margin-left:303.5pt;margin-top:13.8pt;width:87.35pt;height:16.4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wx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" filled="f" stroked="f">
                <v:textbox style="mso-fit-shape-to-text:t">
                  <w:txbxContent>
                    <w:p w14:paraId="2E98FA48" w14:textId="7EFEB348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Cenzúrovanie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773E8" wp14:editId="1665339A">
                <wp:simplePos x="0" y="0"/>
                <wp:positionH relativeFrom="column">
                  <wp:posOffset>3854450</wp:posOffset>
                </wp:positionH>
                <wp:positionV relativeFrom="paragraph">
                  <wp:posOffset>292100</wp:posOffset>
                </wp:positionV>
                <wp:extent cx="1578610" cy="207645"/>
                <wp:effectExtent l="1905" t="0" r="635" b="3175"/>
                <wp:wrapNone/>
                <wp:docPr id="6" name="Text Box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93E96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Everolimus (n/N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155/277)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773E8" id="Text Box 1556" o:spid="_x0000_s1036" type="#_x0000_t202" style="position:absolute;left:0;text-align:left;margin-left:303.5pt;margin-top:23pt;width:124.3pt;height:1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jGug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" filled="f" stroked="f">
                <v:textbox>
                  <w:txbxContent>
                    <w:p w14:paraId="7D093E96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(n/N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155/277)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noProof/>
          <w:spacing w:val="-1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067FF2" wp14:editId="15CCB4D7">
                <wp:simplePos x="0" y="0"/>
                <wp:positionH relativeFrom="column">
                  <wp:posOffset>3854450</wp:posOffset>
                </wp:positionH>
                <wp:positionV relativeFrom="paragraph">
                  <wp:posOffset>429895</wp:posOffset>
                </wp:positionV>
                <wp:extent cx="1503680" cy="203200"/>
                <wp:effectExtent l="1905" t="3175" r="0" b="3175"/>
                <wp:wrapNone/>
                <wp:docPr id="5" name="Text Box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8AE1D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Placebo (n/N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111/139)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67FF2" id="Text Box 1557" o:spid="_x0000_s1037" type="#_x0000_t202" style="position:absolute;left:0;text-align:left;margin-left:303.5pt;margin-top:33.85pt;width:118.4pt;height:1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7M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" filled="f" stroked="f">
                <v:textbox>
                  <w:txbxContent>
                    <w:p w14:paraId="7D98AE1D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Placebo (n/N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111/139)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rFonts w:eastAsia="Arial"/>
          <w:noProof/>
          <w:spacing w:val="-1"/>
          <w:szCs w:val="22"/>
        </w:rPr>
        <w:drawing>
          <wp:inline distT="0" distB="0" distL="0" distR="0" wp14:anchorId="6B6739B5" wp14:editId="721DC9F0">
            <wp:extent cx="5725160" cy="3665855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B392D" w14:textId="77777777" w:rsidR="003379EC" w:rsidRDefault="003379EC" w:rsidP="005138CB">
      <w:pPr>
        <w:ind w:left="0" w:firstLine="0"/>
        <w:rPr>
          <w:szCs w:val="22"/>
        </w:rPr>
      </w:pPr>
    </w:p>
    <w:p w14:paraId="15AD43F9" w14:textId="77777777" w:rsidR="005138CB" w:rsidRDefault="005138CB" w:rsidP="005138CB">
      <w:pPr>
        <w:ind w:right="-1"/>
        <w:rPr>
          <w:sz w:val="18"/>
          <w:szCs w:val="18"/>
        </w:rPr>
      </w:pPr>
      <w:r>
        <w:rPr>
          <w:sz w:val="18"/>
          <w:szCs w:val="18"/>
        </w:rPr>
        <w:t>*</w:t>
      </w:r>
      <w:r w:rsidRPr="005138CB">
        <w:rPr>
          <w:sz w:val="18"/>
          <w:szCs w:val="18"/>
        </w:rPr>
        <w:t>Pravdepodobnosť (%) (Probability (%)); Čas (mesiace) (Time (months))</w:t>
      </w:r>
    </w:p>
    <w:p w14:paraId="33156C04" w14:textId="77777777" w:rsidR="005138CB" w:rsidRPr="005138CB" w:rsidRDefault="005138CB" w:rsidP="005138CB">
      <w:pPr>
        <w:ind w:right="-1"/>
        <w:rPr>
          <w:sz w:val="18"/>
          <w:szCs w:val="18"/>
        </w:rPr>
      </w:pPr>
    </w:p>
    <w:p w14:paraId="57DDB702" w14:textId="77777777" w:rsidR="005138CB" w:rsidRPr="005138CB" w:rsidRDefault="005138CB" w:rsidP="005138CB">
      <w:pPr>
        <w:ind w:right="-1"/>
        <w:rPr>
          <w:rFonts w:eastAsia="Arial"/>
          <w:spacing w:val="-1"/>
          <w:sz w:val="18"/>
          <w:szCs w:val="18"/>
        </w:rPr>
      </w:pPr>
      <w:r w:rsidRPr="005138CB">
        <w:rPr>
          <w:spacing w:val="2"/>
          <w:sz w:val="18"/>
          <w:szCs w:val="18"/>
        </w:rPr>
        <w:t>Počet pacientov s pretrvávajúcim rizikom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0"/>
        <w:gridCol w:w="165"/>
        <w:gridCol w:w="838"/>
        <w:gridCol w:w="1003"/>
        <w:gridCol w:w="1003"/>
        <w:gridCol w:w="1003"/>
        <w:gridCol w:w="1003"/>
        <w:gridCol w:w="1003"/>
        <w:gridCol w:w="1003"/>
        <w:gridCol w:w="1000"/>
      </w:tblGrid>
      <w:tr w:rsidR="005138CB" w:rsidRPr="005138CB" w14:paraId="4B25313B" w14:textId="77777777" w:rsidTr="003B1562">
        <w:tc>
          <w:tcPr>
            <w:tcW w:w="669" w:type="pct"/>
            <w:gridSpan w:val="2"/>
            <w:shd w:val="clear" w:color="auto" w:fill="auto"/>
          </w:tcPr>
          <w:p w14:paraId="6FC2B498" w14:textId="77777777" w:rsidR="005138CB" w:rsidRPr="005138CB" w:rsidRDefault="005138CB" w:rsidP="001F0020">
            <w:pPr>
              <w:tabs>
                <w:tab w:val="left" w:pos="1276"/>
              </w:tabs>
              <w:ind w:left="0" w:right="-136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Čas (mesiace)</w:t>
            </w:r>
          </w:p>
        </w:tc>
        <w:tc>
          <w:tcPr>
            <w:tcW w:w="462" w:type="pct"/>
            <w:shd w:val="clear" w:color="auto" w:fill="auto"/>
          </w:tcPr>
          <w:p w14:paraId="1B972880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14:paraId="10F984F4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14:paraId="4F6E3EEF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553" w:type="pct"/>
            <w:shd w:val="clear" w:color="auto" w:fill="auto"/>
          </w:tcPr>
          <w:p w14:paraId="53713CCD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</w:tcPr>
          <w:p w14:paraId="3A36667B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auto"/>
          </w:tcPr>
          <w:p w14:paraId="540646A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auto"/>
          </w:tcPr>
          <w:p w14:paraId="0FD0BFC6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12</w:t>
            </w:r>
          </w:p>
        </w:tc>
        <w:tc>
          <w:tcPr>
            <w:tcW w:w="552" w:type="pct"/>
            <w:shd w:val="clear" w:color="auto" w:fill="auto"/>
          </w:tcPr>
          <w:p w14:paraId="5659B94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14</w:t>
            </w:r>
          </w:p>
        </w:tc>
      </w:tr>
      <w:tr w:rsidR="005138CB" w:rsidRPr="005138CB" w14:paraId="78933D98" w14:textId="77777777" w:rsidTr="003B1562">
        <w:tc>
          <w:tcPr>
            <w:tcW w:w="578" w:type="pct"/>
            <w:shd w:val="clear" w:color="auto" w:fill="auto"/>
          </w:tcPr>
          <w:p w14:paraId="6CDE81DE" w14:textId="77777777" w:rsidR="005138CB" w:rsidRPr="005138CB" w:rsidRDefault="005138CB" w:rsidP="001F0020">
            <w:pPr>
              <w:ind w:left="0" w:right="-1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Everolimus</w:t>
            </w:r>
          </w:p>
        </w:tc>
        <w:tc>
          <w:tcPr>
            <w:tcW w:w="553" w:type="pct"/>
            <w:gridSpan w:val="2"/>
            <w:shd w:val="clear" w:color="auto" w:fill="auto"/>
          </w:tcPr>
          <w:p w14:paraId="2F290EE5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277</w:t>
            </w:r>
          </w:p>
        </w:tc>
        <w:tc>
          <w:tcPr>
            <w:tcW w:w="553" w:type="pct"/>
            <w:shd w:val="clear" w:color="auto" w:fill="auto"/>
          </w:tcPr>
          <w:p w14:paraId="552D3AB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192</w:t>
            </w:r>
          </w:p>
        </w:tc>
        <w:tc>
          <w:tcPr>
            <w:tcW w:w="553" w:type="pct"/>
            <w:shd w:val="clear" w:color="auto" w:fill="auto"/>
          </w:tcPr>
          <w:p w14:paraId="43332C71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115</w:t>
            </w:r>
          </w:p>
        </w:tc>
        <w:tc>
          <w:tcPr>
            <w:tcW w:w="553" w:type="pct"/>
            <w:shd w:val="clear" w:color="auto" w:fill="auto"/>
          </w:tcPr>
          <w:p w14:paraId="1D3CC558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51</w:t>
            </w:r>
          </w:p>
        </w:tc>
        <w:tc>
          <w:tcPr>
            <w:tcW w:w="553" w:type="pct"/>
            <w:shd w:val="clear" w:color="auto" w:fill="auto"/>
          </w:tcPr>
          <w:p w14:paraId="3F6B6FB9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553" w:type="pct"/>
            <w:shd w:val="clear" w:color="auto" w:fill="auto"/>
          </w:tcPr>
          <w:p w14:paraId="17A9F33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auto"/>
          </w:tcPr>
          <w:p w14:paraId="6DE51544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086DD50E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5138CB" w:rsidRPr="005138CB" w14:paraId="47AD1237" w14:textId="77777777" w:rsidTr="003B1562">
        <w:tc>
          <w:tcPr>
            <w:tcW w:w="578" w:type="pct"/>
            <w:shd w:val="clear" w:color="auto" w:fill="auto"/>
          </w:tcPr>
          <w:p w14:paraId="43AEE34F" w14:textId="77777777" w:rsidR="005138CB" w:rsidRPr="005138CB" w:rsidRDefault="005138CB" w:rsidP="001F0020">
            <w:pPr>
              <w:ind w:left="0" w:right="-1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Placebo</w:t>
            </w:r>
          </w:p>
        </w:tc>
        <w:tc>
          <w:tcPr>
            <w:tcW w:w="553" w:type="pct"/>
            <w:gridSpan w:val="2"/>
            <w:shd w:val="clear" w:color="auto" w:fill="auto"/>
          </w:tcPr>
          <w:p w14:paraId="2753278A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139</w:t>
            </w:r>
          </w:p>
        </w:tc>
        <w:tc>
          <w:tcPr>
            <w:tcW w:w="553" w:type="pct"/>
            <w:shd w:val="clear" w:color="auto" w:fill="auto"/>
          </w:tcPr>
          <w:p w14:paraId="3C20AACE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47</w:t>
            </w:r>
          </w:p>
        </w:tc>
        <w:tc>
          <w:tcPr>
            <w:tcW w:w="553" w:type="pct"/>
            <w:shd w:val="clear" w:color="auto" w:fill="auto"/>
          </w:tcPr>
          <w:p w14:paraId="4C457A3A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15</w:t>
            </w:r>
          </w:p>
        </w:tc>
        <w:tc>
          <w:tcPr>
            <w:tcW w:w="553" w:type="pct"/>
            <w:shd w:val="clear" w:color="auto" w:fill="auto"/>
          </w:tcPr>
          <w:p w14:paraId="206ED14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</w:tcPr>
          <w:p w14:paraId="56601C5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14:paraId="402CE7C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14:paraId="15C404BA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1BF601BB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14:paraId="55A0930F" w14:textId="77777777" w:rsidR="005138CB" w:rsidRPr="00A112F6" w:rsidRDefault="005138CB" w:rsidP="005138CB">
      <w:pPr>
        <w:ind w:right="-1"/>
        <w:rPr>
          <w:szCs w:val="22"/>
        </w:rPr>
      </w:pPr>
    </w:p>
    <w:p w14:paraId="0C368071" w14:textId="44129CCD" w:rsidR="003379EC" w:rsidRDefault="00F479BE" w:rsidP="001F0020">
      <w:pPr>
        <w:ind w:left="0" w:firstLine="0"/>
        <w:rPr>
          <w:szCs w:val="22"/>
        </w:rPr>
      </w:pPr>
      <w:r>
        <w:rPr>
          <w:szCs w:val="22"/>
        </w:rPr>
        <w:t>Šesťmesačné PFS sa dosiahlo u</w:t>
      </w:r>
      <w:r w:rsidR="007F7FBB">
        <w:rPr>
          <w:szCs w:val="22"/>
        </w:rPr>
        <w:t xml:space="preserve"> 36 % pri liečbe everolimom v </w:t>
      </w:r>
      <w:r w:rsidR="001F0020">
        <w:rPr>
          <w:szCs w:val="22"/>
        </w:rPr>
        <w:t>porovnaní s 9 % pri</w:t>
      </w:r>
      <w:r w:rsidR="007F7FBB">
        <w:rPr>
          <w:szCs w:val="22"/>
        </w:rPr>
        <w:t> p</w:t>
      </w:r>
      <w:r w:rsidR="001F0020">
        <w:rPr>
          <w:szCs w:val="22"/>
        </w:rPr>
        <w:t>lacebe.</w:t>
      </w:r>
    </w:p>
    <w:p w14:paraId="21EA284C" w14:textId="77777777" w:rsidR="003379EC" w:rsidRDefault="003379EC" w:rsidP="001F0020">
      <w:pPr>
        <w:ind w:left="0" w:firstLine="0"/>
        <w:rPr>
          <w:szCs w:val="22"/>
        </w:rPr>
      </w:pPr>
    </w:p>
    <w:p w14:paraId="2F18BCC2" w14:textId="06BA4538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Potvrdená objektívna odpoveď nádoru sa po</w:t>
      </w:r>
      <w:r w:rsidR="007F7FBB">
        <w:rPr>
          <w:sz w:val="22"/>
          <w:szCs w:val="22"/>
        </w:rPr>
        <w:t>zorovala u 5 pacientov (2 </w:t>
      </w:r>
      <w:r>
        <w:rPr>
          <w:sz w:val="22"/>
          <w:szCs w:val="22"/>
        </w:rPr>
        <w:t>%), ktorí do</w:t>
      </w:r>
      <w:r w:rsidR="007F7FBB">
        <w:rPr>
          <w:sz w:val="22"/>
          <w:szCs w:val="22"/>
        </w:rPr>
        <w:t>stávali everolimus, zatiaľ čo u </w:t>
      </w:r>
      <w:r>
        <w:rPr>
          <w:sz w:val="22"/>
          <w:szCs w:val="22"/>
        </w:rPr>
        <w:t xml:space="preserve">pacientov dostávajúcich placebo sa nepozorovala žiadna. Preto výhoda </w:t>
      </w:r>
      <w:r w:rsidR="00F479BE">
        <w:rPr>
          <w:sz w:val="22"/>
          <w:szCs w:val="22"/>
        </w:rPr>
        <w:t xml:space="preserve">z hľadiska </w:t>
      </w:r>
      <w:r>
        <w:rPr>
          <w:sz w:val="22"/>
          <w:szCs w:val="22"/>
        </w:rPr>
        <w:t>prežívania bez</w:t>
      </w:r>
      <w:r w:rsidR="007F7FBB">
        <w:rPr>
          <w:sz w:val="22"/>
          <w:szCs w:val="22"/>
        </w:rPr>
        <w:t xml:space="preserve"> progresie </w:t>
      </w:r>
      <w:r w:rsidR="00F479BE">
        <w:rPr>
          <w:sz w:val="22"/>
          <w:szCs w:val="22"/>
        </w:rPr>
        <w:t xml:space="preserve">sa </w:t>
      </w:r>
      <w:r w:rsidR="007F7FBB">
        <w:rPr>
          <w:sz w:val="22"/>
          <w:szCs w:val="22"/>
        </w:rPr>
        <w:t xml:space="preserve">primárne </w:t>
      </w:r>
      <w:r w:rsidR="00F479BE">
        <w:rPr>
          <w:sz w:val="22"/>
          <w:szCs w:val="22"/>
        </w:rPr>
        <w:t>vzťahuje</w:t>
      </w:r>
      <w:r w:rsidR="007F7FBB">
        <w:rPr>
          <w:sz w:val="22"/>
          <w:szCs w:val="22"/>
        </w:rPr>
        <w:t xml:space="preserve"> </w:t>
      </w:r>
      <w:r w:rsidR="00F479BE">
        <w:rPr>
          <w:sz w:val="22"/>
          <w:szCs w:val="22"/>
        </w:rPr>
        <w:t>na</w:t>
      </w:r>
      <w:r w:rsidR="007F7FBB">
        <w:rPr>
          <w:sz w:val="22"/>
          <w:szCs w:val="22"/>
        </w:rPr>
        <w:t> populáciu so </w:t>
      </w:r>
      <w:r>
        <w:rPr>
          <w:sz w:val="22"/>
          <w:szCs w:val="22"/>
        </w:rPr>
        <w:t>stabil</w:t>
      </w:r>
      <w:r w:rsidR="007F7FBB">
        <w:rPr>
          <w:sz w:val="22"/>
          <w:szCs w:val="22"/>
        </w:rPr>
        <w:t>izáciou ochorenia (zodpovedá 67 % v </w:t>
      </w:r>
      <w:r w:rsidR="00D06906">
        <w:rPr>
          <w:sz w:val="22"/>
          <w:szCs w:val="22"/>
        </w:rPr>
        <w:t>skupine liečby everolimom).</w:t>
      </w:r>
    </w:p>
    <w:p w14:paraId="630E2D73" w14:textId="77777777" w:rsidR="001F0020" w:rsidRDefault="007F7FBB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Štatisticky významný rozdiel v celkovom prežívaní súvisiaci s </w:t>
      </w:r>
      <w:r w:rsidR="001F0020">
        <w:rPr>
          <w:sz w:val="22"/>
          <w:szCs w:val="22"/>
        </w:rPr>
        <w:t>liečbou sa nezaznamenal (pomer rizika 0,8</w:t>
      </w:r>
      <w:r>
        <w:rPr>
          <w:sz w:val="22"/>
          <w:szCs w:val="22"/>
        </w:rPr>
        <w:t>7; interval spoľahlivosti: 0,65 – 1,17; p = 0,177). Prechod na </w:t>
      </w:r>
      <w:r w:rsidR="001F0020">
        <w:rPr>
          <w:sz w:val="22"/>
          <w:szCs w:val="22"/>
        </w:rPr>
        <w:t>otvorenú liečbu everolimom po</w:t>
      </w:r>
      <w:r>
        <w:rPr>
          <w:sz w:val="22"/>
          <w:szCs w:val="22"/>
        </w:rPr>
        <w:t> progresii ochorenia u pacientov zadelených do </w:t>
      </w:r>
      <w:r w:rsidR="001F0020">
        <w:rPr>
          <w:sz w:val="22"/>
          <w:szCs w:val="22"/>
        </w:rPr>
        <w:t>skupiny placeba znemožnil zistenie rozdielu v</w:t>
      </w:r>
      <w:r>
        <w:rPr>
          <w:sz w:val="22"/>
          <w:szCs w:val="22"/>
        </w:rPr>
        <w:t> celkovom prežívaní súvisiacom s </w:t>
      </w:r>
      <w:r w:rsidR="001F0020">
        <w:rPr>
          <w:sz w:val="22"/>
          <w:szCs w:val="22"/>
        </w:rPr>
        <w:t>l</w:t>
      </w:r>
      <w:r w:rsidR="00D06906">
        <w:rPr>
          <w:sz w:val="22"/>
          <w:szCs w:val="22"/>
        </w:rPr>
        <w:t>iečbou.</w:t>
      </w:r>
    </w:p>
    <w:p w14:paraId="31F27FDA" w14:textId="77777777" w:rsidR="001F0020" w:rsidRDefault="001F0020" w:rsidP="001F0020">
      <w:pPr>
        <w:pStyle w:val="Default"/>
        <w:rPr>
          <w:sz w:val="22"/>
          <w:szCs w:val="22"/>
        </w:rPr>
      </w:pPr>
    </w:p>
    <w:p w14:paraId="3F1F9753" w14:textId="77777777" w:rsidR="001F0020" w:rsidRPr="001F0020" w:rsidRDefault="00D06906" w:rsidP="007F7FBB">
      <w:pPr>
        <w:pStyle w:val="Default"/>
        <w:keepNext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Iné štúdie</w:t>
      </w:r>
    </w:p>
    <w:p w14:paraId="39FD2FC8" w14:textId="57C9828F" w:rsidR="003379EC" w:rsidRDefault="001F0020" w:rsidP="00D06906">
      <w:pPr>
        <w:ind w:left="0" w:firstLine="0"/>
        <w:rPr>
          <w:szCs w:val="22"/>
        </w:rPr>
      </w:pPr>
      <w:r>
        <w:rPr>
          <w:szCs w:val="22"/>
        </w:rPr>
        <w:t>Stomatitída je najčastejšie</w:t>
      </w:r>
      <w:r w:rsidR="007F7FBB">
        <w:rPr>
          <w:szCs w:val="22"/>
        </w:rPr>
        <w:t xml:space="preserve"> hlásenou nežiaducou reakciou u </w:t>
      </w:r>
      <w:r>
        <w:rPr>
          <w:szCs w:val="22"/>
        </w:rPr>
        <w:t>pacientov liečených everoli</w:t>
      </w:r>
      <w:r w:rsidR="007F7FBB">
        <w:rPr>
          <w:szCs w:val="22"/>
        </w:rPr>
        <w:t>mom (pozri časti 4.4 a 4.8). Po uvedení lieku na trh sa v štúdii s</w:t>
      </w:r>
      <w:r w:rsidR="005F561F">
        <w:rPr>
          <w:szCs w:val="22"/>
        </w:rPr>
        <w:t> </w:t>
      </w:r>
      <w:r>
        <w:rPr>
          <w:szCs w:val="22"/>
        </w:rPr>
        <w:t>jedn</w:t>
      </w:r>
      <w:r w:rsidR="005F561F">
        <w:rPr>
          <w:szCs w:val="22"/>
        </w:rPr>
        <w:t>ým ramenom</w:t>
      </w:r>
      <w:r>
        <w:rPr>
          <w:szCs w:val="22"/>
        </w:rPr>
        <w:t xml:space="preserve"> u postmenopauzálnych žien s</w:t>
      </w:r>
      <w:r w:rsidR="007F7FBB">
        <w:rPr>
          <w:szCs w:val="22"/>
        </w:rPr>
        <w:t> </w:t>
      </w:r>
      <w:r>
        <w:rPr>
          <w:szCs w:val="22"/>
        </w:rPr>
        <w:t>pokročilým karcinómom prsníka (</w:t>
      </w:r>
      <w:r w:rsidR="00E91FEB">
        <w:rPr>
          <w:szCs w:val="22"/>
        </w:rPr>
        <w:t>n</w:t>
      </w:r>
      <w:r>
        <w:rPr>
          <w:szCs w:val="22"/>
        </w:rPr>
        <w:t>=92) ako topická liečba použil orálny roztok dexametazónu 0,5</w:t>
      </w:r>
      <w:r w:rsidR="007F7FBB">
        <w:rPr>
          <w:szCs w:val="22"/>
        </w:rPr>
        <w:t> mg/5 ml neobsahujúci alkohol na </w:t>
      </w:r>
      <w:r>
        <w:rPr>
          <w:szCs w:val="22"/>
        </w:rPr>
        <w:t>vyplachovanie ústnej dutiny (4-krát denne počas prvých 8</w:t>
      </w:r>
      <w:r w:rsidR="007F7FBB">
        <w:rPr>
          <w:szCs w:val="22"/>
        </w:rPr>
        <w:t> </w:t>
      </w:r>
      <w:r>
        <w:rPr>
          <w:szCs w:val="22"/>
        </w:rPr>
        <w:t>týždňov liečby), ktorý sa pacientk</w:t>
      </w:r>
      <w:r w:rsidR="007F7FBB">
        <w:rPr>
          <w:szCs w:val="22"/>
        </w:rPr>
        <w:t>ám podával na začiatku liečby everolimom (10 mg/deň) a exemestánom (25 mg/deň) na </w:t>
      </w:r>
      <w:r>
        <w:rPr>
          <w:szCs w:val="22"/>
        </w:rPr>
        <w:t>zníženie incidencie a závažnosti stomatitídy</w:t>
      </w:r>
      <w:r w:rsidR="007F7FBB">
        <w:rPr>
          <w:szCs w:val="22"/>
        </w:rPr>
        <w:t>. Incidencia stomatitídy stupňa ≥2 po 8 týždňoch bola 2,4 </w:t>
      </w:r>
      <w:r>
        <w:rPr>
          <w:szCs w:val="22"/>
        </w:rPr>
        <w:t>% (n=2/85 vyhodnotiteľných pacientok), čo bolo menej ako historicky hlásené hodnoty. Incidencia</w:t>
      </w:r>
      <w:r w:rsidR="007F7FBB">
        <w:rPr>
          <w:szCs w:val="22"/>
        </w:rPr>
        <w:t xml:space="preserve"> stomatitídy stupňa 1 bola 18,8 </w:t>
      </w:r>
      <w:r>
        <w:rPr>
          <w:szCs w:val="22"/>
        </w:rPr>
        <w:t>% (n=16/85) a neboli hlá</w:t>
      </w:r>
      <w:r w:rsidR="007F7FBB">
        <w:rPr>
          <w:szCs w:val="22"/>
        </w:rPr>
        <w:t>sené prípady stomatitídy stupňa </w:t>
      </w:r>
      <w:r>
        <w:rPr>
          <w:szCs w:val="22"/>
        </w:rPr>
        <w:t xml:space="preserve">3 alebo </w:t>
      </w:r>
      <w:r w:rsidR="007F7FBB">
        <w:rPr>
          <w:szCs w:val="22"/>
        </w:rPr>
        <w:t>4. Celkový profil bezpečnosti v tejto štúdii sa zhodoval s tým, ktorý sa stanovil pre everolimus pri </w:t>
      </w:r>
      <w:r>
        <w:rPr>
          <w:szCs w:val="22"/>
        </w:rPr>
        <w:t>liečbe onkologických chorôb a komplexu tuberóznej sklerózy (TSC), s</w:t>
      </w:r>
      <w:r w:rsidR="007F7FBB">
        <w:rPr>
          <w:szCs w:val="22"/>
        </w:rPr>
        <w:t> </w:t>
      </w:r>
      <w:r>
        <w:rPr>
          <w:szCs w:val="22"/>
        </w:rPr>
        <w:t>výnimkou mierne zvýšeného výskytu orálnej ka</w:t>
      </w:r>
      <w:r w:rsidR="007F7FBB">
        <w:rPr>
          <w:szCs w:val="22"/>
        </w:rPr>
        <w:t>ndidózy, ktorá sa zaznamenala u 2,2 </w:t>
      </w:r>
      <w:r>
        <w:rPr>
          <w:szCs w:val="22"/>
        </w:rPr>
        <w:t>% (n=2/92) pacientok.</w:t>
      </w:r>
    </w:p>
    <w:p w14:paraId="411EE353" w14:textId="77777777" w:rsidR="003379EC" w:rsidRDefault="003379EC" w:rsidP="001E0817">
      <w:pPr>
        <w:rPr>
          <w:szCs w:val="22"/>
        </w:rPr>
      </w:pPr>
    </w:p>
    <w:p w14:paraId="5903AE8F" w14:textId="77777777" w:rsidR="001F0020" w:rsidRPr="001F0020" w:rsidRDefault="00D06906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Pediatrická populácia</w:t>
      </w:r>
    </w:p>
    <w:p w14:paraId="7D4C81C2" w14:textId="0705C1D8" w:rsidR="00D10B9F" w:rsidRDefault="007F7FBB" w:rsidP="00D06906">
      <w:pPr>
        <w:ind w:left="0" w:firstLine="0"/>
        <w:rPr>
          <w:szCs w:val="22"/>
        </w:rPr>
      </w:pPr>
      <w:r>
        <w:rPr>
          <w:szCs w:val="22"/>
        </w:rPr>
        <w:t>Európska agentúra pre lieky udelila výnimku z </w:t>
      </w:r>
      <w:r w:rsidR="001F0020">
        <w:rPr>
          <w:szCs w:val="22"/>
        </w:rPr>
        <w:t>povinnosti predložiť výsledky štúdií s referenčným l</w:t>
      </w:r>
      <w:r>
        <w:rPr>
          <w:szCs w:val="22"/>
        </w:rPr>
        <w:t>iekom obsahujúcim everolimus vo </w:t>
      </w:r>
      <w:r w:rsidR="001F0020">
        <w:rPr>
          <w:szCs w:val="22"/>
        </w:rPr>
        <w:t xml:space="preserve">všetkých podskupinách pediatrickej populácie pri neuroendokrinných nádoroch pankreatického pôvodu, neuroendokrinných nádoroch </w:t>
      </w:r>
      <w:r w:rsidR="002E59B7">
        <w:rPr>
          <w:szCs w:val="22"/>
        </w:rPr>
        <w:t xml:space="preserve">hrudníka </w:t>
      </w:r>
      <w:r w:rsidR="001F0020">
        <w:rPr>
          <w:szCs w:val="22"/>
        </w:rPr>
        <w:t>a karcinóme obličkových</w:t>
      </w:r>
      <w:r>
        <w:rPr>
          <w:szCs w:val="22"/>
        </w:rPr>
        <w:t xml:space="preserve"> buniek (informácie o použití v </w:t>
      </w:r>
      <w:r w:rsidR="001F0020">
        <w:rPr>
          <w:szCs w:val="22"/>
        </w:rPr>
        <w:t xml:space="preserve">pediatrickej populácii, pozri </w:t>
      </w:r>
      <w:r>
        <w:rPr>
          <w:szCs w:val="22"/>
        </w:rPr>
        <w:t>časť </w:t>
      </w:r>
      <w:r w:rsidR="001F0020">
        <w:rPr>
          <w:szCs w:val="22"/>
        </w:rPr>
        <w:t>4.2).</w:t>
      </w:r>
    </w:p>
    <w:p w14:paraId="7B1AD932" w14:textId="77777777" w:rsidR="001F0020" w:rsidRPr="003021DE" w:rsidRDefault="001F0020" w:rsidP="001F0020">
      <w:pPr>
        <w:rPr>
          <w:szCs w:val="22"/>
        </w:rPr>
      </w:pPr>
    </w:p>
    <w:p w14:paraId="500B5EC1" w14:textId="77777777" w:rsidR="00780926" w:rsidRPr="003021DE" w:rsidRDefault="00780926" w:rsidP="007F7FBB">
      <w:pPr>
        <w:keepNext/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5F3EFB3C" w14:textId="77777777" w:rsidR="00E1698A" w:rsidRPr="003021DE" w:rsidRDefault="00E1698A" w:rsidP="007F7FBB">
      <w:pPr>
        <w:keepNext/>
        <w:rPr>
          <w:szCs w:val="22"/>
        </w:rPr>
      </w:pPr>
    </w:p>
    <w:p w14:paraId="0E3926EF" w14:textId="77777777" w:rsidR="001F0020" w:rsidRPr="001F0020" w:rsidRDefault="00D06906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14:paraId="41975526" w14:textId="7EDCEF86" w:rsidR="001F0020" w:rsidRDefault="007F7FBB" w:rsidP="007F7FBB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U pacientov s </w:t>
      </w:r>
      <w:r w:rsidR="001F0020">
        <w:rPr>
          <w:sz w:val="22"/>
          <w:szCs w:val="22"/>
        </w:rPr>
        <w:t>pokročilými solídnymi nádormi sa maximálne koncentrácie everolimu (C</w:t>
      </w:r>
      <w:r w:rsidR="001F0020">
        <w:rPr>
          <w:sz w:val="14"/>
          <w:szCs w:val="14"/>
        </w:rPr>
        <w:t>max</w:t>
      </w:r>
      <w:r w:rsidR="001F0020">
        <w:rPr>
          <w:sz w:val="22"/>
          <w:szCs w:val="22"/>
        </w:rPr>
        <w:t>) dosahujú v</w:t>
      </w:r>
      <w:r w:rsidR="00DE3C06">
        <w:rPr>
          <w:sz w:val="22"/>
          <w:szCs w:val="22"/>
        </w:rPr>
        <w:t> priemere do</w:t>
      </w:r>
      <w:r>
        <w:rPr>
          <w:sz w:val="22"/>
          <w:szCs w:val="22"/>
        </w:rPr>
        <w:t xml:space="preserve"> 1 hodiny po pod</w:t>
      </w:r>
      <w:r w:rsidR="00DE3C06">
        <w:rPr>
          <w:sz w:val="22"/>
          <w:szCs w:val="22"/>
        </w:rPr>
        <w:t>aní dennej</w:t>
      </w:r>
      <w:r>
        <w:rPr>
          <w:sz w:val="22"/>
          <w:szCs w:val="22"/>
        </w:rPr>
        <w:t xml:space="preserve"> dávky 5 a 10 mg everolimu nalačno alebo s ľahkým jedlom bez </w:t>
      </w:r>
      <w:r w:rsidR="001F0020">
        <w:rPr>
          <w:sz w:val="22"/>
          <w:szCs w:val="22"/>
        </w:rPr>
        <w:t>obsahu tuku. C</w:t>
      </w:r>
      <w:r w:rsidR="001F0020">
        <w:rPr>
          <w:sz w:val="14"/>
          <w:szCs w:val="14"/>
        </w:rPr>
        <w:t xml:space="preserve">max </w:t>
      </w:r>
      <w:r>
        <w:rPr>
          <w:sz w:val="22"/>
          <w:szCs w:val="22"/>
        </w:rPr>
        <w:t xml:space="preserve">je úmerná dávke </w:t>
      </w:r>
      <w:r w:rsidR="00DE3C06">
        <w:rPr>
          <w:sz w:val="22"/>
          <w:szCs w:val="22"/>
        </w:rPr>
        <w:t>v rozmedzí</w:t>
      </w:r>
      <w:r>
        <w:rPr>
          <w:sz w:val="22"/>
          <w:szCs w:val="22"/>
        </w:rPr>
        <w:t xml:space="preserve"> </w:t>
      </w:r>
      <w:r w:rsidR="00DE3C06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5 </w:t>
      </w:r>
      <w:r w:rsidR="00DE3C06">
        <w:rPr>
          <w:sz w:val="22"/>
          <w:szCs w:val="22"/>
        </w:rPr>
        <w:t>do</w:t>
      </w:r>
      <w:r>
        <w:rPr>
          <w:sz w:val="22"/>
          <w:szCs w:val="22"/>
        </w:rPr>
        <w:t> 10 </w:t>
      </w:r>
      <w:r w:rsidR="001F0020">
        <w:rPr>
          <w:sz w:val="22"/>
          <w:szCs w:val="22"/>
        </w:rPr>
        <w:t>mg. Everolimus je substrát a s</w:t>
      </w:r>
      <w:r w:rsidR="00D06906">
        <w:rPr>
          <w:sz w:val="22"/>
          <w:szCs w:val="22"/>
        </w:rPr>
        <w:t>tredne silný inhibítor PgP.</w:t>
      </w:r>
    </w:p>
    <w:p w14:paraId="65AA60BA" w14:textId="77777777" w:rsidR="007F7FBB" w:rsidRDefault="007F7FBB" w:rsidP="00550EEF">
      <w:pPr>
        <w:pStyle w:val="Default"/>
        <w:rPr>
          <w:sz w:val="22"/>
          <w:szCs w:val="22"/>
        </w:rPr>
      </w:pPr>
    </w:p>
    <w:p w14:paraId="544DBC2D" w14:textId="77777777" w:rsidR="001F0020" w:rsidRDefault="001F0020" w:rsidP="00550EE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Vplyv jedla</w:t>
      </w:r>
    </w:p>
    <w:p w14:paraId="4538E6CF" w14:textId="7105D2A9" w:rsidR="001F0020" w:rsidRDefault="007F7FBB" w:rsidP="00550EEF">
      <w:pPr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U zdravých osôb jedlá s </w:t>
      </w:r>
      <w:r w:rsidR="001F0020">
        <w:rPr>
          <w:szCs w:val="22"/>
        </w:rPr>
        <w:t>vysokým obsahom tuku znižovali s</w:t>
      </w:r>
      <w:r>
        <w:rPr>
          <w:szCs w:val="22"/>
        </w:rPr>
        <w:t xml:space="preserve">ystémovú expozíciu everolimu </w:t>
      </w:r>
      <w:r w:rsidR="00DE3C06">
        <w:rPr>
          <w:szCs w:val="22"/>
        </w:rPr>
        <w:t xml:space="preserve">po podaní </w:t>
      </w:r>
      <w:r>
        <w:rPr>
          <w:szCs w:val="22"/>
        </w:rPr>
        <w:t xml:space="preserve">10 mg (stanovené </w:t>
      </w:r>
      <w:r w:rsidR="00DE3C06">
        <w:rPr>
          <w:szCs w:val="22"/>
        </w:rPr>
        <w:t>na základe</w:t>
      </w:r>
      <w:r>
        <w:rPr>
          <w:szCs w:val="22"/>
        </w:rPr>
        <w:t xml:space="preserve"> AUC) o 22 </w:t>
      </w:r>
      <w:r w:rsidR="001F0020">
        <w:rPr>
          <w:szCs w:val="22"/>
        </w:rPr>
        <w:t>% a maximálnu plazmatickú koncentráciu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>o 54 %. Jedlá s </w:t>
      </w:r>
      <w:r w:rsidR="001F0020">
        <w:rPr>
          <w:szCs w:val="22"/>
        </w:rPr>
        <w:t xml:space="preserve">nízkym </w:t>
      </w:r>
      <w:r>
        <w:rPr>
          <w:szCs w:val="22"/>
        </w:rPr>
        <w:t>obsahom tuku znižovali AUC o 32 </w:t>
      </w:r>
      <w:r w:rsidR="001F0020">
        <w:rPr>
          <w:szCs w:val="22"/>
        </w:rPr>
        <w:t>% a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>o 42 </w:t>
      </w:r>
      <w:r w:rsidR="001F0020">
        <w:rPr>
          <w:szCs w:val="22"/>
        </w:rPr>
        <w:t>%. Jed</w:t>
      </w:r>
      <w:r>
        <w:rPr>
          <w:szCs w:val="22"/>
        </w:rPr>
        <w:t xml:space="preserve">lo však zjavne nemalo účinok na profil </w:t>
      </w:r>
      <w:r w:rsidR="00DE3C06">
        <w:rPr>
          <w:szCs w:val="22"/>
        </w:rPr>
        <w:t xml:space="preserve">časového priebehu </w:t>
      </w:r>
      <w:r>
        <w:rPr>
          <w:szCs w:val="22"/>
        </w:rPr>
        <w:t>koncentrácie v </w:t>
      </w:r>
      <w:r w:rsidR="001F0020">
        <w:rPr>
          <w:szCs w:val="22"/>
        </w:rPr>
        <w:t>postabsorpčnej fáze.</w:t>
      </w:r>
    </w:p>
    <w:p w14:paraId="32FB7296" w14:textId="77777777" w:rsidR="001F0020" w:rsidRDefault="001F0020" w:rsidP="00550EEF">
      <w:pPr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7367A0BB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14:paraId="698E27A2" w14:textId="5E293D55" w:rsidR="001F0020" w:rsidRDefault="007F7FBB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Pomer everolimu v krvi a plazme, ktorý závisí od </w:t>
      </w:r>
      <w:r w:rsidR="001F0020">
        <w:rPr>
          <w:sz w:val="22"/>
          <w:szCs w:val="22"/>
        </w:rPr>
        <w:t>koncentrácie v</w:t>
      </w:r>
      <w:r>
        <w:rPr>
          <w:sz w:val="22"/>
          <w:szCs w:val="22"/>
        </w:rPr>
        <w:t xml:space="preserve"> rozmedzí </w:t>
      </w:r>
      <w:r w:rsidR="00DE3C06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5 </w:t>
      </w:r>
      <w:r w:rsidR="00DE3C06">
        <w:rPr>
          <w:sz w:val="22"/>
          <w:szCs w:val="22"/>
        </w:rPr>
        <w:t>do</w:t>
      </w:r>
      <w:r>
        <w:rPr>
          <w:sz w:val="22"/>
          <w:szCs w:val="22"/>
        </w:rPr>
        <w:t xml:space="preserve"> 5 000 ng/ml, je 17 % až 73 %. Približne 20 % koncentrácie everolimu v </w:t>
      </w:r>
      <w:r w:rsidR="00DE3C06">
        <w:rPr>
          <w:sz w:val="22"/>
          <w:szCs w:val="22"/>
        </w:rPr>
        <w:t>celej</w:t>
      </w:r>
      <w:r>
        <w:rPr>
          <w:sz w:val="22"/>
          <w:szCs w:val="22"/>
        </w:rPr>
        <w:t xml:space="preserve"> krvi je obsiahnutých v </w:t>
      </w:r>
      <w:r w:rsidR="001F0020">
        <w:rPr>
          <w:sz w:val="22"/>
          <w:szCs w:val="22"/>
        </w:rPr>
        <w:t>plazme onkologických pacientov,</w:t>
      </w:r>
      <w:r>
        <w:rPr>
          <w:sz w:val="22"/>
          <w:szCs w:val="22"/>
        </w:rPr>
        <w:t xml:space="preserve"> ktorým sa podáva everolimus 10 mg/deň. Väzba na </w:t>
      </w:r>
      <w:r w:rsidR="001F0020">
        <w:rPr>
          <w:sz w:val="22"/>
          <w:szCs w:val="22"/>
        </w:rPr>
        <w:t>bi</w:t>
      </w:r>
      <w:r>
        <w:rPr>
          <w:sz w:val="22"/>
          <w:szCs w:val="22"/>
        </w:rPr>
        <w:t>elkoviny plazmy je približne 74 </w:t>
      </w:r>
      <w:r w:rsidR="001F0020">
        <w:rPr>
          <w:sz w:val="22"/>
          <w:szCs w:val="22"/>
        </w:rPr>
        <w:t>% u</w:t>
      </w:r>
      <w:r>
        <w:rPr>
          <w:sz w:val="22"/>
          <w:szCs w:val="22"/>
        </w:rPr>
        <w:t> zdravých osôb aj u </w:t>
      </w:r>
      <w:r w:rsidR="001F0020">
        <w:rPr>
          <w:sz w:val="22"/>
          <w:szCs w:val="22"/>
        </w:rPr>
        <w:t>pacie</w:t>
      </w:r>
      <w:r>
        <w:rPr>
          <w:sz w:val="22"/>
          <w:szCs w:val="22"/>
        </w:rPr>
        <w:t>ntov so </w:t>
      </w:r>
      <w:r w:rsidR="001F0020">
        <w:rPr>
          <w:sz w:val="22"/>
          <w:szCs w:val="22"/>
        </w:rPr>
        <w:t>stredne ťa</w:t>
      </w:r>
      <w:r>
        <w:rPr>
          <w:sz w:val="22"/>
          <w:szCs w:val="22"/>
        </w:rPr>
        <w:t>žkou poruchou funkcie pečene. U pacientov s </w:t>
      </w:r>
      <w:r w:rsidR="001F0020">
        <w:rPr>
          <w:sz w:val="22"/>
          <w:szCs w:val="22"/>
        </w:rPr>
        <w:t>pokročilými solídnymi nádormi bol</w:t>
      </w:r>
      <w:r w:rsidR="00DE3C06">
        <w:rPr>
          <w:sz w:val="22"/>
          <w:szCs w:val="22"/>
        </w:rPr>
        <w:t xml:space="preserve">a </w:t>
      </w:r>
      <w:r w:rsidR="00DE3C06" w:rsidRPr="00DE3C06">
        <w:rPr>
          <w:sz w:val="22"/>
          <w:szCs w:val="22"/>
        </w:rPr>
        <w:t>hodnota distribučného objemu</w:t>
      </w:r>
      <w:r w:rsidR="001F0020">
        <w:rPr>
          <w:sz w:val="22"/>
          <w:szCs w:val="22"/>
        </w:rPr>
        <w:t xml:space="preserve"> V</w:t>
      </w:r>
      <w:r w:rsidR="001F0020">
        <w:rPr>
          <w:sz w:val="14"/>
          <w:szCs w:val="14"/>
        </w:rPr>
        <w:t xml:space="preserve">d </w:t>
      </w:r>
      <w:r>
        <w:rPr>
          <w:sz w:val="22"/>
          <w:szCs w:val="22"/>
        </w:rPr>
        <w:t>pre </w:t>
      </w:r>
      <w:r w:rsidR="001F0020">
        <w:rPr>
          <w:sz w:val="22"/>
          <w:szCs w:val="22"/>
        </w:rPr>
        <w:t>zdanlivý ce</w:t>
      </w:r>
      <w:r>
        <w:rPr>
          <w:sz w:val="22"/>
          <w:szCs w:val="22"/>
        </w:rPr>
        <w:t>ntrálny kompartment 191 l a pre </w:t>
      </w:r>
      <w:r w:rsidR="001F0020">
        <w:rPr>
          <w:sz w:val="22"/>
          <w:szCs w:val="22"/>
        </w:rPr>
        <w:t>zdanli</w:t>
      </w:r>
      <w:r w:rsidR="00550EEF">
        <w:rPr>
          <w:sz w:val="22"/>
          <w:szCs w:val="22"/>
        </w:rPr>
        <w:t>vý periférny kompartment 517 l.</w:t>
      </w:r>
    </w:p>
    <w:p w14:paraId="0D935BE1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9387B09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Biotransformácia</w:t>
      </w:r>
    </w:p>
    <w:p w14:paraId="36D5003B" w14:textId="6F22D2D2" w:rsidR="001F0020" w:rsidRDefault="001F0020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</w:t>
      </w:r>
      <w:r w:rsidR="007F7FBB">
        <w:rPr>
          <w:sz w:val="22"/>
          <w:szCs w:val="22"/>
        </w:rPr>
        <w:t>us je substrát CYP3A4 a PgP. Po </w:t>
      </w:r>
      <w:r>
        <w:rPr>
          <w:sz w:val="22"/>
          <w:szCs w:val="22"/>
        </w:rPr>
        <w:t>perorálnom podaní je everolimus</w:t>
      </w:r>
      <w:r w:rsidR="007F7FBB">
        <w:rPr>
          <w:sz w:val="22"/>
          <w:szCs w:val="22"/>
        </w:rPr>
        <w:t xml:space="preserve"> hlavnou cirkulujúcou zložkou v ľudskej krvi. V </w:t>
      </w:r>
      <w:r>
        <w:rPr>
          <w:sz w:val="22"/>
          <w:szCs w:val="22"/>
        </w:rPr>
        <w:t>ľudskej krvi sa zistilo šesť hlavných metabolitov everolimu, vrátane troch monohydroxylovaných metabolitov, d</w:t>
      </w:r>
      <w:r w:rsidR="007F7FBB">
        <w:rPr>
          <w:sz w:val="22"/>
          <w:szCs w:val="22"/>
        </w:rPr>
        <w:t>voch produktov s </w:t>
      </w:r>
      <w:r>
        <w:rPr>
          <w:sz w:val="22"/>
          <w:szCs w:val="22"/>
        </w:rPr>
        <w:t xml:space="preserve">otvoreným reťazcom </w:t>
      </w:r>
      <w:r w:rsidR="00DE3C06" w:rsidRPr="00DE3C06">
        <w:rPr>
          <w:sz w:val="22"/>
          <w:szCs w:val="22"/>
        </w:rPr>
        <w:t xml:space="preserve">vzniknutých hydrolýzou </w:t>
      </w:r>
      <w:r>
        <w:rPr>
          <w:sz w:val="22"/>
          <w:szCs w:val="22"/>
        </w:rPr>
        <w:t>a fosfatidylcholínového konjugátu everolimu. Tieto me</w:t>
      </w:r>
      <w:r w:rsidR="007F7FBB">
        <w:rPr>
          <w:sz w:val="22"/>
          <w:szCs w:val="22"/>
        </w:rPr>
        <w:t>tabolity sa identifikovali aj u </w:t>
      </w:r>
      <w:r>
        <w:rPr>
          <w:sz w:val="22"/>
          <w:szCs w:val="22"/>
        </w:rPr>
        <w:t>zviera</w:t>
      </w:r>
      <w:r w:rsidR="007F7FBB">
        <w:rPr>
          <w:sz w:val="22"/>
          <w:szCs w:val="22"/>
        </w:rPr>
        <w:t>cích druhov, ktoré sa použili v </w:t>
      </w:r>
      <w:r>
        <w:rPr>
          <w:sz w:val="22"/>
          <w:szCs w:val="22"/>
        </w:rPr>
        <w:t>štúdiách toxicity, pričom vykazovali približne 100</w:t>
      </w:r>
      <w:r w:rsidR="007F7FBB">
        <w:rPr>
          <w:sz w:val="22"/>
          <w:szCs w:val="22"/>
        </w:rPr>
        <w:t> </w:t>
      </w:r>
      <w:r>
        <w:rPr>
          <w:sz w:val="22"/>
          <w:szCs w:val="22"/>
        </w:rPr>
        <w:t>-</w:t>
      </w:r>
      <w:r w:rsidR="007F7FBB">
        <w:rPr>
          <w:sz w:val="22"/>
          <w:szCs w:val="22"/>
        </w:rPr>
        <w:t> </w:t>
      </w:r>
      <w:r>
        <w:rPr>
          <w:sz w:val="22"/>
          <w:szCs w:val="22"/>
        </w:rPr>
        <w:t>násobne nižšiu aktivitu než samotný everolimus. Predpokladá sa pr</w:t>
      </w:r>
      <w:r w:rsidR="007F7FBB">
        <w:rPr>
          <w:sz w:val="22"/>
          <w:szCs w:val="22"/>
        </w:rPr>
        <w:t>eto, že everolimus zodpovedá za </w:t>
      </w:r>
      <w:r>
        <w:rPr>
          <w:sz w:val="22"/>
          <w:szCs w:val="22"/>
        </w:rPr>
        <w:t>väčšinu cel</w:t>
      </w:r>
      <w:r w:rsidR="00550EEF">
        <w:rPr>
          <w:sz w:val="22"/>
          <w:szCs w:val="22"/>
        </w:rPr>
        <w:t>kovej farmakologickej aktivity.</w:t>
      </w:r>
    </w:p>
    <w:p w14:paraId="2476A9DB" w14:textId="77777777" w:rsidR="001F0020" w:rsidRDefault="001F0020" w:rsidP="001F0020">
      <w:pPr>
        <w:pStyle w:val="Default"/>
        <w:rPr>
          <w:sz w:val="22"/>
          <w:szCs w:val="22"/>
        </w:rPr>
      </w:pPr>
    </w:p>
    <w:p w14:paraId="775F08E7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13E577AA" w14:textId="77777777" w:rsidR="001F0020" w:rsidRDefault="001F0020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Priemerný perorá</w:t>
      </w:r>
      <w:r w:rsidR="007F7FBB">
        <w:rPr>
          <w:sz w:val="22"/>
          <w:szCs w:val="22"/>
        </w:rPr>
        <w:t>lny klírens (CL/F) everolimu po dennej dávke 10 mg u pacientov s </w:t>
      </w:r>
      <w:r>
        <w:rPr>
          <w:sz w:val="22"/>
          <w:szCs w:val="22"/>
        </w:rPr>
        <w:t>pokroči</w:t>
      </w:r>
      <w:r w:rsidR="007F7FBB">
        <w:rPr>
          <w:sz w:val="22"/>
          <w:szCs w:val="22"/>
        </w:rPr>
        <w:t>lými solídnymi nádormi bol 24,5 </w:t>
      </w:r>
      <w:r>
        <w:rPr>
          <w:sz w:val="22"/>
          <w:szCs w:val="22"/>
        </w:rPr>
        <w:t>l/h. Priemerný polčas elimi</w:t>
      </w:r>
      <w:r w:rsidR="005F4E98">
        <w:rPr>
          <w:sz w:val="22"/>
          <w:szCs w:val="22"/>
        </w:rPr>
        <w:t>nácie everolimu je približne 30 </w:t>
      </w:r>
      <w:r w:rsidR="00550EEF">
        <w:rPr>
          <w:sz w:val="22"/>
          <w:szCs w:val="22"/>
        </w:rPr>
        <w:t>hodín.</w:t>
      </w:r>
    </w:p>
    <w:p w14:paraId="652C5E0B" w14:textId="25FEC68A" w:rsidR="001F0020" w:rsidRDefault="005F4E98" w:rsidP="00550EE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U </w:t>
      </w:r>
      <w:r w:rsidR="001F0020">
        <w:rPr>
          <w:szCs w:val="22"/>
        </w:rPr>
        <w:t>onkologických pacientov sa nevykonali žiadne špec</w:t>
      </w:r>
      <w:r>
        <w:rPr>
          <w:szCs w:val="22"/>
        </w:rPr>
        <w:t>ifické štúdie zamerané na </w:t>
      </w:r>
      <w:r w:rsidR="001F0020">
        <w:rPr>
          <w:szCs w:val="22"/>
        </w:rPr>
        <w:t>vylučov</w:t>
      </w:r>
      <w:r>
        <w:rPr>
          <w:szCs w:val="22"/>
        </w:rPr>
        <w:t>anie; dostupné sú však údaje zo štúdií s pacientmi po transplantácii. Po </w:t>
      </w:r>
      <w:r w:rsidR="001F0020">
        <w:rPr>
          <w:szCs w:val="22"/>
        </w:rPr>
        <w:t>podaní jednorazovej dávky rádioaktí</w:t>
      </w:r>
      <w:r>
        <w:rPr>
          <w:szCs w:val="22"/>
        </w:rPr>
        <w:t>vne značeného everolimu spolu s </w:t>
      </w:r>
      <w:r w:rsidR="001F0020">
        <w:rPr>
          <w:szCs w:val="22"/>
        </w:rPr>
        <w:t>cyklosporínom sa 80</w:t>
      </w:r>
      <w:r>
        <w:rPr>
          <w:szCs w:val="22"/>
        </w:rPr>
        <w:t xml:space="preserve"> % rádioaktivity </w:t>
      </w:r>
      <w:r w:rsidR="00687CA1">
        <w:rPr>
          <w:szCs w:val="22"/>
        </w:rPr>
        <w:t>zistilo</w:t>
      </w:r>
      <w:r>
        <w:rPr>
          <w:szCs w:val="22"/>
        </w:rPr>
        <w:t xml:space="preserve"> v stolici, zatiaľ čo 5 </w:t>
      </w:r>
      <w:r w:rsidR="001F0020">
        <w:rPr>
          <w:szCs w:val="22"/>
        </w:rPr>
        <w:t>% sa vylúčilo močom.</w:t>
      </w:r>
      <w:r>
        <w:rPr>
          <w:szCs w:val="22"/>
        </w:rPr>
        <w:t xml:space="preserve"> Nezmenená látka sa nezistila v moči ani v </w:t>
      </w:r>
      <w:r w:rsidR="001F0020">
        <w:rPr>
          <w:szCs w:val="22"/>
        </w:rPr>
        <w:t>stolici.</w:t>
      </w:r>
    </w:p>
    <w:p w14:paraId="7220A90E" w14:textId="77777777" w:rsidR="001F0020" w:rsidRDefault="001F0020" w:rsidP="000E5C0F">
      <w:pPr>
        <w:numPr>
          <w:ilvl w:val="12"/>
          <w:numId w:val="0"/>
        </w:numPr>
        <w:rPr>
          <w:szCs w:val="22"/>
        </w:rPr>
      </w:pPr>
    </w:p>
    <w:p w14:paraId="6A026EDA" w14:textId="77777777" w:rsidR="001F0020" w:rsidRPr="001F0020" w:rsidRDefault="005F4E98" w:rsidP="000E5C0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Farmakokinetika v </w:t>
      </w:r>
      <w:r w:rsidR="000E5C0F">
        <w:rPr>
          <w:sz w:val="22"/>
          <w:szCs w:val="22"/>
          <w:u w:val="single"/>
        </w:rPr>
        <w:t>rovnovážnom stave</w:t>
      </w:r>
    </w:p>
    <w:p w14:paraId="7A638944" w14:textId="1CE1801F" w:rsidR="001F0020" w:rsidRDefault="005F4E98" w:rsidP="000E5C0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Po podaní everolimu pacientom s </w:t>
      </w:r>
      <w:r w:rsidR="001F0020">
        <w:rPr>
          <w:szCs w:val="22"/>
        </w:rPr>
        <w:t xml:space="preserve">pokročilými solídnymi nádormi bola </w:t>
      </w:r>
      <w:r w:rsidR="00687CA1">
        <w:rPr>
          <w:szCs w:val="22"/>
        </w:rPr>
        <w:t>hodnota</w:t>
      </w:r>
      <w:r w:rsidR="001F0020">
        <w:rPr>
          <w:szCs w:val="22"/>
        </w:rPr>
        <w:t xml:space="preserve"> AUC</w:t>
      </w:r>
      <w:r w:rsidR="001F0020">
        <w:rPr>
          <w:sz w:val="14"/>
          <w:szCs w:val="14"/>
        </w:rPr>
        <w:t xml:space="preserve">0-τ </w:t>
      </w:r>
      <w:r w:rsidR="00687CA1" w:rsidRPr="00687CA1">
        <w:rPr>
          <w:bCs/>
          <w:szCs w:val="22"/>
          <w:lang w:eastAsia="en-US"/>
        </w:rPr>
        <w:t>v rovnovážnom stave</w:t>
      </w:r>
      <w:r w:rsidR="00687CA1">
        <w:rPr>
          <w:szCs w:val="22"/>
        </w:rPr>
        <w:t xml:space="preserve"> </w:t>
      </w:r>
      <w:r>
        <w:rPr>
          <w:szCs w:val="22"/>
        </w:rPr>
        <w:t xml:space="preserve">úmerná dávke v rozmedzí dennej dávky </w:t>
      </w:r>
      <w:r w:rsidR="00687CA1">
        <w:rPr>
          <w:szCs w:val="22"/>
        </w:rPr>
        <w:t xml:space="preserve">od </w:t>
      </w:r>
      <w:r>
        <w:rPr>
          <w:szCs w:val="22"/>
        </w:rPr>
        <w:t>5 </w:t>
      </w:r>
      <w:r w:rsidR="00687CA1">
        <w:rPr>
          <w:szCs w:val="22"/>
        </w:rPr>
        <w:t>do</w:t>
      </w:r>
      <w:r>
        <w:rPr>
          <w:szCs w:val="22"/>
        </w:rPr>
        <w:t xml:space="preserve"> 10 </w:t>
      </w:r>
      <w:r w:rsidR="001F0020">
        <w:rPr>
          <w:szCs w:val="22"/>
        </w:rPr>
        <w:t>mg</w:t>
      </w:r>
      <w:r>
        <w:rPr>
          <w:szCs w:val="22"/>
        </w:rPr>
        <w:t>. Rovnovážny stav sa dosiahol v </w:t>
      </w:r>
      <w:r w:rsidR="001F0020">
        <w:rPr>
          <w:szCs w:val="22"/>
        </w:rPr>
        <w:t>p</w:t>
      </w:r>
      <w:r>
        <w:rPr>
          <w:szCs w:val="22"/>
        </w:rPr>
        <w:t>riebehu 2 </w:t>
      </w:r>
      <w:r w:rsidR="001F0020">
        <w:rPr>
          <w:szCs w:val="22"/>
        </w:rPr>
        <w:t>týždňov.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 xml:space="preserve">je úmerná dávke v rozsahu </w:t>
      </w:r>
      <w:r w:rsidR="00687CA1">
        <w:rPr>
          <w:szCs w:val="22"/>
        </w:rPr>
        <w:t xml:space="preserve">od </w:t>
      </w:r>
      <w:r>
        <w:rPr>
          <w:szCs w:val="22"/>
        </w:rPr>
        <w:t>5 </w:t>
      </w:r>
      <w:r w:rsidR="00687CA1">
        <w:rPr>
          <w:szCs w:val="22"/>
        </w:rPr>
        <w:t>do</w:t>
      </w:r>
      <w:r>
        <w:rPr>
          <w:szCs w:val="22"/>
        </w:rPr>
        <w:t xml:space="preserve"> 10 </w:t>
      </w:r>
      <w:r w:rsidR="001F0020">
        <w:rPr>
          <w:szCs w:val="22"/>
        </w:rPr>
        <w:t>mg. t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 xml:space="preserve">sa </w:t>
      </w:r>
      <w:r w:rsidR="00687CA1">
        <w:rPr>
          <w:szCs w:val="22"/>
        </w:rPr>
        <w:t>dosahuje</w:t>
      </w:r>
      <w:r>
        <w:rPr>
          <w:szCs w:val="22"/>
        </w:rPr>
        <w:t xml:space="preserve"> 1 až 2 hodiny po </w:t>
      </w:r>
      <w:r w:rsidR="001F0020">
        <w:rPr>
          <w:szCs w:val="22"/>
        </w:rPr>
        <w:t>užití dávky. Medzi AUC</w:t>
      </w:r>
      <w:r w:rsidR="001F0020">
        <w:rPr>
          <w:sz w:val="14"/>
          <w:szCs w:val="14"/>
        </w:rPr>
        <w:t xml:space="preserve">0-τ </w:t>
      </w:r>
      <w:r>
        <w:rPr>
          <w:szCs w:val="22"/>
        </w:rPr>
        <w:t>a minimálnou koncentráciou pred podaním dávky v </w:t>
      </w:r>
      <w:r w:rsidR="001F0020">
        <w:rPr>
          <w:szCs w:val="22"/>
        </w:rPr>
        <w:t>rovnovážnom stave sa zistila významná korelácia.</w:t>
      </w:r>
    </w:p>
    <w:p w14:paraId="5796015E" w14:textId="77777777" w:rsidR="001F0020" w:rsidRDefault="001F0020" w:rsidP="000E5C0F">
      <w:pPr>
        <w:numPr>
          <w:ilvl w:val="12"/>
          <w:numId w:val="0"/>
        </w:numPr>
        <w:rPr>
          <w:szCs w:val="22"/>
        </w:rPr>
      </w:pPr>
    </w:p>
    <w:p w14:paraId="30BF632B" w14:textId="77777777" w:rsidR="001F0020" w:rsidRPr="001F0020" w:rsidRDefault="001F0020" w:rsidP="005F4E98">
      <w:pPr>
        <w:pStyle w:val="Default"/>
        <w:keepNext/>
        <w:rPr>
          <w:sz w:val="22"/>
          <w:szCs w:val="22"/>
          <w:u w:val="single"/>
        </w:rPr>
      </w:pPr>
      <w:r w:rsidRPr="001F0020">
        <w:rPr>
          <w:sz w:val="22"/>
          <w:szCs w:val="22"/>
          <w:u w:val="single"/>
        </w:rPr>
        <w:t>Osobitné populácie</w:t>
      </w:r>
    </w:p>
    <w:p w14:paraId="394C314D" w14:textId="77777777" w:rsidR="001F0020" w:rsidRDefault="001F0020" w:rsidP="000E5C0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pečene</w:t>
      </w:r>
    </w:p>
    <w:p w14:paraId="3B0C3828" w14:textId="0AB295F9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Bezpečnosť, znášanlivosť a farmakoki</w:t>
      </w:r>
      <w:r w:rsidR="005F4E98">
        <w:rPr>
          <w:sz w:val="22"/>
          <w:szCs w:val="22"/>
        </w:rPr>
        <w:t>netika everolimu sa hodnotili v </w:t>
      </w:r>
      <w:r>
        <w:rPr>
          <w:sz w:val="22"/>
          <w:szCs w:val="22"/>
        </w:rPr>
        <w:t>dvoch štúdiách s</w:t>
      </w:r>
      <w:r w:rsidR="005F4E98">
        <w:rPr>
          <w:sz w:val="22"/>
          <w:szCs w:val="22"/>
        </w:rPr>
        <w:t> </w:t>
      </w:r>
      <w:r>
        <w:rPr>
          <w:sz w:val="22"/>
          <w:szCs w:val="22"/>
        </w:rPr>
        <w:t>jedno</w:t>
      </w:r>
      <w:r w:rsidR="00687CA1">
        <w:rPr>
          <w:sz w:val="22"/>
          <w:szCs w:val="22"/>
        </w:rPr>
        <w:t>razovým</w:t>
      </w:r>
      <w:r>
        <w:rPr>
          <w:sz w:val="22"/>
          <w:szCs w:val="22"/>
        </w:rPr>
        <w:t xml:space="preserve"> pero</w:t>
      </w:r>
      <w:r w:rsidR="005F4E98">
        <w:rPr>
          <w:sz w:val="22"/>
          <w:szCs w:val="22"/>
        </w:rPr>
        <w:t xml:space="preserve">rálnym podaním tabliet </w:t>
      </w:r>
      <w:r w:rsidR="00687CA1">
        <w:rPr>
          <w:sz w:val="22"/>
          <w:szCs w:val="22"/>
        </w:rPr>
        <w:t>e</w:t>
      </w:r>
      <w:r w:rsidR="005F4E98">
        <w:rPr>
          <w:sz w:val="22"/>
          <w:szCs w:val="22"/>
        </w:rPr>
        <w:t>verolimu u 8 a 34 jedincov s poruchou funkcie pečene vo vzťahu k jedincom s </w:t>
      </w:r>
      <w:r w:rsidR="000E5C0F">
        <w:rPr>
          <w:sz w:val="22"/>
          <w:szCs w:val="22"/>
        </w:rPr>
        <w:t>normálnou funkciou pečene.</w:t>
      </w:r>
    </w:p>
    <w:p w14:paraId="5ED3208F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494F978" w14:textId="65B02CEA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</w:t>
      </w:r>
      <w:r w:rsidR="001F0020">
        <w:rPr>
          <w:sz w:val="22"/>
          <w:szCs w:val="22"/>
        </w:rPr>
        <w:t>prvej štúdi</w:t>
      </w:r>
      <w:r>
        <w:rPr>
          <w:sz w:val="22"/>
          <w:szCs w:val="22"/>
        </w:rPr>
        <w:t xml:space="preserve">i bola u 8 </w:t>
      </w:r>
      <w:r w:rsidR="00687CA1">
        <w:rPr>
          <w:sz w:val="22"/>
          <w:szCs w:val="22"/>
        </w:rPr>
        <w:t>jedincov</w:t>
      </w:r>
      <w:r>
        <w:rPr>
          <w:sz w:val="22"/>
          <w:szCs w:val="22"/>
        </w:rPr>
        <w:t xml:space="preserve"> so </w:t>
      </w:r>
      <w:r w:rsidR="001F0020">
        <w:rPr>
          <w:sz w:val="22"/>
          <w:szCs w:val="22"/>
        </w:rPr>
        <w:t>stredne ťažkou poruchou funkcie pečene (</w:t>
      </w:r>
      <w:r w:rsidR="00687CA1">
        <w:rPr>
          <w:sz w:val="22"/>
          <w:szCs w:val="22"/>
        </w:rPr>
        <w:t xml:space="preserve">trieda B podľa </w:t>
      </w:r>
      <w:r w:rsidR="001F0020">
        <w:rPr>
          <w:sz w:val="22"/>
          <w:szCs w:val="22"/>
        </w:rPr>
        <w:t>Child</w:t>
      </w:r>
      <w:r w:rsidR="00687CA1">
        <w:rPr>
          <w:sz w:val="22"/>
          <w:szCs w:val="22"/>
        </w:rPr>
        <w:t>a</w:t>
      </w:r>
      <w:r w:rsidR="001F0020">
        <w:rPr>
          <w:sz w:val="22"/>
          <w:szCs w:val="22"/>
        </w:rPr>
        <w:t>-Pugh</w:t>
      </w:r>
      <w:r w:rsidR="00687CA1">
        <w:rPr>
          <w:sz w:val="22"/>
          <w:szCs w:val="22"/>
        </w:rPr>
        <w:t>a</w:t>
      </w:r>
      <w:r w:rsidR="001F0020">
        <w:rPr>
          <w:sz w:val="22"/>
          <w:szCs w:val="22"/>
        </w:rPr>
        <w:t>) priemerná hodnota AUC everolimu dvojnás</w:t>
      </w:r>
      <w:r>
        <w:rPr>
          <w:sz w:val="22"/>
          <w:szCs w:val="22"/>
        </w:rPr>
        <w:t xml:space="preserve">obne vyššia ako u 8 </w:t>
      </w:r>
      <w:r w:rsidR="00687CA1">
        <w:rPr>
          <w:sz w:val="22"/>
          <w:szCs w:val="22"/>
        </w:rPr>
        <w:t>jedincov</w:t>
      </w:r>
      <w:r>
        <w:rPr>
          <w:sz w:val="22"/>
          <w:szCs w:val="22"/>
        </w:rPr>
        <w:t xml:space="preserve"> s </w:t>
      </w:r>
      <w:r w:rsidR="000E5C0F">
        <w:rPr>
          <w:sz w:val="22"/>
          <w:szCs w:val="22"/>
        </w:rPr>
        <w:t>normálnou funkciou pečene.</w:t>
      </w:r>
    </w:p>
    <w:p w14:paraId="42336389" w14:textId="77777777" w:rsidR="001F0020" w:rsidRDefault="001F0020" w:rsidP="001F0020">
      <w:pPr>
        <w:pStyle w:val="Default"/>
        <w:rPr>
          <w:sz w:val="22"/>
          <w:szCs w:val="22"/>
        </w:rPr>
      </w:pPr>
    </w:p>
    <w:p w14:paraId="487E4AAC" w14:textId="588C718C" w:rsidR="001F0020" w:rsidRDefault="00DB68AF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druhej štúdii s </w:t>
      </w:r>
      <w:r w:rsidR="005F4E98">
        <w:rPr>
          <w:sz w:val="22"/>
          <w:szCs w:val="22"/>
        </w:rPr>
        <w:t xml:space="preserve">34 </w:t>
      </w:r>
      <w:r w:rsidR="00687CA1">
        <w:rPr>
          <w:sz w:val="22"/>
          <w:szCs w:val="22"/>
        </w:rPr>
        <w:t>jedincami</w:t>
      </w:r>
      <w:r w:rsidR="005F4E98">
        <w:rPr>
          <w:sz w:val="22"/>
          <w:szCs w:val="22"/>
        </w:rPr>
        <w:t xml:space="preserve"> s </w:t>
      </w:r>
      <w:r w:rsidR="001F0020">
        <w:rPr>
          <w:sz w:val="22"/>
          <w:szCs w:val="22"/>
        </w:rPr>
        <w:t>rozdielnym stupňom poruchy funkcie pečene ma</w:t>
      </w:r>
      <w:r w:rsidR="005F4E98">
        <w:rPr>
          <w:sz w:val="22"/>
          <w:szCs w:val="22"/>
        </w:rPr>
        <w:t>li v </w:t>
      </w:r>
      <w:r w:rsidR="001F0020">
        <w:rPr>
          <w:sz w:val="22"/>
          <w:szCs w:val="22"/>
        </w:rPr>
        <w:t>porovnaní so</w:t>
      </w:r>
      <w:r w:rsidR="005F4E98">
        <w:rPr>
          <w:sz w:val="22"/>
          <w:szCs w:val="22"/>
        </w:rPr>
        <w:t> </w:t>
      </w:r>
      <w:r w:rsidR="001F0020">
        <w:rPr>
          <w:sz w:val="22"/>
          <w:szCs w:val="22"/>
        </w:rPr>
        <w:t>zdravými oso</w:t>
      </w:r>
      <w:r w:rsidR="005F4E98">
        <w:rPr>
          <w:sz w:val="22"/>
          <w:szCs w:val="22"/>
        </w:rPr>
        <w:t xml:space="preserve">bami </w:t>
      </w:r>
      <w:r w:rsidR="00687CA1">
        <w:rPr>
          <w:sz w:val="22"/>
          <w:szCs w:val="22"/>
        </w:rPr>
        <w:t>jedinci</w:t>
      </w:r>
      <w:r w:rsidR="005F4E98">
        <w:rPr>
          <w:sz w:val="22"/>
          <w:szCs w:val="22"/>
        </w:rPr>
        <w:t xml:space="preserve"> s miernou (trieda </w:t>
      </w:r>
      <w:r w:rsidR="001F0020">
        <w:rPr>
          <w:sz w:val="22"/>
          <w:szCs w:val="22"/>
        </w:rPr>
        <w:t>A podľa Childa</w:t>
      </w:r>
      <w:r w:rsidR="005F4E98">
        <w:rPr>
          <w:sz w:val="22"/>
          <w:szCs w:val="22"/>
        </w:rPr>
        <w:t>-Pugha), stredne tažkou (trieda B podľa </w:t>
      </w:r>
      <w:r w:rsidR="001F0020">
        <w:rPr>
          <w:sz w:val="22"/>
          <w:szCs w:val="22"/>
        </w:rPr>
        <w:t xml:space="preserve">Childa-Pugha) a ťažkou </w:t>
      </w:r>
      <w:r w:rsidR="005F4E98">
        <w:rPr>
          <w:sz w:val="22"/>
          <w:szCs w:val="22"/>
        </w:rPr>
        <w:t>poruchou funkcie pečene (trieda </w:t>
      </w:r>
      <w:r w:rsidR="001F0020">
        <w:rPr>
          <w:sz w:val="22"/>
          <w:szCs w:val="22"/>
        </w:rPr>
        <w:t>C podľa Childa-Pugha) 1,6-násobne, respektíve 3,3-násobne a 3,6-násobne zvýšenú expozíciu (t.j. AUC</w:t>
      </w:r>
      <w:r w:rsidR="001F0020">
        <w:rPr>
          <w:sz w:val="14"/>
          <w:szCs w:val="14"/>
        </w:rPr>
        <w:t>0-inf</w:t>
      </w:r>
      <w:r w:rsidR="000E5C0F">
        <w:rPr>
          <w:sz w:val="22"/>
          <w:szCs w:val="22"/>
        </w:rPr>
        <w:t>)</w:t>
      </w:r>
      <w:r w:rsidR="00687CA1">
        <w:rPr>
          <w:sz w:val="22"/>
          <w:szCs w:val="22"/>
        </w:rPr>
        <w:t xml:space="preserve">, </w:t>
      </w:r>
      <w:r w:rsidR="00687CA1" w:rsidRPr="00687CA1">
        <w:rPr>
          <w:sz w:val="22"/>
          <w:szCs w:val="22"/>
        </w:rPr>
        <w:t>v uvedenom poradí</w:t>
      </w:r>
      <w:r w:rsidR="000E5C0F">
        <w:rPr>
          <w:sz w:val="22"/>
          <w:szCs w:val="22"/>
        </w:rPr>
        <w:t>.</w:t>
      </w:r>
    </w:p>
    <w:p w14:paraId="30038266" w14:textId="77777777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Odporúčania na dávkovanie u pacientov s </w:t>
      </w:r>
      <w:r w:rsidR="001F0020">
        <w:rPr>
          <w:sz w:val="22"/>
          <w:szCs w:val="22"/>
        </w:rPr>
        <w:t>poruchou funkcie pečene podľa tried Childa-Pugha sú podložené a</w:t>
      </w:r>
      <w:r>
        <w:rPr>
          <w:sz w:val="22"/>
          <w:szCs w:val="22"/>
        </w:rPr>
        <w:t>j simuláciou farmakokinetiky po </w:t>
      </w:r>
      <w:r w:rsidR="000E5C0F">
        <w:rPr>
          <w:sz w:val="22"/>
          <w:szCs w:val="22"/>
        </w:rPr>
        <w:t>opakovanom podaní.</w:t>
      </w:r>
    </w:p>
    <w:p w14:paraId="11AE5BB3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90090EE" w14:textId="77777777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 základe výsledkov z uvedených dvoch štúdii sa u pacientov s </w:t>
      </w:r>
      <w:r w:rsidR="001F0020">
        <w:rPr>
          <w:sz w:val="22"/>
          <w:szCs w:val="22"/>
        </w:rPr>
        <w:t>poruchou funkcie pečene odp</w:t>
      </w:r>
      <w:r>
        <w:rPr>
          <w:sz w:val="22"/>
          <w:szCs w:val="22"/>
        </w:rPr>
        <w:t>orúča úprava dávky (pozri časti </w:t>
      </w:r>
      <w:r w:rsidR="000E5C0F">
        <w:rPr>
          <w:sz w:val="22"/>
          <w:szCs w:val="22"/>
        </w:rPr>
        <w:t>4.2 a 4.4).</w:t>
      </w:r>
    </w:p>
    <w:p w14:paraId="55C4EF6C" w14:textId="77777777" w:rsidR="001F0020" w:rsidRDefault="001F0020" w:rsidP="001F0020">
      <w:pPr>
        <w:pStyle w:val="Default"/>
        <w:rPr>
          <w:sz w:val="22"/>
          <w:szCs w:val="22"/>
        </w:rPr>
      </w:pPr>
    </w:p>
    <w:p w14:paraId="7F21F0D3" w14:textId="77777777" w:rsidR="001F0020" w:rsidRDefault="001F0020" w:rsidP="005F4E98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obličiek</w:t>
      </w:r>
    </w:p>
    <w:p w14:paraId="5420D2C0" w14:textId="4D050109" w:rsidR="001F0020" w:rsidRDefault="00687CA1" w:rsidP="000E5C0F">
      <w:pPr>
        <w:pStyle w:val="Default"/>
        <w:rPr>
          <w:sz w:val="22"/>
          <w:szCs w:val="22"/>
        </w:rPr>
      </w:pPr>
      <w:r w:rsidRPr="00687CA1">
        <w:rPr>
          <w:sz w:val="22"/>
          <w:szCs w:val="22"/>
        </w:rPr>
        <w:t>V populačnej farmakokinetickej analýze</w:t>
      </w:r>
      <w:r w:rsidR="00CA3ABC">
        <w:rPr>
          <w:sz w:val="22"/>
          <w:szCs w:val="22"/>
        </w:rPr>
        <w:t xml:space="preserve"> 170 </w:t>
      </w:r>
      <w:r w:rsidR="005F4E98">
        <w:rPr>
          <w:sz w:val="22"/>
          <w:szCs w:val="22"/>
        </w:rPr>
        <w:t>pacientov s </w:t>
      </w:r>
      <w:r w:rsidR="001F0020">
        <w:rPr>
          <w:sz w:val="22"/>
          <w:szCs w:val="22"/>
        </w:rPr>
        <w:t xml:space="preserve">pokročilými solídnymi nádormi sa nezistil významný vplyv klírensu </w:t>
      </w:r>
      <w:r w:rsidR="00CA3ABC">
        <w:rPr>
          <w:sz w:val="22"/>
          <w:szCs w:val="22"/>
        </w:rPr>
        <w:t>kreatinínu (25 – </w:t>
      </w:r>
      <w:r w:rsidR="005F4E98">
        <w:rPr>
          <w:sz w:val="22"/>
          <w:szCs w:val="22"/>
        </w:rPr>
        <w:t>178 ml/min) na </w:t>
      </w:r>
      <w:r w:rsidR="001F0020">
        <w:rPr>
          <w:sz w:val="22"/>
          <w:szCs w:val="22"/>
        </w:rPr>
        <w:t xml:space="preserve">CL/F everolimu. </w:t>
      </w:r>
      <w:r>
        <w:rPr>
          <w:sz w:val="22"/>
          <w:szCs w:val="22"/>
        </w:rPr>
        <w:t>P</w:t>
      </w:r>
      <w:r w:rsidR="001F0020">
        <w:rPr>
          <w:sz w:val="22"/>
          <w:szCs w:val="22"/>
        </w:rPr>
        <w:t xml:space="preserve">orucha funkcie obličiek </w:t>
      </w:r>
      <w:r>
        <w:rPr>
          <w:sz w:val="22"/>
          <w:szCs w:val="22"/>
        </w:rPr>
        <w:t xml:space="preserve">po transplantácii </w:t>
      </w:r>
      <w:r w:rsidR="001F0020">
        <w:rPr>
          <w:sz w:val="22"/>
          <w:szCs w:val="22"/>
        </w:rPr>
        <w:t>(k</w:t>
      </w:r>
      <w:r w:rsidR="005F4E98">
        <w:rPr>
          <w:sz w:val="22"/>
          <w:szCs w:val="22"/>
        </w:rPr>
        <w:t>lírens kreatinínu v rozmedzí 11 – </w:t>
      </w:r>
      <w:r w:rsidR="00CA3ABC">
        <w:rPr>
          <w:sz w:val="22"/>
          <w:szCs w:val="22"/>
        </w:rPr>
        <w:t>107 </w:t>
      </w:r>
      <w:r w:rsidR="005F4E98">
        <w:rPr>
          <w:sz w:val="22"/>
          <w:szCs w:val="22"/>
        </w:rPr>
        <w:t>ml/min) nemala vplyv na farmakokinetiku everolimu u pacientov po </w:t>
      </w:r>
      <w:r w:rsidR="000E5C0F">
        <w:rPr>
          <w:sz w:val="22"/>
          <w:szCs w:val="22"/>
        </w:rPr>
        <w:t>transplantácii.</w:t>
      </w:r>
    </w:p>
    <w:p w14:paraId="0A41F296" w14:textId="77777777" w:rsidR="001F0020" w:rsidRDefault="001F0020" w:rsidP="001F0020">
      <w:pPr>
        <w:pStyle w:val="Default"/>
        <w:rPr>
          <w:sz w:val="22"/>
          <w:szCs w:val="22"/>
        </w:rPr>
      </w:pPr>
    </w:p>
    <w:p w14:paraId="1F040803" w14:textId="77777777" w:rsidR="001F0020" w:rsidRDefault="001F0020" w:rsidP="005F4E98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Starší pacienti</w:t>
      </w:r>
    </w:p>
    <w:p w14:paraId="78B4124F" w14:textId="3F12D122" w:rsidR="001F0020" w:rsidRDefault="00687CA1" w:rsidP="000E5C0F">
      <w:pPr>
        <w:pStyle w:val="Default"/>
        <w:rPr>
          <w:sz w:val="22"/>
          <w:szCs w:val="22"/>
        </w:rPr>
      </w:pPr>
      <w:r w:rsidRPr="00687CA1">
        <w:rPr>
          <w:sz w:val="22"/>
          <w:szCs w:val="22"/>
        </w:rPr>
        <w:t>Vo vyhodnotení popul</w:t>
      </w:r>
      <w:r>
        <w:rPr>
          <w:sz w:val="22"/>
          <w:szCs w:val="22"/>
        </w:rPr>
        <w:t>ačnej farmakokinetickej analýzy</w:t>
      </w:r>
      <w:r w:rsidR="005F4E98">
        <w:rPr>
          <w:sz w:val="22"/>
          <w:szCs w:val="22"/>
        </w:rPr>
        <w:t xml:space="preserve"> u </w:t>
      </w:r>
      <w:r w:rsidR="001F0020">
        <w:rPr>
          <w:sz w:val="22"/>
          <w:szCs w:val="22"/>
        </w:rPr>
        <w:t>onkologických pacientov sa nezistil v</w:t>
      </w:r>
      <w:r w:rsidR="005F4E98">
        <w:rPr>
          <w:sz w:val="22"/>
          <w:szCs w:val="22"/>
        </w:rPr>
        <w:t>ýznamný vplyv veku (27 – 85 rokov) na </w:t>
      </w:r>
      <w:r w:rsidR="000E5C0F">
        <w:rPr>
          <w:sz w:val="22"/>
          <w:szCs w:val="22"/>
        </w:rPr>
        <w:t>klírens everolimu</w:t>
      </w:r>
      <w:r>
        <w:rPr>
          <w:sz w:val="22"/>
          <w:szCs w:val="22"/>
        </w:rPr>
        <w:t xml:space="preserve"> po perorálnom podaní</w:t>
      </w:r>
      <w:r w:rsidR="000E5C0F">
        <w:rPr>
          <w:sz w:val="22"/>
          <w:szCs w:val="22"/>
        </w:rPr>
        <w:t>.</w:t>
      </w:r>
    </w:p>
    <w:p w14:paraId="2F2F5BE2" w14:textId="77777777" w:rsidR="001F0020" w:rsidRDefault="001F0020" w:rsidP="001F0020">
      <w:pPr>
        <w:pStyle w:val="Default"/>
        <w:rPr>
          <w:sz w:val="22"/>
          <w:szCs w:val="22"/>
        </w:rPr>
      </w:pPr>
    </w:p>
    <w:p w14:paraId="46E4B841" w14:textId="77777777" w:rsidR="001F0020" w:rsidRDefault="001F0020" w:rsidP="000E5C0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Etnická príslušnosť</w:t>
      </w:r>
    </w:p>
    <w:p w14:paraId="4F7D7692" w14:textId="7BFF2A75" w:rsidR="001F0020" w:rsidRDefault="00687CA1" w:rsidP="000E5C0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K</w:t>
      </w:r>
      <w:r w:rsidR="00CA3ABC">
        <w:rPr>
          <w:szCs w:val="22"/>
        </w:rPr>
        <w:t xml:space="preserve">lírens </w:t>
      </w:r>
      <w:r>
        <w:rPr>
          <w:szCs w:val="22"/>
        </w:rPr>
        <w:t xml:space="preserve">po perorálnom podaní </w:t>
      </w:r>
      <w:r w:rsidR="00CA3ABC">
        <w:rPr>
          <w:szCs w:val="22"/>
        </w:rPr>
        <w:t>(CL/F) je podobný u </w:t>
      </w:r>
      <w:r w:rsidR="001F0020">
        <w:rPr>
          <w:szCs w:val="22"/>
        </w:rPr>
        <w:t>japonských a beloš</w:t>
      </w:r>
      <w:r w:rsidR="00CA3ABC">
        <w:rPr>
          <w:szCs w:val="22"/>
        </w:rPr>
        <w:t>ských onkologických pacientov s podobnou funkciou pečene. Na </w:t>
      </w:r>
      <w:r w:rsidR="001F0020">
        <w:rPr>
          <w:szCs w:val="22"/>
        </w:rPr>
        <w:t>zá</w:t>
      </w:r>
      <w:r w:rsidR="00CA3ABC">
        <w:rPr>
          <w:szCs w:val="22"/>
        </w:rPr>
        <w:t xml:space="preserve">klade </w:t>
      </w:r>
      <w:r w:rsidRPr="00687CA1">
        <w:rPr>
          <w:szCs w:val="22"/>
        </w:rPr>
        <w:t>popul</w:t>
      </w:r>
      <w:r>
        <w:rPr>
          <w:szCs w:val="22"/>
        </w:rPr>
        <w:t>ačnej farmakokinetickej analýzy</w:t>
      </w:r>
      <w:r w:rsidR="001F0020">
        <w:rPr>
          <w:szCs w:val="22"/>
        </w:rPr>
        <w:t xml:space="preserve"> je CL</w:t>
      </w:r>
      <w:r w:rsidR="00C40BE7">
        <w:rPr>
          <w:szCs w:val="22"/>
        </w:rPr>
        <w:t>/F v priemere o 20 </w:t>
      </w:r>
      <w:r w:rsidR="001F0020">
        <w:rPr>
          <w:szCs w:val="22"/>
        </w:rPr>
        <w:t>% vyšší u</w:t>
      </w:r>
      <w:r w:rsidR="00C40BE7">
        <w:rPr>
          <w:szCs w:val="22"/>
        </w:rPr>
        <w:t> černošských pacientov po </w:t>
      </w:r>
      <w:r w:rsidR="001F0020">
        <w:rPr>
          <w:szCs w:val="22"/>
        </w:rPr>
        <w:t>transplantácii.</w:t>
      </w:r>
    </w:p>
    <w:p w14:paraId="1B3A9A87" w14:textId="77777777" w:rsidR="00780926" w:rsidRPr="003021DE" w:rsidRDefault="00780926" w:rsidP="00E41B3F">
      <w:pPr>
        <w:rPr>
          <w:szCs w:val="22"/>
        </w:rPr>
      </w:pPr>
    </w:p>
    <w:p w14:paraId="3246FE91" w14:textId="77777777" w:rsidR="00780926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1F0020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68A0CC20" w14:textId="77777777" w:rsidR="001F0020" w:rsidRPr="003021DE" w:rsidRDefault="001F0020" w:rsidP="00C40BE7">
      <w:pPr>
        <w:keepNext/>
        <w:rPr>
          <w:szCs w:val="22"/>
        </w:rPr>
      </w:pPr>
    </w:p>
    <w:p w14:paraId="7BC3E474" w14:textId="0A17B061" w:rsidR="001F0020" w:rsidRDefault="001F0020" w:rsidP="00C40BE7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 xml:space="preserve">Predklinický bezpečnostný </w:t>
      </w:r>
      <w:r w:rsidR="00C40BE7">
        <w:rPr>
          <w:sz w:val="22"/>
          <w:szCs w:val="22"/>
        </w:rPr>
        <w:t>profil everolimu sa hodnotil na </w:t>
      </w:r>
      <w:r>
        <w:rPr>
          <w:sz w:val="22"/>
          <w:szCs w:val="22"/>
        </w:rPr>
        <w:t>myšiach, potkanoch, miniatúrnych prasiatkach, opiciach a králikoch. Hlavnými cieľovými orgánmi boli samčie a samičie reprodukčné systémy (degenerácia tubulov v semenník</w:t>
      </w:r>
      <w:r w:rsidR="00C40BE7">
        <w:rPr>
          <w:sz w:val="22"/>
          <w:szCs w:val="22"/>
        </w:rPr>
        <w:t>och, znížené množstvo spermií v </w:t>
      </w:r>
      <w:r>
        <w:rPr>
          <w:sz w:val="22"/>
          <w:szCs w:val="22"/>
        </w:rPr>
        <w:t>nadsem</w:t>
      </w:r>
      <w:r w:rsidR="00C40BE7">
        <w:rPr>
          <w:sz w:val="22"/>
          <w:szCs w:val="22"/>
        </w:rPr>
        <w:t>enníkoch a atrofia maternice) u </w:t>
      </w:r>
      <w:r>
        <w:rPr>
          <w:sz w:val="22"/>
          <w:szCs w:val="22"/>
        </w:rPr>
        <w:t>viacerých druhov zvierat; pľúca (zvýšené hod</w:t>
      </w:r>
      <w:r w:rsidR="00C40BE7">
        <w:rPr>
          <w:sz w:val="22"/>
          <w:szCs w:val="22"/>
        </w:rPr>
        <w:t>noty alveolárnych makrofágov) u </w:t>
      </w:r>
      <w:r>
        <w:rPr>
          <w:sz w:val="22"/>
          <w:szCs w:val="22"/>
        </w:rPr>
        <w:t>potkanov a myší; pankreas (degr</w:t>
      </w:r>
      <w:r w:rsidR="00C40BE7">
        <w:rPr>
          <w:sz w:val="22"/>
          <w:szCs w:val="22"/>
        </w:rPr>
        <w:t xml:space="preserve">anulácia exokrinných buniek u opíc a vakuolizácia </w:t>
      </w:r>
      <w:r w:rsidR="00687CA1" w:rsidRPr="00687CA1">
        <w:rPr>
          <w:sz w:val="22"/>
          <w:szCs w:val="22"/>
        </w:rPr>
        <w:t xml:space="preserve">exokrinných buniek </w:t>
      </w:r>
      <w:r w:rsidR="00C40BE7">
        <w:rPr>
          <w:sz w:val="22"/>
          <w:szCs w:val="22"/>
        </w:rPr>
        <w:t>u </w:t>
      </w:r>
      <w:r>
        <w:rPr>
          <w:sz w:val="22"/>
          <w:szCs w:val="22"/>
        </w:rPr>
        <w:t>miniatúrnych prasiatok a degenerácia bunie</w:t>
      </w:r>
      <w:r w:rsidR="00C40BE7">
        <w:rPr>
          <w:sz w:val="22"/>
          <w:szCs w:val="22"/>
        </w:rPr>
        <w:t>k Langerhansových ostrovčekov u </w:t>
      </w:r>
      <w:r>
        <w:rPr>
          <w:sz w:val="22"/>
          <w:szCs w:val="22"/>
        </w:rPr>
        <w:t>opíc) a oči (</w:t>
      </w:r>
      <w:r w:rsidR="00687CA1" w:rsidRPr="00687CA1">
        <w:rPr>
          <w:sz w:val="22"/>
          <w:szCs w:val="22"/>
        </w:rPr>
        <w:t>zákal prednej časti šošovky</w:t>
      </w:r>
      <w:r w:rsidR="00C40BE7">
        <w:rPr>
          <w:sz w:val="22"/>
          <w:szCs w:val="22"/>
        </w:rPr>
        <w:t>) len u potkanov. Malé zmeny na obličkách sa pozorovali u </w:t>
      </w:r>
      <w:r>
        <w:rPr>
          <w:sz w:val="22"/>
          <w:szCs w:val="22"/>
        </w:rPr>
        <w:t>potkanov (</w:t>
      </w:r>
      <w:r w:rsidR="00687CA1" w:rsidRPr="00687CA1">
        <w:rPr>
          <w:sz w:val="22"/>
          <w:szCs w:val="22"/>
        </w:rPr>
        <w:t>exacerbácia hromadenia od veku závisiaceho lipofuscínu v tubulárnom epiteli</w:t>
      </w:r>
      <w:r>
        <w:rPr>
          <w:sz w:val="22"/>
          <w:szCs w:val="22"/>
        </w:rPr>
        <w:t>, zvýšený p</w:t>
      </w:r>
      <w:r w:rsidR="00C40BE7">
        <w:rPr>
          <w:sz w:val="22"/>
          <w:szCs w:val="22"/>
        </w:rPr>
        <w:t>očet prípadov hydronefrózy) a u </w:t>
      </w:r>
      <w:r>
        <w:rPr>
          <w:sz w:val="22"/>
          <w:szCs w:val="22"/>
        </w:rPr>
        <w:t xml:space="preserve">myší (exacerbácia </w:t>
      </w:r>
      <w:r w:rsidR="00687CA1" w:rsidRPr="00687CA1">
        <w:rPr>
          <w:bCs/>
          <w:sz w:val="22"/>
          <w:szCs w:val="22"/>
        </w:rPr>
        <w:t>už existujúcich</w:t>
      </w:r>
      <w:r w:rsidR="00C40BE7">
        <w:rPr>
          <w:sz w:val="22"/>
          <w:szCs w:val="22"/>
        </w:rPr>
        <w:t xml:space="preserve"> lézií). Nič nepoukazovalo na toxicitu pre obličky u </w:t>
      </w:r>
      <w:r w:rsidR="000E5C0F">
        <w:rPr>
          <w:sz w:val="22"/>
          <w:szCs w:val="22"/>
        </w:rPr>
        <w:t>opíc a miniatúrnych prasiatok.</w:t>
      </w:r>
    </w:p>
    <w:p w14:paraId="25202782" w14:textId="77777777" w:rsidR="00427007" w:rsidRDefault="00427007" w:rsidP="001F0020">
      <w:pPr>
        <w:pStyle w:val="Default"/>
        <w:rPr>
          <w:sz w:val="22"/>
          <w:szCs w:val="22"/>
        </w:rPr>
      </w:pPr>
    </w:p>
    <w:p w14:paraId="5D987952" w14:textId="201B2F35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Everolimus zjavne spontánne zhoršoval </w:t>
      </w:r>
      <w:r w:rsidR="00687CA1" w:rsidRPr="005E680B">
        <w:rPr>
          <w:sz w:val="22"/>
          <w:szCs w:val="22"/>
        </w:rPr>
        <w:t>už existujúce</w:t>
      </w:r>
      <w:r>
        <w:rPr>
          <w:sz w:val="22"/>
          <w:szCs w:val="22"/>
        </w:rPr>
        <w:t xml:space="preserve"> ocho</w:t>
      </w:r>
      <w:r w:rsidR="00C40BE7">
        <w:rPr>
          <w:sz w:val="22"/>
          <w:szCs w:val="22"/>
        </w:rPr>
        <w:t>renia (chronick</w:t>
      </w:r>
      <w:r w:rsidR="0068695A">
        <w:rPr>
          <w:sz w:val="22"/>
          <w:szCs w:val="22"/>
        </w:rPr>
        <w:t>ú</w:t>
      </w:r>
      <w:r w:rsidR="00C40BE7">
        <w:rPr>
          <w:sz w:val="22"/>
          <w:szCs w:val="22"/>
        </w:rPr>
        <w:t xml:space="preserve"> myokarditíd</w:t>
      </w:r>
      <w:r w:rsidR="0068695A">
        <w:rPr>
          <w:sz w:val="22"/>
          <w:szCs w:val="22"/>
        </w:rPr>
        <w:t>u</w:t>
      </w:r>
      <w:r w:rsidR="00C40BE7">
        <w:rPr>
          <w:sz w:val="22"/>
          <w:szCs w:val="22"/>
        </w:rPr>
        <w:t xml:space="preserve"> u </w:t>
      </w:r>
      <w:r>
        <w:rPr>
          <w:sz w:val="22"/>
          <w:szCs w:val="22"/>
        </w:rPr>
        <w:t>potkano</w:t>
      </w:r>
      <w:r w:rsidR="00C40BE7">
        <w:rPr>
          <w:sz w:val="22"/>
          <w:szCs w:val="22"/>
        </w:rPr>
        <w:t>v, infekci</w:t>
      </w:r>
      <w:r w:rsidR="0068695A">
        <w:rPr>
          <w:sz w:val="22"/>
          <w:szCs w:val="22"/>
        </w:rPr>
        <w:t>u</w:t>
      </w:r>
      <w:r w:rsidR="00C40BE7">
        <w:rPr>
          <w:sz w:val="22"/>
          <w:szCs w:val="22"/>
        </w:rPr>
        <w:t xml:space="preserve"> </w:t>
      </w:r>
      <w:r w:rsidR="0068695A" w:rsidRPr="0068695A">
        <w:rPr>
          <w:sz w:val="22"/>
          <w:szCs w:val="22"/>
        </w:rPr>
        <w:t xml:space="preserve">plazmy a srdca opíc vyvolanú </w:t>
      </w:r>
      <w:r w:rsidR="00C40BE7">
        <w:rPr>
          <w:sz w:val="22"/>
          <w:szCs w:val="22"/>
        </w:rPr>
        <w:t>vírusom Coxsackie</w:t>
      </w:r>
      <w:r>
        <w:rPr>
          <w:sz w:val="22"/>
          <w:szCs w:val="22"/>
        </w:rPr>
        <w:t>, kokcídiov</w:t>
      </w:r>
      <w:r w:rsidR="0068695A">
        <w:rPr>
          <w:sz w:val="22"/>
          <w:szCs w:val="22"/>
        </w:rPr>
        <w:t>ú</w:t>
      </w:r>
      <w:r>
        <w:rPr>
          <w:sz w:val="22"/>
          <w:szCs w:val="22"/>
        </w:rPr>
        <w:t xml:space="preserve"> nákaz</w:t>
      </w:r>
      <w:r w:rsidR="0068695A">
        <w:rPr>
          <w:sz w:val="22"/>
          <w:szCs w:val="22"/>
        </w:rPr>
        <w:t>u</w:t>
      </w:r>
      <w:r>
        <w:rPr>
          <w:sz w:val="22"/>
          <w:szCs w:val="22"/>
        </w:rPr>
        <w:t xml:space="preserve"> gastrointestinálneho traktu u</w:t>
      </w:r>
      <w:r w:rsidR="00C40BE7">
        <w:rPr>
          <w:sz w:val="22"/>
          <w:szCs w:val="22"/>
        </w:rPr>
        <w:t> </w:t>
      </w:r>
      <w:r>
        <w:rPr>
          <w:sz w:val="22"/>
          <w:szCs w:val="22"/>
        </w:rPr>
        <w:t>miniatúrnych prasiatok, kožné lézie u myší a opíc). Tieto nálezy sa spravidla pozorovali pri</w:t>
      </w:r>
      <w:r w:rsidR="00C40BE7">
        <w:rPr>
          <w:sz w:val="22"/>
          <w:szCs w:val="22"/>
        </w:rPr>
        <w:t> </w:t>
      </w:r>
      <w:r>
        <w:rPr>
          <w:sz w:val="22"/>
          <w:szCs w:val="22"/>
        </w:rPr>
        <w:t xml:space="preserve">hladinách systémovej </w:t>
      </w:r>
      <w:r w:rsidR="00C40BE7">
        <w:rPr>
          <w:sz w:val="22"/>
          <w:szCs w:val="22"/>
        </w:rPr>
        <w:t>expozície v </w:t>
      </w:r>
      <w:r>
        <w:rPr>
          <w:sz w:val="22"/>
          <w:szCs w:val="22"/>
        </w:rPr>
        <w:t>rozmedzí terapeuti</w:t>
      </w:r>
      <w:r w:rsidR="00C40BE7">
        <w:rPr>
          <w:sz w:val="22"/>
          <w:szCs w:val="22"/>
        </w:rPr>
        <w:t>ckej expozície alebo vyšších, s výnimkou nálezov u potkanov, kde sa pre vysokú distribúciu do tkanív vyskytovali pri </w:t>
      </w:r>
      <w:r>
        <w:rPr>
          <w:sz w:val="22"/>
          <w:szCs w:val="22"/>
        </w:rPr>
        <w:t>nižš</w:t>
      </w:r>
      <w:r w:rsidR="000E5C0F">
        <w:rPr>
          <w:sz w:val="22"/>
          <w:szCs w:val="22"/>
        </w:rPr>
        <w:t>ej ako terapeutickej expozícii.</w:t>
      </w:r>
    </w:p>
    <w:p w14:paraId="3D73297D" w14:textId="77777777" w:rsidR="00427007" w:rsidRDefault="00427007" w:rsidP="001F0020">
      <w:pPr>
        <w:pStyle w:val="Default"/>
        <w:rPr>
          <w:sz w:val="22"/>
          <w:szCs w:val="22"/>
        </w:rPr>
      </w:pPr>
    </w:p>
    <w:p w14:paraId="060B6D11" w14:textId="4063724A" w:rsidR="00780926" w:rsidRDefault="00C40BE7" w:rsidP="001F0020">
      <w:pPr>
        <w:ind w:left="0" w:firstLine="0"/>
        <w:rPr>
          <w:szCs w:val="22"/>
        </w:rPr>
      </w:pPr>
      <w:r>
        <w:rPr>
          <w:szCs w:val="22"/>
        </w:rPr>
        <w:t>V štúdii samčej fertility na </w:t>
      </w:r>
      <w:r w:rsidR="001F0020">
        <w:rPr>
          <w:szCs w:val="22"/>
        </w:rPr>
        <w:t>potkanoch bola morfológia semenníkov ovply</w:t>
      </w:r>
      <w:r>
        <w:rPr>
          <w:szCs w:val="22"/>
        </w:rPr>
        <w:t>vnená pri </w:t>
      </w:r>
      <w:r w:rsidR="0068695A">
        <w:rPr>
          <w:szCs w:val="22"/>
        </w:rPr>
        <w:t xml:space="preserve">dávke </w:t>
      </w:r>
      <w:r>
        <w:rPr>
          <w:szCs w:val="22"/>
        </w:rPr>
        <w:t>0,5 </w:t>
      </w:r>
      <w:r w:rsidR="001F0020">
        <w:rPr>
          <w:szCs w:val="22"/>
        </w:rPr>
        <w:t>mg/kg a viac; pohyblivosť spermií, počet hlavičiek s</w:t>
      </w:r>
      <w:r>
        <w:rPr>
          <w:szCs w:val="22"/>
        </w:rPr>
        <w:t>permií a hladiny testosterónu v plazme boli znížené pri </w:t>
      </w:r>
      <w:r w:rsidR="0068695A">
        <w:rPr>
          <w:szCs w:val="22"/>
        </w:rPr>
        <w:t xml:space="preserve">dávke </w:t>
      </w:r>
      <w:r>
        <w:rPr>
          <w:szCs w:val="22"/>
        </w:rPr>
        <w:t>5 </w:t>
      </w:r>
      <w:r w:rsidR="001F0020">
        <w:rPr>
          <w:szCs w:val="22"/>
        </w:rPr>
        <w:t>mg/kg, čo spôsobilo zníženie samčej fertility. Preukázala sa reverzibilita.</w:t>
      </w:r>
    </w:p>
    <w:p w14:paraId="7F63D1AE" w14:textId="4DEECD6C" w:rsidR="001F0020" w:rsidRDefault="00C40BE7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reprodukčných štúdiách </w:t>
      </w:r>
      <w:r w:rsidR="0068695A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="001F0020">
        <w:rPr>
          <w:sz w:val="22"/>
          <w:szCs w:val="22"/>
        </w:rPr>
        <w:t>zvierat</w:t>
      </w:r>
      <w:r w:rsidR="0068695A">
        <w:rPr>
          <w:sz w:val="22"/>
          <w:szCs w:val="22"/>
        </w:rPr>
        <w:t>ách</w:t>
      </w:r>
      <w:r w:rsidR="001F0020">
        <w:rPr>
          <w:sz w:val="22"/>
          <w:szCs w:val="22"/>
        </w:rPr>
        <w:t xml:space="preserve"> nebola samičia fertil</w:t>
      </w:r>
      <w:r>
        <w:rPr>
          <w:sz w:val="22"/>
          <w:szCs w:val="22"/>
        </w:rPr>
        <w:t>ita ovplyvnená. Avšak pri perorálnych dávkach everolimu ≥ 0,1 mg/kg (približne 4 </w:t>
      </w:r>
      <w:r w:rsidR="001F0020">
        <w:rPr>
          <w:sz w:val="22"/>
          <w:szCs w:val="22"/>
        </w:rPr>
        <w:t>% AUC</w:t>
      </w:r>
      <w:r w:rsidR="001F0020">
        <w:rPr>
          <w:sz w:val="14"/>
          <w:szCs w:val="14"/>
        </w:rPr>
        <w:t xml:space="preserve">0-24h </w:t>
      </w:r>
      <w:r>
        <w:rPr>
          <w:sz w:val="22"/>
          <w:szCs w:val="22"/>
        </w:rPr>
        <w:t>u </w:t>
      </w:r>
      <w:r w:rsidR="001F0020">
        <w:rPr>
          <w:sz w:val="22"/>
          <w:szCs w:val="22"/>
        </w:rPr>
        <w:t>pacie</w:t>
      </w:r>
      <w:r>
        <w:rPr>
          <w:sz w:val="22"/>
          <w:szCs w:val="22"/>
        </w:rPr>
        <w:t>ntov užívajúcich dennú dávku 10 mg) boli u </w:t>
      </w:r>
      <w:r w:rsidR="001F0020">
        <w:rPr>
          <w:sz w:val="22"/>
          <w:szCs w:val="22"/>
        </w:rPr>
        <w:t xml:space="preserve">samíc potkanov </w:t>
      </w:r>
      <w:r w:rsidR="000E5C0F">
        <w:rPr>
          <w:sz w:val="22"/>
          <w:szCs w:val="22"/>
        </w:rPr>
        <w:t>zvýšené predimplantačné straty.</w:t>
      </w:r>
    </w:p>
    <w:p w14:paraId="336FFC5E" w14:textId="77777777" w:rsidR="00427007" w:rsidRDefault="00427007" w:rsidP="001F0020">
      <w:pPr>
        <w:pStyle w:val="Default"/>
        <w:rPr>
          <w:sz w:val="22"/>
          <w:szCs w:val="22"/>
        </w:rPr>
      </w:pPr>
    </w:p>
    <w:p w14:paraId="6A317B3C" w14:textId="094D2D06" w:rsidR="001F0020" w:rsidRDefault="00C40BE7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Everolimus prestupoval cez </w:t>
      </w:r>
      <w:r w:rsidR="001F0020">
        <w:rPr>
          <w:sz w:val="22"/>
          <w:szCs w:val="22"/>
        </w:rPr>
        <w:t>p</w:t>
      </w:r>
      <w:r>
        <w:rPr>
          <w:sz w:val="22"/>
          <w:szCs w:val="22"/>
        </w:rPr>
        <w:t>lacentu a mal toxické účinky na </w:t>
      </w:r>
      <w:r w:rsidR="001F0020">
        <w:rPr>
          <w:sz w:val="22"/>
          <w:szCs w:val="22"/>
        </w:rPr>
        <w:t>plod.</w:t>
      </w:r>
      <w:r>
        <w:rPr>
          <w:sz w:val="22"/>
          <w:szCs w:val="22"/>
        </w:rPr>
        <w:t xml:space="preserve"> U </w:t>
      </w:r>
      <w:r w:rsidR="001F0020">
        <w:rPr>
          <w:sz w:val="22"/>
          <w:szCs w:val="22"/>
        </w:rPr>
        <w:t>potkanov everolimus vyvolával embryo</w:t>
      </w:r>
      <w:r>
        <w:rPr>
          <w:sz w:val="22"/>
          <w:szCs w:val="22"/>
        </w:rPr>
        <w:t>  fetotoxicitu pri </w:t>
      </w:r>
      <w:r w:rsidR="001F0020">
        <w:rPr>
          <w:sz w:val="22"/>
          <w:szCs w:val="22"/>
        </w:rPr>
        <w:t>systémovej expozícii nižšej, ako je terapeutická hladina. Prejavilo sa to ako mortalita a znížená hmotnosť plodov. Incidencia zm</w:t>
      </w:r>
      <w:r>
        <w:rPr>
          <w:sz w:val="22"/>
          <w:szCs w:val="22"/>
        </w:rPr>
        <w:t>ien a malformácií kostry (napr. </w:t>
      </w:r>
      <w:r w:rsidR="001F0020">
        <w:rPr>
          <w:sz w:val="22"/>
          <w:szCs w:val="22"/>
        </w:rPr>
        <w:t>rázšte</w:t>
      </w:r>
      <w:r>
        <w:rPr>
          <w:sz w:val="22"/>
          <w:szCs w:val="22"/>
        </w:rPr>
        <w:t>p hrudnej kosti) sa zvýšila pri </w:t>
      </w:r>
      <w:r w:rsidR="0068695A">
        <w:rPr>
          <w:sz w:val="22"/>
          <w:szCs w:val="22"/>
        </w:rPr>
        <w:t xml:space="preserve">dávkach </w:t>
      </w:r>
      <w:r w:rsidR="001F0020">
        <w:rPr>
          <w:sz w:val="22"/>
          <w:szCs w:val="22"/>
        </w:rPr>
        <w:t>0</w:t>
      </w:r>
      <w:r>
        <w:rPr>
          <w:sz w:val="22"/>
          <w:szCs w:val="22"/>
        </w:rPr>
        <w:t>,3 a 0,9 mg/kg. U </w:t>
      </w:r>
      <w:r w:rsidR="001F0020">
        <w:rPr>
          <w:sz w:val="22"/>
          <w:szCs w:val="22"/>
        </w:rPr>
        <w:t>králiko</w:t>
      </w:r>
      <w:r>
        <w:rPr>
          <w:sz w:val="22"/>
          <w:szCs w:val="22"/>
        </w:rPr>
        <w:t xml:space="preserve">v </w:t>
      </w:r>
      <w:r w:rsidR="0068695A">
        <w:rPr>
          <w:sz w:val="22"/>
          <w:szCs w:val="22"/>
        </w:rPr>
        <w:t xml:space="preserve">sa prejavila </w:t>
      </w:r>
      <w:r>
        <w:rPr>
          <w:sz w:val="22"/>
          <w:szCs w:val="22"/>
        </w:rPr>
        <w:t xml:space="preserve">embryotoxicita </w:t>
      </w:r>
      <w:r w:rsidR="001F0020">
        <w:rPr>
          <w:sz w:val="22"/>
          <w:szCs w:val="22"/>
        </w:rPr>
        <w:t>zvýšen</w:t>
      </w:r>
      <w:r w:rsidR="0068695A">
        <w:rPr>
          <w:sz w:val="22"/>
          <w:szCs w:val="22"/>
        </w:rPr>
        <w:t>ím</w:t>
      </w:r>
      <w:r w:rsidR="001F0020">
        <w:rPr>
          <w:sz w:val="22"/>
          <w:szCs w:val="22"/>
        </w:rPr>
        <w:t xml:space="preserve"> </w:t>
      </w:r>
      <w:r w:rsidR="0068695A">
        <w:rPr>
          <w:sz w:val="22"/>
          <w:szCs w:val="22"/>
        </w:rPr>
        <w:t xml:space="preserve">výskytu </w:t>
      </w:r>
      <w:r w:rsidR="001F0020">
        <w:rPr>
          <w:sz w:val="22"/>
          <w:szCs w:val="22"/>
        </w:rPr>
        <w:t xml:space="preserve">neskorých resorpcií. </w:t>
      </w:r>
    </w:p>
    <w:p w14:paraId="0751ABE1" w14:textId="77777777" w:rsidR="00427007" w:rsidRDefault="00427007" w:rsidP="001F0020">
      <w:pPr>
        <w:pStyle w:val="Default"/>
        <w:rPr>
          <w:sz w:val="22"/>
          <w:szCs w:val="22"/>
        </w:rPr>
      </w:pPr>
    </w:p>
    <w:p w14:paraId="633B8C9C" w14:textId="37C1C067" w:rsidR="001F0020" w:rsidRPr="003021DE" w:rsidRDefault="001F0020" w:rsidP="001F0020">
      <w:pPr>
        <w:ind w:left="0" w:firstLine="0"/>
        <w:rPr>
          <w:szCs w:val="22"/>
        </w:rPr>
      </w:pPr>
      <w:r>
        <w:rPr>
          <w:szCs w:val="22"/>
        </w:rPr>
        <w:t xml:space="preserve">Štúdie genotoxicity, ktoré </w:t>
      </w:r>
      <w:r w:rsidR="0068695A">
        <w:rPr>
          <w:szCs w:val="22"/>
        </w:rPr>
        <w:t>skúmali</w:t>
      </w:r>
      <w:r>
        <w:rPr>
          <w:szCs w:val="22"/>
        </w:rPr>
        <w:t xml:space="preserve"> významné koncové ukazovatele genotoxicity, nepreukázali klastogénnu alebo mutagénnu aktivitu. </w:t>
      </w:r>
      <w:r w:rsidR="00C40BE7">
        <w:rPr>
          <w:szCs w:val="22"/>
        </w:rPr>
        <w:t>Podávanie everolimu trvajúce až </w:t>
      </w:r>
      <w:r>
        <w:rPr>
          <w:szCs w:val="22"/>
        </w:rPr>
        <w:t>2 roky n</w:t>
      </w:r>
      <w:r w:rsidR="00C40BE7">
        <w:rPr>
          <w:szCs w:val="22"/>
        </w:rPr>
        <w:t xml:space="preserve">eodhalilo onkogénny potenciál u myší a potkanov </w:t>
      </w:r>
      <w:r w:rsidR="0068695A">
        <w:rPr>
          <w:szCs w:val="22"/>
        </w:rPr>
        <w:t>ani pri</w:t>
      </w:r>
      <w:r w:rsidR="00C40BE7">
        <w:rPr>
          <w:szCs w:val="22"/>
        </w:rPr>
        <w:t> </w:t>
      </w:r>
      <w:r>
        <w:rPr>
          <w:szCs w:val="22"/>
        </w:rPr>
        <w:t>najvyšš</w:t>
      </w:r>
      <w:r w:rsidR="0068695A">
        <w:rPr>
          <w:szCs w:val="22"/>
        </w:rPr>
        <w:t>ích</w:t>
      </w:r>
      <w:r>
        <w:rPr>
          <w:szCs w:val="22"/>
        </w:rPr>
        <w:t xml:space="preserve"> dávk</w:t>
      </w:r>
      <w:r w:rsidR="0068695A">
        <w:rPr>
          <w:szCs w:val="22"/>
        </w:rPr>
        <w:t>ach</w:t>
      </w:r>
      <w:r>
        <w:rPr>
          <w:szCs w:val="22"/>
        </w:rPr>
        <w:t>, ktoré zodpovedajú 3,9</w:t>
      </w:r>
      <w:r w:rsidR="00C40BE7">
        <w:rPr>
          <w:szCs w:val="22"/>
        </w:rPr>
        <w:t> </w:t>
      </w:r>
      <w:r>
        <w:rPr>
          <w:szCs w:val="22"/>
        </w:rPr>
        <w:t>-</w:t>
      </w:r>
      <w:r w:rsidR="00C40BE7">
        <w:rPr>
          <w:szCs w:val="22"/>
        </w:rPr>
        <w:t> </w:t>
      </w:r>
      <w:r>
        <w:rPr>
          <w:szCs w:val="22"/>
        </w:rPr>
        <w:t>násobku a 0,2</w:t>
      </w:r>
      <w:r w:rsidR="00C40BE7">
        <w:rPr>
          <w:szCs w:val="22"/>
        </w:rPr>
        <w:t> </w:t>
      </w:r>
      <w:r>
        <w:rPr>
          <w:szCs w:val="22"/>
        </w:rPr>
        <w:t>-</w:t>
      </w:r>
      <w:r w:rsidR="00C40BE7">
        <w:rPr>
          <w:szCs w:val="22"/>
        </w:rPr>
        <w:t> </w:t>
      </w:r>
      <w:r>
        <w:rPr>
          <w:szCs w:val="22"/>
        </w:rPr>
        <w:t>násobku odhadovanej klinickej expozície.</w:t>
      </w:r>
    </w:p>
    <w:p w14:paraId="7E8E2D83" w14:textId="77777777" w:rsidR="00E1698A" w:rsidRDefault="00E1698A" w:rsidP="00E41B3F">
      <w:pPr>
        <w:rPr>
          <w:szCs w:val="22"/>
        </w:rPr>
      </w:pPr>
    </w:p>
    <w:p w14:paraId="2F74E98F" w14:textId="77777777" w:rsidR="00427007" w:rsidRPr="003021DE" w:rsidRDefault="00427007" w:rsidP="00E41B3F">
      <w:pPr>
        <w:rPr>
          <w:szCs w:val="22"/>
        </w:rPr>
      </w:pPr>
    </w:p>
    <w:p w14:paraId="3330ED3D" w14:textId="77777777" w:rsidR="00780926" w:rsidRPr="003021DE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770A1247" w14:textId="77777777" w:rsidR="00780926" w:rsidRPr="003021DE" w:rsidRDefault="00780926" w:rsidP="00C40BE7">
      <w:pPr>
        <w:keepNext/>
        <w:rPr>
          <w:szCs w:val="22"/>
        </w:rPr>
      </w:pPr>
    </w:p>
    <w:p w14:paraId="586C14D1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45678CD6" w14:textId="77777777" w:rsidR="00780926" w:rsidRPr="003021DE" w:rsidRDefault="00780926" w:rsidP="00C40BE7">
      <w:pPr>
        <w:keepNext/>
      </w:pPr>
    </w:p>
    <w:p w14:paraId="3092D1B3" w14:textId="77777777" w:rsidR="00427007" w:rsidRPr="00785076" w:rsidRDefault="00427007" w:rsidP="000E5C0F">
      <w:pPr>
        <w:rPr>
          <w:szCs w:val="22"/>
        </w:rPr>
      </w:pPr>
      <w:r>
        <w:rPr>
          <w:szCs w:val="22"/>
        </w:rPr>
        <w:t>Butylhydroxytoluén (E321)</w:t>
      </w:r>
    </w:p>
    <w:p w14:paraId="0B837F58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Hypromelóza</w:t>
      </w:r>
      <w:r w:rsidRPr="00834789">
        <w:rPr>
          <w:szCs w:val="22"/>
          <w:lang w:val="es-ES_tradnl"/>
        </w:rPr>
        <w:t xml:space="preserve"> (E464)</w:t>
      </w:r>
    </w:p>
    <w:p w14:paraId="4EB9191A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Laktóza</w:t>
      </w:r>
    </w:p>
    <w:p w14:paraId="2E04D4E3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Monohydrát laktózy</w:t>
      </w:r>
    </w:p>
    <w:p w14:paraId="0A67C529" w14:textId="1EFF0151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Krospovidón </w:t>
      </w:r>
      <w:r w:rsidRPr="00834789">
        <w:rPr>
          <w:szCs w:val="22"/>
          <w:lang w:val="es-ES_tradnl"/>
        </w:rPr>
        <w:t>(E1202)</w:t>
      </w:r>
    </w:p>
    <w:p w14:paraId="4A036E51" w14:textId="37E2485C" w:rsidR="00427007" w:rsidRPr="00785076" w:rsidRDefault="0068695A" w:rsidP="00427007">
      <w:pPr>
        <w:rPr>
          <w:szCs w:val="22"/>
        </w:rPr>
      </w:pPr>
      <w:r>
        <w:rPr>
          <w:szCs w:val="22"/>
        </w:rPr>
        <w:t>Stearan horečnatý</w:t>
      </w:r>
      <w:r w:rsidR="00427007">
        <w:rPr>
          <w:szCs w:val="22"/>
        </w:rPr>
        <w:t xml:space="preserve"> (E470b)</w:t>
      </w:r>
    </w:p>
    <w:p w14:paraId="00ABEAA7" w14:textId="77777777" w:rsidR="00780926" w:rsidRPr="003021DE" w:rsidRDefault="00780926" w:rsidP="00E41B3F">
      <w:pPr>
        <w:rPr>
          <w:szCs w:val="22"/>
        </w:rPr>
      </w:pPr>
    </w:p>
    <w:p w14:paraId="5E55B83F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198A2FD8" w14:textId="77777777" w:rsidR="00780926" w:rsidRPr="003021DE" w:rsidRDefault="00780926" w:rsidP="00C40BE7">
      <w:pPr>
        <w:keepNext/>
        <w:rPr>
          <w:szCs w:val="22"/>
        </w:rPr>
      </w:pPr>
    </w:p>
    <w:p w14:paraId="655A2012" w14:textId="77777777" w:rsidR="00780926" w:rsidRPr="003021DE" w:rsidRDefault="00780926" w:rsidP="00E41B3F">
      <w:pPr>
        <w:rPr>
          <w:szCs w:val="22"/>
        </w:rPr>
      </w:pPr>
      <w:r w:rsidRPr="003021DE">
        <w:t>Neaplikovateľné</w:t>
      </w:r>
      <w:r w:rsidR="00427007">
        <w:rPr>
          <w:szCs w:val="22"/>
        </w:rPr>
        <w:t>.</w:t>
      </w:r>
    </w:p>
    <w:p w14:paraId="4D8D51FE" w14:textId="77777777" w:rsidR="00780926" w:rsidRPr="003021DE" w:rsidRDefault="00780926" w:rsidP="00D513D2">
      <w:pPr>
        <w:rPr>
          <w:szCs w:val="22"/>
        </w:rPr>
      </w:pPr>
    </w:p>
    <w:p w14:paraId="418F55FD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32E2A726" w14:textId="77777777" w:rsidR="00780926" w:rsidRPr="003021DE" w:rsidRDefault="00780926" w:rsidP="00C40BE7">
      <w:pPr>
        <w:keepNext/>
        <w:rPr>
          <w:szCs w:val="22"/>
        </w:rPr>
      </w:pPr>
    </w:p>
    <w:p w14:paraId="3C332749" w14:textId="4BF23E39" w:rsidR="00780926" w:rsidRPr="00DB68AF" w:rsidRDefault="001E78B4" w:rsidP="00B13F68">
      <w:r>
        <w:rPr>
          <w:szCs w:val="22"/>
        </w:rPr>
        <w:t>3</w:t>
      </w:r>
      <w:r w:rsidR="00427007">
        <w:rPr>
          <w:szCs w:val="22"/>
        </w:rPr>
        <w:t xml:space="preserve"> roky</w:t>
      </w:r>
    </w:p>
    <w:p w14:paraId="1176E421" w14:textId="77777777" w:rsidR="00780926" w:rsidRPr="003021DE" w:rsidRDefault="00780926" w:rsidP="00B13F68"/>
    <w:p w14:paraId="191A79D7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27C0FB42" w14:textId="77777777" w:rsidR="00780926" w:rsidRPr="00B13F68" w:rsidRDefault="00780926" w:rsidP="00C40BE7">
      <w:pPr>
        <w:keepNext/>
      </w:pPr>
    </w:p>
    <w:p w14:paraId="3173D7C3" w14:textId="77777777" w:rsidR="00780926" w:rsidRPr="00B13F68" w:rsidRDefault="00C40BE7" w:rsidP="00B13F68">
      <w:pPr>
        <w:rPr>
          <w:i/>
        </w:rPr>
      </w:pPr>
      <w:r>
        <w:rPr>
          <w:noProof/>
        </w:rPr>
        <w:t xml:space="preserve">Uchovávajte v pôvodnom obale na ochranu pred </w:t>
      </w:r>
      <w:r w:rsidR="00427007">
        <w:rPr>
          <w:noProof/>
        </w:rPr>
        <w:t>svetlom</w:t>
      </w:r>
    </w:p>
    <w:p w14:paraId="442923F0" w14:textId="77777777" w:rsidR="00427007" w:rsidRPr="00896A8C" w:rsidRDefault="00427007" w:rsidP="00427007">
      <w:pPr>
        <w:ind w:right="-1"/>
        <w:rPr>
          <w:bCs/>
          <w:iCs/>
          <w:szCs w:val="22"/>
        </w:rPr>
      </w:pPr>
      <w:r>
        <w:rPr>
          <w:szCs w:val="22"/>
        </w:rPr>
        <w:t>Tento liek nevyžaduje žiadne</w:t>
      </w:r>
      <w:r w:rsidR="00C40BE7">
        <w:rPr>
          <w:szCs w:val="22"/>
        </w:rPr>
        <w:t xml:space="preserve"> zvláštne teplotné podmienky na </w:t>
      </w:r>
      <w:r>
        <w:rPr>
          <w:szCs w:val="22"/>
        </w:rPr>
        <w:t>uchovávanie</w:t>
      </w:r>
      <w:r w:rsidRPr="00896A8C">
        <w:rPr>
          <w:szCs w:val="22"/>
        </w:rPr>
        <w:t>.</w:t>
      </w:r>
    </w:p>
    <w:p w14:paraId="79548EB1" w14:textId="77777777" w:rsidR="00780926" w:rsidRPr="003021DE" w:rsidRDefault="00780926" w:rsidP="00B13F68"/>
    <w:p w14:paraId="3BF31AB5" w14:textId="77777777" w:rsidR="00780926" w:rsidRPr="00DB68AF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 xml:space="preserve">Druh obalu a obsah </w:t>
      </w:r>
      <w:r w:rsidR="000E5C0F">
        <w:rPr>
          <w:b/>
          <w:szCs w:val="22"/>
        </w:rPr>
        <w:t>balenia</w:t>
      </w:r>
    </w:p>
    <w:p w14:paraId="785455B6" w14:textId="77777777" w:rsidR="00427007" w:rsidRPr="003021DE" w:rsidRDefault="00427007" w:rsidP="00C40BE7">
      <w:pPr>
        <w:keepNext/>
        <w:rPr>
          <w:szCs w:val="22"/>
        </w:rPr>
      </w:pPr>
    </w:p>
    <w:p w14:paraId="56691DA7" w14:textId="56D9FB3C" w:rsidR="00427007" w:rsidRDefault="002A18FE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>
        <w:rPr>
          <w:color w:val="000000"/>
          <w:szCs w:val="22"/>
          <w:lang w:val="en-US" w:eastAsia="en-US"/>
        </w:rPr>
        <w:t>Škatuľka obsahuje 30 alebo 90 tabliet v o</w:t>
      </w:r>
      <w:r w:rsidR="00427007">
        <w:rPr>
          <w:color w:val="000000"/>
          <w:szCs w:val="22"/>
          <w:lang w:val="en-US" w:eastAsia="en-US"/>
        </w:rPr>
        <w:t>PA/Al/PVC/Al</w:t>
      </w:r>
      <w:r>
        <w:rPr>
          <w:color w:val="000000"/>
          <w:szCs w:val="22"/>
          <w:lang w:val="en-US" w:eastAsia="en-US"/>
        </w:rPr>
        <w:t xml:space="preserve"> blistroch.</w:t>
      </w:r>
    </w:p>
    <w:p w14:paraId="469D540C" w14:textId="6878558C" w:rsidR="002A18FE" w:rsidRDefault="002A18FE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>
        <w:rPr>
          <w:color w:val="000000"/>
          <w:szCs w:val="22"/>
          <w:lang w:val="en-US" w:eastAsia="en-US"/>
        </w:rPr>
        <w:t xml:space="preserve">Škatuľka obsahuje 30 tabliet v oPA/Al/PVC/Al </w:t>
      </w:r>
      <w:r w:rsidRPr="002A18FE">
        <w:rPr>
          <w:color w:val="000000"/>
          <w:szCs w:val="22"/>
          <w:lang w:val="en-US" w:eastAsia="en-US"/>
        </w:rPr>
        <w:t>perforovaný</w:t>
      </w:r>
      <w:r>
        <w:rPr>
          <w:color w:val="000000"/>
          <w:szCs w:val="22"/>
          <w:lang w:val="en-US" w:eastAsia="en-US"/>
        </w:rPr>
        <w:t>ch</w:t>
      </w:r>
      <w:r w:rsidRPr="002A18FE">
        <w:rPr>
          <w:color w:val="000000"/>
          <w:szCs w:val="22"/>
          <w:lang w:val="en-US" w:eastAsia="en-US"/>
        </w:rPr>
        <w:t xml:space="preserve"> blistr</w:t>
      </w:r>
      <w:r>
        <w:rPr>
          <w:color w:val="000000"/>
          <w:szCs w:val="22"/>
          <w:lang w:val="en-US" w:eastAsia="en-US"/>
        </w:rPr>
        <w:t>och</w:t>
      </w:r>
      <w:r w:rsidRPr="002A18FE">
        <w:rPr>
          <w:color w:val="000000"/>
          <w:szCs w:val="22"/>
          <w:lang w:val="en-US" w:eastAsia="en-US"/>
        </w:rPr>
        <w:t xml:space="preserve"> s</w:t>
      </w:r>
      <w:r>
        <w:rPr>
          <w:color w:val="000000"/>
          <w:szCs w:val="22"/>
          <w:lang w:val="en-US" w:eastAsia="en-US"/>
        </w:rPr>
        <w:t> </w:t>
      </w:r>
      <w:r w:rsidRPr="002A18FE">
        <w:rPr>
          <w:color w:val="000000"/>
          <w:szCs w:val="22"/>
          <w:lang w:val="en-US" w:eastAsia="en-US"/>
        </w:rPr>
        <w:t>jednotlivými dávkami</w:t>
      </w:r>
      <w:r>
        <w:rPr>
          <w:color w:val="000000"/>
          <w:szCs w:val="22"/>
          <w:lang w:val="en-US" w:eastAsia="en-US"/>
        </w:rPr>
        <w:t>.</w:t>
      </w:r>
    </w:p>
    <w:p w14:paraId="19A3774C" w14:textId="77777777" w:rsidR="00F65DA1" w:rsidRDefault="00F65DA1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</w:p>
    <w:p w14:paraId="5CFC3137" w14:textId="77777777" w:rsidR="00780926" w:rsidRPr="003021DE" w:rsidRDefault="00C40BE7" w:rsidP="00B13F68">
      <w:pPr>
        <w:rPr>
          <w:szCs w:val="22"/>
        </w:rPr>
      </w:pPr>
      <w:r>
        <w:t>Na </w:t>
      </w:r>
      <w:r w:rsidR="00427007" w:rsidRPr="00BF5AB0">
        <w:t>trh nemusia byť uvedené všetky veľkosti balenia</w:t>
      </w:r>
      <w:r w:rsidR="00427007" w:rsidRPr="005504F6">
        <w:rPr>
          <w:szCs w:val="22"/>
        </w:rPr>
        <w:t>.</w:t>
      </w:r>
    </w:p>
    <w:p w14:paraId="51F8F23B" w14:textId="77777777" w:rsidR="00427007" w:rsidRPr="00A75ECC" w:rsidRDefault="00427007" w:rsidP="00B13F68"/>
    <w:p w14:paraId="5671A6CF" w14:textId="77777777" w:rsidR="00780926" w:rsidRPr="00B13F68" w:rsidRDefault="00780926" w:rsidP="00C40BE7">
      <w:pPr>
        <w:keepNext/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F65DA1">
        <w:rPr>
          <w:b/>
          <w:bCs/>
          <w:noProof/>
        </w:rPr>
        <w:t>liekom</w:t>
      </w:r>
    </w:p>
    <w:p w14:paraId="61194A2F" w14:textId="77777777" w:rsidR="00780926" w:rsidRPr="00B13F68" w:rsidRDefault="00780926" w:rsidP="00C40BE7">
      <w:pPr>
        <w:keepNext/>
        <w:rPr>
          <w:bCs/>
          <w:noProof/>
        </w:rPr>
      </w:pPr>
    </w:p>
    <w:p w14:paraId="223FD800" w14:textId="77777777" w:rsidR="00780926" w:rsidRPr="003021DE" w:rsidRDefault="004257EC" w:rsidP="00E41B3F">
      <w:pPr>
        <w:ind w:left="0" w:firstLine="0"/>
        <w:rPr>
          <w:szCs w:val="22"/>
        </w:rPr>
      </w:pPr>
      <w:r w:rsidRPr="00967A2F">
        <w:rPr>
          <w:szCs w:val="22"/>
        </w:rPr>
        <w:t>Všetok nepouži</w:t>
      </w:r>
      <w:r w:rsidR="00C40BE7">
        <w:rPr>
          <w:szCs w:val="22"/>
        </w:rPr>
        <w:t>tý liek alebo odpad vzniknutý z </w:t>
      </w:r>
      <w:r w:rsidRPr="00967A2F">
        <w:rPr>
          <w:szCs w:val="22"/>
        </w:rPr>
        <w:t xml:space="preserve">lieku sa </w:t>
      </w:r>
      <w:r w:rsidR="00C40BE7">
        <w:rPr>
          <w:szCs w:val="22"/>
        </w:rPr>
        <w:t>má zlikvidovať v súlade s </w:t>
      </w:r>
      <w:r w:rsidRPr="00967A2F">
        <w:rPr>
          <w:szCs w:val="22"/>
        </w:rPr>
        <w:t>národnými požiadavkami.</w:t>
      </w:r>
    </w:p>
    <w:p w14:paraId="064E3332" w14:textId="77777777" w:rsidR="00780926" w:rsidRPr="003021DE" w:rsidRDefault="00780926" w:rsidP="00E41B3F">
      <w:pPr>
        <w:rPr>
          <w:szCs w:val="22"/>
        </w:rPr>
      </w:pPr>
    </w:p>
    <w:p w14:paraId="010ECBAD" w14:textId="77777777" w:rsidR="00780926" w:rsidRPr="003021DE" w:rsidRDefault="00780926" w:rsidP="000E5C0F">
      <w:pPr>
        <w:rPr>
          <w:szCs w:val="22"/>
        </w:rPr>
      </w:pPr>
    </w:p>
    <w:p w14:paraId="2FA85C67" w14:textId="77777777" w:rsidR="00780926" w:rsidRPr="003021DE" w:rsidRDefault="002D413F" w:rsidP="002D413F">
      <w:pPr>
        <w:keepNext/>
        <w:keepLines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 </w:t>
      </w:r>
      <w:r w:rsidR="00780926" w:rsidRPr="003021DE">
        <w:rPr>
          <w:b/>
          <w:szCs w:val="22"/>
        </w:rPr>
        <w:t>REGISTRÁCII</w:t>
      </w:r>
    </w:p>
    <w:p w14:paraId="68EDA9DE" w14:textId="77777777" w:rsidR="00780926" w:rsidRPr="003021DE" w:rsidRDefault="00780926" w:rsidP="002D413F">
      <w:pPr>
        <w:keepNext/>
        <w:keepLines/>
        <w:rPr>
          <w:szCs w:val="22"/>
        </w:rPr>
      </w:pPr>
    </w:p>
    <w:p w14:paraId="0E237E90" w14:textId="77777777" w:rsidR="008B6E95" w:rsidRPr="008B6E95" w:rsidRDefault="008B6E95" w:rsidP="008B6E95">
      <w:pPr>
        <w:keepNext/>
        <w:keepLines/>
        <w:rPr>
          <w:lang w:val="en-US"/>
        </w:rPr>
      </w:pPr>
      <w:r w:rsidRPr="008B6E95">
        <w:rPr>
          <w:lang w:val="en-US"/>
        </w:rPr>
        <w:t>Mylan Ireland Limited</w:t>
      </w:r>
    </w:p>
    <w:p w14:paraId="02BB1E47" w14:textId="77777777" w:rsidR="008B6E95" w:rsidRPr="008B6E95" w:rsidRDefault="008B6E95" w:rsidP="00DE7496">
      <w:pPr>
        <w:rPr>
          <w:lang w:val="en-US"/>
        </w:rPr>
      </w:pPr>
      <w:r w:rsidRPr="008B6E95">
        <w:rPr>
          <w:lang w:val="en-US"/>
        </w:rPr>
        <w:t>Unit 35/36 Grange Parade</w:t>
      </w:r>
    </w:p>
    <w:p w14:paraId="5F85339A" w14:textId="77777777" w:rsidR="008B6E95" w:rsidRPr="008B6E95" w:rsidRDefault="008B6E95" w:rsidP="00DE7496">
      <w:pPr>
        <w:rPr>
          <w:lang w:val="en-US"/>
        </w:rPr>
      </w:pPr>
      <w:r w:rsidRPr="008B6E95">
        <w:rPr>
          <w:lang w:val="en-US"/>
        </w:rPr>
        <w:t>Baldoyle Industrial Estate</w:t>
      </w:r>
    </w:p>
    <w:p w14:paraId="383C78D8" w14:textId="77777777" w:rsidR="008B6E95" w:rsidRDefault="008B6E95" w:rsidP="00DE7496">
      <w:pPr>
        <w:rPr>
          <w:lang w:val="en-US"/>
        </w:rPr>
      </w:pPr>
      <w:r w:rsidRPr="008B6E95">
        <w:rPr>
          <w:lang w:val="en-US"/>
        </w:rPr>
        <w:t>Dublin</w:t>
      </w:r>
      <w:r>
        <w:rPr>
          <w:lang w:val="en-US"/>
        </w:rPr>
        <w:t xml:space="preserve"> 13</w:t>
      </w:r>
    </w:p>
    <w:p w14:paraId="1419826D" w14:textId="7C3DFA9C" w:rsidR="008B6E95" w:rsidRPr="008B6E95" w:rsidRDefault="008B6E95" w:rsidP="00DE7496">
      <w:r w:rsidRPr="008B6E95">
        <w:rPr>
          <w:lang w:val="en-US"/>
        </w:rPr>
        <w:t>Írsko</w:t>
      </w:r>
    </w:p>
    <w:p w14:paraId="0B5D4018" w14:textId="77777777" w:rsidR="00780926" w:rsidRPr="00B13F68" w:rsidRDefault="00780926" w:rsidP="00E41B3F">
      <w:pPr>
        <w:rPr>
          <w:szCs w:val="22"/>
        </w:rPr>
      </w:pPr>
    </w:p>
    <w:p w14:paraId="13708288" w14:textId="77777777" w:rsidR="00780926" w:rsidRPr="00B13F68" w:rsidRDefault="00780926" w:rsidP="00E41B3F">
      <w:pPr>
        <w:rPr>
          <w:szCs w:val="22"/>
        </w:rPr>
      </w:pPr>
    </w:p>
    <w:p w14:paraId="5E4C5C84" w14:textId="77777777" w:rsidR="00780926" w:rsidRPr="003021DE" w:rsidRDefault="002D413F" w:rsidP="002D413F">
      <w:pPr>
        <w:keepNext/>
        <w:keepLines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 </w:t>
      </w:r>
      <w:r w:rsidR="00780926" w:rsidRPr="003021DE">
        <w:rPr>
          <w:b/>
          <w:szCs w:val="22"/>
        </w:rPr>
        <w:t>ČÍSLA</w:t>
      </w:r>
    </w:p>
    <w:p w14:paraId="32862E3D" w14:textId="77777777" w:rsidR="00780926" w:rsidRPr="00B13F68" w:rsidRDefault="00780926" w:rsidP="002D413F">
      <w:pPr>
        <w:keepNext/>
        <w:keepLines/>
      </w:pPr>
    </w:p>
    <w:p w14:paraId="60A89E6B" w14:textId="7598FF94" w:rsidR="00780926" w:rsidRPr="003021DE" w:rsidRDefault="002D413F" w:rsidP="000E5C0F">
      <w:pPr>
        <w:rPr>
          <w:szCs w:val="22"/>
        </w:rPr>
      </w:pPr>
      <w:r>
        <w:rPr>
          <w:szCs w:val="22"/>
        </w:rPr>
        <w:t>Everolimus Mylan 2,5 </w:t>
      </w:r>
      <w:r w:rsidR="00A9476F" w:rsidRPr="00A9476F">
        <w:rPr>
          <w:szCs w:val="22"/>
        </w:rPr>
        <w:t>mg tablety</w:t>
      </w:r>
      <w:r w:rsidR="00A9476F">
        <w:rPr>
          <w:szCs w:val="22"/>
        </w:rPr>
        <w:t>:</w:t>
      </w:r>
      <w:r w:rsidR="003D445B">
        <w:rPr>
          <w:szCs w:val="22"/>
        </w:rPr>
        <w:t xml:space="preserve"> </w:t>
      </w:r>
      <w:r w:rsidR="003D445B" w:rsidRPr="003D445B">
        <w:rPr>
          <w:szCs w:val="22"/>
        </w:rPr>
        <w:t>44/0256/18-S</w:t>
      </w:r>
    </w:p>
    <w:p w14:paraId="3FD25AEB" w14:textId="19B72F28" w:rsidR="00780926" w:rsidRDefault="00A9476F" w:rsidP="000E5C0F">
      <w:pPr>
        <w:rPr>
          <w:szCs w:val="22"/>
        </w:rPr>
      </w:pPr>
      <w:r w:rsidRPr="00A9476F">
        <w:rPr>
          <w:szCs w:val="22"/>
        </w:rPr>
        <w:t>Everolimus</w:t>
      </w:r>
      <w:r w:rsidR="002D413F">
        <w:rPr>
          <w:szCs w:val="22"/>
        </w:rPr>
        <w:t xml:space="preserve"> Mylan 5 </w:t>
      </w:r>
      <w:r w:rsidRPr="00A9476F">
        <w:rPr>
          <w:szCs w:val="22"/>
        </w:rPr>
        <w:t>mg tablety</w:t>
      </w:r>
      <w:r>
        <w:rPr>
          <w:szCs w:val="22"/>
        </w:rPr>
        <w:t>:</w:t>
      </w:r>
      <w:r w:rsidR="003D445B">
        <w:rPr>
          <w:szCs w:val="22"/>
        </w:rPr>
        <w:t xml:space="preserve"> 44/0257</w:t>
      </w:r>
      <w:r w:rsidR="003D445B" w:rsidRPr="003D445B">
        <w:rPr>
          <w:szCs w:val="22"/>
        </w:rPr>
        <w:t>/18-S</w:t>
      </w:r>
    </w:p>
    <w:p w14:paraId="03F6C05E" w14:textId="3333D91A" w:rsidR="00A9476F" w:rsidRDefault="00A9476F" w:rsidP="000E5C0F">
      <w:pPr>
        <w:rPr>
          <w:szCs w:val="22"/>
        </w:rPr>
      </w:pPr>
      <w:r w:rsidRPr="00A9476F">
        <w:rPr>
          <w:szCs w:val="22"/>
        </w:rPr>
        <w:t xml:space="preserve">Everolimus Mylan </w:t>
      </w:r>
      <w:r>
        <w:rPr>
          <w:szCs w:val="22"/>
        </w:rPr>
        <w:t>10</w:t>
      </w:r>
      <w:r w:rsidR="002D413F">
        <w:rPr>
          <w:szCs w:val="22"/>
        </w:rPr>
        <w:t> </w:t>
      </w:r>
      <w:r w:rsidRPr="00A9476F">
        <w:rPr>
          <w:szCs w:val="22"/>
        </w:rPr>
        <w:t>mg tablety</w:t>
      </w:r>
      <w:r>
        <w:rPr>
          <w:szCs w:val="22"/>
        </w:rPr>
        <w:t>:</w:t>
      </w:r>
      <w:r w:rsidR="003D445B">
        <w:rPr>
          <w:szCs w:val="22"/>
        </w:rPr>
        <w:t xml:space="preserve"> 44/0258</w:t>
      </w:r>
      <w:r w:rsidR="003D445B" w:rsidRPr="003D445B">
        <w:rPr>
          <w:szCs w:val="22"/>
        </w:rPr>
        <w:t>/18-S</w:t>
      </w:r>
    </w:p>
    <w:p w14:paraId="2C3E8534" w14:textId="77777777" w:rsidR="00A9476F" w:rsidRDefault="00A9476F" w:rsidP="000E5C0F">
      <w:pPr>
        <w:rPr>
          <w:szCs w:val="22"/>
        </w:rPr>
      </w:pPr>
    </w:p>
    <w:p w14:paraId="7588F86D" w14:textId="77777777" w:rsidR="00A9476F" w:rsidRPr="003021DE" w:rsidRDefault="00A9476F" w:rsidP="00D513D2">
      <w:pPr>
        <w:rPr>
          <w:szCs w:val="22"/>
        </w:rPr>
      </w:pPr>
    </w:p>
    <w:p w14:paraId="22AF53F4" w14:textId="77777777" w:rsidR="00780926" w:rsidRPr="003021DE" w:rsidRDefault="00780926" w:rsidP="002D413F">
      <w:pPr>
        <w:keepNext/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3B346FEA" w14:textId="77777777" w:rsidR="00780926" w:rsidRPr="003021DE" w:rsidRDefault="00780926" w:rsidP="002D413F">
      <w:pPr>
        <w:keepNext/>
        <w:rPr>
          <w:szCs w:val="22"/>
        </w:rPr>
      </w:pPr>
    </w:p>
    <w:p w14:paraId="65B6274B" w14:textId="644E5B13" w:rsidR="001D1B4B" w:rsidRPr="00B13F68" w:rsidRDefault="00A9476F" w:rsidP="00B13F68">
      <w:pPr>
        <w:rPr>
          <w:noProof/>
        </w:rPr>
      </w:pPr>
      <w:r>
        <w:rPr>
          <w:noProof/>
        </w:rPr>
        <w:t>Dátum prvej registrácie:</w:t>
      </w:r>
      <w:r w:rsidR="008B6E95">
        <w:rPr>
          <w:noProof/>
        </w:rPr>
        <w:t xml:space="preserve"> 30.augusta 2018</w:t>
      </w:r>
    </w:p>
    <w:p w14:paraId="180E466F" w14:textId="77777777" w:rsidR="00780926" w:rsidRPr="003021DE" w:rsidRDefault="00780926" w:rsidP="00B13F68">
      <w:pPr>
        <w:rPr>
          <w:szCs w:val="22"/>
        </w:rPr>
      </w:pPr>
    </w:p>
    <w:p w14:paraId="76B0D029" w14:textId="77777777" w:rsidR="00780926" w:rsidRPr="003021DE" w:rsidRDefault="00780926" w:rsidP="00B13F68">
      <w:pPr>
        <w:rPr>
          <w:szCs w:val="22"/>
        </w:rPr>
      </w:pPr>
    </w:p>
    <w:p w14:paraId="782EABCD" w14:textId="77777777"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3181E1DE" w14:textId="77777777" w:rsidR="00780926" w:rsidRPr="003021DE" w:rsidRDefault="00780926" w:rsidP="00B13F68">
      <w:pPr>
        <w:ind w:left="0" w:firstLine="0"/>
        <w:rPr>
          <w:noProof/>
          <w:szCs w:val="22"/>
        </w:rPr>
      </w:pPr>
    </w:p>
    <w:p w14:paraId="717FBDB4" w14:textId="2749DF9C" w:rsidR="00780926" w:rsidRPr="00B13F68" w:rsidRDefault="002A18FE" w:rsidP="00DE7496">
      <w:pPr>
        <w:rPr>
          <w:noProof/>
          <w:szCs w:val="22"/>
        </w:rPr>
      </w:pPr>
      <w:r>
        <w:rPr>
          <w:noProof/>
          <w:szCs w:val="22"/>
        </w:rPr>
        <w:t>0</w:t>
      </w:r>
      <w:r w:rsidR="001E78B4">
        <w:rPr>
          <w:noProof/>
          <w:szCs w:val="22"/>
        </w:rPr>
        <w:t>9</w:t>
      </w:r>
      <w:r>
        <w:rPr>
          <w:noProof/>
          <w:szCs w:val="22"/>
        </w:rPr>
        <w:t>/2020</w:t>
      </w:r>
    </w:p>
    <w:sectPr w:rsidR="00780926" w:rsidRPr="00B13F68" w:rsidSect="00A9476F">
      <w:headerReference w:type="default" r:id="rId15"/>
      <w:footerReference w:type="defaul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0B1D5" w14:textId="77777777" w:rsidR="00211F6E" w:rsidRDefault="00211F6E">
      <w:r>
        <w:separator/>
      </w:r>
    </w:p>
  </w:endnote>
  <w:endnote w:type="continuationSeparator" w:id="0">
    <w:p w14:paraId="053F531A" w14:textId="77777777" w:rsidR="00211F6E" w:rsidRDefault="0021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E822C" w14:textId="50B405E8" w:rsidR="00FA06C4" w:rsidRPr="00B13F68" w:rsidRDefault="00FA06C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AE12F7">
      <w:rPr>
        <w:rStyle w:val="slostrany"/>
        <w:rFonts w:ascii="Arial" w:hAnsi="Arial" w:cs="Arial"/>
        <w:noProof/>
      </w:rPr>
      <w:t>4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9EE7" w14:textId="77777777" w:rsidR="00FA06C4" w:rsidRDefault="00FA06C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47D56" w14:textId="77777777" w:rsidR="00211F6E" w:rsidRDefault="00211F6E">
      <w:r>
        <w:separator/>
      </w:r>
    </w:p>
  </w:footnote>
  <w:footnote w:type="continuationSeparator" w:id="0">
    <w:p w14:paraId="295CB4F5" w14:textId="77777777" w:rsidR="00211F6E" w:rsidRDefault="0021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EE43B" w14:textId="1752ACC3" w:rsidR="00FA06C4" w:rsidRPr="00A9476F" w:rsidRDefault="009A4B1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1E78B4"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t xml:space="preserve"> k notifikácii o zmene, ev. č.:</w:t>
    </w:r>
    <w:r w:rsidR="001E78B4" w:rsidRPr="001E78B4">
      <w:rPr>
        <w:rFonts w:ascii="Times New Roman" w:hAnsi="Times New Roman"/>
        <w:sz w:val="18"/>
        <w:szCs w:val="18"/>
        <w:lang w:val="sk-SK"/>
      </w:rPr>
      <w:t>2020/03750-Z1B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CC4"/>
    <w:multiLevelType w:val="hybridMultilevel"/>
    <w:tmpl w:val="B4025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433"/>
    <w:multiLevelType w:val="hybridMultilevel"/>
    <w:tmpl w:val="F6C21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395"/>
    <w:multiLevelType w:val="hybridMultilevel"/>
    <w:tmpl w:val="92F09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709"/>
    <w:multiLevelType w:val="hybridMultilevel"/>
    <w:tmpl w:val="D632B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2A3269BE"/>
    <w:multiLevelType w:val="hybridMultilevel"/>
    <w:tmpl w:val="C52A5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621DB"/>
    <w:multiLevelType w:val="hybridMultilevel"/>
    <w:tmpl w:val="0F629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4E345B5B"/>
    <w:multiLevelType w:val="hybridMultilevel"/>
    <w:tmpl w:val="ED988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54A8"/>
    <w:multiLevelType w:val="hybridMultilevel"/>
    <w:tmpl w:val="E2044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C7620"/>
    <w:multiLevelType w:val="hybridMultilevel"/>
    <w:tmpl w:val="0DD85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1316BA"/>
    <w:multiLevelType w:val="hybridMultilevel"/>
    <w:tmpl w:val="5E4CE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F3E"/>
    <w:multiLevelType w:val="hybridMultilevel"/>
    <w:tmpl w:val="D8108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5386"/>
    <w:multiLevelType w:val="hybridMultilevel"/>
    <w:tmpl w:val="0F92B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53C00"/>
    <w:multiLevelType w:val="hybridMultilevel"/>
    <w:tmpl w:val="12D26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6C5E"/>
    <w:multiLevelType w:val="hybridMultilevel"/>
    <w:tmpl w:val="5352E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262D"/>
    <w:multiLevelType w:val="hybridMultilevel"/>
    <w:tmpl w:val="50F09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8193310"/>
    <w:multiLevelType w:val="hybridMultilevel"/>
    <w:tmpl w:val="5964E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2"/>
  </w:num>
  <w:num w:numId="16">
    <w:abstractNumId w:val="19"/>
  </w:num>
  <w:num w:numId="17">
    <w:abstractNumId w:val="25"/>
  </w:num>
  <w:num w:numId="18">
    <w:abstractNumId w:val="1"/>
  </w:num>
  <w:num w:numId="19">
    <w:abstractNumId w:val="20"/>
  </w:num>
  <w:num w:numId="20">
    <w:abstractNumId w:val="9"/>
  </w:num>
  <w:num w:numId="21">
    <w:abstractNumId w:val="17"/>
  </w:num>
  <w:num w:numId="22">
    <w:abstractNumId w:val="16"/>
  </w:num>
  <w:num w:numId="23">
    <w:abstractNumId w:val="13"/>
  </w:num>
  <w:num w:numId="24">
    <w:abstractNumId w:val="5"/>
  </w:num>
  <w:num w:numId="25">
    <w:abstractNumId w:val="2"/>
  </w:num>
  <w:num w:numId="26">
    <w:abstractNumId w:val="15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54E4"/>
    <w:rsid w:val="00026803"/>
    <w:rsid w:val="0002762A"/>
    <w:rsid w:val="00040726"/>
    <w:rsid w:val="00044138"/>
    <w:rsid w:val="00052EE2"/>
    <w:rsid w:val="00056045"/>
    <w:rsid w:val="00057184"/>
    <w:rsid w:val="00061445"/>
    <w:rsid w:val="000615D2"/>
    <w:rsid w:val="00077CF6"/>
    <w:rsid w:val="00082578"/>
    <w:rsid w:val="00085BF0"/>
    <w:rsid w:val="00090230"/>
    <w:rsid w:val="00091F65"/>
    <w:rsid w:val="00095EF6"/>
    <w:rsid w:val="00096CAA"/>
    <w:rsid w:val="000B13AD"/>
    <w:rsid w:val="000B6759"/>
    <w:rsid w:val="000C534D"/>
    <w:rsid w:val="000D3B1B"/>
    <w:rsid w:val="000E2174"/>
    <w:rsid w:val="000E3D7D"/>
    <w:rsid w:val="000E5C0F"/>
    <w:rsid w:val="000E6408"/>
    <w:rsid w:val="000E7685"/>
    <w:rsid w:val="000F1E8D"/>
    <w:rsid w:val="001001CE"/>
    <w:rsid w:val="001026C2"/>
    <w:rsid w:val="001114AF"/>
    <w:rsid w:val="00111E1A"/>
    <w:rsid w:val="001150F2"/>
    <w:rsid w:val="00120FF4"/>
    <w:rsid w:val="001234F1"/>
    <w:rsid w:val="00124101"/>
    <w:rsid w:val="001334A2"/>
    <w:rsid w:val="00134157"/>
    <w:rsid w:val="00134B55"/>
    <w:rsid w:val="00135894"/>
    <w:rsid w:val="001406FE"/>
    <w:rsid w:val="00141412"/>
    <w:rsid w:val="00141BD1"/>
    <w:rsid w:val="00153362"/>
    <w:rsid w:val="0015367B"/>
    <w:rsid w:val="001571A6"/>
    <w:rsid w:val="00173FCB"/>
    <w:rsid w:val="00177A4A"/>
    <w:rsid w:val="00185C7E"/>
    <w:rsid w:val="00185CB1"/>
    <w:rsid w:val="00187ECC"/>
    <w:rsid w:val="001967D9"/>
    <w:rsid w:val="001970CB"/>
    <w:rsid w:val="001A3218"/>
    <w:rsid w:val="001B08B2"/>
    <w:rsid w:val="001B73FD"/>
    <w:rsid w:val="001C463D"/>
    <w:rsid w:val="001C4F42"/>
    <w:rsid w:val="001D1B4B"/>
    <w:rsid w:val="001D4230"/>
    <w:rsid w:val="001E0817"/>
    <w:rsid w:val="001E78B4"/>
    <w:rsid w:val="001F0020"/>
    <w:rsid w:val="001F6E96"/>
    <w:rsid w:val="001F7CF0"/>
    <w:rsid w:val="002003FB"/>
    <w:rsid w:val="00205FC2"/>
    <w:rsid w:val="00211F6E"/>
    <w:rsid w:val="002128CB"/>
    <w:rsid w:val="00220A3F"/>
    <w:rsid w:val="002227EB"/>
    <w:rsid w:val="0022527A"/>
    <w:rsid w:val="00233F41"/>
    <w:rsid w:val="00244257"/>
    <w:rsid w:val="0025422C"/>
    <w:rsid w:val="00255853"/>
    <w:rsid w:val="0025696C"/>
    <w:rsid w:val="00270B82"/>
    <w:rsid w:val="00271F10"/>
    <w:rsid w:val="002739FF"/>
    <w:rsid w:val="002776F1"/>
    <w:rsid w:val="00281C02"/>
    <w:rsid w:val="00282559"/>
    <w:rsid w:val="00284EEF"/>
    <w:rsid w:val="002A0AF1"/>
    <w:rsid w:val="002A18FE"/>
    <w:rsid w:val="002A1D7C"/>
    <w:rsid w:val="002A24BE"/>
    <w:rsid w:val="002A46DA"/>
    <w:rsid w:val="002B7838"/>
    <w:rsid w:val="002C428B"/>
    <w:rsid w:val="002C5553"/>
    <w:rsid w:val="002C64A9"/>
    <w:rsid w:val="002C6A79"/>
    <w:rsid w:val="002D242D"/>
    <w:rsid w:val="002D413F"/>
    <w:rsid w:val="002D5C3E"/>
    <w:rsid w:val="002D6730"/>
    <w:rsid w:val="002E0BBA"/>
    <w:rsid w:val="002E1428"/>
    <w:rsid w:val="002E49BB"/>
    <w:rsid w:val="002E59B7"/>
    <w:rsid w:val="003015F6"/>
    <w:rsid w:val="003021DE"/>
    <w:rsid w:val="00302F2A"/>
    <w:rsid w:val="00306120"/>
    <w:rsid w:val="0031186C"/>
    <w:rsid w:val="00314AD5"/>
    <w:rsid w:val="0032675A"/>
    <w:rsid w:val="00332DC3"/>
    <w:rsid w:val="00335CCA"/>
    <w:rsid w:val="003379EC"/>
    <w:rsid w:val="003461A9"/>
    <w:rsid w:val="00346633"/>
    <w:rsid w:val="00355F02"/>
    <w:rsid w:val="003724D2"/>
    <w:rsid w:val="00374CAD"/>
    <w:rsid w:val="0038104C"/>
    <w:rsid w:val="00382713"/>
    <w:rsid w:val="003904E7"/>
    <w:rsid w:val="003A706F"/>
    <w:rsid w:val="003B1562"/>
    <w:rsid w:val="003C383B"/>
    <w:rsid w:val="003D39F4"/>
    <w:rsid w:val="003D445B"/>
    <w:rsid w:val="003E7101"/>
    <w:rsid w:val="003F23B4"/>
    <w:rsid w:val="003F2753"/>
    <w:rsid w:val="004104FE"/>
    <w:rsid w:val="0041172C"/>
    <w:rsid w:val="00411A8F"/>
    <w:rsid w:val="004210D4"/>
    <w:rsid w:val="0042356B"/>
    <w:rsid w:val="004257EC"/>
    <w:rsid w:val="00427007"/>
    <w:rsid w:val="004318EF"/>
    <w:rsid w:val="00435DC2"/>
    <w:rsid w:val="004569E0"/>
    <w:rsid w:val="00457BB5"/>
    <w:rsid w:val="004605F8"/>
    <w:rsid w:val="00465440"/>
    <w:rsid w:val="0047286D"/>
    <w:rsid w:val="00486C3D"/>
    <w:rsid w:val="0048718C"/>
    <w:rsid w:val="004C0111"/>
    <w:rsid w:val="004D457B"/>
    <w:rsid w:val="004D58F8"/>
    <w:rsid w:val="004D71F7"/>
    <w:rsid w:val="004E4557"/>
    <w:rsid w:val="004E46CF"/>
    <w:rsid w:val="004E5FC7"/>
    <w:rsid w:val="004E770D"/>
    <w:rsid w:val="004F1AE8"/>
    <w:rsid w:val="004F1DC7"/>
    <w:rsid w:val="004F3B6D"/>
    <w:rsid w:val="00504C89"/>
    <w:rsid w:val="00510CCB"/>
    <w:rsid w:val="00512724"/>
    <w:rsid w:val="005138CB"/>
    <w:rsid w:val="00515CAE"/>
    <w:rsid w:val="00526B59"/>
    <w:rsid w:val="005279ED"/>
    <w:rsid w:val="00536B25"/>
    <w:rsid w:val="00537894"/>
    <w:rsid w:val="00542BDF"/>
    <w:rsid w:val="00550EEF"/>
    <w:rsid w:val="005529E6"/>
    <w:rsid w:val="00556988"/>
    <w:rsid w:val="00560D93"/>
    <w:rsid w:val="005652D4"/>
    <w:rsid w:val="00571C79"/>
    <w:rsid w:val="0058262C"/>
    <w:rsid w:val="005C01F5"/>
    <w:rsid w:val="005C5306"/>
    <w:rsid w:val="005C5B3B"/>
    <w:rsid w:val="005D2B5C"/>
    <w:rsid w:val="005D38C8"/>
    <w:rsid w:val="005E4F97"/>
    <w:rsid w:val="005E680B"/>
    <w:rsid w:val="005F4E98"/>
    <w:rsid w:val="005F561F"/>
    <w:rsid w:val="00607357"/>
    <w:rsid w:val="00610BC7"/>
    <w:rsid w:val="006114F0"/>
    <w:rsid w:val="00615DE1"/>
    <w:rsid w:val="00620BCB"/>
    <w:rsid w:val="00626759"/>
    <w:rsid w:val="00635C39"/>
    <w:rsid w:val="006454C7"/>
    <w:rsid w:val="00650EBD"/>
    <w:rsid w:val="0066109C"/>
    <w:rsid w:val="00664192"/>
    <w:rsid w:val="00671E24"/>
    <w:rsid w:val="0067386E"/>
    <w:rsid w:val="006864DC"/>
    <w:rsid w:val="0068695A"/>
    <w:rsid w:val="00687CA1"/>
    <w:rsid w:val="00693217"/>
    <w:rsid w:val="0069420C"/>
    <w:rsid w:val="006A0574"/>
    <w:rsid w:val="006A44C5"/>
    <w:rsid w:val="006A4970"/>
    <w:rsid w:val="006A513D"/>
    <w:rsid w:val="006A5144"/>
    <w:rsid w:val="006A68C6"/>
    <w:rsid w:val="006B1053"/>
    <w:rsid w:val="006B3130"/>
    <w:rsid w:val="006C3768"/>
    <w:rsid w:val="006D7D4F"/>
    <w:rsid w:val="006E41C1"/>
    <w:rsid w:val="006F24C7"/>
    <w:rsid w:val="006F3CD9"/>
    <w:rsid w:val="00706ACA"/>
    <w:rsid w:val="00707194"/>
    <w:rsid w:val="007157CD"/>
    <w:rsid w:val="00724E11"/>
    <w:rsid w:val="007262FE"/>
    <w:rsid w:val="0072699F"/>
    <w:rsid w:val="0073167B"/>
    <w:rsid w:val="0073420A"/>
    <w:rsid w:val="00734C0D"/>
    <w:rsid w:val="00740C03"/>
    <w:rsid w:val="00751BAC"/>
    <w:rsid w:val="00752FD9"/>
    <w:rsid w:val="00754270"/>
    <w:rsid w:val="007554D4"/>
    <w:rsid w:val="0076442E"/>
    <w:rsid w:val="00766B22"/>
    <w:rsid w:val="00780926"/>
    <w:rsid w:val="007824C5"/>
    <w:rsid w:val="00783152"/>
    <w:rsid w:val="0078730F"/>
    <w:rsid w:val="00791189"/>
    <w:rsid w:val="00793F96"/>
    <w:rsid w:val="007A4C2E"/>
    <w:rsid w:val="007A6ABC"/>
    <w:rsid w:val="007A730C"/>
    <w:rsid w:val="007C1F75"/>
    <w:rsid w:val="007C3776"/>
    <w:rsid w:val="007C71C8"/>
    <w:rsid w:val="007E1F8F"/>
    <w:rsid w:val="007E5956"/>
    <w:rsid w:val="007F570D"/>
    <w:rsid w:val="007F7FBB"/>
    <w:rsid w:val="00803622"/>
    <w:rsid w:val="00803841"/>
    <w:rsid w:val="00805539"/>
    <w:rsid w:val="00806F1C"/>
    <w:rsid w:val="00822612"/>
    <w:rsid w:val="0082511C"/>
    <w:rsid w:val="0082743C"/>
    <w:rsid w:val="00837096"/>
    <w:rsid w:val="00843038"/>
    <w:rsid w:val="00852371"/>
    <w:rsid w:val="0085357F"/>
    <w:rsid w:val="00873520"/>
    <w:rsid w:val="00884AB9"/>
    <w:rsid w:val="008873CC"/>
    <w:rsid w:val="008921AA"/>
    <w:rsid w:val="008944CD"/>
    <w:rsid w:val="0089476D"/>
    <w:rsid w:val="008A2E9B"/>
    <w:rsid w:val="008A362A"/>
    <w:rsid w:val="008B6E95"/>
    <w:rsid w:val="008C1B51"/>
    <w:rsid w:val="008D2BEA"/>
    <w:rsid w:val="008E0812"/>
    <w:rsid w:val="008E4CFA"/>
    <w:rsid w:val="008F0FB1"/>
    <w:rsid w:val="008F6BC1"/>
    <w:rsid w:val="00900819"/>
    <w:rsid w:val="009058FE"/>
    <w:rsid w:val="0091185E"/>
    <w:rsid w:val="00925209"/>
    <w:rsid w:val="0093424C"/>
    <w:rsid w:val="009354F8"/>
    <w:rsid w:val="00946672"/>
    <w:rsid w:val="009520B9"/>
    <w:rsid w:val="0095258D"/>
    <w:rsid w:val="00957949"/>
    <w:rsid w:val="009612A3"/>
    <w:rsid w:val="00976E1E"/>
    <w:rsid w:val="009776A3"/>
    <w:rsid w:val="00985554"/>
    <w:rsid w:val="00990742"/>
    <w:rsid w:val="009923C0"/>
    <w:rsid w:val="009976B6"/>
    <w:rsid w:val="009A4B1F"/>
    <w:rsid w:val="009A622D"/>
    <w:rsid w:val="009B423F"/>
    <w:rsid w:val="009B6AF4"/>
    <w:rsid w:val="009C221B"/>
    <w:rsid w:val="009C5E1E"/>
    <w:rsid w:val="009D4AC4"/>
    <w:rsid w:val="009D773C"/>
    <w:rsid w:val="009E0E67"/>
    <w:rsid w:val="009E273C"/>
    <w:rsid w:val="009E408D"/>
    <w:rsid w:val="009E4A1C"/>
    <w:rsid w:val="009F3B6F"/>
    <w:rsid w:val="00A0053E"/>
    <w:rsid w:val="00A01388"/>
    <w:rsid w:val="00A10438"/>
    <w:rsid w:val="00A1070D"/>
    <w:rsid w:val="00A16443"/>
    <w:rsid w:val="00A206A7"/>
    <w:rsid w:val="00A236CF"/>
    <w:rsid w:val="00A2444C"/>
    <w:rsid w:val="00A244BE"/>
    <w:rsid w:val="00A31A9C"/>
    <w:rsid w:val="00A32F67"/>
    <w:rsid w:val="00A371A6"/>
    <w:rsid w:val="00A37C43"/>
    <w:rsid w:val="00A416B8"/>
    <w:rsid w:val="00A432A7"/>
    <w:rsid w:val="00A43F3E"/>
    <w:rsid w:val="00A5282A"/>
    <w:rsid w:val="00A63C0B"/>
    <w:rsid w:val="00A737B8"/>
    <w:rsid w:val="00A75ECC"/>
    <w:rsid w:val="00A80F9E"/>
    <w:rsid w:val="00A824EB"/>
    <w:rsid w:val="00A833E5"/>
    <w:rsid w:val="00A85CCE"/>
    <w:rsid w:val="00A86FCD"/>
    <w:rsid w:val="00A9062B"/>
    <w:rsid w:val="00A939D2"/>
    <w:rsid w:val="00A9476F"/>
    <w:rsid w:val="00AA4630"/>
    <w:rsid w:val="00AA73D8"/>
    <w:rsid w:val="00AB48EF"/>
    <w:rsid w:val="00AC320D"/>
    <w:rsid w:val="00AD0354"/>
    <w:rsid w:val="00AE12F7"/>
    <w:rsid w:val="00AE4D65"/>
    <w:rsid w:val="00B04CE0"/>
    <w:rsid w:val="00B06E24"/>
    <w:rsid w:val="00B07509"/>
    <w:rsid w:val="00B07EB7"/>
    <w:rsid w:val="00B1281C"/>
    <w:rsid w:val="00B13F68"/>
    <w:rsid w:val="00B15FEC"/>
    <w:rsid w:val="00B323B9"/>
    <w:rsid w:val="00B36EA3"/>
    <w:rsid w:val="00B40809"/>
    <w:rsid w:val="00B41B71"/>
    <w:rsid w:val="00B464C1"/>
    <w:rsid w:val="00B4760E"/>
    <w:rsid w:val="00B676E3"/>
    <w:rsid w:val="00B77873"/>
    <w:rsid w:val="00B92A61"/>
    <w:rsid w:val="00B95A19"/>
    <w:rsid w:val="00BB6D67"/>
    <w:rsid w:val="00BC798A"/>
    <w:rsid w:val="00BD1AC2"/>
    <w:rsid w:val="00BD7004"/>
    <w:rsid w:val="00BE2473"/>
    <w:rsid w:val="00BE24F8"/>
    <w:rsid w:val="00BE3E86"/>
    <w:rsid w:val="00BE4758"/>
    <w:rsid w:val="00BF0071"/>
    <w:rsid w:val="00BF6053"/>
    <w:rsid w:val="00BF6308"/>
    <w:rsid w:val="00C176D7"/>
    <w:rsid w:val="00C20E28"/>
    <w:rsid w:val="00C213A6"/>
    <w:rsid w:val="00C2249C"/>
    <w:rsid w:val="00C24F9C"/>
    <w:rsid w:val="00C26F80"/>
    <w:rsid w:val="00C36340"/>
    <w:rsid w:val="00C3762E"/>
    <w:rsid w:val="00C40BE7"/>
    <w:rsid w:val="00C42368"/>
    <w:rsid w:val="00C55DBB"/>
    <w:rsid w:val="00C73325"/>
    <w:rsid w:val="00C80D23"/>
    <w:rsid w:val="00C82AA0"/>
    <w:rsid w:val="00C85B40"/>
    <w:rsid w:val="00CA34F6"/>
    <w:rsid w:val="00CA3ABC"/>
    <w:rsid w:val="00CB25B2"/>
    <w:rsid w:val="00CC0BAB"/>
    <w:rsid w:val="00CC19D3"/>
    <w:rsid w:val="00CC644C"/>
    <w:rsid w:val="00CD175A"/>
    <w:rsid w:val="00CE110B"/>
    <w:rsid w:val="00CE386A"/>
    <w:rsid w:val="00CE6394"/>
    <w:rsid w:val="00CF0244"/>
    <w:rsid w:val="00CF0342"/>
    <w:rsid w:val="00CF0396"/>
    <w:rsid w:val="00CF14D9"/>
    <w:rsid w:val="00CF28BB"/>
    <w:rsid w:val="00CF76C2"/>
    <w:rsid w:val="00D06906"/>
    <w:rsid w:val="00D06B2B"/>
    <w:rsid w:val="00D10860"/>
    <w:rsid w:val="00D10B9F"/>
    <w:rsid w:val="00D15C7A"/>
    <w:rsid w:val="00D326E1"/>
    <w:rsid w:val="00D33F2E"/>
    <w:rsid w:val="00D37FBF"/>
    <w:rsid w:val="00D513D2"/>
    <w:rsid w:val="00D52196"/>
    <w:rsid w:val="00D67CF2"/>
    <w:rsid w:val="00D67E11"/>
    <w:rsid w:val="00D71CEA"/>
    <w:rsid w:val="00D83FB3"/>
    <w:rsid w:val="00D92F55"/>
    <w:rsid w:val="00D96D7D"/>
    <w:rsid w:val="00D96F2E"/>
    <w:rsid w:val="00D97F2D"/>
    <w:rsid w:val="00DA4090"/>
    <w:rsid w:val="00DA63C9"/>
    <w:rsid w:val="00DB68AF"/>
    <w:rsid w:val="00DD452B"/>
    <w:rsid w:val="00DD5F73"/>
    <w:rsid w:val="00DE31F9"/>
    <w:rsid w:val="00DE3C06"/>
    <w:rsid w:val="00DE7496"/>
    <w:rsid w:val="00DF2E95"/>
    <w:rsid w:val="00DF7A0E"/>
    <w:rsid w:val="00E04903"/>
    <w:rsid w:val="00E13A3E"/>
    <w:rsid w:val="00E1698A"/>
    <w:rsid w:val="00E21946"/>
    <w:rsid w:val="00E23A3A"/>
    <w:rsid w:val="00E26B6E"/>
    <w:rsid w:val="00E30AD8"/>
    <w:rsid w:val="00E3547B"/>
    <w:rsid w:val="00E41B3F"/>
    <w:rsid w:val="00E4563B"/>
    <w:rsid w:val="00E5053B"/>
    <w:rsid w:val="00E53CD7"/>
    <w:rsid w:val="00E877C8"/>
    <w:rsid w:val="00E91FEB"/>
    <w:rsid w:val="00EA405A"/>
    <w:rsid w:val="00EC1C63"/>
    <w:rsid w:val="00EC1CF9"/>
    <w:rsid w:val="00EC2CE9"/>
    <w:rsid w:val="00EE1F4B"/>
    <w:rsid w:val="00EE60F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22B9A"/>
    <w:rsid w:val="00F30177"/>
    <w:rsid w:val="00F328FC"/>
    <w:rsid w:val="00F37FEA"/>
    <w:rsid w:val="00F44613"/>
    <w:rsid w:val="00F47233"/>
    <w:rsid w:val="00F479BE"/>
    <w:rsid w:val="00F500E3"/>
    <w:rsid w:val="00F5352F"/>
    <w:rsid w:val="00F53E35"/>
    <w:rsid w:val="00F54EF0"/>
    <w:rsid w:val="00F55076"/>
    <w:rsid w:val="00F573F5"/>
    <w:rsid w:val="00F6288E"/>
    <w:rsid w:val="00F63DAD"/>
    <w:rsid w:val="00F65DA1"/>
    <w:rsid w:val="00F66A28"/>
    <w:rsid w:val="00F73C48"/>
    <w:rsid w:val="00F81142"/>
    <w:rsid w:val="00F8384D"/>
    <w:rsid w:val="00F85EAC"/>
    <w:rsid w:val="00F9666C"/>
    <w:rsid w:val="00FA06C4"/>
    <w:rsid w:val="00FA099B"/>
    <w:rsid w:val="00FB19A9"/>
    <w:rsid w:val="00FB533E"/>
    <w:rsid w:val="00FC64FB"/>
    <w:rsid w:val="00FC6918"/>
    <w:rsid w:val="00FE2DB9"/>
    <w:rsid w:val="00FF25FE"/>
    <w:rsid w:val="00FF565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1760"/>
  <w15:docId w15:val="{EDB47F14-43AB-44AB-8E76-FA21AD6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73C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E273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9E273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9E273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E273C"/>
  </w:style>
  <w:style w:type="paragraph" w:styleId="Pta">
    <w:name w:val="footer"/>
    <w:basedOn w:val="Normlny"/>
    <w:rsid w:val="009E273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9E273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9E273C"/>
    <w:rPr>
      <w:color w:val="0000FF"/>
      <w:u w:val="single"/>
    </w:rPr>
  </w:style>
  <w:style w:type="paragraph" w:customStyle="1" w:styleId="EMEAEnBodyText">
    <w:name w:val="EMEA En Body Text"/>
    <w:basedOn w:val="Normlny"/>
    <w:rsid w:val="009E273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9E273C"/>
    <w:pPr>
      <w:ind w:left="0" w:firstLine="0"/>
    </w:pPr>
  </w:style>
  <w:style w:type="paragraph" w:styleId="Textbubliny">
    <w:name w:val="Balloon Text"/>
    <w:basedOn w:val="Normlny"/>
    <w:semiHidden/>
    <w:rsid w:val="009E273C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9E273C"/>
    <w:rPr>
      <w:color w:val="800080"/>
      <w:u w:val="single"/>
    </w:rPr>
  </w:style>
  <w:style w:type="character" w:styleId="Odkaznakomentr">
    <w:name w:val="annotation reference"/>
    <w:uiPriority w:val="99"/>
    <w:semiHidden/>
    <w:rsid w:val="009E27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E273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E273C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Default">
    <w:name w:val="Default"/>
    <w:rsid w:val="00CF03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DD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E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Popis">
    <w:name w:val="caption"/>
    <w:basedOn w:val="Normlny"/>
    <w:next w:val="Normlny"/>
    <w:semiHidden/>
    <w:unhideWhenUsed/>
    <w:qFormat/>
    <w:rsid w:val="009520B9"/>
    <w:pPr>
      <w:spacing w:after="200"/>
    </w:pPr>
    <w:rPr>
      <w:i/>
      <w:iCs/>
      <w:color w:val="1F497D" w:themeColor="text2"/>
      <w:sz w:val="18"/>
      <w:szCs w:val="18"/>
    </w:rPr>
  </w:style>
  <w:style w:type="paragraph" w:styleId="Revzia">
    <w:name w:val="Revision"/>
    <w:hidden/>
    <w:uiPriority w:val="99"/>
    <w:semiHidden/>
    <w:rsid w:val="009520B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43B2-EAC5-47C3-9DAF-C77489D7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9433</Words>
  <Characters>53772</Characters>
  <Application>Microsoft Office Word</Application>
  <DocSecurity>0</DocSecurity>
  <Lines>448</Lines>
  <Paragraphs>126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63079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Bolebruchová Monika</cp:lastModifiedBy>
  <cp:revision>3</cp:revision>
  <cp:lastPrinted>2020-09-02T05:30:00Z</cp:lastPrinted>
  <dcterms:created xsi:type="dcterms:W3CDTF">2020-09-02T05:31:00Z</dcterms:created>
  <dcterms:modified xsi:type="dcterms:W3CDTF">2020-09-02T05:31:00Z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