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8277F" w14:textId="77777777" w:rsidR="00606CC8" w:rsidRPr="00731FE7" w:rsidRDefault="00606CC8" w:rsidP="00606CC8">
      <w:pPr>
        <w:ind w:right="8"/>
        <w:jc w:val="center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SÚHRN CHARAKTERISTICKÝCH VLASTNOSTÍ LIEKU</w:t>
      </w:r>
    </w:p>
    <w:p w14:paraId="0A501166" w14:textId="77777777" w:rsidR="00606CC8" w:rsidRPr="00C02FFD" w:rsidRDefault="00606CC8" w:rsidP="00606CC8">
      <w:pPr>
        <w:ind w:right="8"/>
        <w:rPr>
          <w:rFonts w:ascii="Times New Roman" w:eastAsia="Times New Roman" w:hAnsi="Times New Roman" w:cs="Times New Roman"/>
          <w:bCs/>
          <w:sz w:val="22"/>
          <w:szCs w:val="22"/>
          <w:lang w:val="sk-SK"/>
        </w:rPr>
      </w:pPr>
    </w:p>
    <w:p w14:paraId="3CB83CDD" w14:textId="77777777" w:rsidR="00606CC8" w:rsidRPr="00C02FFD" w:rsidRDefault="00606CC8" w:rsidP="00606CC8">
      <w:pPr>
        <w:ind w:right="8"/>
        <w:rPr>
          <w:rFonts w:ascii="Times New Roman" w:eastAsia="Times New Roman" w:hAnsi="Times New Roman" w:cs="Times New Roman"/>
          <w:bCs/>
          <w:sz w:val="22"/>
          <w:szCs w:val="22"/>
          <w:lang w:val="sk-SK"/>
        </w:rPr>
      </w:pPr>
    </w:p>
    <w:p w14:paraId="0303B6B7" w14:textId="77777777" w:rsidR="00606CC8" w:rsidRPr="00731FE7" w:rsidRDefault="00606CC8" w:rsidP="00606CC8">
      <w:pPr>
        <w:numPr>
          <w:ilvl w:val="0"/>
          <w:numId w:val="1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NÁZOV LIEKU</w:t>
      </w:r>
    </w:p>
    <w:p w14:paraId="40854872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50A3F28" w14:textId="61BCE977" w:rsidR="0037482A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094A39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</w:p>
    <w:p w14:paraId="54391F92" w14:textId="15381F02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094A39">
        <w:rPr>
          <w:rFonts w:ascii="Times New Roman" w:eastAsia="Times New Roman" w:hAnsi="Times New Roman" w:cs="Times New Roman"/>
          <w:sz w:val="22"/>
          <w:szCs w:val="22"/>
          <w:lang w:val="sk-SK"/>
        </w:rPr>
        <w:t>0,5 mg</w:t>
      </w:r>
      <w:r w:rsidR="00E13651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094A39">
        <w:rPr>
          <w:rFonts w:ascii="Times New Roman" w:eastAsia="Times New Roman" w:hAnsi="Times New Roman" w:cs="Times New Roman"/>
          <w:sz w:val="22"/>
          <w:szCs w:val="22"/>
          <w:lang w:val="sk-SK"/>
        </w:rPr>
        <w:t>tvrdé kapsuly</w:t>
      </w:r>
    </w:p>
    <w:p w14:paraId="2E7D12EF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F4C2E13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8903ACF" w14:textId="77777777" w:rsidR="00606CC8" w:rsidRPr="00731FE7" w:rsidRDefault="00606CC8" w:rsidP="00606CC8">
      <w:pPr>
        <w:numPr>
          <w:ilvl w:val="0"/>
          <w:numId w:val="2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KVALITATÍVNE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KVANTITATÍVNE ZLOŽENIE</w:t>
      </w:r>
    </w:p>
    <w:p w14:paraId="502D01F9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9B18126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Každá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tvrdá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kapsula obsahuje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</w:t>
      </w:r>
      <w:r w:rsidRPr="00234D74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ako </w:t>
      </w:r>
      <w:proofErr w:type="spellStart"/>
      <w:r w:rsidR="00EF6C33">
        <w:rPr>
          <w:rFonts w:ascii="Times New Roman" w:eastAsia="Times New Roman" w:hAnsi="Times New Roman" w:cs="Times New Roman"/>
          <w:sz w:val="22"/>
          <w:szCs w:val="22"/>
          <w:lang w:val="sk-SK"/>
        </w:rPr>
        <w:t>fingolimódium</w:t>
      </w:r>
      <w:proofErr w:type="spellEnd"/>
      <w:r w:rsidR="00EF6C33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234D74">
        <w:rPr>
          <w:rFonts w:ascii="Times New Roman" w:eastAsia="Times New Roman" w:hAnsi="Times New Roman" w:cs="Times New Roman"/>
          <w:sz w:val="22"/>
          <w:szCs w:val="22"/>
          <w:lang w:val="sk-SK"/>
        </w:rPr>
        <w:t>chlorid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59B48AE2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E40F882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Úplný zoznam pomocných látok, pozri časť 6.1.</w:t>
      </w:r>
    </w:p>
    <w:p w14:paraId="1D8A8F76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7AE5BA3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6FE57C7" w14:textId="77777777" w:rsidR="00606CC8" w:rsidRPr="00731FE7" w:rsidRDefault="00606CC8" w:rsidP="00606CC8">
      <w:pPr>
        <w:numPr>
          <w:ilvl w:val="0"/>
          <w:numId w:val="3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LIEKOVÁ FORMA</w:t>
      </w:r>
    </w:p>
    <w:p w14:paraId="067A45CA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BD3F75B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Tvrdá kapsula</w:t>
      </w:r>
    </w:p>
    <w:p w14:paraId="2DC50E8A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BCB8B9C" w14:textId="53F4E253" w:rsidR="00606CC8" w:rsidRPr="00731FE7" w:rsidRDefault="00606CC8" w:rsidP="00606CC8">
      <w:pPr>
        <w:ind w:left="2" w:right="1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Biely až takmer biely prášok v kapsul</w:t>
      </w:r>
      <w:r w:rsid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e</w:t>
      </w:r>
      <w:r w:rsidR="00E42E33" w:rsidRPr="00E42E33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E42E33"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veľkosti č. 3 z tvrdej želatíny </w:t>
      </w:r>
      <w:r w:rsidR="002917A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so </w:t>
      </w:r>
      <w:r w:rsidR="002917AB"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žlt</w:t>
      </w:r>
      <w:r w:rsid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ým</w:t>
      </w:r>
      <w:r w:rsidR="002917AB"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nepriehľadn</w:t>
      </w:r>
      <w:r w:rsid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ým viečkom a bielym</w:t>
      </w:r>
      <w:r w:rsidR="002917AB"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nepriehľadn</w:t>
      </w:r>
      <w:r w:rsid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ým telom,</w:t>
      </w:r>
      <w:r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dĺžkou</w:t>
      </w:r>
      <w:r w:rsidRPr="00234D74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15,9 ± 0,3 mm s potlačou „0,5 mg“ čiernym atramentom na viečku kapsuly a dvoma radiálnymi pásmi žltým atramentom na tele kapsuly.</w:t>
      </w:r>
    </w:p>
    <w:p w14:paraId="4AB7EAD0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CB8133E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CC6F7A9" w14:textId="77777777" w:rsidR="00606CC8" w:rsidRPr="00731FE7" w:rsidRDefault="00606CC8" w:rsidP="00606CC8">
      <w:pPr>
        <w:numPr>
          <w:ilvl w:val="0"/>
          <w:numId w:val="4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KLINICKÉ ÚDAJE</w:t>
      </w:r>
    </w:p>
    <w:p w14:paraId="4817C278" w14:textId="77777777" w:rsidR="00606CC8" w:rsidRPr="00C02FFD" w:rsidRDefault="00606CC8" w:rsidP="00606CC8">
      <w:pPr>
        <w:rPr>
          <w:rFonts w:ascii="Times New Roman" w:eastAsia="Times New Roman" w:hAnsi="Times New Roman" w:cs="Times New Roman"/>
          <w:bCs/>
          <w:sz w:val="22"/>
          <w:szCs w:val="22"/>
          <w:lang w:val="sk-SK"/>
        </w:rPr>
      </w:pPr>
    </w:p>
    <w:p w14:paraId="528C58A6" w14:textId="77777777" w:rsidR="00606CC8" w:rsidRPr="00731FE7" w:rsidRDefault="00606CC8" w:rsidP="00606CC8">
      <w:pPr>
        <w:tabs>
          <w:tab w:val="left" w:pos="0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Terapeutické indikácie</w:t>
      </w:r>
    </w:p>
    <w:p w14:paraId="6D31B716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749BE94" w14:textId="77777777" w:rsidR="00606CC8" w:rsidRPr="00731FE7" w:rsidRDefault="00606CC8" w:rsidP="00606CC8">
      <w:pPr>
        <w:ind w:left="2" w:right="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indikovan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ý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ako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monoterapia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modifikujúca ochorenie pri vysoko aktívnej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remitujúcej </w:t>
      </w:r>
      <w:r w:rsidR="009130CB" w:rsidRPr="009130C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roztrúsenej skleróze </w:t>
      </w:r>
      <w:r w:rsidR="009130CB">
        <w:rPr>
          <w:rFonts w:ascii="Times New Roman" w:eastAsia="Times New Roman" w:hAnsi="Times New Roman" w:cs="Times New Roman"/>
          <w:sz w:val="22"/>
          <w:szCs w:val="22"/>
          <w:lang w:val="sk-SK"/>
        </w:rPr>
        <w:t>(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</w:t>
      </w:r>
      <w:r w:rsidR="009130CB">
        <w:rPr>
          <w:rFonts w:ascii="Times New Roman" w:eastAsia="Times New Roman" w:hAnsi="Times New Roman" w:cs="Times New Roman"/>
          <w:sz w:val="22"/>
          <w:szCs w:val="22"/>
          <w:lang w:val="sk-SK"/>
        </w:rPr>
        <w:t>k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ler</w:t>
      </w:r>
      <w:r w:rsidR="009130CB">
        <w:rPr>
          <w:rFonts w:ascii="Times New Roman" w:eastAsia="Times New Roman" w:hAnsi="Times New Roman" w:cs="Times New Roman"/>
          <w:sz w:val="22"/>
          <w:szCs w:val="22"/>
          <w:lang w:val="sk-SK"/>
        </w:rPr>
        <w:t>óza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="009130CB">
        <w:rPr>
          <w:rFonts w:ascii="Times New Roman" w:eastAsia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SM)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nasledujúcich skupín dospelých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vo veku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10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starších:</w:t>
      </w:r>
    </w:p>
    <w:p w14:paraId="532109B5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57E4BB5" w14:textId="77777777" w:rsidR="00606CC8" w:rsidRPr="007675BA" w:rsidRDefault="00606CC8" w:rsidP="00606CC8">
      <w:pPr>
        <w:numPr>
          <w:ilvl w:val="0"/>
          <w:numId w:val="5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675B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Pacienti s vysoko aktívnym ochorením napriek podaniu úplného a primeraného cyklu aspoň </w:t>
      </w:r>
    </w:p>
    <w:p w14:paraId="492B2842" w14:textId="77777777" w:rsidR="00606CC8" w:rsidRPr="00731FE7" w:rsidRDefault="00606CC8" w:rsidP="00606CC8">
      <w:pPr>
        <w:ind w:left="562" w:right="6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jednej liečby modifikujúcej ochorenie (výnimky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informácie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dobách </w:t>
      </w:r>
      <w:r w:rsidR="009130CB" w:rsidRPr="009130CB">
        <w:rPr>
          <w:rFonts w:ascii="Times New Roman" w:eastAsia="Times New Roman" w:hAnsi="Times New Roman" w:cs="Times New Roman"/>
          <w:sz w:val="22"/>
          <w:szCs w:val="22"/>
          <w:lang w:val="sk-SK"/>
        </w:rPr>
        <w:t>eliminácie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pozri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5.1).</w:t>
      </w:r>
    </w:p>
    <w:p w14:paraId="17B44D16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AFE080D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alebo</w:t>
      </w:r>
    </w:p>
    <w:p w14:paraId="7E87CA5D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A6B4480" w14:textId="77777777" w:rsidR="00606CC8" w:rsidRPr="007675BA" w:rsidRDefault="00606CC8" w:rsidP="00606CC8">
      <w:pPr>
        <w:numPr>
          <w:ilvl w:val="0"/>
          <w:numId w:val="6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rýchlo sa vyvíjajúcou závažnou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remitujúcou </w:t>
      </w:r>
      <w:r w:rsidR="009130CB" w:rsidRPr="009130CB">
        <w:rPr>
          <w:rFonts w:ascii="Times New Roman" w:eastAsia="Times New Roman" w:hAnsi="Times New Roman" w:cs="Times New Roman"/>
          <w:sz w:val="22"/>
          <w:szCs w:val="22"/>
          <w:lang w:val="sk-SK"/>
        </w:rPr>
        <w:t>roztrúsenou sklerózou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definovanou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alebo viacerými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invalidizujúcimi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relapsami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počas jedného roka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s</w:t>
      </w:r>
      <w:r w:rsidRPr="007675B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 1 alebo viacerými </w:t>
      </w:r>
      <w:proofErr w:type="spellStart"/>
      <w:r w:rsidRPr="007675BA">
        <w:rPr>
          <w:rFonts w:ascii="Times New Roman" w:eastAsia="Times New Roman" w:hAnsi="Times New Roman" w:cs="Times New Roman"/>
          <w:sz w:val="22"/>
          <w:szCs w:val="22"/>
          <w:lang w:val="sk-SK"/>
        </w:rPr>
        <w:t>gadolíniom</w:t>
      </w:r>
      <w:proofErr w:type="spellEnd"/>
      <w:r w:rsidRPr="007675B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zvýrazňujúcimi léziami na MRI mozgu alebo významným zvýšením počtu T2-lézií v porovnaní s predchádzajúcim nedávnym MRI.</w:t>
      </w:r>
    </w:p>
    <w:p w14:paraId="402FBFF0" w14:textId="77777777" w:rsidR="00606CC8" w:rsidRDefault="00606CC8" w:rsidP="00606CC8">
      <w:pPr>
        <w:tabs>
          <w:tab w:val="left" w:pos="562"/>
        </w:tabs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2E32113" w14:textId="77777777" w:rsidR="00606CC8" w:rsidRPr="00731FE7" w:rsidRDefault="00606CC8" w:rsidP="00606CC8">
      <w:pPr>
        <w:tabs>
          <w:tab w:val="left" w:pos="541"/>
        </w:tabs>
        <w:ind w:left="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bookmarkStart w:id="0" w:name="page3"/>
      <w:bookmarkEnd w:id="0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4.2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Dávkovanie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spôsob podávania</w:t>
      </w:r>
    </w:p>
    <w:p w14:paraId="5E7882EF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043EB09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Liečbu má začať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viesť lekár so skúsenosťami so </w:t>
      </w:r>
      <w:r w:rsidR="009130CB" w:rsidRPr="009130C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sklerózou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589C8B70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89E395C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2917AB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Dávkovanie</w:t>
      </w:r>
    </w:p>
    <w:p w14:paraId="390B2097" w14:textId="77777777" w:rsidR="00606CC8" w:rsidRDefault="00606CC8" w:rsidP="00606CC8">
      <w:pPr>
        <w:ind w:left="2" w:right="8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dospelých </w:t>
      </w:r>
      <w:bookmarkStart w:id="1" w:name="_Hlk44339312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 odporúčaná dávka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jedna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tvrdá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kapsula raz denne</w:t>
      </w:r>
      <w:bookmarkEnd w:id="1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  <w:r w:rsidRPr="00606C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</w:p>
    <w:p w14:paraId="7AEE1419" w14:textId="77777777" w:rsidR="00234D74" w:rsidRDefault="00234D74" w:rsidP="00606CC8">
      <w:pPr>
        <w:ind w:left="2" w:right="868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A85FBB8" w14:textId="77777777" w:rsidR="00606CC8" w:rsidRPr="00731FE7" w:rsidRDefault="00606CC8" w:rsidP="00606CC8">
      <w:pPr>
        <w:ind w:left="2" w:right="8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(vo veku 10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starších) závisí odporúčaná dávka od telesnej hmotnosti:</w:t>
      </w:r>
    </w:p>
    <w:p w14:paraId="21168668" w14:textId="77777777" w:rsidR="00606CC8" w:rsidRPr="00731FE7" w:rsidRDefault="00606CC8" w:rsidP="00606CC8">
      <w:pPr>
        <w:tabs>
          <w:tab w:val="left" w:pos="562"/>
        </w:tabs>
        <w:ind w:right="1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 p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ediatrick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ých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ov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telesnou hmotnosťou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&gt;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 kg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 odporúčaná dávka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jedna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tvrdá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kapsula raz denne.</w:t>
      </w:r>
    </w:p>
    <w:p w14:paraId="782EFEF9" w14:textId="77777777" w:rsidR="00606CC8" w:rsidRDefault="00606CC8" w:rsidP="00606CC8">
      <w:pPr>
        <w:tabs>
          <w:tab w:val="left" w:pos="562"/>
        </w:tabs>
        <w:ind w:right="8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DF88354" w14:textId="749B749F" w:rsidR="00606CC8" w:rsidRPr="00731FE7" w:rsidRDefault="00606CC8" w:rsidP="00606CC8">
      <w:pPr>
        <w:tabs>
          <w:tab w:val="left" w:pos="562"/>
        </w:tabs>
        <w:ind w:right="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P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ediatrick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ým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om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vo veku 10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starší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m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telesnou hmotnosťou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≤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kg</w:t>
      </w:r>
      <w:r w:rsidRPr="006C3893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je</w:t>
      </w:r>
      <w:r w:rsidRPr="006C3893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vhodnejšie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podávať </w:t>
      </w:r>
      <w:r w:rsidRPr="006C3893">
        <w:rPr>
          <w:rFonts w:ascii="Times New Roman" w:eastAsia="Times New Roman" w:hAnsi="Times New Roman" w:cs="Times New Roman"/>
          <w:sz w:val="22"/>
          <w:szCs w:val="22"/>
          <w:lang w:val="sk-SK"/>
        </w:rPr>
        <w:t>iné sily lieku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1D30483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760C4A6" w14:textId="0AD5FC3D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Rovnaké sledovanie</w:t>
      </w:r>
      <w:r w:rsidR="002917AB"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2917AB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ako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 prvej dávke pri začatí liečby sa odporúča, keď sa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liečba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preruší na:</w:t>
      </w:r>
    </w:p>
    <w:p w14:paraId="7664CA7A" w14:textId="77777777" w:rsidR="00606CC8" w:rsidRPr="00731FE7" w:rsidRDefault="00606CC8" w:rsidP="00606CC8">
      <w:pPr>
        <w:numPr>
          <w:ilvl w:val="0"/>
          <w:numId w:val="7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 deň alebo viac počas prvých 2 týždňov liečby.</w:t>
      </w:r>
    </w:p>
    <w:p w14:paraId="13B8A7AE" w14:textId="77777777" w:rsidR="00606CC8" w:rsidRPr="00731FE7" w:rsidRDefault="00606CC8" w:rsidP="00606CC8">
      <w:pPr>
        <w:numPr>
          <w:ilvl w:val="0"/>
          <w:numId w:val="7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viac ako 7 dní počas 3.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 týždňa liečby.</w:t>
      </w:r>
    </w:p>
    <w:p w14:paraId="2E056D58" w14:textId="77777777" w:rsidR="00606CC8" w:rsidRPr="00731FE7" w:rsidRDefault="00606CC8" w:rsidP="00606CC8">
      <w:pPr>
        <w:numPr>
          <w:ilvl w:val="0"/>
          <w:numId w:val="7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viac ako 2 týždne po jednom mesiaci liečby.</w:t>
      </w:r>
    </w:p>
    <w:p w14:paraId="2140861D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365C267" w14:textId="77777777" w:rsidR="00606CC8" w:rsidRPr="00731FE7" w:rsidRDefault="00606CC8" w:rsidP="00606CC8">
      <w:pPr>
        <w:ind w:left="2" w:right="5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Ak prerušenie liečby trvá kratšie, ako sa uvádza vyššie,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liečbe sa má pokračovať nasledujúcou plánovanou dávkou (pozri časť 4.4).</w:t>
      </w:r>
    </w:p>
    <w:p w14:paraId="31DFC847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11323FB" w14:textId="77777777" w:rsidR="00606CC8" w:rsidRPr="006C3893" w:rsidRDefault="00606CC8" w:rsidP="00606CC8">
      <w:pPr>
        <w:ind w:left="2"/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val="sk-SK"/>
        </w:rPr>
      </w:pPr>
      <w:r w:rsidRPr="006C3893"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  <w:lang w:val="sk-SK"/>
        </w:rPr>
        <w:t>Osobitné skupiny</w:t>
      </w:r>
    </w:p>
    <w:p w14:paraId="06584C5F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476997A" w14:textId="77777777" w:rsidR="00606CC8" w:rsidRPr="006C3893" w:rsidRDefault="00606CC8" w:rsidP="00606CC8">
      <w:pPr>
        <w:ind w:left="2"/>
        <w:rPr>
          <w:rFonts w:ascii="Times New Roman" w:eastAsia="Times New Roman" w:hAnsi="Times New Roman" w:cs="Times New Roman"/>
          <w:i/>
          <w:sz w:val="22"/>
          <w:szCs w:val="22"/>
          <w:lang w:val="sk-SK"/>
        </w:rPr>
      </w:pPr>
      <w:r w:rsidRPr="006C3893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Starší ľudia</w:t>
      </w:r>
    </w:p>
    <w:p w14:paraId="54EAA34D" w14:textId="77777777" w:rsidR="00606CC8" w:rsidRPr="00731FE7" w:rsidRDefault="00606CC8" w:rsidP="00606CC8">
      <w:pPr>
        <w:ind w:left="2" w:right="6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používať opatrne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vo veku 65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starších pre nedostatočné údaje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bezpečnosti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účinnosti (pozri časť 5.2).</w:t>
      </w:r>
    </w:p>
    <w:p w14:paraId="4887B3D6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90B040B" w14:textId="77777777" w:rsidR="00606CC8" w:rsidRPr="006C3893" w:rsidRDefault="00606CC8" w:rsidP="00606CC8">
      <w:pPr>
        <w:ind w:left="2"/>
        <w:rPr>
          <w:rFonts w:ascii="Times New Roman" w:eastAsia="Times New Roman" w:hAnsi="Times New Roman" w:cs="Times New Roman"/>
          <w:i/>
          <w:sz w:val="22"/>
          <w:szCs w:val="22"/>
          <w:lang w:val="sk-SK"/>
        </w:rPr>
      </w:pPr>
      <w:r w:rsidRPr="006C3893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Porucha funkcie obličiek</w:t>
      </w:r>
    </w:p>
    <w:p w14:paraId="56A6D1AB" w14:textId="77777777" w:rsidR="00606CC8" w:rsidRPr="00731FE7" w:rsidRDefault="00021F3E" w:rsidP="00606CC8">
      <w:pPr>
        <w:ind w:left="2" w:right="4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neskúšal</w:t>
      </w:r>
      <w:r w:rsidR="00606C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proofErr w:type="spellStart"/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pivotných</w:t>
      </w:r>
      <w:proofErr w:type="spellEnd"/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štúdiách pri </w:t>
      </w:r>
      <w:r w:rsidR="004001FE" w:rsidRPr="004001FE">
        <w:rPr>
          <w:rFonts w:ascii="Times New Roman" w:eastAsia="Times New Roman" w:hAnsi="Times New Roman" w:cs="Times New Roman"/>
          <w:sz w:val="22"/>
          <w:szCs w:val="22"/>
          <w:lang w:val="sk-SK"/>
        </w:rPr>
        <w:t>skleróze</w:t>
      </w:r>
      <w:r w:rsidR="004001F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="00606C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 w:rsidR="00606C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poruchou funkcie obličiek. Na základe štúdií klinickej farmakológie nie sú potrebné žiadne úpravy dávkovania</w:t>
      </w:r>
      <w:r w:rsidR="00606C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 w:rsidR="00606C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ľahkou až ťažkou poruchou funkcie obličiek.</w:t>
      </w:r>
    </w:p>
    <w:p w14:paraId="58C66563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E2C5FC1" w14:textId="77777777" w:rsidR="00606CC8" w:rsidRPr="006C3893" w:rsidRDefault="00606CC8" w:rsidP="00606CC8">
      <w:pPr>
        <w:ind w:left="2"/>
        <w:rPr>
          <w:rFonts w:ascii="Times New Roman" w:eastAsia="Times New Roman" w:hAnsi="Times New Roman" w:cs="Times New Roman"/>
          <w:i/>
          <w:sz w:val="22"/>
          <w:szCs w:val="22"/>
          <w:lang w:val="sk-SK"/>
        </w:rPr>
      </w:pPr>
      <w:r w:rsidRPr="006C3893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Porucha funkcie pečene</w:t>
      </w:r>
    </w:p>
    <w:p w14:paraId="17625252" w14:textId="77777777" w:rsidR="00606CC8" w:rsidRPr="00731FE7" w:rsidRDefault="00606CC8" w:rsidP="00606CC8">
      <w:pPr>
        <w:ind w:left="2" w:right="1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nesmie používať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ťažkou poruchou funkcie pečene (trieda C podľa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Childa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Pugha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(pozri časť 4.3). Hoci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ľahkou až stredne ťažkou poruchou funkcie pečene nie je potrebné upraviť dávku, pri začatí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týchto pacientov je potrebná opatrnosť (pozri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5.2).</w:t>
      </w:r>
    </w:p>
    <w:p w14:paraId="31FCDA26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C49ACC9" w14:textId="77777777" w:rsidR="00606CC8" w:rsidRPr="006C3893" w:rsidRDefault="00606CC8" w:rsidP="00606CC8">
      <w:pPr>
        <w:ind w:left="2"/>
        <w:rPr>
          <w:rFonts w:ascii="Times New Roman" w:eastAsia="Times New Roman" w:hAnsi="Times New Roman" w:cs="Times New Roman"/>
          <w:i/>
          <w:sz w:val="22"/>
          <w:szCs w:val="22"/>
          <w:lang w:val="sk-SK"/>
        </w:rPr>
      </w:pPr>
      <w:r w:rsidRPr="006C3893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Pediatrická populácia</w:t>
      </w:r>
    </w:p>
    <w:p w14:paraId="417671B6" w14:textId="77777777" w:rsidR="00606CC8" w:rsidRPr="00731FE7" w:rsidRDefault="00606CC8" w:rsidP="00606CC8">
      <w:pPr>
        <w:ind w:left="2" w:right="2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Bezpečnosť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účinnosť </w:t>
      </w:r>
      <w:proofErr w:type="spellStart"/>
      <w:r w:rsidR="00021F3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detí vo veku menej ako 10 rokov neboli doteraz stanovené. Nie sú dostupné žiadne údaje.</w:t>
      </w:r>
    </w:p>
    <w:p w14:paraId="77F53306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4B35A34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Veľmi obmedzené údaje sú dostupné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detí vo veku 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–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12 rokov (pozri časti 4.4, 4.8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5.1).</w:t>
      </w:r>
    </w:p>
    <w:p w14:paraId="3F983B75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E2DC4AE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2" w:name="page4"/>
      <w:bookmarkEnd w:id="2"/>
      <w:r w:rsidRPr="002917AB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Spôsob podávania</w:t>
      </w:r>
    </w:p>
    <w:p w14:paraId="4CDF247F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N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 perorálne po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užit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ie.</w:t>
      </w:r>
    </w:p>
    <w:p w14:paraId="2787FB73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môže užívať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jedlom alebo bez jedla.</w:t>
      </w:r>
    </w:p>
    <w:p w14:paraId="26C6200E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Tvrdé k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apsuly sa majú vždy prehĺtať celé, neotvorené.</w:t>
      </w:r>
    </w:p>
    <w:p w14:paraId="19C8722F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9D13849" w14:textId="77777777" w:rsidR="00606CC8" w:rsidRPr="00731FE7" w:rsidRDefault="00606CC8" w:rsidP="00606CC8">
      <w:pPr>
        <w:tabs>
          <w:tab w:val="left" w:pos="541"/>
        </w:tabs>
        <w:ind w:left="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4.3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Kontraindikácie</w:t>
      </w:r>
    </w:p>
    <w:p w14:paraId="2A691FBD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DF3599F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Syndróm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imunodeficiencie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1BC1F8F0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right="348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Pacienti so zvýšeným rizikom oportúnnych infekcií, vrátane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oslabenou imunitou (vrátane tých, ktorí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súčasnosti dostávajú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liečbu alebo ktorí majú imunitu oslabenú predchádzajúcou liečbou).</w:t>
      </w:r>
    </w:p>
    <w:p w14:paraId="7B77D04C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Závažné aktívne infekcie, aktívne chronické infekcie (hepatitída, tuberkulóza).</w:t>
      </w:r>
    </w:p>
    <w:p w14:paraId="3E7EEDE5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Aktívne malignity.</w:t>
      </w:r>
    </w:p>
    <w:p w14:paraId="26792E74" w14:textId="77777777" w:rsidR="00606CC8" w:rsidRPr="00731FE7" w:rsidRDefault="009E072B" w:rsidP="00606CC8">
      <w:pPr>
        <w:numPr>
          <w:ilvl w:val="0"/>
          <w:numId w:val="8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E072B">
        <w:rPr>
          <w:rFonts w:ascii="Times New Roman" w:eastAsia="Times New Roman" w:hAnsi="Times New Roman" w:cs="Times New Roman"/>
          <w:sz w:val="22"/>
          <w:szCs w:val="22"/>
          <w:lang w:val="sk-SK"/>
        </w:rPr>
        <w:t>Ťažká</w:t>
      </w:r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porucha funkcie pečene (trieda C podľa </w:t>
      </w:r>
      <w:proofErr w:type="spellStart"/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Childa</w:t>
      </w:r>
      <w:r w:rsidR="00606CC8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Pugha</w:t>
      </w:r>
      <w:proofErr w:type="spellEnd"/>
      <w:r w:rsidR="00606CC8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11F7DDD4" w14:textId="77777777" w:rsidR="00606CC8" w:rsidRDefault="00606CC8" w:rsidP="00606CC8">
      <w:pPr>
        <w:numPr>
          <w:ilvl w:val="0"/>
          <w:numId w:val="8"/>
        </w:numPr>
        <w:tabs>
          <w:tab w:val="left" w:pos="562"/>
        </w:tabs>
        <w:ind w:left="562" w:right="228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Pacienti, ktorí mali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predchádzajúcich 6 mesiacoch infarkt myokardu</w:t>
      </w:r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(MI)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nestabilnú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anginu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pectoris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mŕtvicu/prechodný ischemický záchvat</w:t>
      </w:r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(TIA, </w:t>
      </w:r>
      <w:proofErr w:type="spellStart"/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>transient</w:t>
      </w:r>
      <w:proofErr w:type="spellEnd"/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>ischaemic</w:t>
      </w:r>
      <w:proofErr w:type="spellEnd"/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>attack</w:t>
      </w:r>
      <w:proofErr w:type="spellEnd"/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dekompenzované zlyhávanie srdca (ktoré si vyžaduje hospitalizáciu) alebo zlyhávanie srdca triedy III/IV podľa klasifikácie NYHA (New York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Heart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Association) (pozri časť 4.4).</w:t>
      </w:r>
    </w:p>
    <w:p w14:paraId="6D05BEA4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right="228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Pacienti so závažnými srdcovými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arytmiami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ktoré si vyžadujú liečbu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antiarytmickými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liekmi triedy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triedy III (pozri časť 4.4).</w:t>
      </w:r>
    </w:p>
    <w:p w14:paraId="106F955D" w14:textId="2BF81462" w:rsidR="00606CC8" w:rsidRPr="002F6D70" w:rsidRDefault="00606CC8" w:rsidP="00606CC8">
      <w:pPr>
        <w:numPr>
          <w:ilvl w:val="0"/>
          <w:numId w:val="8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2F6D70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 xml:space="preserve">Pacienti s druhým stupňom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="005B3EB4"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t</w:t>
      </w:r>
      <w:r w:rsidR="005B3EB4" w:rsidRPr="002F6D70">
        <w:rPr>
          <w:rFonts w:ascii="Times New Roman" w:eastAsia="Times New Roman" w:hAnsi="Times New Roman" w:cs="Times New Roman"/>
          <w:sz w:val="22"/>
          <w:szCs w:val="22"/>
          <w:lang w:val="sk-SK"/>
        </w:rPr>
        <w:t>rioventrikulárnej</w:t>
      </w:r>
      <w:proofErr w:type="spellEnd"/>
      <w:r w:rsidR="005B3EB4" w:rsidRPr="002F6D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DC44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(AV) </w:t>
      </w:r>
      <w:r w:rsidRPr="002F6D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blokády typu </w:t>
      </w:r>
      <w:proofErr w:type="spellStart"/>
      <w:r w:rsidRPr="002F6D70">
        <w:rPr>
          <w:rFonts w:ascii="Times New Roman" w:eastAsia="Times New Roman" w:hAnsi="Times New Roman" w:cs="Times New Roman"/>
          <w:sz w:val="22"/>
          <w:szCs w:val="22"/>
          <w:lang w:val="sk-SK"/>
        </w:rPr>
        <w:t>Mobitz</w:t>
      </w:r>
      <w:proofErr w:type="spellEnd"/>
      <w:r w:rsidRPr="002F6D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II alebo s tretím stupňom AV blokády alebo </w:t>
      </w:r>
      <w:proofErr w:type="spellStart"/>
      <w:r w:rsidRPr="002F6D70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sick-sinus</w:t>
      </w:r>
      <w:proofErr w:type="spellEnd"/>
      <w:r w:rsidRPr="002F6D70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syndrómom, ak nemajú kardiostimulátor (pozri časť 4.4).</w:t>
      </w:r>
    </w:p>
    <w:p w14:paraId="23C1C6F6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východiskovým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intervalom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500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ms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časť 4.4).</w:t>
      </w:r>
    </w:p>
    <w:p w14:paraId="5BFA8B5B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right="528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Počas gravidity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žien vo fertilnom veku, ktoré nepoužívajú účinnú antikoncepciu (pozri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4.6).</w:t>
      </w:r>
    </w:p>
    <w:p w14:paraId="35C1008B" w14:textId="77777777" w:rsidR="00606CC8" w:rsidRPr="00731FE7" w:rsidRDefault="00606CC8" w:rsidP="00606CC8">
      <w:pPr>
        <w:numPr>
          <w:ilvl w:val="0"/>
          <w:numId w:val="8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Precitlivenosť na liečivo alebo na ktorúkoľvek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pomocných látok uvedených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časti 6.1.</w:t>
      </w:r>
    </w:p>
    <w:p w14:paraId="483EB035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7FAC7AF" w14:textId="77777777" w:rsidR="00606CC8" w:rsidRPr="00731FE7" w:rsidRDefault="00606CC8" w:rsidP="00606CC8">
      <w:pPr>
        <w:tabs>
          <w:tab w:val="left" w:pos="541"/>
        </w:tabs>
        <w:ind w:left="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4.4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Osobitné upozornenia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opatrenia pri používaní</w:t>
      </w:r>
    </w:p>
    <w:p w14:paraId="5ACB43AA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2EFA859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Bradyarytmia</w:t>
      </w:r>
      <w:proofErr w:type="spellEnd"/>
    </w:p>
    <w:p w14:paraId="7F1A4521" w14:textId="06003E4A" w:rsidR="00606CC8" w:rsidRPr="00731FE7" w:rsidRDefault="00606CC8" w:rsidP="00606CC8">
      <w:pPr>
        <w:ind w:left="2" w:right="6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Začatie liečby </w:t>
      </w:r>
      <w:proofErr w:type="spellStart"/>
      <w:r w:rsidR="00021F3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spôsobuje prechodný pokles srdcovej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môže sa spájať aj so spomalením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trioventrikulárneho</w:t>
      </w:r>
      <w:proofErr w:type="spellEnd"/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prevodu, vrátane výskytu ojedinelých prípadov prechodnej kompletnej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trioventrikulárnej</w:t>
      </w:r>
      <w:proofErr w:type="spellEnd"/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blokády, ktorá spontánne vymizla (pozri časti 4.8</w:t>
      </w:r>
      <w:r w:rsidR="00021F3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5.1).</w:t>
      </w:r>
    </w:p>
    <w:p w14:paraId="2DDB0B49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74CB295" w14:textId="77777777" w:rsidR="00606CC8" w:rsidRPr="00731FE7" w:rsidRDefault="00606CC8" w:rsidP="00606CC8">
      <w:pPr>
        <w:ind w:left="2" w:right="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 podaní prvej dávky dochádza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poklesu srdcovej frekvencie do jednej hodiny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pokles je</w:t>
      </w:r>
      <w:r w:rsidR="00021F3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maximálny do 6 hodín. Tento účinok po podaní dávky pretrváva počas nasledujúcich dní, hoci zvyčajne miernejší,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obvykle ustupuje počas ďalších týždňov. Pri pokračujúcom užívaní sa priemerná srdcová frekvencia vráti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východiskovým hodnotám do jedného mesiaca. Avšak jednotliví pacienti sa nemusia vrátiť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východiskovej srdcovej frekvencii do konca prvého mesiaca. Poruchy vedenia boli spravidla prechodné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asymptomatické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Obvykle nevyžadovali liečbu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vymizli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priebehu prvých 24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hodín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prípade potreby je možné pokles srdcovej frekvencie, vyvolaný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zvrátiť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parenterálnym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podaním atropínu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izoprenalínu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646BC768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5CDD359" w14:textId="77777777" w:rsidR="00606CC8" w:rsidRPr="00731FE7" w:rsidRDefault="00606CC8" w:rsidP="00606CC8">
      <w:pPr>
        <w:ind w:left="2" w:right="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Všetkým pacientom má byť nasnímaný elektrokardiogram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zmeraný krvný tlak pred prvým podaním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6 hodín po ňom. Všetkých pacientov je potrebné sledovať počas 6 hodín pre prejavy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príznaky bradykardie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meraním srdcovej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krvného tlaku každú hodinu. Počas 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hodinovej pozorovacej doby sa odporúča </w:t>
      </w:r>
      <w:r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kontinuálne monitorovanie EKG v reálnom čase.</w:t>
      </w:r>
    </w:p>
    <w:p w14:paraId="1431CCC2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588F6A2" w14:textId="77777777" w:rsidR="00606CC8" w:rsidRDefault="00606CC8" w:rsidP="00606CC8">
      <w:pPr>
        <w:ind w:left="2" w:right="1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2F2961">
        <w:rPr>
          <w:rFonts w:ascii="Times New Roman" w:eastAsia="Times New Roman" w:hAnsi="Times New Roman" w:cs="Times New Roman"/>
          <w:sz w:val="22"/>
          <w:szCs w:val="22"/>
          <w:lang w:val="sk-SK"/>
        </w:rPr>
        <w:t>Ak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po podaní dávky vyskytnú symptómy súvisiace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bradyarytmiou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majú sa urobiť </w:t>
      </w:r>
      <w:r w:rsidR="00573E0C" w:rsidRPr="00573E0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primerané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klinické opatrenia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sledovanie má pokračovať až do vymiznutia symptómov. Pokiaľ je počas sledovania po podaní prvej dávky potrebná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pacienta farmakologická intervencia, je potrebné zaistiť nočné sledovanie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zdravotníckom zariadení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sledovanie ako pri prvej dávke sa má zopakovať po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druhej dávke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26A7B9F" w14:textId="77777777" w:rsidR="00606CC8" w:rsidRPr="00731FE7" w:rsidRDefault="00606CC8" w:rsidP="00606CC8">
      <w:pPr>
        <w:ind w:left="2" w:right="128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A154346" w14:textId="77777777" w:rsidR="00606CC8" w:rsidRPr="00731FE7" w:rsidRDefault="00606CC8" w:rsidP="00606CC8">
      <w:pPr>
        <w:ind w:left="2"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bookmarkStart w:id="3" w:name="page5"/>
      <w:bookmarkEnd w:id="3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Pokiaľ je hodnota srdcovej frekvencie najnižšia po 6 hodinách od podania lieku (čo môže naznačovať, že maximálny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farmakodynamický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účinok na srdce sa ešte neprejavil), sledovanie sa má predĺžiť aspoň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 hodiny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až do opätovného zvýšenia srdcovej frekvencie. Okrem toho, ak je po 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hodinách hodnota srdcovej frekvencie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bpm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dospelých,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bpm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vo veku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12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starších, alebo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60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bpm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vo veku od 10 do menej ako 12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rokov, alebo ak EKG vykazuje novovzniknutú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AV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blokádu druhého alebo vyššieho stupňa alebo ak vykazuje hodnotu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intervalu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500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ms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sledovanie sa má predĺžiť (aspoň cez noc), až pokiaľ sa nález neupraví. Výskyt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AV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blokády tretieho stupňa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ktoromkoľvek čase je tiež dôvodom na predĺžené sledovanie (aspoň cez noc).</w:t>
      </w:r>
    </w:p>
    <w:p w14:paraId="2CC2BD55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5E63BBF" w14:textId="1362EA23" w:rsidR="00606CC8" w:rsidRPr="00731FE7" w:rsidRDefault="00606CC8" w:rsidP="00606CC8">
      <w:pPr>
        <w:ind w:left="2" w:right="34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Účinky na srdcovú frekvenciu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vedenie sa môžu pri opätovnom podaní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zopakovať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závislosti od toho, koľko trvá prerušenie podávania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koľko času uplynulo od začatia liečby </w:t>
      </w:r>
      <w:proofErr w:type="spellStart"/>
      <w:r w:rsidRPr="00174D48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Rovnaké sledovanie </w:t>
      </w:r>
      <w:r w:rsidR="002917AB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ako </w:t>
      </w:r>
      <w:r w:rsid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po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prvej dávke pri začatí liečby sa odporúča, keď sa podávanie preruší na:</w:t>
      </w:r>
    </w:p>
    <w:p w14:paraId="2C8EEE5F" w14:textId="77777777" w:rsidR="00606CC8" w:rsidRPr="00731FE7" w:rsidRDefault="00606CC8" w:rsidP="00606CC8">
      <w:pPr>
        <w:numPr>
          <w:ilvl w:val="0"/>
          <w:numId w:val="9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 deň alebo viac počas prvých 2 týždňov liečby.</w:t>
      </w:r>
    </w:p>
    <w:p w14:paraId="025B8024" w14:textId="77777777" w:rsidR="00606CC8" w:rsidRPr="00731FE7" w:rsidRDefault="00606CC8" w:rsidP="00606CC8">
      <w:pPr>
        <w:numPr>
          <w:ilvl w:val="0"/>
          <w:numId w:val="9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viac ako 7 dní počas 3.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 týždňa liečby.</w:t>
      </w:r>
    </w:p>
    <w:p w14:paraId="0B4F9F73" w14:textId="77777777" w:rsidR="00606CC8" w:rsidRPr="00731FE7" w:rsidRDefault="00606CC8" w:rsidP="00606CC8">
      <w:pPr>
        <w:numPr>
          <w:ilvl w:val="0"/>
          <w:numId w:val="9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viac ako 2 týždne po jednom mesiaci liečby.</w:t>
      </w:r>
    </w:p>
    <w:p w14:paraId="08A4C55E" w14:textId="77777777" w:rsidR="00606CC8" w:rsidRPr="00731FE7" w:rsidRDefault="00606CC8" w:rsidP="00606CC8">
      <w:pPr>
        <w:ind w:left="2" w:right="5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Ak prerušenie liečby trvá kratšie, ako sa uvádza vyššie,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liečbe sa má pokračovať nasledujúcou plánovanou dávkou.</w:t>
      </w:r>
    </w:p>
    <w:p w14:paraId="34344F4D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5D31557" w14:textId="77777777" w:rsidR="00606CC8" w:rsidRPr="00731FE7" w:rsidRDefault="00606CC8" w:rsidP="00606CC8">
      <w:pPr>
        <w:ind w:left="2"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dospelých 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boli hlásené veľmi zriedkavé prípady inverzie vlny 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prípade inverzie vlny T sa má predpisujúci lekár uistiť, že nie sú prítomné žiadne súvisiace prejavy</w:t>
      </w:r>
      <w:r w:rsidRPr="00606C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alebo príznaky ischémie myokardu. Pri podozrení na ischémiu myokardu sa odporúča konzultácia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kardiológom.</w:t>
      </w:r>
    </w:p>
    <w:p w14:paraId="1DE691C9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1738411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dôvodu rizika závažných porúch rytmu alebo závažnej bradykardie sa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nemá používať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sinoatriálnym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srdcovým blokom, anamnézou symptomatickej bradykardie, opakovanej synkopy alebo zastavenia srdca, alebo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výrazným predĺžením QT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&gt;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470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ms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[dospelé pacientky],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&gt;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460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ms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[pediatrické pacientky] alebo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&gt;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450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ms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[dospelí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pediatrickí pacienti mužského pohlavia]), nekontrolovanou hypertenziou alebo závažným spánkovým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apnoe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aj časť 4.3)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týchto pacientov je možné zvážiť liečbu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iba ak očakávaný prínos preváži možné riziká,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pred začatím liečby je potrebná konzultácia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kardiológom na stanovenie adekvátneho sledovania. Pri začatí liečby sa odporúča aspoň predĺžené sledovanie počas noci (pozri aj časť 4.5).</w:t>
      </w:r>
    </w:p>
    <w:p w14:paraId="379E54EC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02CA5EB" w14:textId="77777777" w:rsidR="00606CC8" w:rsidRPr="00731FE7" w:rsidRDefault="00606CC8" w:rsidP="00606CC8">
      <w:pPr>
        <w:ind w:left="2" w:right="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neskúšal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arytmiami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vyžadujúcimi liečbu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antiarytmikami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triedy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chinidín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dizopyramid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 alebo triedy III (napr.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amiodarón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sotalol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Antiarytmiká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triedy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triedy III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bradykardiou dávali do súvislosti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prípadmi </w:t>
      </w:r>
      <w:proofErr w:type="spellStart"/>
      <w:r w:rsidRPr="00174D48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torsades</w:t>
      </w:r>
      <w:proofErr w:type="spellEnd"/>
      <w:r w:rsidRPr="00174D48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 xml:space="preserve"> de </w:t>
      </w:r>
      <w:proofErr w:type="spellStart"/>
      <w:r w:rsidRPr="00174D48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pointes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časť 4.3).</w:t>
      </w:r>
    </w:p>
    <w:p w14:paraId="5BE60D73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39ECFE4" w14:textId="77777777" w:rsidR="00606CC8" w:rsidRPr="00731FE7" w:rsidRDefault="00606CC8" w:rsidP="00606CC8">
      <w:pPr>
        <w:ind w:left="2" w:right="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Skúsenosti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používaním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</w:t>
      </w:r>
      <w:r w:rsidRPr="00174D48">
        <w:rPr>
          <w:rFonts w:ascii="Times New Roman" w:eastAsia="Times New Roman" w:hAnsi="Times New Roman" w:cs="Times New Roman"/>
          <w:sz w:val="22"/>
          <w:szCs w:val="22"/>
          <w:lang w:val="sk-SK"/>
        </w:rPr>
        <w:t>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proofErr w:type="spellEnd"/>
      <w:r w:rsidRPr="00174D4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užívajúcich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súbežnú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liečbu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betablokátormi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blokátormi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kalciového kanála, ktoré znižujú srdcovú frekvenciu (ako 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verapamil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diltiazem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 alebo inými liečivami, ktoré môžu znižovať srdcovú frekvenciu (napr.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ivabradín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digoxín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inhibítory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cholínesterázy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pilokarpín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 w:rsidRPr="00174D4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sú obmedzené. Keďže začatie liečby </w:t>
      </w:r>
      <w:proofErr w:type="spellStart"/>
      <w:r w:rsidRPr="00174D48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174D4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 spojené aj so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spomalením srdcovej frekvencie (pozri časť 4.8 </w:t>
      </w:r>
      <w:r w:rsidR="00F90019">
        <w:rPr>
          <w:rFonts w:ascii="Times New Roman" w:eastAsia="Times New Roman" w:hAnsi="Times New Roman" w:cs="Times New Roman"/>
          <w:sz w:val="22"/>
          <w:szCs w:val="22"/>
          <w:lang w:val="sk-SK"/>
        </w:rPr>
        <w:t>„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Bradyarytmia</w:t>
      </w:r>
      <w:proofErr w:type="spellEnd"/>
      <w:r w:rsidR="00F90019">
        <w:rPr>
          <w:rFonts w:ascii="Times New Roman" w:eastAsia="Times New Roman" w:hAnsi="Times New Roman" w:cs="Times New Roman"/>
          <w:sz w:val="22"/>
          <w:szCs w:val="22"/>
          <w:lang w:val="sk-SK"/>
        </w:rPr>
        <w:t>“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), sú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bež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ná liečba týmito liekmi počas začatia liečby </w:t>
      </w:r>
      <w:proofErr w:type="spellStart"/>
      <w:r w:rsidR="00F90019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môže byť spojená so závažnou bradykardiou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blokádou srdca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súbežne liečených týmito liekmi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sa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nemá začať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dôvodu možného aditívneho účinku na srdcovú frekvenciu (pozri časť 4.5)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týchto pacientov sa má zvážiť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iba ak očakávaný prínos preváži možné riziká. Ak sa uvažuje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začatí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je potrebná pred začatím liečby konzultácia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kardiológom kvôli prechodu na lieky, ktoré neznižujú srdcovú frekvenciu. Pokiaľ nie je možné ukončiť podávanie liekov znižujúcich srdcovú frekvenciu, je potrebná pre stanovenie adekvátneho sledovania po prvej dávke konzultácia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kardiológom, prinajmenšom sa odporúča predĺžené sledovanie aj počas noci (pozri aj časť 4.5).</w:t>
      </w:r>
    </w:p>
    <w:p w14:paraId="1E9A32E0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C9E7513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4" w:name="page6"/>
      <w:bookmarkEnd w:id="4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Interval QT</w:t>
      </w:r>
    </w:p>
    <w:p w14:paraId="05FE0823" w14:textId="77777777" w:rsidR="00606CC8" w:rsidRDefault="00606CC8" w:rsidP="00606CC8">
      <w:pPr>
        <w:ind w:left="2" w:right="1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podrobnej štúdii preskúmania intervalu QT pri dávkach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rovnovážnom stave, keď bol ešte prítomný negatívny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chronotropný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účinok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podávanie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spôsobilo predĺženie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hornej hranici 90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IS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≤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13,0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ms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Pri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nie je žiadny vzťah medzi dávkou alebo expozíciou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odpoveďou vzhľadom na predĺženie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súvislosti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liečbou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nie je žiadny jednotný signál zvýšenej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incidencie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odľahlých hodnôt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buď absolútnych, alebo ako zmena oproti východiskovej hodnote.</w:t>
      </w:r>
    </w:p>
    <w:p w14:paraId="7D8ADCF6" w14:textId="77777777" w:rsidR="00606CC8" w:rsidRPr="00EF00B3" w:rsidRDefault="00606CC8" w:rsidP="00606CC8">
      <w:pPr>
        <w:tabs>
          <w:tab w:val="left" w:pos="1540"/>
        </w:tabs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34BB6B0" w14:textId="77777777" w:rsidR="00606CC8" w:rsidRPr="00731FE7" w:rsidRDefault="00606CC8" w:rsidP="00606CC8">
      <w:pPr>
        <w:ind w:left="2" w:right="1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Klinická významnosť týchto nálezov nie je známa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štúdiách pri </w:t>
      </w:r>
      <w:r w:rsidR="00085F11" w:rsidRPr="00085F11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skleróze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nepozorovali klinicky významné účinky na predĺženie intervalu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ale pacienti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rizikom predĺženia QT neboli zaradení do klinických štúdií.</w:t>
      </w:r>
    </w:p>
    <w:p w14:paraId="1AAC5861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0C73DEE" w14:textId="77777777" w:rsidR="00606CC8" w:rsidRPr="00731FE7" w:rsidRDefault="00606CC8" w:rsidP="00606CC8">
      <w:pPr>
        <w:ind w:left="2" w:right="3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Lieky, ktoré môžu predĺžiť interval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je lepšie nepodávať pacientom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významnými rizikovými faktormi, 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hypokaliémiou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vrodeným predĺžením QT.</w:t>
      </w:r>
    </w:p>
    <w:p w14:paraId="569FB23F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785EC1C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Imunosupresívne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účinky</w:t>
      </w:r>
    </w:p>
    <w:p w14:paraId="77BFC41D" w14:textId="77777777" w:rsidR="00606CC8" w:rsidRPr="00731FE7" w:rsidRDefault="00606CC8" w:rsidP="00606CC8">
      <w:pPr>
        <w:ind w:left="2" w:right="14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účinok, ktorý predisponuje pacientov na riziko infekcie, vrátane oportúnnych infekcií, ktoré môžu byť smrteľné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zvyšuje riziko rozvoja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iných malignít, predovšetkým malignít kože. Lekári majú pacientov starostlivo sledovať, najmä tých, ktorí </w:t>
      </w:r>
      <w:r w:rsidR="00085F11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majú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zároveň iné ochorenia alebo sú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nich prítomné známe faktory, ako napríklad predchádzajúca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liečba. Ak je podozrenie na toto riziko, lekár má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individuálnych prípadoch zvážiť ukončenie liečby (pozri časť 4.4 „Infekcie“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„Kožné nádory“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časť 4.8 „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Lymfómy</w:t>
      </w:r>
      <w:proofErr w:type="spellEnd"/>
      <w:r w:rsidR="00F90019">
        <w:rPr>
          <w:rFonts w:ascii="Times New Roman" w:eastAsia="Times New Roman" w:hAnsi="Times New Roman" w:cs="Times New Roman"/>
          <w:sz w:val="22"/>
          <w:szCs w:val="22"/>
          <w:lang w:val="sk-SK"/>
        </w:rPr>
        <w:t>“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12D3737D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5024C10" w14:textId="77777777" w:rsidR="00606CC8" w:rsidRPr="00731FE7" w:rsidRDefault="00606CC8" w:rsidP="00606CC8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Infekcie</w:t>
      </w:r>
    </w:p>
    <w:p w14:paraId="542CF0DB" w14:textId="77777777" w:rsidR="005704CD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Základným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farmakodynamickým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účinkom </w:t>
      </w:r>
      <w:proofErr w:type="spellStart"/>
      <w:r w:rsidR="00F90019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od dávky závislé zníženie počtu periférnych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20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východiskových hodnôt. Je to dôsledok reverzibilnej sekvestrácie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lymfatických tkanivách (pozri časť 5.1).</w:t>
      </w:r>
    </w:p>
    <w:p w14:paraId="5B20E2BD" w14:textId="77777777" w:rsidR="00F90019" w:rsidRDefault="00F90019" w:rsidP="00606CC8">
      <w:pPr>
        <w:ind w:left="2"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7A75D0E" w14:textId="77777777" w:rsidR="00606CC8" w:rsidRPr="00731FE7" w:rsidRDefault="00606CC8" w:rsidP="00606CC8">
      <w:pPr>
        <w:ind w:left="2"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 xml:space="preserve">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majú byť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dispozícii nedávne (</w:t>
      </w:r>
      <w:r w:rsidR="00661EE8">
        <w:rPr>
          <w:rFonts w:ascii="Times New Roman" w:eastAsia="Times New Roman" w:hAnsi="Times New Roman" w:cs="Times New Roman"/>
          <w:sz w:val="22"/>
          <w:szCs w:val="22"/>
          <w:lang w:val="sk-SK"/>
        </w:rPr>
        <w:t>t. j.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predchádzajúcich 6 mesiacov alebo po skončení predchádzajúcej liečby) hodnoty úplného krvného obrazu (CBC</w:t>
      </w:r>
      <w:r w:rsidR="008A22C2">
        <w:rPr>
          <w:rFonts w:ascii="Times New Roman" w:eastAsia="Times New Roman" w:hAnsi="Times New Roman" w:cs="Times New Roman"/>
          <w:sz w:val="22"/>
          <w:szCs w:val="22"/>
          <w:lang w:val="sk-SK"/>
        </w:rPr>
        <w:t>,</w:t>
      </w:r>
      <w:r w:rsidR="008A22C2" w:rsidRPr="008A22C2">
        <w:t xml:space="preserve"> </w:t>
      </w:r>
      <w:proofErr w:type="spellStart"/>
      <w:r w:rsidR="008A22C2" w:rsidRPr="008A22C2">
        <w:rPr>
          <w:rFonts w:ascii="Times New Roman" w:eastAsia="Times New Roman" w:hAnsi="Times New Roman" w:cs="Times New Roman"/>
          <w:sz w:val="22"/>
          <w:szCs w:val="22"/>
          <w:lang w:val="sk-SK"/>
        </w:rPr>
        <w:t>complete</w:t>
      </w:r>
      <w:proofErr w:type="spellEnd"/>
      <w:r w:rsidR="008A22C2" w:rsidRPr="008A22C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A22C2" w:rsidRPr="008A22C2">
        <w:rPr>
          <w:rFonts w:ascii="Times New Roman" w:eastAsia="Times New Roman" w:hAnsi="Times New Roman" w:cs="Times New Roman"/>
          <w:sz w:val="22"/>
          <w:szCs w:val="22"/>
          <w:lang w:val="sk-SK"/>
        </w:rPr>
        <w:t>blood</w:t>
      </w:r>
      <w:proofErr w:type="spellEnd"/>
      <w:r w:rsidR="008A22C2" w:rsidRPr="008A22C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A22C2" w:rsidRPr="008A22C2">
        <w:rPr>
          <w:rFonts w:ascii="Times New Roman" w:eastAsia="Times New Roman" w:hAnsi="Times New Roman" w:cs="Times New Roman"/>
          <w:sz w:val="22"/>
          <w:szCs w:val="22"/>
          <w:lang w:val="sk-SK"/>
        </w:rPr>
        <w:t>count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Hodnotenie CBC sa odporúča aj pravidelne počas liečby,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to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v 3.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mesiaci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neskôr najmenej raz za rok,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prípade prejavov infekcie. Absolútny počet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x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10</w:t>
      </w:r>
      <w:r w:rsidRPr="00731FE7">
        <w:rPr>
          <w:rFonts w:ascii="Times New Roman" w:eastAsia="Times New Roman" w:hAnsi="Times New Roman" w:cs="Times New Roman"/>
          <w:sz w:val="22"/>
          <w:szCs w:val="22"/>
          <w:vertAlign w:val="superscript"/>
          <w:lang w:val="sk-SK"/>
        </w:rPr>
        <w:t>9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/l, ak sa potvrdí, má mať za následok prerušenie liečby až do zotavenia, pretože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skúšaniach sa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absolútnym počtom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x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10</w:t>
      </w:r>
      <w:r w:rsidRPr="00731FE7">
        <w:rPr>
          <w:rFonts w:ascii="Times New Roman" w:eastAsia="Times New Roman" w:hAnsi="Times New Roman" w:cs="Times New Roman"/>
          <w:sz w:val="22"/>
          <w:szCs w:val="22"/>
          <w:vertAlign w:val="superscript"/>
          <w:lang w:val="sk-SK"/>
        </w:rPr>
        <w:t>9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/l</w:t>
      </w:r>
      <w:r w:rsidRPr="0097670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prerušila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AA9A740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981E877" w14:textId="77777777" w:rsidR="00606CC8" w:rsidRPr="00731FE7" w:rsidRDefault="00606CC8" w:rsidP="00606CC8">
      <w:pPr>
        <w:ind w:left="2" w:right="10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Začatie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odložiť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so závažnou aktívnou infekciou až do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jej vymiznutia.</w:t>
      </w:r>
    </w:p>
    <w:p w14:paraId="77BFE921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85F9745" w14:textId="77777777" w:rsidR="00606CC8" w:rsidRPr="00731FE7" w:rsidRDefault="00606CC8" w:rsidP="00606CC8">
      <w:pPr>
        <w:ind w:left="2" w:right="2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Pred liečbou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potrebné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stanoviť imunitu proti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varicele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(ovčím kiahňam)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pacientov, ktorí nemajú ovčie kiahne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anamnéze potvrdené zdravotníckym pracovníkom alebo dokumentovaný úplný cyklus očkovania vakcínou proti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varicele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sa 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odporúča urobiť test na protilátky proti vírusu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varicella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zoster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(VZV)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bez protilátok sa odporúča úplný cyklus očkovania vakcínou proti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varicele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časť 4.8). Začiatok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odložiť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 mesiac, aby sa umožnilo dosiahnutie plného účinku vakcinácie.</w:t>
      </w:r>
    </w:p>
    <w:p w14:paraId="263AE458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C56D93D" w14:textId="77777777" w:rsidR="00606CC8" w:rsidRPr="00731FE7" w:rsidRDefault="00606CC8" w:rsidP="00606CC8">
      <w:pPr>
        <w:ind w:left="2" w:right="1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Účinky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imunitný systém môžu zvýšiť riziko infekcií, vrátane oportúnnych infekcií (pozri časť 4.8)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so symptómami infekcie počas liečby sa majú použiť účinné diagnostické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terapeutické postupy. Pri hodnotení stavu pacienta,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ktorého je podozrenie na infekciu, ktorá môže byť závažná, sa má zvážiť odoslanie pacienta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lekárovi so skúsenosťami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liečbou infekcií. Pacientov užívajúcich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potrebné poučiť, aby počas liečby okamžite hlásili symptómy infekcie svojmu lekárovi.</w:t>
      </w:r>
    </w:p>
    <w:p w14:paraId="6AD8C7C2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9744C13" w14:textId="77777777" w:rsidR="00606CC8" w:rsidRPr="00731FE7" w:rsidRDefault="00606CC8" w:rsidP="00606CC8">
      <w:pPr>
        <w:ind w:right="3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bookmarkStart w:id="5" w:name="page7"/>
      <w:bookmarkEnd w:id="5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Ak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pacienta vyvinie závažná infekcia, je potrebné zvážiť prerušenie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pred jej opätovným začatím sa má prehodnotiť jej prínos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riziká.</w:t>
      </w:r>
    </w:p>
    <w:p w14:paraId="1D972C47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B8A5C2F" w14:textId="77777777" w:rsidR="00606CC8" w:rsidRPr="00731FE7" w:rsidRDefault="00606CC8" w:rsidP="00606CC8">
      <w:pPr>
        <w:ind w:right="1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Prípady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kryptokokovej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(hubová infekcia), niekedy smrteľnej, boli hlásené pri používaní lieku po jeho uvedení na trh po približne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 rokoch liečby, hoci presný vzťah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trvaním liečby nie je známy (pozri časť 4.8)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príznakmi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prejavmi zodpovedajúcimi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kryptokokovej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meningitíde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(napr. bolesťou hlavy sprevádzanou zmenami duševného stavu, ako je zmätenosť, halucinácie a/alebo zmeny osobnosti) je potrebné ihneď stanoviť diagnózu. Ak sa diagnostikuje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kryptokoková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meningitída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musí vysadiť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má sa začať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vhodnou liečbou. Ak je opätovné začatie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odôvodnené, je potrebná multidisciplinárna konzultácia (</w:t>
      </w:r>
      <w:r w:rsidR="00661EE8">
        <w:rPr>
          <w:rFonts w:ascii="Times New Roman" w:eastAsia="Times New Roman" w:hAnsi="Times New Roman" w:cs="Times New Roman"/>
          <w:sz w:val="22"/>
          <w:szCs w:val="22"/>
          <w:lang w:val="sk-SK"/>
        </w:rPr>
        <w:t>t. j.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odborníkom na infekčné choroby).</w:t>
      </w:r>
    </w:p>
    <w:p w14:paraId="15FF605A" w14:textId="77777777" w:rsidR="00606CC8" w:rsidRPr="00731FE7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120180B" w14:textId="77777777" w:rsidR="00606CC8" w:rsidRDefault="00606CC8" w:rsidP="00606CC8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Progresívna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multifokálna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leukoencefalopatia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(PML) bola hlásená počas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zaregistrovania lieku (pozri časť 4.8). PML je oportúnna infekcia vyvolaná vírusom Johna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Cunninghama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(JCV), ktorá môže byť fatálna alebo môže spôsobiť závažné postihnutie. Prípady PML sa vyskytli po približne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3 rokoch podávania ako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monoterapie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bez predchádzajúcej expozície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natalizumabu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Hoci odhadované riziko sa zrejme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kumulatívnou expozíciou časom zvyšuje, presný vzťah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trvaním liečby nie je známy. Ďalšie prípady PML sa vyskytli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pacientov, ktorí sa predtým liečili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natalizumabom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ktorý má známu súvislosť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PML. PML sa môže vyskytnúť len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prítomnosti infekcie JCV. Pri testovaní na JCV je potrebné vziať do úvahy, že vplyv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lymfopénie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presnosť testovania na protilátky proti JCV sa neskúmal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Treba tiež spomenúť, že negatívny výsledok testu na protilátky proti JCV nevylučuje možnosť neskoršej infekcie JCV. 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byť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dispozícii referenčné východiskové MRI (zvyčajne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predošlých 3 mesiacov). Nálezy na MRI môžu byť viditeľné skôr ako klinické prejavy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príznaky. Pri rutinnom MRI (v súlade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národnými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miestnymi odporúčaniami) majú lekári venovať pozornosť léziám naznačujúcim PML. MRI možno považovať za súčasť zvýšenej ostražitosti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ktorých sa predpokladá zvýšené riziko PML. Prípady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asymptomatickej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PML sa zaznamenali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základe nálezov na MRI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pozitívneho testu na DNA JCV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cerebrospinálnej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tekutine. Pri podozrení na PML sa má okamžite vykonať vyšetrenie MRI na diagnostické účely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prerušiť až do vylúčenia PML.</w:t>
      </w:r>
    </w:p>
    <w:p w14:paraId="47470C14" w14:textId="77777777" w:rsidR="006A01C1" w:rsidRDefault="006A01C1" w:rsidP="002F645E">
      <w:pPr>
        <w:ind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BA729F2" w14:textId="77777777" w:rsidR="002F645E" w:rsidRPr="00731FE7" w:rsidRDefault="002F645E" w:rsidP="002F645E">
      <w:pPr>
        <w:ind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Infekcia ľudským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papilomavírusom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(HPV), vrátane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papilómu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dysplázie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bradavíc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rakoviny súvisiacej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HPV, bola hlásená počas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 jeho uvedení na trh. Vzhľadom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 xml:space="preserve">vlastnosti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zvážiť vakcinácia proti HPV 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pričom sa majú zohľadniť odporúčania pre vakcináciu. Skríning rakoviny, vrátane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Pap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testu, sa odporúča </w:t>
      </w:r>
      <w:r w:rsidRPr="002936BA">
        <w:rPr>
          <w:rFonts w:ascii="Times New Roman" w:eastAsia="Times New Roman" w:hAnsi="Times New Roman" w:cs="Times New Roman"/>
          <w:sz w:val="22"/>
          <w:szCs w:val="22"/>
          <w:lang w:val="sk-SK"/>
        </w:rPr>
        <w:t>ako pri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štandardnej starostlivosti.</w:t>
      </w:r>
    </w:p>
    <w:p w14:paraId="2700DD37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7335893" w14:textId="77777777" w:rsidR="002F645E" w:rsidRPr="00731FE7" w:rsidRDefault="002F645E" w:rsidP="002F645E">
      <w:pPr>
        <w:ind w:right="20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Eliminácia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 skončení liečby môže trvať až dva mesiace, preto je potrebné počas tohto obdobia naďalej venovať pozornosť infekciám. Pacientov je potrebné poučiť, aby hlásili symptómy infekcie počas 2 mesiacov od vysadenia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37D9F83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0131BC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Makulárny edém</w:t>
      </w:r>
    </w:p>
    <w:p w14:paraId="381DB966" w14:textId="77777777" w:rsidR="002F645E" w:rsidRPr="00731FE7" w:rsidRDefault="002F645E" w:rsidP="002F645E">
      <w:pPr>
        <w:ind w:right="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Makulárny edém so symptómami súvisiacimi so zrakom alebo bez nich bol hlásený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liečených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vyskytoval sa prevažne počas prvých 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 mesiacov liečby (pozri časť 4.8). Preto sa odporúča vykonať oftalmologické vyšetrenie po 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 mesiacoch od začatia liečby. Ak pacienti hlásia poruchy zraku kedykoľvek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priebehu liečby, je potrebné vyšetriť očné pozadie vrátane makuly.</w:t>
      </w:r>
    </w:p>
    <w:p w14:paraId="675E4D8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7D20FB6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uveitídou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anamnéze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pacientov, ktorí majú diabetes mellitus, je zvýšené riziko makulárneho edému (pozri časť 4.8). </w:t>
      </w:r>
      <w:proofErr w:type="spellStart"/>
      <w:r w:rsidR="006A01C1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neskúšal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so </w:t>
      </w:r>
      <w:r w:rsidR="008A22C2" w:rsidRPr="008A22C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sklerózou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ktorí majú súčasne diabetes mellitus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pacientov, ktorí majú </w:t>
      </w:r>
      <w:r w:rsidR="008A22C2" w:rsidRPr="008A22C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sklerózu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súčasne diabetes mellitus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uveitídu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anamnéze, sa odporúča oftalmologické vyšetrenie pred začatím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následné vyšetrenia počas liečby.</w:t>
      </w:r>
    </w:p>
    <w:p w14:paraId="40B18BC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64B9F17" w14:textId="77777777" w:rsidR="002F645E" w:rsidRPr="00731FE7" w:rsidRDefault="002F645E" w:rsidP="002F645E">
      <w:pPr>
        <w:ind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bookmarkStart w:id="6" w:name="page8"/>
      <w:bookmarkEnd w:id="6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Pokračovanie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liečbe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makulárnym edémom sa nehodnotilo. Odporúča sa vysadiť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ak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pacienta vznikne makulárny edém. Pri rozhodovaní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tom, či sa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alebo nemá znovu začať po ústupe makulárneho edému, je potrebné zohľadniť potenciálny prínos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riziká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individuálneho pacienta.</w:t>
      </w:r>
    </w:p>
    <w:p w14:paraId="4E231AB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3C56EF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Funkcia pečene</w:t>
      </w:r>
    </w:p>
    <w:p w14:paraId="383FF82A" w14:textId="77777777" w:rsidR="002F645E" w:rsidRPr="00731FE7" w:rsidRDefault="002F645E" w:rsidP="002F645E">
      <w:pPr>
        <w:ind w:right="4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so </w:t>
      </w:r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sklerózou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liečených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zaznamenali zvýšené pečeňové enzýmy, najmä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alanínaminotransferáza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(ALT), ale aj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gamaglutamyltransferáza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(GGT)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aspartátaminotransferáza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(AST)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skúšaniach sa zvýšenie ALT na 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 hornej hranice normálnych hodnôt (ULN</w:t>
      </w:r>
      <w:r w:rsid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upper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limit of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normal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alebo viac vyskytlo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8,0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dospelých pacientov liečených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porovnaní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pacientov, ktorí dostávali placebo. Zvýšenie na 5</w:t>
      </w:r>
      <w:r w:rsidR="006A01C1">
        <w:rPr>
          <w:rFonts w:ascii="Times New Roman" w:eastAsia="Times New Roman" w:hAnsi="Times New Roman" w:cs="Times New Roman"/>
          <w:sz w:val="22"/>
          <w:szCs w:val="22"/>
          <w:lang w:val="sk-SK"/>
        </w:rPr>
        <w:noBreakHyphen/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 ULN sa vyskytlo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1,8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placebe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skúšaniach sa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vysadil, ak zvýšenie prekročilo 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násobok ULN. Zvýšenie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pečene sa znovu vyskytlo pri opätovnom podaní niektorým pacientom, čo potvrdzuje súvislosť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štúdiách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zvýšenie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vyskytlo kedykoľvek počas liečby, hoci väčšina prípadov sa vyskytla počas prvých 12 mesiacov. Hladiny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sére sa vrátili na normálne hodnoty približne do 2 mesiacov od vysadenia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92040B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55EB38C" w14:textId="77777777" w:rsidR="002F645E" w:rsidRPr="00731FE7" w:rsidRDefault="002F645E" w:rsidP="002F645E">
      <w:pPr>
        <w:ind w:right="2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</w:t>
      </w:r>
      <w:r w:rsidRPr="004F1A67">
        <w:rPr>
          <w:rFonts w:ascii="Times New Roman" w:eastAsia="Times New Roman" w:hAnsi="Times New Roman" w:cs="Times New Roman"/>
          <w:sz w:val="22"/>
          <w:szCs w:val="22"/>
          <w:lang w:val="sk-SK"/>
        </w:rPr>
        <w:t>ingolimod</w:t>
      </w:r>
      <w:proofErr w:type="spellEnd"/>
      <w:r w:rsidRPr="004F1A6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 neskúšal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už prítomnou </w:t>
      </w:r>
      <w:r w:rsidR="009E072B">
        <w:rPr>
          <w:rFonts w:ascii="Times New Roman" w:eastAsia="Times New Roman" w:hAnsi="Times New Roman" w:cs="Times New Roman"/>
          <w:sz w:val="22"/>
          <w:szCs w:val="22"/>
          <w:lang w:val="sk-SK"/>
        </w:rPr>
        <w:t>ťažk</w:t>
      </w:r>
      <w:r w:rsidR="009E072B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poruchou funkcie pečene (trieda C podľa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Childa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Pugha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týchto pacientov sa nemá používať (pozri časť 4.3).</w:t>
      </w:r>
    </w:p>
    <w:p w14:paraId="0D1AD54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973FED2" w14:textId="77777777" w:rsidR="002F645E" w:rsidRPr="00731FE7" w:rsidRDefault="002F645E" w:rsidP="002F645E">
      <w:pPr>
        <w:ind w:right="4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vlastnosti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začiatok liečby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aktívnou vírusovou hepatitídou odložiť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až do jej vymiznutia.</w:t>
      </w:r>
    </w:p>
    <w:p w14:paraId="5203A0D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03D6CA8" w14:textId="77777777" w:rsidR="002F645E" w:rsidRPr="00731FE7" w:rsidRDefault="002F645E" w:rsidP="002F645E">
      <w:pPr>
        <w:ind w:right="2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majú byť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dispozícii nedávne (</w:t>
      </w:r>
      <w:r w:rsidR="00661EE8">
        <w:rPr>
          <w:rFonts w:ascii="Times New Roman" w:eastAsia="Times New Roman" w:hAnsi="Times New Roman" w:cs="Times New Roman"/>
          <w:sz w:val="22"/>
          <w:szCs w:val="22"/>
          <w:lang w:val="sk-SK"/>
        </w:rPr>
        <w:t>t. j.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predchádzajúcich 6 mesiacov) hladiny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bilirubínu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Ak nie sú prítomné klinické symptómy, pečeňové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majú skontrolovať po 1., 3., 6., 9.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12. mesiaci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neskôr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pravidelných intervaloch. Ak sa pečeňové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zvýšia nad 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 ULN, má sa začať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častejšími kontrolami vrátane stanovení sérového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bilirubínu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alkalickej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fosfatázy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(ALP). Pri opakovanom potvrdení hodnôt pečeňových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vyšších ako 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násobok ULN sa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prerušiť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znovu začať, až keď sa pečeňové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vrátia na normálne hodnoty.</w:t>
      </w:r>
    </w:p>
    <w:p w14:paraId="7F7E571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CE053D8" w14:textId="77777777" w:rsidR="002F645E" w:rsidRPr="00731FE7" w:rsidRDefault="002F645E" w:rsidP="002F645E">
      <w:pPr>
        <w:ind w:right="4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ktorých sa objavia symptómy naznačujúce dysfunkciu pečene, napr. nevysvetlená nauzea, vracanie, bolesť brucha, únava, nechutenstvo alebo žltačka a/alebo tmavý moč, je potrebné</w:t>
      </w:r>
      <w:r w:rsidR="0043349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skontrolovať pečeňové enzýmy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ak sa potvrdí významná porucha funkcie pečene (napr. hladina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pečene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vyššia ako 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násobok ULN a/alebo zvýšenie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bilirubínu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sére),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vysadiť. Opätovné začatie liečby bude závisieť od toho, či sa určí alebo neurčí iná príčina poruchy funkcie pečene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od prínosu, ktorý pre pacienta predstavuje pokračovanie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porovnaní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rizikami opakovania dysfunkcie pečene.</w:t>
      </w:r>
    </w:p>
    <w:p w14:paraId="34FD3F6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275A276" w14:textId="77777777" w:rsidR="002F645E" w:rsidRPr="00731FE7" w:rsidRDefault="002F645E" w:rsidP="002F645E">
      <w:pPr>
        <w:ind w:right="2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Hoci žiadne údaje nepotvrdzujú, že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už prítomným ochorením pečene je zvýšené riziko výskytu zvýšených testov funkcie pečene, keď užívajú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pri použití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významným ochorením pečene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anamnéze je potrebná opatrnosť.</w:t>
      </w:r>
    </w:p>
    <w:p w14:paraId="25E67F7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6B559D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Interferencia so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sérologickým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testovaním</w:t>
      </w:r>
    </w:p>
    <w:p w14:paraId="464463DF" w14:textId="77777777" w:rsidR="002F645E" w:rsidRPr="00731FE7" w:rsidRDefault="002F645E" w:rsidP="002F645E">
      <w:pPr>
        <w:ind w:right="34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Keďže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znižuje počet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krvi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redistribúciou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sekundárnych lymfatických orgánoch,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</w:t>
      </w:r>
      <w:proofErr w:type="spellStart"/>
      <w:r w:rsidRPr="004F1A6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4F1A6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sa počty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periférnej krvi nemôžu použiť na vyhodnotenie stavu podskupín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Laboratórne testy, na ktorých sa podieľajú cirkulujúce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mononukleárne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bunky, vyžadujú pre znížený počet cirkulujúcich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väčšie objemy krvi.</w:t>
      </w:r>
    </w:p>
    <w:p w14:paraId="48B848E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0D1155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7" w:name="page9"/>
      <w:bookmarkEnd w:id="7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Účinky na tlak krvi</w:t>
      </w:r>
    </w:p>
    <w:p w14:paraId="502D7603" w14:textId="77777777" w:rsidR="002F645E" w:rsidRPr="00731FE7" w:rsidRDefault="002F645E" w:rsidP="002F645E">
      <w:pPr>
        <w:ind w:right="4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Pacienti, </w:t>
      </w:r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 w:rsid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ktorých nebolo možné hypertenziu kontrolovať liekmi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boli vylúčení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účasti na klinických skúšaniach pred uvedením lieku na trh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osobitná starostlivosť je potrebná, ak sa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liečia pacienti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nezvládnutou hypertenziou.</w:t>
      </w:r>
    </w:p>
    <w:p w14:paraId="7B153A2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86443E0" w14:textId="77777777" w:rsidR="002F645E" w:rsidRPr="00731FE7" w:rsidRDefault="002F645E" w:rsidP="002F645E">
      <w:pPr>
        <w:ind w:right="2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skúšaniach pri SM sa pacientom liečeným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priemere zvýšil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systolický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tlak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mm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diastolický tlak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mm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Hg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čo sa prvý raz zistilo približne 1 mesiac po začatí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pretrvávalo pri pokračujúcej liečbe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štúdii kontrolovanej placebom trvajúcej 2 roky sa hypertenzia zaznamenala ako nežiaduca udalosť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6,5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3,3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placebe. Krvný tlak sa má preto pravidelne kontrolovať počas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398CEF9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ED17B5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Účinky na dýchanie</w:t>
      </w:r>
    </w:p>
    <w:p w14:paraId="75762EAB" w14:textId="77777777" w:rsidR="002F645E" w:rsidRPr="00731FE7" w:rsidRDefault="002F645E" w:rsidP="002F645E">
      <w:pPr>
        <w:ind w:right="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 liečbe </w:t>
      </w:r>
      <w:proofErr w:type="spellStart"/>
      <w:r w:rsidR="00E8332D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pozoroval malý, od dávky závislý pokles hodnôt úsilného výdychového objemu (FEV</w:t>
      </w:r>
      <w:r w:rsidRPr="00E8332D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1</w:t>
      </w:r>
      <w:r w:rsidR="007B1F4E">
        <w:t xml:space="preserve">, </w:t>
      </w:r>
      <w:proofErr w:type="spellStart"/>
      <w:r w:rsidR="007B1F4E" w:rsidRPr="00F33566">
        <w:rPr>
          <w:rFonts w:ascii="Times New Roman" w:eastAsia="Times New Roman" w:hAnsi="Times New Roman" w:cs="Times New Roman"/>
          <w:sz w:val="22"/>
          <w:szCs w:val="22"/>
          <w:lang w:val="sk-SK"/>
        </w:rPr>
        <w:t>forced</w:t>
      </w:r>
      <w:proofErr w:type="spellEnd"/>
      <w:r w:rsidR="007B1F4E" w:rsidRPr="00F33566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F33566">
        <w:rPr>
          <w:rFonts w:ascii="Times New Roman" w:eastAsia="Times New Roman" w:hAnsi="Times New Roman" w:cs="Times New Roman"/>
          <w:sz w:val="22"/>
          <w:szCs w:val="22"/>
          <w:lang w:val="sk-SK"/>
        </w:rPr>
        <w:t>expiratory</w:t>
      </w:r>
      <w:proofErr w:type="spellEnd"/>
      <w:r w:rsidR="007B1F4E" w:rsidRPr="00F33566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F33566">
        <w:rPr>
          <w:rFonts w:ascii="Times New Roman" w:eastAsia="Times New Roman" w:hAnsi="Times New Roman" w:cs="Times New Roman"/>
          <w:sz w:val="22"/>
          <w:szCs w:val="22"/>
          <w:lang w:val="sk-SK"/>
        </w:rPr>
        <w:t>volume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difúznej kapacity pre oxid uhoľnatý (DLCO</w:t>
      </w:r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diffusion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capacity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for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carbon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monooxide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), ktorý sa začal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1. mesiaci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potom zostal stabilný.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používať opatrne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so závažným ochorením dýchacej sústavy, pľúcnou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fibrózou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chronickou obštrukčnou chorobou pľúc (pozri aj časť 4.8).</w:t>
      </w:r>
    </w:p>
    <w:p w14:paraId="51E9437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CCD207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Syndróm reverzibilnej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posteriórnej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encefalopatie</w:t>
      </w:r>
      <w:proofErr w:type="spellEnd"/>
    </w:p>
    <w:p w14:paraId="64643E77" w14:textId="77777777" w:rsidR="002F645E" w:rsidRPr="00731FE7" w:rsidRDefault="002F645E" w:rsidP="002F645E">
      <w:pPr>
        <w:ind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Zriedkavé prípady syndrómu reverzibilnej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posteriórnej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encefalopatie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(PRES</w:t>
      </w:r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,</w:t>
      </w:r>
      <w:r w:rsid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posterior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reversible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encephalopathy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syndrome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sa zaznamenali pri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skúšaniach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 uvedení lieku na trh (pozri časť 4.8). Hlásené symptómy zahŕňali náhly nástup silnej bolesti hlavy, nauzey, vracania, zmeneného duševného stavu, porúch videnia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kŕčov. Symptómy PRES sú obvykle reverzibilné, ale môžu sa vyvinúť do ischemickej mozgovej príhody alebo krvácania do mozgu. Oneskorenie stanovenia diagnózy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liečby môže viesť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trvalým neurologickým následkom. Pri podozrení na PRES sa má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vysadiť.</w:t>
      </w:r>
    </w:p>
    <w:p w14:paraId="74BD3A2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A6D3C6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Predchádzajúce podanie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imunosupresívnej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imunomodulačnej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liečby</w:t>
      </w:r>
    </w:p>
    <w:p w14:paraId="6BB3A2B8" w14:textId="77777777" w:rsidR="002F645E" w:rsidRPr="00731FE7" w:rsidRDefault="002F645E" w:rsidP="002F645E">
      <w:pPr>
        <w:ind w:right="2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Klinické skúšania na vyhodnotenie účinnosti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bezpečnosti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zmene liečby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teriflunomidu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dimetylfumarátu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alemtuzumabu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6F66E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6F66E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 nevykonali. Pri prechode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inej liečby modifikujúcej ochorenie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musí vziať do úvahy polčas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spôsob účinku tejto inej liečby, aby sa zabránilo aditívnemu účinku na imunitu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súčasne sa minimalizovalo riziko reaktivácie ochorenia. Pred začatím podávania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odporúča CBC, aby sa overilo, že vymizli účinky predchádzajúcej liečby na imunitu (</w:t>
      </w:r>
      <w:r w:rsidR="00661EE8">
        <w:rPr>
          <w:rFonts w:ascii="Times New Roman" w:eastAsia="Times New Roman" w:hAnsi="Times New Roman" w:cs="Times New Roman"/>
          <w:sz w:val="22"/>
          <w:szCs w:val="22"/>
          <w:lang w:val="sk-SK"/>
        </w:rPr>
        <w:t>t. j.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cytopénia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6576627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9ACE96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možno spravidla začať podávať ihneď po vysadení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glatirameracetátu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4983747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3176406" w14:textId="77777777" w:rsidR="002F645E" w:rsidRPr="00731FE7" w:rsidRDefault="002F645E" w:rsidP="002F645E">
      <w:pPr>
        <w:ind w:right="6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dimetylfumaráte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byť doba vyplavenia dostatočná na zotavenie CBC 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43652AD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B2A8E0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Vzhľadom na dlhý polčas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natalizumabu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trvá eliminácia zvyčajne až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3 mesiace po jeho vysadení.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Teriflunomid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eliminuje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plazmy tiež pomaly. Bez zrýchleného procesu eliminácie môže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klírens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teriflunomidu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plazmy trvať niekoľko mesiacov až 2 roky. Odporúča sa zrýchlený proces eliminácie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teriflunomidu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ako je definovaný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jeho súhrne charakteristických vlastností lieku</w:t>
      </w:r>
      <w:r w:rsid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alternatívou je doba vyplavenia, ktorá nemá byť kratšia ako 3,5 mesiaca. Vzhľadom na možné súbežné účinky na imunitu sa pri zmene liečby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natalizumabu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teriflunomidu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vyžaduje opatrnosť.</w:t>
      </w:r>
    </w:p>
    <w:p w14:paraId="4A981E7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8D5158B" w14:textId="77777777" w:rsidR="002F645E" w:rsidRPr="00731FE7" w:rsidRDefault="002F645E" w:rsidP="002F645E">
      <w:pPr>
        <w:ind w:right="2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Alemtuzumab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silné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dlhodobé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účinky. Keďže skutočné trvanie týchto účinkov nie je známe, začať liečbu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alemtuzumabe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neodporúča, pokiaľ prínos takejto liečby nie je jednoznačne väčší ako riziká pre jednotlivého pacienta.</w:t>
      </w:r>
    </w:p>
    <w:p w14:paraId="31A8415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EDEE01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Rozhodnutie podať dlhodobú súbežnú liečbu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kortikosteroidmi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starostlivo zvážiť.</w:t>
      </w:r>
    </w:p>
    <w:p w14:paraId="6747FBD7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F95625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8" w:name="page10"/>
      <w:bookmarkEnd w:id="8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Súbežné podávanie so silnými induktormi CYP450</w:t>
      </w:r>
    </w:p>
    <w:p w14:paraId="30EB5BE8" w14:textId="77777777" w:rsidR="002F645E" w:rsidRPr="00731FE7" w:rsidRDefault="002F645E" w:rsidP="002F645E">
      <w:pPr>
        <w:ind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Kombinácia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so silnými induktormi CYP450 sa má používať opatrne. Súbežné používanie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ľubovníkom bodkovaným sa neodporúča (pozri časť 4.5).</w:t>
      </w:r>
    </w:p>
    <w:p w14:paraId="5031B01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D3E4AC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Malignity</w:t>
      </w:r>
    </w:p>
    <w:p w14:paraId="79C6E8D6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EDF5D5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Kožné malignity</w:t>
      </w:r>
    </w:p>
    <w:p w14:paraId="3A0BC4C4" w14:textId="77777777" w:rsidR="002F645E" w:rsidRPr="00731FE7" w:rsidRDefault="002F645E" w:rsidP="002F645E">
      <w:pPr>
        <w:ind w:right="4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pacientov, ktorí dostávali </w:t>
      </w:r>
      <w:proofErr w:type="spellStart"/>
      <w:r w:rsidRPr="006F66E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sa zaznamenal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bazocelulárny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karcinóm (BCC</w:t>
      </w:r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basal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cell</w:t>
      </w:r>
      <w:proofErr w:type="spellEnd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B1F4E" w:rsidRPr="007B1F4E">
        <w:rPr>
          <w:rFonts w:ascii="Times New Roman" w:eastAsia="Times New Roman" w:hAnsi="Times New Roman" w:cs="Times New Roman"/>
          <w:sz w:val="22"/>
          <w:szCs w:val="22"/>
          <w:lang w:val="sk-SK"/>
        </w:rPr>
        <w:t>carcinoma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iné kožné nádory, vrátane malígneho melanómu,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spinocelulárneho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karcinómu,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Kaposiho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sarkómu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karcinómu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Merkelových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buniek (pozri časť 4.8). Je potrebné venovať pozornosť kožným léziám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odporúča sa vyšetrenie kože na začiatku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potom každých 6 až 12 mesiacov na základe klinického zváženia. Pri zistení podozrivých lézií sa má pacient odporučiť na vyšetrenie dermatológom.</w:t>
      </w:r>
    </w:p>
    <w:p w14:paraId="708872F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DAF2674" w14:textId="77777777" w:rsidR="002F645E" w:rsidRPr="00731FE7" w:rsidRDefault="002F645E" w:rsidP="002F645E">
      <w:pPr>
        <w:ind w:right="1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Keďže existuje potenciálne riziko rastu kožných malignít, 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treba poučiť, aby sa nevystavovali slnečnému žiareniu bez ochrany. Títo pacienti sa nemajú súbežne liečiť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fototerapiou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UVB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žiarením ani PUVA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fotochemoterapiou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362F6F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6A894B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Lymfómy</w:t>
      </w:r>
      <w:proofErr w:type="spellEnd"/>
    </w:p>
    <w:p w14:paraId="0C5DA1B9" w14:textId="77777777" w:rsidR="002F645E" w:rsidRPr="00731FE7" w:rsidRDefault="002F645E" w:rsidP="002F645E">
      <w:pPr>
        <w:ind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Prípady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vyskytli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štúdiách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 uvedení lieku na trh (pozri časť 4.8). Hlásené boli prípady rôzneho typu, najmä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non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Hodgkinov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vrátane 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bunkových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bunkových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Zaznamenali sa prípady kožného 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bunkového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mycosis</w:t>
      </w:r>
      <w:proofErr w:type="spellEnd"/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fungoides</w:t>
      </w:r>
      <w:proofErr w:type="spellEnd"/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).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Zaznamenal sa tiež fatálny prípad 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bunkového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pozitivitou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Epsteinov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Barrovej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vírus (EBV). Pri podozrení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vysadiť.</w:t>
      </w:r>
    </w:p>
    <w:p w14:paraId="7F11F1F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E7DC1E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Ženy vo fertilnom veku</w:t>
      </w:r>
    </w:p>
    <w:p w14:paraId="69842436" w14:textId="77777777" w:rsidR="002F645E" w:rsidRPr="00731FE7" w:rsidRDefault="002F645E" w:rsidP="002F645E">
      <w:pPr>
        <w:ind w:right="3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Kvôli riziku pre plod 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počas gravidity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žien vo fertilnom veku, ktoré nepoužívajú účinnú antikoncepciu, kontraindikovaný. Pred zahájením liečby musia byť ženy vo fertilnom veku informované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riziku pre plod, musia mať negatívny výsledok testu na graviditu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musia používať účinnú antikoncepciu počas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 mesiace po jej ukončení (pozri časti 4.3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informácie obsiahnuté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balíku informácií pre lekára).</w:t>
      </w:r>
    </w:p>
    <w:p w14:paraId="0D6E2A7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6602B4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Tumefaktívne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lézie</w:t>
      </w:r>
    </w:p>
    <w:p w14:paraId="42698CBA" w14:textId="77777777" w:rsidR="002F645E" w:rsidRPr="00731FE7" w:rsidRDefault="002F645E" w:rsidP="002F645E">
      <w:pPr>
        <w:ind w:right="1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 uvedení lieku na trh boli hlásené zriedkavé prípady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tumefaktívnych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lézií spojených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SM.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prípade závažných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potrebné vykonať MRI vyšetrenie na vylúčenie prítomnosti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tumefaktívnych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lézií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každom jednom prípade musí lekár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ohľadom na individuálny pomer pr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í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nosov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rizík zvážiť ukončenie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6648830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6D86E8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Návrat aktivity ochorenia („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rebound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“) </w:t>
      </w:r>
      <w:bookmarkStart w:id="9" w:name="_Hlk44359915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po ukončení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fingolimodom</w:t>
      </w:r>
      <w:bookmarkEnd w:id="9"/>
      <w:proofErr w:type="spellEnd"/>
    </w:p>
    <w:p w14:paraId="38140A1B" w14:textId="77777777" w:rsidR="002F645E" w:rsidRPr="00731FE7" w:rsidRDefault="002F645E" w:rsidP="002F645E">
      <w:pPr>
        <w:ind w:right="2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 uvedení lieku na trh sa zriedkavo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niektorých pacientov, ktorí ukončili liečbu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vyskytlo závažné zhoršenie ochorenia</w:t>
      </w:r>
      <w:r w:rsidR="0066767A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66767A" w:rsidRPr="0066767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Toto zhoršenie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 vo všeobecnosti pozorovalo do 12</w:t>
      </w:r>
      <w:r w:rsidR="00AB473E"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týždňov, ale bolo hlásené aj do 24 týždňov od ukončenia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Pri ukončení liečby </w:t>
      </w:r>
      <w:proofErr w:type="spellStart"/>
      <w:r w:rsidR="0066767A" w:rsidRPr="0066767A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="0066767A" w:rsidRPr="0066767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 preto potrebná opatrnosť. Ak je ukončenie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nevyhnutné, do úvahy treba vziať možnosť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rekurencie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výnimočne vysokej aktivity ochorenia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je potrebné sledovať relevantné príznaky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prejavy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podľa potreby zahájiť vhodnú liečbu (pozri nižšie „Ukončenie liečby“).</w:t>
      </w:r>
    </w:p>
    <w:p w14:paraId="73D46CF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bookmarkStart w:id="10" w:name="page11"/>
      <w:bookmarkEnd w:id="10"/>
    </w:p>
    <w:p w14:paraId="37656B04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Ukončenie liečby</w:t>
      </w:r>
    </w:p>
    <w:p w14:paraId="48C75B49" w14:textId="77777777" w:rsidR="002F645E" w:rsidRPr="00731FE7" w:rsidRDefault="002F645E" w:rsidP="002F645E">
      <w:pPr>
        <w:ind w:left="2" w:right="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Keď sa rozhodne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ukončení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je potrebné obdobie 6 týždňov bez liečby, aby </w:t>
      </w:r>
      <w:r w:rsidR="00FF610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vzhľadom na svoj polčas eliminoval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obehu (pozri časť 5.2)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väčšiny pacientov sa počty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postupne vrátia do normálneho rozmedzia za 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 mesiace od ukončenia liečby (pozri časť 5.1),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niektorých pacientov však môže trvať úplne zotavenie výrazne dlhšie. Začatie iných druhov liečby počas tohto obdobia bude mať za následok súbežnú expozíciu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Použitie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krátko po vysadení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môže viesť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aditívnemu účinku na imunitný systém, preto je potrebná opatrnosť.</w:t>
      </w:r>
    </w:p>
    <w:p w14:paraId="2305C967" w14:textId="77777777" w:rsidR="0052518A" w:rsidRPr="00731FE7" w:rsidRDefault="0052518A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00C2BA4" w14:textId="77777777" w:rsidR="002F645E" w:rsidRPr="00731FE7" w:rsidRDefault="002F645E" w:rsidP="0052518A">
      <w:pPr>
        <w:ind w:left="2" w:right="1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Kvôli riziku opätovného návratu ochorenia sa pri ukončení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odporúča opatrnosť</w:t>
      </w:r>
      <w:r w:rsidR="0052518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(pozri „Návrat aktivity ochorenia („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rebound</w:t>
      </w:r>
      <w:proofErr w:type="spellEnd"/>
      <w:r w:rsidRPr="00DE7648">
        <w:rPr>
          <w:rFonts w:ascii="Times New Roman" w:eastAsia="Times New Roman" w:hAnsi="Times New Roman" w:cs="Times New Roman"/>
          <w:sz w:val="22"/>
          <w:szCs w:val="22"/>
          <w:lang w:val="sk-SK"/>
        </w:rPr>
        <w:t>“)</w:t>
      </w:r>
      <w:r w:rsidRPr="0052518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 ukončení liečby </w:t>
      </w:r>
      <w:proofErr w:type="spellStart"/>
      <w:r w:rsidRPr="0052518A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“ vyššie). Ak je</w:t>
      </w:r>
      <w:r w:rsidR="0052518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ukončenie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považované za nevyhnutné, pacientov 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tom čase potrebné sledovať na relevantné príznaky možného návratu ochorenia.</w:t>
      </w:r>
    </w:p>
    <w:p w14:paraId="5DF3076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F6F9F35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Pediatrická populácia</w:t>
      </w:r>
    </w:p>
    <w:p w14:paraId="083B9537" w14:textId="77777777" w:rsidR="002F645E" w:rsidRPr="00731FE7" w:rsidRDefault="002F645E" w:rsidP="002F645E">
      <w:pPr>
        <w:ind w:left="2" w:right="10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Profil bezpečnosti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je podobný ako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upozornenia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bezpečnostné opatrenia pre dospelých preto platia aj pre pediatrických pacientov.</w:t>
      </w:r>
    </w:p>
    <w:p w14:paraId="70D8141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C882155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 predpisovaní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pediatrickým pacientom je potrebné pamätať najmä na nasledovné:</w:t>
      </w:r>
    </w:p>
    <w:p w14:paraId="7D738554" w14:textId="77777777" w:rsidR="002F645E" w:rsidRPr="002917AB" w:rsidRDefault="002F645E" w:rsidP="002F645E">
      <w:pPr>
        <w:numPr>
          <w:ilvl w:val="0"/>
          <w:numId w:val="10"/>
        </w:numPr>
        <w:ind w:left="567" w:right="148" w:hanging="567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V čase prvej dávky sa majú dodržiavať bezpečnostné opatrenia (pozri vyššie „</w:t>
      </w:r>
      <w:proofErr w:type="spellStart"/>
      <w:r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Bradyarytmia</w:t>
      </w:r>
      <w:proofErr w:type="spellEnd"/>
      <w:r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>“).</w:t>
      </w:r>
    </w:p>
    <w:p w14:paraId="53CEE458" w14:textId="77777777" w:rsidR="002F645E" w:rsidRPr="00731FE7" w:rsidRDefault="002F645E" w:rsidP="002F645E">
      <w:pPr>
        <w:numPr>
          <w:ilvl w:val="0"/>
          <w:numId w:val="10"/>
        </w:numPr>
        <w:tabs>
          <w:tab w:val="left" w:pos="562"/>
        </w:tabs>
        <w:ind w:left="562" w:right="268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kontrolovanom pediatrickom klinickom skúšaní D2311 boli hlásené prípady epileptických záchvatov, úzkosti, depresívnej nálady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depresie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vyššou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incidenciou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porovnaní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pacientmi liečenými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tejto podskupiny populácie sa vyžaduje opatrnosť (pozri „Pediatrická populácia“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časti 4.8).</w:t>
      </w:r>
    </w:p>
    <w:p w14:paraId="431AF57C" w14:textId="77777777" w:rsidR="002F645E" w:rsidRPr="00937825" w:rsidRDefault="002F645E" w:rsidP="002F645E">
      <w:pPr>
        <w:numPr>
          <w:ilvl w:val="0"/>
          <w:numId w:val="10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Ojedinelé mierne zvýšenia </w:t>
      </w:r>
      <w:proofErr w:type="spellStart"/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bilirubínu</w:t>
      </w:r>
      <w:proofErr w:type="spellEnd"/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zaznamenali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liečených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7C487700" w14:textId="77777777" w:rsidR="002F645E" w:rsidRPr="00731FE7" w:rsidRDefault="002F645E" w:rsidP="002F645E">
      <w:pPr>
        <w:numPr>
          <w:ilvl w:val="0"/>
          <w:numId w:val="10"/>
        </w:numPr>
        <w:tabs>
          <w:tab w:val="left" w:pos="562"/>
        </w:tabs>
        <w:ind w:left="562" w:right="328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Odporúča sa, aby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pediatrických pacientov 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ukončili všetky očkovania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súlade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platnými smernicami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imunizácii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vyššie „Infekcie“).</w:t>
      </w:r>
    </w:p>
    <w:p w14:paraId="030A3CDB" w14:textId="77777777" w:rsidR="002F645E" w:rsidRPr="00937825" w:rsidRDefault="002F645E" w:rsidP="002F645E">
      <w:pPr>
        <w:numPr>
          <w:ilvl w:val="0"/>
          <w:numId w:val="10"/>
        </w:numPr>
        <w:tabs>
          <w:tab w:val="left" w:pos="562"/>
        </w:tabs>
        <w:ind w:left="562" w:right="528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Dostupné sú veľmi obmedzené údaje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detí vo veku 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–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12 rokov,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hmotnosťou nižšou ako 40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kg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hodnotou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2 na stupnici podľa </w:t>
      </w:r>
      <w:proofErr w:type="spellStart"/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Tannera</w:t>
      </w:r>
      <w:proofErr w:type="spellEnd"/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časti 4.8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5.1).</w:t>
      </w:r>
      <w:r w:rsidR="007903FF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Vzhľadom na veľmi obmedzené poznatky dostupné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klinickej štúdie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937825">
        <w:rPr>
          <w:rFonts w:ascii="Times New Roman" w:eastAsia="Times New Roman" w:hAnsi="Times New Roman" w:cs="Times New Roman"/>
          <w:sz w:val="22"/>
          <w:szCs w:val="22"/>
          <w:lang w:val="sk-SK"/>
        </w:rPr>
        <w:t>týchto podskupín vyžaduje opatrnosť.</w:t>
      </w:r>
    </w:p>
    <w:p w14:paraId="3ACD48CB" w14:textId="77777777" w:rsidR="002F645E" w:rsidRPr="00731FE7" w:rsidRDefault="002F645E" w:rsidP="002F645E">
      <w:pPr>
        <w:numPr>
          <w:ilvl w:val="0"/>
          <w:numId w:val="10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Údaje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dlhodobej bezpečnosti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pediatrickej populácie nie sú dostupné.</w:t>
      </w:r>
    </w:p>
    <w:p w14:paraId="706E662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65268F8" w14:textId="77777777" w:rsidR="002F645E" w:rsidRPr="00731FE7" w:rsidRDefault="002F645E" w:rsidP="002F645E">
      <w:pPr>
        <w:tabs>
          <w:tab w:val="left" w:pos="541"/>
        </w:tabs>
        <w:ind w:left="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4.5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Liekové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iné interakcie</w:t>
      </w:r>
    </w:p>
    <w:p w14:paraId="3291DAE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08847A2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Cytostatická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imunomodulačná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imunosupresívna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liečba</w:t>
      </w:r>
    </w:p>
    <w:p w14:paraId="2730D8A9" w14:textId="77777777" w:rsidR="002F645E" w:rsidRPr="00731FE7" w:rsidRDefault="002F645E" w:rsidP="002F645E">
      <w:pPr>
        <w:ind w:left="2" w:right="4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Cytostatická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imunomodulačná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liečba sa nemá podávať súbežne pre riziko aditívnych účinkov na imunitný systém (pozri časti 4.3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4.4).</w:t>
      </w:r>
    </w:p>
    <w:p w14:paraId="17F497D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D71379F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Opatrne je tiež potrebné postupovať pri zmene liečby </w:t>
      </w:r>
      <w:r w:rsidR="00FF6105">
        <w:rPr>
          <w:rFonts w:ascii="Times New Roman" w:eastAsia="Times New Roman" w:hAnsi="Times New Roman" w:cs="Times New Roman"/>
          <w:sz w:val="22"/>
          <w:szCs w:val="22"/>
          <w:lang w:val="sk-SK"/>
        </w:rPr>
        <w:t>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</w:t>
      </w:r>
      <w:r w:rsidR="00FF6105">
        <w:rPr>
          <w:rFonts w:ascii="Times New Roman" w:eastAsia="Times New Roman" w:hAnsi="Times New Roman" w:cs="Times New Roman"/>
          <w:sz w:val="22"/>
          <w:szCs w:val="22"/>
          <w:lang w:val="sk-SK"/>
        </w:rPr>
        <w:t>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dlhodobo pôsobiacimi liekmi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účinkom na imunitný systém, 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natalizumabom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teriflunomidom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mitoxantrónom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časť 4.4)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štúdiách pri </w:t>
      </w:r>
      <w:r w:rsidR="00FF6105" w:rsidRPr="00FF610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skleróze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súbežná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krátkym cyklom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kortikosteroidov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nespájala so zvýšeným výskytom infekcií.</w:t>
      </w:r>
    </w:p>
    <w:p w14:paraId="1B6F8A8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123417B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Vakcinácia</w:t>
      </w:r>
    </w:p>
    <w:p w14:paraId="6093C1A1" w14:textId="77777777" w:rsidR="002F645E" w:rsidRPr="00731FE7" w:rsidRDefault="002F645E" w:rsidP="002F645E">
      <w:pPr>
        <w:ind w:left="2" w:right="2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Počas liečby </w:t>
      </w:r>
      <w:proofErr w:type="spellStart"/>
      <w:r w:rsidR="00C0171F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 dvoch mesiacov od jej ukončenia môže byť vakcinácia menej účinná. Použitie živých oslabených vakcín môže sprevádzať riziko infekcií, preto je potrebné sa mu vyhnúť (pozri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4.8).</w:t>
      </w:r>
    </w:p>
    <w:p w14:paraId="1F78354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1A18F7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11" w:name="page12"/>
      <w:bookmarkEnd w:id="11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Látky vyvolávajúce bradykardiu</w:t>
      </w:r>
    </w:p>
    <w:p w14:paraId="0E09561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sledoval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kombinácii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atenololom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diltiazemom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Pri podávaní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atenololom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štúdii interakcií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zdravých dobrovoľníkov sa na začiatku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znížila srdcová frekvencia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ďalších 15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čo je účinok, ktorý sa nepozoruje pri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diltiazeme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Liečba </w:t>
      </w:r>
      <w:proofErr w:type="spellStart"/>
      <w:r w:rsidR="00C0171F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nemá začať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užívajúcich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betablokátory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iné látky, ktoré môžu znížiť srdcovú frekvenciu, 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antiarytmiká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triedy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III,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blokátory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kalciových kanálov (ako 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verapamil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diltiazem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ivabradín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digoxín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r w:rsidR="00F33566" w:rsidRPr="00F33566">
        <w:rPr>
          <w:rFonts w:ascii="Times New Roman" w:eastAsia="Times New Roman" w:hAnsi="Times New Roman" w:cs="Times New Roman"/>
          <w:sz w:val="22"/>
          <w:szCs w:val="22"/>
          <w:lang w:val="sk-SK"/>
        </w:rPr>
        <w:t>inhibítory</w:t>
      </w:r>
      <w:r w:rsidR="00F33566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cholínesterázy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pilokarpín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dôvodu možných aditívnych účinkov na srdcovú frekvenciu (pozri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4.8). Ak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takýchto pacientov uvažuje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začatí liečby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je potrebná konzultácia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kardiológom kvôli prechodu na lieky,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ktoré neznižujú srdcovú frekvenciu alebo adekvátnemu sledovaniu pri začatí liečby, pokiaľ nie je možné ukončiť podávanie liekov znižujúcich srdcovú frekvenciu, prinajmenšom sa odporúča sledovanie aj počas noci.</w:t>
      </w:r>
    </w:p>
    <w:p w14:paraId="1738A15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292A9D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Ovplyvnenie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farmakokinetiky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inými látkami</w:t>
      </w:r>
    </w:p>
    <w:p w14:paraId="7F8BC85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metabolizuje najmä prostredníctvom CYP4F2. Iné enzýmy, napr. CYP3A4, sa môžu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tiež podieľať na jeho metabolizme, najmä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prípade silnej indukcie CYP3A4. Neočakáva sa vplyv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silných inhibítorov transportných bielkovín na dispozíciu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Inhibícia CYP4F2 pri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súbežnom podávaní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ketokonazolom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spôsobila 1,7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násobné zvýšenie expozície (AUC)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EF6C33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EF6C33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EF6C33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fosfátu. Opatrnosť je potrebná pri látkach, ktoré môžu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inhibovať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CYP3A4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(inhibítory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proteáz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azolové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antimykotiká, niektoré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makrolidové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zlúčeniny, 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klaritromycín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telitromycín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3091CD6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480F45A" w14:textId="77777777" w:rsidR="002F645E" w:rsidRPr="00731FE7" w:rsidRDefault="002F645E" w:rsidP="002F645E">
      <w:pPr>
        <w:ind w:right="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Sú</w:t>
      </w:r>
      <w:r w:rsidR="009E072B">
        <w:rPr>
          <w:rFonts w:ascii="Times New Roman" w:eastAsia="Times New Roman" w:hAnsi="Times New Roman" w:cs="Times New Roman"/>
          <w:sz w:val="22"/>
          <w:szCs w:val="22"/>
          <w:lang w:val="sk-SK"/>
        </w:rPr>
        <w:t>bež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né podanie 600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karbamazepínu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dvakrát denne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rovnovážnom stave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jednorazovej dávky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znížilo AUC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Iné silné induktory enzýmu CYP3A4, 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rifampicín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fenobarbital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fenytoín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efavirenz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ľubovník bodkovaný, môžu znížiť AUC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minimálne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rovnakej miere. Keďže sa tým môže prípadne zhoršiť účinnosť, pri ich súbežnom podávaní je potrebná opatrnosť. Súbežné podávanie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ľubovníkom bodkovaným sa však neodporúča (pozri časť 4.4).</w:t>
      </w:r>
    </w:p>
    <w:p w14:paraId="422B130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986212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Ovplyvnenie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farmakokinetiky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iných látok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fingolimodom</w:t>
      </w:r>
      <w:proofErr w:type="spellEnd"/>
    </w:p>
    <w:p w14:paraId="79B2A9AF" w14:textId="77777777" w:rsidR="002F645E" w:rsidRPr="00731FE7" w:rsidRDefault="002F645E" w:rsidP="002F645E">
      <w:pPr>
        <w:ind w:right="5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pravdepodobne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neinteraguje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látkami, ktoré sa eliminujú prevažne prostredníctvom enzýmov CYP450 alebo substrátmi hlavných transportných bielkovín.</w:t>
      </w:r>
    </w:p>
    <w:p w14:paraId="56249A9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54B1148" w14:textId="77777777" w:rsidR="002F645E" w:rsidRPr="00731FE7" w:rsidRDefault="002F645E" w:rsidP="002F645E">
      <w:pPr>
        <w:ind w:right="30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Súbežné podávanie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cyklosporínom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nevyvolalo žiadne zmeny expozície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cyklosporínu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Preto sa neočakáva, že 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menil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farmakokinetiku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liekov, ktoré sú substrátmi CYP3A4.</w:t>
      </w:r>
    </w:p>
    <w:p w14:paraId="3BE2D81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889AC07" w14:textId="77777777" w:rsidR="002F645E" w:rsidRPr="00731FE7" w:rsidRDefault="002F645E" w:rsidP="002F645E">
      <w:pPr>
        <w:ind w:right="10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Súbežné podávanie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perorálnymi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kontraceptívami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etinylestradiolom</w:t>
      </w:r>
      <w:proofErr w:type="spellEnd"/>
      <w:r w:rsidR="00D6193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levonorgestrelom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nevyvolalo zmeny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expozícii perorálny</w:t>
      </w:r>
      <w:r w:rsidR="00EF6C33">
        <w:rPr>
          <w:rFonts w:ascii="Times New Roman" w:eastAsia="Times New Roman" w:hAnsi="Times New Roman" w:cs="Times New Roman"/>
          <w:sz w:val="22"/>
          <w:szCs w:val="22"/>
          <w:lang w:val="sk-SK"/>
        </w:rPr>
        <w:t>ch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kontraceptív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Interakčné štúdie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perorálnymi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kontraceptívami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obsahujúcimi iné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gestagény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nevykonali, ale neočakáva sa účinok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ich expozíciu.</w:t>
      </w:r>
    </w:p>
    <w:p w14:paraId="249933B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4614BD8" w14:textId="77777777" w:rsidR="002F645E" w:rsidRPr="00731FE7" w:rsidRDefault="002F645E" w:rsidP="002F645E">
      <w:pPr>
        <w:tabs>
          <w:tab w:val="left" w:pos="541"/>
        </w:tabs>
        <w:ind w:left="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bookmarkStart w:id="12" w:name="page13"/>
      <w:bookmarkEnd w:id="12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4.6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proofErr w:type="spellStart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Fertilita</w:t>
      </w:r>
      <w:proofErr w:type="spellEnd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, gravidita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laktácia</w:t>
      </w:r>
    </w:p>
    <w:p w14:paraId="43A773F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A178932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Ženy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reprodukčnom veku/Antikoncepcia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žien</w:t>
      </w:r>
    </w:p>
    <w:p w14:paraId="43F6EFD2" w14:textId="77777777" w:rsidR="002F645E" w:rsidRPr="00731FE7" w:rsidRDefault="002F645E" w:rsidP="002F645E">
      <w:pPr>
        <w:ind w:left="2"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kontraindikovaný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žien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reprodukčnom veku, ktoré nepoužívajú účinnú antikoncepciu (pozri časť 4.3)</w:t>
      </w:r>
      <w:r w:rsidR="00AB473E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AB473E">
        <w:rPr>
          <w:rFonts w:ascii="Times New Roman" w:eastAsia="Times New Roman" w:hAnsi="Times New Roman" w:cs="Times New Roman"/>
          <w:sz w:val="22"/>
          <w:szCs w:val="22"/>
          <w:lang w:val="sk-SK"/>
        </w:rPr>
        <w:t>P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reto pred začatím liečby musí byť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žien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reprodukčnom veku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dispozícii negatívny výsledok testu na graviditu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má sa poskytnúť poradenstvo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závažnom riziku pre plod. Ženy vo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fertilnom veku musia používať účinnú antikoncepciu počas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2 mesiace po ukončení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keďže eliminácia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tela trvá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 mesiace od ukončenia liečby (pozri časť 4.4).</w:t>
      </w:r>
    </w:p>
    <w:p w14:paraId="735B2F0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C27A398" w14:textId="54BD01D4" w:rsidR="002F645E" w:rsidRPr="00731FE7" w:rsidRDefault="002F645E" w:rsidP="002F645E">
      <w:pPr>
        <w:ind w:left="2" w:right="3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Špecifické opatrenia sú tiež zahrnuté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D61938">
        <w:rPr>
          <w:rFonts w:ascii="Times New Roman" w:eastAsia="Times New Roman" w:hAnsi="Times New Roman" w:cs="Times New Roman"/>
          <w:sz w:val="22"/>
          <w:szCs w:val="22"/>
          <w:lang w:val="sk-SK"/>
        </w:rPr>
        <w:t>balíku informácií pre lekára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Tieto opatrenia musia byť implementované predtým, ako sa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predpíše </w:t>
      </w:r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pacientkam</w:t>
      </w:r>
      <w:r w:rsidRPr="002917AB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počas liečby.</w:t>
      </w:r>
    </w:p>
    <w:p w14:paraId="67BBAA8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588D7C1" w14:textId="77777777" w:rsidR="002F645E" w:rsidRPr="00731FE7" w:rsidRDefault="002F645E" w:rsidP="002F645E">
      <w:pPr>
        <w:ind w:left="2" w:right="2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 ukončení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dôvodu plánovania gravidity je potrebné vziať do úvahy možný návrat aktivity ochorenia (pozri časť 4.4).</w:t>
      </w:r>
    </w:p>
    <w:p w14:paraId="0DC9C62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0C2B09D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Gravidita</w:t>
      </w:r>
    </w:p>
    <w:p w14:paraId="17FE3B99" w14:textId="77777777" w:rsidR="002F645E" w:rsidRPr="00731FE7" w:rsidRDefault="002F645E" w:rsidP="002F645E">
      <w:pPr>
        <w:ind w:left="2" w:right="3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Údaje po uvedení lieku na trh na základe použitia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ľudí naznačujú, že používanie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podávaného počas tehotenstva je spojené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násobným zvýšením rizika závažných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kongenitálnych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malformácii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porovnaní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výskytom pozorovaným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bežnej populácie (2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; EUROCAT).</w:t>
      </w:r>
    </w:p>
    <w:p w14:paraId="0F4117C7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F39F3CD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Nasledujúce závažné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malformácie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boli zaznamenané najčastejšie:</w:t>
      </w:r>
    </w:p>
    <w:p w14:paraId="7D4AD663" w14:textId="77777777" w:rsidR="002F645E" w:rsidRPr="00731FE7" w:rsidRDefault="002F645E" w:rsidP="002F645E">
      <w:pPr>
        <w:numPr>
          <w:ilvl w:val="0"/>
          <w:numId w:val="11"/>
        </w:numPr>
        <w:tabs>
          <w:tab w:val="left" w:pos="562"/>
        </w:tabs>
        <w:ind w:left="562" w:right="140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vrodené srdcové poruchy, ako napríklad defekty predsieňového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komorového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septa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Fallotova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tetralógia</w:t>
      </w:r>
      <w:proofErr w:type="spellEnd"/>
    </w:p>
    <w:p w14:paraId="3B0F88C7" w14:textId="77777777" w:rsidR="002F645E" w:rsidRPr="00731FE7" w:rsidRDefault="002F645E" w:rsidP="002F645E">
      <w:pPr>
        <w:numPr>
          <w:ilvl w:val="0"/>
          <w:numId w:val="11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abnormality obličiek</w:t>
      </w:r>
    </w:p>
    <w:p w14:paraId="5DFF1B06" w14:textId="77777777" w:rsidR="002F645E" w:rsidRPr="00731FE7" w:rsidRDefault="002F645E" w:rsidP="002F645E">
      <w:pPr>
        <w:numPr>
          <w:ilvl w:val="0"/>
          <w:numId w:val="11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abnormality kostrovej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svalovej sústavy.</w:t>
      </w:r>
    </w:p>
    <w:p w14:paraId="1EBCA22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5A48383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Nie sú žiadne údaje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účinkoch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pôrodné sťahy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pôrod.</w:t>
      </w:r>
    </w:p>
    <w:p w14:paraId="535602E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5BAD268" w14:textId="77777777" w:rsidR="002F645E" w:rsidRPr="00731FE7" w:rsidRDefault="002F645E" w:rsidP="002F645E">
      <w:pPr>
        <w:ind w:left="2" w:right="1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Štúdie na zvieratách preukázali reprodukčnú toxicitu vrátane uhynutia plodov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orgánových poškodení, najmä pretrvávajúceho </w:t>
      </w: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truncus</w:t>
      </w:r>
      <w:proofErr w:type="spellEnd"/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arteriosus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defektu medzikomorovej priehradky (pozri časť 5.3). Navyše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receptore ovplyvňovanom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(receptor sfingozín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fosfátu) je známe, že sa podieľa na formovaní ciev počas embryogenézy.</w:t>
      </w:r>
    </w:p>
    <w:p w14:paraId="0B269BE1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Preto 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kontraindikovaný počas gravidity (pozri časť 4.3).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ukončiť 2 mesiace pred plánovaním gravidity (pozri časť 4.4). Ak žena otehotnie počas liečby,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musí vysadiť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takom prípade je potrebné poskytnúť lekársku pomoc týkajúcu sa rizika škodlivých účinkov na plod spojených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liečbou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vykonať ultrasonografické vyšetrenie.</w:t>
      </w:r>
    </w:p>
    <w:p w14:paraId="6336ADC6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3B5771F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Dojčenie</w:t>
      </w:r>
    </w:p>
    <w:p w14:paraId="23A7B336" w14:textId="77777777" w:rsidR="002F645E" w:rsidRPr="00731FE7" w:rsidRDefault="002F645E" w:rsidP="002F645E">
      <w:pPr>
        <w:ind w:left="2" w:right="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vylučuje do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ieka zvierat pri podávaní počas laktácie (pozri časť 5.3). Ženy užívajúce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nemajú dojčiť pre možné závažné nežiaduce reakcie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dojčiat.</w:t>
      </w:r>
    </w:p>
    <w:p w14:paraId="7392D50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302CF58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Fertilita</w:t>
      </w:r>
      <w:proofErr w:type="spellEnd"/>
    </w:p>
    <w:p w14:paraId="7DD95B86" w14:textId="77777777" w:rsidR="002F645E" w:rsidRPr="00731FE7" w:rsidRDefault="002F645E" w:rsidP="002F645E">
      <w:pPr>
        <w:ind w:left="2" w:right="1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Údaje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predklinických štúdií nenaznačujú, že by sa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spájal so zvýšeným rizikom zníženej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fertility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(pozri časť 5.3).</w:t>
      </w:r>
    </w:p>
    <w:p w14:paraId="16992DD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D80B594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bookmarkStart w:id="13" w:name="page14"/>
      <w:bookmarkEnd w:id="13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4.7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Ovplyvnenie schopnosti viesť vozidlá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obsluhovať stroje</w:t>
      </w:r>
    </w:p>
    <w:p w14:paraId="1DC296C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D1F29F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nemá žiadny alebo má zanedbateľný vplyv na schopnosť viesť vozidlá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obsluhovať stroje.</w:t>
      </w:r>
    </w:p>
    <w:p w14:paraId="3F9A6C4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238E7CA" w14:textId="77777777" w:rsidR="002F645E" w:rsidRPr="00731FE7" w:rsidRDefault="002F645E" w:rsidP="002F645E">
      <w:pPr>
        <w:ind w:right="1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Príležitostne sa však môžu vyskytnúť závraty alebo ospalosť, keď sa začína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Pri začatí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Bonaxonom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odporúča pacientov 6 hodín pozorovať (pozri časť 4.4 </w:t>
      </w:r>
      <w:r w:rsidR="007720DC">
        <w:rPr>
          <w:rFonts w:ascii="Times New Roman" w:eastAsia="Times New Roman" w:hAnsi="Times New Roman" w:cs="Times New Roman"/>
          <w:sz w:val="22"/>
          <w:szCs w:val="22"/>
          <w:lang w:val="sk-SK"/>
        </w:rPr>
        <w:t>„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Bradyarytmia</w:t>
      </w:r>
      <w:proofErr w:type="spellEnd"/>
      <w:r w:rsidR="007720DC">
        <w:rPr>
          <w:rFonts w:ascii="Times New Roman" w:eastAsia="Times New Roman" w:hAnsi="Times New Roman" w:cs="Times New Roman"/>
          <w:sz w:val="22"/>
          <w:szCs w:val="22"/>
          <w:lang w:val="sk-SK"/>
        </w:rPr>
        <w:t>“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7C20FDD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8B7B3B8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4.8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Nežiaduce účinky</w:t>
      </w:r>
    </w:p>
    <w:p w14:paraId="5A7668B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B9D252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Zhrnutie bezpečnostného profilu</w:t>
      </w:r>
    </w:p>
    <w:p w14:paraId="26A6303E" w14:textId="77777777" w:rsidR="002F645E" w:rsidRPr="00731FE7" w:rsidRDefault="002F645E" w:rsidP="002F645E">
      <w:pPr>
        <w:ind w:right="1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Nežiaduce reakcie hlásené pri </w:t>
      </w:r>
      <w:bookmarkStart w:id="14" w:name="_Hlk44361054"/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bookmarkEnd w:id="14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štúdiách D2301 (FREEDOMS)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D2309 (FREEDOMS II) sú uvedené nižšie. Uvedené sú aj nežiaduce reakcie odvodené zo spontánnych hlásení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prípadov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literatúry na základe skúseností po uvedení </w:t>
      </w:r>
      <w:proofErr w:type="spellStart"/>
      <w:r w:rsidRPr="00CA4D91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proofErr w:type="spellEnd"/>
      <w:r w:rsidRPr="00CA4D91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 trh. Frekvencie boli definované pomocou nasledujúcej konvencie: veľmi časté (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1/10), časté (</w:t>
      </w:r>
      <w:r w:rsidR="00C73ECD">
        <w:rPr>
          <w:rFonts w:ascii="Times New Roman" w:eastAsia="Times New Roman" w:hAnsi="Times New Roman" w:cs="Times New Roman"/>
          <w:sz w:val="22"/>
          <w:szCs w:val="22"/>
          <w:lang w:val="sk-SK"/>
        </w:rPr>
        <w:t>≥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1/100 až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1/10), menej časté (</w:t>
      </w:r>
      <w:r w:rsidR="00C73EC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≥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1/1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000 až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1/100), zriedkavé (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1/10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000 až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1/1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000), veľmi zriedkavé (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1/10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000), neznáme (z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dostupných údajov).</w:t>
      </w:r>
    </w:p>
    <w:p w14:paraId="5095786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13955B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Tabuľkový zoznam nežiaducich reakcií</w:t>
      </w:r>
    </w:p>
    <w:p w14:paraId="5F9969AD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508"/>
        <w:gridCol w:w="6637"/>
        <w:gridCol w:w="10"/>
      </w:tblGrid>
      <w:tr w:rsidR="002F645E" w:rsidRPr="005B127E" w14:paraId="62EA0CFD" w14:textId="77777777" w:rsidTr="002F645E">
        <w:trPr>
          <w:gridBefore w:val="1"/>
          <w:wBefore w:w="10" w:type="dxa"/>
        </w:trPr>
        <w:tc>
          <w:tcPr>
            <w:tcW w:w="9155" w:type="dxa"/>
            <w:gridSpan w:val="3"/>
            <w:shd w:val="clear" w:color="auto" w:fill="auto"/>
          </w:tcPr>
          <w:p w14:paraId="1B77EDCA" w14:textId="77777777" w:rsidR="002F645E" w:rsidRPr="005B127E" w:rsidRDefault="002F645E" w:rsidP="00234D74">
            <w:pPr>
              <w:tabs>
                <w:tab w:val="left" w:pos="567"/>
              </w:tabs>
              <w:ind w:lef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Infekcie a nákazy</w:t>
            </w:r>
          </w:p>
        </w:tc>
      </w:tr>
      <w:tr w:rsidR="002F645E" w:rsidRPr="005B127E" w14:paraId="2945B866" w14:textId="77777777" w:rsidTr="007720DC">
        <w:trPr>
          <w:gridBefore w:val="1"/>
          <w:wBefore w:w="10" w:type="dxa"/>
        </w:trPr>
        <w:tc>
          <w:tcPr>
            <w:tcW w:w="2508" w:type="dxa"/>
            <w:shd w:val="clear" w:color="auto" w:fill="auto"/>
          </w:tcPr>
          <w:p w14:paraId="48011F00" w14:textId="77777777" w:rsidR="002F645E" w:rsidRPr="005B127E" w:rsidRDefault="002F645E" w:rsidP="007720DC">
            <w:pPr>
              <w:tabs>
                <w:tab w:val="left" w:pos="271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6647" w:type="dxa"/>
            <w:gridSpan w:val="2"/>
            <w:shd w:val="clear" w:color="auto" w:fill="auto"/>
          </w:tcPr>
          <w:p w14:paraId="6E0F1BB6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Chrípka</w:t>
            </w:r>
          </w:p>
          <w:p w14:paraId="54A717B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Sínusitída</w:t>
            </w:r>
            <w:proofErr w:type="spellEnd"/>
          </w:p>
        </w:tc>
      </w:tr>
      <w:tr w:rsidR="002F645E" w:rsidRPr="005B127E" w14:paraId="36556EFE" w14:textId="77777777" w:rsidTr="007720DC">
        <w:trPr>
          <w:gridBefore w:val="1"/>
          <w:wBefore w:w="10" w:type="dxa"/>
        </w:trPr>
        <w:tc>
          <w:tcPr>
            <w:tcW w:w="2508" w:type="dxa"/>
            <w:shd w:val="clear" w:color="auto" w:fill="auto"/>
          </w:tcPr>
          <w:p w14:paraId="72BFF0A0" w14:textId="77777777" w:rsidR="002F645E" w:rsidRPr="005B127E" w:rsidRDefault="002F645E" w:rsidP="007720DC">
            <w:pPr>
              <w:tabs>
                <w:tab w:val="left" w:pos="271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47" w:type="dxa"/>
            <w:gridSpan w:val="2"/>
            <w:shd w:val="clear" w:color="auto" w:fill="auto"/>
          </w:tcPr>
          <w:p w14:paraId="487F2695" w14:textId="77777777" w:rsidR="002F645E" w:rsidRPr="00682FFB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Infekcie spôsobené herpetickými vírusmi</w:t>
            </w:r>
          </w:p>
          <w:p w14:paraId="50F7F0B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Bronchit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ída</w:t>
            </w:r>
          </w:p>
          <w:p w14:paraId="52DAFE2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Tinea</w:t>
            </w:r>
            <w:proofErr w:type="spellEnd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versicolor</w:t>
            </w:r>
            <w:proofErr w:type="spellEnd"/>
          </w:p>
        </w:tc>
      </w:tr>
      <w:tr w:rsidR="002F645E" w:rsidRPr="005B127E" w14:paraId="3E9F25A2" w14:textId="77777777" w:rsidTr="007720DC">
        <w:trPr>
          <w:gridBefore w:val="1"/>
          <w:wBefore w:w="10" w:type="dxa"/>
        </w:trPr>
        <w:tc>
          <w:tcPr>
            <w:tcW w:w="2508" w:type="dxa"/>
            <w:shd w:val="clear" w:color="auto" w:fill="auto"/>
          </w:tcPr>
          <w:p w14:paraId="068FE908" w14:textId="77777777" w:rsidR="002F645E" w:rsidRPr="005B127E" w:rsidRDefault="002F645E" w:rsidP="007720DC">
            <w:pPr>
              <w:tabs>
                <w:tab w:val="left" w:pos="271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6647" w:type="dxa"/>
            <w:gridSpan w:val="2"/>
            <w:shd w:val="clear" w:color="auto" w:fill="auto"/>
          </w:tcPr>
          <w:p w14:paraId="59EB9AD1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Pneum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ó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nia</w:t>
            </w:r>
          </w:p>
        </w:tc>
      </w:tr>
      <w:tr w:rsidR="002F645E" w:rsidRPr="005B127E" w14:paraId="77B38D32" w14:textId="77777777" w:rsidTr="007720DC">
        <w:trPr>
          <w:gridBefore w:val="1"/>
          <w:wBefore w:w="10" w:type="dxa"/>
        </w:trPr>
        <w:tc>
          <w:tcPr>
            <w:tcW w:w="2508" w:type="dxa"/>
            <w:shd w:val="clear" w:color="auto" w:fill="auto"/>
          </w:tcPr>
          <w:p w14:paraId="7A738C4B" w14:textId="77777777" w:rsidR="002F645E" w:rsidRPr="005B127E" w:rsidRDefault="002F645E" w:rsidP="00C73ECD">
            <w:pPr>
              <w:tabs>
                <w:tab w:val="left" w:pos="271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Neznáme</w:t>
            </w:r>
          </w:p>
        </w:tc>
        <w:tc>
          <w:tcPr>
            <w:tcW w:w="6647" w:type="dxa"/>
            <w:gridSpan w:val="2"/>
            <w:shd w:val="clear" w:color="auto" w:fill="auto"/>
          </w:tcPr>
          <w:p w14:paraId="3DDA0E49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Progresívna </w:t>
            </w: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multifokálna</w:t>
            </w:r>
            <w:proofErr w:type="spellEnd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leukoencefalopatia</w:t>
            </w:r>
            <w:proofErr w:type="spellEnd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(PML)**</w:t>
            </w:r>
          </w:p>
          <w:p w14:paraId="7162D5D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Kryptokokové</w:t>
            </w:r>
            <w:proofErr w:type="spellEnd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infekcie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</w:t>
            </w:r>
          </w:p>
        </w:tc>
      </w:tr>
      <w:tr w:rsidR="002F645E" w:rsidRPr="005B127E" w14:paraId="3A8160D4" w14:textId="77777777" w:rsidTr="002F645E">
        <w:trPr>
          <w:gridBefore w:val="1"/>
          <w:wBefore w:w="10" w:type="dxa"/>
        </w:trPr>
        <w:tc>
          <w:tcPr>
            <w:tcW w:w="9155" w:type="dxa"/>
            <w:gridSpan w:val="3"/>
            <w:shd w:val="clear" w:color="auto" w:fill="auto"/>
          </w:tcPr>
          <w:p w14:paraId="3E3CB891" w14:textId="77777777" w:rsidR="002F645E" w:rsidRPr="005B127E" w:rsidRDefault="002F645E" w:rsidP="007720DC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Benígne a malígne nádory, vrátane nešpecifikovaných novotvarov (cysty a polypy)</w:t>
            </w:r>
          </w:p>
        </w:tc>
      </w:tr>
      <w:tr w:rsidR="002F645E" w:rsidRPr="005B127E" w14:paraId="35C69A8C" w14:textId="77777777" w:rsidTr="007720DC">
        <w:trPr>
          <w:gridBefore w:val="1"/>
          <w:wBefore w:w="10" w:type="dxa"/>
        </w:trPr>
        <w:tc>
          <w:tcPr>
            <w:tcW w:w="2508" w:type="dxa"/>
            <w:shd w:val="clear" w:color="auto" w:fill="auto"/>
          </w:tcPr>
          <w:p w14:paraId="106C69C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47" w:type="dxa"/>
            <w:gridSpan w:val="2"/>
            <w:shd w:val="clear" w:color="auto" w:fill="auto"/>
          </w:tcPr>
          <w:p w14:paraId="2A23AD93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Bazocelulárny</w:t>
            </w:r>
            <w:proofErr w:type="spellEnd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karcinóm</w:t>
            </w:r>
          </w:p>
        </w:tc>
      </w:tr>
      <w:tr w:rsidR="002F645E" w:rsidRPr="005B127E" w14:paraId="1A90C90B" w14:textId="77777777" w:rsidTr="007720DC">
        <w:trPr>
          <w:gridBefore w:val="1"/>
          <w:wBefore w:w="10" w:type="dxa"/>
        </w:trPr>
        <w:tc>
          <w:tcPr>
            <w:tcW w:w="2508" w:type="dxa"/>
            <w:shd w:val="clear" w:color="auto" w:fill="auto"/>
          </w:tcPr>
          <w:p w14:paraId="1F23C4E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lastRenderedPageBreak/>
              <w:t>Menej časté</w:t>
            </w:r>
          </w:p>
        </w:tc>
        <w:tc>
          <w:tcPr>
            <w:tcW w:w="6647" w:type="dxa"/>
            <w:gridSpan w:val="2"/>
            <w:shd w:val="clear" w:color="auto" w:fill="auto"/>
          </w:tcPr>
          <w:p w14:paraId="3A4595C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Malígny melanóm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****</w:t>
            </w:r>
          </w:p>
        </w:tc>
      </w:tr>
      <w:tr w:rsidR="002F645E" w:rsidRPr="005B127E" w14:paraId="1CCFDC06" w14:textId="77777777" w:rsidTr="007720DC">
        <w:trPr>
          <w:gridBefore w:val="1"/>
          <w:wBefore w:w="10" w:type="dxa"/>
        </w:trPr>
        <w:tc>
          <w:tcPr>
            <w:tcW w:w="2508" w:type="dxa"/>
            <w:shd w:val="clear" w:color="auto" w:fill="auto"/>
          </w:tcPr>
          <w:p w14:paraId="3F7D703B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Zriedkavé</w:t>
            </w:r>
          </w:p>
        </w:tc>
        <w:tc>
          <w:tcPr>
            <w:tcW w:w="6647" w:type="dxa"/>
            <w:gridSpan w:val="2"/>
            <w:shd w:val="clear" w:color="auto" w:fill="auto"/>
          </w:tcPr>
          <w:p w14:paraId="4A475AF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Lym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fó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</w:t>
            </w:r>
            <w:proofErr w:type="spellEnd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</w:t>
            </w:r>
          </w:p>
          <w:p w14:paraId="2E7A16F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Spinocelulárny</w:t>
            </w:r>
            <w:proofErr w:type="spellEnd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karcinóm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****</w:t>
            </w:r>
          </w:p>
        </w:tc>
      </w:tr>
      <w:tr w:rsidR="002F645E" w:rsidRPr="005B127E" w14:paraId="2EE676BF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6D3880EF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zriedkavé</w:t>
            </w:r>
          </w:p>
        </w:tc>
        <w:tc>
          <w:tcPr>
            <w:tcW w:w="6637" w:type="dxa"/>
            <w:shd w:val="clear" w:color="auto" w:fill="auto"/>
          </w:tcPr>
          <w:p w14:paraId="2BB737D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Kaposiho</w:t>
            </w:r>
            <w:proofErr w:type="spellEnd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sarkóm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****</w:t>
            </w:r>
          </w:p>
        </w:tc>
      </w:tr>
      <w:tr w:rsidR="002F645E" w:rsidRPr="005B127E" w14:paraId="2F28EAA2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5A663AF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Neznáme</w:t>
            </w:r>
          </w:p>
        </w:tc>
        <w:tc>
          <w:tcPr>
            <w:tcW w:w="6637" w:type="dxa"/>
            <w:shd w:val="clear" w:color="auto" w:fill="auto"/>
          </w:tcPr>
          <w:p w14:paraId="1EF16E80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Karcinóm z </w:t>
            </w:r>
            <w:proofErr w:type="spellStart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Merkelových</w:t>
            </w:r>
            <w:proofErr w:type="spellEnd"/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buniek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</w:t>
            </w:r>
          </w:p>
        </w:tc>
      </w:tr>
      <w:tr w:rsidR="002F645E" w:rsidRPr="005B127E" w14:paraId="4C5CB0F0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4FBE234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Poruchy krvi a lymfatického systému</w:t>
            </w:r>
          </w:p>
        </w:tc>
      </w:tr>
      <w:tr w:rsidR="002F645E" w:rsidRPr="005B127E" w14:paraId="1A5C2632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1AFCC5F9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6E43B2AD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Lym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f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op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nia</w:t>
            </w:r>
            <w:proofErr w:type="spellEnd"/>
          </w:p>
          <w:p w14:paraId="362A9328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Leu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k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op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nia</w:t>
            </w:r>
            <w:proofErr w:type="spellEnd"/>
          </w:p>
        </w:tc>
      </w:tr>
      <w:tr w:rsidR="002F645E" w:rsidRPr="005B127E" w14:paraId="46A06C53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5C321CA3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6637" w:type="dxa"/>
            <w:shd w:val="clear" w:color="auto" w:fill="auto"/>
          </w:tcPr>
          <w:p w14:paraId="09817634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Trombocytop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nia</w:t>
            </w:r>
            <w:proofErr w:type="spellEnd"/>
          </w:p>
        </w:tc>
      </w:tr>
      <w:tr w:rsidR="002F645E" w:rsidRPr="005B127E" w14:paraId="5CFCBB09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1368984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Neznáme</w:t>
            </w:r>
          </w:p>
        </w:tc>
        <w:tc>
          <w:tcPr>
            <w:tcW w:w="6637" w:type="dxa"/>
            <w:shd w:val="clear" w:color="auto" w:fill="auto"/>
          </w:tcPr>
          <w:p w14:paraId="2EA69364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Autoimun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itná</w:t>
            </w:r>
            <w:proofErr w:type="spellEnd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hemolytic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ká</w:t>
            </w:r>
            <w:proofErr w:type="spellEnd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an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mia***</w:t>
            </w:r>
          </w:p>
          <w:p w14:paraId="477134A0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Peri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férny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ed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m***</w:t>
            </w:r>
          </w:p>
        </w:tc>
      </w:tr>
      <w:tr w:rsidR="002F645E" w:rsidRPr="005B127E" w14:paraId="29A24E54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66A02B19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2F645E" w:rsidRPr="005B127E" w14:paraId="63AE5FD6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52A3A3BD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Neznáme</w:t>
            </w:r>
          </w:p>
        </w:tc>
        <w:tc>
          <w:tcPr>
            <w:tcW w:w="6637" w:type="dxa"/>
            <w:shd w:val="clear" w:color="auto" w:fill="auto"/>
          </w:tcPr>
          <w:p w14:paraId="6ACD5E7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Reakcie z precitlivenosti vrátane </w:t>
            </w:r>
            <w:r w:rsidR="00AB473E" w:rsidRPr="00AB473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vyrážky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urtikárie</w:t>
            </w:r>
            <w:proofErr w:type="spellEnd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a 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angioedému</w:t>
            </w:r>
            <w:proofErr w:type="spellEnd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pri</w:t>
            </w:r>
            <w:r w:rsidRPr="00682FFB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začatí liečby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</w:t>
            </w:r>
          </w:p>
        </w:tc>
      </w:tr>
      <w:tr w:rsidR="002F645E" w:rsidRPr="005B127E" w14:paraId="07760F64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339F75C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Psychické poruchy</w:t>
            </w:r>
          </w:p>
        </w:tc>
      </w:tr>
      <w:tr w:rsidR="002F645E" w:rsidRPr="005B127E" w14:paraId="7C6C4CC3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5739165D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441BDFF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Depresi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</w:t>
            </w:r>
          </w:p>
        </w:tc>
      </w:tr>
      <w:tr w:rsidR="002F645E" w:rsidRPr="005B127E" w14:paraId="168AD2FE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61C9D7F6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6637" w:type="dxa"/>
            <w:shd w:val="clear" w:color="auto" w:fill="auto"/>
          </w:tcPr>
          <w:p w14:paraId="176EF3C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Depres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ívna nálada</w:t>
            </w:r>
          </w:p>
        </w:tc>
      </w:tr>
      <w:tr w:rsidR="002F645E" w:rsidRPr="005B127E" w14:paraId="62CC1979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66CD0881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2F645E" w:rsidRPr="005B127E" w14:paraId="5649E49E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4AFA244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6637" w:type="dxa"/>
            <w:shd w:val="clear" w:color="auto" w:fill="auto"/>
          </w:tcPr>
          <w:p w14:paraId="794E922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Bolesť hlavy</w:t>
            </w:r>
          </w:p>
        </w:tc>
      </w:tr>
      <w:tr w:rsidR="002F645E" w:rsidRPr="005B127E" w14:paraId="7A3FE487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6BD46460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4E1BB50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Závraty</w:t>
            </w:r>
          </w:p>
          <w:p w14:paraId="17FDAF6F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Migr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éna</w:t>
            </w:r>
          </w:p>
        </w:tc>
      </w:tr>
      <w:tr w:rsidR="002F645E" w:rsidRPr="005B127E" w14:paraId="6848F3EB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002EF985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6637" w:type="dxa"/>
            <w:shd w:val="clear" w:color="auto" w:fill="auto"/>
          </w:tcPr>
          <w:p w14:paraId="25271B24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Epileptický záchvat</w:t>
            </w:r>
          </w:p>
        </w:tc>
      </w:tr>
      <w:tr w:rsidR="002F645E" w:rsidRPr="005B127E" w14:paraId="2B89CDD7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51C25D4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Zriedkavé</w:t>
            </w:r>
          </w:p>
        </w:tc>
        <w:tc>
          <w:tcPr>
            <w:tcW w:w="6637" w:type="dxa"/>
            <w:shd w:val="clear" w:color="auto" w:fill="auto"/>
          </w:tcPr>
          <w:p w14:paraId="2882587F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Syndróm reverzibilnej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posteriórnej</w:t>
            </w:r>
            <w:proofErr w:type="spellEnd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encefalopatie</w:t>
            </w:r>
            <w:proofErr w:type="spellEnd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(PRES)*</w:t>
            </w:r>
          </w:p>
        </w:tc>
      </w:tr>
      <w:tr w:rsidR="002F645E" w:rsidRPr="005B127E" w14:paraId="2CED0CA3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60AA7271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Neznáme</w:t>
            </w:r>
          </w:p>
        </w:tc>
        <w:tc>
          <w:tcPr>
            <w:tcW w:w="6637" w:type="dxa"/>
            <w:shd w:val="clear" w:color="auto" w:fill="auto"/>
          </w:tcPr>
          <w:p w14:paraId="05F541E1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1D62A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Závažné zhoršenie ochorenia po vysadení </w:t>
            </w:r>
            <w:proofErr w:type="spellStart"/>
            <w:r w:rsidR="00C73ECD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fingolimodu</w:t>
            </w:r>
            <w:proofErr w:type="spellEnd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</w:t>
            </w:r>
          </w:p>
        </w:tc>
      </w:tr>
      <w:tr w:rsidR="002F645E" w:rsidRPr="005B127E" w14:paraId="3944029B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1D0A9006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sk-SK" w:eastAsia="en-US"/>
              </w:rPr>
              <w:t>Poruchy oka</w:t>
            </w:r>
          </w:p>
        </w:tc>
      </w:tr>
      <w:tr w:rsidR="002F645E" w:rsidRPr="005B127E" w14:paraId="42C85F67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0124D8A4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7D97C75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Neostré videnie</w:t>
            </w:r>
          </w:p>
        </w:tc>
      </w:tr>
      <w:tr w:rsidR="002F645E" w:rsidRPr="005B127E" w14:paraId="14356A24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1C00DA59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6637" w:type="dxa"/>
            <w:shd w:val="clear" w:color="auto" w:fill="auto"/>
          </w:tcPr>
          <w:p w14:paraId="67C53955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Ma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k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ul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á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r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ny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ed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</w:t>
            </w:r>
          </w:p>
        </w:tc>
      </w:tr>
      <w:tr w:rsidR="002F645E" w:rsidRPr="005B127E" w14:paraId="0687C7F5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6035AF02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Poruchy srdca a srdcovej činnosti</w:t>
            </w:r>
          </w:p>
        </w:tc>
      </w:tr>
      <w:tr w:rsidR="002F645E" w:rsidRPr="005B127E" w14:paraId="1C0DABED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220EA885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2763B7BB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Brady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k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ardia</w:t>
            </w:r>
          </w:p>
          <w:p w14:paraId="378C4A5D" w14:textId="71FBF5EF" w:rsidR="002F645E" w:rsidRPr="005B127E" w:rsidRDefault="005B3EB4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</w:t>
            </w:r>
            <w:r w:rsidR="002F645E"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trioventri</w:t>
            </w:r>
            <w:r w:rsidR="002F645E"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k</w:t>
            </w:r>
            <w:r w:rsidR="002F645E"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ul</w:t>
            </w:r>
            <w:r w:rsidR="002F645E"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á</w:t>
            </w:r>
            <w:r w:rsidR="002F645E"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r</w:t>
            </w:r>
            <w:r w:rsidR="002F645E"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na</w:t>
            </w:r>
            <w:proofErr w:type="spellEnd"/>
            <w:r w:rsidR="002F645E"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blok</w:t>
            </w:r>
            <w:r w:rsidR="002F645E"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áda</w:t>
            </w:r>
          </w:p>
        </w:tc>
      </w:tr>
      <w:tr w:rsidR="002F645E" w:rsidRPr="005B127E" w14:paraId="1297D68A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53896A4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zriedkavé</w:t>
            </w:r>
          </w:p>
        </w:tc>
        <w:tc>
          <w:tcPr>
            <w:tcW w:w="6637" w:type="dxa"/>
            <w:shd w:val="clear" w:color="auto" w:fill="auto"/>
          </w:tcPr>
          <w:p w14:paraId="59BF150F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I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nver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i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 vlny T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</w:t>
            </w:r>
          </w:p>
        </w:tc>
      </w:tr>
      <w:tr w:rsidR="002F645E" w:rsidRPr="005B127E" w14:paraId="486663C1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660E29CC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Poruchy ciev</w:t>
            </w:r>
          </w:p>
        </w:tc>
      </w:tr>
      <w:tr w:rsidR="002F645E" w:rsidRPr="005B127E" w14:paraId="07864B3F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1B0DCB7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7B445538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Hyperten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zia</w:t>
            </w:r>
          </w:p>
        </w:tc>
      </w:tr>
      <w:tr w:rsidR="002F645E" w:rsidRPr="005B127E" w14:paraId="3BF7D35B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460153C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Poruchy dýchacej sústavy, hrudníka a 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mediastína</w:t>
            </w:r>
            <w:proofErr w:type="spellEnd"/>
          </w:p>
        </w:tc>
      </w:tr>
      <w:tr w:rsidR="002F645E" w:rsidRPr="005B127E" w14:paraId="45E1DBDF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2D7430A3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6637" w:type="dxa"/>
            <w:shd w:val="clear" w:color="auto" w:fill="auto"/>
          </w:tcPr>
          <w:p w14:paraId="5D7AAA3D" w14:textId="77777777" w:rsidR="002F645E" w:rsidRPr="00682FFB" w:rsidRDefault="002F645E" w:rsidP="007720DC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82FFB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Kašeľ</w:t>
            </w:r>
          </w:p>
        </w:tc>
      </w:tr>
      <w:tr w:rsidR="002F645E" w:rsidRPr="005B127E" w14:paraId="1C7A8708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04BCE191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5D262C33" w14:textId="77777777" w:rsidR="002F645E" w:rsidRPr="00682FFB" w:rsidRDefault="002F645E" w:rsidP="007720DC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82FFB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Dyspnoe</w:t>
            </w:r>
            <w:proofErr w:type="spellEnd"/>
          </w:p>
        </w:tc>
      </w:tr>
      <w:tr w:rsidR="002F645E" w:rsidRPr="005B127E" w14:paraId="0CF3EE34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239B03F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 xml:space="preserve">Poruchy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gastrointestinálneho</w:t>
            </w:r>
            <w:proofErr w:type="spellEnd"/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 xml:space="preserve"> traktu</w:t>
            </w:r>
          </w:p>
        </w:tc>
      </w:tr>
      <w:tr w:rsidR="002F645E" w:rsidRPr="005B127E" w14:paraId="02027138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050601B5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6637" w:type="dxa"/>
            <w:shd w:val="clear" w:color="auto" w:fill="auto"/>
          </w:tcPr>
          <w:p w14:paraId="527C34CD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Hnačka</w:t>
            </w:r>
          </w:p>
        </w:tc>
      </w:tr>
      <w:tr w:rsidR="002F645E" w:rsidRPr="005B127E" w14:paraId="3052D461" w14:textId="77777777" w:rsidTr="007720DC">
        <w:trPr>
          <w:gridAfter w:val="1"/>
          <w:wAfter w:w="10" w:type="dxa"/>
          <w:trHeight w:val="58"/>
        </w:trPr>
        <w:tc>
          <w:tcPr>
            <w:tcW w:w="2518" w:type="dxa"/>
            <w:gridSpan w:val="2"/>
            <w:shd w:val="clear" w:color="auto" w:fill="auto"/>
          </w:tcPr>
          <w:p w14:paraId="32BE3588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6637" w:type="dxa"/>
            <w:shd w:val="clear" w:color="auto" w:fill="auto"/>
          </w:tcPr>
          <w:p w14:paraId="46186120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Nau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ea***</w:t>
            </w:r>
          </w:p>
        </w:tc>
      </w:tr>
      <w:tr w:rsidR="002F645E" w:rsidRPr="005B127E" w14:paraId="462D73DD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74AA5936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Poruchy kože a podkožného tkaniva</w:t>
            </w:r>
          </w:p>
        </w:tc>
      </w:tr>
      <w:tr w:rsidR="002F645E" w:rsidRPr="005B127E" w14:paraId="163D53FF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58C2B9E1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4161C95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E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k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z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</w:t>
            </w:r>
          </w:p>
          <w:p w14:paraId="5F7648A7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Alop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cia</w:t>
            </w:r>
            <w:proofErr w:type="spellEnd"/>
          </w:p>
          <w:p w14:paraId="57CE0908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Pruritus</w:t>
            </w:r>
            <w:proofErr w:type="spellEnd"/>
          </w:p>
        </w:tc>
      </w:tr>
      <w:tr w:rsidR="002F645E" w:rsidRPr="005B127E" w14:paraId="3615278F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49CC1A2E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Poruchy kostrovej a svalovej sústavy a spojivového tkaniva</w:t>
            </w:r>
          </w:p>
        </w:tc>
      </w:tr>
      <w:tr w:rsidR="002F645E" w:rsidRPr="005B127E" w14:paraId="06F6BE07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649B7269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6637" w:type="dxa"/>
            <w:shd w:val="clear" w:color="auto" w:fill="auto"/>
          </w:tcPr>
          <w:p w14:paraId="3A8121B4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B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olesť chrbta</w:t>
            </w:r>
          </w:p>
        </w:tc>
      </w:tr>
      <w:tr w:rsidR="002F645E" w:rsidRPr="005B127E" w14:paraId="7FCF9D32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42E4B888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5B8816C4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Myalgia</w:t>
            </w:r>
            <w:proofErr w:type="spellEnd"/>
          </w:p>
          <w:p w14:paraId="0EDE437C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proofErr w:type="spellStart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Artralgia</w:t>
            </w:r>
            <w:proofErr w:type="spellEnd"/>
          </w:p>
        </w:tc>
      </w:tr>
      <w:tr w:rsidR="002F645E" w:rsidRPr="005B127E" w14:paraId="4111E88D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5ACE8D5C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Celkové poruchy a reakcie v mieste podania</w:t>
            </w:r>
          </w:p>
        </w:tc>
      </w:tr>
      <w:tr w:rsidR="002F645E" w:rsidRPr="005B127E" w14:paraId="5BB74229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671332CD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6690CA8C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As</w:t>
            </w: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té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nia</w:t>
            </w:r>
          </w:p>
        </w:tc>
      </w:tr>
      <w:tr w:rsidR="002F645E" w:rsidRPr="005B127E" w14:paraId="52B2EFB0" w14:textId="77777777" w:rsidTr="002F645E">
        <w:trPr>
          <w:gridAfter w:val="1"/>
          <w:wAfter w:w="10" w:type="dxa"/>
        </w:trPr>
        <w:tc>
          <w:tcPr>
            <w:tcW w:w="9155" w:type="dxa"/>
            <w:gridSpan w:val="3"/>
            <w:shd w:val="clear" w:color="auto" w:fill="auto"/>
          </w:tcPr>
          <w:p w14:paraId="20720EEA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 w:eastAsia="en-US"/>
              </w:rPr>
              <w:t>Laboratórne a funkčné vyšetrenia</w:t>
            </w:r>
          </w:p>
        </w:tc>
      </w:tr>
      <w:tr w:rsidR="002F645E" w:rsidRPr="005B127E" w14:paraId="37ED0968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35A2141F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6637" w:type="dxa"/>
            <w:shd w:val="clear" w:color="auto" w:fill="auto"/>
          </w:tcPr>
          <w:p w14:paraId="25EAB34B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Zvýšené pečeňové enzýmy (zvýšená ALT,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gamaglutamyltransferáza</w:t>
            </w:r>
            <w:proofErr w:type="spellEnd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,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aspartátaminotransferáza</w:t>
            </w:r>
            <w:proofErr w:type="spellEnd"/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)</w:t>
            </w:r>
          </w:p>
        </w:tc>
      </w:tr>
      <w:tr w:rsidR="002F645E" w:rsidRPr="005B127E" w14:paraId="685C86D0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1B8EA75C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6637" w:type="dxa"/>
            <w:shd w:val="clear" w:color="auto" w:fill="auto"/>
          </w:tcPr>
          <w:p w14:paraId="4AB74053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Pokles telesnej hmotnosti</w:t>
            </w:r>
            <w:r w:rsidRPr="005B127E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***</w:t>
            </w:r>
          </w:p>
          <w:p w14:paraId="732B8A10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lastRenderedPageBreak/>
              <w:t xml:space="preserve">Zvýšené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triacylglyceroly</w:t>
            </w:r>
            <w:proofErr w:type="spellEnd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 v krvi</w:t>
            </w:r>
          </w:p>
        </w:tc>
      </w:tr>
      <w:tr w:rsidR="002F645E" w:rsidRPr="005B127E" w14:paraId="2F0C6A53" w14:textId="77777777" w:rsidTr="007720DC">
        <w:trPr>
          <w:gridAfter w:val="1"/>
          <w:wAfter w:w="10" w:type="dxa"/>
        </w:trPr>
        <w:tc>
          <w:tcPr>
            <w:tcW w:w="2518" w:type="dxa"/>
            <w:gridSpan w:val="2"/>
            <w:shd w:val="clear" w:color="auto" w:fill="auto"/>
          </w:tcPr>
          <w:p w14:paraId="40ACD545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lastRenderedPageBreak/>
              <w:t>Menej časté</w:t>
            </w:r>
          </w:p>
        </w:tc>
        <w:tc>
          <w:tcPr>
            <w:tcW w:w="6637" w:type="dxa"/>
            <w:shd w:val="clear" w:color="auto" w:fill="auto"/>
          </w:tcPr>
          <w:p w14:paraId="417E8DA2" w14:textId="77777777" w:rsidR="002F645E" w:rsidRPr="005B127E" w:rsidRDefault="002F645E" w:rsidP="007720DC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</w:pPr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 xml:space="preserve">Znížený počet </w:t>
            </w:r>
            <w:proofErr w:type="spellStart"/>
            <w:r w:rsidRPr="00682FFB">
              <w:rPr>
                <w:rFonts w:ascii="Times New Roman" w:eastAsia="Times New Roman" w:hAnsi="Times New Roman" w:cs="Times New Roman"/>
                <w:sz w:val="22"/>
                <w:szCs w:val="22"/>
                <w:lang w:val="sk-SK" w:eastAsia="en-US"/>
              </w:rPr>
              <w:t>neutrofilov</w:t>
            </w:r>
            <w:proofErr w:type="spellEnd"/>
          </w:p>
        </w:tc>
      </w:tr>
    </w:tbl>
    <w:p w14:paraId="0A57D044" w14:textId="77777777" w:rsidR="002F645E" w:rsidRDefault="002F645E" w:rsidP="00145A3E">
      <w:pPr>
        <w:ind w:left="567" w:hanging="567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*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  <w:t>Nehlásené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štúdiách FREEDOMS, FREEDOMS II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TRANSFORMS. Kategória frekvencie bola založená na odhadovanej expozícii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približne 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000 pacientov vo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všetkých klinických skúšaniach.</w:t>
      </w:r>
    </w:p>
    <w:p w14:paraId="65DD7992" w14:textId="77777777" w:rsidR="002F645E" w:rsidRPr="00731FE7" w:rsidRDefault="002F645E" w:rsidP="002F645E">
      <w:pPr>
        <w:tabs>
          <w:tab w:val="left" w:pos="0"/>
        </w:tabs>
        <w:ind w:left="567" w:right="200" w:hanging="567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**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  <w:t>PML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kryptokokové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infekcie (vrátane prípadov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kryptokokovej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boli hlásené pri používaní lieku po jeho uvedení na trh (pozri časť 4.4).</w:t>
      </w:r>
    </w:p>
    <w:p w14:paraId="7C8DD111" w14:textId="77777777" w:rsidR="002F645E" w:rsidRPr="00731FE7" w:rsidRDefault="002F645E" w:rsidP="002F645E">
      <w:pPr>
        <w:tabs>
          <w:tab w:val="left" w:pos="0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***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  <w:t>Nežiaduce reakcie na liek zo spontánnych hlásení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</w:t>
      </w:r>
      <w:r w:rsidR="001C3CEF"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literatúry</w:t>
      </w:r>
      <w:r w:rsidR="001C3CEF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679A831E" w14:textId="77777777" w:rsidR="002F645E" w:rsidRPr="00731FE7" w:rsidRDefault="002F645E" w:rsidP="002F645E">
      <w:pPr>
        <w:tabs>
          <w:tab w:val="left" w:pos="0"/>
        </w:tabs>
        <w:ind w:left="567" w:right="760" w:hanging="567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****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  <w:t>Kategória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hodnotenie rizika sú založené na odhadovanej expozícii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viac ako 24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000 pacientov vo všetkých klinických štúdiách.</w:t>
      </w:r>
    </w:p>
    <w:p w14:paraId="2DA4FF2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DDE1CB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Popis vybraných nežiaducich reakcií</w:t>
      </w:r>
    </w:p>
    <w:p w14:paraId="3CFF86B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1E11C1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Infekcie</w:t>
      </w:r>
    </w:p>
    <w:p w14:paraId="23FE6104" w14:textId="77777777" w:rsidR="002F645E" w:rsidRPr="00731FE7" w:rsidRDefault="002F645E" w:rsidP="002F645E">
      <w:pPr>
        <w:ind w:right="4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štúdiách pri </w:t>
      </w:r>
      <w:r w:rsidR="00AB473E" w:rsidRPr="00AB473E">
        <w:rPr>
          <w:rFonts w:ascii="Times New Roman" w:eastAsia="Times New Roman" w:hAnsi="Times New Roman" w:cs="Times New Roman"/>
          <w:sz w:val="22"/>
          <w:szCs w:val="22"/>
          <w:lang w:val="sk-SK"/>
        </w:rPr>
        <w:t>skleróze</w:t>
      </w:r>
      <w:r w:rsidR="00AB473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bol celkový výskyt infekcií (65,1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pri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podobný ako pri placebe. Infekcie dolných dýchacích ciest, najmä bronchitída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menšej miere herpetická infekcia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pneumónia, boli však častejšie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70DC89B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79BA185" w14:textId="77777777" w:rsidR="002F645E" w:rsidRPr="00731FE7" w:rsidRDefault="002F645E" w:rsidP="002F645E">
      <w:pPr>
        <w:ind w:right="5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Niekoľko prípadov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diseminovanej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herpetickej infekcie, vrátane prípadov končiacich sa úmrtím, sa zaznamenalo aj pri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8905126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385CC83" w14:textId="77777777" w:rsidR="002F645E" w:rsidRPr="00731FE7" w:rsidRDefault="002F645E" w:rsidP="002F645E">
      <w:pPr>
        <w:ind w:right="-3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 používaní lieku po jeho uvedení na trh sa zaznamenali prípady infekcií oportúnnymi patogénmi,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to vírusmi (napr. vírus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varicella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zoster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[VZV], vírus Johna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Cunninghama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[JCV] vyvolávajúci progresívnu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multifokálnu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leukoencefalopatiu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vírus herpes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simplex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[HSV]), hubami (napr.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kryptokoky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vrátane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kryptokokovej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 alebo baktériami (napr. atypické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mykobaktérie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ktorých niektoré boli smrteľné (pozri časť 4.4).</w:t>
      </w:r>
    </w:p>
    <w:p w14:paraId="5F038FC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6AFF5D3" w14:textId="77777777" w:rsidR="002F645E" w:rsidRPr="00731FE7" w:rsidRDefault="002F645E" w:rsidP="002F645E">
      <w:pPr>
        <w:ind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bookmarkStart w:id="15" w:name="page16"/>
      <w:bookmarkEnd w:id="15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Infekcia ľudským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papilomavírusom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(HPV), vrátane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papilómu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dysplázie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bradavíc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rakoviny súvisiacej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HPV, bola hlásená počas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 jeho uvedení na trh. Vzhľadom na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vlastnosti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zvážiť vakcinácia proti HPV pred začatím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pri čom sa majú zohľadniť odporúčania pre vakcináciu. Skríning rakoviny, vrátane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Pap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testu, sa odporúča ako pri štandardnej starostlivosti.</w:t>
      </w:r>
    </w:p>
    <w:p w14:paraId="4776776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6CF2C1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Makulárny edém</w:t>
      </w:r>
    </w:p>
    <w:p w14:paraId="74DA61D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štúdiách pri </w:t>
      </w:r>
      <w:r w:rsidR="00AB473E" w:rsidRPr="00AB473E">
        <w:rPr>
          <w:rFonts w:ascii="Times New Roman" w:eastAsia="Times New Roman" w:hAnsi="Times New Roman" w:cs="Times New Roman"/>
          <w:sz w:val="22"/>
          <w:szCs w:val="22"/>
          <w:lang w:val="sk-SK"/>
        </w:rPr>
        <w:t>skleróze</w:t>
      </w:r>
      <w:r w:rsidR="00AB473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makulárny edém vyskytol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liečených odporúčanou dávkou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liečených vyššou dávkou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Väčšina prípadov sa vyskytla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priebehu prvých 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 mesiacov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niektorých pacientov sa prejavoval zahmleným videním alebo zníženou zrakovou ostrosťou, ale iní boli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asymptomatickí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diagnostikovaní pri rutinnom oftalmologickom vyšetrení. Makulárny edém sa spravidla zlepšil alebo spontánne ustúpil po vysadení </w:t>
      </w:r>
      <w:bookmarkStart w:id="16" w:name="_Hlk44361735"/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bookmarkEnd w:id="16"/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Riziko recidívy po opätovnom podaní liečby sa nehodnotilo.</w:t>
      </w:r>
    </w:p>
    <w:p w14:paraId="78E9456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817A23C" w14:textId="77777777" w:rsidR="002F645E" w:rsidRPr="00731FE7" w:rsidRDefault="002F645E" w:rsidP="002F645E">
      <w:pPr>
        <w:ind w:right="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Incidencia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makulárneho edému je vyššia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so 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ktorí majú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anamnéze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uveitídu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(17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uveitídou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anamnéze oproti 0,6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bez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uveitídy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anamnéze).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</w:t>
      </w:r>
      <w:r w:rsidRPr="00161BD8">
        <w:rPr>
          <w:rFonts w:ascii="Times New Roman" w:eastAsia="Times New Roman" w:hAnsi="Times New Roman" w:cs="Times New Roman"/>
          <w:sz w:val="22"/>
          <w:szCs w:val="22"/>
          <w:lang w:val="sk-SK"/>
        </w:rPr>
        <w:t>ingolimod</w:t>
      </w:r>
      <w:proofErr w:type="spellEnd"/>
      <w:r w:rsidRPr="00161BD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 neskúšal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so 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ktorí mali súčasne diabetes mellitus, čo je ochorenie, ktoré sa spája so zvýšeným rizikom makulárneho edému (pozri časť 4.4)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štúdiách pri transplantácii obličky, do ktorých boli zaradení aj pacienti, ktorí mali diabetes mellitus, liečba 2,5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mala za následok zvýšenie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incidencie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makulárneho edému na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násobok.</w:t>
      </w:r>
    </w:p>
    <w:p w14:paraId="2DB7A55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94F211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Bradyarytmia</w:t>
      </w:r>
      <w:proofErr w:type="spellEnd"/>
    </w:p>
    <w:p w14:paraId="6BB586C9" w14:textId="6A16BC72" w:rsidR="002F645E" w:rsidRPr="00731FE7" w:rsidRDefault="002F645E" w:rsidP="002F645E">
      <w:pPr>
        <w:ind w:right="111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Začatie liečby </w:t>
      </w:r>
      <w:proofErr w:type="spellStart"/>
      <w:r w:rsidR="001C3CEF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spôsobuje prechodné zníženie srdcovej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môže byť spojené aj so spomalením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prevodu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štúdiách pri 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skleróze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maximálny pokles srdcovej frekvencie zaznamenal do 6 hodín od začatia liečby,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poklesom priemernej srdcovej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13 úderov za minútu pri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e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Srdcová frekvencia nižšia ako 40 úderov za minútu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dospelých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nižšia ako 50 úderov za minútu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sa zriedkavo pozorovala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užívajúcich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Priemerná srdcová frekvencia sa vrátila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východiskovým hodnotám do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mesiaca pravidelnej liečby. Bradykardia bola vo všeobecnosti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asymptomatická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ale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niektorých pacientov sa objavili mierne až stredne závažné symptómy vrátane hypotenzie, závratov, únavy a/alebo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palpitácií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ktoré zmizli do 24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hodín od začatia liečby (pozri tiež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5.1).</w:t>
      </w:r>
    </w:p>
    <w:p w14:paraId="2E00AA9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A9DD133" w14:textId="72111BCC" w:rsidR="002F645E" w:rsidRPr="00731FE7" w:rsidRDefault="002F645E" w:rsidP="002F645E">
      <w:pPr>
        <w:ind w:right="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štúdiách pri 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skleróze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zistila na začiatku liečby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blokáda prvého stupňa (predĺžený PR interval na EKG)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skúšaniach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dospelými sa vyskytla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4,7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2,8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intramuskulárnom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placebe. </w:t>
      </w:r>
      <w:proofErr w:type="spellStart"/>
      <w:r w:rsidR="00B82F1D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trioventrikulárna</w:t>
      </w:r>
      <w:proofErr w:type="spellEnd"/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blokáda druhého stupňa sa zistila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menej ako 0,2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dospelých pacientov pri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e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Po uvedení lieku na trh sa zaznamenali počas šesť hodinovej pozorovacej doby po podaní prvej dávky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ojedinelé prípady prechodnej kompletnej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trioventrikulárnej</w:t>
      </w:r>
      <w:proofErr w:type="spellEnd"/>
      <w:r w:rsidR="005B3EB4"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blokády, ktorá spontánne vymizla. Pacienti sa zotavili spontánne. Poruchy prevodu zaznamenané počas klinických skúšaní aj po uvedení lieku na trh boli obvykle prechodné,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asymptomatické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zmizli počas prvých 24 hodín od začatia liečby. Hoci väčšina pacientov nevyžadovala lekársku intervenciu, jeden pacient užívajúci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dostal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izoprenalín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proti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asymptomatickej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blokáde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Mobitz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 druhého stupňa.</w:t>
      </w:r>
    </w:p>
    <w:p w14:paraId="436F8A0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90E71E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 uvedení lieku na trh sa ojedinele zaznamenal do 24 hodín po podaní prvej dávky oneskorený nástup reakcií, vrátane prechodnej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asyst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neobjasneného úmrtia. Tieto prípady boli skreslené sú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bež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 podávanými liekmi a/alebo už jestvujúcim ochorením. Spojitosť týchto udalostí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nie je známa.</w:t>
      </w:r>
    </w:p>
    <w:p w14:paraId="2A356CF6" w14:textId="77777777" w:rsidR="002F645E" w:rsidRPr="00731FE7" w:rsidRDefault="002F645E" w:rsidP="002F645E">
      <w:pPr>
        <w:ind w:right="80"/>
        <w:rPr>
          <w:rFonts w:ascii="Times New Roman" w:eastAsia="Arial" w:hAnsi="Times New Roman" w:cs="Times New Roman"/>
          <w:sz w:val="22"/>
          <w:szCs w:val="22"/>
          <w:lang w:val="sk-SK"/>
        </w:rPr>
      </w:pPr>
    </w:p>
    <w:p w14:paraId="5EA1E75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bookmarkStart w:id="17" w:name="page17"/>
      <w:bookmarkEnd w:id="17"/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Krvný tlak</w:t>
      </w:r>
    </w:p>
    <w:p w14:paraId="0435DE5D" w14:textId="77777777" w:rsidR="002F645E" w:rsidRPr="00731FE7" w:rsidRDefault="002F645E" w:rsidP="002F645E">
      <w:pPr>
        <w:ind w:right="4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štúdiách pri 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skleróze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užívanie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spájalo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priemerným zvýšením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systolického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tlaku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mm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diastolického tlaku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mm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Hg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ktoré sa prejavilo asi 1 mesiac po začatí liečby. Toto zvýšenie pretrvávalo pri pokračujúcej liečbe. Hypertenzia bola hlásená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6,5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3,3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pri placebe. Po uvedení lieku na trh boli počas prvého mesiaca po začatí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aj počas prvého dňa liečby hlásené prípady hypertenzie, ktoré môžu vyžadovať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antihypertenzívnu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liečbu alebo ukončenie liečby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(pozri aj časť 4.4 </w:t>
      </w:r>
      <w:r w:rsidR="00451384">
        <w:rPr>
          <w:rFonts w:ascii="Times New Roman" w:eastAsia="Times New Roman" w:hAnsi="Times New Roman" w:cs="Times New Roman"/>
          <w:sz w:val="22"/>
          <w:szCs w:val="22"/>
          <w:lang w:val="sk-SK"/>
        </w:rPr>
        <w:t>„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Účinky na tlak krvi</w:t>
      </w:r>
      <w:r w:rsidR="00451384">
        <w:rPr>
          <w:rFonts w:ascii="Times New Roman" w:eastAsia="Times New Roman" w:hAnsi="Times New Roman" w:cs="Times New Roman"/>
          <w:sz w:val="22"/>
          <w:szCs w:val="22"/>
          <w:lang w:val="sk-SK"/>
        </w:rPr>
        <w:t>“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21A047C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CEDE39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Funkcia pečene</w:t>
      </w:r>
    </w:p>
    <w:p w14:paraId="6D4143AA" w14:textId="77777777" w:rsidR="002F645E" w:rsidRPr="00731FE7" w:rsidRDefault="002F645E" w:rsidP="002F645E">
      <w:pPr>
        <w:ind w:right="6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pediatrických pacientov so 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liečených </w:t>
      </w:r>
      <w:proofErr w:type="spellStart"/>
      <w:r w:rsidR="00451384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zaznamenali zvýšené pečeňové enzýmy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štúdiách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8,0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dospelých pacientov liečených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vyskytlo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asymptomatické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zvýšenie sérových hladín ALT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x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ULN (horná hranica normy)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1,8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dospelých pacientov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x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ULN. Zvýšenie pečeňových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niektorých pacientov znovu objavilo po opätovnom podaní, čo svedčí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súvislosti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liekom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skúšaniach sa zvýšenie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aminotransferáz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vyskytlo kedykoľvek počas liečby, hoci väčšina prípadov sa vyskytla počas prvých 12 mesiacov. Hladiny ALT sa vrátili do normálu približne do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mesiacov od vysadenia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malého počtu pacientov (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n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10 pri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n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ktorých došlo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zvýšeniu ALT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x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ULN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ktorí pokračovali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liečbe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sa hladiny ALT vrátili do normálu približne do 5 mesiacov (pozri aj časť 4.4 </w:t>
      </w:r>
      <w:r w:rsidR="00451384">
        <w:rPr>
          <w:rFonts w:ascii="Times New Roman" w:eastAsia="Times New Roman" w:hAnsi="Times New Roman" w:cs="Times New Roman"/>
          <w:sz w:val="22"/>
          <w:szCs w:val="22"/>
          <w:lang w:val="sk-SK"/>
        </w:rPr>
        <w:t>„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Funkcia pečene</w:t>
      </w:r>
      <w:r w:rsidR="00451384">
        <w:rPr>
          <w:rFonts w:ascii="Times New Roman" w:eastAsia="Times New Roman" w:hAnsi="Times New Roman" w:cs="Times New Roman"/>
          <w:sz w:val="22"/>
          <w:szCs w:val="22"/>
          <w:lang w:val="sk-SK"/>
        </w:rPr>
        <w:t>“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7BCDBDD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EF9400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Poruchy nervového systému</w:t>
      </w:r>
    </w:p>
    <w:p w14:paraId="5B19C1FA" w14:textId="77777777" w:rsidR="002F645E" w:rsidRPr="00731FE7" w:rsidRDefault="002F645E" w:rsidP="002F645E">
      <w:pPr>
        <w:ind w:right="-3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štúdiách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vyskytli zriedkavé udalosti postihujúce nervový systém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vyššími dávkami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(1,25 alebo 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), zahŕňajúce ischemické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hemoragické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mozgové príhody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neurologické atypické poruchy, napr. prípady podobné akútnej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diseminovanej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encefalomyelitíde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(ADEM).</w:t>
      </w:r>
    </w:p>
    <w:p w14:paraId="06337C9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03EC456" w14:textId="77777777" w:rsidR="002F645E" w:rsidRPr="00731FE7" w:rsidRDefault="002F645E" w:rsidP="002F645E">
      <w:pPr>
        <w:ind w:right="-3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Prípady epileptických záchvatov vrátane </w:t>
      </w:r>
      <w:r w:rsidRPr="00451384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 xml:space="preserve">status </w:t>
      </w:r>
      <w:proofErr w:type="spellStart"/>
      <w:r w:rsidRPr="00451384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epilepticus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boli hlásené pri použití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štúdiách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 je</w:t>
      </w:r>
      <w:r w:rsidR="00451384">
        <w:rPr>
          <w:rFonts w:ascii="Times New Roman" w:eastAsia="Times New Roman" w:hAnsi="Times New Roman" w:cs="Times New Roman"/>
          <w:sz w:val="22"/>
          <w:szCs w:val="22"/>
          <w:lang w:val="sk-SK"/>
        </w:rPr>
        <w:t>ho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uvedení na trh.</w:t>
      </w:r>
    </w:p>
    <w:p w14:paraId="02FEBBD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177C04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Cievne poruchy</w:t>
      </w:r>
    </w:p>
    <w:p w14:paraId="6A174D79" w14:textId="77777777" w:rsidR="002F645E" w:rsidRPr="00731FE7" w:rsidRDefault="002F645E" w:rsidP="002F645E">
      <w:pPr>
        <w:ind w:right="2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Zriedkavé prípady okluzívnej choroby periférnych tepien sa vyskytli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vyššími dávkami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1B040D0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574E27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lastRenderedPageBreak/>
        <w:t>Dýchacia sústava</w:t>
      </w:r>
    </w:p>
    <w:p w14:paraId="701FF086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 liečbe </w:t>
      </w:r>
      <w:proofErr w:type="spellStart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proofErr w:type="spellEnd"/>
      <w:r w:rsidRPr="00EE629E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 pozoroval mierny, od dávky závislý pokles hodnôt objemu úsilného výdychu (FEV</w:t>
      </w:r>
      <w:r w:rsidRPr="00451384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1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difúznej kapacity pre oxid uhoľnatý (DLCO), ktorý sa objavil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1. mesiaci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odvtedy zostal stabilný. Po 24 mesiacoch bol pokles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percentách prediktívneho FEV</w:t>
      </w:r>
      <w:r w:rsidRPr="00451384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1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oproti východiskovým hodnotám 2,7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placebe, čo bol rozdiel, ktorý zmizol po ukončení liečby. Pri DLCO bol pokles po 24 mesiacoch 3,3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2,7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placebe.</w:t>
      </w:r>
    </w:p>
    <w:p w14:paraId="145B3EF7" w14:textId="77777777" w:rsidR="002F645E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</w:p>
    <w:p w14:paraId="0B8B4DF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Lymfómy</w:t>
      </w:r>
      <w:proofErr w:type="spellEnd"/>
    </w:p>
    <w:p w14:paraId="7A3BCEF4" w14:textId="77777777" w:rsidR="002F645E" w:rsidRPr="00731FE7" w:rsidRDefault="002F645E" w:rsidP="002F645E">
      <w:pPr>
        <w:ind w:right="2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klinických skúšaniach, ako aj pri používaní lieku po jeho uvedení na trh sa vyskytli prípady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rozličných druhov, vrátane fatálneho prípadu 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bunkového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pozitivitou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Epsteinov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Barrovej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vírus (EBV).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Incidencia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prípadov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non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Hodgkinových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bunkových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bunkových) bola vyššia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skúšaniach, ako sa očakáva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všeobecnej populácie. Po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uvedení lieku na trh bolo hlásených aj niekoľko prípadov 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bunkových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vrátane prípadov kožného 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bunkového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Pr="00451384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mycosis</w:t>
      </w:r>
      <w:proofErr w:type="spellEnd"/>
      <w:r w:rsidRPr="00451384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451384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fungoides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637F63F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92C032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>Hemofagocytový</w:t>
      </w:r>
      <w:proofErr w:type="spellEnd"/>
      <w:r w:rsidRPr="00731FE7">
        <w:rPr>
          <w:rFonts w:ascii="Times New Roman" w:eastAsia="Times New Roman" w:hAnsi="Times New Roman" w:cs="Times New Roman"/>
          <w:i/>
          <w:sz w:val="22"/>
          <w:szCs w:val="22"/>
          <w:u w:val="single"/>
          <w:lang w:val="sk-SK"/>
        </w:rPr>
        <w:t xml:space="preserve"> syndróm</w:t>
      </w:r>
    </w:p>
    <w:p w14:paraId="1880EC7F" w14:textId="77777777" w:rsidR="002F645E" w:rsidRPr="00731FE7" w:rsidRDefault="002F645E" w:rsidP="002F645E">
      <w:pPr>
        <w:ind w:right="5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Veľmi zriedkavé prípady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hemofagocytového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syndrómu (HPS)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spojení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infekciou končiace sa úmrtím boli hlásené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HPS je zriedkavé ochorenie, ktoré sa popísalo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súvislosti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infekciami,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imunosupresiou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rôznymi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autoimunitnými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chorobami.</w:t>
      </w:r>
    </w:p>
    <w:p w14:paraId="24FD800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C24853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18" w:name="page18"/>
      <w:bookmarkEnd w:id="18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Pediatrická populácia</w:t>
      </w:r>
    </w:p>
    <w:p w14:paraId="1017B3E7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kontrolovanom pediatrickom klinickom skúšaní D2311 (pozri časť 5.1) bol profil bezpečnosti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pediatrických pacientov (vo veku od 10 do menej ako 18 rokov), ktorí dostávali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0,25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denne, celkovo podobný, aký sa pozoroval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dospelých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štúdii sa však zaznamenalo viac neurologických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psychických porúch. Vzhľadom na veľmi obmedzené poznatky dostupné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klinickej štúdie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tejto podskupiny vyžaduje opatrnosť.</w:t>
      </w:r>
    </w:p>
    <w:p w14:paraId="785D506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EE15A34" w14:textId="77777777" w:rsidR="002F645E" w:rsidRPr="00731FE7" w:rsidRDefault="002F645E" w:rsidP="002F645E">
      <w:pPr>
        <w:ind w:right="-3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pediatrickej štúdii boli hlásené prípady epileptických záchvatov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5,6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1a.</w:t>
      </w:r>
    </w:p>
    <w:p w14:paraId="164E42F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36B37BF" w14:textId="77777777" w:rsidR="002F645E" w:rsidRPr="00731FE7" w:rsidRDefault="002F645E" w:rsidP="002F645E">
      <w:pPr>
        <w:ind w:right="111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 známe, že depresia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úzkosť sa vyskytujú so zvýšenou frekvenciou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populácie so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Depresia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úzkosť boli hlásené aj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pediatrických 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5346819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2E54FB9" w14:textId="77777777" w:rsidR="002F645E" w:rsidRPr="00731FE7" w:rsidRDefault="002F645E" w:rsidP="002F645E">
      <w:pPr>
        <w:ind w:right="111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Ojedinelé mierne zvýšenia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bilirubínu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zaznamenali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pediatrických 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423040F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03894D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Hlásenie podozrení na nežiaduce reakcie</w:t>
      </w:r>
    </w:p>
    <w:p w14:paraId="25B247BC" w14:textId="77777777" w:rsidR="002F645E" w:rsidRPr="00731FE7" w:rsidRDefault="002F645E" w:rsidP="002F645E">
      <w:pPr>
        <w:ind w:right="68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rizika lieku. Od zdravotníckych pracovníkov sa vyžaduje, aby hlásili akékoľvek podozrenia na nežiaduce reakcie na </w:t>
      </w:r>
      <w:r w:rsidRPr="00731FE7">
        <w:rPr>
          <w:rFonts w:ascii="Times New Roman" w:eastAsia="Times New Roman" w:hAnsi="Times New Roman" w:cs="Times New Roman"/>
          <w:sz w:val="22"/>
          <w:szCs w:val="22"/>
          <w:highlight w:val="lightGray"/>
          <w:lang w:val="sk-SK"/>
        </w:rPr>
        <w:t>národné centrum hlásenia uvedené</w:t>
      </w:r>
      <w:r>
        <w:rPr>
          <w:rFonts w:ascii="Times New Roman" w:eastAsia="Times New Roman" w:hAnsi="Times New Roman" w:cs="Times New Roman"/>
          <w:sz w:val="22"/>
          <w:szCs w:val="22"/>
          <w:highlight w:val="lightGray"/>
          <w:lang w:val="sk-SK"/>
        </w:rPr>
        <w:t xml:space="preserve"> v </w:t>
      </w:r>
      <w:hyperlink r:id="rId7" w:history="1">
        <w:r w:rsidRPr="00731FE7">
          <w:rPr>
            <w:rFonts w:ascii="Times New Roman" w:eastAsia="Times New Roman" w:hAnsi="Times New Roman" w:cs="Times New Roman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  <w:r w:rsidRPr="00937825">
          <w:rPr>
            <w:rFonts w:ascii="Times New Roman" w:eastAsia="Times New Roman" w:hAnsi="Times New Roman" w:cs="Times New Roman"/>
            <w:sz w:val="22"/>
            <w:szCs w:val="22"/>
            <w:lang w:val="sk-SK"/>
          </w:rPr>
          <w:t>.</w:t>
        </w:r>
      </w:hyperlink>
    </w:p>
    <w:p w14:paraId="4376AC0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AB31D67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4.9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  <w:t>Predávkovanie</w:t>
      </w:r>
    </w:p>
    <w:p w14:paraId="047BD87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E2C94EB" w14:textId="77777777" w:rsidR="002F645E" w:rsidRPr="00731FE7" w:rsidRDefault="002F645E" w:rsidP="002F645E">
      <w:pPr>
        <w:ind w:right="-3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Jednorazové dávky až do 80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násobku odporúčanej dávky (0,5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dobre znášali dospelí zdraví dobrovoľníci. Pri dávke 40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5 zo 6 osôb hlásilo mierne zvieranie alebo nepríjemné pocity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hrudníku, čo klinicky zodpovedalo slabej reaktivite dýchacích ciest.</w:t>
      </w:r>
    </w:p>
    <w:p w14:paraId="2F59B19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EFFE7B9" w14:textId="1564515B" w:rsidR="002F645E" w:rsidRPr="00731FE7" w:rsidRDefault="002F645E" w:rsidP="002F645E">
      <w:pPr>
        <w:ind w:right="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 začatí liečby môže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vyvolať bradykardiu. Pokles srdcovej frekvencie zvyčajne začína do jednej hodiny od podania prvej dávky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 najprudší počas prvých šiestich hodín. Negatívny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chronotropný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účinok </w:t>
      </w:r>
      <w:proofErr w:type="spellStart"/>
      <w:r w:rsidRPr="00756B42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56B4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pretrváva viac ako 6 hodín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počas následných dní liečby sa postupne oslabuje (detailne, pozri časť 4.4). Hlásené boli prípady pomalého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prevodu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ojedinelými hláseniami prechodnej, spontánne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vymiznúcej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úplnej AV blokády (pozri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4.8).</w:t>
      </w:r>
    </w:p>
    <w:p w14:paraId="5A69583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669C558" w14:textId="77777777" w:rsidR="002F645E" w:rsidRPr="00731FE7" w:rsidRDefault="002F645E" w:rsidP="002F645E">
      <w:pPr>
        <w:ind w:right="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Ak dôjde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predávkovaniu pri prvom podaní </w:t>
      </w:r>
      <w:proofErr w:type="spellStart"/>
      <w:r w:rsidRPr="00756B42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je dôležité aspoň počas prvých 6 hodín sledovať pacienta kontinuálnym monitorovaním EKG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reálnom čase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meraním srdcovej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krvného tlaku každú hodinu (pozri časť 4.4).</w:t>
      </w:r>
    </w:p>
    <w:p w14:paraId="72C47D8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70FDB6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Navyše, ak je hodnota srdcovej frekvencie po 6 hodinách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bpm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dospelých,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bpm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vo veku 12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starších, alebo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60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bpm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vo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veku od 10 rokov do menej ako 12 rokov, alebo ak EKG po 6 hodinách po prvej dávke vykazuje AV blokádu druhého alebo vyššieho stupňa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QTc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interval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500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ms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ek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monitorovanie je potrebné predĺžiť aj počas noci až do upravenia nálezu. Výskyt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AV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blokády tretieho stupňa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ktoromkoľvek čase je tiež dôvodom na predĺžené sledovanie, vrátane sledovania počas noci.</w:t>
      </w:r>
    </w:p>
    <w:p w14:paraId="3662313A" w14:textId="77777777" w:rsidR="00CC4D9F" w:rsidRDefault="00CC4D9F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0075A4E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Dialýza ani výmena plazmy nemajú za následok odstránenie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tela.</w:t>
      </w:r>
    </w:p>
    <w:p w14:paraId="6520532D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423D47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D9AC162" w14:textId="77777777" w:rsidR="002F645E" w:rsidRPr="00731FE7" w:rsidRDefault="002F645E" w:rsidP="002F645E">
      <w:pPr>
        <w:numPr>
          <w:ilvl w:val="0"/>
          <w:numId w:val="12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bookmarkStart w:id="19" w:name="page19"/>
      <w:bookmarkEnd w:id="19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FARMAKOLOGICKÉ VLASTNOSTI</w:t>
      </w:r>
    </w:p>
    <w:p w14:paraId="04F99283" w14:textId="77777777" w:rsidR="002F645E" w:rsidRPr="003F77E1" w:rsidRDefault="002F645E" w:rsidP="002F645E">
      <w:pPr>
        <w:rPr>
          <w:rFonts w:ascii="Times New Roman" w:eastAsia="Times New Roman" w:hAnsi="Times New Roman" w:cs="Times New Roman"/>
          <w:bCs/>
          <w:sz w:val="22"/>
          <w:szCs w:val="22"/>
          <w:lang w:val="sk-SK"/>
        </w:rPr>
      </w:pPr>
    </w:p>
    <w:p w14:paraId="7576711F" w14:textId="77777777" w:rsidR="002F645E" w:rsidRPr="00731FE7" w:rsidRDefault="002F645E" w:rsidP="002F645E">
      <w:pPr>
        <w:tabs>
          <w:tab w:val="left" w:pos="0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5.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</w:r>
      <w:proofErr w:type="spellStart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Farmakodynamické</w:t>
      </w:r>
      <w:proofErr w:type="spellEnd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vlastnosti</w:t>
      </w:r>
    </w:p>
    <w:p w14:paraId="5BDEA1A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6ED6DF3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Farmakoterapeutická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skupina: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selektívne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imunosupresíva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ATC kód: L04AA27</w:t>
      </w:r>
    </w:p>
    <w:p w14:paraId="5D9FBFA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488EC65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87789A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Me</w:t>
      </w: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chanizmus účinku</w:t>
      </w:r>
    </w:p>
    <w:p w14:paraId="23E1C066" w14:textId="77777777" w:rsidR="00753D64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modulátor receptora sfingozín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fosfátu.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metabolizuje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sfingozínkinázou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aktívny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fosfát.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 sa viaže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nízkych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nanomolárnych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koncentráciách na receptor 1 sfingozín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fosfátu (S1P), ktorý sa nachádza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ľahko prestupuje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hematoencefalickú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bariéru, aby sa naviazal na receptor 1 S1P nachádzajúci sa na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nervových bunkách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centrálnom nervovom systéme (CNS). Svojím pôsobením ako funkčný antagonista receptorov S1P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fosfát blokuje schopnosť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vystupovať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lymfatických uzlín, čím spôsobuje skôr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redistribúciu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ako redukciu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Štúdie na zvieratách ukázali, že táto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redistribúcia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zníži infiltráciu patogénnych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vrátane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prozápalových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buniek Th17 do CNS, kde by sa podieľali na zápale nervov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poškodzovaní nervového tkaniva. </w:t>
      </w:r>
    </w:p>
    <w:p w14:paraId="269EDD80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Štúdie na zvieratách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pokusy </w:t>
      </w:r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in vitro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naznačujú, že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môže účinkovať aj prostredníctvom interakcie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receptormi S1P na nervových bunkách.</w:t>
      </w:r>
    </w:p>
    <w:p w14:paraId="37A4462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424FB8C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Farmakodynamické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účinky</w:t>
      </w:r>
    </w:p>
    <w:p w14:paraId="09D3037A" w14:textId="77777777" w:rsidR="002F645E" w:rsidRPr="00731FE7" w:rsidRDefault="002F645E" w:rsidP="002F645E">
      <w:pPr>
        <w:ind w:left="2"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priebehu 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6 hodín po prvej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počet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klesne na približne 75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východiskovej hodnoty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periférnej krvi. Pri pokračujúcom dennom užívaní pokračuje pokles počtu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počas obdobia dvoch týždňov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dosiahne minimálny počet približne 500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buniek/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mikroliter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približne 30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východiskovej hodnoty. </w:t>
      </w:r>
      <w:r w:rsidR="000A134D" w:rsidRPr="000A134D">
        <w:rPr>
          <w:rFonts w:ascii="Times New Roman" w:eastAsia="Times New Roman" w:hAnsi="Times New Roman" w:cs="Times New Roman"/>
          <w:sz w:val="22"/>
          <w:szCs w:val="22"/>
          <w:lang w:val="sk-SK"/>
        </w:rPr>
        <w:t>Osemnásť percent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pacientov dosiahlo minimálny počet pod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200 buniek/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mikroliter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najmenej jednom vyšetrení. Nízky počet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udržiava pri dlhodobom dennom užívaní. Väčšina 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pravidelne prechádza cez lymfatické orgány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toto sú bunky, ktoré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najviac ovplyvňuje. Približne 15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fenotyp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efektorovej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pamäte, čo sú bunky, ktoré sú dôležité pre dohľad nad periférnou imunitou. Keďže táto podskupina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spravidla neprechádza cez lymfatické orgány, nie 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ovplyvnená. Nárast počtu periférnych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zrejmý po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niekoľkých dňoch od vysadenia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normálne počty sa obvykle dosiahnu po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jednom až dvoch mesiacoch. Dlhodobé užívanie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vedie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miernemu poklesu počtu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neutrofilov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približne 80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východiskových hodnôt.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neovplyvňuje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monocyty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7F391C1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CF75DBF" w14:textId="4491C76E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spôsobuje na začiatku liečby prechodný pokles srdcovej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zníženie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5B3EB4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trioventrikulárneho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prevodu (pozri časti 4.4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4.8). Maximálny pokles srdcovej frekvencie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pozoruje počas 6 hodín od užitia, pričom 70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negatívneho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chronotropného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účinku sa dosahuje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prvý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deň. Pri pokračujúcom podávaní sa srdcová frekvencia vráti na východiskové hodnoty do jedného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mesiaca. Pokles srdcovej frekvencie vyvolaný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môže zvrátiť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parenterálne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podanie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atropínu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izoprenalínu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Zistilo sa, že aj inhalovaný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salmeterol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má mierny pozitívne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chronotropný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účinok. Na začiatku liečby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dochádza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nárastu predčasných kontrakcií predsiení, ale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nedochádza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zvýšeniu výskytu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fibrilácií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flutteru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predsiení alebo komorových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arytmií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ektopie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nespája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poklesom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ejekčnej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frakcie srdca.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neovplyvňuje autonómne reakcie srdca vrátane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cirkadiálnych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zmien srdcovej frekvencie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reakcie na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záťaž.</w:t>
      </w:r>
    </w:p>
    <w:p w14:paraId="48D435A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01A9279" w14:textId="77777777" w:rsidR="002F645E" w:rsidRPr="00731FE7" w:rsidRDefault="002F645E" w:rsidP="002F645E">
      <w:pPr>
        <w:ind w:left="2" w:right="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S1P4 mohol čiastočne prispieť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účinku, ale nebol hlavným receptorom zodpovedným za pokles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lymfocytov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Mechanizmus účinku bradykardie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vazokonstrikcie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tiež skúmali </w:t>
      </w:r>
      <w:r w:rsidRPr="00731FE7">
        <w:rPr>
          <w:rFonts w:ascii="Times New Roman" w:eastAsia="Times New Roman" w:hAnsi="Times New Roman" w:cs="Times New Roman"/>
          <w:i/>
          <w:sz w:val="22"/>
          <w:szCs w:val="22"/>
          <w:lang w:val="sk-SK"/>
        </w:rPr>
        <w:t>in vitro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morčatách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na izolovanej králičej aorte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koronárej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artérii. Prišlo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záveru, že bradykardia môže byť primárne sprostredkovaná aktiváciou smerovania draslíkového kanála dovnútra alebo G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proteínom aktivovaného smerovania K</w:t>
      </w:r>
      <w:r w:rsidRPr="00731FE7">
        <w:rPr>
          <w:rFonts w:ascii="Times New Roman" w:eastAsia="Times New Roman" w:hAnsi="Times New Roman" w:cs="Times New Roman"/>
          <w:sz w:val="22"/>
          <w:szCs w:val="22"/>
          <w:vertAlign w:val="superscript"/>
          <w:lang w:val="sk-SK"/>
        </w:rPr>
        <w:t>+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kanála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IKACh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/GIRK) dovnútra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že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vazokonstrikcia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zdá byť sprostredkovaná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kinázou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mechanizmom závislým od vápnika.</w:t>
      </w:r>
    </w:p>
    <w:p w14:paraId="6671E0C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9C934AB" w14:textId="77777777" w:rsidR="002F645E" w:rsidRPr="00731FE7" w:rsidRDefault="002F645E" w:rsidP="002F645E">
      <w:pPr>
        <w:ind w:right="10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bookmarkStart w:id="20" w:name="page20"/>
      <w:bookmarkEnd w:id="20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Jednorazové alebo opakované podávanie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dávkach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počas dvoch týždňov sa nespája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preukázateľným zvýšením odporu dýchacích ciest, meraným ako FEV</w:t>
      </w:r>
      <w:r w:rsidRPr="00385C57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úsilný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exspiračný prietok (FEF) 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75. Avšak jednorazové dávky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násobok odporúčanej dávky) sa spájajú so zvýšením odporu dýchacích ciest závislým od dávky. Opakované podávanie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dávkach 0,5; 1,25 alebo 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nespája so zhoršenou saturáciou alebo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desaturáciou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kyslíkom pri telesnej námahe alebo zvýšenou citlivosťou dýchacích ciest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metacholín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Osoby liečené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majú normálnu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bronchodilatačnú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odpoveď na inhalačné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betaagonisty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76F6600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4CFF46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Klinická účinnosť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bezpečnosť</w:t>
      </w:r>
    </w:p>
    <w:p w14:paraId="18E0861D" w14:textId="77777777" w:rsidR="002F645E" w:rsidRPr="00731FE7" w:rsidRDefault="002F645E" w:rsidP="002F645E">
      <w:pPr>
        <w:ind w:right="4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Účinnosť </w:t>
      </w:r>
      <w:proofErr w:type="spellStart"/>
      <w:r w:rsidR="00385C5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preukázala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dvoch štúdiách, ktoré hodnotili dávky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raz denne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dospelých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remitujúcou 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sklerózo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(RRSM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relaps-remitting</w:t>
      </w:r>
      <w:proofErr w:type="spellEnd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multiple</w:t>
      </w:r>
      <w:proofErr w:type="spellEnd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sclerosis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Do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oboch štúdií boli zaradení dospelí pacienti, ktorí prekonali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2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počas predchádzajúcich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rokov alebo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1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počas predchádzajúceho roka. Ich skóre rozšírenej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Kurtzkeho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škály funkčnej nespôsobilosti (EDSS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Expanded</w:t>
      </w:r>
      <w:proofErr w:type="spellEnd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Disability</w:t>
      </w:r>
      <w:proofErr w:type="spellEnd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Status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Score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bolo medzi 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5,5. Tretia štúdia zameraná na rovnakú populáciu dospelých pacientov sa skončila po zaregistrovaní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7885C6D2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F2960A6" w14:textId="77777777" w:rsidR="002F645E" w:rsidRPr="00731FE7" w:rsidRDefault="002F645E" w:rsidP="002F645E">
      <w:pPr>
        <w:ind w:right="28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Štúdia D2301 (FREEDOMS) bola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randomizovaná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dvojito </w:t>
      </w:r>
      <w:r w:rsidRPr="005B127E">
        <w:rPr>
          <w:rFonts w:ascii="Times New Roman" w:eastAsia="Times New Roman" w:hAnsi="Times New Roman" w:cs="Times New Roman"/>
          <w:sz w:val="22"/>
          <w:szCs w:val="22"/>
          <w:lang w:val="sk-SK"/>
        </w:rPr>
        <w:t>zaslepená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placebom kontrolovaná štúdia fázy III trvajúca 2 roky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272 pacientov (n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425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429 pri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418 pri placebe). Hodnoty mediánu východiskových charakteristických znakov boli: vek 37 rokov, trvanie ochorenia 6,7 roka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skóre EDSS 2,0. Záverečné výsledky sú uvedené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Tabuľke 1. Nepreukázali sa žiadne významné rozdiely medzi dávkami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ani pri jednom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ukazovateľov.</w:t>
      </w:r>
    </w:p>
    <w:p w14:paraId="316D8B9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291A834" w14:textId="77777777" w:rsidR="002F645E" w:rsidRDefault="002F645E" w:rsidP="002F645E">
      <w:pPr>
        <w:tabs>
          <w:tab w:val="left" w:pos="140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Tabuľka 1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Štúdia D2301 (FREEDOMS): hlavné výsledky</w:t>
      </w:r>
    </w:p>
    <w:p w14:paraId="38EEA623" w14:textId="77777777" w:rsidR="002F645E" w:rsidRPr="009803E6" w:rsidRDefault="002F645E" w:rsidP="002F645E">
      <w:pPr>
        <w:tabs>
          <w:tab w:val="left" w:pos="1400"/>
        </w:tabs>
        <w:rPr>
          <w:rFonts w:ascii="Times New Roman" w:eastAsia="Times New Roman" w:hAnsi="Times New Roman" w:cs="Times New Roman"/>
          <w:bCs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2261"/>
        <w:gridCol w:w="2234"/>
      </w:tblGrid>
      <w:tr w:rsidR="002F645E" w:rsidRPr="009803E6" w14:paraId="581E325C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5EFD" w14:textId="77777777" w:rsidR="002F645E" w:rsidRPr="009803E6" w:rsidRDefault="002F645E" w:rsidP="00234D74">
            <w:pPr>
              <w:tabs>
                <w:tab w:val="left" w:pos="567"/>
              </w:tabs>
              <w:ind w:left="142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D451" w14:textId="77777777" w:rsidR="002F645E" w:rsidRPr="009803E6" w:rsidRDefault="002F645E" w:rsidP="00234D74">
            <w:pPr>
              <w:tabs>
                <w:tab w:val="left" w:pos="567"/>
              </w:tabs>
              <w:ind w:left="102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proofErr w:type="spellStart"/>
            <w:r w:rsidRPr="009803E6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Fingolimod</w:t>
            </w:r>
            <w:proofErr w:type="spellEnd"/>
          </w:p>
          <w:p w14:paraId="69AE2168" w14:textId="77777777" w:rsidR="002F645E" w:rsidRPr="009803E6" w:rsidRDefault="002F645E" w:rsidP="00234D74">
            <w:pPr>
              <w:tabs>
                <w:tab w:val="left" w:pos="567"/>
              </w:tabs>
              <w:ind w:left="102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B62559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5</w:t>
            </w:r>
            <w:r w:rsidRPr="00B62559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9803E6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mg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87E5" w14:textId="77777777" w:rsidR="002F645E" w:rsidRPr="009803E6" w:rsidRDefault="002F645E" w:rsidP="00234D74">
            <w:pPr>
              <w:tabs>
                <w:tab w:val="left" w:pos="567"/>
              </w:tabs>
              <w:ind w:left="89"/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Placebo</w:t>
            </w:r>
          </w:p>
        </w:tc>
      </w:tr>
      <w:tr w:rsidR="002F645E" w:rsidRPr="009803E6" w14:paraId="78F26A25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C8EB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Klinické ukazovatele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C84" w14:textId="77777777" w:rsidR="002F645E" w:rsidRPr="009803E6" w:rsidRDefault="002F645E" w:rsidP="00234D74">
            <w:pPr>
              <w:tabs>
                <w:tab w:val="left" w:pos="567"/>
              </w:tabs>
              <w:ind w:left="102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FD1" w14:textId="77777777" w:rsidR="002F645E" w:rsidRPr="009803E6" w:rsidRDefault="002F645E" w:rsidP="00234D74">
            <w:pPr>
              <w:tabs>
                <w:tab w:val="left" w:pos="567"/>
              </w:tabs>
              <w:ind w:left="89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</w:tr>
      <w:tr w:rsidR="002F645E" w:rsidRPr="009803E6" w14:paraId="62808DA8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0C26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Frekvencia </w:t>
            </w:r>
            <w:proofErr w:type="spellStart"/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relapsov</w:t>
            </w:r>
            <w:proofErr w:type="spellEnd"/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 za rok (primárny ukazovateľ)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C747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18**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AE7C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40</w:t>
            </w:r>
          </w:p>
        </w:tc>
      </w:tr>
      <w:tr w:rsidR="002F645E" w:rsidRPr="009803E6" w14:paraId="1CD05482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5239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Percentuálny podiel pacientov bez </w:t>
            </w:r>
            <w:proofErr w:type="spellStart"/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relapsov</w:t>
            </w:r>
            <w:proofErr w:type="spellEnd"/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24 mesiacoch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6000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70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%**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AD40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46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</w:t>
            </w:r>
          </w:p>
        </w:tc>
      </w:tr>
      <w:tr w:rsidR="002F645E" w:rsidRPr="009803E6" w14:paraId="79E63E9A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B40C" w14:textId="77777777" w:rsidR="002F645E" w:rsidRPr="00B62559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Podiel s progresiou invalidizácie potvrdenou po</w:t>
            </w: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mesiacoch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vertAlign w:val="superscript"/>
                <w:lang w:val="sk-SK" w:eastAsia="en-US"/>
              </w:rPr>
              <w:t>†</w:t>
            </w:r>
          </w:p>
          <w:p w14:paraId="567632BC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Pomer rizika (95 % IS)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23D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17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</w:t>
            </w:r>
          </w:p>
          <w:p w14:paraId="03E4FCC5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  <w:p w14:paraId="02C1C44C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70 (0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52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;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 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96)*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49F6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24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</w:t>
            </w:r>
          </w:p>
        </w:tc>
      </w:tr>
      <w:tr w:rsidR="002F645E" w:rsidRPr="009803E6" w14:paraId="178A4CEB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A1CB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 xml:space="preserve">Ukazovatele </w:t>
            </w:r>
            <w:r w:rsidRPr="009803E6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MRI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85C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36D" w14:textId="77777777" w:rsidR="002F645E" w:rsidRPr="009803E6" w:rsidRDefault="002F645E" w:rsidP="00234D74">
            <w:pPr>
              <w:tabs>
                <w:tab w:val="left" w:pos="567"/>
              </w:tabs>
              <w:ind w:left="89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</w:tr>
      <w:tr w:rsidR="002F645E" w:rsidRPr="009803E6" w14:paraId="3E8E32D6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9190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Medián (priemer) počtu nových alebo zväčšujúcich sa T2-lézií počas 24 mesiacov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202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(2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5)**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C89E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5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(9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8)</w:t>
            </w:r>
          </w:p>
        </w:tc>
      </w:tr>
      <w:tr w:rsidR="002F645E" w:rsidRPr="009803E6" w14:paraId="63B5AC14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029F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Medián (priemer) počtu </w:t>
            </w:r>
            <w:proofErr w:type="spellStart"/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Gd</w:t>
            </w:r>
            <w:proofErr w:type="spellEnd"/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-zvýrazňujúcich sa lézií po 24 mesiacoch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8786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2)**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D99A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(1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1)</w:t>
            </w:r>
          </w:p>
        </w:tc>
      </w:tr>
      <w:tr w:rsidR="002F645E" w:rsidRPr="009803E6" w14:paraId="66584AFD" w14:textId="77777777" w:rsidTr="00234D74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71E0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Medián (priemer) % zmeny objemu mozgu počas 24 mesiacov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8CD3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-0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7 (-0.8)**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2416" w14:textId="77777777" w:rsidR="002F645E" w:rsidRPr="009803E6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-1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(-1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3)</w:t>
            </w:r>
          </w:p>
        </w:tc>
      </w:tr>
      <w:tr w:rsidR="002F645E" w:rsidRPr="009803E6" w14:paraId="38A0E018" w14:textId="77777777" w:rsidTr="00234D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B46F" w14:textId="77777777" w:rsidR="002F645E" w:rsidRPr="009803E6" w:rsidRDefault="002F645E" w:rsidP="00385C57">
            <w:pPr>
              <w:tabs>
                <w:tab w:val="left" w:pos="313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vertAlign w:val="superscript"/>
                <w:lang w:val="sk-SK" w:eastAsia="en-US"/>
              </w:rPr>
              <w:t>†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 </w:t>
            </w:r>
            <w:r w:rsidR="00385C57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ab/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Progresia invalidizácie definovaná ako zvýšenie EDSS o 1 bod potvrdená o 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3 </w:t>
            </w:r>
            <w:r w:rsidRPr="00B6255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mesiace neskôr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.</w:t>
            </w:r>
          </w:p>
          <w:p w14:paraId="47B3EF13" w14:textId="77777777" w:rsidR="002F645E" w:rsidRPr="009803E6" w:rsidRDefault="002F645E" w:rsidP="00385C57">
            <w:pPr>
              <w:tabs>
                <w:tab w:val="left" w:pos="313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** </w:t>
            </w:r>
            <w:r w:rsidR="00385C57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ab/>
              <w:t>p</w:t>
            </w:r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&lt; 0,001, *p&lt; 0,05 v porovnaní s placebom</w:t>
            </w:r>
          </w:p>
          <w:p w14:paraId="5CE78331" w14:textId="77777777" w:rsidR="002F645E" w:rsidRPr="009803E6" w:rsidRDefault="002F645E" w:rsidP="00385C5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u w:val="single"/>
                <w:lang w:val="sk-SK" w:eastAsia="en-US"/>
              </w:rPr>
            </w:pPr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Všetky analýzy klinických ukazovateľov boli hodnotené pri liečebnom zámere (</w:t>
            </w:r>
            <w:proofErr w:type="spellStart"/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intent</w:t>
            </w:r>
            <w:proofErr w:type="spellEnd"/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-to-</w:t>
            </w:r>
            <w:proofErr w:type="spellStart"/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treat</w:t>
            </w:r>
            <w:proofErr w:type="spellEnd"/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). Analýzy MRI používali </w:t>
            </w:r>
            <w:proofErr w:type="spellStart"/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vyhodnotiteľný</w:t>
            </w:r>
            <w:proofErr w:type="spellEnd"/>
            <w:r w:rsidRPr="00B6255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súbor údajov</w:t>
            </w:r>
            <w:r w:rsidRPr="009803E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.</w:t>
            </w:r>
          </w:p>
        </w:tc>
      </w:tr>
    </w:tbl>
    <w:p w14:paraId="0EC1C4C6" w14:textId="77777777" w:rsidR="002F645E" w:rsidRDefault="002F645E" w:rsidP="002F645E">
      <w:pPr>
        <w:tabs>
          <w:tab w:val="left" w:pos="1400"/>
        </w:tabs>
        <w:rPr>
          <w:rFonts w:ascii="Times New Roman" w:eastAsia="Times New Roman" w:hAnsi="Times New Roman" w:cs="Times New Roman"/>
          <w:bCs/>
          <w:sz w:val="22"/>
          <w:szCs w:val="22"/>
          <w:lang w:val="sk-SK"/>
        </w:rPr>
      </w:pPr>
    </w:p>
    <w:p w14:paraId="3AA6A16B" w14:textId="77777777" w:rsidR="002F645E" w:rsidRPr="00731FE7" w:rsidRDefault="002F645E" w:rsidP="002F645E">
      <w:pPr>
        <w:ind w:right="328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Pacienti, ktorí ukončili 24 mesiacov základnej štúdie FREEDOMS, mohli byť zaradení do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extenzie (D2301E1) so zaslepenou dávkou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dostávať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Celkovo sa extenzie zúčastnilo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920 pacientov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(n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331 pokračovalo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289 pokračovalo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155 prešlo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placeba na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145 prešlo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placeba na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Po 12 mesiacoch (36. mesiac) bolo ešte stále zaradených 856 pacientov (93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Medzi 24.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36. mesiacom frekvencia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za rok (ARR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annualised</w:t>
      </w:r>
      <w:proofErr w:type="spellEnd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relapse</w:t>
      </w:r>
      <w:proofErr w:type="spellEnd"/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rate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pacientov, ktorí dostávali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základnej štúdii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zostali na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bola 0,17 (0,21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základnej štúdii). ARR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pacientov, ktorí prešli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placeba na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bola 0,22 (0,42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základnej štúdii).</w:t>
      </w:r>
    </w:p>
    <w:p w14:paraId="258B564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D796B15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bookmarkStart w:id="21" w:name="page21"/>
      <w:bookmarkEnd w:id="21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Porovnateľné výsledky sa zistili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opakovanej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randomizovanej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dvojito </w:t>
      </w:r>
      <w:r w:rsidRPr="005B127E">
        <w:rPr>
          <w:rFonts w:ascii="Times New Roman" w:eastAsia="Times New Roman" w:hAnsi="Times New Roman" w:cs="Times New Roman"/>
          <w:sz w:val="22"/>
          <w:szCs w:val="22"/>
          <w:lang w:val="sk-SK"/>
        </w:rPr>
        <w:t>zaslepen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ej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placebom kontrolovanej štúdii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fázy III trvajúcej 2 roky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083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RRMS (n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358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370 pri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355 pri placebe) (D2309; FREEDOMS 2). Medián východiskových charakteristických hodnôt: vek 41 rokov, trvanie choroby 8,9 rokov, skóre EDSS 2,5.</w:t>
      </w:r>
    </w:p>
    <w:p w14:paraId="660DF28C" w14:textId="77777777" w:rsidR="002F645E" w:rsidRDefault="002F645E" w:rsidP="002F645E">
      <w:pPr>
        <w:tabs>
          <w:tab w:val="left" w:pos="140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</w:p>
    <w:p w14:paraId="401ED0AE" w14:textId="77777777" w:rsidR="002F645E" w:rsidRPr="00731FE7" w:rsidRDefault="002F645E" w:rsidP="002F645E">
      <w:pPr>
        <w:tabs>
          <w:tab w:val="left" w:pos="140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Tabuľka 2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Štúdia D2309 (FREEDOMS</w:t>
      </w:r>
      <w:r w:rsidR="006A716D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2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): hlavné výsledky</w:t>
      </w:r>
    </w:p>
    <w:p w14:paraId="79388BA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4"/>
        <w:gridCol w:w="2453"/>
        <w:gridCol w:w="2451"/>
      </w:tblGrid>
      <w:tr w:rsidR="002F645E" w:rsidRPr="00731FE7" w14:paraId="07848D01" w14:textId="77777777" w:rsidTr="00234D74">
        <w:trPr>
          <w:trHeight w:val="548"/>
        </w:trPr>
        <w:tc>
          <w:tcPr>
            <w:tcW w:w="2453" w:type="pct"/>
            <w:shd w:val="clear" w:color="auto" w:fill="auto"/>
          </w:tcPr>
          <w:p w14:paraId="0952B42E" w14:textId="77777777" w:rsidR="002F645E" w:rsidRPr="00731FE7" w:rsidRDefault="002F645E" w:rsidP="00234D7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274" w:type="pct"/>
            <w:shd w:val="clear" w:color="auto" w:fill="auto"/>
          </w:tcPr>
          <w:p w14:paraId="44D6FDD6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</w:pPr>
            <w:proofErr w:type="spellStart"/>
            <w:r w:rsidRPr="00731F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Fingolimod</w:t>
            </w:r>
            <w:proofErr w:type="spellEnd"/>
          </w:p>
          <w:p w14:paraId="06D4CC45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0,5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 mg</w:t>
            </w:r>
          </w:p>
        </w:tc>
        <w:tc>
          <w:tcPr>
            <w:tcW w:w="1273" w:type="pct"/>
            <w:shd w:val="clear" w:color="auto" w:fill="auto"/>
          </w:tcPr>
          <w:p w14:paraId="2CAD1828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Placebo</w:t>
            </w:r>
          </w:p>
        </w:tc>
      </w:tr>
      <w:tr w:rsidR="002F645E" w:rsidRPr="00731FE7" w14:paraId="12BEA0A8" w14:textId="77777777" w:rsidTr="00234D74">
        <w:trPr>
          <w:trHeight w:val="255"/>
        </w:trPr>
        <w:tc>
          <w:tcPr>
            <w:tcW w:w="2453" w:type="pct"/>
            <w:shd w:val="clear" w:color="auto" w:fill="auto"/>
          </w:tcPr>
          <w:p w14:paraId="03220402" w14:textId="77777777" w:rsidR="002F645E" w:rsidRPr="00731FE7" w:rsidRDefault="002F645E" w:rsidP="00234D74">
            <w:pPr>
              <w:ind w:left="1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Klinické ukazovatele</w:t>
            </w:r>
          </w:p>
        </w:tc>
        <w:tc>
          <w:tcPr>
            <w:tcW w:w="1274" w:type="pct"/>
            <w:shd w:val="clear" w:color="auto" w:fill="auto"/>
          </w:tcPr>
          <w:p w14:paraId="4B006D62" w14:textId="77777777" w:rsidR="002F645E" w:rsidRPr="00731FE7" w:rsidRDefault="002F645E" w:rsidP="00234D7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273" w:type="pct"/>
            <w:shd w:val="clear" w:color="auto" w:fill="auto"/>
          </w:tcPr>
          <w:p w14:paraId="6A712C55" w14:textId="77777777" w:rsidR="002F645E" w:rsidRPr="00731FE7" w:rsidRDefault="002F645E" w:rsidP="00234D7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F645E" w:rsidRPr="00731FE7" w14:paraId="5ECE99B3" w14:textId="77777777" w:rsidTr="00234D74">
        <w:trPr>
          <w:trHeight w:val="536"/>
        </w:trPr>
        <w:tc>
          <w:tcPr>
            <w:tcW w:w="2453" w:type="pct"/>
            <w:shd w:val="clear" w:color="auto" w:fill="auto"/>
          </w:tcPr>
          <w:p w14:paraId="36261676" w14:textId="77777777" w:rsidR="002F645E" w:rsidRPr="00731FE7" w:rsidRDefault="002F645E" w:rsidP="00234D74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Frekvencia </w:t>
            </w:r>
            <w:proofErr w:type="spellStart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relapsov</w:t>
            </w:r>
            <w:proofErr w:type="spellEnd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za rok (primárny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ukazovateľ)</w:t>
            </w:r>
          </w:p>
        </w:tc>
        <w:tc>
          <w:tcPr>
            <w:tcW w:w="1274" w:type="pct"/>
            <w:shd w:val="clear" w:color="auto" w:fill="auto"/>
          </w:tcPr>
          <w:p w14:paraId="6E388701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0,21**</w:t>
            </w:r>
          </w:p>
        </w:tc>
        <w:tc>
          <w:tcPr>
            <w:tcW w:w="1273" w:type="pct"/>
            <w:shd w:val="clear" w:color="auto" w:fill="auto"/>
          </w:tcPr>
          <w:p w14:paraId="09A01EE9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0,40</w:t>
            </w:r>
          </w:p>
        </w:tc>
      </w:tr>
      <w:tr w:rsidR="002F645E" w:rsidRPr="00731FE7" w14:paraId="0E68EF48" w14:textId="77777777" w:rsidTr="00234D74">
        <w:trPr>
          <w:trHeight w:val="535"/>
        </w:trPr>
        <w:tc>
          <w:tcPr>
            <w:tcW w:w="2453" w:type="pct"/>
            <w:shd w:val="clear" w:color="auto" w:fill="auto"/>
          </w:tcPr>
          <w:p w14:paraId="36EB45B0" w14:textId="77777777" w:rsidR="002F645E" w:rsidRPr="00731FE7" w:rsidRDefault="002F645E" w:rsidP="00234D74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Percentuálny podiel pacientov bez </w:t>
            </w:r>
            <w:proofErr w:type="spellStart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relapsov</w:t>
            </w:r>
            <w:proofErr w:type="spellEnd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mesiacoch</w:t>
            </w:r>
          </w:p>
        </w:tc>
        <w:tc>
          <w:tcPr>
            <w:tcW w:w="1274" w:type="pct"/>
            <w:shd w:val="clear" w:color="auto" w:fill="auto"/>
          </w:tcPr>
          <w:p w14:paraId="7ADD4CB9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71,5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%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**</w:t>
            </w:r>
          </w:p>
        </w:tc>
        <w:tc>
          <w:tcPr>
            <w:tcW w:w="1273" w:type="pct"/>
            <w:shd w:val="clear" w:color="auto" w:fill="auto"/>
          </w:tcPr>
          <w:p w14:paraId="16D5429B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52,7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%</w:t>
            </w:r>
          </w:p>
        </w:tc>
      </w:tr>
      <w:tr w:rsidR="002F645E" w:rsidRPr="00731FE7" w14:paraId="1035B95D" w14:textId="77777777" w:rsidTr="00234D74">
        <w:trPr>
          <w:trHeight w:val="812"/>
        </w:trPr>
        <w:tc>
          <w:tcPr>
            <w:tcW w:w="2453" w:type="pct"/>
            <w:shd w:val="clear" w:color="auto" w:fill="auto"/>
          </w:tcPr>
          <w:p w14:paraId="6AB04EC2" w14:textId="77777777" w:rsidR="002F645E" w:rsidRPr="00731FE7" w:rsidRDefault="002F645E" w:rsidP="00234D74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Podiel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s 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progresiou invalidizácie potvrdenou po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mesiacoch</w:t>
            </w: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>†</w:t>
            </w:r>
          </w:p>
          <w:p w14:paraId="08CA4BC3" w14:textId="77777777" w:rsidR="002F645E" w:rsidRPr="00731FE7" w:rsidRDefault="002F645E" w:rsidP="00234D74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Pomer rizika (95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%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IS)</w:t>
            </w:r>
          </w:p>
        </w:tc>
        <w:tc>
          <w:tcPr>
            <w:tcW w:w="1274" w:type="pct"/>
            <w:shd w:val="clear" w:color="auto" w:fill="auto"/>
          </w:tcPr>
          <w:p w14:paraId="53C91ECD" w14:textId="77777777" w:rsidR="002F645E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25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%</w:t>
            </w:r>
          </w:p>
          <w:p w14:paraId="65AF89B1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1A4248BC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0,83 (0,61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;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1,12)</w:t>
            </w:r>
          </w:p>
        </w:tc>
        <w:tc>
          <w:tcPr>
            <w:tcW w:w="1273" w:type="pct"/>
            <w:shd w:val="clear" w:color="auto" w:fill="auto"/>
          </w:tcPr>
          <w:p w14:paraId="7BED0A51" w14:textId="77777777" w:rsidR="002F645E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29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%</w:t>
            </w:r>
          </w:p>
          <w:p w14:paraId="4FB1C434" w14:textId="77777777" w:rsidR="002F645E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71C0E59D" w14:textId="77777777" w:rsidR="002F645E" w:rsidRPr="00731FE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F645E" w:rsidRPr="00731FE7" w14:paraId="417B422E" w14:textId="77777777" w:rsidTr="00234D74">
        <w:trPr>
          <w:trHeight w:val="255"/>
        </w:trPr>
        <w:tc>
          <w:tcPr>
            <w:tcW w:w="2453" w:type="pct"/>
            <w:shd w:val="clear" w:color="auto" w:fill="auto"/>
          </w:tcPr>
          <w:p w14:paraId="7814EC0A" w14:textId="77777777" w:rsidR="002F645E" w:rsidRPr="00731FE7" w:rsidRDefault="002F645E" w:rsidP="00234D74">
            <w:pPr>
              <w:ind w:left="12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Ukazovatele MRI</w:t>
            </w:r>
          </w:p>
        </w:tc>
        <w:tc>
          <w:tcPr>
            <w:tcW w:w="1274" w:type="pct"/>
            <w:shd w:val="clear" w:color="auto" w:fill="auto"/>
          </w:tcPr>
          <w:p w14:paraId="55B031DE" w14:textId="77777777" w:rsidR="002F645E" w:rsidRPr="00731FE7" w:rsidRDefault="002F645E" w:rsidP="00234D7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273" w:type="pct"/>
            <w:shd w:val="clear" w:color="auto" w:fill="auto"/>
          </w:tcPr>
          <w:p w14:paraId="637603C3" w14:textId="77777777" w:rsidR="002F645E" w:rsidRPr="00731FE7" w:rsidRDefault="002F645E" w:rsidP="00234D7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2F645E" w:rsidRPr="00731FE7" w14:paraId="77D97169" w14:textId="77777777" w:rsidTr="00234D74">
        <w:trPr>
          <w:trHeight w:val="525"/>
        </w:trPr>
        <w:tc>
          <w:tcPr>
            <w:tcW w:w="2453" w:type="pct"/>
            <w:shd w:val="clear" w:color="auto" w:fill="auto"/>
          </w:tcPr>
          <w:p w14:paraId="30A6BF98" w14:textId="77777777" w:rsidR="002F645E" w:rsidRPr="00273307" w:rsidRDefault="002F645E" w:rsidP="00234D74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Medián (priemer) počtu nových alebo zväčšujúcich sa T2-lézií počas 24 mesiacov</w:t>
            </w:r>
          </w:p>
        </w:tc>
        <w:tc>
          <w:tcPr>
            <w:tcW w:w="1274" w:type="pct"/>
            <w:shd w:val="clear" w:color="auto" w:fill="auto"/>
          </w:tcPr>
          <w:p w14:paraId="0810FEBE" w14:textId="77777777" w:rsidR="002F645E" w:rsidRPr="0027330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0,0 (2,3)**</w:t>
            </w:r>
          </w:p>
        </w:tc>
        <w:tc>
          <w:tcPr>
            <w:tcW w:w="1273" w:type="pct"/>
            <w:shd w:val="clear" w:color="auto" w:fill="auto"/>
          </w:tcPr>
          <w:p w14:paraId="0F096E4E" w14:textId="77777777" w:rsidR="002F645E" w:rsidRPr="0027330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4,0 (8,9)</w:t>
            </w:r>
          </w:p>
        </w:tc>
      </w:tr>
      <w:tr w:rsidR="002F645E" w:rsidRPr="00731FE7" w14:paraId="241B9C82" w14:textId="77777777" w:rsidTr="00234D74">
        <w:trPr>
          <w:trHeight w:val="526"/>
        </w:trPr>
        <w:tc>
          <w:tcPr>
            <w:tcW w:w="2453" w:type="pct"/>
            <w:shd w:val="clear" w:color="auto" w:fill="auto"/>
          </w:tcPr>
          <w:p w14:paraId="6BE0C97F" w14:textId="77777777" w:rsidR="002F645E" w:rsidRPr="00273307" w:rsidRDefault="002F645E" w:rsidP="00234D74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Medián (priemer) počtu </w:t>
            </w:r>
            <w:proofErr w:type="spellStart"/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Gd</w:t>
            </w:r>
            <w:proofErr w:type="spellEnd"/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-zvýrazňujúcich sa lézií po 24 mesiacoch</w:t>
            </w:r>
          </w:p>
        </w:tc>
        <w:tc>
          <w:tcPr>
            <w:tcW w:w="1274" w:type="pct"/>
            <w:shd w:val="clear" w:color="auto" w:fill="auto"/>
          </w:tcPr>
          <w:p w14:paraId="299EECD2" w14:textId="77777777" w:rsidR="002F645E" w:rsidRPr="0027330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0,0 (0,4)**</w:t>
            </w:r>
          </w:p>
        </w:tc>
        <w:tc>
          <w:tcPr>
            <w:tcW w:w="1273" w:type="pct"/>
            <w:shd w:val="clear" w:color="auto" w:fill="auto"/>
          </w:tcPr>
          <w:p w14:paraId="50F00C7B" w14:textId="77777777" w:rsidR="002F645E" w:rsidRPr="0027330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0,0 (1,2)</w:t>
            </w:r>
          </w:p>
        </w:tc>
      </w:tr>
      <w:tr w:rsidR="002F645E" w:rsidRPr="00731FE7" w14:paraId="589D859D" w14:textId="77777777" w:rsidTr="00234D74">
        <w:trPr>
          <w:trHeight w:val="526"/>
        </w:trPr>
        <w:tc>
          <w:tcPr>
            <w:tcW w:w="2453" w:type="pct"/>
            <w:shd w:val="clear" w:color="auto" w:fill="auto"/>
          </w:tcPr>
          <w:p w14:paraId="524FE830" w14:textId="77777777" w:rsidR="002F645E" w:rsidRPr="00273307" w:rsidRDefault="002F645E" w:rsidP="00234D74">
            <w:pPr>
              <w:ind w:left="12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Medián (priemer) % zmeny objemu mozgu počas 24 mesiacov</w:t>
            </w:r>
          </w:p>
        </w:tc>
        <w:tc>
          <w:tcPr>
            <w:tcW w:w="1274" w:type="pct"/>
            <w:shd w:val="clear" w:color="auto" w:fill="auto"/>
          </w:tcPr>
          <w:p w14:paraId="5E8B65C8" w14:textId="77777777" w:rsidR="002F645E" w:rsidRPr="0027330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-0,71 (-0,86)**</w:t>
            </w:r>
          </w:p>
        </w:tc>
        <w:tc>
          <w:tcPr>
            <w:tcW w:w="1273" w:type="pct"/>
            <w:shd w:val="clear" w:color="auto" w:fill="auto"/>
          </w:tcPr>
          <w:p w14:paraId="24CC9C86" w14:textId="77777777" w:rsidR="002F645E" w:rsidRPr="00273307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7330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-1,02 (-1,28)</w:t>
            </w:r>
          </w:p>
        </w:tc>
      </w:tr>
      <w:tr w:rsidR="002F645E" w:rsidRPr="00731FE7" w14:paraId="34004068" w14:textId="77777777" w:rsidTr="00234D74">
        <w:trPr>
          <w:trHeight w:val="526"/>
        </w:trPr>
        <w:tc>
          <w:tcPr>
            <w:tcW w:w="5000" w:type="pct"/>
            <w:gridSpan w:val="3"/>
            <w:shd w:val="clear" w:color="auto" w:fill="auto"/>
          </w:tcPr>
          <w:p w14:paraId="2E1BB612" w14:textId="77777777" w:rsidR="002F645E" w:rsidRDefault="002F645E" w:rsidP="00234D74">
            <w:pPr>
              <w:tabs>
                <w:tab w:val="left" w:pos="540"/>
              </w:tabs>
              <w:ind w:left="16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 xml:space="preserve">†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ab/>
            </w: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Progresia invalidizácie definovaná ako zvýšenie EDSS o 1 bod potvrdená 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mesiace neskôr</w:t>
            </w:r>
          </w:p>
          <w:p w14:paraId="7824A8CD" w14:textId="77777777" w:rsidR="002F645E" w:rsidRDefault="002F645E" w:rsidP="00234D74">
            <w:pPr>
              <w:tabs>
                <w:tab w:val="left" w:pos="540"/>
              </w:tabs>
              <w:ind w:left="16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**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ab/>
            </w: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p&lt; 0,001 v porovnaní 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0E4C70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placebom</w:t>
            </w:r>
          </w:p>
          <w:p w14:paraId="316CBFA1" w14:textId="77777777" w:rsidR="002F645E" w:rsidRDefault="002F645E" w:rsidP="00234D74">
            <w:pPr>
              <w:ind w:left="10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Všetky analýzy klinických ukazovateľov boli hodnotené pri liečebnom zámere (</w:t>
            </w:r>
            <w:proofErr w:type="spellStart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intent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</w:t>
            </w:r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</w:t>
            </w:r>
            <w:proofErr w:type="spellStart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treat</w:t>
            </w:r>
            <w:proofErr w:type="spellEnd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). Analýzy MRI používali </w:t>
            </w:r>
            <w:proofErr w:type="spellStart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vyhodnotiteľný</w:t>
            </w:r>
            <w:proofErr w:type="spellEnd"/>
            <w:r w:rsidRPr="00731FE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súbor údajov.</w:t>
            </w:r>
          </w:p>
        </w:tc>
      </w:tr>
    </w:tbl>
    <w:p w14:paraId="08B3A31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E852E07" w14:textId="77777777" w:rsidR="002F645E" w:rsidRPr="00731FE7" w:rsidRDefault="002F645E" w:rsidP="002F645E">
      <w:pPr>
        <w:ind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Štúdia D2302 (TRANSFORMS) bola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randomizovaná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dvojito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za</w:t>
      </w:r>
      <w:r w:rsidRPr="005B127E">
        <w:rPr>
          <w:rFonts w:ascii="Times New Roman" w:eastAsia="Times New Roman" w:hAnsi="Times New Roman" w:cs="Times New Roman"/>
          <w:sz w:val="22"/>
          <w:szCs w:val="22"/>
          <w:lang w:val="sk-SK"/>
        </w:rPr>
        <w:t>slep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ená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dvojito maskovaná, účinným liekom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1a) kontrolovaná štúdia fázy III trvajúca 1 rok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280 pacientov (n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429 pri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420 pri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431 pri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 30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µg podávanom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intramuskulárnou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injekciou raz za týždeň). Hodnoty mediánu východiskových charakteristických znakov boli: vek 36 rokov, trvanie ochorenia 5,9 roka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skóre EDSS 2,0. Záverečné výsledky sú uvedené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Tabuľke 3. Pri ukazovateľoch štúdie sa nepreukázali žiadne významné rozdiely medzi dávkami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643BFFA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0288FFE" w14:textId="77777777" w:rsidR="002F645E" w:rsidRPr="00EB58AB" w:rsidRDefault="002F645E" w:rsidP="002F645E">
      <w:pPr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EB58AB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Tabuľka 3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</w:r>
      <w:r w:rsidRPr="00EB58AB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Štúdia D2302 (TRANSFORMS): hlavné výsledky</w:t>
      </w:r>
    </w:p>
    <w:p w14:paraId="5F28E9A0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413"/>
        <w:gridCol w:w="2536"/>
      </w:tblGrid>
      <w:tr w:rsidR="002F645E" w:rsidRPr="00EB58AB" w14:paraId="01DF0FB0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DC3" w14:textId="77777777" w:rsidR="002F645E" w:rsidRPr="00EB58AB" w:rsidRDefault="002F645E" w:rsidP="00234D7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bookmarkStart w:id="22" w:name="_Hlk44421116"/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6520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proofErr w:type="spellStart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Fingolimod</w:t>
            </w:r>
            <w:proofErr w:type="spellEnd"/>
          </w:p>
          <w:p w14:paraId="3CF45ACF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5</w:t>
            </w: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mg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9D68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proofErr w:type="spellStart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Interfer</w:t>
            </w: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ón</w:t>
            </w:r>
            <w:proofErr w:type="spellEnd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 xml:space="preserve"> beta-1a</w:t>
            </w:r>
          </w:p>
          <w:p w14:paraId="673F48F7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30</w:t>
            </w: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 </w:t>
            </w:r>
            <w:proofErr w:type="spellStart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μg</w:t>
            </w:r>
            <w:proofErr w:type="spellEnd"/>
          </w:p>
        </w:tc>
      </w:tr>
      <w:tr w:rsidR="002F645E" w:rsidRPr="00EB58AB" w14:paraId="1029A402" w14:textId="77777777" w:rsidTr="00234D74">
        <w:tc>
          <w:tcPr>
            <w:tcW w:w="2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99240" w14:textId="77777777" w:rsidR="002F645E" w:rsidRPr="00215EBB" w:rsidRDefault="002F645E" w:rsidP="00385C5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Klinické ukazovatele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8DC0" w14:textId="77777777" w:rsidR="002F645E" w:rsidRPr="00EB58AB" w:rsidRDefault="002F645E" w:rsidP="00234D74">
            <w:pPr>
              <w:tabs>
                <w:tab w:val="left" w:pos="567"/>
              </w:tabs>
              <w:ind w:left="157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9D4" w14:textId="77777777" w:rsidR="002F645E" w:rsidRPr="00EB58AB" w:rsidRDefault="002F645E" w:rsidP="00234D74">
            <w:pPr>
              <w:tabs>
                <w:tab w:val="left" w:pos="567"/>
              </w:tabs>
              <w:ind w:left="172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</w:tr>
      <w:tr w:rsidR="002F645E" w:rsidRPr="00EB58AB" w14:paraId="1161E03B" w14:textId="77777777" w:rsidTr="00234D74">
        <w:tc>
          <w:tcPr>
            <w:tcW w:w="2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599F9" w14:textId="77777777" w:rsidR="002F645E" w:rsidRPr="00215EBB" w:rsidRDefault="002F645E" w:rsidP="00385C5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Frekvencia 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relapsov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za rok (primárny ukazovateľ)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B69B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16**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2749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33</w:t>
            </w:r>
          </w:p>
        </w:tc>
      </w:tr>
      <w:tr w:rsidR="002F645E" w:rsidRPr="00EB58AB" w14:paraId="675B449E" w14:textId="77777777" w:rsidTr="00234D74">
        <w:tc>
          <w:tcPr>
            <w:tcW w:w="243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40090" w14:textId="77777777" w:rsidR="002F645E" w:rsidRPr="00215EBB" w:rsidRDefault="002F645E" w:rsidP="00385C5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Percentuálny podiel pacientov bez 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relapsov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po 12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mesiacoch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78F1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83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8D4B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71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</w:t>
            </w:r>
          </w:p>
        </w:tc>
      </w:tr>
      <w:tr w:rsidR="002F645E" w:rsidRPr="00EB58AB" w14:paraId="36C62FFA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6174" w14:textId="77777777" w:rsidR="002F645E" w:rsidRPr="00215EBB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Podiel s progresiou invalidizácie potvrdenou po 3 mesiacoch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vertAlign w:val="superscript"/>
                <w:lang w:val="sk-SK" w:eastAsia="en-US"/>
              </w:rPr>
              <w:t>†</w:t>
            </w:r>
          </w:p>
          <w:p w14:paraId="2CFB62E1" w14:textId="77777777" w:rsidR="002F645E" w:rsidRPr="00EB58AB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lastRenderedPageBreak/>
              <w:t>Pomer rizika (95 % IS)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D02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lastRenderedPageBreak/>
              <w:t>6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</w:t>
            </w:r>
          </w:p>
          <w:p w14:paraId="66B8D333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  <w:p w14:paraId="5B8B44AF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lastRenderedPageBreak/>
              <w:t>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71 (0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42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;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 1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21)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E2C4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lastRenderedPageBreak/>
              <w:t>8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 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%</w:t>
            </w:r>
          </w:p>
        </w:tc>
      </w:tr>
      <w:tr w:rsidR="002F645E" w:rsidRPr="00EB58AB" w14:paraId="7480AEDB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B31" w14:textId="77777777" w:rsidR="002F645E" w:rsidRPr="00EB58AB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 xml:space="preserve">Ukazovatele </w:t>
            </w:r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MRI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AAE" w14:textId="77777777" w:rsidR="002F645E" w:rsidRPr="00EB58AB" w:rsidRDefault="002F645E" w:rsidP="00234D74">
            <w:pPr>
              <w:tabs>
                <w:tab w:val="left" w:pos="567"/>
              </w:tabs>
              <w:ind w:left="157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3FF" w14:textId="77777777" w:rsidR="002F645E" w:rsidRPr="00EB58AB" w:rsidRDefault="002F645E" w:rsidP="00234D74">
            <w:pPr>
              <w:tabs>
                <w:tab w:val="left" w:pos="567"/>
              </w:tabs>
              <w:ind w:left="172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</w:tr>
      <w:tr w:rsidR="002F645E" w:rsidRPr="00EB58AB" w14:paraId="1781D9C2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03DE" w14:textId="77777777" w:rsidR="002F645E" w:rsidRPr="00EB58AB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Medián (priemer) počtu nových alebo zväčšujúcich sa T2-lézií počas 12 mesiacov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1C51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(1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7)*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F98A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1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(2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6)</w:t>
            </w:r>
          </w:p>
        </w:tc>
      </w:tr>
      <w:tr w:rsidR="002F645E" w:rsidRPr="00EB58AB" w14:paraId="66937D6C" w14:textId="77777777" w:rsidTr="00234D74">
        <w:tc>
          <w:tcPr>
            <w:tcW w:w="2430" w:type="pct"/>
            <w:shd w:val="clear" w:color="auto" w:fill="auto"/>
            <w:hideMark/>
          </w:tcPr>
          <w:p w14:paraId="6B8BAAE9" w14:textId="77777777" w:rsidR="002F645E" w:rsidRPr="00215EBB" w:rsidRDefault="002F645E" w:rsidP="00385C5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Medián (priemer) počtu 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Gd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-zvýrazňujúcich sa lézií po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1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2 mesiacoch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8C4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2)**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753C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0 (0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5)</w:t>
            </w:r>
          </w:p>
        </w:tc>
      </w:tr>
      <w:tr w:rsidR="002F645E" w:rsidRPr="00EB58AB" w14:paraId="123EF36F" w14:textId="77777777" w:rsidTr="00234D74">
        <w:tc>
          <w:tcPr>
            <w:tcW w:w="2430" w:type="pct"/>
            <w:shd w:val="clear" w:color="auto" w:fill="auto"/>
            <w:hideMark/>
          </w:tcPr>
          <w:p w14:paraId="433F978A" w14:textId="77777777" w:rsidR="002F645E" w:rsidRPr="00215EBB" w:rsidRDefault="002F645E" w:rsidP="00385C5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Medián (priemer)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% zmeny objemu mozgu počas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1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2 mesiacov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3E8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-0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2 (-0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3)**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F61F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-0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4 (-0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,</w:t>
            </w:r>
            <w:r w:rsidRPr="00EB58A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5)</w:t>
            </w:r>
          </w:p>
        </w:tc>
      </w:tr>
      <w:tr w:rsidR="002F645E" w:rsidRPr="00EB58AB" w14:paraId="2816FAE3" w14:textId="77777777" w:rsidTr="00234D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995" w14:textId="77777777" w:rsidR="002F645E" w:rsidRPr="00215EBB" w:rsidRDefault="002F645E" w:rsidP="00385C57">
            <w:pPr>
              <w:tabs>
                <w:tab w:val="left" w:pos="313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 xml:space="preserve">† 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ab/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Progresia invalidizácie definovaná ako zvýšenie EDSS 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bod potvrdená o 3 mesiace neskôr</w:t>
            </w:r>
          </w:p>
          <w:p w14:paraId="68C99BB4" w14:textId="77777777" w:rsidR="002F645E" w:rsidRPr="00215EBB" w:rsidRDefault="002F645E" w:rsidP="00385C57">
            <w:pPr>
              <w:tabs>
                <w:tab w:val="left" w:pos="313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*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ab/>
              <w:t>p &lt; 0,01,** p &lt; 0,001 v porovnaní s 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interferónom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beta-1a</w:t>
            </w:r>
          </w:p>
          <w:p w14:paraId="19673989" w14:textId="77777777" w:rsidR="002F645E" w:rsidRPr="00EB58AB" w:rsidRDefault="002F645E" w:rsidP="00385C5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Všetky analýzy klinických ukazovateľov boli hodnotené pri liečebnom zámere (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intent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-to-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treat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). Analýzy MRI používali 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vyhodnotiteľný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súbor údajov.</w:t>
            </w:r>
          </w:p>
        </w:tc>
      </w:tr>
      <w:bookmarkEnd w:id="22"/>
    </w:tbl>
    <w:p w14:paraId="14A3A032" w14:textId="77777777" w:rsidR="002F645E" w:rsidRDefault="002F645E" w:rsidP="002F645E"/>
    <w:p w14:paraId="64456DD0" w14:textId="77777777" w:rsidR="002F645E" w:rsidRPr="00731FE7" w:rsidRDefault="002F645E" w:rsidP="002F645E">
      <w:pPr>
        <w:ind w:left="2" w:right="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Pacienti, ktorí ukončili 12 mesiacov základnej štúdie TRANSFORMS, mohli byť zaradení do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extenzie (D2302E1) so zaslepenou dávkou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dostávať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Celkovo sa extenzie zúčastnilo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030 pacientov, avšak 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týchto pacientov nedostali liečbu (n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356 pokračovalo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330 pokračovalo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167 prešlo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 na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174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 na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Po 12 mesiacoch (24. mesiac) bolo ešte stále zaradených 882 pacientov (86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Medzi 12.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24.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mesiacom ARR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pacientov, ktorí dostávali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základnej štúdii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zostali na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bola 0,20 (0,19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základnej štúdii). ARR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pacientov, ktorí prešli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 w:rsidR="006A716D">
        <w:rPr>
          <w:rFonts w:ascii="Times New Roman" w:eastAsia="Times New Roman" w:hAnsi="Times New Roman" w:cs="Times New Roman"/>
          <w:sz w:val="22"/>
          <w:szCs w:val="22"/>
          <w:lang w:val="sk-SK"/>
        </w:rPr>
        <w:noBreakHyphen/>
        <w:t>1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 na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bola 0,33 (0,48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základnej štúdii).</w:t>
      </w:r>
    </w:p>
    <w:p w14:paraId="5692A19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24F4187" w14:textId="77777777" w:rsidR="002F645E" w:rsidRPr="00731FE7" w:rsidRDefault="002F645E" w:rsidP="002F645E">
      <w:pPr>
        <w:ind w:left="2" w:right="4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Zlúčené výsledky štúdií D2301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D2302 ukázali zhodný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štatisticky významný pokles</w:t>
      </w:r>
      <w:r w:rsidR="006A716D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frekvencie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prerátanej na rok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porovnaní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komparátorom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podskupinách definovaných pohlavím, vekom, predchádzajúcou liečbou 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sklerózy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východiskovou aktivitou ochorenia alebo stupňom invalidizácie.</w:t>
      </w:r>
    </w:p>
    <w:p w14:paraId="4591C00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3814456" w14:textId="77777777" w:rsidR="002F645E" w:rsidRPr="00731FE7" w:rsidRDefault="002F645E" w:rsidP="002F645E">
      <w:pPr>
        <w:ind w:left="2" w:righ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Ďalšie analýzy údajov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klinických skúšaní ukazujú zhodné účinky liečby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podskupín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vysoko aktívnou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remitujúcou 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11273EA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99B7B57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Pediatrická populácia</w:t>
      </w:r>
    </w:p>
    <w:p w14:paraId="4CD776F2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Účinnosť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bezpečnosť dávok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0,25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podávaných raz denne (dávka určená na základe telesnej hmotnosti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merania expozície) sa stanovili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vo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veku 10 až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18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relaps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remitujúcou 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0FB008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850E482" w14:textId="77777777" w:rsidR="002F645E" w:rsidRPr="00731FE7" w:rsidRDefault="002F645E" w:rsidP="002F645E">
      <w:pPr>
        <w:ind w:left="2" w:right="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Štúdia D2311 (PARADIGMS) bola dvojito </w:t>
      </w:r>
      <w:r w:rsidRPr="005B127E">
        <w:rPr>
          <w:rFonts w:ascii="Times New Roman" w:eastAsia="Times New Roman" w:hAnsi="Times New Roman" w:cs="Times New Roman"/>
          <w:sz w:val="22"/>
          <w:szCs w:val="22"/>
          <w:lang w:val="sk-SK"/>
        </w:rPr>
        <w:t>zaslepená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dvojito maskovaná, účinným liekom kontrolovaná štúdia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premenlivým trvaním do 24 mesiacov,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215 pacientmi vo veku 10 až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18 rokov (n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107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108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 30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µg podávaným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intramuskulárnou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injekciou raz týždenne).</w:t>
      </w:r>
    </w:p>
    <w:p w14:paraId="125B2D6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EEA06CF" w14:textId="77777777" w:rsidR="002F645E" w:rsidRDefault="002F645E" w:rsidP="002F645E">
      <w:pPr>
        <w:ind w:left="2" w:right="10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Hodnoty mediánu východiskových charakteristík boli: vek 16 rokov, medián trvania choroby 1,5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roka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skóre EDSS 1,5. Väčšina pacientov mala stupeň 2 alebo vyšší podľa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Tannera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(94,4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hmotnosť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&gt;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40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kg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(95,3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Celkovo 180 (84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pacientov ukončilo základnú fázu liečby skúšaným liekom (n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=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99 [92,5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]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81 [75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]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interferónom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beta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1a). Výsledky sú uvedené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Tabuľke 4.</w:t>
      </w:r>
    </w:p>
    <w:p w14:paraId="03142219" w14:textId="77777777" w:rsidR="002F645E" w:rsidRPr="00731FE7" w:rsidRDefault="002F645E" w:rsidP="002F645E">
      <w:pPr>
        <w:ind w:left="2" w:right="10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66CC5F7" w14:textId="77777777" w:rsidR="002F645E" w:rsidRPr="00731FE7" w:rsidRDefault="002F645E" w:rsidP="002F645E">
      <w:pPr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bookmarkStart w:id="23" w:name="page23"/>
      <w:bookmarkEnd w:id="23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Tabuľka 4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Štúdia D2311 (PARADIGMS): hlavné výsledky</w:t>
      </w:r>
    </w:p>
    <w:p w14:paraId="05F36702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413"/>
        <w:gridCol w:w="2536"/>
      </w:tblGrid>
      <w:tr w:rsidR="002F645E" w:rsidRPr="00EB58AB" w14:paraId="17BBE12F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CC6" w14:textId="77777777" w:rsidR="002F645E" w:rsidRPr="00EB58AB" w:rsidRDefault="002F645E" w:rsidP="00234D74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8D9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proofErr w:type="spellStart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Fingolimod</w:t>
            </w:r>
            <w:proofErr w:type="spellEnd"/>
          </w:p>
          <w:p w14:paraId="0DFBCC69" w14:textId="77777777" w:rsidR="002F645E" w:rsidRPr="00EB58AB" w:rsidRDefault="00581723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 xml:space="preserve">0,25 mg alebo </w:t>
            </w:r>
            <w:r w:rsidR="002F645E"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0</w:t>
            </w:r>
            <w:r w:rsidR="002F645E"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,</w:t>
            </w:r>
            <w:r w:rsidR="002F645E"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5</w:t>
            </w:r>
            <w:r w:rsidR="002F645E"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 </w:t>
            </w:r>
            <w:r w:rsidR="002F645E"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mg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87E1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proofErr w:type="spellStart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Interfer</w:t>
            </w: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ón</w:t>
            </w:r>
            <w:proofErr w:type="spellEnd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 xml:space="preserve"> beta-1a</w:t>
            </w:r>
          </w:p>
          <w:p w14:paraId="40B26AE6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30</w:t>
            </w: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 </w:t>
            </w:r>
            <w:proofErr w:type="spellStart"/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μg</w:t>
            </w:r>
            <w:proofErr w:type="spellEnd"/>
          </w:p>
        </w:tc>
      </w:tr>
      <w:tr w:rsidR="002F645E" w:rsidRPr="00EB58AB" w14:paraId="6D74530C" w14:textId="77777777" w:rsidTr="00234D74">
        <w:tc>
          <w:tcPr>
            <w:tcW w:w="2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A8392" w14:textId="77777777" w:rsidR="002F645E" w:rsidRPr="00215EBB" w:rsidRDefault="002F645E" w:rsidP="0099348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k-SK"/>
              </w:rPr>
              <w:t>Klinické ukazovatele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40F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n = 107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9E1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en-GB" w:eastAsia="en-US"/>
              </w:rPr>
              <w:t>n </w:t>
            </w:r>
            <w:r w:rsidRPr="009556C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en-GB"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en-GB" w:eastAsia="en-US"/>
              </w:rPr>
              <w:t> </w:t>
            </w:r>
            <w:r w:rsidRPr="009556C6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en-GB" w:eastAsia="en-US"/>
              </w:rPr>
              <w:t>107</w:t>
            </w:r>
            <w:r w:rsidR="003C4E3B" w:rsidRPr="00573437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>#</w:t>
            </w:r>
          </w:p>
        </w:tc>
      </w:tr>
      <w:tr w:rsidR="002F645E" w:rsidRPr="00EB58AB" w14:paraId="6DF6ED86" w14:textId="77777777" w:rsidTr="00234D74">
        <w:tc>
          <w:tcPr>
            <w:tcW w:w="24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2EC4C" w14:textId="77777777" w:rsidR="002F645E" w:rsidRPr="00215EBB" w:rsidRDefault="002F645E" w:rsidP="0099348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Frekvencia 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relapsov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za rok (primárny ukazovateľ)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D9AD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122**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B949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</w:tr>
      <w:tr w:rsidR="002F645E" w:rsidRPr="00EB58AB" w14:paraId="57B092FC" w14:textId="77777777" w:rsidTr="00234D74">
        <w:tc>
          <w:tcPr>
            <w:tcW w:w="243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31CE0" w14:textId="77777777" w:rsidR="002F645E" w:rsidRPr="00215EBB" w:rsidRDefault="002F645E" w:rsidP="0099348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Percentuálny podiel pacientov bez 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relapsov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po 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4 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mesiacoch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8621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7**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824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F645E" w:rsidRPr="00EB58AB" w14:paraId="42755967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2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</w:pPr>
            <w:r w:rsidRPr="00215EB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 xml:space="preserve">Ukazovatele </w:t>
            </w:r>
            <w:r w:rsidRPr="00EB58AB">
              <w:rPr>
                <w:rFonts w:ascii="Times New Roman" w:eastAsia="Times New Roman" w:hAnsi="Times New Roman" w:cs="Times New Roman"/>
                <w:b/>
                <w:bCs/>
                <w:iCs/>
                <w:sz w:val="22"/>
                <w:szCs w:val="22"/>
                <w:lang w:val="sk-SK" w:eastAsia="en-US"/>
              </w:rPr>
              <w:t>MRI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379" w14:textId="77777777" w:rsidR="002F645E" w:rsidRPr="009556C6" w:rsidRDefault="002F645E" w:rsidP="00234D74">
            <w:pPr>
              <w:ind w:left="14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041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645E" w:rsidRPr="00EB58AB" w14:paraId="4D263FFF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8B74" w14:textId="77777777" w:rsidR="002F645E" w:rsidRPr="00EB58A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573437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lastRenderedPageBreak/>
              <w:t xml:space="preserve">Výskyt 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nových alebo </w:t>
            </w: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novo sa </w:t>
            </w:r>
            <w:r w:rsidRPr="00215EBB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 xml:space="preserve">zväčšujúcich T2-lézií </w:t>
            </w:r>
            <w:r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za rok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9C1C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B624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</w:tr>
      <w:tr w:rsidR="002F645E" w:rsidRPr="00EB58AB" w14:paraId="2863FB1F" w14:textId="77777777" w:rsidTr="00234D74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6F6" w14:textId="77777777" w:rsidR="002F645E" w:rsidRPr="00215EBB" w:rsidRDefault="002F645E" w:rsidP="0099348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573437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  <w:t>Upravený priemer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697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393**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5EB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</w:tr>
      <w:tr w:rsidR="002F645E" w:rsidRPr="00EB58AB" w14:paraId="5B7E4E75" w14:textId="77777777" w:rsidTr="00234D74">
        <w:tc>
          <w:tcPr>
            <w:tcW w:w="2430" w:type="pct"/>
            <w:shd w:val="clear" w:color="auto" w:fill="auto"/>
            <w:hideMark/>
          </w:tcPr>
          <w:p w14:paraId="1EA5ACC1" w14:textId="77777777" w:rsidR="002F645E" w:rsidRPr="00215EBB" w:rsidRDefault="002F645E" w:rsidP="0099348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oč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t 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Gd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-zvýrazňujúcich sa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T1-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lézií </w:t>
            </w: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pripadajúci na </w:t>
            </w:r>
            <w:proofErr w:type="spellStart"/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sken</w:t>
            </w:r>
            <w:proofErr w:type="spellEnd"/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mesiacov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2F72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FF41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2F645E" w:rsidRPr="00EB58AB" w14:paraId="6E2752EC" w14:textId="77777777" w:rsidTr="00234D74">
        <w:tc>
          <w:tcPr>
            <w:tcW w:w="2430" w:type="pct"/>
            <w:shd w:val="clear" w:color="auto" w:fill="auto"/>
          </w:tcPr>
          <w:p w14:paraId="1794C349" w14:textId="77777777" w:rsidR="002F645E" w:rsidRDefault="002F645E" w:rsidP="0099348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573437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/>
              </w:rPr>
              <w:t>Upravený priemer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6C2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436**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601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</w:tr>
      <w:tr w:rsidR="002F645E" w:rsidRPr="00EB58AB" w14:paraId="2F405D29" w14:textId="77777777" w:rsidTr="00234D74">
        <w:tc>
          <w:tcPr>
            <w:tcW w:w="2430" w:type="pct"/>
            <w:shd w:val="clear" w:color="auto" w:fill="auto"/>
            <w:hideMark/>
          </w:tcPr>
          <w:p w14:paraId="75A50A69" w14:textId="77777777" w:rsidR="002F645E" w:rsidRPr="00215EBB" w:rsidRDefault="002F645E" w:rsidP="0099348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Výskyt atrofie mozgu za rok oproti východiskovému stavu do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mesiacov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66E3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FF55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</w:tr>
      <w:tr w:rsidR="002F645E" w:rsidRPr="00EB58AB" w14:paraId="1D2A6374" w14:textId="77777777" w:rsidTr="00234D74">
        <w:tc>
          <w:tcPr>
            <w:tcW w:w="2430" w:type="pct"/>
            <w:shd w:val="clear" w:color="auto" w:fill="auto"/>
          </w:tcPr>
          <w:p w14:paraId="5342BC58" w14:textId="77777777" w:rsidR="002F645E" w:rsidRPr="00573437" w:rsidRDefault="002F645E" w:rsidP="0099348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Priemer metódou najmenších štvorcov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CA0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-0.48*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C1A" w14:textId="77777777" w:rsidR="002F645E" w:rsidRPr="009556C6" w:rsidRDefault="002F645E" w:rsidP="009934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56C6">
              <w:rPr>
                <w:rFonts w:ascii="Times New Roman" w:hAnsi="Times New Roman" w:cs="Times New Roman"/>
                <w:sz w:val="22"/>
                <w:szCs w:val="22"/>
              </w:rPr>
              <w:t>-0.80</w:t>
            </w:r>
          </w:p>
        </w:tc>
      </w:tr>
      <w:tr w:rsidR="002F645E" w:rsidRPr="00EB58AB" w14:paraId="32C4A755" w14:textId="77777777" w:rsidTr="00234D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2317" w14:textId="77777777" w:rsidR="002F645E" w:rsidRPr="00215EBB" w:rsidRDefault="002F645E" w:rsidP="00993488">
            <w:pPr>
              <w:tabs>
                <w:tab w:val="left" w:pos="313"/>
              </w:tabs>
              <w:ind w:left="313" w:hanging="31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573437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>#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/>
              </w:rPr>
              <w:tab/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Jeden pacient </w:t>
            </w:r>
            <w:proofErr w:type="spellStart"/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randomizovaný</w:t>
            </w:r>
            <w:proofErr w:type="spellEnd"/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na podávanie </w:t>
            </w:r>
            <w:proofErr w:type="spellStart"/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interferónu</w:t>
            </w:r>
            <w:proofErr w:type="spellEnd"/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beta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-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1a </w:t>
            </w:r>
            <w:proofErr w:type="spellStart"/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intramuskulárnou</w:t>
            </w:r>
            <w:proofErr w:type="spellEnd"/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injekciou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nebol schopný prehĺtať dvojito maskovanú medikáciu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ukončil účasť 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štúdii. Pacient bol</w:t>
            </w:r>
            <w:r>
              <w:t xml:space="preserve"> 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vylúčený z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úplného súboru na analýzu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bezpečnosť.</w:t>
            </w:r>
          </w:p>
          <w:p w14:paraId="7DED3445" w14:textId="77777777" w:rsidR="002F645E" w:rsidRPr="00215EBB" w:rsidRDefault="002F645E" w:rsidP="00993488">
            <w:pPr>
              <w:tabs>
                <w:tab w:val="left" w:pos="313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*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ab/>
              <w:t>p &lt; 0,0</w:t>
            </w:r>
            <w:r w:rsidR="00581723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5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,** p &lt; 0,001 v porovnaní s </w:t>
            </w:r>
            <w:proofErr w:type="spellStart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interferónom</w:t>
            </w:r>
            <w:proofErr w:type="spellEnd"/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beta-1a</w:t>
            </w:r>
          </w:p>
          <w:p w14:paraId="0FFB3248" w14:textId="77777777" w:rsidR="002F645E" w:rsidRPr="00EB58AB" w:rsidRDefault="002F645E" w:rsidP="00234D74">
            <w:pPr>
              <w:tabs>
                <w:tab w:val="left" w:pos="567"/>
              </w:tabs>
              <w:ind w:left="142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val="sk-SK" w:eastAsia="en-US"/>
              </w:rPr>
            </w:pP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Všetky analýzy klinických ukazovateľov </w:t>
            </w:r>
            <w:r w:rsidRPr="009556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sa vykonali s úplným súborom na analýzu</w:t>
            </w:r>
            <w:r w:rsidRPr="00215EB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</w:tr>
    </w:tbl>
    <w:p w14:paraId="3D54440B" w14:textId="77777777" w:rsidR="002F645E" w:rsidRDefault="002F645E" w:rsidP="002F645E"/>
    <w:p w14:paraId="64C31D81" w14:textId="77777777" w:rsidR="002F645E" w:rsidRDefault="002F645E" w:rsidP="002F645E">
      <w:pPr>
        <w:ind w:left="567" w:right="560" w:hanging="567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0D569C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5.2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</w:r>
      <w:proofErr w:type="spellStart"/>
      <w:r w:rsidRPr="000D569C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Farmakokinetické</w:t>
      </w:r>
      <w:proofErr w:type="spellEnd"/>
      <w:r w:rsidRPr="000D569C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vlastnosti</w:t>
      </w:r>
    </w:p>
    <w:p w14:paraId="2C4FD0F4" w14:textId="77777777" w:rsidR="002F645E" w:rsidRDefault="002F645E" w:rsidP="002F645E">
      <w:pPr>
        <w:ind w:right="56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D0FFA7C" w14:textId="77777777" w:rsidR="002F645E" w:rsidRPr="00731FE7" w:rsidRDefault="002F645E" w:rsidP="002F645E">
      <w:pPr>
        <w:ind w:right="5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Farmakokinetické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údaje sa získali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zdravých dospelých dobrovoľníkov, dospelých pacientov po transplantácii obličky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dospelých pacientov so 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3909125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C12067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Farmakologicky aktívny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zodpovedný za účinnosť je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fosfát.</w:t>
      </w:r>
    </w:p>
    <w:p w14:paraId="4A8E380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D074A1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Absorpcia</w:t>
      </w:r>
    </w:p>
    <w:p w14:paraId="2BB32CE1" w14:textId="77777777" w:rsidR="002F645E" w:rsidRPr="00731FE7" w:rsidRDefault="002F645E" w:rsidP="002F645E">
      <w:pPr>
        <w:ind w:right="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Absorpcia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je pomalá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</w:t>
      </w:r>
      <w:r w:rsidRPr="000D569C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max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12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16 hodín)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rozsiahla (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≥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85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Zdanlivá absolútna perorálna biologická dostupnosť je 93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(95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interval spoľahlivosti: 79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111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 Koncentrácie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krvi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rovnovážnom stave sa dosiahnu do 1 až 2 mesiacov pri podávaní raz denne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rovnovážne hladiny sú približne 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násobne vyššie ako po začiatočnej dávke.</w:t>
      </w:r>
    </w:p>
    <w:p w14:paraId="13CD6E4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B0BAE7F" w14:textId="77777777" w:rsidR="002F645E" w:rsidRPr="00731FE7" w:rsidRDefault="002F645E" w:rsidP="002F645E">
      <w:pPr>
        <w:tabs>
          <w:tab w:val="left" w:pos="0"/>
        </w:tabs>
        <w:ind w:right="-3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Požitie jedla nemení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</w:t>
      </w:r>
      <w:r w:rsidRPr="000D569C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max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expozíciu (AUC)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</w:t>
      </w:r>
      <w:r w:rsidRPr="000D569C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max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 sa mierne znížila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34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ale AUC sa nezmenila.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možno preto užívať bez ohľadu na jedlo (pozri časť 4.2).</w:t>
      </w:r>
    </w:p>
    <w:p w14:paraId="1A3213C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E2DAAB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Distribúcia</w:t>
      </w:r>
    </w:p>
    <w:p w14:paraId="08FBC84A" w14:textId="77777777" w:rsidR="002F645E" w:rsidRPr="00731FE7" w:rsidRDefault="002F645E" w:rsidP="002F645E">
      <w:pPr>
        <w:ind w:right="4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vo veľkej miere distribuuje do červených krviniek,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podielom 86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krvinkách.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fosfát má nižšie,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&lt;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17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vychytávanie krvinkami.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 sa vo veľkej miere viažu na bielkoviny (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&gt;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99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3E3F782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3F05B2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značnej miere distribuuje do tkanív organizmu,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distribučným objemom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200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9556C6">
        <w:rPr>
          <w:rFonts w:ascii="Times New Roman" w:eastAsia="Times New Roman" w:hAnsi="Times New Roman" w:cs="Times New Roman"/>
          <w:iCs/>
          <w:sz w:val="22"/>
          <w:szCs w:val="22"/>
          <w:lang w:val="en-GB"/>
        </w:rPr>
        <w:t>±</w:t>
      </w:r>
      <w:r>
        <w:rPr>
          <w:rFonts w:ascii="Times New Roman" w:eastAsia="Times New Roman" w:hAnsi="Times New Roman" w:cs="Times New Roman"/>
          <w:iCs/>
          <w:sz w:val="22"/>
          <w:szCs w:val="22"/>
          <w:lang w:val="en-GB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260 litrov. Štúdia so štyrmi zdravými osobami, ktoré dostali intravenózne jednorazovú dávku rádioaktívne značeného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analógu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preukázala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penetráciu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do mozgu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.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13</w:t>
      </w:r>
      <w:r w:rsidR="008A28F2" w:rsidRPr="008A28F2">
        <w:t xml:space="preserve"> 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mužskými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pacientmi so </w:t>
      </w:r>
      <w:r w:rsidR="008A28F2" w:rsidRP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skleróz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multiplex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ktorí dostávali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</w:t>
      </w:r>
      <w:r w:rsidRPr="00F22ABA">
        <w:rPr>
          <w:rFonts w:ascii="Times New Roman" w:eastAsia="Times New Roman" w:hAnsi="Times New Roman" w:cs="Times New Roman"/>
          <w:sz w:val="22"/>
          <w:szCs w:val="22"/>
          <w:lang w:val="sk-SK"/>
        </w:rPr>
        <w:t>ingolimod</w:t>
      </w:r>
      <w:proofErr w:type="spellEnd"/>
      <w:r w:rsidRPr="00F22ABA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/deň, stredné množstvo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ejakuláte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semena bolo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rovnovážnom stave približne 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000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krát nižšie ako perorálne podávaná dávka (0,5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14:paraId="56E51CB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E8A7703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24" w:name="page24"/>
      <w:bookmarkEnd w:id="24"/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Biotransformácia</w:t>
      </w:r>
      <w:proofErr w:type="spellEnd"/>
    </w:p>
    <w:p w14:paraId="11047739" w14:textId="77777777" w:rsidR="002F645E" w:rsidRPr="00731FE7" w:rsidRDefault="002F645E" w:rsidP="002F645E">
      <w:pPr>
        <w:ind w:left="2" w:right="10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ľudí transformuje reverzibilnou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stereoselektívnou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fosforyláciou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farmakologicky aktívny (S)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enantiomér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F33566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F33566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F33566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fosfátu.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eliminuje oxidatívnou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biotransformáciou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katalyzovanou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najmä prostredníctvom CYP4F2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možno iných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izoenzýmov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následnou degradáciou, podobnou ako pri mastných kyselinách, na neaktívne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Pozorovala sa aj tvorba farmakologicky neaktívnych nepolárnych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ceramidových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analógov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Hlavný enzým, ktorý sa podieľa na metabolizme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je čiastočne identifikovaný,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môže to byť buď CYP4F2, alebo CYP3A4.</w:t>
      </w:r>
    </w:p>
    <w:p w14:paraId="735E83F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BF9BF20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 jednorazovej perorálnej dávke [</w:t>
      </w:r>
      <w:r w:rsidRPr="00731FE7">
        <w:rPr>
          <w:rFonts w:ascii="Times New Roman" w:eastAsia="Times New Roman" w:hAnsi="Times New Roman" w:cs="Times New Roman"/>
          <w:sz w:val="22"/>
          <w:szCs w:val="22"/>
          <w:vertAlign w:val="superscript"/>
          <w:lang w:val="sk-SK"/>
        </w:rPr>
        <w:t>14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C]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sú hlavnými zložkami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krvi, ktoré súvisia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ako sa usudzuje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ich podielu na AUC všetkých rádioaktívne značených zložiek až do 34 dní po podaní, samotný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(23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 (10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neaktívne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charakteru karboxylovej kyseliny M3 (8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ceramidový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M29 (9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ceramidový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M30 (7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)).</w:t>
      </w:r>
    </w:p>
    <w:p w14:paraId="0725F62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6622E75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Eliminácia</w:t>
      </w:r>
    </w:p>
    <w:p w14:paraId="0F9D1FFD" w14:textId="77777777" w:rsidR="002F645E" w:rsidRPr="00731FE7" w:rsidRDefault="002F645E" w:rsidP="002F645E">
      <w:pPr>
        <w:ind w:left="2" w:right="1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Klírens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krvi je 6,3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E74839">
        <w:rPr>
          <w:rFonts w:ascii="Times New Roman" w:eastAsia="Times New Roman" w:hAnsi="Times New Roman" w:cs="Times New Roman"/>
          <w:iCs/>
          <w:sz w:val="22"/>
          <w:szCs w:val="22"/>
          <w:lang w:val="sk-SK"/>
        </w:rPr>
        <w:t>±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2,3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l/h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priemerný zdanlivý konečný polčas (t</w:t>
      </w:r>
      <w:r w:rsidRPr="000D569C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1/2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je 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–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9 dní. Hladiny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krvi klesajú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záverečnej fáze paralelne, čoho dôsledkom sú podobné polčasy oboch látok.</w:t>
      </w:r>
    </w:p>
    <w:p w14:paraId="19E0EC7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4DBD2D0" w14:textId="77777777" w:rsidR="002F645E" w:rsidRPr="00731FE7" w:rsidRDefault="002F645E" w:rsidP="002F645E">
      <w:pPr>
        <w:ind w:left="2"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 perorálnom podaní sa asi 81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dávky pomaly vylúči močom ako neaktívne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 sa močom nevylučujú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nezmenenej forme, ale sú hlavnými zložkami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stolici, pričom množstvo každého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nich predstavuje menej ako 2,5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dávky. Po 34 dňoch sa nájde 89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podanej dávky.</w:t>
      </w:r>
    </w:p>
    <w:p w14:paraId="60336A0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F76662E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Linearita</w:t>
      </w:r>
      <w:proofErr w:type="spellEnd"/>
    </w:p>
    <w:p w14:paraId="6C3AC6EE" w14:textId="77777777" w:rsidR="002F645E" w:rsidRPr="00731FE7" w:rsidRDefault="002F645E" w:rsidP="002F645E">
      <w:pPr>
        <w:ind w:left="2" w:right="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Koncentrácie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 po opakovanom podávaní dávok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1,25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raz denne sa zjavne zvyšujú úmerne dávke.</w:t>
      </w:r>
    </w:p>
    <w:p w14:paraId="25EE7899" w14:textId="77777777" w:rsidR="002F645E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</w:p>
    <w:p w14:paraId="48953ADB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Charakteristika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osobitných skupín pacientov</w:t>
      </w:r>
    </w:p>
    <w:p w14:paraId="1FFFC305" w14:textId="77777777" w:rsidR="002F645E" w:rsidRPr="00731FE7" w:rsidRDefault="002F645E" w:rsidP="002F645E">
      <w:pPr>
        <w:ind w:left="2" w:right="5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Farmakokinetika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 sa nelíši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mužov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žien,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rôzneho etnického pôvodu, alebo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ľahkou až ťažkou poruchou funkcie obličiek.</w:t>
      </w:r>
    </w:p>
    <w:p w14:paraId="31E95A07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02F95C2" w14:textId="77777777" w:rsidR="002F645E" w:rsidRPr="00731FE7" w:rsidRDefault="002F645E" w:rsidP="002F645E">
      <w:pPr>
        <w:tabs>
          <w:tab w:val="left" w:pos="215"/>
        </w:tabs>
        <w:ind w:left="2" w:right="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osôb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ľahkou, stredne ťažkou alebo ťažkou poruchou funkcie pečene (trieda A, 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C podľa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Childa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Pugha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 sa nepozorovala zmena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</w:t>
      </w:r>
      <w:r w:rsidRPr="000D569C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max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, ale AUC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príslušne zvýšila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, 44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103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%.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ťažkou poruchou funkcie pečene (trieda C podľa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Childa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Pugha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 sa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</w:t>
      </w:r>
      <w:r w:rsidRPr="000D569C">
        <w:rPr>
          <w:rFonts w:ascii="Times New Roman" w:eastAsia="Times New Roman" w:hAnsi="Times New Roman" w:cs="Times New Roman"/>
          <w:sz w:val="22"/>
          <w:szCs w:val="22"/>
          <w:vertAlign w:val="subscript"/>
          <w:lang w:val="sk-SK"/>
        </w:rPr>
        <w:t>max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 znížila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AUC sa podstatne nezmenila.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Farmakokinetika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8A28F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 sa nehodnotila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ľahkou alebo stredne ťažkou poruchou funkcie pečene. Zdanlivý polčas eliminácie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nie je zmenený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osôb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ľahkou poruchou funkcie pečene, ale predlžuje sa asi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50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so stredne ťažkou alebo ťažkou poruchou funkcie pečene.</w:t>
      </w:r>
    </w:p>
    <w:p w14:paraId="1C911DC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63111A6" w14:textId="77777777" w:rsidR="002F645E" w:rsidRPr="00731FE7" w:rsidRDefault="002F645E" w:rsidP="002F645E">
      <w:pPr>
        <w:ind w:left="2" w:right="14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nemá používať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ťažkou poruchou funkcie pečene (trieda C podľa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Childa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Pugha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 (pozri časť 4.3). Liečba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má začať opatrne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ľahkou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stredne ťažkou poruchou funkcie pečene (pozri časť 4.2).</w:t>
      </w:r>
    </w:p>
    <w:p w14:paraId="237ECE6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2C1B2CA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Klinické skúsenosti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údaje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farmakokinetike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starších ako 65 rokov sú obmedzené.</w:t>
      </w:r>
    </w:p>
    <w:p w14:paraId="6BF4DA01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1472C8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1472C8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 má používať opatrne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65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ročných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starších pacientov (pozri časť 4.2).</w:t>
      </w:r>
    </w:p>
    <w:p w14:paraId="2B5C446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DB9474A" w14:textId="77777777" w:rsidR="002F645E" w:rsidRPr="001472C8" w:rsidRDefault="002F645E" w:rsidP="002F645E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</w:pPr>
      <w:bookmarkStart w:id="25" w:name="page25"/>
      <w:bookmarkEnd w:id="25"/>
      <w:r w:rsidRPr="001472C8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Pediatrická populácia</w:t>
      </w:r>
    </w:p>
    <w:p w14:paraId="17F09EE1" w14:textId="77777777" w:rsidR="002F645E" w:rsidRPr="00731FE7" w:rsidRDefault="002F645E" w:rsidP="002F645E">
      <w:pPr>
        <w:ind w:right="4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(vo veku 10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starších) sa koncentrácie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7A733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7A733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7A733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 zjavne zvyšujú úmerne dávke medzi 0,25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050BCBA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0914639" w14:textId="77777777" w:rsidR="002F645E" w:rsidRPr="00731FE7" w:rsidRDefault="002F645E" w:rsidP="002F645E">
      <w:pPr>
        <w:ind w:right="2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Koncentrácia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</w:t>
      </w:r>
      <w:r w:rsidR="007A7332">
        <w:rPr>
          <w:rFonts w:ascii="Times New Roman" w:eastAsia="Times New Roman" w:hAnsi="Times New Roman" w:cs="Times New Roman"/>
          <w:sz w:val="22"/>
          <w:szCs w:val="22"/>
          <w:lang w:val="sk-SK"/>
        </w:rPr>
        <w:t>ó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</w:t>
      </w:r>
      <w:r w:rsidR="007A7332">
        <w:rPr>
          <w:rFonts w:ascii="Times New Roman" w:eastAsia="Times New Roman" w:hAnsi="Times New Roman" w:cs="Times New Roman"/>
          <w:sz w:val="22"/>
          <w:szCs w:val="22"/>
          <w:lang w:val="sk-SK"/>
        </w:rPr>
        <w:t>ium</w:t>
      </w:r>
      <w:proofErr w:type="spellEnd"/>
      <w:r w:rsidR="007A7332"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fosfátu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rovnovážnom stave je približne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%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nižšia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 (vo veku 10 rokov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starších) po podaní 0,25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alebo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porovnaní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koncentráciou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dospelých pacientov liečených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fingolimodom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raz denne.</w:t>
      </w:r>
    </w:p>
    <w:p w14:paraId="503FD026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B211AA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Nie sú dostupné údaje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pediatrických pacientov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adších ako 10 rokov.</w:t>
      </w:r>
    </w:p>
    <w:p w14:paraId="0008FC4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3C3B1D8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5.3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  <w:t>Predklinické údaje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bezpečnosti</w:t>
      </w:r>
    </w:p>
    <w:p w14:paraId="358A9B3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1706152" w14:textId="77777777" w:rsidR="002F645E" w:rsidRPr="00731FE7" w:rsidRDefault="002F645E" w:rsidP="002F645E">
      <w:pPr>
        <w:ind w:right="8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Predklinický bezpečnostný profil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vyhodnotil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myší, potkanov, psov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opíc. Hlavnými cieľovými orgánmi boli lymfatický systém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lymfopénia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atrofia lymfatických orgánov), pľúca (zvýšená hmotnosť, hypertrofia hladkého svalstva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oblasti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bronchoalveolárneho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prechodu)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srdce (negatívny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chronotropný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účinok, zvýšenie krvného tlaku,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perivaskulárne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zmeny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degenerácia myokardu)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viacerých druhov; krvné cievy (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vaskulopatia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 iba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potkanov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dávkach 0,15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/kg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vyšších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štúdii trvajúcej 2 roky, čo predstavuje približne 4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 hornej hranice systémovej expozície (AUC)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ľudí pri dennej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6F525B4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585BB5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Dôkazy karcinogenity sa nepozorovali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biologickom stanovení trvajúcom 2 roky na potkanoch pri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perorálnych dávkach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až do maximálnej tolerovanej dávky 2,5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/kg, čo predstavuje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približne 50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 hornej hranice systémovej expozície (AUC)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ľudí pri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 Avšak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štúdii na myšiach trvajúcej 2 roky sa zaznamenal zvýšený výskyt malígneho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lymfómu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pri dávkach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0,25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/kg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vyšších, čo predstavuje približne 6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 hornej hranice systémovej expozície (AUC)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ľudí pri dennej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3670EA1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4D2883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nebol mutagénny ani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klastogénny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štúdiách na zvieratách.</w:t>
      </w:r>
    </w:p>
    <w:p w14:paraId="3BC0A7D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8F367E6" w14:textId="77777777" w:rsidR="002F645E" w:rsidRPr="00731FE7" w:rsidRDefault="002F645E" w:rsidP="002F645E">
      <w:pPr>
        <w:ind w:right="1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nemal vplyv na počet/pohyblivosť spermií alebo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fertilitu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samcov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samíc potkana až do najvyššej testovanej dávky (10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/kg), čo predstavuje približne 150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násobok hornej hranice systémovej expozície (AUC)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ľudí pri dennej dávke 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14:paraId="5CE5D45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81116F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bol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teratogénny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potkanov pri dávkach 0,1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/kg alebo vyšších. Expozícia </w:t>
      </w:r>
      <w:r w:rsidRPr="009E072B">
        <w:rPr>
          <w:rFonts w:ascii="Times New Roman" w:eastAsia="Times New Roman" w:hAnsi="Times New Roman" w:cs="Times New Roman"/>
          <w:sz w:val="22"/>
          <w:szCs w:val="22"/>
          <w:lang w:val="sk-SK"/>
        </w:rPr>
        <w:t>liečiv</w:t>
      </w:r>
      <w:r w:rsidR="009E072B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potkanov pri tejto dávke bola podobná ako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 pri terapeutickej dávke (0,5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). Najčastejšie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malformácie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vnútorných orgánov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plodov zahŕňali pretrvávajúci </w:t>
      </w:r>
      <w:proofErr w:type="spellStart"/>
      <w:r w:rsidRPr="001472C8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truncus</w:t>
      </w:r>
      <w:proofErr w:type="spellEnd"/>
      <w:r w:rsidRPr="001472C8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1472C8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arteriosus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defekt medzikomorovej priehradky.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Teratogénny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potenciál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králikov nebolo možné úplne stanoviť,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ale zvýšená úmrtnosť embryí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fétov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pozorovala pri dávkach 1,5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/kg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vyšších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pokles počtu životaschopných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fétov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spomalenie rastu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fétov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pozorovali pri 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/kg. Expozícia liečiv</w:t>
      </w:r>
      <w:r w:rsidR="009E072B"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králikov pri týchto dávkach bola podobná ako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pacientov.</w:t>
      </w:r>
    </w:p>
    <w:p w14:paraId="42AB663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47C1288" w14:textId="77777777" w:rsidR="002F645E" w:rsidRPr="00731FE7" w:rsidRDefault="002F645E" w:rsidP="002F645E">
      <w:pPr>
        <w:ind w:right="12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potkano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znížilo prežívanie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áďat generácie F1 vo včasnom popôrodnom období pri dávkach, ktoré neboli toxické pre matky. Avšak podávanie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neovplyvnilo telesnú hmotnosť, vývin, správanie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fertilitu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generácie F1.</w:t>
      </w:r>
    </w:p>
    <w:p w14:paraId="66DFD61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4259676" w14:textId="77777777" w:rsidR="002F645E" w:rsidRPr="00731FE7" w:rsidRDefault="002F645E" w:rsidP="002F645E">
      <w:pPr>
        <w:ind w:right="56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sa pri podávaní počas laktácie vylučoval do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ieka zvierat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koncentráciách 2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až 3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-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násobne vyšších, ako sa zistili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plazme matiek.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jeho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metabolity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prestupovali placentárnu bariéru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gravidných králikov.</w:t>
      </w:r>
    </w:p>
    <w:p w14:paraId="2109FFB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7A4CB75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bookmarkStart w:id="26" w:name="page26"/>
      <w:bookmarkEnd w:id="26"/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Štúdie na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 ml</w:t>
      </w:r>
      <w:r w:rsidRPr="00731FE7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adých zvieratách</w:t>
      </w:r>
    </w:p>
    <w:p w14:paraId="281DFA28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Výsledky dvoch štúdií toxicity na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adých potkanoch ukázali malé účinky na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neurobehaviorálnu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odpoveď, spomalené pohlavné dozrievanie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zníženú imunitnú odpoveď na opakovanú stimuláciu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hemocyanínom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proofErr w:type="spellStart"/>
      <w:r w:rsidRPr="009548BD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Megathura</w:t>
      </w:r>
      <w:proofErr w:type="spellEnd"/>
      <w:r w:rsidRPr="009548BD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 xml:space="preserve"> </w:t>
      </w:r>
      <w:proofErr w:type="spellStart"/>
      <w:r w:rsidRPr="009548BD">
        <w:rPr>
          <w:rFonts w:ascii="Times New Roman" w:eastAsia="Times New Roman" w:hAnsi="Times New Roman" w:cs="Times New Roman"/>
          <w:i/>
          <w:iCs/>
          <w:sz w:val="22"/>
          <w:szCs w:val="22"/>
          <w:lang w:val="sk-SK"/>
        </w:rPr>
        <w:t>crenulata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(KLH,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keyhole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limpet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haemocyanin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), čo sa nepovažovalo za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nežiaduce. Celkovo boli účinky súvisiace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podávaním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fingolimodu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adých zvierat porovnateľné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účinkami pozorovanými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dospelých potkanov pri podobných veľkostiach dávok,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výnimkou zmien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hustoty minerálov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kostiach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neurobehaviorálnej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poruchy (znížená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úľaková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reakcia na sluchový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podnet), ktoré sa pozorovali pri dávkach 1,5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mg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/kg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vyšších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u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adých zvierat, ako aj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neprítomnosťou hypertrofie hladkého svalstva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pľúcach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 ml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adých potkanov.</w:t>
      </w:r>
    </w:p>
    <w:p w14:paraId="2112A248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2E85E26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770C847" w14:textId="77777777" w:rsidR="002F645E" w:rsidRPr="00731FE7" w:rsidRDefault="002F645E" w:rsidP="002F645E">
      <w:pPr>
        <w:numPr>
          <w:ilvl w:val="0"/>
          <w:numId w:val="13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FARMACEUTICKÉ INFORMÁCIE</w:t>
      </w:r>
    </w:p>
    <w:p w14:paraId="0CBFF18F" w14:textId="77777777" w:rsidR="002F645E" w:rsidRPr="00890B49" w:rsidRDefault="002F645E" w:rsidP="002F645E">
      <w:pPr>
        <w:rPr>
          <w:rFonts w:ascii="Times New Roman" w:eastAsia="Times New Roman" w:hAnsi="Times New Roman" w:cs="Times New Roman"/>
          <w:bCs/>
          <w:sz w:val="22"/>
          <w:szCs w:val="22"/>
          <w:lang w:val="sk-SK"/>
        </w:rPr>
      </w:pPr>
    </w:p>
    <w:p w14:paraId="3AA2C368" w14:textId="77777777" w:rsidR="002F645E" w:rsidRPr="00731FE7" w:rsidRDefault="002F645E" w:rsidP="002F645E">
      <w:pP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6.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Zoznam pomocných látok</w:t>
      </w:r>
    </w:p>
    <w:p w14:paraId="112F391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BACCAD7" w14:textId="77777777" w:rsidR="002F645E" w:rsidRPr="004467B5" w:rsidRDefault="002F645E" w:rsidP="002F645E">
      <w:pPr>
        <w:ind w:left="2"/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sk-SK"/>
        </w:rPr>
      </w:pPr>
      <w:r w:rsidRPr="004467B5"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sk-SK"/>
        </w:rPr>
        <w:t>Obsah kapsuly</w:t>
      </w:r>
    </w:p>
    <w:p w14:paraId="0EEE8482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F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osforečnan vápenatý</w:t>
      </w:r>
    </w:p>
    <w:p w14:paraId="6F5E2001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K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yselina </w:t>
      </w:r>
      <w:proofErr w:type="spellStart"/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stearová</w:t>
      </w:r>
      <w:proofErr w:type="spellEnd"/>
    </w:p>
    <w:p w14:paraId="08FEA9B9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CC1CC4A" w14:textId="77777777" w:rsidR="002F645E" w:rsidRPr="004467B5" w:rsidRDefault="002F645E" w:rsidP="002F645E">
      <w:pPr>
        <w:ind w:left="2"/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sk-SK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sk-SK"/>
        </w:rPr>
        <w:t>Obal</w:t>
      </w:r>
      <w:r w:rsidRPr="004467B5"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sk-SK"/>
        </w:rPr>
        <w:t xml:space="preserve"> kapsuly</w:t>
      </w:r>
    </w:p>
    <w:p w14:paraId="21C7018F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Želatína</w:t>
      </w:r>
    </w:p>
    <w:p w14:paraId="6A939A25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Oxid </w:t>
      </w:r>
      <w:proofErr w:type="spellStart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titaničitý</w:t>
      </w:r>
      <w:proofErr w:type="spellEnd"/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(E171)</w:t>
      </w:r>
    </w:p>
    <w:p w14:paraId="3B8D7D6B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Žltý oxid železitý (E172)</w:t>
      </w:r>
    </w:p>
    <w:p w14:paraId="3E11550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9F6C6C1" w14:textId="77777777" w:rsidR="002F645E" w:rsidRPr="005B127E" w:rsidRDefault="002F645E" w:rsidP="002F645E">
      <w:pPr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sk-SK"/>
        </w:rPr>
      </w:pPr>
      <w:bookmarkStart w:id="27" w:name="page27"/>
      <w:bookmarkEnd w:id="27"/>
      <w:r w:rsidRPr="005B127E"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sk-SK"/>
        </w:rPr>
        <w:t>Atrament na potlač</w:t>
      </w:r>
    </w:p>
    <w:p w14:paraId="4B33A737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Šelak</w:t>
      </w:r>
    </w:p>
    <w:p w14:paraId="17A2BF4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Čierny oxid železitý (E172)</w:t>
      </w:r>
    </w:p>
    <w:p w14:paraId="5991AA0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Žltý oxid železitý (E172)</w:t>
      </w:r>
    </w:p>
    <w:p w14:paraId="44351CE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4A2602C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6.2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  <w:t>Inkompatibility</w:t>
      </w:r>
    </w:p>
    <w:p w14:paraId="24504FCD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81240D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Neaplikovateľné.</w:t>
      </w:r>
    </w:p>
    <w:p w14:paraId="2F4D677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788373F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6.3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Čas použiteľnosti</w:t>
      </w:r>
    </w:p>
    <w:p w14:paraId="4FBC49F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56F9AE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2 roky</w:t>
      </w:r>
    </w:p>
    <w:p w14:paraId="259531A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79FC3CA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6.4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Špeciálne upozornenia na uchovávanie</w:t>
      </w:r>
    </w:p>
    <w:p w14:paraId="77270594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F0DFFDE" w14:textId="77777777" w:rsidR="002F645E" w:rsidRPr="004467B5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Tento liek nevyžaduje žiadne zvláštne podmienky na uchovávanie.</w:t>
      </w:r>
    </w:p>
    <w:p w14:paraId="471DC04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B66AC26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6.5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ab/>
        <w:t>Druh obalu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a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obsah balenia</w:t>
      </w:r>
    </w:p>
    <w:p w14:paraId="0CE722C5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A2DA7CD" w14:textId="77777777" w:rsidR="002F645E" w:rsidRPr="004467B5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P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apierov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á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krabičk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a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s 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obsah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om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príslušn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ého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počt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u</w:t>
      </w: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blistrov</w:t>
      </w:r>
      <w:proofErr w:type="spellEnd"/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PVC/PE/PVDC hliníkovej fólie s príslušným počtom kapsúl a písomnou informáciou pre používateľa.</w:t>
      </w:r>
    </w:p>
    <w:p w14:paraId="648B1AD8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</w:p>
    <w:p w14:paraId="4791B339" w14:textId="77777777" w:rsidR="002F645E" w:rsidRPr="004467B5" w:rsidRDefault="002F645E" w:rsidP="002F645E">
      <w:pPr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</w:pPr>
      <w:r w:rsidRPr="004467B5">
        <w:rPr>
          <w:rFonts w:ascii="Times New Roman" w:eastAsia="Times New Roman" w:hAnsi="Times New Roman" w:cs="Times New Roman"/>
          <w:sz w:val="22"/>
          <w:szCs w:val="22"/>
          <w:u w:val="single"/>
          <w:lang w:val="sk-SK"/>
        </w:rPr>
        <w:t>Veľkosť balenia:</w:t>
      </w:r>
    </w:p>
    <w:p w14:paraId="3B957AFB" w14:textId="77777777" w:rsidR="002F645E" w:rsidRPr="004467B5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Krabičky obsahujú 28 tvrdých kapsúl.</w:t>
      </w:r>
    </w:p>
    <w:p w14:paraId="709BD0E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4A98F46" w14:textId="77777777" w:rsidR="002F645E" w:rsidRPr="00731FE7" w:rsidRDefault="002F645E" w:rsidP="002F645E">
      <w:pPr>
        <w:tabs>
          <w:tab w:val="left" w:pos="540"/>
        </w:tabs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6.6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ab/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Špeciálne opatrenia na likvidáciu</w:t>
      </w:r>
    </w:p>
    <w:p w14:paraId="17EA3F2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0869DE2" w14:textId="77777777" w:rsidR="002F645E" w:rsidRPr="00731FE7" w:rsidRDefault="002F645E" w:rsidP="002F645E">
      <w:pPr>
        <w:ind w:right="-3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Všetok nepoužitý liek alebo odpad vzniknutý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lieku sa má zlikvidovať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súlade</w:t>
      </w: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 </w:t>
      </w: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>národnými požiadavkami.</w:t>
      </w:r>
    </w:p>
    <w:p w14:paraId="1763963C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28738F0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8A0316A" w14:textId="77777777" w:rsidR="002F645E" w:rsidRPr="00731FE7" w:rsidRDefault="002F645E" w:rsidP="002F645E">
      <w:pPr>
        <w:numPr>
          <w:ilvl w:val="0"/>
          <w:numId w:val="14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bookmarkStart w:id="28" w:name="page28"/>
      <w:bookmarkEnd w:id="28"/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DRŽITEĽ ROZHODNUTIA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O </w:t>
      </w: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REGISTRÁCII</w:t>
      </w:r>
    </w:p>
    <w:p w14:paraId="3494B4BB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47E64246" w14:textId="77777777" w:rsidR="002F645E" w:rsidRPr="004467B5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proofErr w:type="spellStart"/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Egis</w:t>
      </w:r>
      <w:proofErr w:type="spellEnd"/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Pharmaceuticals</w:t>
      </w:r>
      <w:proofErr w:type="spellEnd"/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PLC</w:t>
      </w:r>
    </w:p>
    <w:p w14:paraId="67895730" w14:textId="5D4AFAEB" w:rsidR="002F645E" w:rsidRPr="004467B5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110</w:t>
      </w:r>
      <w:r w:rsidR="00137106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6 Budapešť, </w:t>
      </w:r>
      <w:proofErr w:type="spellStart"/>
      <w:r w:rsidR="00137106">
        <w:rPr>
          <w:rFonts w:ascii="Times New Roman" w:eastAsia="Times New Roman" w:hAnsi="Times New Roman" w:cs="Times New Roman"/>
          <w:sz w:val="22"/>
          <w:szCs w:val="22"/>
          <w:lang w:val="sk-SK"/>
        </w:rPr>
        <w:t>Keresztúri</w:t>
      </w:r>
      <w:proofErr w:type="spellEnd"/>
      <w:r w:rsidR="00137106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137106">
        <w:rPr>
          <w:rFonts w:ascii="Times New Roman" w:eastAsia="Times New Roman" w:hAnsi="Times New Roman" w:cs="Times New Roman"/>
          <w:sz w:val="22"/>
          <w:szCs w:val="22"/>
          <w:lang w:val="sk-SK"/>
        </w:rPr>
        <w:t>út</w:t>
      </w:r>
      <w:proofErr w:type="spellEnd"/>
      <w:r w:rsidR="00137106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30-38</w:t>
      </w:r>
      <w:r w:rsidR="00C104B1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  <w:bookmarkStart w:id="29" w:name="_GoBack"/>
      <w:bookmarkEnd w:id="29"/>
    </w:p>
    <w:p w14:paraId="1AE2AB86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4467B5">
        <w:rPr>
          <w:rFonts w:ascii="Times New Roman" w:eastAsia="Times New Roman" w:hAnsi="Times New Roman" w:cs="Times New Roman"/>
          <w:sz w:val="22"/>
          <w:szCs w:val="22"/>
          <w:lang w:val="sk-SK"/>
        </w:rPr>
        <w:t>Maďarsko</w:t>
      </w:r>
    </w:p>
    <w:p w14:paraId="04DAFA6A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714B22ED" w14:textId="77777777" w:rsidR="008240D1" w:rsidRPr="00731FE7" w:rsidRDefault="008240D1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FC579F7" w14:textId="77777777" w:rsidR="002F645E" w:rsidRPr="00731FE7" w:rsidRDefault="002F645E" w:rsidP="002F645E">
      <w:pPr>
        <w:numPr>
          <w:ilvl w:val="0"/>
          <w:numId w:val="15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REGISTRAČNÉ ČÍSL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O</w:t>
      </w:r>
    </w:p>
    <w:p w14:paraId="35E4E12E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9D2148E" w14:textId="49F5AF19" w:rsidR="008240D1" w:rsidRPr="00731FE7" w:rsidRDefault="008240D1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8240D1">
        <w:rPr>
          <w:rFonts w:ascii="Times New Roman" w:eastAsia="Times New Roman" w:hAnsi="Times New Roman" w:cs="Times New Roman"/>
          <w:sz w:val="22"/>
          <w:szCs w:val="22"/>
          <w:lang w:val="sk-SK"/>
        </w:rPr>
        <w:t>59/0196/20-S</w:t>
      </w:r>
    </w:p>
    <w:p w14:paraId="289F837E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0A845431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119E7FFF" w14:textId="77777777" w:rsidR="002F645E" w:rsidRPr="00731FE7" w:rsidRDefault="002F645E" w:rsidP="002F645E">
      <w:pPr>
        <w:numPr>
          <w:ilvl w:val="0"/>
          <w:numId w:val="16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DÁTUM PRVEJ REGISTRÁCIE/PREDĹŽENIA REGISTRÁCIE</w:t>
      </w:r>
    </w:p>
    <w:p w14:paraId="08A102DA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23F714ED" w14:textId="77777777" w:rsidR="002F645E" w:rsidRPr="00731FE7" w:rsidRDefault="002F645E" w:rsidP="002F645E">
      <w:pPr>
        <w:ind w:left="2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Dátum prvej registrácie: </w:t>
      </w:r>
    </w:p>
    <w:p w14:paraId="58EA969F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3AA13963" w14:textId="77777777" w:rsidR="002F645E" w:rsidRPr="00731FE7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56236CD2" w14:textId="77777777" w:rsidR="00273307" w:rsidRPr="00273307" w:rsidRDefault="002F645E" w:rsidP="00273307">
      <w:pPr>
        <w:numPr>
          <w:ilvl w:val="0"/>
          <w:numId w:val="17"/>
        </w:numPr>
        <w:tabs>
          <w:tab w:val="left" w:pos="562"/>
        </w:tabs>
        <w:ind w:left="562" w:hanging="562"/>
        <w:rPr>
          <w:rFonts w:ascii="Times New Roman" w:eastAsia="Times New Roman" w:hAnsi="Times New Roman" w:cs="Times New Roman"/>
          <w:b/>
          <w:sz w:val="22"/>
          <w:szCs w:val="22"/>
          <w:lang w:val="sk-SK"/>
        </w:rPr>
      </w:pPr>
      <w:r w:rsidRPr="00731FE7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DÁTUM REVÍZIE TEXTU</w:t>
      </w:r>
    </w:p>
    <w:p w14:paraId="281296AC" w14:textId="77777777" w:rsidR="002F645E" w:rsidRDefault="002F645E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14:paraId="6C2B0AEA" w14:textId="77777777" w:rsidR="00273307" w:rsidRPr="00731FE7" w:rsidRDefault="00273307" w:rsidP="002F645E">
      <w:pPr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09/2020</w:t>
      </w:r>
    </w:p>
    <w:p w14:paraId="4A4EA952" w14:textId="77777777" w:rsidR="002F645E" w:rsidRDefault="002F645E" w:rsidP="007A7332"/>
    <w:sectPr w:rsidR="002F645E" w:rsidSect="00E74839">
      <w:headerReference w:type="default" r:id="rId8"/>
      <w:footerReference w:type="default" r:id="rId9"/>
      <w:pgSz w:w="11906" w:h="16838"/>
      <w:pgMar w:top="1418" w:right="1134" w:bottom="1418" w:left="1134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36DC8A" w16cid:durableId="22FC811B"/>
  <w16cid:commentId w16cid:paraId="00E0FD80" w16cid:durableId="22FC811C"/>
  <w16cid:commentId w16cid:paraId="35A440AB" w16cid:durableId="22FC8152"/>
  <w16cid:commentId w16cid:paraId="028DD7F4" w16cid:durableId="22FC811D"/>
  <w16cid:commentId w16cid:paraId="70EF03E7" w16cid:durableId="22FC8383"/>
  <w16cid:commentId w16cid:paraId="5AD7D3CC" w16cid:durableId="22FC811E"/>
  <w16cid:commentId w16cid:paraId="18B6F64D" w16cid:durableId="22FC87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E951A" w14:textId="77777777" w:rsidR="00AC65A5" w:rsidRDefault="00AC65A5" w:rsidP="00606CC8">
      <w:r>
        <w:separator/>
      </w:r>
    </w:p>
  </w:endnote>
  <w:endnote w:type="continuationSeparator" w:id="0">
    <w:p w14:paraId="3E0816E3" w14:textId="77777777" w:rsidR="00AC65A5" w:rsidRDefault="00AC65A5" w:rsidP="0060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833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1960C1A" w14:textId="77777777" w:rsidR="0037482A" w:rsidRPr="00E74839" w:rsidRDefault="0037482A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3356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356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3356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104B1" w:rsidRPr="00C104B1">
          <w:rPr>
            <w:rFonts w:ascii="Times New Roman" w:hAnsi="Times New Roman" w:cs="Times New Roman"/>
            <w:noProof/>
            <w:sz w:val="18"/>
            <w:szCs w:val="18"/>
            <w:lang w:val="sk-SK"/>
          </w:rPr>
          <w:t>23</w:t>
        </w:r>
        <w:r w:rsidRPr="00F3356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8C4BA" w14:textId="77777777" w:rsidR="00AC65A5" w:rsidRDefault="00AC65A5" w:rsidP="00606CC8">
      <w:r>
        <w:separator/>
      </w:r>
    </w:p>
  </w:footnote>
  <w:footnote w:type="continuationSeparator" w:id="0">
    <w:p w14:paraId="5FAF87B8" w14:textId="77777777" w:rsidR="00AC65A5" w:rsidRDefault="00AC65A5" w:rsidP="0060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426A1" w14:textId="77777777" w:rsidR="0037482A" w:rsidRPr="00E74839" w:rsidRDefault="0037482A">
    <w:pPr>
      <w:pStyle w:val="Hlavika"/>
      <w:rPr>
        <w:rFonts w:ascii="Times New Roman" w:hAnsi="Times New Roman" w:cs="Times New Roman"/>
        <w:sz w:val="18"/>
        <w:szCs w:val="18"/>
      </w:rPr>
    </w:pPr>
    <w:r w:rsidRPr="00C2247B">
      <w:rPr>
        <w:rFonts w:ascii="Times New Roman" w:hAnsi="Times New Roman" w:cs="Times New Roman"/>
        <w:sz w:val="18"/>
        <w:szCs w:val="18"/>
        <w:lang w:val="sk-SK"/>
      </w:rPr>
      <w:t>Schválený text k rozhodnutiu o registrácii, ev. č.: 2019/02328</w:t>
    </w:r>
    <w:r>
      <w:rPr>
        <w:rFonts w:ascii="Times New Roman" w:hAnsi="Times New Roman" w:cs="Times New Roman"/>
        <w:sz w:val="18"/>
        <w:szCs w:val="18"/>
        <w:lang w:val="sk-SK"/>
      </w:rPr>
      <w:t>-</w:t>
    </w:r>
    <w:r w:rsidRPr="00C2247B">
      <w:rPr>
        <w:rFonts w:ascii="Times New Roman" w:hAnsi="Times New Roman" w:cs="Times New Roman"/>
        <w:sz w:val="18"/>
        <w:szCs w:val="18"/>
        <w:lang w:val="sk-SK"/>
      </w:rPr>
      <w:t>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9DAF6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329993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FBFE8E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92CA7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288F1A3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2A155D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097E1B4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C"/>
    <w:multiLevelType w:val="hybridMultilevel"/>
    <w:tmpl w:val="1CA0C5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E"/>
    <w:multiLevelType w:val="hybridMultilevel"/>
    <w:tmpl w:val="415E286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5C10FE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0E7FFA2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4"/>
    <w:multiLevelType w:val="hybridMultilevel"/>
    <w:tmpl w:val="3C5991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8"/>
    <w:multiLevelType w:val="hybridMultilevel"/>
    <w:tmpl w:val="2B0D8D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A"/>
    <w:multiLevelType w:val="hybridMultilevel"/>
    <w:tmpl w:val="379E21B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B"/>
    <w:multiLevelType w:val="hybridMultilevel"/>
    <w:tmpl w:val="0069E37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C"/>
    <w:multiLevelType w:val="hybridMultilevel"/>
    <w:tmpl w:val="2C27173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D"/>
    <w:multiLevelType w:val="hybridMultilevel"/>
    <w:tmpl w:val="4C9B090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C8"/>
    <w:rsid w:val="00021F3E"/>
    <w:rsid w:val="00085F11"/>
    <w:rsid w:val="00086B2E"/>
    <w:rsid w:val="00094A39"/>
    <w:rsid w:val="000A134D"/>
    <w:rsid w:val="00137106"/>
    <w:rsid w:val="00145A3E"/>
    <w:rsid w:val="001C3CEF"/>
    <w:rsid w:val="00205C59"/>
    <w:rsid w:val="00213D79"/>
    <w:rsid w:val="00234D74"/>
    <w:rsid w:val="00262DE1"/>
    <w:rsid w:val="00273307"/>
    <w:rsid w:val="002917AB"/>
    <w:rsid w:val="002B1028"/>
    <w:rsid w:val="002C629A"/>
    <w:rsid w:val="002F645E"/>
    <w:rsid w:val="0037482A"/>
    <w:rsid w:val="00385C57"/>
    <w:rsid w:val="003C4E3B"/>
    <w:rsid w:val="004001FE"/>
    <w:rsid w:val="0043349C"/>
    <w:rsid w:val="00451384"/>
    <w:rsid w:val="00461698"/>
    <w:rsid w:val="00476570"/>
    <w:rsid w:val="0052518A"/>
    <w:rsid w:val="005704CD"/>
    <w:rsid w:val="00573E0C"/>
    <w:rsid w:val="00581723"/>
    <w:rsid w:val="005B3EB4"/>
    <w:rsid w:val="00606CC8"/>
    <w:rsid w:val="00661EE8"/>
    <w:rsid w:val="0066767A"/>
    <w:rsid w:val="006A01C1"/>
    <w:rsid w:val="006A716D"/>
    <w:rsid w:val="00753D64"/>
    <w:rsid w:val="007560B0"/>
    <w:rsid w:val="007720DC"/>
    <w:rsid w:val="007903FF"/>
    <w:rsid w:val="007A7332"/>
    <w:rsid w:val="007B1F4E"/>
    <w:rsid w:val="007F1686"/>
    <w:rsid w:val="007F1DBD"/>
    <w:rsid w:val="008240D1"/>
    <w:rsid w:val="008A22C2"/>
    <w:rsid w:val="008A28F2"/>
    <w:rsid w:val="008B0915"/>
    <w:rsid w:val="009130CB"/>
    <w:rsid w:val="009548BD"/>
    <w:rsid w:val="00993488"/>
    <w:rsid w:val="009D01D0"/>
    <w:rsid w:val="009E072B"/>
    <w:rsid w:val="009F3246"/>
    <w:rsid w:val="00A23550"/>
    <w:rsid w:val="00A97856"/>
    <w:rsid w:val="00AB473E"/>
    <w:rsid w:val="00AC65A5"/>
    <w:rsid w:val="00B82F1D"/>
    <w:rsid w:val="00C0171F"/>
    <w:rsid w:val="00C104B1"/>
    <w:rsid w:val="00C23037"/>
    <w:rsid w:val="00C260E4"/>
    <w:rsid w:val="00C73ECD"/>
    <w:rsid w:val="00CC4D9F"/>
    <w:rsid w:val="00CD1075"/>
    <w:rsid w:val="00D61938"/>
    <w:rsid w:val="00D734B4"/>
    <w:rsid w:val="00DC4470"/>
    <w:rsid w:val="00E13651"/>
    <w:rsid w:val="00E42E33"/>
    <w:rsid w:val="00E74839"/>
    <w:rsid w:val="00E8332D"/>
    <w:rsid w:val="00E978CD"/>
    <w:rsid w:val="00EF4A5B"/>
    <w:rsid w:val="00EF6C33"/>
    <w:rsid w:val="00F33566"/>
    <w:rsid w:val="00F90019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EAFA"/>
  <w15:chartTrackingRefBased/>
  <w15:docId w15:val="{2E86EA9E-5127-49C0-B18B-01A57A45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CC8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6C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CC8"/>
  </w:style>
  <w:style w:type="paragraph" w:styleId="Pta">
    <w:name w:val="footer"/>
    <w:basedOn w:val="Normlny"/>
    <w:link w:val="PtaChar"/>
    <w:uiPriority w:val="99"/>
    <w:unhideWhenUsed/>
    <w:rsid w:val="00606C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CC8"/>
  </w:style>
  <w:style w:type="paragraph" w:styleId="Textbubliny">
    <w:name w:val="Balloon Text"/>
    <w:basedOn w:val="Normlny"/>
    <w:link w:val="TextbublinyChar"/>
    <w:uiPriority w:val="99"/>
    <w:semiHidden/>
    <w:unhideWhenUsed/>
    <w:rsid w:val="00913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0CB"/>
    <w:rPr>
      <w:rFonts w:ascii="Segoe UI" w:eastAsia="Calibri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17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17A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17AB"/>
    <w:rPr>
      <w:rFonts w:ascii="Calibri" w:eastAsia="Calibri" w:hAnsi="Calibri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17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17AB"/>
    <w:rPr>
      <w:rFonts w:ascii="Calibri" w:eastAsia="Calibri" w:hAnsi="Calibri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23</Pages>
  <Words>11132</Words>
  <Characters>63457</Characters>
  <Application>Microsoft Office Word</Application>
  <DocSecurity>0</DocSecurity>
  <Lines>528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Strateny, Kamil SVK</dc:creator>
  <cp:keywords/>
  <dc:description/>
  <cp:lastModifiedBy>Kristína Ráczová</cp:lastModifiedBy>
  <cp:revision>18</cp:revision>
  <dcterms:created xsi:type="dcterms:W3CDTF">2020-08-17T09:25:00Z</dcterms:created>
  <dcterms:modified xsi:type="dcterms:W3CDTF">2020-09-16T07:51:00Z</dcterms:modified>
</cp:coreProperties>
</file>