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F2B0A" w14:textId="77777777" w:rsidR="00B750C4" w:rsidRPr="00B50F60" w:rsidRDefault="00B750C4" w:rsidP="00B83D73">
      <w:pPr>
        <w:tabs>
          <w:tab w:val="left" w:pos="567"/>
        </w:tabs>
        <w:outlineLvl w:val="0"/>
        <w:rPr>
          <w:rFonts w:ascii="Times New Roman" w:hAnsi="Times New Roman"/>
          <w:b/>
          <w:szCs w:val="22"/>
          <w:lang w:val="sk-SK"/>
        </w:rPr>
      </w:pPr>
      <w:r w:rsidRPr="00B50F60">
        <w:rPr>
          <w:rFonts w:ascii="Times New Roman" w:hAnsi="Times New Roman"/>
          <w:b/>
          <w:szCs w:val="22"/>
          <w:lang w:val="sk-SK"/>
        </w:rPr>
        <w:t>1</w:t>
      </w:r>
      <w:r w:rsidR="00B03095" w:rsidRPr="00B50F60">
        <w:rPr>
          <w:rFonts w:ascii="Times New Roman" w:hAnsi="Times New Roman"/>
          <w:b/>
          <w:szCs w:val="22"/>
          <w:lang w:val="sk-SK"/>
        </w:rPr>
        <w:t>.</w:t>
      </w:r>
      <w:r w:rsidRPr="00B50F60">
        <w:rPr>
          <w:rFonts w:ascii="Times New Roman" w:hAnsi="Times New Roman"/>
          <w:b/>
          <w:szCs w:val="22"/>
          <w:lang w:val="sk-SK"/>
        </w:rPr>
        <w:tab/>
      </w:r>
      <w:r w:rsidR="00AE1717" w:rsidRPr="00B50F60">
        <w:rPr>
          <w:rFonts w:ascii="Times New Roman" w:hAnsi="Times New Roman"/>
          <w:b/>
          <w:caps/>
          <w:szCs w:val="22"/>
          <w:lang w:val="sk-SK"/>
        </w:rPr>
        <w:t>N</w:t>
      </w:r>
      <w:r w:rsidR="006F0EC3" w:rsidRPr="00B50F60">
        <w:rPr>
          <w:rFonts w:ascii="Times New Roman" w:hAnsi="Times New Roman"/>
          <w:b/>
          <w:caps/>
          <w:szCs w:val="22"/>
          <w:lang w:val="sk-SK"/>
        </w:rPr>
        <w:t>ÁZOV LIEKU</w:t>
      </w:r>
    </w:p>
    <w:p w14:paraId="40330D87" w14:textId="77777777" w:rsidR="00B750C4" w:rsidRPr="00B50F60" w:rsidRDefault="00B750C4" w:rsidP="00ED7827">
      <w:pPr>
        <w:pStyle w:val="Standardenglisch"/>
        <w:tabs>
          <w:tab w:val="left" w:pos="567"/>
        </w:tabs>
        <w:jc w:val="both"/>
        <w:rPr>
          <w:rFonts w:ascii="Times New Roman" w:hAnsi="Times New Roman"/>
          <w:szCs w:val="22"/>
          <w:lang w:val="sk-SK"/>
        </w:rPr>
      </w:pPr>
    </w:p>
    <w:p w14:paraId="019AC74B" w14:textId="77777777" w:rsidR="00F53E72" w:rsidRPr="00B50F60" w:rsidRDefault="00A37E13" w:rsidP="00ED7827">
      <w:pPr>
        <w:rPr>
          <w:rFonts w:ascii="Times New Roman" w:hAnsi="Times New Roman"/>
          <w:szCs w:val="22"/>
          <w:lang w:val="sk-SK"/>
        </w:rPr>
      </w:pPr>
      <w:proofErr w:type="spellStart"/>
      <w:r w:rsidRPr="00B50F60">
        <w:rPr>
          <w:rFonts w:ascii="Times New Roman" w:hAnsi="Times New Roman"/>
          <w:szCs w:val="22"/>
          <w:lang w:val="sk-SK"/>
        </w:rPr>
        <w:t>Doxorubici</w:t>
      </w:r>
      <w:r w:rsidR="001E1CC2" w:rsidRPr="00B50F60">
        <w:rPr>
          <w:rFonts w:ascii="Times New Roman" w:hAnsi="Times New Roman"/>
          <w:szCs w:val="22"/>
          <w:lang w:val="sk-SK"/>
        </w:rPr>
        <w:t>n</w:t>
      </w:r>
      <w:proofErr w:type="spellEnd"/>
      <w:r w:rsidR="00F53E72" w:rsidRPr="00B50F6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="00F53E72" w:rsidRPr="00B50F60">
        <w:rPr>
          <w:rFonts w:ascii="Times New Roman" w:hAnsi="Times New Roman"/>
          <w:szCs w:val="22"/>
          <w:lang w:val="sk-SK"/>
        </w:rPr>
        <w:t>medac</w:t>
      </w:r>
      <w:proofErr w:type="spellEnd"/>
      <w:r w:rsidR="00F53E72" w:rsidRPr="00B50F60">
        <w:rPr>
          <w:rFonts w:ascii="Times New Roman" w:hAnsi="Times New Roman"/>
          <w:szCs w:val="22"/>
          <w:lang w:val="sk-SK"/>
        </w:rPr>
        <w:t xml:space="preserve"> 2</w:t>
      </w:r>
      <w:r w:rsidR="00DC57E3" w:rsidRPr="00B50F60">
        <w:rPr>
          <w:rFonts w:ascii="Times New Roman" w:hAnsi="Times New Roman"/>
          <w:szCs w:val="22"/>
          <w:lang w:val="sk-SK"/>
        </w:rPr>
        <w:t> </w:t>
      </w:r>
      <w:r w:rsidR="00F53E72" w:rsidRPr="00B50F60">
        <w:rPr>
          <w:rFonts w:ascii="Times New Roman" w:hAnsi="Times New Roman"/>
          <w:szCs w:val="22"/>
          <w:lang w:val="sk-SK"/>
        </w:rPr>
        <w:t>mg/ml infúzny roztok</w:t>
      </w:r>
    </w:p>
    <w:p w14:paraId="29DC3428" w14:textId="77777777" w:rsidR="00B750C4" w:rsidRPr="00B50F60" w:rsidRDefault="00B750C4" w:rsidP="00ED7827">
      <w:pPr>
        <w:pStyle w:val="Standardenglisch"/>
        <w:tabs>
          <w:tab w:val="left" w:pos="567"/>
        </w:tabs>
        <w:jc w:val="both"/>
        <w:rPr>
          <w:rFonts w:ascii="Times New Roman" w:hAnsi="Times New Roman"/>
          <w:szCs w:val="22"/>
          <w:lang w:val="sk-SK"/>
        </w:rPr>
      </w:pPr>
    </w:p>
    <w:p w14:paraId="7FC9A6F0" w14:textId="77777777" w:rsidR="00795247" w:rsidRPr="00B50F60" w:rsidRDefault="00795247" w:rsidP="00ED7827">
      <w:pPr>
        <w:pStyle w:val="Standardenglisch"/>
        <w:tabs>
          <w:tab w:val="left" w:pos="567"/>
        </w:tabs>
        <w:jc w:val="both"/>
        <w:rPr>
          <w:rFonts w:ascii="Times New Roman" w:hAnsi="Times New Roman"/>
          <w:szCs w:val="22"/>
          <w:lang w:val="sk-SK"/>
        </w:rPr>
      </w:pPr>
    </w:p>
    <w:p w14:paraId="76164AAB" w14:textId="77777777" w:rsidR="00B750C4" w:rsidRPr="00B50F60" w:rsidRDefault="00B750C4" w:rsidP="00B83D73">
      <w:pPr>
        <w:tabs>
          <w:tab w:val="left" w:pos="567"/>
        </w:tabs>
        <w:outlineLvl w:val="0"/>
        <w:rPr>
          <w:rFonts w:ascii="Times New Roman" w:hAnsi="Times New Roman"/>
          <w:b/>
          <w:szCs w:val="22"/>
          <w:lang w:val="sk-SK"/>
        </w:rPr>
      </w:pPr>
      <w:r w:rsidRPr="00B50F60">
        <w:rPr>
          <w:rFonts w:ascii="Times New Roman" w:hAnsi="Times New Roman"/>
          <w:b/>
          <w:szCs w:val="22"/>
          <w:lang w:val="sk-SK"/>
        </w:rPr>
        <w:t>2</w:t>
      </w:r>
      <w:r w:rsidR="00B03095" w:rsidRPr="00B50F60">
        <w:rPr>
          <w:rFonts w:ascii="Times New Roman" w:hAnsi="Times New Roman"/>
          <w:b/>
          <w:szCs w:val="22"/>
          <w:lang w:val="sk-SK"/>
        </w:rPr>
        <w:t>.</w:t>
      </w:r>
      <w:r w:rsidRPr="00B50F60">
        <w:rPr>
          <w:rFonts w:ascii="Times New Roman" w:hAnsi="Times New Roman"/>
          <w:b/>
          <w:szCs w:val="22"/>
          <w:lang w:val="sk-SK"/>
        </w:rPr>
        <w:tab/>
      </w:r>
      <w:r w:rsidR="006F0EC3" w:rsidRPr="00B50F60">
        <w:rPr>
          <w:rFonts w:ascii="Times New Roman" w:hAnsi="Times New Roman"/>
          <w:b/>
          <w:caps/>
          <w:szCs w:val="22"/>
          <w:lang w:val="sk-SK"/>
        </w:rPr>
        <w:t>KVALITATÍVNE A KVANTITATÍVNE zLOŽENIE LIEKU</w:t>
      </w:r>
    </w:p>
    <w:p w14:paraId="503B85EB" w14:textId="77777777" w:rsidR="00B750C4" w:rsidRPr="00B50F60" w:rsidRDefault="00B750C4" w:rsidP="00ED7827">
      <w:pPr>
        <w:tabs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168D75B2" w14:textId="77777777" w:rsidR="00B750C4" w:rsidRPr="00B50F60" w:rsidRDefault="00B750C4" w:rsidP="00ED7827">
      <w:pPr>
        <w:tabs>
          <w:tab w:val="left" w:pos="0"/>
          <w:tab w:val="left" w:pos="567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>1</w:t>
      </w:r>
      <w:r w:rsidR="001C7580" w:rsidRPr="00B50F60">
        <w:rPr>
          <w:rFonts w:ascii="Times New Roman" w:hAnsi="Times New Roman"/>
          <w:szCs w:val="22"/>
          <w:lang w:val="sk-SK"/>
        </w:rPr>
        <w:t> </w:t>
      </w:r>
      <w:r w:rsidRPr="00B50F60">
        <w:rPr>
          <w:rFonts w:ascii="Times New Roman" w:hAnsi="Times New Roman"/>
          <w:szCs w:val="22"/>
          <w:lang w:val="sk-SK"/>
        </w:rPr>
        <w:t xml:space="preserve">ml </w:t>
      </w:r>
      <w:r w:rsidR="00262A2A" w:rsidRPr="00B50F60">
        <w:rPr>
          <w:rFonts w:ascii="Times New Roman" w:hAnsi="Times New Roman"/>
          <w:szCs w:val="22"/>
          <w:lang w:val="sk-SK"/>
        </w:rPr>
        <w:t>obsahuje</w:t>
      </w:r>
      <w:r w:rsidRPr="00B50F60">
        <w:rPr>
          <w:rFonts w:ascii="Times New Roman" w:hAnsi="Times New Roman"/>
          <w:szCs w:val="22"/>
          <w:lang w:val="sk-SK"/>
        </w:rPr>
        <w:t xml:space="preserve"> 2</w:t>
      </w:r>
      <w:r w:rsidR="001C7580" w:rsidRPr="00B50F60">
        <w:rPr>
          <w:rFonts w:ascii="Times New Roman" w:hAnsi="Times New Roman"/>
          <w:szCs w:val="22"/>
          <w:lang w:val="sk-SK"/>
        </w:rPr>
        <w:t> </w:t>
      </w:r>
      <w:r w:rsidRPr="00B50F60">
        <w:rPr>
          <w:rFonts w:ascii="Times New Roman" w:hAnsi="Times New Roman"/>
          <w:szCs w:val="22"/>
          <w:lang w:val="sk-SK"/>
        </w:rPr>
        <w:t xml:space="preserve">mg </w:t>
      </w:r>
      <w:proofErr w:type="spellStart"/>
      <w:r w:rsidR="00262A2A" w:rsidRPr="00B50F60">
        <w:rPr>
          <w:rFonts w:ascii="Times New Roman" w:hAnsi="Times New Roman"/>
          <w:szCs w:val="22"/>
          <w:lang w:val="sk-SK"/>
        </w:rPr>
        <w:t>doxorubicí</w:t>
      </w:r>
      <w:r w:rsidRPr="00B50F60">
        <w:rPr>
          <w:rFonts w:ascii="Times New Roman" w:hAnsi="Times New Roman"/>
          <w:szCs w:val="22"/>
          <w:lang w:val="sk-SK"/>
        </w:rPr>
        <w:t>n</w:t>
      </w:r>
      <w:r w:rsidR="00987752" w:rsidRPr="00B50F60">
        <w:rPr>
          <w:rFonts w:ascii="Times New Roman" w:hAnsi="Times New Roman"/>
          <w:szCs w:val="22"/>
          <w:lang w:val="sk-SK"/>
        </w:rPr>
        <w:t>i</w:t>
      </w:r>
      <w:r w:rsidR="008F266B" w:rsidRPr="00B50F60">
        <w:rPr>
          <w:rFonts w:ascii="Times New Roman" w:hAnsi="Times New Roman"/>
          <w:szCs w:val="22"/>
          <w:lang w:val="sk-SK"/>
        </w:rPr>
        <w:t>um</w:t>
      </w:r>
      <w:r w:rsidRPr="00B50F60">
        <w:rPr>
          <w:rFonts w:ascii="Times New Roman" w:hAnsi="Times New Roman"/>
          <w:szCs w:val="22"/>
          <w:lang w:val="sk-SK"/>
        </w:rPr>
        <w:t>chlorid</w:t>
      </w:r>
      <w:r w:rsidR="00262A2A" w:rsidRPr="00B50F60">
        <w:rPr>
          <w:rFonts w:ascii="Times New Roman" w:hAnsi="Times New Roman"/>
          <w:szCs w:val="22"/>
          <w:lang w:val="sk-SK"/>
        </w:rPr>
        <w:t>u</w:t>
      </w:r>
      <w:proofErr w:type="spellEnd"/>
      <w:r w:rsidRPr="00B50F60">
        <w:rPr>
          <w:rFonts w:ascii="Times New Roman" w:hAnsi="Times New Roman"/>
          <w:szCs w:val="22"/>
          <w:lang w:val="sk-SK"/>
        </w:rPr>
        <w:t>.</w:t>
      </w:r>
    </w:p>
    <w:p w14:paraId="4BE8E1AA" w14:textId="77777777" w:rsidR="00B750C4" w:rsidRPr="00B50F60" w:rsidRDefault="00B750C4" w:rsidP="00ED7827">
      <w:pPr>
        <w:tabs>
          <w:tab w:val="left" w:pos="0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402612D8" w14:textId="77777777" w:rsidR="008E63FE" w:rsidRPr="00B50F60" w:rsidRDefault="00206951" w:rsidP="00ED7827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B50F60">
        <w:rPr>
          <w:rFonts w:ascii="Times New Roman" w:hAnsi="Times New Roman"/>
          <w:sz w:val="22"/>
          <w:szCs w:val="22"/>
          <w:lang w:val="sk-SK"/>
        </w:rPr>
        <w:t>Jedna injekčná liekovka s objemom 5</w:t>
      </w:r>
      <w:r w:rsidR="00CE22BE" w:rsidRPr="00B50F60">
        <w:rPr>
          <w:rFonts w:ascii="Times New Roman" w:hAnsi="Times New Roman"/>
          <w:sz w:val="22"/>
          <w:szCs w:val="22"/>
          <w:lang w:val="sk-SK"/>
        </w:rPr>
        <w:t> </w:t>
      </w:r>
      <w:r w:rsidRPr="00B50F60">
        <w:rPr>
          <w:rFonts w:ascii="Times New Roman" w:hAnsi="Times New Roman"/>
          <w:sz w:val="22"/>
          <w:szCs w:val="22"/>
          <w:lang w:val="sk-SK"/>
        </w:rPr>
        <w:t>ml</w:t>
      </w:r>
      <w:r w:rsidR="008E63FE" w:rsidRPr="00B50F60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B50F60">
        <w:rPr>
          <w:rFonts w:ascii="Times New Roman" w:hAnsi="Times New Roman"/>
          <w:sz w:val="22"/>
          <w:szCs w:val="22"/>
          <w:lang w:val="sk-SK"/>
        </w:rPr>
        <w:t>obsahuje 10</w:t>
      </w:r>
      <w:r w:rsidR="00CE22BE" w:rsidRPr="00B50F60">
        <w:rPr>
          <w:rFonts w:ascii="Times New Roman" w:hAnsi="Times New Roman"/>
          <w:sz w:val="22"/>
          <w:szCs w:val="22"/>
          <w:lang w:val="sk-SK"/>
        </w:rPr>
        <w:t> </w:t>
      </w:r>
      <w:r w:rsidRPr="00B50F60">
        <w:rPr>
          <w:rFonts w:ascii="Times New Roman" w:hAnsi="Times New Roman"/>
          <w:sz w:val="22"/>
          <w:szCs w:val="22"/>
          <w:lang w:val="sk-SK"/>
        </w:rPr>
        <w:t xml:space="preserve">mg </w:t>
      </w:r>
      <w:proofErr w:type="spellStart"/>
      <w:r w:rsidRPr="00B50F60">
        <w:rPr>
          <w:rFonts w:ascii="Times New Roman" w:hAnsi="Times New Roman"/>
          <w:sz w:val="22"/>
          <w:szCs w:val="22"/>
          <w:lang w:val="sk-SK"/>
        </w:rPr>
        <w:t>doxorubicín</w:t>
      </w:r>
      <w:r w:rsidR="00C844B6" w:rsidRPr="00B50F60">
        <w:rPr>
          <w:rFonts w:ascii="Times New Roman" w:hAnsi="Times New Roman"/>
          <w:sz w:val="22"/>
          <w:szCs w:val="22"/>
          <w:lang w:val="sk-SK"/>
        </w:rPr>
        <w:t>ium</w:t>
      </w:r>
      <w:r w:rsidRPr="00B50F60">
        <w:rPr>
          <w:rFonts w:ascii="Times New Roman" w:hAnsi="Times New Roman"/>
          <w:sz w:val="22"/>
          <w:szCs w:val="22"/>
          <w:lang w:val="sk-SK"/>
        </w:rPr>
        <w:t>chloridu</w:t>
      </w:r>
      <w:proofErr w:type="spellEnd"/>
      <w:r w:rsidR="008E63FE" w:rsidRPr="00B50F60">
        <w:rPr>
          <w:rFonts w:ascii="Times New Roman" w:hAnsi="Times New Roman"/>
          <w:sz w:val="22"/>
          <w:szCs w:val="22"/>
          <w:lang w:val="sk-SK"/>
        </w:rPr>
        <w:t>.</w:t>
      </w:r>
    </w:p>
    <w:p w14:paraId="0FADCB61" w14:textId="77777777" w:rsidR="00206951" w:rsidRPr="00B50F60" w:rsidRDefault="00206951" w:rsidP="00ED7827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B50F60">
        <w:rPr>
          <w:rFonts w:ascii="Times New Roman" w:hAnsi="Times New Roman"/>
          <w:sz w:val="22"/>
          <w:szCs w:val="22"/>
          <w:lang w:val="sk-SK"/>
        </w:rPr>
        <w:t>Jedna injekčná liekovka s objemom 10</w:t>
      </w:r>
      <w:r w:rsidR="00CE22BE" w:rsidRPr="00B50F60">
        <w:rPr>
          <w:rFonts w:ascii="Times New Roman" w:hAnsi="Times New Roman"/>
          <w:sz w:val="22"/>
          <w:szCs w:val="22"/>
          <w:lang w:val="sk-SK"/>
        </w:rPr>
        <w:t> </w:t>
      </w:r>
      <w:r w:rsidRPr="00B50F60">
        <w:rPr>
          <w:rFonts w:ascii="Times New Roman" w:hAnsi="Times New Roman"/>
          <w:sz w:val="22"/>
          <w:szCs w:val="22"/>
          <w:lang w:val="sk-SK"/>
        </w:rPr>
        <w:t>ml obsahuje 20</w:t>
      </w:r>
      <w:r w:rsidR="00CE22BE" w:rsidRPr="00B50F60">
        <w:rPr>
          <w:rFonts w:ascii="Times New Roman" w:hAnsi="Times New Roman"/>
          <w:sz w:val="22"/>
          <w:szCs w:val="22"/>
          <w:lang w:val="sk-SK"/>
        </w:rPr>
        <w:t> </w:t>
      </w:r>
      <w:r w:rsidRPr="00B50F60">
        <w:rPr>
          <w:rFonts w:ascii="Times New Roman" w:hAnsi="Times New Roman"/>
          <w:sz w:val="22"/>
          <w:szCs w:val="22"/>
          <w:lang w:val="sk-SK"/>
        </w:rPr>
        <w:t xml:space="preserve">mg </w:t>
      </w:r>
      <w:proofErr w:type="spellStart"/>
      <w:r w:rsidRPr="00B50F60">
        <w:rPr>
          <w:rFonts w:ascii="Times New Roman" w:hAnsi="Times New Roman"/>
          <w:sz w:val="22"/>
          <w:szCs w:val="22"/>
          <w:lang w:val="sk-SK"/>
        </w:rPr>
        <w:t>doxorubicín</w:t>
      </w:r>
      <w:r w:rsidR="00C844B6" w:rsidRPr="00B50F60">
        <w:rPr>
          <w:rFonts w:ascii="Times New Roman" w:hAnsi="Times New Roman"/>
          <w:sz w:val="22"/>
          <w:szCs w:val="22"/>
          <w:lang w:val="sk-SK"/>
        </w:rPr>
        <w:t>ium</w:t>
      </w:r>
      <w:r w:rsidRPr="00B50F60">
        <w:rPr>
          <w:rFonts w:ascii="Times New Roman" w:hAnsi="Times New Roman"/>
          <w:sz w:val="22"/>
          <w:szCs w:val="22"/>
          <w:lang w:val="sk-SK"/>
        </w:rPr>
        <w:t>chloridu</w:t>
      </w:r>
      <w:proofErr w:type="spellEnd"/>
      <w:r w:rsidRPr="00B50F60">
        <w:rPr>
          <w:rFonts w:ascii="Times New Roman" w:hAnsi="Times New Roman"/>
          <w:sz w:val="22"/>
          <w:szCs w:val="22"/>
          <w:lang w:val="sk-SK"/>
        </w:rPr>
        <w:t>.</w:t>
      </w:r>
    </w:p>
    <w:p w14:paraId="195FF2BA" w14:textId="77777777" w:rsidR="00206951" w:rsidRPr="00B50F60" w:rsidRDefault="00206951" w:rsidP="00ED7827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B50F60">
        <w:rPr>
          <w:rFonts w:ascii="Times New Roman" w:hAnsi="Times New Roman"/>
          <w:sz w:val="22"/>
          <w:szCs w:val="22"/>
          <w:lang w:val="sk-SK"/>
        </w:rPr>
        <w:t>Jedna injekčná liekovka s objemom 25</w:t>
      </w:r>
      <w:r w:rsidR="00CE22BE" w:rsidRPr="00B50F60">
        <w:rPr>
          <w:rFonts w:ascii="Times New Roman" w:hAnsi="Times New Roman"/>
          <w:sz w:val="22"/>
          <w:szCs w:val="22"/>
          <w:lang w:val="sk-SK"/>
        </w:rPr>
        <w:t> </w:t>
      </w:r>
      <w:r w:rsidRPr="00B50F60">
        <w:rPr>
          <w:rFonts w:ascii="Times New Roman" w:hAnsi="Times New Roman"/>
          <w:sz w:val="22"/>
          <w:szCs w:val="22"/>
          <w:lang w:val="sk-SK"/>
        </w:rPr>
        <w:t>ml obsahuje 50</w:t>
      </w:r>
      <w:r w:rsidR="00CE22BE" w:rsidRPr="00B50F60">
        <w:rPr>
          <w:rFonts w:ascii="Times New Roman" w:hAnsi="Times New Roman"/>
          <w:sz w:val="22"/>
          <w:szCs w:val="22"/>
          <w:lang w:val="sk-SK"/>
        </w:rPr>
        <w:t> </w:t>
      </w:r>
      <w:r w:rsidRPr="00B50F60">
        <w:rPr>
          <w:rFonts w:ascii="Times New Roman" w:hAnsi="Times New Roman"/>
          <w:sz w:val="22"/>
          <w:szCs w:val="22"/>
          <w:lang w:val="sk-SK"/>
        </w:rPr>
        <w:t xml:space="preserve">mg </w:t>
      </w:r>
      <w:proofErr w:type="spellStart"/>
      <w:r w:rsidRPr="00B50F60">
        <w:rPr>
          <w:rFonts w:ascii="Times New Roman" w:hAnsi="Times New Roman"/>
          <w:sz w:val="22"/>
          <w:szCs w:val="22"/>
          <w:lang w:val="sk-SK"/>
        </w:rPr>
        <w:t>doxorubicín</w:t>
      </w:r>
      <w:r w:rsidR="00C844B6" w:rsidRPr="00B50F60">
        <w:rPr>
          <w:rFonts w:ascii="Times New Roman" w:hAnsi="Times New Roman"/>
          <w:sz w:val="22"/>
          <w:szCs w:val="22"/>
          <w:lang w:val="sk-SK"/>
        </w:rPr>
        <w:t>ium</w:t>
      </w:r>
      <w:r w:rsidRPr="00B50F60">
        <w:rPr>
          <w:rFonts w:ascii="Times New Roman" w:hAnsi="Times New Roman"/>
          <w:sz w:val="22"/>
          <w:szCs w:val="22"/>
          <w:lang w:val="sk-SK"/>
        </w:rPr>
        <w:t>chloridu</w:t>
      </w:r>
      <w:proofErr w:type="spellEnd"/>
      <w:r w:rsidRPr="00B50F60">
        <w:rPr>
          <w:rFonts w:ascii="Times New Roman" w:hAnsi="Times New Roman"/>
          <w:sz w:val="22"/>
          <w:szCs w:val="22"/>
          <w:lang w:val="sk-SK"/>
        </w:rPr>
        <w:t>.</w:t>
      </w:r>
    </w:p>
    <w:p w14:paraId="10EF7CAD" w14:textId="77777777" w:rsidR="00206951" w:rsidRPr="00B50F60" w:rsidRDefault="00206951" w:rsidP="00ED7827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B50F60">
        <w:rPr>
          <w:rFonts w:ascii="Times New Roman" w:hAnsi="Times New Roman"/>
          <w:sz w:val="22"/>
          <w:szCs w:val="22"/>
          <w:lang w:val="sk-SK"/>
        </w:rPr>
        <w:t>Jedna injekčná liekovka s objemom 75</w:t>
      </w:r>
      <w:r w:rsidR="00CE22BE" w:rsidRPr="00B50F60">
        <w:rPr>
          <w:rFonts w:ascii="Times New Roman" w:hAnsi="Times New Roman"/>
          <w:sz w:val="22"/>
          <w:szCs w:val="22"/>
          <w:lang w:val="sk-SK"/>
        </w:rPr>
        <w:t> </w:t>
      </w:r>
      <w:r w:rsidRPr="00B50F60">
        <w:rPr>
          <w:rFonts w:ascii="Times New Roman" w:hAnsi="Times New Roman"/>
          <w:sz w:val="22"/>
          <w:szCs w:val="22"/>
          <w:lang w:val="sk-SK"/>
        </w:rPr>
        <w:t>ml obsahuje 150</w:t>
      </w:r>
      <w:r w:rsidR="00CE22BE" w:rsidRPr="00B50F60">
        <w:rPr>
          <w:rFonts w:ascii="Times New Roman" w:hAnsi="Times New Roman"/>
          <w:sz w:val="22"/>
          <w:szCs w:val="22"/>
          <w:lang w:val="sk-SK"/>
        </w:rPr>
        <w:t> </w:t>
      </w:r>
      <w:r w:rsidRPr="00B50F60">
        <w:rPr>
          <w:rFonts w:ascii="Times New Roman" w:hAnsi="Times New Roman"/>
          <w:sz w:val="22"/>
          <w:szCs w:val="22"/>
          <w:lang w:val="sk-SK"/>
        </w:rPr>
        <w:t xml:space="preserve">mg </w:t>
      </w:r>
      <w:proofErr w:type="spellStart"/>
      <w:r w:rsidRPr="00B50F60">
        <w:rPr>
          <w:rFonts w:ascii="Times New Roman" w:hAnsi="Times New Roman"/>
          <w:sz w:val="22"/>
          <w:szCs w:val="22"/>
          <w:lang w:val="sk-SK"/>
        </w:rPr>
        <w:t>doxorubicín</w:t>
      </w:r>
      <w:r w:rsidR="00C844B6" w:rsidRPr="00B50F60">
        <w:rPr>
          <w:rFonts w:ascii="Times New Roman" w:hAnsi="Times New Roman"/>
          <w:sz w:val="22"/>
          <w:szCs w:val="22"/>
          <w:lang w:val="sk-SK"/>
        </w:rPr>
        <w:t>ium</w:t>
      </w:r>
      <w:r w:rsidRPr="00B50F60">
        <w:rPr>
          <w:rFonts w:ascii="Times New Roman" w:hAnsi="Times New Roman"/>
          <w:sz w:val="22"/>
          <w:szCs w:val="22"/>
          <w:lang w:val="sk-SK"/>
        </w:rPr>
        <w:t>chloridu</w:t>
      </w:r>
      <w:proofErr w:type="spellEnd"/>
      <w:r w:rsidRPr="00B50F60">
        <w:rPr>
          <w:rFonts w:ascii="Times New Roman" w:hAnsi="Times New Roman"/>
          <w:sz w:val="22"/>
          <w:szCs w:val="22"/>
          <w:lang w:val="sk-SK"/>
        </w:rPr>
        <w:t>.</w:t>
      </w:r>
    </w:p>
    <w:p w14:paraId="4E8EA7AD" w14:textId="77777777" w:rsidR="00206951" w:rsidRPr="00B50F60" w:rsidRDefault="00206951" w:rsidP="00ED7827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B50F60">
        <w:rPr>
          <w:rFonts w:ascii="Times New Roman" w:hAnsi="Times New Roman"/>
          <w:sz w:val="22"/>
          <w:szCs w:val="22"/>
          <w:lang w:val="sk-SK"/>
        </w:rPr>
        <w:t>Jedna injekčná liekovka s objemom 100</w:t>
      </w:r>
      <w:r w:rsidR="00CE22BE" w:rsidRPr="00B50F60">
        <w:rPr>
          <w:rFonts w:ascii="Times New Roman" w:hAnsi="Times New Roman"/>
          <w:sz w:val="22"/>
          <w:szCs w:val="22"/>
          <w:lang w:val="sk-SK"/>
        </w:rPr>
        <w:t> </w:t>
      </w:r>
      <w:r w:rsidRPr="00B50F60">
        <w:rPr>
          <w:rFonts w:ascii="Times New Roman" w:hAnsi="Times New Roman"/>
          <w:sz w:val="22"/>
          <w:szCs w:val="22"/>
          <w:lang w:val="sk-SK"/>
        </w:rPr>
        <w:t>ml obsahuje 200</w:t>
      </w:r>
      <w:r w:rsidR="00CE22BE" w:rsidRPr="00B50F60">
        <w:rPr>
          <w:rFonts w:ascii="Times New Roman" w:hAnsi="Times New Roman"/>
          <w:sz w:val="22"/>
          <w:szCs w:val="22"/>
          <w:lang w:val="sk-SK"/>
        </w:rPr>
        <w:t> </w:t>
      </w:r>
      <w:r w:rsidRPr="00B50F60">
        <w:rPr>
          <w:rFonts w:ascii="Times New Roman" w:hAnsi="Times New Roman"/>
          <w:sz w:val="22"/>
          <w:szCs w:val="22"/>
          <w:lang w:val="sk-SK"/>
        </w:rPr>
        <w:t xml:space="preserve">mg </w:t>
      </w:r>
      <w:proofErr w:type="spellStart"/>
      <w:r w:rsidRPr="00B50F60">
        <w:rPr>
          <w:rFonts w:ascii="Times New Roman" w:hAnsi="Times New Roman"/>
          <w:sz w:val="22"/>
          <w:szCs w:val="22"/>
          <w:lang w:val="sk-SK"/>
        </w:rPr>
        <w:t>doxorubicín</w:t>
      </w:r>
      <w:r w:rsidR="00C844B6" w:rsidRPr="00B50F60">
        <w:rPr>
          <w:rFonts w:ascii="Times New Roman" w:hAnsi="Times New Roman"/>
          <w:sz w:val="22"/>
          <w:szCs w:val="22"/>
          <w:lang w:val="sk-SK"/>
        </w:rPr>
        <w:t>ium</w:t>
      </w:r>
      <w:r w:rsidRPr="00B50F60">
        <w:rPr>
          <w:rFonts w:ascii="Times New Roman" w:hAnsi="Times New Roman"/>
          <w:sz w:val="22"/>
          <w:szCs w:val="22"/>
          <w:lang w:val="sk-SK"/>
        </w:rPr>
        <w:t>chloridu</w:t>
      </w:r>
      <w:proofErr w:type="spellEnd"/>
      <w:r w:rsidRPr="00B50F60">
        <w:rPr>
          <w:rFonts w:ascii="Times New Roman" w:hAnsi="Times New Roman"/>
          <w:sz w:val="22"/>
          <w:szCs w:val="22"/>
          <w:lang w:val="sk-SK"/>
        </w:rPr>
        <w:t>.</w:t>
      </w:r>
    </w:p>
    <w:p w14:paraId="51C385D7" w14:textId="77777777" w:rsidR="00206951" w:rsidRPr="00B50F60" w:rsidRDefault="00206951" w:rsidP="00ED7827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54F27BD2" w14:textId="77777777" w:rsidR="00CB38A9" w:rsidRPr="00B50F60" w:rsidRDefault="00CB38A9" w:rsidP="00ED7827">
      <w:pPr>
        <w:tabs>
          <w:tab w:val="left" w:pos="567"/>
        </w:tabs>
        <w:rPr>
          <w:rFonts w:ascii="Times New Roman" w:hAnsi="Times New Roman"/>
          <w:szCs w:val="22"/>
          <w:u w:val="single"/>
          <w:lang w:val="sk-SK"/>
        </w:rPr>
      </w:pPr>
      <w:r w:rsidRPr="00B50F60">
        <w:rPr>
          <w:rFonts w:ascii="Times New Roman" w:hAnsi="Times New Roman"/>
          <w:szCs w:val="22"/>
          <w:u w:val="single"/>
          <w:lang w:val="sk-SK"/>
        </w:rPr>
        <w:t>Pomocné látky so známym účinkom:</w:t>
      </w:r>
    </w:p>
    <w:p w14:paraId="758504A6" w14:textId="77777777" w:rsidR="00B750C4" w:rsidRPr="00B50F60" w:rsidRDefault="00262A2A" w:rsidP="00ED7827">
      <w:pPr>
        <w:tabs>
          <w:tab w:val="left" w:pos="567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>Lie</w:t>
      </w:r>
      <w:r w:rsidR="00D3271F" w:rsidRPr="00B50F60">
        <w:rPr>
          <w:rFonts w:ascii="Times New Roman" w:hAnsi="Times New Roman"/>
          <w:szCs w:val="22"/>
          <w:lang w:val="sk-SK"/>
        </w:rPr>
        <w:t>k</w:t>
      </w:r>
      <w:r w:rsidRPr="00B50F60">
        <w:rPr>
          <w:rFonts w:ascii="Times New Roman" w:hAnsi="Times New Roman"/>
          <w:szCs w:val="22"/>
          <w:lang w:val="sk-SK"/>
        </w:rPr>
        <w:t xml:space="preserve"> obsahuje chlorid sodný</w:t>
      </w:r>
      <w:r w:rsidR="005A0048" w:rsidRPr="00B50F60">
        <w:rPr>
          <w:rFonts w:ascii="Times New Roman" w:hAnsi="Times New Roman"/>
          <w:szCs w:val="22"/>
          <w:lang w:val="sk-SK"/>
        </w:rPr>
        <w:t xml:space="preserve"> (3</w:t>
      </w:r>
      <w:r w:rsidRPr="00B50F60">
        <w:rPr>
          <w:rFonts w:ascii="Times New Roman" w:hAnsi="Times New Roman"/>
          <w:szCs w:val="22"/>
          <w:lang w:val="sk-SK"/>
        </w:rPr>
        <w:t>,</w:t>
      </w:r>
      <w:r w:rsidR="005A0048" w:rsidRPr="00B50F60">
        <w:rPr>
          <w:rFonts w:ascii="Times New Roman" w:hAnsi="Times New Roman"/>
          <w:szCs w:val="22"/>
          <w:lang w:val="sk-SK"/>
        </w:rPr>
        <w:t>5</w:t>
      </w:r>
      <w:r w:rsidR="00CE22BE" w:rsidRPr="00B50F60">
        <w:rPr>
          <w:rFonts w:ascii="Times New Roman" w:hAnsi="Times New Roman"/>
          <w:szCs w:val="22"/>
          <w:lang w:val="sk-SK"/>
        </w:rPr>
        <w:t> </w:t>
      </w:r>
      <w:r w:rsidR="005A0048" w:rsidRPr="00B50F60">
        <w:rPr>
          <w:rFonts w:ascii="Times New Roman" w:hAnsi="Times New Roman"/>
          <w:szCs w:val="22"/>
          <w:lang w:val="sk-SK"/>
        </w:rPr>
        <w:t>mg sod</w:t>
      </w:r>
      <w:r w:rsidRPr="00B50F60">
        <w:rPr>
          <w:rFonts w:ascii="Times New Roman" w:hAnsi="Times New Roman"/>
          <w:szCs w:val="22"/>
          <w:lang w:val="sk-SK"/>
        </w:rPr>
        <w:t>íka</w:t>
      </w:r>
      <w:r w:rsidR="005A0048" w:rsidRPr="00B50F60">
        <w:rPr>
          <w:rFonts w:ascii="Times New Roman" w:hAnsi="Times New Roman"/>
          <w:szCs w:val="22"/>
          <w:lang w:val="sk-SK"/>
        </w:rPr>
        <w:t xml:space="preserve"> </w:t>
      </w:r>
      <w:r w:rsidRPr="00B50F60">
        <w:rPr>
          <w:rFonts w:ascii="Times New Roman" w:hAnsi="Times New Roman"/>
          <w:szCs w:val="22"/>
          <w:lang w:val="sk-SK"/>
        </w:rPr>
        <w:t>v</w:t>
      </w:r>
      <w:r w:rsidR="00CE22BE" w:rsidRPr="00B50F60">
        <w:rPr>
          <w:rFonts w:ascii="Times New Roman" w:hAnsi="Times New Roman"/>
          <w:szCs w:val="22"/>
          <w:lang w:val="sk-SK"/>
        </w:rPr>
        <w:t> </w:t>
      </w:r>
      <w:r w:rsidR="005A0048" w:rsidRPr="00B50F60">
        <w:rPr>
          <w:rFonts w:ascii="Times New Roman" w:hAnsi="Times New Roman"/>
          <w:szCs w:val="22"/>
          <w:lang w:val="sk-SK"/>
        </w:rPr>
        <w:t>1</w:t>
      </w:r>
      <w:r w:rsidR="00CE22BE" w:rsidRPr="00B50F60">
        <w:rPr>
          <w:rFonts w:ascii="Times New Roman" w:hAnsi="Times New Roman"/>
          <w:szCs w:val="22"/>
          <w:lang w:val="sk-SK"/>
        </w:rPr>
        <w:t> </w:t>
      </w:r>
      <w:r w:rsidR="005A0048" w:rsidRPr="00B50F60">
        <w:rPr>
          <w:rFonts w:ascii="Times New Roman" w:hAnsi="Times New Roman"/>
          <w:szCs w:val="22"/>
          <w:lang w:val="sk-SK"/>
        </w:rPr>
        <w:t xml:space="preserve">ml). </w:t>
      </w:r>
      <w:r w:rsidRPr="00B50F60">
        <w:rPr>
          <w:rFonts w:ascii="Times New Roman" w:hAnsi="Times New Roman"/>
          <w:szCs w:val="22"/>
          <w:lang w:val="sk-SK"/>
        </w:rPr>
        <w:t>Úplný zoznam pomocných látok, pozri časť</w:t>
      </w:r>
      <w:r w:rsidR="00214540" w:rsidRPr="00B50F60">
        <w:rPr>
          <w:rFonts w:ascii="Times New Roman" w:hAnsi="Times New Roman"/>
          <w:szCs w:val="22"/>
          <w:lang w:val="sk-SK"/>
        </w:rPr>
        <w:t> </w:t>
      </w:r>
      <w:r w:rsidR="00B750C4" w:rsidRPr="00B50F60">
        <w:rPr>
          <w:rFonts w:ascii="Times New Roman" w:hAnsi="Times New Roman"/>
          <w:szCs w:val="22"/>
          <w:lang w:val="sk-SK"/>
        </w:rPr>
        <w:t>6.1</w:t>
      </w:r>
      <w:r w:rsidR="007C09BA" w:rsidRPr="00B50F60">
        <w:rPr>
          <w:rFonts w:ascii="Times New Roman" w:hAnsi="Times New Roman"/>
          <w:szCs w:val="22"/>
          <w:lang w:val="sk-SK"/>
        </w:rPr>
        <w:t>.</w:t>
      </w:r>
    </w:p>
    <w:p w14:paraId="0B103A96" w14:textId="77777777" w:rsidR="00B750C4" w:rsidRPr="00B50F60" w:rsidRDefault="00B750C4" w:rsidP="00ED7827">
      <w:pPr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08A43DB9" w14:textId="77777777" w:rsidR="00B750C4" w:rsidRPr="00B50F60" w:rsidRDefault="00B750C4" w:rsidP="00ED7827">
      <w:pPr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1FE0A2A6" w14:textId="77777777" w:rsidR="00B750C4" w:rsidRPr="00B50F60" w:rsidRDefault="00B750C4" w:rsidP="00B83D73">
      <w:pPr>
        <w:tabs>
          <w:tab w:val="left" w:pos="567"/>
        </w:tabs>
        <w:outlineLvl w:val="0"/>
        <w:rPr>
          <w:rFonts w:ascii="Times New Roman" w:hAnsi="Times New Roman"/>
          <w:b/>
          <w:szCs w:val="22"/>
          <w:lang w:val="sk-SK"/>
        </w:rPr>
      </w:pPr>
      <w:r w:rsidRPr="00B50F60">
        <w:rPr>
          <w:rFonts w:ascii="Times New Roman" w:hAnsi="Times New Roman"/>
          <w:b/>
          <w:szCs w:val="22"/>
          <w:lang w:val="sk-SK"/>
        </w:rPr>
        <w:t>3</w:t>
      </w:r>
      <w:r w:rsidR="00B03095" w:rsidRPr="00B50F60">
        <w:rPr>
          <w:rFonts w:ascii="Times New Roman" w:hAnsi="Times New Roman"/>
          <w:b/>
          <w:szCs w:val="22"/>
          <w:lang w:val="sk-SK"/>
        </w:rPr>
        <w:t>.</w:t>
      </w:r>
      <w:r w:rsidRPr="00B50F60">
        <w:rPr>
          <w:rFonts w:ascii="Times New Roman" w:hAnsi="Times New Roman"/>
          <w:b/>
          <w:szCs w:val="22"/>
          <w:lang w:val="sk-SK"/>
        </w:rPr>
        <w:tab/>
      </w:r>
      <w:r w:rsidRPr="00B50F60">
        <w:rPr>
          <w:rFonts w:ascii="Times New Roman" w:hAnsi="Times New Roman"/>
          <w:b/>
          <w:caps/>
          <w:szCs w:val="22"/>
          <w:lang w:val="sk-SK"/>
        </w:rPr>
        <w:t>l</w:t>
      </w:r>
      <w:r w:rsidR="00262A2A" w:rsidRPr="00B50F60">
        <w:rPr>
          <w:rFonts w:ascii="Times New Roman" w:hAnsi="Times New Roman"/>
          <w:b/>
          <w:caps/>
          <w:szCs w:val="22"/>
          <w:lang w:val="sk-SK"/>
        </w:rPr>
        <w:t>IEKOVÁ</w:t>
      </w:r>
      <w:r w:rsidRPr="00B50F60">
        <w:rPr>
          <w:rFonts w:ascii="Times New Roman" w:hAnsi="Times New Roman"/>
          <w:b/>
          <w:caps/>
          <w:szCs w:val="22"/>
          <w:lang w:val="sk-SK"/>
        </w:rPr>
        <w:t xml:space="preserve"> form</w:t>
      </w:r>
      <w:r w:rsidR="00262A2A" w:rsidRPr="00B50F60">
        <w:rPr>
          <w:rFonts w:ascii="Times New Roman" w:hAnsi="Times New Roman"/>
          <w:b/>
          <w:caps/>
          <w:szCs w:val="22"/>
          <w:lang w:val="sk-SK"/>
        </w:rPr>
        <w:t>A</w:t>
      </w:r>
    </w:p>
    <w:p w14:paraId="07CC75E0" w14:textId="77777777" w:rsidR="00B750C4" w:rsidRPr="00B50F60" w:rsidRDefault="00B750C4" w:rsidP="00ED7827">
      <w:pPr>
        <w:pStyle w:val="Standardenglisch"/>
        <w:tabs>
          <w:tab w:val="left" w:pos="567"/>
        </w:tabs>
        <w:jc w:val="both"/>
        <w:rPr>
          <w:rFonts w:ascii="Times New Roman" w:hAnsi="Times New Roman"/>
          <w:szCs w:val="22"/>
          <w:lang w:val="sk-SK"/>
        </w:rPr>
      </w:pPr>
    </w:p>
    <w:p w14:paraId="49D2D55C" w14:textId="77777777" w:rsidR="00B750C4" w:rsidRPr="00B50F60" w:rsidRDefault="00A37E13" w:rsidP="00ED7827">
      <w:pPr>
        <w:pStyle w:val="Standardenglisch"/>
        <w:tabs>
          <w:tab w:val="left" w:pos="0"/>
          <w:tab w:val="left" w:pos="567"/>
        </w:tabs>
        <w:jc w:val="both"/>
        <w:outlineLvl w:val="0"/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>Infúzny roztok</w:t>
      </w:r>
    </w:p>
    <w:p w14:paraId="38501319" w14:textId="77777777" w:rsidR="00C03BC2" w:rsidRPr="00B50F60" w:rsidRDefault="00C03BC2" w:rsidP="00ED7827">
      <w:pPr>
        <w:pStyle w:val="Standardenglisch"/>
        <w:tabs>
          <w:tab w:val="left" w:pos="567"/>
        </w:tabs>
        <w:jc w:val="both"/>
        <w:rPr>
          <w:rFonts w:ascii="Times New Roman" w:hAnsi="Times New Roman"/>
          <w:szCs w:val="22"/>
          <w:lang w:val="sk-SK"/>
        </w:rPr>
      </w:pPr>
    </w:p>
    <w:p w14:paraId="72F97667" w14:textId="77777777" w:rsidR="002A0EBF" w:rsidRPr="00B50F60" w:rsidRDefault="00D3271F" w:rsidP="00ED7827">
      <w:pPr>
        <w:pStyle w:val="Standardenglisch"/>
        <w:tabs>
          <w:tab w:val="left" w:pos="567"/>
        </w:tabs>
        <w:jc w:val="both"/>
        <w:outlineLvl w:val="0"/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>Li</w:t>
      </w:r>
      <w:r w:rsidR="00262A2A" w:rsidRPr="00B50F60">
        <w:rPr>
          <w:rFonts w:ascii="Times New Roman" w:hAnsi="Times New Roman"/>
          <w:szCs w:val="22"/>
          <w:lang w:val="sk-SK"/>
        </w:rPr>
        <w:t>e</w:t>
      </w:r>
      <w:r w:rsidRPr="00B50F60">
        <w:rPr>
          <w:rFonts w:ascii="Times New Roman" w:hAnsi="Times New Roman"/>
          <w:szCs w:val="22"/>
          <w:lang w:val="sk-SK"/>
        </w:rPr>
        <w:t>k</w:t>
      </w:r>
      <w:r w:rsidR="00262A2A" w:rsidRPr="00B50F60">
        <w:rPr>
          <w:rFonts w:ascii="Times New Roman" w:hAnsi="Times New Roman"/>
          <w:szCs w:val="22"/>
          <w:lang w:val="sk-SK"/>
        </w:rPr>
        <w:t xml:space="preserve"> je číry</w:t>
      </w:r>
      <w:r w:rsidR="00B91E71" w:rsidRPr="00B50F60">
        <w:rPr>
          <w:rFonts w:ascii="Times New Roman" w:hAnsi="Times New Roman"/>
          <w:szCs w:val="22"/>
          <w:lang w:val="sk-SK"/>
        </w:rPr>
        <w:t>,</w:t>
      </w:r>
      <w:r w:rsidR="00262A2A" w:rsidRPr="00B50F60">
        <w:rPr>
          <w:rFonts w:ascii="Times New Roman" w:hAnsi="Times New Roman"/>
          <w:szCs w:val="22"/>
          <w:lang w:val="sk-SK"/>
        </w:rPr>
        <w:t xml:space="preserve"> červený roztok</w:t>
      </w:r>
      <w:r w:rsidR="0085024B" w:rsidRPr="00B50F60">
        <w:rPr>
          <w:rFonts w:ascii="Times New Roman" w:hAnsi="Times New Roman"/>
          <w:szCs w:val="22"/>
          <w:lang w:val="sk-SK"/>
        </w:rPr>
        <w:t xml:space="preserve"> bez </w:t>
      </w:r>
      <w:r w:rsidR="00503864" w:rsidRPr="00B50F60">
        <w:rPr>
          <w:rFonts w:ascii="Times New Roman" w:hAnsi="Times New Roman"/>
          <w:szCs w:val="22"/>
          <w:lang w:val="sk-SK"/>
        </w:rPr>
        <w:t>čiastočiek</w:t>
      </w:r>
      <w:r w:rsidR="002A0EBF" w:rsidRPr="00B50F60">
        <w:rPr>
          <w:rFonts w:ascii="Times New Roman" w:hAnsi="Times New Roman"/>
          <w:szCs w:val="22"/>
          <w:lang w:val="sk-SK"/>
        </w:rPr>
        <w:t>.</w:t>
      </w:r>
    </w:p>
    <w:p w14:paraId="674042D4" w14:textId="77777777" w:rsidR="00B750C4" w:rsidRPr="00B50F60" w:rsidRDefault="00B750C4" w:rsidP="00ED7827">
      <w:pPr>
        <w:pStyle w:val="Standardenglisch"/>
        <w:tabs>
          <w:tab w:val="left" w:pos="567"/>
        </w:tabs>
        <w:jc w:val="both"/>
        <w:rPr>
          <w:rFonts w:ascii="Times New Roman" w:hAnsi="Times New Roman"/>
          <w:szCs w:val="22"/>
          <w:lang w:val="sk-SK"/>
        </w:rPr>
      </w:pPr>
    </w:p>
    <w:p w14:paraId="2750B122" w14:textId="77777777" w:rsidR="00BD2AC4" w:rsidRPr="00B50F60" w:rsidRDefault="00BD2AC4" w:rsidP="00ED7827">
      <w:pPr>
        <w:pStyle w:val="Standardenglisch"/>
        <w:tabs>
          <w:tab w:val="left" w:pos="567"/>
        </w:tabs>
        <w:jc w:val="both"/>
        <w:rPr>
          <w:rFonts w:ascii="Times New Roman" w:hAnsi="Times New Roman"/>
          <w:szCs w:val="22"/>
          <w:lang w:val="sk-SK"/>
        </w:rPr>
      </w:pPr>
    </w:p>
    <w:p w14:paraId="5DA83154" w14:textId="77777777" w:rsidR="00B750C4" w:rsidRPr="00B50F60" w:rsidRDefault="00B750C4" w:rsidP="00DC57E3">
      <w:pPr>
        <w:tabs>
          <w:tab w:val="left" w:pos="567"/>
        </w:tabs>
        <w:outlineLvl w:val="0"/>
        <w:rPr>
          <w:rFonts w:ascii="Times New Roman" w:hAnsi="Times New Roman"/>
          <w:b/>
          <w:szCs w:val="22"/>
          <w:lang w:val="sk-SK"/>
        </w:rPr>
      </w:pPr>
      <w:r w:rsidRPr="00B50F60">
        <w:rPr>
          <w:rFonts w:ascii="Times New Roman" w:hAnsi="Times New Roman"/>
          <w:b/>
          <w:szCs w:val="22"/>
          <w:lang w:val="sk-SK"/>
        </w:rPr>
        <w:t>4</w:t>
      </w:r>
      <w:r w:rsidR="00B03095" w:rsidRPr="00B50F60">
        <w:rPr>
          <w:rFonts w:ascii="Times New Roman" w:hAnsi="Times New Roman"/>
          <w:b/>
          <w:szCs w:val="22"/>
          <w:lang w:val="sk-SK"/>
        </w:rPr>
        <w:t>.</w:t>
      </w:r>
      <w:r w:rsidRPr="00B50F60">
        <w:rPr>
          <w:rFonts w:ascii="Times New Roman" w:hAnsi="Times New Roman"/>
          <w:b/>
          <w:szCs w:val="22"/>
          <w:lang w:val="sk-SK"/>
        </w:rPr>
        <w:tab/>
      </w:r>
      <w:r w:rsidR="00BA0A38" w:rsidRPr="00B50F60">
        <w:rPr>
          <w:rFonts w:ascii="Times New Roman" w:hAnsi="Times New Roman"/>
          <w:b/>
          <w:caps/>
          <w:szCs w:val="22"/>
          <w:lang w:val="sk-SK"/>
        </w:rPr>
        <w:t>K</w:t>
      </w:r>
      <w:r w:rsidRPr="00B50F60">
        <w:rPr>
          <w:rFonts w:ascii="Times New Roman" w:hAnsi="Times New Roman"/>
          <w:b/>
          <w:caps/>
          <w:szCs w:val="22"/>
          <w:lang w:val="sk-SK"/>
        </w:rPr>
        <w:t>linic</w:t>
      </w:r>
      <w:r w:rsidR="00BA0A38" w:rsidRPr="00B50F60">
        <w:rPr>
          <w:rFonts w:ascii="Times New Roman" w:hAnsi="Times New Roman"/>
          <w:b/>
          <w:caps/>
          <w:szCs w:val="22"/>
          <w:lang w:val="sk-SK"/>
        </w:rPr>
        <w:t>K</w:t>
      </w:r>
      <w:r w:rsidR="0085024B" w:rsidRPr="00B50F60">
        <w:rPr>
          <w:rFonts w:ascii="Times New Roman" w:hAnsi="Times New Roman"/>
          <w:b/>
          <w:caps/>
          <w:szCs w:val="22"/>
          <w:lang w:val="sk-SK"/>
        </w:rPr>
        <w:t>É</w:t>
      </w:r>
      <w:r w:rsidRPr="00B50F60">
        <w:rPr>
          <w:rFonts w:ascii="Times New Roman" w:hAnsi="Times New Roman"/>
          <w:b/>
          <w:caps/>
          <w:szCs w:val="22"/>
          <w:lang w:val="sk-SK"/>
        </w:rPr>
        <w:t xml:space="preserve"> </w:t>
      </w:r>
      <w:r w:rsidR="00BA0A38" w:rsidRPr="00B50F60">
        <w:rPr>
          <w:rFonts w:ascii="Times New Roman" w:hAnsi="Times New Roman"/>
          <w:b/>
          <w:caps/>
          <w:szCs w:val="22"/>
          <w:lang w:val="sk-SK"/>
        </w:rPr>
        <w:t>ÚDAJE</w:t>
      </w:r>
    </w:p>
    <w:p w14:paraId="18794467" w14:textId="77777777" w:rsidR="00B750C4" w:rsidRPr="00B50F60" w:rsidRDefault="00B750C4" w:rsidP="00DC57E3">
      <w:pPr>
        <w:rPr>
          <w:rFonts w:ascii="Times New Roman" w:hAnsi="Times New Roman"/>
          <w:b/>
          <w:szCs w:val="22"/>
          <w:lang w:val="sk-SK"/>
        </w:rPr>
      </w:pPr>
    </w:p>
    <w:p w14:paraId="7F41D192" w14:textId="77777777" w:rsidR="00B750C4" w:rsidRPr="00B50F60" w:rsidRDefault="00B750C4" w:rsidP="00DC57E3">
      <w:pPr>
        <w:tabs>
          <w:tab w:val="left" w:pos="567"/>
        </w:tabs>
        <w:outlineLvl w:val="0"/>
        <w:rPr>
          <w:rFonts w:ascii="Times New Roman" w:hAnsi="Times New Roman"/>
          <w:b/>
          <w:szCs w:val="22"/>
          <w:lang w:val="sk-SK"/>
        </w:rPr>
      </w:pPr>
      <w:r w:rsidRPr="00B50F60">
        <w:rPr>
          <w:rFonts w:ascii="Times New Roman" w:hAnsi="Times New Roman"/>
          <w:b/>
          <w:szCs w:val="22"/>
          <w:lang w:val="sk-SK"/>
        </w:rPr>
        <w:t>4.1</w:t>
      </w:r>
      <w:r w:rsidRPr="00B50F60">
        <w:rPr>
          <w:rFonts w:ascii="Times New Roman" w:hAnsi="Times New Roman"/>
          <w:b/>
          <w:szCs w:val="22"/>
          <w:lang w:val="sk-SK"/>
        </w:rPr>
        <w:tab/>
        <w:t>Terapeutic</w:t>
      </w:r>
      <w:r w:rsidR="00BA0A38" w:rsidRPr="00B50F60">
        <w:rPr>
          <w:rFonts w:ascii="Times New Roman" w:hAnsi="Times New Roman"/>
          <w:b/>
          <w:szCs w:val="22"/>
          <w:lang w:val="sk-SK"/>
        </w:rPr>
        <w:t>ké indikácie</w:t>
      </w:r>
    </w:p>
    <w:p w14:paraId="1B11CA0C" w14:textId="77777777" w:rsidR="00B750C4" w:rsidRPr="00B50F60" w:rsidRDefault="00B750C4" w:rsidP="00ED7827">
      <w:pPr>
        <w:ind w:left="567" w:hanging="567"/>
        <w:rPr>
          <w:rFonts w:ascii="Times New Roman" w:hAnsi="Times New Roman"/>
          <w:szCs w:val="22"/>
          <w:lang w:val="sk-SK"/>
        </w:rPr>
      </w:pPr>
    </w:p>
    <w:p w14:paraId="1480F984" w14:textId="77777777" w:rsidR="00B750C4" w:rsidRPr="00B50F60" w:rsidRDefault="007639C4" w:rsidP="00ED7827">
      <w:pPr>
        <w:pStyle w:val="Standardenglisch"/>
        <w:tabs>
          <w:tab w:val="left" w:pos="0"/>
        </w:tabs>
        <w:rPr>
          <w:rFonts w:ascii="Times New Roman" w:hAnsi="Times New Roman"/>
          <w:szCs w:val="22"/>
          <w:lang w:val="sk-SK"/>
        </w:rPr>
      </w:pPr>
      <w:proofErr w:type="spellStart"/>
      <w:r w:rsidRPr="00B50F60">
        <w:rPr>
          <w:rFonts w:ascii="Times New Roman" w:hAnsi="Times New Roman"/>
          <w:szCs w:val="22"/>
          <w:lang w:val="sk-SK"/>
        </w:rPr>
        <w:t>Doxorubicín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je </w:t>
      </w:r>
      <w:proofErr w:type="spellStart"/>
      <w:r w:rsidRPr="00B50F60">
        <w:rPr>
          <w:rFonts w:ascii="Times New Roman" w:hAnsi="Times New Roman"/>
          <w:szCs w:val="22"/>
          <w:lang w:val="sk-SK"/>
        </w:rPr>
        <w:t>cyto</w:t>
      </w:r>
      <w:r w:rsidR="005E3151" w:rsidRPr="00B50F60">
        <w:rPr>
          <w:rFonts w:ascii="Times New Roman" w:hAnsi="Times New Roman"/>
          <w:szCs w:val="22"/>
          <w:lang w:val="sk-SK"/>
        </w:rPr>
        <w:t>toxick</w:t>
      </w:r>
      <w:r w:rsidR="00514E7C" w:rsidRPr="00B50F60">
        <w:rPr>
          <w:rFonts w:ascii="Times New Roman" w:hAnsi="Times New Roman"/>
          <w:szCs w:val="22"/>
          <w:lang w:val="sk-SK"/>
        </w:rPr>
        <w:t>ý</w:t>
      </w:r>
      <w:proofErr w:type="spellEnd"/>
      <w:r w:rsidR="00097E69" w:rsidRPr="00B50F60">
        <w:rPr>
          <w:rFonts w:ascii="Times New Roman" w:hAnsi="Times New Roman"/>
          <w:szCs w:val="22"/>
          <w:lang w:val="sk-SK"/>
        </w:rPr>
        <w:t xml:space="preserve"> lie</w:t>
      </w:r>
      <w:r w:rsidR="00514E7C" w:rsidRPr="00B50F60">
        <w:rPr>
          <w:rFonts w:ascii="Times New Roman" w:hAnsi="Times New Roman"/>
          <w:szCs w:val="22"/>
          <w:lang w:val="sk-SK"/>
        </w:rPr>
        <w:t>k</w:t>
      </w:r>
      <w:r w:rsidR="00097E69" w:rsidRPr="00B50F60">
        <w:rPr>
          <w:rFonts w:ascii="Times New Roman" w:hAnsi="Times New Roman"/>
          <w:szCs w:val="22"/>
          <w:lang w:val="sk-SK"/>
        </w:rPr>
        <w:t>, ktor</w:t>
      </w:r>
      <w:r w:rsidR="00514E7C" w:rsidRPr="00B50F60">
        <w:rPr>
          <w:rFonts w:ascii="Times New Roman" w:hAnsi="Times New Roman"/>
          <w:szCs w:val="22"/>
          <w:lang w:val="sk-SK"/>
        </w:rPr>
        <w:t>ý</w:t>
      </w:r>
      <w:r w:rsidR="00097E69" w:rsidRPr="00B50F60">
        <w:rPr>
          <w:rFonts w:ascii="Times New Roman" w:hAnsi="Times New Roman"/>
          <w:szCs w:val="22"/>
          <w:lang w:val="sk-SK"/>
        </w:rPr>
        <w:t xml:space="preserve"> je indikovan</w:t>
      </w:r>
      <w:r w:rsidR="00514E7C" w:rsidRPr="00B50F60">
        <w:rPr>
          <w:rFonts w:ascii="Times New Roman" w:hAnsi="Times New Roman"/>
          <w:szCs w:val="22"/>
          <w:lang w:val="sk-SK"/>
        </w:rPr>
        <w:t>ý</w:t>
      </w:r>
      <w:r w:rsidR="00097E69" w:rsidRPr="00B50F60">
        <w:rPr>
          <w:rFonts w:ascii="Times New Roman" w:hAnsi="Times New Roman"/>
          <w:szCs w:val="22"/>
          <w:lang w:val="sk-SK"/>
        </w:rPr>
        <w:t xml:space="preserve"> pri nasledujúcich </w:t>
      </w:r>
      <w:proofErr w:type="spellStart"/>
      <w:r w:rsidR="00097E69" w:rsidRPr="00B50F60">
        <w:rPr>
          <w:rFonts w:ascii="Times New Roman" w:hAnsi="Times New Roman"/>
          <w:szCs w:val="22"/>
          <w:lang w:val="sk-SK"/>
        </w:rPr>
        <w:t>ne</w:t>
      </w:r>
      <w:r w:rsidR="005E3151" w:rsidRPr="00B50F60">
        <w:rPr>
          <w:rFonts w:ascii="Times New Roman" w:hAnsi="Times New Roman"/>
          <w:szCs w:val="22"/>
          <w:lang w:val="sk-SK"/>
        </w:rPr>
        <w:t>o</w:t>
      </w:r>
      <w:r w:rsidR="00097E69" w:rsidRPr="00B50F60">
        <w:rPr>
          <w:rFonts w:ascii="Times New Roman" w:hAnsi="Times New Roman"/>
          <w:szCs w:val="22"/>
          <w:lang w:val="sk-SK"/>
        </w:rPr>
        <w:t>plastických</w:t>
      </w:r>
      <w:proofErr w:type="spellEnd"/>
      <w:r w:rsidR="00097E69" w:rsidRPr="00B50F60">
        <w:rPr>
          <w:rFonts w:ascii="Times New Roman" w:hAnsi="Times New Roman"/>
          <w:szCs w:val="22"/>
          <w:lang w:val="sk-SK"/>
        </w:rPr>
        <w:t xml:space="preserve"> ochoreniach:</w:t>
      </w:r>
    </w:p>
    <w:p w14:paraId="32F0F78C" w14:textId="77777777" w:rsidR="007639C4" w:rsidRPr="00B50F60" w:rsidRDefault="00B83D73" w:rsidP="00ED7827">
      <w:pPr>
        <w:pStyle w:val="Standardenglisch"/>
        <w:tabs>
          <w:tab w:val="left" w:pos="0"/>
          <w:tab w:val="left" w:pos="567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sym w:font="Symbol" w:char="F0B7"/>
      </w:r>
      <w:r w:rsidRPr="00B50F60">
        <w:rPr>
          <w:rFonts w:ascii="Times New Roman" w:hAnsi="Times New Roman"/>
          <w:szCs w:val="22"/>
          <w:lang w:val="sk-SK"/>
        </w:rPr>
        <w:tab/>
      </w:r>
      <w:r w:rsidR="00A37E13" w:rsidRPr="00B50F60">
        <w:rPr>
          <w:rFonts w:ascii="Times New Roman" w:hAnsi="Times New Roman"/>
          <w:szCs w:val="22"/>
          <w:lang w:val="sk-SK"/>
        </w:rPr>
        <w:t>Malo</w:t>
      </w:r>
      <w:r w:rsidR="001E1CC2" w:rsidRPr="00B50F60">
        <w:rPr>
          <w:rFonts w:ascii="Times New Roman" w:hAnsi="Times New Roman"/>
          <w:szCs w:val="22"/>
          <w:lang w:val="sk-SK"/>
        </w:rPr>
        <w:t>bunkový</w:t>
      </w:r>
      <w:r w:rsidR="00097E69" w:rsidRPr="00B50F60">
        <w:rPr>
          <w:rFonts w:ascii="Times New Roman" w:hAnsi="Times New Roman"/>
          <w:szCs w:val="22"/>
          <w:lang w:val="sk-SK"/>
        </w:rPr>
        <w:t xml:space="preserve"> karcinóm pľúc (SCLC)</w:t>
      </w:r>
    </w:p>
    <w:p w14:paraId="61559158" w14:textId="77777777" w:rsidR="00097E69" w:rsidRPr="00B50F60" w:rsidRDefault="00B83D73" w:rsidP="00ED7827">
      <w:pPr>
        <w:pStyle w:val="Standardenglisch"/>
        <w:tabs>
          <w:tab w:val="left" w:pos="0"/>
          <w:tab w:val="left" w:pos="567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sym w:font="Symbol" w:char="F0B7"/>
      </w:r>
      <w:r w:rsidRPr="00B50F60">
        <w:rPr>
          <w:rFonts w:ascii="Times New Roman" w:hAnsi="Times New Roman"/>
          <w:szCs w:val="22"/>
          <w:lang w:val="sk-SK"/>
        </w:rPr>
        <w:tab/>
      </w:r>
      <w:r w:rsidR="00097E69" w:rsidRPr="00B50F60">
        <w:rPr>
          <w:rFonts w:ascii="Times New Roman" w:hAnsi="Times New Roman"/>
          <w:szCs w:val="22"/>
          <w:lang w:val="sk-SK"/>
        </w:rPr>
        <w:t>Karcinóm prsníka</w:t>
      </w:r>
    </w:p>
    <w:p w14:paraId="2AB5D4DB" w14:textId="77777777" w:rsidR="00097E69" w:rsidRPr="00B50F60" w:rsidRDefault="00B83D73" w:rsidP="00ED7827">
      <w:pPr>
        <w:pStyle w:val="Standardenglisch"/>
        <w:tabs>
          <w:tab w:val="left" w:pos="0"/>
          <w:tab w:val="left" w:pos="567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sym w:font="Symbol" w:char="F0B7"/>
      </w:r>
      <w:r w:rsidRPr="00B50F60">
        <w:rPr>
          <w:rFonts w:ascii="Times New Roman" w:hAnsi="Times New Roman"/>
          <w:szCs w:val="22"/>
          <w:lang w:val="sk-SK"/>
        </w:rPr>
        <w:tab/>
      </w:r>
      <w:proofErr w:type="spellStart"/>
      <w:r w:rsidR="00097E69" w:rsidRPr="00B50F60">
        <w:rPr>
          <w:rFonts w:ascii="Times New Roman" w:hAnsi="Times New Roman"/>
          <w:szCs w:val="22"/>
          <w:lang w:val="sk-SK"/>
        </w:rPr>
        <w:t>Rekurentný</w:t>
      </w:r>
      <w:proofErr w:type="spellEnd"/>
      <w:r w:rsidR="00097E69" w:rsidRPr="00B50F6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="00097E69" w:rsidRPr="00B50F60">
        <w:rPr>
          <w:rFonts w:ascii="Times New Roman" w:hAnsi="Times New Roman"/>
          <w:szCs w:val="22"/>
          <w:lang w:val="sk-SK"/>
        </w:rPr>
        <w:t>ovariálny</w:t>
      </w:r>
      <w:proofErr w:type="spellEnd"/>
      <w:r w:rsidR="00097E69" w:rsidRPr="00B50F60">
        <w:rPr>
          <w:rFonts w:ascii="Times New Roman" w:hAnsi="Times New Roman"/>
          <w:szCs w:val="22"/>
          <w:lang w:val="sk-SK"/>
        </w:rPr>
        <w:t xml:space="preserve"> karcinóm</w:t>
      </w:r>
    </w:p>
    <w:p w14:paraId="1CB3A104" w14:textId="77777777" w:rsidR="00097E69" w:rsidRPr="00B50F60" w:rsidRDefault="00B83D73" w:rsidP="00ED7827">
      <w:pPr>
        <w:pStyle w:val="Standardenglisch"/>
        <w:tabs>
          <w:tab w:val="left" w:pos="0"/>
          <w:tab w:val="left" w:pos="567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sym w:font="Symbol" w:char="F0B7"/>
      </w:r>
      <w:r w:rsidRPr="00B50F60">
        <w:rPr>
          <w:rFonts w:ascii="Times New Roman" w:hAnsi="Times New Roman"/>
          <w:szCs w:val="22"/>
          <w:lang w:val="sk-SK"/>
        </w:rPr>
        <w:tab/>
      </w:r>
      <w:r w:rsidR="00097E69" w:rsidRPr="00B50F60">
        <w:rPr>
          <w:rFonts w:ascii="Times New Roman" w:hAnsi="Times New Roman"/>
          <w:szCs w:val="22"/>
          <w:lang w:val="sk-SK"/>
        </w:rPr>
        <w:t>Systémová liečba lokálne pokročilého alebo metastázujúceho karcinómu močového mechúra</w:t>
      </w:r>
    </w:p>
    <w:p w14:paraId="3234C68F" w14:textId="77777777" w:rsidR="00097E69" w:rsidRPr="00B50F60" w:rsidRDefault="00B83D73" w:rsidP="00ED7827">
      <w:pPr>
        <w:pStyle w:val="Standardenglisch"/>
        <w:tabs>
          <w:tab w:val="left" w:pos="567"/>
        </w:tabs>
        <w:ind w:left="567" w:hanging="567"/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sym w:font="Symbol" w:char="F0B7"/>
      </w:r>
      <w:r w:rsidRPr="00B50F60">
        <w:rPr>
          <w:rFonts w:ascii="Times New Roman" w:hAnsi="Times New Roman"/>
          <w:szCs w:val="22"/>
          <w:lang w:val="sk-SK"/>
        </w:rPr>
        <w:tab/>
      </w:r>
      <w:proofErr w:type="spellStart"/>
      <w:r w:rsidR="00097E69" w:rsidRPr="00B50F60">
        <w:rPr>
          <w:rFonts w:ascii="Times New Roman" w:hAnsi="Times New Roman"/>
          <w:szCs w:val="22"/>
          <w:lang w:val="sk-SK"/>
        </w:rPr>
        <w:t>Intravezikálna</w:t>
      </w:r>
      <w:proofErr w:type="spellEnd"/>
      <w:r w:rsidR="00097E69" w:rsidRPr="00B50F60">
        <w:rPr>
          <w:rFonts w:ascii="Times New Roman" w:hAnsi="Times New Roman"/>
          <w:szCs w:val="22"/>
          <w:lang w:val="sk-SK"/>
        </w:rPr>
        <w:t xml:space="preserve"> profylaxia </w:t>
      </w:r>
      <w:proofErr w:type="spellStart"/>
      <w:r w:rsidR="00097E69" w:rsidRPr="00B50F60">
        <w:rPr>
          <w:rFonts w:ascii="Times New Roman" w:hAnsi="Times New Roman"/>
          <w:szCs w:val="22"/>
          <w:lang w:val="sk-SK"/>
        </w:rPr>
        <w:t>rekurencií</w:t>
      </w:r>
      <w:proofErr w:type="spellEnd"/>
      <w:r w:rsidR="00097E69" w:rsidRPr="00B50F6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="00097E69" w:rsidRPr="00B50F60">
        <w:rPr>
          <w:rFonts w:ascii="Times New Roman" w:hAnsi="Times New Roman"/>
          <w:szCs w:val="22"/>
          <w:lang w:val="sk-SK"/>
        </w:rPr>
        <w:t>superficiálneho</w:t>
      </w:r>
      <w:proofErr w:type="spellEnd"/>
      <w:r w:rsidR="00097E69" w:rsidRPr="00B50F60">
        <w:rPr>
          <w:rFonts w:ascii="Times New Roman" w:hAnsi="Times New Roman"/>
          <w:szCs w:val="22"/>
          <w:lang w:val="sk-SK"/>
        </w:rPr>
        <w:t xml:space="preserve"> karcinómu močového mechúra po </w:t>
      </w:r>
      <w:proofErr w:type="spellStart"/>
      <w:r w:rsidR="00097E69" w:rsidRPr="00B50F60">
        <w:rPr>
          <w:rFonts w:ascii="Times New Roman" w:hAnsi="Times New Roman"/>
          <w:szCs w:val="22"/>
          <w:lang w:val="sk-SK"/>
        </w:rPr>
        <w:t>transuretrálnej</w:t>
      </w:r>
      <w:proofErr w:type="spellEnd"/>
      <w:r w:rsidR="00097E69" w:rsidRPr="00B50F60">
        <w:rPr>
          <w:rFonts w:ascii="Times New Roman" w:hAnsi="Times New Roman"/>
          <w:szCs w:val="22"/>
          <w:lang w:val="sk-SK"/>
        </w:rPr>
        <w:t xml:space="preserve"> resekcii</w:t>
      </w:r>
    </w:p>
    <w:p w14:paraId="2DB226F4" w14:textId="77777777" w:rsidR="00097E69" w:rsidRPr="00B50F60" w:rsidRDefault="00B83D73" w:rsidP="00ED7827">
      <w:pPr>
        <w:pStyle w:val="Standardenglisch"/>
        <w:tabs>
          <w:tab w:val="left" w:pos="0"/>
          <w:tab w:val="left" w:pos="567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sym w:font="Symbol" w:char="F0B7"/>
      </w:r>
      <w:r w:rsidRPr="00B50F60">
        <w:rPr>
          <w:rFonts w:ascii="Times New Roman" w:hAnsi="Times New Roman"/>
          <w:szCs w:val="22"/>
          <w:lang w:val="sk-SK"/>
        </w:rPr>
        <w:tab/>
      </w:r>
      <w:proofErr w:type="spellStart"/>
      <w:r w:rsidR="00097E69" w:rsidRPr="00B50F60">
        <w:rPr>
          <w:rFonts w:ascii="Times New Roman" w:hAnsi="Times New Roman"/>
          <w:szCs w:val="22"/>
          <w:lang w:val="sk-SK"/>
        </w:rPr>
        <w:t>Neoadjuvantná</w:t>
      </w:r>
      <w:proofErr w:type="spellEnd"/>
      <w:r w:rsidR="00097E69" w:rsidRPr="00B50F60">
        <w:rPr>
          <w:rFonts w:ascii="Times New Roman" w:hAnsi="Times New Roman"/>
          <w:szCs w:val="22"/>
          <w:lang w:val="sk-SK"/>
        </w:rPr>
        <w:t xml:space="preserve"> a </w:t>
      </w:r>
      <w:proofErr w:type="spellStart"/>
      <w:r w:rsidR="00097E69" w:rsidRPr="00B50F60">
        <w:rPr>
          <w:rFonts w:ascii="Times New Roman" w:hAnsi="Times New Roman"/>
          <w:szCs w:val="22"/>
          <w:lang w:val="sk-SK"/>
        </w:rPr>
        <w:t>adjuvantná</w:t>
      </w:r>
      <w:proofErr w:type="spellEnd"/>
      <w:r w:rsidR="00097E69" w:rsidRPr="00B50F60">
        <w:rPr>
          <w:rFonts w:ascii="Times New Roman" w:hAnsi="Times New Roman"/>
          <w:szCs w:val="22"/>
          <w:lang w:val="sk-SK"/>
        </w:rPr>
        <w:t xml:space="preserve"> liečba </w:t>
      </w:r>
      <w:proofErr w:type="spellStart"/>
      <w:r w:rsidR="00097E69" w:rsidRPr="00B50F60">
        <w:rPr>
          <w:rFonts w:ascii="Times New Roman" w:hAnsi="Times New Roman"/>
          <w:szCs w:val="22"/>
          <w:lang w:val="sk-SK"/>
        </w:rPr>
        <w:t>osteosarkómu</w:t>
      </w:r>
      <w:proofErr w:type="spellEnd"/>
    </w:p>
    <w:p w14:paraId="268D31AA" w14:textId="77777777" w:rsidR="00097E69" w:rsidRPr="00B50F60" w:rsidRDefault="00B83D73" w:rsidP="00ED7827">
      <w:pPr>
        <w:pStyle w:val="Standardenglisch"/>
        <w:tabs>
          <w:tab w:val="left" w:pos="0"/>
          <w:tab w:val="left" w:pos="567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sym w:font="Symbol" w:char="F0B7"/>
      </w:r>
      <w:r w:rsidRPr="00B50F60">
        <w:rPr>
          <w:rFonts w:ascii="Times New Roman" w:hAnsi="Times New Roman"/>
          <w:szCs w:val="22"/>
          <w:lang w:val="sk-SK"/>
        </w:rPr>
        <w:tab/>
      </w:r>
      <w:r w:rsidR="00097E69" w:rsidRPr="00B50F60">
        <w:rPr>
          <w:rFonts w:ascii="Times New Roman" w:hAnsi="Times New Roman"/>
          <w:szCs w:val="22"/>
          <w:lang w:val="sk-SK"/>
        </w:rPr>
        <w:t>Pokročilý sarkóm mäkkých tkanív u dospelých</w:t>
      </w:r>
    </w:p>
    <w:p w14:paraId="11B70421" w14:textId="77777777" w:rsidR="00097E69" w:rsidRPr="00B50F60" w:rsidRDefault="00B83D73" w:rsidP="00ED7827">
      <w:pPr>
        <w:pStyle w:val="Standardenglisch"/>
        <w:tabs>
          <w:tab w:val="left" w:pos="0"/>
          <w:tab w:val="left" w:pos="567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sym w:font="Symbol" w:char="F0B7"/>
      </w:r>
      <w:r w:rsidRPr="00B50F60">
        <w:rPr>
          <w:rFonts w:ascii="Times New Roman" w:hAnsi="Times New Roman"/>
          <w:szCs w:val="22"/>
          <w:lang w:val="sk-SK"/>
        </w:rPr>
        <w:tab/>
      </w:r>
      <w:proofErr w:type="spellStart"/>
      <w:r w:rsidR="00097E69" w:rsidRPr="00B50F60">
        <w:rPr>
          <w:rFonts w:ascii="Times New Roman" w:hAnsi="Times New Roman"/>
          <w:szCs w:val="22"/>
          <w:lang w:val="sk-SK"/>
        </w:rPr>
        <w:t>Ewingov</w:t>
      </w:r>
      <w:proofErr w:type="spellEnd"/>
      <w:r w:rsidR="00097E69" w:rsidRPr="00B50F60">
        <w:rPr>
          <w:rFonts w:ascii="Times New Roman" w:hAnsi="Times New Roman"/>
          <w:szCs w:val="22"/>
          <w:lang w:val="sk-SK"/>
        </w:rPr>
        <w:t xml:space="preserve"> sarkóm</w:t>
      </w:r>
    </w:p>
    <w:p w14:paraId="35261066" w14:textId="77777777" w:rsidR="00097E69" w:rsidRPr="00B50F60" w:rsidRDefault="00B83D73" w:rsidP="00ED7827">
      <w:pPr>
        <w:pStyle w:val="Standardenglisch"/>
        <w:tabs>
          <w:tab w:val="left" w:pos="0"/>
          <w:tab w:val="left" w:pos="567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sym w:font="Symbol" w:char="F0B7"/>
      </w:r>
      <w:r w:rsidRPr="00B50F60">
        <w:rPr>
          <w:rFonts w:ascii="Times New Roman" w:hAnsi="Times New Roman"/>
          <w:szCs w:val="22"/>
          <w:lang w:val="sk-SK"/>
        </w:rPr>
        <w:tab/>
      </w:r>
      <w:proofErr w:type="spellStart"/>
      <w:r w:rsidR="00097E69" w:rsidRPr="00B50F60">
        <w:rPr>
          <w:rFonts w:ascii="Times New Roman" w:hAnsi="Times New Roman"/>
          <w:szCs w:val="22"/>
          <w:lang w:val="sk-SK"/>
        </w:rPr>
        <w:t>Hodgkinova</w:t>
      </w:r>
      <w:proofErr w:type="spellEnd"/>
      <w:r w:rsidR="00097E69" w:rsidRPr="00B50F60">
        <w:rPr>
          <w:rFonts w:ascii="Times New Roman" w:hAnsi="Times New Roman"/>
          <w:szCs w:val="22"/>
          <w:lang w:val="sk-SK"/>
        </w:rPr>
        <w:t xml:space="preserve"> choroba</w:t>
      </w:r>
    </w:p>
    <w:p w14:paraId="104FEB8E" w14:textId="77777777" w:rsidR="00097E69" w:rsidRPr="00B50F60" w:rsidRDefault="00B83D73" w:rsidP="00ED7827">
      <w:pPr>
        <w:pStyle w:val="Standardenglisch"/>
        <w:tabs>
          <w:tab w:val="left" w:pos="0"/>
          <w:tab w:val="left" w:pos="567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sym w:font="Symbol" w:char="F0B7"/>
      </w:r>
      <w:r w:rsidRPr="00B50F60">
        <w:rPr>
          <w:rFonts w:ascii="Times New Roman" w:hAnsi="Times New Roman"/>
          <w:szCs w:val="22"/>
          <w:lang w:val="sk-SK"/>
        </w:rPr>
        <w:tab/>
      </w:r>
      <w:proofErr w:type="spellStart"/>
      <w:r w:rsidR="00097E69" w:rsidRPr="00B50F60">
        <w:rPr>
          <w:rFonts w:ascii="Times New Roman" w:hAnsi="Times New Roman"/>
          <w:szCs w:val="22"/>
          <w:lang w:val="sk-SK"/>
        </w:rPr>
        <w:t>N</w:t>
      </w:r>
      <w:r w:rsidR="004D4149" w:rsidRPr="00B50F60">
        <w:rPr>
          <w:rFonts w:ascii="Times New Roman" w:hAnsi="Times New Roman"/>
          <w:szCs w:val="22"/>
          <w:lang w:val="sk-SK"/>
        </w:rPr>
        <w:t>on</w:t>
      </w:r>
      <w:r w:rsidR="005E3151" w:rsidRPr="00B50F60">
        <w:rPr>
          <w:rFonts w:ascii="Times New Roman" w:hAnsi="Times New Roman"/>
          <w:szCs w:val="22"/>
          <w:lang w:val="sk-SK"/>
        </w:rPr>
        <w:t>-</w:t>
      </w:r>
      <w:r w:rsidR="00097E69" w:rsidRPr="00B50F60">
        <w:rPr>
          <w:rFonts w:ascii="Times New Roman" w:hAnsi="Times New Roman"/>
          <w:szCs w:val="22"/>
          <w:lang w:val="sk-SK"/>
        </w:rPr>
        <w:t>Hodgkinov</w:t>
      </w:r>
      <w:proofErr w:type="spellEnd"/>
      <w:r w:rsidR="00097E69" w:rsidRPr="00B50F6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="00097E69" w:rsidRPr="00B50F60">
        <w:rPr>
          <w:rFonts w:ascii="Times New Roman" w:hAnsi="Times New Roman"/>
          <w:szCs w:val="22"/>
          <w:lang w:val="sk-SK"/>
        </w:rPr>
        <w:t>lymfóm</w:t>
      </w:r>
      <w:proofErr w:type="spellEnd"/>
    </w:p>
    <w:p w14:paraId="650C5989" w14:textId="77777777" w:rsidR="00097E69" w:rsidRPr="00B50F60" w:rsidRDefault="00B83D73" w:rsidP="00ED7827">
      <w:pPr>
        <w:pStyle w:val="Standardenglisch"/>
        <w:tabs>
          <w:tab w:val="left" w:pos="0"/>
          <w:tab w:val="left" w:pos="567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sym w:font="Symbol" w:char="F0B7"/>
      </w:r>
      <w:r w:rsidRPr="00B50F60">
        <w:rPr>
          <w:rFonts w:ascii="Times New Roman" w:hAnsi="Times New Roman"/>
          <w:szCs w:val="22"/>
          <w:lang w:val="sk-SK"/>
        </w:rPr>
        <w:tab/>
      </w:r>
      <w:r w:rsidR="00097E69" w:rsidRPr="00B50F60">
        <w:rPr>
          <w:rFonts w:ascii="Times New Roman" w:hAnsi="Times New Roman"/>
          <w:szCs w:val="22"/>
          <w:lang w:val="sk-SK"/>
        </w:rPr>
        <w:t>Akútna lymfatická leukémia</w:t>
      </w:r>
    </w:p>
    <w:p w14:paraId="25D3CA64" w14:textId="77777777" w:rsidR="00097E69" w:rsidRPr="00B50F60" w:rsidRDefault="00B83D73" w:rsidP="00ED7827">
      <w:pPr>
        <w:pStyle w:val="Standardenglisch"/>
        <w:tabs>
          <w:tab w:val="left" w:pos="0"/>
          <w:tab w:val="left" w:pos="567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sym w:font="Symbol" w:char="F0B7"/>
      </w:r>
      <w:r w:rsidRPr="00B50F60">
        <w:rPr>
          <w:rFonts w:ascii="Times New Roman" w:hAnsi="Times New Roman"/>
          <w:szCs w:val="22"/>
          <w:lang w:val="sk-SK"/>
        </w:rPr>
        <w:tab/>
      </w:r>
      <w:r w:rsidR="00097E69" w:rsidRPr="00B50F60">
        <w:rPr>
          <w:rFonts w:ascii="Times New Roman" w:hAnsi="Times New Roman"/>
          <w:szCs w:val="22"/>
          <w:lang w:val="sk-SK"/>
        </w:rPr>
        <w:t xml:space="preserve">Akútna </w:t>
      </w:r>
      <w:proofErr w:type="spellStart"/>
      <w:r w:rsidR="00097E69" w:rsidRPr="00B50F60">
        <w:rPr>
          <w:rFonts w:ascii="Times New Roman" w:hAnsi="Times New Roman"/>
          <w:szCs w:val="22"/>
          <w:lang w:val="sk-SK"/>
        </w:rPr>
        <w:t>myeloblastická</w:t>
      </w:r>
      <w:proofErr w:type="spellEnd"/>
      <w:r w:rsidR="00097E69" w:rsidRPr="00B50F60">
        <w:rPr>
          <w:rFonts w:ascii="Times New Roman" w:hAnsi="Times New Roman"/>
          <w:szCs w:val="22"/>
          <w:lang w:val="sk-SK"/>
        </w:rPr>
        <w:t xml:space="preserve"> leukémia</w:t>
      </w:r>
    </w:p>
    <w:p w14:paraId="49082E34" w14:textId="77777777" w:rsidR="00097E69" w:rsidRPr="00B50F60" w:rsidRDefault="00B83D73" w:rsidP="00ED7827">
      <w:pPr>
        <w:pStyle w:val="Standardenglisch"/>
        <w:tabs>
          <w:tab w:val="left" w:pos="0"/>
          <w:tab w:val="left" w:pos="567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sym w:font="Symbol" w:char="F0B7"/>
      </w:r>
      <w:r w:rsidRPr="00B50F60">
        <w:rPr>
          <w:rFonts w:ascii="Times New Roman" w:hAnsi="Times New Roman"/>
          <w:szCs w:val="22"/>
          <w:lang w:val="sk-SK"/>
        </w:rPr>
        <w:tab/>
      </w:r>
      <w:r w:rsidR="00097E69" w:rsidRPr="00B50F60">
        <w:rPr>
          <w:rFonts w:ascii="Times New Roman" w:hAnsi="Times New Roman"/>
          <w:szCs w:val="22"/>
          <w:lang w:val="sk-SK"/>
        </w:rPr>
        <w:t>Pokročilý mnoho</w:t>
      </w:r>
      <w:r w:rsidR="005E3151" w:rsidRPr="00B50F60">
        <w:rPr>
          <w:rFonts w:ascii="Times New Roman" w:hAnsi="Times New Roman"/>
          <w:szCs w:val="22"/>
          <w:lang w:val="sk-SK"/>
        </w:rPr>
        <w:t>početný</w:t>
      </w:r>
      <w:r w:rsidR="00097E69" w:rsidRPr="00B50F6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="00097E69" w:rsidRPr="00B50F60">
        <w:rPr>
          <w:rFonts w:ascii="Times New Roman" w:hAnsi="Times New Roman"/>
          <w:szCs w:val="22"/>
          <w:lang w:val="sk-SK"/>
        </w:rPr>
        <w:t>myelóm</w:t>
      </w:r>
      <w:proofErr w:type="spellEnd"/>
    </w:p>
    <w:p w14:paraId="59E14C7E" w14:textId="77777777" w:rsidR="00097E69" w:rsidRPr="00B50F60" w:rsidRDefault="00B83D73" w:rsidP="00ED7827">
      <w:pPr>
        <w:pStyle w:val="Standardenglisch"/>
        <w:tabs>
          <w:tab w:val="left" w:pos="0"/>
          <w:tab w:val="left" w:pos="567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sym w:font="Symbol" w:char="F0B7"/>
      </w:r>
      <w:r w:rsidRPr="00B50F60">
        <w:rPr>
          <w:rFonts w:ascii="Times New Roman" w:hAnsi="Times New Roman"/>
          <w:szCs w:val="22"/>
          <w:lang w:val="sk-SK"/>
        </w:rPr>
        <w:tab/>
      </w:r>
      <w:r w:rsidR="00097E69" w:rsidRPr="00B50F60">
        <w:rPr>
          <w:rFonts w:ascii="Times New Roman" w:hAnsi="Times New Roman"/>
          <w:szCs w:val="22"/>
          <w:lang w:val="sk-SK"/>
        </w:rPr>
        <w:t xml:space="preserve">Pokročilý alebo </w:t>
      </w:r>
      <w:proofErr w:type="spellStart"/>
      <w:r w:rsidR="00097E69" w:rsidRPr="00B50F60">
        <w:rPr>
          <w:rFonts w:ascii="Times New Roman" w:hAnsi="Times New Roman"/>
          <w:szCs w:val="22"/>
          <w:lang w:val="sk-SK"/>
        </w:rPr>
        <w:t>rekurentný</w:t>
      </w:r>
      <w:proofErr w:type="spellEnd"/>
      <w:r w:rsidR="00097E69" w:rsidRPr="00B50F60">
        <w:rPr>
          <w:rFonts w:ascii="Times New Roman" w:hAnsi="Times New Roman"/>
          <w:szCs w:val="22"/>
          <w:lang w:val="sk-SK"/>
        </w:rPr>
        <w:t xml:space="preserve"> karcinóm </w:t>
      </w:r>
      <w:proofErr w:type="spellStart"/>
      <w:r w:rsidR="00097E69" w:rsidRPr="00B50F60">
        <w:rPr>
          <w:rFonts w:ascii="Times New Roman" w:hAnsi="Times New Roman"/>
          <w:szCs w:val="22"/>
          <w:lang w:val="sk-SK"/>
        </w:rPr>
        <w:t>endometria</w:t>
      </w:r>
      <w:proofErr w:type="spellEnd"/>
    </w:p>
    <w:p w14:paraId="3340622E" w14:textId="77777777" w:rsidR="00097E69" w:rsidRPr="00B50F60" w:rsidRDefault="00B83D73" w:rsidP="00ED7827">
      <w:pPr>
        <w:pStyle w:val="Standardenglisch"/>
        <w:keepNext/>
        <w:keepLines/>
        <w:widowControl/>
        <w:tabs>
          <w:tab w:val="left" w:pos="0"/>
          <w:tab w:val="left" w:pos="567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sym w:font="Symbol" w:char="F0B7"/>
      </w:r>
      <w:r w:rsidRPr="00B50F60">
        <w:rPr>
          <w:rFonts w:ascii="Times New Roman" w:hAnsi="Times New Roman"/>
          <w:szCs w:val="22"/>
          <w:lang w:val="sk-SK"/>
        </w:rPr>
        <w:tab/>
      </w:r>
      <w:proofErr w:type="spellStart"/>
      <w:r w:rsidR="00097E69" w:rsidRPr="00B50F60">
        <w:rPr>
          <w:rFonts w:ascii="Times New Roman" w:hAnsi="Times New Roman"/>
          <w:szCs w:val="22"/>
          <w:lang w:val="sk-SK"/>
        </w:rPr>
        <w:t>Wilmsov</w:t>
      </w:r>
      <w:proofErr w:type="spellEnd"/>
      <w:r w:rsidR="00097E69" w:rsidRPr="00B50F60">
        <w:rPr>
          <w:rFonts w:ascii="Times New Roman" w:hAnsi="Times New Roman"/>
          <w:szCs w:val="22"/>
          <w:lang w:val="sk-SK"/>
        </w:rPr>
        <w:t xml:space="preserve"> tumor</w:t>
      </w:r>
    </w:p>
    <w:p w14:paraId="48034179" w14:textId="77777777" w:rsidR="00097E69" w:rsidRPr="00B50F60" w:rsidRDefault="00B83D73" w:rsidP="00ED7827">
      <w:pPr>
        <w:pStyle w:val="Standardenglisch"/>
        <w:keepNext/>
        <w:keepLines/>
        <w:widowControl/>
        <w:tabs>
          <w:tab w:val="left" w:pos="0"/>
          <w:tab w:val="left" w:pos="567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sym w:font="Symbol" w:char="F0B7"/>
      </w:r>
      <w:r w:rsidRPr="00B50F60">
        <w:rPr>
          <w:rFonts w:ascii="Times New Roman" w:hAnsi="Times New Roman"/>
          <w:szCs w:val="22"/>
          <w:lang w:val="sk-SK"/>
        </w:rPr>
        <w:tab/>
      </w:r>
      <w:r w:rsidR="00097E69" w:rsidRPr="00B50F60">
        <w:rPr>
          <w:rFonts w:ascii="Times New Roman" w:hAnsi="Times New Roman"/>
          <w:szCs w:val="22"/>
          <w:lang w:val="sk-SK"/>
        </w:rPr>
        <w:t xml:space="preserve">Pokročilý </w:t>
      </w:r>
      <w:proofErr w:type="spellStart"/>
      <w:r w:rsidR="00097E69" w:rsidRPr="00B50F60">
        <w:rPr>
          <w:rFonts w:ascii="Times New Roman" w:hAnsi="Times New Roman"/>
          <w:szCs w:val="22"/>
          <w:lang w:val="sk-SK"/>
        </w:rPr>
        <w:t>papilárny</w:t>
      </w:r>
      <w:proofErr w:type="spellEnd"/>
      <w:r w:rsidR="00097E69" w:rsidRPr="00B50F60">
        <w:rPr>
          <w:rFonts w:ascii="Times New Roman" w:hAnsi="Times New Roman"/>
          <w:szCs w:val="22"/>
          <w:lang w:val="sk-SK"/>
        </w:rPr>
        <w:t>/</w:t>
      </w:r>
      <w:proofErr w:type="spellStart"/>
      <w:r w:rsidR="00097E69" w:rsidRPr="00B50F60">
        <w:rPr>
          <w:rFonts w:ascii="Times New Roman" w:hAnsi="Times New Roman"/>
          <w:szCs w:val="22"/>
          <w:lang w:val="sk-SK"/>
        </w:rPr>
        <w:t>folikulárny</w:t>
      </w:r>
      <w:proofErr w:type="spellEnd"/>
      <w:r w:rsidR="00097E69" w:rsidRPr="00B50F60">
        <w:rPr>
          <w:rFonts w:ascii="Times New Roman" w:hAnsi="Times New Roman"/>
          <w:szCs w:val="22"/>
          <w:lang w:val="sk-SK"/>
        </w:rPr>
        <w:t xml:space="preserve"> karcinóm štítnej žľazy</w:t>
      </w:r>
    </w:p>
    <w:p w14:paraId="3FF392BA" w14:textId="77777777" w:rsidR="00097E69" w:rsidRPr="00B50F60" w:rsidRDefault="00B83D73" w:rsidP="00ED7827">
      <w:pPr>
        <w:pStyle w:val="Standardenglisch"/>
        <w:keepNext/>
        <w:keepLines/>
        <w:widowControl/>
        <w:tabs>
          <w:tab w:val="left" w:pos="0"/>
          <w:tab w:val="left" w:pos="567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sym w:font="Symbol" w:char="F0B7"/>
      </w:r>
      <w:r w:rsidRPr="00B50F60">
        <w:rPr>
          <w:rFonts w:ascii="Times New Roman" w:hAnsi="Times New Roman"/>
          <w:szCs w:val="22"/>
          <w:lang w:val="sk-SK"/>
        </w:rPr>
        <w:tab/>
      </w:r>
      <w:proofErr w:type="spellStart"/>
      <w:r w:rsidR="00097E69" w:rsidRPr="00B50F60">
        <w:rPr>
          <w:rFonts w:ascii="Times New Roman" w:hAnsi="Times New Roman"/>
          <w:szCs w:val="22"/>
          <w:lang w:val="sk-SK"/>
        </w:rPr>
        <w:t>Anaplastický</w:t>
      </w:r>
      <w:proofErr w:type="spellEnd"/>
      <w:r w:rsidR="00097E69" w:rsidRPr="00B50F60">
        <w:rPr>
          <w:rFonts w:ascii="Times New Roman" w:hAnsi="Times New Roman"/>
          <w:szCs w:val="22"/>
          <w:lang w:val="sk-SK"/>
        </w:rPr>
        <w:t xml:space="preserve"> karcinóm štítnej žľazy</w:t>
      </w:r>
    </w:p>
    <w:p w14:paraId="7E50C641" w14:textId="77777777" w:rsidR="00097E69" w:rsidRPr="00B50F60" w:rsidRDefault="00B83D73" w:rsidP="00ED7827">
      <w:pPr>
        <w:pStyle w:val="Standardenglisch"/>
        <w:keepNext/>
        <w:keepLines/>
        <w:widowControl/>
        <w:tabs>
          <w:tab w:val="left" w:pos="0"/>
          <w:tab w:val="left" w:pos="567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sym w:font="Symbol" w:char="F0B7"/>
      </w:r>
      <w:r w:rsidRPr="00B50F60">
        <w:rPr>
          <w:rFonts w:ascii="Times New Roman" w:hAnsi="Times New Roman"/>
          <w:szCs w:val="22"/>
          <w:lang w:val="sk-SK"/>
        </w:rPr>
        <w:tab/>
      </w:r>
      <w:r w:rsidR="00097E69" w:rsidRPr="00B50F60">
        <w:rPr>
          <w:rFonts w:ascii="Times New Roman" w:hAnsi="Times New Roman"/>
          <w:szCs w:val="22"/>
          <w:lang w:val="sk-SK"/>
        </w:rPr>
        <w:t xml:space="preserve">Pokročilý </w:t>
      </w:r>
      <w:proofErr w:type="spellStart"/>
      <w:r w:rsidR="00097E69" w:rsidRPr="00B50F60">
        <w:rPr>
          <w:rFonts w:ascii="Times New Roman" w:hAnsi="Times New Roman"/>
          <w:szCs w:val="22"/>
          <w:lang w:val="sk-SK"/>
        </w:rPr>
        <w:t>neuroblastóm</w:t>
      </w:r>
      <w:proofErr w:type="spellEnd"/>
    </w:p>
    <w:p w14:paraId="7BD29FE6" w14:textId="77777777" w:rsidR="00097E69" w:rsidRPr="00B50F60" w:rsidRDefault="00097E69" w:rsidP="00ED7827">
      <w:pPr>
        <w:pStyle w:val="Standardenglisch"/>
        <w:keepNext/>
        <w:keepLines/>
        <w:widowControl/>
        <w:tabs>
          <w:tab w:val="left" w:pos="0"/>
        </w:tabs>
        <w:rPr>
          <w:rFonts w:ascii="Times New Roman" w:hAnsi="Times New Roman"/>
          <w:szCs w:val="22"/>
          <w:lang w:val="sk-SK"/>
        </w:rPr>
      </w:pPr>
    </w:p>
    <w:p w14:paraId="5A4D3729" w14:textId="77777777" w:rsidR="00B750C4" w:rsidRPr="00B50F60" w:rsidRDefault="000E3A0F" w:rsidP="00ED7827">
      <w:pPr>
        <w:pStyle w:val="Standardenglisch"/>
        <w:keepNext/>
        <w:keepLines/>
        <w:widowControl/>
        <w:tabs>
          <w:tab w:val="left" w:pos="0"/>
        </w:tabs>
        <w:rPr>
          <w:rFonts w:ascii="Times New Roman" w:hAnsi="Times New Roman"/>
          <w:szCs w:val="22"/>
          <w:lang w:val="sk-SK"/>
        </w:rPr>
      </w:pPr>
      <w:proofErr w:type="spellStart"/>
      <w:r w:rsidRPr="00B50F60">
        <w:rPr>
          <w:rFonts w:ascii="Times New Roman" w:hAnsi="Times New Roman"/>
          <w:szCs w:val="22"/>
          <w:lang w:val="sk-SK"/>
        </w:rPr>
        <w:t>Doxorubicín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sa často používa v kombinovaných chemoterapeutických režimoch s inými </w:t>
      </w:r>
      <w:proofErr w:type="spellStart"/>
      <w:r w:rsidRPr="00B50F60">
        <w:rPr>
          <w:rFonts w:ascii="Times New Roman" w:hAnsi="Times New Roman"/>
          <w:szCs w:val="22"/>
          <w:lang w:val="sk-SK"/>
        </w:rPr>
        <w:t>cytostatikami</w:t>
      </w:r>
      <w:proofErr w:type="spellEnd"/>
      <w:r w:rsidRPr="00B50F60">
        <w:rPr>
          <w:rFonts w:ascii="Times New Roman" w:hAnsi="Times New Roman"/>
          <w:szCs w:val="22"/>
          <w:lang w:val="sk-SK"/>
        </w:rPr>
        <w:t>.</w:t>
      </w:r>
    </w:p>
    <w:p w14:paraId="5F49FC6E" w14:textId="77777777" w:rsidR="00DF1B37" w:rsidRPr="00B50F60" w:rsidRDefault="00DF1B37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3465EE50" w14:textId="77777777" w:rsidR="00B750C4" w:rsidRPr="00B50F60" w:rsidRDefault="00BA0A38" w:rsidP="00162654">
      <w:pPr>
        <w:keepNext/>
        <w:keepLines/>
        <w:widowControl/>
        <w:tabs>
          <w:tab w:val="left" w:pos="567"/>
        </w:tabs>
        <w:rPr>
          <w:rFonts w:ascii="Times New Roman" w:hAnsi="Times New Roman"/>
          <w:b/>
          <w:szCs w:val="22"/>
          <w:lang w:val="sk-SK"/>
        </w:rPr>
      </w:pPr>
      <w:r w:rsidRPr="00B50F60">
        <w:rPr>
          <w:rFonts w:ascii="Times New Roman" w:hAnsi="Times New Roman"/>
          <w:b/>
          <w:szCs w:val="22"/>
          <w:lang w:val="sk-SK"/>
        </w:rPr>
        <w:lastRenderedPageBreak/>
        <w:t>4.2</w:t>
      </w:r>
      <w:r w:rsidRPr="00B50F60">
        <w:rPr>
          <w:rFonts w:ascii="Times New Roman" w:hAnsi="Times New Roman"/>
          <w:b/>
          <w:szCs w:val="22"/>
          <w:lang w:val="sk-SK"/>
        </w:rPr>
        <w:tab/>
        <w:t>Dávkovanie a spôsob pod</w:t>
      </w:r>
      <w:r w:rsidR="00C01D67" w:rsidRPr="00B50F60">
        <w:rPr>
          <w:rFonts w:ascii="Times New Roman" w:hAnsi="Times New Roman"/>
          <w:b/>
          <w:szCs w:val="22"/>
          <w:lang w:val="sk-SK"/>
        </w:rPr>
        <w:t>áv</w:t>
      </w:r>
      <w:r w:rsidRPr="00B50F60">
        <w:rPr>
          <w:rFonts w:ascii="Times New Roman" w:hAnsi="Times New Roman"/>
          <w:b/>
          <w:szCs w:val="22"/>
          <w:lang w:val="sk-SK"/>
        </w:rPr>
        <w:t>ania</w:t>
      </w:r>
    </w:p>
    <w:p w14:paraId="4574518C" w14:textId="77777777" w:rsidR="00B750C4" w:rsidRPr="00B50F60" w:rsidRDefault="00B750C4" w:rsidP="00162654">
      <w:pPr>
        <w:pStyle w:val="Standardenglisch"/>
        <w:keepNext/>
        <w:keepLines/>
        <w:widowControl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1A694393" w14:textId="77777777" w:rsidR="00097E69" w:rsidRPr="00B50F60" w:rsidRDefault="005D7FF1" w:rsidP="00162654">
      <w:pPr>
        <w:pStyle w:val="Standardenglisch"/>
        <w:keepNext/>
        <w:keepLines/>
        <w:widowControl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 xml:space="preserve">Liečba </w:t>
      </w:r>
      <w:proofErr w:type="spellStart"/>
      <w:r w:rsidR="005E3151" w:rsidRPr="00B50F60">
        <w:rPr>
          <w:rFonts w:ascii="Times New Roman" w:hAnsi="Times New Roman"/>
          <w:szCs w:val="22"/>
          <w:lang w:val="sk-SK"/>
        </w:rPr>
        <w:t>d</w:t>
      </w:r>
      <w:r w:rsidRPr="00B50F60">
        <w:rPr>
          <w:rFonts w:ascii="Times New Roman" w:hAnsi="Times New Roman"/>
          <w:szCs w:val="22"/>
          <w:lang w:val="sk-SK"/>
        </w:rPr>
        <w:t>oxorubicínom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sa má začať konzultáciou s</w:t>
      </w:r>
      <w:r w:rsidR="005E3151" w:rsidRPr="00B50F60">
        <w:rPr>
          <w:rFonts w:ascii="Times New Roman" w:hAnsi="Times New Roman"/>
          <w:szCs w:val="22"/>
          <w:lang w:val="sk-SK"/>
        </w:rPr>
        <w:t> </w:t>
      </w:r>
      <w:r w:rsidRPr="00B50F60">
        <w:rPr>
          <w:rFonts w:ascii="Times New Roman" w:hAnsi="Times New Roman"/>
          <w:szCs w:val="22"/>
          <w:lang w:val="sk-SK"/>
        </w:rPr>
        <w:t>lekárom</w:t>
      </w:r>
      <w:r w:rsidR="005E3151" w:rsidRPr="00B50F60">
        <w:rPr>
          <w:rFonts w:ascii="Times New Roman" w:hAnsi="Times New Roman"/>
          <w:szCs w:val="22"/>
          <w:lang w:val="sk-SK"/>
        </w:rPr>
        <w:t xml:space="preserve">, ktorý má </w:t>
      </w:r>
      <w:r w:rsidRPr="00B50F60">
        <w:rPr>
          <w:rFonts w:ascii="Times New Roman" w:hAnsi="Times New Roman"/>
          <w:szCs w:val="22"/>
          <w:lang w:val="sk-SK"/>
        </w:rPr>
        <w:t>rozsiahl</w:t>
      </w:r>
      <w:r w:rsidR="005E3151" w:rsidRPr="00B50F60">
        <w:rPr>
          <w:rFonts w:ascii="Times New Roman" w:hAnsi="Times New Roman"/>
          <w:szCs w:val="22"/>
          <w:lang w:val="sk-SK"/>
        </w:rPr>
        <w:t>e</w:t>
      </w:r>
      <w:r w:rsidRPr="00B50F60">
        <w:rPr>
          <w:rFonts w:ascii="Times New Roman" w:hAnsi="Times New Roman"/>
          <w:szCs w:val="22"/>
          <w:lang w:val="sk-SK"/>
        </w:rPr>
        <w:t xml:space="preserve"> skúsenos</w:t>
      </w:r>
      <w:r w:rsidR="005E3151" w:rsidRPr="00B50F60">
        <w:rPr>
          <w:rFonts w:ascii="Times New Roman" w:hAnsi="Times New Roman"/>
          <w:szCs w:val="22"/>
          <w:lang w:val="sk-SK"/>
        </w:rPr>
        <w:t>t</w:t>
      </w:r>
      <w:r w:rsidRPr="00B50F60">
        <w:rPr>
          <w:rFonts w:ascii="Times New Roman" w:hAnsi="Times New Roman"/>
          <w:szCs w:val="22"/>
          <w:lang w:val="sk-SK"/>
        </w:rPr>
        <w:t>i v </w:t>
      </w:r>
      <w:proofErr w:type="spellStart"/>
      <w:r w:rsidRPr="00B50F60">
        <w:rPr>
          <w:rFonts w:ascii="Times New Roman" w:hAnsi="Times New Roman"/>
          <w:szCs w:val="22"/>
          <w:lang w:val="sk-SK"/>
        </w:rPr>
        <w:t>cytostatickej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liečbe alebo po </w:t>
      </w:r>
      <w:r w:rsidR="005E3151" w:rsidRPr="00B50F60">
        <w:rPr>
          <w:rFonts w:ascii="Times New Roman" w:hAnsi="Times New Roman"/>
          <w:szCs w:val="22"/>
          <w:lang w:val="sk-SK"/>
        </w:rPr>
        <w:t xml:space="preserve">takejto </w:t>
      </w:r>
      <w:r w:rsidRPr="00B50F60">
        <w:rPr>
          <w:rFonts w:ascii="Times New Roman" w:hAnsi="Times New Roman"/>
          <w:szCs w:val="22"/>
          <w:lang w:val="sk-SK"/>
        </w:rPr>
        <w:t>konzultácii.</w:t>
      </w:r>
    </w:p>
    <w:p w14:paraId="53521E77" w14:textId="77777777" w:rsidR="005D7FF1" w:rsidRPr="00B50F60" w:rsidRDefault="005D7FF1" w:rsidP="00162654">
      <w:pPr>
        <w:pStyle w:val="Standardenglisch"/>
        <w:keepNext/>
        <w:keepLines/>
        <w:widowControl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1067A0B0" w14:textId="77777777" w:rsidR="005D7FF1" w:rsidRPr="00B50F60" w:rsidRDefault="005D7FF1" w:rsidP="00162654">
      <w:pPr>
        <w:pStyle w:val="Standardenglisch"/>
        <w:keepNext/>
        <w:keepLines/>
        <w:widowControl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 xml:space="preserve">Z dôvodu rizika letálnej </w:t>
      </w:r>
      <w:proofErr w:type="spellStart"/>
      <w:r w:rsidRPr="00B50F60">
        <w:rPr>
          <w:rFonts w:ascii="Times New Roman" w:hAnsi="Times New Roman"/>
          <w:szCs w:val="22"/>
          <w:lang w:val="sk-SK"/>
        </w:rPr>
        <w:t>kardiomyopatie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sa majú pred každou aplikáciou zvážiť </w:t>
      </w:r>
      <w:r w:rsidR="005E3151" w:rsidRPr="00B50F60">
        <w:rPr>
          <w:rFonts w:ascii="Times New Roman" w:hAnsi="Times New Roman"/>
          <w:szCs w:val="22"/>
          <w:lang w:val="sk-SK"/>
        </w:rPr>
        <w:t xml:space="preserve">pre individuálneho pacienta </w:t>
      </w:r>
      <w:r w:rsidRPr="00B50F60">
        <w:rPr>
          <w:rFonts w:ascii="Times New Roman" w:hAnsi="Times New Roman"/>
          <w:szCs w:val="22"/>
          <w:lang w:val="sk-SK"/>
        </w:rPr>
        <w:t>riziká a prínosy.</w:t>
      </w:r>
    </w:p>
    <w:p w14:paraId="728C312A" w14:textId="77777777" w:rsidR="000955C8" w:rsidRPr="00B50F60" w:rsidRDefault="000955C8" w:rsidP="007E6C72">
      <w:pPr>
        <w:rPr>
          <w:rFonts w:ascii="Times New Roman" w:hAnsi="Times New Roman"/>
          <w:b/>
          <w:i/>
          <w:szCs w:val="22"/>
          <w:lang w:val="sk-SK"/>
        </w:rPr>
      </w:pPr>
    </w:p>
    <w:p w14:paraId="0746FF10" w14:textId="77777777" w:rsidR="00B750C4" w:rsidRPr="00B50F60" w:rsidRDefault="00173A45" w:rsidP="007E6C72">
      <w:pPr>
        <w:tabs>
          <w:tab w:val="left" w:pos="567"/>
        </w:tabs>
        <w:outlineLvl w:val="0"/>
        <w:rPr>
          <w:rFonts w:ascii="Times New Roman" w:hAnsi="Times New Roman"/>
          <w:i/>
          <w:szCs w:val="22"/>
          <w:u w:val="single"/>
          <w:lang w:val="sk-SK"/>
        </w:rPr>
      </w:pPr>
      <w:r w:rsidRPr="00B50F60">
        <w:rPr>
          <w:rFonts w:ascii="Times New Roman" w:hAnsi="Times New Roman"/>
          <w:szCs w:val="22"/>
          <w:u w:val="single"/>
          <w:lang w:val="sk-SK"/>
        </w:rPr>
        <w:t>Pre i</w:t>
      </w:r>
      <w:r w:rsidR="0068575E" w:rsidRPr="00B50F60">
        <w:rPr>
          <w:rFonts w:ascii="Times New Roman" w:hAnsi="Times New Roman"/>
          <w:szCs w:val="22"/>
          <w:u w:val="single"/>
          <w:lang w:val="sk-SK"/>
        </w:rPr>
        <w:t>ntraven</w:t>
      </w:r>
      <w:r w:rsidR="00BA0A38" w:rsidRPr="00B50F60">
        <w:rPr>
          <w:rFonts w:ascii="Times New Roman" w:hAnsi="Times New Roman"/>
          <w:szCs w:val="22"/>
          <w:u w:val="single"/>
          <w:lang w:val="sk-SK"/>
        </w:rPr>
        <w:t>ózne po</w:t>
      </w:r>
      <w:r w:rsidR="0009501C" w:rsidRPr="00B50F60">
        <w:rPr>
          <w:rFonts w:ascii="Times New Roman" w:hAnsi="Times New Roman"/>
          <w:szCs w:val="22"/>
          <w:u w:val="single"/>
          <w:lang w:val="sk-SK"/>
        </w:rPr>
        <w:t>užitie</w:t>
      </w:r>
    </w:p>
    <w:p w14:paraId="49B3C461" w14:textId="77777777" w:rsidR="005D7FF1" w:rsidRPr="00B50F60" w:rsidRDefault="005D7FF1" w:rsidP="00ED7827">
      <w:pPr>
        <w:pStyle w:val="Standardenglisch"/>
        <w:tabs>
          <w:tab w:val="left" w:pos="284"/>
          <w:tab w:val="left" w:pos="567"/>
        </w:tabs>
        <w:jc w:val="both"/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>Intravenózne podávanie:</w:t>
      </w:r>
    </w:p>
    <w:p w14:paraId="1081A697" w14:textId="77777777" w:rsidR="005D7FF1" w:rsidRPr="00B50F60" w:rsidRDefault="005D7FF1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 xml:space="preserve">Dávkovanie </w:t>
      </w:r>
      <w:proofErr w:type="spellStart"/>
      <w:r w:rsidRPr="00B50F60">
        <w:rPr>
          <w:rFonts w:ascii="Times New Roman" w:hAnsi="Times New Roman"/>
          <w:szCs w:val="22"/>
          <w:lang w:val="sk-SK"/>
        </w:rPr>
        <w:t>doxorubicínu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závisí od dávkovacieho režimu, celkového stavu a predchádzajúcej liečby pacienta.</w:t>
      </w:r>
    </w:p>
    <w:p w14:paraId="58E0B12A" w14:textId="77777777" w:rsidR="005D7FF1" w:rsidRPr="00B50F60" w:rsidRDefault="005D7FF1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3EF98EF2" w14:textId="77777777" w:rsidR="005D7FF1" w:rsidRPr="00B50F60" w:rsidRDefault="005D7FF1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 xml:space="preserve">Odporúča sa neprekračovať </w:t>
      </w:r>
      <w:r w:rsidR="005E3151" w:rsidRPr="00B50F60">
        <w:rPr>
          <w:rFonts w:ascii="Times New Roman" w:hAnsi="Times New Roman"/>
          <w:szCs w:val="22"/>
          <w:lang w:val="sk-SK"/>
        </w:rPr>
        <w:t xml:space="preserve">celkovú </w:t>
      </w:r>
      <w:r w:rsidRPr="00B50F60">
        <w:rPr>
          <w:rFonts w:ascii="Times New Roman" w:hAnsi="Times New Roman"/>
          <w:szCs w:val="22"/>
          <w:lang w:val="sk-SK"/>
        </w:rPr>
        <w:t xml:space="preserve">kumulatívnu </w:t>
      </w:r>
      <w:r w:rsidR="005E3151" w:rsidRPr="00B50F60">
        <w:rPr>
          <w:rFonts w:ascii="Times New Roman" w:hAnsi="Times New Roman"/>
          <w:szCs w:val="22"/>
          <w:lang w:val="sk-SK"/>
        </w:rPr>
        <w:t>životnú</w:t>
      </w:r>
      <w:r w:rsidRPr="00B50F60">
        <w:rPr>
          <w:rFonts w:ascii="Times New Roman" w:hAnsi="Times New Roman"/>
          <w:szCs w:val="22"/>
          <w:lang w:val="sk-SK"/>
        </w:rPr>
        <w:t xml:space="preserve"> dávk</w:t>
      </w:r>
      <w:r w:rsidR="009D6510" w:rsidRPr="00B50F60">
        <w:rPr>
          <w:rFonts w:ascii="Times New Roman" w:hAnsi="Times New Roman"/>
          <w:szCs w:val="22"/>
          <w:lang w:val="sk-SK"/>
        </w:rPr>
        <w:t xml:space="preserve">u </w:t>
      </w:r>
      <w:proofErr w:type="spellStart"/>
      <w:r w:rsidRPr="00B50F60">
        <w:rPr>
          <w:rFonts w:ascii="Times New Roman" w:hAnsi="Times New Roman"/>
          <w:szCs w:val="22"/>
          <w:lang w:val="sk-SK"/>
        </w:rPr>
        <w:t>doxorubicínu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(vrátane príbuzných lie</w:t>
      </w:r>
      <w:r w:rsidR="00E451FE" w:rsidRPr="00B50F60">
        <w:rPr>
          <w:rFonts w:ascii="Times New Roman" w:hAnsi="Times New Roman"/>
          <w:szCs w:val="22"/>
          <w:lang w:val="sk-SK"/>
        </w:rPr>
        <w:t>kov</w:t>
      </w:r>
      <w:r w:rsidRPr="00B50F60">
        <w:rPr>
          <w:rFonts w:ascii="Times New Roman" w:hAnsi="Times New Roman"/>
          <w:szCs w:val="22"/>
          <w:lang w:val="sk-SK"/>
        </w:rPr>
        <w:t xml:space="preserve">, ako je </w:t>
      </w:r>
      <w:proofErr w:type="spellStart"/>
      <w:r w:rsidRPr="00B50F60">
        <w:rPr>
          <w:rFonts w:ascii="Times New Roman" w:hAnsi="Times New Roman"/>
          <w:szCs w:val="22"/>
          <w:lang w:val="sk-SK"/>
        </w:rPr>
        <w:t>daunorubicín</w:t>
      </w:r>
      <w:proofErr w:type="spellEnd"/>
      <w:r w:rsidRPr="00B50F60">
        <w:rPr>
          <w:rFonts w:ascii="Times New Roman" w:hAnsi="Times New Roman"/>
          <w:szCs w:val="22"/>
          <w:lang w:val="sk-SK"/>
        </w:rPr>
        <w:t>) 450</w:t>
      </w:r>
      <w:r w:rsidR="00D56469" w:rsidRPr="00B50F60">
        <w:rPr>
          <w:rFonts w:ascii="Times New Roman" w:hAnsi="Times New Roman"/>
          <w:szCs w:val="22"/>
          <w:lang w:val="sk-SK"/>
        </w:rPr>
        <w:t xml:space="preserve"> – </w:t>
      </w:r>
      <w:r w:rsidRPr="00B50F60">
        <w:rPr>
          <w:rFonts w:ascii="Times New Roman" w:hAnsi="Times New Roman"/>
          <w:szCs w:val="22"/>
          <w:lang w:val="sk-SK"/>
        </w:rPr>
        <w:t>550 mg/</w:t>
      </w:r>
      <w:r w:rsidR="00D56469" w:rsidRPr="00B50F60">
        <w:rPr>
          <w:rFonts w:ascii="Times New Roman" w:hAnsi="Times New Roman"/>
          <w:szCs w:val="22"/>
          <w:lang w:val="sk-SK"/>
        </w:rPr>
        <w:t>m²</w:t>
      </w:r>
      <w:r w:rsidRPr="00B50F60">
        <w:rPr>
          <w:rFonts w:ascii="Times New Roman" w:hAnsi="Times New Roman"/>
          <w:szCs w:val="22"/>
          <w:lang w:val="sk-SK"/>
        </w:rPr>
        <w:t xml:space="preserve"> plochy povrchu tela, aby sa zabránilo </w:t>
      </w:r>
      <w:r w:rsidR="00BA153F" w:rsidRPr="00B50F60">
        <w:rPr>
          <w:rFonts w:ascii="Times New Roman" w:hAnsi="Times New Roman"/>
          <w:szCs w:val="22"/>
          <w:lang w:val="sk-SK"/>
        </w:rPr>
        <w:t xml:space="preserve">vzniku </w:t>
      </w:r>
      <w:proofErr w:type="spellStart"/>
      <w:r w:rsidRPr="00B50F60">
        <w:rPr>
          <w:rFonts w:ascii="Times New Roman" w:hAnsi="Times New Roman"/>
          <w:szCs w:val="22"/>
          <w:lang w:val="sk-SK"/>
        </w:rPr>
        <w:t>kardiomyopati</w:t>
      </w:r>
      <w:r w:rsidR="00BA153F" w:rsidRPr="00B50F60">
        <w:rPr>
          <w:rFonts w:ascii="Times New Roman" w:hAnsi="Times New Roman"/>
          <w:szCs w:val="22"/>
          <w:lang w:val="sk-SK"/>
        </w:rPr>
        <w:t>e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. Ak sú pacienti so súbežným ochorením srdca ožarovaní v oblasti </w:t>
      </w:r>
      <w:proofErr w:type="spellStart"/>
      <w:r w:rsidRPr="00B50F60">
        <w:rPr>
          <w:rFonts w:ascii="Times New Roman" w:hAnsi="Times New Roman"/>
          <w:szCs w:val="22"/>
          <w:lang w:val="sk-SK"/>
        </w:rPr>
        <w:t>mediastína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a/alebo srdca, pred liečbou </w:t>
      </w:r>
      <w:proofErr w:type="spellStart"/>
      <w:r w:rsidRPr="00B50F60">
        <w:rPr>
          <w:rFonts w:ascii="Times New Roman" w:hAnsi="Times New Roman"/>
          <w:szCs w:val="22"/>
          <w:lang w:val="sk-SK"/>
        </w:rPr>
        <w:t>alk</w:t>
      </w:r>
      <w:r w:rsidR="009D6510" w:rsidRPr="00B50F60">
        <w:rPr>
          <w:rFonts w:ascii="Times New Roman" w:hAnsi="Times New Roman"/>
          <w:szCs w:val="22"/>
          <w:lang w:val="sk-SK"/>
        </w:rPr>
        <w:t>yl</w:t>
      </w:r>
      <w:r w:rsidRPr="00B50F60">
        <w:rPr>
          <w:rFonts w:ascii="Times New Roman" w:hAnsi="Times New Roman"/>
          <w:szCs w:val="22"/>
          <w:lang w:val="sk-SK"/>
        </w:rPr>
        <w:t>ujúcimi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látkami alebo súbežnou liečbou potenciálne </w:t>
      </w:r>
      <w:proofErr w:type="spellStart"/>
      <w:r w:rsidRPr="00B50F60">
        <w:rPr>
          <w:rFonts w:ascii="Times New Roman" w:hAnsi="Times New Roman"/>
          <w:szCs w:val="22"/>
          <w:lang w:val="sk-SK"/>
        </w:rPr>
        <w:t>kardiotoxickými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látkami a</w:t>
      </w:r>
      <w:r w:rsidR="009D6510" w:rsidRPr="00B50F60">
        <w:rPr>
          <w:rFonts w:ascii="Times New Roman" w:hAnsi="Times New Roman"/>
          <w:szCs w:val="22"/>
          <w:lang w:val="sk-SK"/>
        </w:rPr>
        <w:t xml:space="preserve"> u </w:t>
      </w:r>
      <w:r w:rsidRPr="00B50F60">
        <w:rPr>
          <w:rFonts w:ascii="Times New Roman" w:hAnsi="Times New Roman"/>
          <w:szCs w:val="22"/>
          <w:lang w:val="sk-SK"/>
        </w:rPr>
        <w:t>vysokorizikov</w:t>
      </w:r>
      <w:r w:rsidR="009D6510" w:rsidRPr="00B50F60">
        <w:rPr>
          <w:rFonts w:ascii="Times New Roman" w:hAnsi="Times New Roman"/>
          <w:szCs w:val="22"/>
          <w:lang w:val="sk-SK"/>
        </w:rPr>
        <w:t>ých</w:t>
      </w:r>
      <w:r w:rsidRPr="00B50F60">
        <w:rPr>
          <w:rFonts w:ascii="Times New Roman" w:hAnsi="Times New Roman"/>
          <w:szCs w:val="22"/>
          <w:lang w:val="sk-SK"/>
        </w:rPr>
        <w:t xml:space="preserve"> pacient</w:t>
      </w:r>
      <w:r w:rsidR="009D6510" w:rsidRPr="00B50F60">
        <w:rPr>
          <w:rFonts w:ascii="Times New Roman" w:hAnsi="Times New Roman"/>
          <w:szCs w:val="22"/>
          <w:lang w:val="sk-SK"/>
        </w:rPr>
        <w:t>ov</w:t>
      </w:r>
      <w:r w:rsidRPr="00B50F60">
        <w:rPr>
          <w:rFonts w:ascii="Times New Roman" w:hAnsi="Times New Roman"/>
          <w:szCs w:val="22"/>
          <w:lang w:val="sk-SK"/>
        </w:rPr>
        <w:t xml:space="preserve"> (s </w:t>
      </w:r>
      <w:proofErr w:type="spellStart"/>
      <w:r w:rsidRPr="00B50F60">
        <w:rPr>
          <w:rFonts w:ascii="Times New Roman" w:hAnsi="Times New Roman"/>
          <w:szCs w:val="22"/>
          <w:lang w:val="sk-SK"/>
        </w:rPr>
        <w:t>arteriálnou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hypertenziou </w:t>
      </w:r>
      <w:r w:rsidR="00304816" w:rsidRPr="00B50F60">
        <w:rPr>
          <w:rFonts w:ascii="Times New Roman" w:hAnsi="Times New Roman"/>
          <w:szCs w:val="22"/>
          <w:lang w:val="sk-SK"/>
        </w:rPr>
        <w:t>trvajúci dlhšie ako</w:t>
      </w:r>
      <w:r w:rsidRPr="00B50F60">
        <w:rPr>
          <w:rFonts w:ascii="Times New Roman" w:hAnsi="Times New Roman"/>
          <w:szCs w:val="22"/>
          <w:lang w:val="sk-SK"/>
        </w:rPr>
        <w:t> 5 rokov, s predchádzajúc</w:t>
      </w:r>
      <w:r w:rsidR="009D6510" w:rsidRPr="00B50F60">
        <w:rPr>
          <w:rFonts w:ascii="Times New Roman" w:hAnsi="Times New Roman"/>
          <w:szCs w:val="22"/>
          <w:lang w:val="sk-SK"/>
        </w:rPr>
        <w:t>im</w:t>
      </w:r>
      <w:r w:rsidRPr="00B50F60">
        <w:rPr>
          <w:rFonts w:ascii="Times New Roman" w:hAnsi="Times New Roman"/>
          <w:szCs w:val="22"/>
          <w:lang w:val="sk-SK"/>
        </w:rPr>
        <w:t xml:space="preserve"> </w:t>
      </w:r>
      <w:r w:rsidR="00304816" w:rsidRPr="00B50F60">
        <w:rPr>
          <w:rFonts w:ascii="Times New Roman" w:hAnsi="Times New Roman"/>
          <w:szCs w:val="22"/>
          <w:lang w:val="sk-SK"/>
        </w:rPr>
        <w:t xml:space="preserve">poškodením </w:t>
      </w:r>
      <w:r w:rsidRPr="00B50F60">
        <w:rPr>
          <w:rFonts w:ascii="Times New Roman" w:hAnsi="Times New Roman"/>
          <w:szCs w:val="22"/>
          <w:lang w:val="sk-SK"/>
        </w:rPr>
        <w:t>koronárny</w:t>
      </w:r>
      <w:r w:rsidR="00304816" w:rsidRPr="00B50F60">
        <w:rPr>
          <w:rFonts w:ascii="Times New Roman" w:hAnsi="Times New Roman"/>
          <w:szCs w:val="22"/>
          <w:lang w:val="sk-SK"/>
        </w:rPr>
        <w:t>ch ciev, srdcových chlopní alebo</w:t>
      </w:r>
      <w:r w:rsidR="00966457" w:rsidRPr="00B50F60">
        <w:rPr>
          <w:rFonts w:ascii="Times New Roman" w:hAnsi="Times New Roman"/>
          <w:szCs w:val="22"/>
          <w:lang w:val="sk-SK"/>
        </w:rPr>
        <w:t xml:space="preserve"> poškodením myokardu, </w:t>
      </w:r>
      <w:r w:rsidR="009D6510" w:rsidRPr="00B50F60">
        <w:rPr>
          <w:rFonts w:ascii="Times New Roman" w:hAnsi="Times New Roman"/>
          <w:szCs w:val="22"/>
          <w:lang w:val="sk-SK"/>
        </w:rPr>
        <w:t xml:space="preserve">vo </w:t>
      </w:r>
      <w:r w:rsidR="00966457" w:rsidRPr="00B50F60">
        <w:rPr>
          <w:rFonts w:ascii="Times New Roman" w:hAnsi="Times New Roman"/>
          <w:szCs w:val="22"/>
          <w:lang w:val="sk-SK"/>
        </w:rPr>
        <w:t>vek</w:t>
      </w:r>
      <w:r w:rsidR="009D6510" w:rsidRPr="00B50F60">
        <w:rPr>
          <w:rFonts w:ascii="Times New Roman" w:hAnsi="Times New Roman"/>
          <w:szCs w:val="22"/>
          <w:lang w:val="sk-SK"/>
        </w:rPr>
        <w:t>u</w:t>
      </w:r>
      <w:r w:rsidR="00966457" w:rsidRPr="00B50F60">
        <w:rPr>
          <w:rFonts w:ascii="Times New Roman" w:hAnsi="Times New Roman"/>
          <w:szCs w:val="22"/>
          <w:lang w:val="sk-SK"/>
        </w:rPr>
        <w:t xml:space="preserve"> nad 70</w:t>
      </w:r>
      <w:r w:rsidR="009D6510" w:rsidRPr="00B50F60">
        <w:rPr>
          <w:rFonts w:ascii="Times New Roman" w:hAnsi="Times New Roman"/>
          <w:szCs w:val="22"/>
          <w:lang w:val="sk-SK"/>
        </w:rPr>
        <w:t> </w:t>
      </w:r>
      <w:r w:rsidR="00966457" w:rsidRPr="00B50F60">
        <w:rPr>
          <w:rFonts w:ascii="Times New Roman" w:hAnsi="Times New Roman"/>
          <w:szCs w:val="22"/>
          <w:lang w:val="sk-SK"/>
        </w:rPr>
        <w:t>rokov) sa nemá prekročiť maximálna celková dávka 400 mg/</w:t>
      </w:r>
      <w:r w:rsidR="00D56469" w:rsidRPr="00B50F60">
        <w:rPr>
          <w:rFonts w:ascii="Times New Roman" w:hAnsi="Times New Roman"/>
          <w:szCs w:val="22"/>
          <w:lang w:val="sk-SK"/>
        </w:rPr>
        <w:t>m²</w:t>
      </w:r>
      <w:r w:rsidR="00966457" w:rsidRPr="00B50F60">
        <w:rPr>
          <w:rFonts w:ascii="Times New Roman" w:hAnsi="Times New Roman"/>
          <w:szCs w:val="22"/>
          <w:lang w:val="sk-SK"/>
        </w:rPr>
        <w:t xml:space="preserve"> plochy povrchu tela a funkcia srdca sa má u týchto pacientov sledovať (pozri časť</w:t>
      </w:r>
      <w:r w:rsidR="00214540" w:rsidRPr="00B50F60">
        <w:rPr>
          <w:rFonts w:ascii="Times New Roman" w:hAnsi="Times New Roman"/>
          <w:szCs w:val="22"/>
          <w:lang w:val="sk-SK"/>
        </w:rPr>
        <w:t> </w:t>
      </w:r>
      <w:r w:rsidR="00966457" w:rsidRPr="00B50F60">
        <w:rPr>
          <w:rFonts w:ascii="Times New Roman" w:hAnsi="Times New Roman"/>
          <w:szCs w:val="22"/>
          <w:lang w:val="sk-SK"/>
        </w:rPr>
        <w:t>4.4).</w:t>
      </w:r>
    </w:p>
    <w:p w14:paraId="06EDA8F8" w14:textId="77777777" w:rsidR="005D7FF1" w:rsidRPr="00B50F60" w:rsidRDefault="005D7FF1" w:rsidP="00ED7827">
      <w:pPr>
        <w:pStyle w:val="Standardenglisch"/>
        <w:tabs>
          <w:tab w:val="left" w:pos="284"/>
          <w:tab w:val="left" w:pos="567"/>
        </w:tabs>
        <w:jc w:val="both"/>
        <w:rPr>
          <w:rFonts w:ascii="Times New Roman" w:hAnsi="Times New Roman"/>
          <w:szCs w:val="22"/>
          <w:lang w:val="sk-SK"/>
        </w:rPr>
      </w:pPr>
    </w:p>
    <w:p w14:paraId="6677D768" w14:textId="77777777" w:rsidR="00B750C4" w:rsidRPr="00B50F60" w:rsidRDefault="000E3A0F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 xml:space="preserve">Roztok sa podáva </w:t>
      </w:r>
      <w:r w:rsidR="00A70B1E" w:rsidRPr="00B50F60">
        <w:rPr>
          <w:rFonts w:ascii="Times New Roman" w:hAnsi="Times New Roman"/>
          <w:szCs w:val="22"/>
          <w:lang w:val="sk-SK"/>
        </w:rPr>
        <w:t xml:space="preserve">v </w:t>
      </w:r>
      <w:r w:rsidR="008B6A33" w:rsidRPr="00B50F60">
        <w:rPr>
          <w:rFonts w:ascii="Times New Roman" w:hAnsi="Times New Roman"/>
          <w:szCs w:val="22"/>
          <w:lang w:val="sk-SK"/>
        </w:rPr>
        <w:t>0,9</w:t>
      </w:r>
      <w:r w:rsidR="00CE22BE" w:rsidRPr="00B50F60">
        <w:rPr>
          <w:rFonts w:ascii="Times New Roman" w:hAnsi="Times New Roman"/>
          <w:szCs w:val="22"/>
          <w:lang w:val="sk-SK"/>
        </w:rPr>
        <w:t> </w:t>
      </w:r>
      <w:r w:rsidR="008B6A33" w:rsidRPr="00B50F60">
        <w:rPr>
          <w:rFonts w:ascii="Times New Roman" w:hAnsi="Times New Roman"/>
          <w:szCs w:val="22"/>
          <w:lang w:val="sk-SK"/>
        </w:rPr>
        <w:t>% roztoku chloridu sodného alebo 5</w:t>
      </w:r>
      <w:r w:rsidR="00214540" w:rsidRPr="00B50F60">
        <w:rPr>
          <w:rFonts w:ascii="Times New Roman" w:hAnsi="Times New Roman"/>
          <w:szCs w:val="22"/>
          <w:lang w:val="sk-SK"/>
        </w:rPr>
        <w:t> </w:t>
      </w:r>
      <w:r w:rsidR="008B6A33" w:rsidRPr="00B50F60">
        <w:rPr>
          <w:rFonts w:ascii="Times New Roman" w:hAnsi="Times New Roman"/>
          <w:szCs w:val="22"/>
          <w:lang w:val="sk-SK"/>
        </w:rPr>
        <w:t xml:space="preserve">% roztoku </w:t>
      </w:r>
      <w:r w:rsidR="006F726B" w:rsidRPr="00B50F60">
        <w:rPr>
          <w:rFonts w:ascii="Times New Roman" w:hAnsi="Times New Roman"/>
          <w:szCs w:val="22"/>
          <w:lang w:val="sk-SK"/>
        </w:rPr>
        <w:t>gluk</w:t>
      </w:r>
      <w:r w:rsidR="008B6A33" w:rsidRPr="00B50F60">
        <w:rPr>
          <w:rFonts w:ascii="Times New Roman" w:hAnsi="Times New Roman"/>
          <w:szCs w:val="22"/>
          <w:lang w:val="sk-SK"/>
        </w:rPr>
        <w:t xml:space="preserve">ózy </w:t>
      </w:r>
      <w:r w:rsidR="00A70B1E" w:rsidRPr="00B50F60">
        <w:rPr>
          <w:rFonts w:ascii="Times New Roman" w:hAnsi="Times New Roman"/>
          <w:szCs w:val="22"/>
          <w:lang w:val="sk-SK"/>
        </w:rPr>
        <w:t xml:space="preserve">formou voľne tečúcej intravenóznej infúzie </w:t>
      </w:r>
      <w:r w:rsidR="008B6A33" w:rsidRPr="00B50F60">
        <w:rPr>
          <w:rFonts w:ascii="Times New Roman" w:hAnsi="Times New Roman"/>
          <w:szCs w:val="22"/>
          <w:lang w:val="sk-SK"/>
        </w:rPr>
        <w:t xml:space="preserve">do veľkej žily s použitím </w:t>
      </w:r>
      <w:proofErr w:type="spellStart"/>
      <w:r w:rsidR="00A70B1E" w:rsidRPr="00B50F60">
        <w:rPr>
          <w:rFonts w:ascii="Times New Roman" w:hAnsi="Times New Roman"/>
          <w:szCs w:val="22"/>
          <w:lang w:val="sk-SK"/>
        </w:rPr>
        <w:t>infúzného</w:t>
      </w:r>
      <w:proofErr w:type="spellEnd"/>
      <w:r w:rsidR="00A70B1E" w:rsidRPr="00B50F60">
        <w:rPr>
          <w:rFonts w:ascii="Times New Roman" w:hAnsi="Times New Roman"/>
          <w:szCs w:val="22"/>
          <w:lang w:val="sk-SK"/>
        </w:rPr>
        <w:t xml:space="preserve"> setu</w:t>
      </w:r>
      <w:r w:rsidR="008B6A33" w:rsidRPr="00B50F60">
        <w:rPr>
          <w:rFonts w:ascii="Times New Roman" w:hAnsi="Times New Roman"/>
          <w:szCs w:val="22"/>
          <w:lang w:val="sk-SK"/>
        </w:rPr>
        <w:t xml:space="preserve"> </w:t>
      </w:r>
      <w:r w:rsidR="004C238E" w:rsidRPr="00B50F60">
        <w:rPr>
          <w:rFonts w:ascii="Times New Roman" w:hAnsi="Times New Roman"/>
          <w:szCs w:val="22"/>
          <w:lang w:val="sk-SK"/>
        </w:rPr>
        <w:t>po dobu</w:t>
      </w:r>
      <w:r w:rsidR="00D37BFA" w:rsidRPr="00B50F60">
        <w:rPr>
          <w:rFonts w:ascii="Times New Roman" w:hAnsi="Times New Roman"/>
          <w:szCs w:val="22"/>
          <w:lang w:val="sk-SK"/>
        </w:rPr>
        <w:t xml:space="preserve"> </w:t>
      </w:r>
      <w:r w:rsidR="00580FBD" w:rsidRPr="00B50F60">
        <w:rPr>
          <w:rFonts w:ascii="Times New Roman" w:hAnsi="Times New Roman"/>
          <w:szCs w:val="22"/>
          <w:lang w:val="sk-SK"/>
        </w:rPr>
        <w:t>2 až 3</w:t>
      </w:r>
      <w:r w:rsidR="00214540" w:rsidRPr="00B50F60">
        <w:rPr>
          <w:rFonts w:ascii="Times New Roman" w:hAnsi="Times New Roman"/>
          <w:szCs w:val="22"/>
          <w:lang w:val="sk-SK"/>
        </w:rPr>
        <w:t> </w:t>
      </w:r>
      <w:r w:rsidR="00580FBD" w:rsidRPr="00B50F60">
        <w:rPr>
          <w:rFonts w:ascii="Times New Roman" w:hAnsi="Times New Roman"/>
          <w:szCs w:val="22"/>
          <w:lang w:val="sk-SK"/>
        </w:rPr>
        <w:t xml:space="preserve">minút. </w:t>
      </w:r>
      <w:r w:rsidR="008B6A33" w:rsidRPr="00B50F60">
        <w:rPr>
          <w:rFonts w:ascii="Times New Roman" w:hAnsi="Times New Roman"/>
          <w:szCs w:val="22"/>
          <w:lang w:val="sk-SK"/>
        </w:rPr>
        <w:t xml:space="preserve">Tento </w:t>
      </w:r>
      <w:r w:rsidR="00D37BFA" w:rsidRPr="00B50F60">
        <w:rPr>
          <w:rFonts w:ascii="Times New Roman" w:hAnsi="Times New Roman"/>
          <w:szCs w:val="22"/>
          <w:lang w:val="sk-SK"/>
        </w:rPr>
        <w:t xml:space="preserve">postup </w:t>
      </w:r>
      <w:r w:rsidR="008B6A33" w:rsidRPr="00B50F60">
        <w:rPr>
          <w:rFonts w:ascii="Times New Roman" w:hAnsi="Times New Roman"/>
          <w:szCs w:val="22"/>
          <w:lang w:val="sk-SK"/>
        </w:rPr>
        <w:t xml:space="preserve">minimalizuje riziko </w:t>
      </w:r>
      <w:r w:rsidR="00D37BFA" w:rsidRPr="00B50F60">
        <w:rPr>
          <w:rFonts w:ascii="Times New Roman" w:hAnsi="Times New Roman"/>
          <w:szCs w:val="22"/>
          <w:lang w:val="sk-SK"/>
        </w:rPr>
        <w:t xml:space="preserve">vzniku </w:t>
      </w:r>
      <w:r w:rsidR="008B6A33" w:rsidRPr="00B50F60">
        <w:rPr>
          <w:rFonts w:ascii="Times New Roman" w:hAnsi="Times New Roman"/>
          <w:szCs w:val="22"/>
          <w:lang w:val="sk-SK"/>
        </w:rPr>
        <w:t>trombózy</w:t>
      </w:r>
      <w:r w:rsidR="00BB6E39" w:rsidRPr="00B50F60">
        <w:rPr>
          <w:rFonts w:ascii="Times New Roman" w:hAnsi="Times New Roman"/>
          <w:szCs w:val="22"/>
          <w:lang w:val="sk-SK"/>
        </w:rPr>
        <w:t xml:space="preserve"> alebo </w:t>
      </w:r>
      <w:proofErr w:type="spellStart"/>
      <w:r w:rsidR="00D37BFA" w:rsidRPr="00B50F60">
        <w:rPr>
          <w:rFonts w:ascii="Times New Roman" w:hAnsi="Times New Roman"/>
          <w:szCs w:val="22"/>
          <w:lang w:val="sk-SK"/>
        </w:rPr>
        <w:t>perivenóznej</w:t>
      </w:r>
      <w:proofErr w:type="spellEnd"/>
      <w:r w:rsidR="00D37BFA" w:rsidRPr="00B50F6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="00D37BFA" w:rsidRPr="00B50F60">
        <w:rPr>
          <w:rFonts w:ascii="Times New Roman" w:hAnsi="Times New Roman"/>
          <w:szCs w:val="22"/>
          <w:lang w:val="sk-SK"/>
        </w:rPr>
        <w:t>extravazácie</w:t>
      </w:r>
      <w:proofErr w:type="spellEnd"/>
      <w:r w:rsidR="00BB6E39" w:rsidRPr="00B50F60">
        <w:rPr>
          <w:rFonts w:ascii="Times New Roman" w:hAnsi="Times New Roman"/>
          <w:szCs w:val="22"/>
          <w:lang w:val="sk-SK"/>
        </w:rPr>
        <w:t>, ktoré môž</w:t>
      </w:r>
      <w:r w:rsidR="00D37BFA" w:rsidRPr="00B50F60">
        <w:rPr>
          <w:rFonts w:ascii="Times New Roman" w:hAnsi="Times New Roman"/>
          <w:szCs w:val="22"/>
          <w:lang w:val="sk-SK"/>
        </w:rPr>
        <w:t>u</w:t>
      </w:r>
      <w:r w:rsidR="00BB6E39" w:rsidRPr="00B50F60">
        <w:rPr>
          <w:rFonts w:ascii="Times New Roman" w:hAnsi="Times New Roman"/>
          <w:szCs w:val="22"/>
          <w:lang w:val="sk-SK"/>
        </w:rPr>
        <w:t xml:space="preserve"> viesť k závažnej lokálnej celulitíde a </w:t>
      </w:r>
      <w:proofErr w:type="spellStart"/>
      <w:r w:rsidR="00BB6E39" w:rsidRPr="00B50F60">
        <w:rPr>
          <w:rFonts w:ascii="Times New Roman" w:hAnsi="Times New Roman"/>
          <w:szCs w:val="22"/>
          <w:lang w:val="sk-SK"/>
        </w:rPr>
        <w:t>nekróze</w:t>
      </w:r>
      <w:proofErr w:type="spellEnd"/>
      <w:r w:rsidR="00BB6E39" w:rsidRPr="00B50F60">
        <w:rPr>
          <w:rFonts w:ascii="Times New Roman" w:hAnsi="Times New Roman"/>
          <w:szCs w:val="22"/>
          <w:lang w:val="sk-SK"/>
        </w:rPr>
        <w:t>.</w:t>
      </w:r>
    </w:p>
    <w:p w14:paraId="1E8F9C28" w14:textId="77777777" w:rsidR="00B750C4" w:rsidRPr="00B50F60" w:rsidRDefault="00B750C4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0666692D" w14:textId="77777777" w:rsidR="00BB6E39" w:rsidRPr="00B50F60" w:rsidRDefault="00BB6E39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color w:val="000000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 xml:space="preserve">Dávka sa </w:t>
      </w:r>
      <w:r w:rsidR="00F071E1" w:rsidRPr="00B50F60">
        <w:rPr>
          <w:rFonts w:ascii="Times New Roman" w:hAnsi="Times New Roman"/>
          <w:szCs w:val="22"/>
          <w:lang w:val="sk-SK"/>
        </w:rPr>
        <w:t xml:space="preserve">zvyčajne </w:t>
      </w:r>
      <w:r w:rsidRPr="00B50F60">
        <w:rPr>
          <w:rFonts w:ascii="Times New Roman" w:hAnsi="Times New Roman"/>
          <w:szCs w:val="22"/>
          <w:lang w:val="sk-SK"/>
        </w:rPr>
        <w:t>vypočíta</w:t>
      </w:r>
      <w:r w:rsidR="00F071E1" w:rsidRPr="00B50F60">
        <w:rPr>
          <w:rFonts w:ascii="Times New Roman" w:hAnsi="Times New Roman"/>
          <w:szCs w:val="22"/>
          <w:lang w:val="sk-SK"/>
        </w:rPr>
        <w:t>va</w:t>
      </w:r>
      <w:r w:rsidRPr="00B50F60">
        <w:rPr>
          <w:rFonts w:ascii="Times New Roman" w:hAnsi="Times New Roman"/>
          <w:szCs w:val="22"/>
          <w:lang w:val="sk-SK"/>
        </w:rPr>
        <w:t xml:space="preserve"> na základe </w:t>
      </w:r>
      <w:r w:rsidR="00F071E1" w:rsidRPr="00B50F60">
        <w:rPr>
          <w:rFonts w:ascii="Times New Roman" w:hAnsi="Times New Roman"/>
          <w:szCs w:val="22"/>
          <w:lang w:val="sk-SK"/>
        </w:rPr>
        <w:t xml:space="preserve">plochy </w:t>
      </w:r>
      <w:r w:rsidRPr="00B50F60">
        <w:rPr>
          <w:rFonts w:ascii="Times New Roman" w:hAnsi="Times New Roman"/>
          <w:szCs w:val="22"/>
          <w:lang w:val="sk-SK"/>
        </w:rPr>
        <w:t>telesného povrchu.</w:t>
      </w:r>
      <w:r w:rsidR="00F071E1" w:rsidRPr="00B50F60">
        <w:rPr>
          <w:rFonts w:ascii="Times New Roman" w:hAnsi="Times New Roman"/>
          <w:szCs w:val="22"/>
          <w:lang w:val="sk-SK"/>
        </w:rPr>
        <w:t xml:space="preserve"> V prípade, že sa </w:t>
      </w:r>
      <w:proofErr w:type="spellStart"/>
      <w:r w:rsidR="000A37F5" w:rsidRPr="00B50F60">
        <w:rPr>
          <w:rFonts w:ascii="Times New Roman" w:hAnsi="Times New Roman"/>
          <w:szCs w:val="22"/>
          <w:lang w:val="sk-SK"/>
        </w:rPr>
        <w:t>doxorubicín</w:t>
      </w:r>
      <w:proofErr w:type="spellEnd"/>
      <w:r w:rsidR="000A37F5" w:rsidRPr="00B50F60">
        <w:rPr>
          <w:rFonts w:ascii="Times New Roman" w:hAnsi="Times New Roman"/>
          <w:szCs w:val="22"/>
          <w:lang w:val="sk-SK"/>
        </w:rPr>
        <w:t xml:space="preserve"> podáva samostatne, odporúča sa rozmedzie dávok 60</w:t>
      </w:r>
      <w:r w:rsidR="00D56469" w:rsidRPr="00B50F60">
        <w:rPr>
          <w:rFonts w:ascii="Times New Roman" w:hAnsi="Times New Roman"/>
          <w:szCs w:val="22"/>
          <w:lang w:val="sk-SK"/>
        </w:rPr>
        <w:t> </w:t>
      </w:r>
      <w:r w:rsidR="000A37F5" w:rsidRPr="00B50F60">
        <w:rPr>
          <w:rFonts w:ascii="Times New Roman" w:hAnsi="Times New Roman"/>
          <w:szCs w:val="22"/>
          <w:lang w:val="sk-SK"/>
        </w:rPr>
        <w:t>– 75</w:t>
      </w:r>
      <w:r w:rsidR="00CE22BE" w:rsidRPr="00B50F60">
        <w:rPr>
          <w:rFonts w:ascii="Times New Roman" w:hAnsi="Times New Roman"/>
          <w:szCs w:val="22"/>
          <w:lang w:val="sk-SK"/>
        </w:rPr>
        <w:t> </w:t>
      </w:r>
      <w:r w:rsidR="000A37F5" w:rsidRPr="00B50F60">
        <w:rPr>
          <w:rFonts w:ascii="Times New Roman" w:hAnsi="Times New Roman"/>
          <w:szCs w:val="22"/>
          <w:lang w:val="sk-SK"/>
        </w:rPr>
        <w:t>mg</w:t>
      </w:r>
      <w:r w:rsidR="000A37F5" w:rsidRPr="00B50F60">
        <w:rPr>
          <w:rFonts w:ascii="Times New Roman" w:hAnsi="Times New Roman"/>
          <w:color w:val="000000"/>
          <w:szCs w:val="22"/>
          <w:lang w:val="sk-SK"/>
        </w:rPr>
        <w:t>/</w:t>
      </w:r>
      <w:r w:rsidR="00D56469" w:rsidRPr="00B50F60">
        <w:rPr>
          <w:rFonts w:ascii="Times New Roman" w:hAnsi="Times New Roman"/>
          <w:color w:val="000000"/>
          <w:szCs w:val="22"/>
          <w:lang w:val="sk-SK"/>
        </w:rPr>
        <w:t>m²</w:t>
      </w:r>
      <w:r w:rsidR="000A37F5" w:rsidRPr="00B50F60">
        <w:rPr>
          <w:rFonts w:ascii="Times New Roman" w:hAnsi="Times New Roman"/>
          <w:color w:val="000000"/>
          <w:szCs w:val="22"/>
          <w:lang w:val="sk-SK"/>
        </w:rPr>
        <w:t xml:space="preserve"> telesného povrchu každé tri týždne. Ak sa používa</w:t>
      </w:r>
      <w:r w:rsidR="00F071E1" w:rsidRPr="00B50F60">
        <w:rPr>
          <w:rFonts w:ascii="Times New Roman" w:hAnsi="Times New Roman"/>
          <w:color w:val="000000"/>
          <w:szCs w:val="22"/>
          <w:lang w:val="sk-SK"/>
        </w:rPr>
        <w:t xml:space="preserve"> </w:t>
      </w:r>
      <w:r w:rsidR="000A37F5" w:rsidRPr="00B50F60">
        <w:rPr>
          <w:rFonts w:ascii="Times New Roman" w:hAnsi="Times New Roman"/>
          <w:color w:val="000000"/>
          <w:szCs w:val="22"/>
          <w:lang w:val="sk-SK"/>
        </w:rPr>
        <w:t>v kombinácii s inými</w:t>
      </w:r>
      <w:r w:rsidR="000D7BBC" w:rsidRPr="00B50F60">
        <w:rPr>
          <w:rFonts w:ascii="Times New Roman" w:hAnsi="Times New Roman"/>
          <w:color w:val="000000"/>
          <w:szCs w:val="22"/>
          <w:lang w:val="sk-SK"/>
        </w:rPr>
        <w:t xml:space="preserve"> </w:t>
      </w:r>
      <w:proofErr w:type="spellStart"/>
      <w:r w:rsidR="006F726B" w:rsidRPr="00B50F60">
        <w:rPr>
          <w:rFonts w:ascii="Times New Roman" w:hAnsi="Times New Roman"/>
          <w:szCs w:val="22"/>
          <w:lang w:val="sk-SK"/>
        </w:rPr>
        <w:t>protinádorovými</w:t>
      </w:r>
      <w:proofErr w:type="spellEnd"/>
      <w:r w:rsidR="006F726B" w:rsidRPr="00B50F60">
        <w:rPr>
          <w:rFonts w:ascii="Times New Roman" w:hAnsi="Times New Roman"/>
          <w:szCs w:val="22"/>
          <w:lang w:val="sk-SK"/>
        </w:rPr>
        <w:t xml:space="preserve"> látkami</w:t>
      </w:r>
      <w:r w:rsidR="003A52B5" w:rsidRPr="00B50F60">
        <w:rPr>
          <w:rFonts w:ascii="Times New Roman" w:hAnsi="Times New Roman"/>
          <w:color w:val="000000"/>
          <w:szCs w:val="22"/>
          <w:lang w:val="sk-SK"/>
        </w:rPr>
        <w:t xml:space="preserve">, dávky </w:t>
      </w:r>
      <w:proofErr w:type="spellStart"/>
      <w:r w:rsidR="003A52B5" w:rsidRPr="00B50F60">
        <w:rPr>
          <w:rFonts w:ascii="Times New Roman" w:hAnsi="Times New Roman"/>
          <w:color w:val="000000"/>
          <w:szCs w:val="22"/>
          <w:lang w:val="sk-SK"/>
        </w:rPr>
        <w:t>doxorubicínu</w:t>
      </w:r>
      <w:proofErr w:type="spellEnd"/>
      <w:r w:rsidR="003A52B5" w:rsidRPr="00B50F60">
        <w:rPr>
          <w:rFonts w:ascii="Times New Roman" w:hAnsi="Times New Roman"/>
          <w:color w:val="000000"/>
          <w:szCs w:val="22"/>
          <w:lang w:val="sk-SK"/>
        </w:rPr>
        <w:t xml:space="preserve"> </w:t>
      </w:r>
      <w:r w:rsidR="00F071E1" w:rsidRPr="00B50F60">
        <w:rPr>
          <w:rFonts w:ascii="Times New Roman" w:hAnsi="Times New Roman"/>
          <w:color w:val="000000"/>
          <w:szCs w:val="22"/>
          <w:lang w:val="sk-SK"/>
        </w:rPr>
        <w:t xml:space="preserve">by sa mali </w:t>
      </w:r>
      <w:r w:rsidR="003A52B5" w:rsidRPr="00B50F60">
        <w:rPr>
          <w:rFonts w:ascii="Times New Roman" w:hAnsi="Times New Roman"/>
          <w:color w:val="000000"/>
          <w:szCs w:val="22"/>
          <w:lang w:val="sk-SK"/>
        </w:rPr>
        <w:t>znížiť na 30</w:t>
      </w:r>
      <w:r w:rsidR="00582842" w:rsidRPr="00B50F60">
        <w:rPr>
          <w:rFonts w:ascii="Times New Roman" w:hAnsi="Times New Roman"/>
          <w:color w:val="000000"/>
          <w:szCs w:val="22"/>
          <w:lang w:val="sk-SK"/>
        </w:rPr>
        <w:t> </w:t>
      </w:r>
      <w:r w:rsidR="003A52B5" w:rsidRPr="00B50F60">
        <w:rPr>
          <w:rFonts w:ascii="Times New Roman" w:hAnsi="Times New Roman"/>
          <w:color w:val="000000"/>
          <w:szCs w:val="22"/>
          <w:lang w:val="sk-SK"/>
        </w:rPr>
        <w:t>– 40</w:t>
      </w:r>
      <w:r w:rsidR="00CE22BE" w:rsidRPr="00B50F60">
        <w:rPr>
          <w:rFonts w:ascii="Times New Roman" w:hAnsi="Times New Roman"/>
          <w:color w:val="000000"/>
          <w:szCs w:val="22"/>
          <w:lang w:val="sk-SK"/>
        </w:rPr>
        <w:t> </w:t>
      </w:r>
      <w:r w:rsidR="003A52B5" w:rsidRPr="00B50F60">
        <w:rPr>
          <w:rFonts w:ascii="Times New Roman" w:hAnsi="Times New Roman"/>
          <w:color w:val="000000"/>
          <w:szCs w:val="22"/>
          <w:lang w:val="sk-SK"/>
        </w:rPr>
        <w:t>mg/</w:t>
      </w:r>
      <w:r w:rsidR="00D56469" w:rsidRPr="00B50F60">
        <w:rPr>
          <w:rFonts w:ascii="Times New Roman" w:hAnsi="Times New Roman"/>
          <w:color w:val="000000"/>
          <w:szCs w:val="22"/>
          <w:lang w:val="sk-SK"/>
        </w:rPr>
        <w:t>m²</w:t>
      </w:r>
      <w:r w:rsidR="003A52B5" w:rsidRPr="00B50F60">
        <w:rPr>
          <w:rFonts w:ascii="Times New Roman" w:hAnsi="Times New Roman"/>
          <w:color w:val="000000"/>
          <w:szCs w:val="22"/>
          <w:lang w:val="sk-SK"/>
        </w:rPr>
        <w:t xml:space="preserve"> každé tri týždne.</w:t>
      </w:r>
    </w:p>
    <w:p w14:paraId="21DD9122" w14:textId="77777777" w:rsidR="000A37F5" w:rsidRPr="00B50F60" w:rsidRDefault="000A37F5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4C157827" w14:textId="77777777" w:rsidR="00966457" w:rsidRPr="00B50F60" w:rsidRDefault="00966457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 xml:space="preserve">Pre pacientov, ktorí nemôžu dostávať celú dávku (napr. v prípade </w:t>
      </w:r>
      <w:proofErr w:type="spellStart"/>
      <w:r w:rsidRPr="00B50F60">
        <w:rPr>
          <w:rFonts w:ascii="Times New Roman" w:hAnsi="Times New Roman"/>
          <w:szCs w:val="22"/>
          <w:lang w:val="sk-SK"/>
        </w:rPr>
        <w:t>imunosupresie</w:t>
      </w:r>
      <w:proofErr w:type="spellEnd"/>
      <w:r w:rsidRPr="00B50F60">
        <w:rPr>
          <w:rFonts w:ascii="Times New Roman" w:hAnsi="Times New Roman"/>
          <w:szCs w:val="22"/>
          <w:lang w:val="sk-SK"/>
        </w:rPr>
        <w:t>, vysokého veku), je alternatívne dávkovanie 15</w:t>
      </w:r>
      <w:r w:rsidR="00582842" w:rsidRPr="00B50F60">
        <w:rPr>
          <w:rFonts w:ascii="Times New Roman" w:hAnsi="Times New Roman"/>
          <w:szCs w:val="22"/>
          <w:lang w:val="sk-SK"/>
        </w:rPr>
        <w:t xml:space="preserve"> – </w:t>
      </w:r>
      <w:r w:rsidRPr="00B50F60">
        <w:rPr>
          <w:rFonts w:ascii="Times New Roman" w:hAnsi="Times New Roman"/>
          <w:szCs w:val="22"/>
          <w:lang w:val="sk-SK"/>
        </w:rPr>
        <w:t>20 mg/</w:t>
      </w:r>
      <w:r w:rsidR="00D56469" w:rsidRPr="00B50F60">
        <w:rPr>
          <w:rFonts w:ascii="Times New Roman" w:hAnsi="Times New Roman"/>
          <w:szCs w:val="22"/>
          <w:lang w:val="sk-SK"/>
        </w:rPr>
        <w:t>m²</w:t>
      </w:r>
      <w:r w:rsidRPr="00B50F60">
        <w:rPr>
          <w:rFonts w:ascii="Times New Roman" w:hAnsi="Times New Roman"/>
          <w:szCs w:val="22"/>
          <w:lang w:val="sk-SK"/>
        </w:rPr>
        <w:t xml:space="preserve"> povrchu tela týždenne.</w:t>
      </w:r>
    </w:p>
    <w:p w14:paraId="6EAF4FD9" w14:textId="77777777" w:rsidR="00A40931" w:rsidRPr="00B50F60" w:rsidRDefault="00A40931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5697364F" w14:textId="77777777" w:rsidR="00966457" w:rsidRPr="00B50F60" w:rsidRDefault="00966457" w:rsidP="00ED7827">
      <w:pPr>
        <w:pStyle w:val="Standardenglisch"/>
        <w:tabs>
          <w:tab w:val="left" w:pos="284"/>
          <w:tab w:val="left" w:pos="567"/>
        </w:tabs>
        <w:outlineLvl w:val="0"/>
        <w:rPr>
          <w:rFonts w:ascii="Times New Roman" w:hAnsi="Times New Roman"/>
          <w:color w:val="000000"/>
          <w:szCs w:val="22"/>
          <w:u w:val="single"/>
          <w:lang w:val="sk-SK"/>
        </w:rPr>
      </w:pPr>
      <w:r w:rsidRPr="00B50F60">
        <w:rPr>
          <w:rFonts w:ascii="Times New Roman" w:hAnsi="Times New Roman"/>
          <w:color w:val="000000"/>
          <w:szCs w:val="22"/>
          <w:u w:val="single"/>
          <w:lang w:val="sk-SK"/>
        </w:rPr>
        <w:t>Pacienti s predchádzajúcou rádioterapiou</w:t>
      </w:r>
    </w:p>
    <w:p w14:paraId="020B65EC" w14:textId="77777777" w:rsidR="00B750C4" w:rsidRPr="00B50F60" w:rsidRDefault="006626BB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color w:val="000000"/>
          <w:szCs w:val="22"/>
          <w:lang w:val="sk-SK"/>
        </w:rPr>
      </w:pPr>
      <w:r w:rsidRPr="00B50F60">
        <w:rPr>
          <w:rFonts w:ascii="Times New Roman" w:hAnsi="Times New Roman"/>
          <w:color w:val="000000"/>
          <w:szCs w:val="22"/>
          <w:lang w:val="sk-SK"/>
        </w:rPr>
        <w:t>Pacienti</w:t>
      </w:r>
      <w:r w:rsidR="003270D5" w:rsidRPr="00B50F60">
        <w:rPr>
          <w:rFonts w:ascii="Times New Roman" w:hAnsi="Times New Roman"/>
          <w:color w:val="000000"/>
          <w:szCs w:val="22"/>
          <w:lang w:val="sk-SK"/>
        </w:rPr>
        <w:t xml:space="preserve">, ktorí </w:t>
      </w:r>
      <w:r w:rsidR="00A40931" w:rsidRPr="00B50F60">
        <w:rPr>
          <w:rFonts w:ascii="Times New Roman" w:hAnsi="Times New Roman"/>
          <w:color w:val="000000"/>
          <w:szCs w:val="22"/>
          <w:lang w:val="sk-SK"/>
        </w:rPr>
        <w:t>predtým podstúpili</w:t>
      </w:r>
      <w:r w:rsidR="00580FBD" w:rsidRPr="00B50F60">
        <w:rPr>
          <w:rFonts w:ascii="Times New Roman" w:hAnsi="Times New Roman"/>
          <w:color w:val="000000"/>
          <w:szCs w:val="22"/>
          <w:lang w:val="sk-SK"/>
        </w:rPr>
        <w:t xml:space="preserve"> rádioterapiu </w:t>
      </w:r>
      <w:proofErr w:type="spellStart"/>
      <w:r w:rsidR="00A40931" w:rsidRPr="00B50F60">
        <w:rPr>
          <w:rFonts w:ascii="Times New Roman" w:hAnsi="Times New Roman"/>
          <w:color w:val="000000"/>
          <w:szCs w:val="22"/>
          <w:lang w:val="sk-SK"/>
        </w:rPr>
        <w:t>mediastinálnej</w:t>
      </w:r>
      <w:proofErr w:type="spellEnd"/>
      <w:r w:rsidR="00A40931" w:rsidRPr="00B50F60">
        <w:rPr>
          <w:rFonts w:ascii="Times New Roman" w:hAnsi="Times New Roman"/>
          <w:color w:val="000000"/>
          <w:szCs w:val="22"/>
          <w:lang w:val="sk-SK"/>
        </w:rPr>
        <w:t>/</w:t>
      </w:r>
      <w:proofErr w:type="spellStart"/>
      <w:r w:rsidR="00A40931" w:rsidRPr="00B50F60">
        <w:rPr>
          <w:rFonts w:ascii="Times New Roman" w:hAnsi="Times New Roman"/>
          <w:color w:val="000000"/>
          <w:szCs w:val="22"/>
          <w:lang w:val="sk-SK"/>
        </w:rPr>
        <w:t>perikardiálnej</w:t>
      </w:r>
      <w:proofErr w:type="spellEnd"/>
      <w:r w:rsidR="00A40931" w:rsidRPr="00B50F60">
        <w:rPr>
          <w:rFonts w:ascii="Times New Roman" w:hAnsi="Times New Roman"/>
          <w:color w:val="000000"/>
          <w:szCs w:val="22"/>
          <w:lang w:val="sk-SK"/>
        </w:rPr>
        <w:t xml:space="preserve"> </w:t>
      </w:r>
      <w:r w:rsidR="003270D5" w:rsidRPr="00B50F60">
        <w:rPr>
          <w:rFonts w:ascii="Times New Roman" w:hAnsi="Times New Roman"/>
          <w:color w:val="000000"/>
          <w:szCs w:val="22"/>
          <w:lang w:val="sk-SK"/>
        </w:rPr>
        <w:t>oblasti</w:t>
      </w:r>
      <w:r w:rsidR="00A40931" w:rsidRPr="00B50F60">
        <w:rPr>
          <w:rFonts w:ascii="Times New Roman" w:hAnsi="Times New Roman"/>
          <w:color w:val="000000"/>
          <w:szCs w:val="22"/>
          <w:lang w:val="sk-SK"/>
        </w:rPr>
        <w:t>,</w:t>
      </w:r>
      <w:r w:rsidR="003270D5" w:rsidRPr="00B50F60">
        <w:rPr>
          <w:rFonts w:ascii="Times New Roman" w:hAnsi="Times New Roman"/>
          <w:color w:val="000000"/>
          <w:szCs w:val="22"/>
          <w:lang w:val="sk-SK"/>
        </w:rPr>
        <w:t xml:space="preserve"> </w:t>
      </w:r>
      <w:r w:rsidR="00A40931" w:rsidRPr="00B50F60">
        <w:rPr>
          <w:rFonts w:ascii="Times New Roman" w:hAnsi="Times New Roman"/>
          <w:color w:val="000000"/>
          <w:szCs w:val="22"/>
          <w:lang w:val="sk-SK"/>
        </w:rPr>
        <w:t xml:space="preserve">by </w:t>
      </w:r>
      <w:r w:rsidRPr="00B50F60">
        <w:rPr>
          <w:rFonts w:ascii="Times New Roman" w:hAnsi="Times New Roman"/>
          <w:color w:val="000000"/>
          <w:szCs w:val="22"/>
          <w:lang w:val="sk-SK"/>
        </w:rPr>
        <w:t xml:space="preserve">nemali užívať </w:t>
      </w:r>
      <w:proofErr w:type="spellStart"/>
      <w:r w:rsidR="001E1CC2" w:rsidRPr="00B50F60">
        <w:rPr>
          <w:rFonts w:ascii="Times New Roman" w:hAnsi="Times New Roman"/>
          <w:color w:val="000000"/>
          <w:szCs w:val="22"/>
          <w:lang w:val="sk-SK"/>
        </w:rPr>
        <w:t>doxorubicín</w:t>
      </w:r>
      <w:proofErr w:type="spellEnd"/>
      <w:r w:rsidRPr="00B50F60">
        <w:rPr>
          <w:rFonts w:ascii="Times New Roman" w:hAnsi="Times New Roman"/>
          <w:color w:val="000000"/>
          <w:szCs w:val="22"/>
          <w:lang w:val="sk-SK"/>
        </w:rPr>
        <w:t xml:space="preserve"> v celkovej kumulatívnej dávke </w:t>
      </w:r>
      <w:r w:rsidR="001E1CC2" w:rsidRPr="00B50F60">
        <w:rPr>
          <w:rFonts w:ascii="Times New Roman" w:hAnsi="Times New Roman"/>
          <w:color w:val="000000"/>
          <w:szCs w:val="22"/>
          <w:lang w:val="sk-SK"/>
        </w:rPr>
        <w:t>presahujúci</w:t>
      </w:r>
      <w:r w:rsidR="00FC6092" w:rsidRPr="00B50F60">
        <w:rPr>
          <w:rFonts w:ascii="Times New Roman" w:hAnsi="Times New Roman"/>
          <w:color w:val="000000"/>
          <w:szCs w:val="22"/>
          <w:lang w:val="sk-SK"/>
        </w:rPr>
        <w:t xml:space="preserve"> </w:t>
      </w:r>
      <w:r w:rsidR="003270D5" w:rsidRPr="00B50F60">
        <w:rPr>
          <w:rFonts w:ascii="Times New Roman" w:hAnsi="Times New Roman"/>
          <w:color w:val="000000"/>
          <w:szCs w:val="22"/>
          <w:lang w:val="sk-SK"/>
        </w:rPr>
        <w:t>400</w:t>
      </w:r>
      <w:r w:rsidR="008D2A1A" w:rsidRPr="00B50F60">
        <w:rPr>
          <w:rFonts w:ascii="Times New Roman" w:hAnsi="Times New Roman"/>
          <w:color w:val="000000"/>
          <w:szCs w:val="22"/>
          <w:lang w:val="sk-SK"/>
        </w:rPr>
        <w:t> </w:t>
      </w:r>
      <w:r w:rsidR="003270D5" w:rsidRPr="00B50F60">
        <w:rPr>
          <w:rFonts w:ascii="Times New Roman" w:hAnsi="Times New Roman"/>
          <w:color w:val="000000"/>
          <w:szCs w:val="22"/>
          <w:lang w:val="sk-SK"/>
        </w:rPr>
        <w:t>mg/</w:t>
      </w:r>
      <w:r w:rsidR="00D56469" w:rsidRPr="00B50F60">
        <w:rPr>
          <w:rFonts w:ascii="Times New Roman" w:hAnsi="Times New Roman"/>
          <w:color w:val="000000"/>
          <w:szCs w:val="22"/>
          <w:lang w:val="sk-SK"/>
        </w:rPr>
        <w:t>m²</w:t>
      </w:r>
      <w:r w:rsidR="003270D5" w:rsidRPr="00B50F60">
        <w:rPr>
          <w:rFonts w:ascii="Times New Roman" w:hAnsi="Times New Roman"/>
          <w:color w:val="000000"/>
          <w:szCs w:val="22"/>
          <w:lang w:val="sk-SK"/>
        </w:rPr>
        <w:t>.</w:t>
      </w:r>
    </w:p>
    <w:p w14:paraId="0A51AD75" w14:textId="77777777" w:rsidR="003270D5" w:rsidRPr="00B50F60" w:rsidRDefault="003270D5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7A78271D" w14:textId="77777777" w:rsidR="00966457" w:rsidRPr="00B50F60" w:rsidRDefault="00966457" w:rsidP="00ED7827">
      <w:pPr>
        <w:pStyle w:val="Standardenglisch"/>
        <w:tabs>
          <w:tab w:val="left" w:pos="284"/>
          <w:tab w:val="left" w:pos="567"/>
        </w:tabs>
        <w:outlineLvl w:val="0"/>
        <w:rPr>
          <w:rFonts w:ascii="Times New Roman" w:hAnsi="Times New Roman"/>
          <w:szCs w:val="22"/>
          <w:u w:val="single"/>
          <w:lang w:val="sk-SK"/>
        </w:rPr>
      </w:pPr>
      <w:r w:rsidRPr="00B50F60">
        <w:rPr>
          <w:rFonts w:ascii="Times New Roman" w:hAnsi="Times New Roman"/>
          <w:szCs w:val="22"/>
          <w:u w:val="single"/>
          <w:lang w:val="sk-SK"/>
        </w:rPr>
        <w:t>Starší pacienti</w:t>
      </w:r>
    </w:p>
    <w:p w14:paraId="6E816A8D" w14:textId="77777777" w:rsidR="003270D5" w:rsidRPr="00B50F60" w:rsidRDefault="003270D5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color w:val="000000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 xml:space="preserve">Dávkovanie </w:t>
      </w:r>
      <w:r w:rsidR="00FC6092" w:rsidRPr="00B50F60">
        <w:rPr>
          <w:rFonts w:ascii="Times New Roman" w:hAnsi="Times New Roman"/>
          <w:szCs w:val="22"/>
          <w:lang w:val="sk-SK"/>
        </w:rPr>
        <w:t>je</w:t>
      </w:r>
      <w:r w:rsidR="00D37199" w:rsidRPr="00B50F60">
        <w:rPr>
          <w:rFonts w:ascii="Times New Roman" w:hAnsi="Times New Roman"/>
          <w:szCs w:val="22"/>
          <w:lang w:val="sk-SK"/>
        </w:rPr>
        <w:t xml:space="preserve"> potrebné</w:t>
      </w:r>
      <w:r w:rsidRPr="00B50F60">
        <w:rPr>
          <w:rFonts w:ascii="Times New Roman" w:hAnsi="Times New Roman"/>
          <w:szCs w:val="22"/>
          <w:lang w:val="sk-SK"/>
        </w:rPr>
        <w:t xml:space="preserve"> znížiť u starších pacientov.</w:t>
      </w:r>
    </w:p>
    <w:p w14:paraId="75E18AD8" w14:textId="77777777" w:rsidR="00966457" w:rsidRPr="00B50F60" w:rsidRDefault="00966457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color w:val="000000"/>
          <w:szCs w:val="22"/>
          <w:lang w:val="sk-SK"/>
        </w:rPr>
      </w:pPr>
    </w:p>
    <w:p w14:paraId="689888C3" w14:textId="77777777" w:rsidR="00966457" w:rsidRPr="00B50F60" w:rsidRDefault="009A0ACF" w:rsidP="00ED7827">
      <w:pPr>
        <w:pStyle w:val="Standardenglisch"/>
        <w:tabs>
          <w:tab w:val="left" w:pos="284"/>
          <w:tab w:val="left" w:pos="567"/>
        </w:tabs>
        <w:outlineLvl w:val="0"/>
        <w:rPr>
          <w:rFonts w:ascii="Times New Roman" w:hAnsi="Times New Roman"/>
          <w:color w:val="000000"/>
          <w:szCs w:val="22"/>
          <w:u w:val="single"/>
          <w:lang w:val="sk-SK"/>
        </w:rPr>
      </w:pPr>
      <w:r w:rsidRPr="00B50F60">
        <w:rPr>
          <w:rFonts w:ascii="Times New Roman" w:hAnsi="Times New Roman"/>
          <w:color w:val="000000"/>
          <w:szCs w:val="22"/>
          <w:u w:val="single"/>
          <w:lang w:val="sk-SK"/>
        </w:rPr>
        <w:t>Pediatrická populácia</w:t>
      </w:r>
    </w:p>
    <w:p w14:paraId="3EC38A44" w14:textId="77777777" w:rsidR="00966457" w:rsidRPr="00B50F60" w:rsidRDefault="00966457" w:rsidP="00ED7827">
      <w:pPr>
        <w:pStyle w:val="Standardenglisch"/>
        <w:tabs>
          <w:tab w:val="left" w:pos="284"/>
          <w:tab w:val="left" w:pos="567"/>
        </w:tabs>
        <w:outlineLvl w:val="0"/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>Dávkovanie u detí</w:t>
      </w:r>
    </w:p>
    <w:p w14:paraId="6E9C1BFB" w14:textId="77777777" w:rsidR="00966457" w:rsidRPr="00B50F60" w:rsidRDefault="00966457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>Dávkovanie u detí sa má znížiť, pretože sú vystaven</w:t>
      </w:r>
      <w:r w:rsidR="00291A13" w:rsidRPr="00B50F60">
        <w:rPr>
          <w:rFonts w:ascii="Times New Roman" w:hAnsi="Times New Roman"/>
          <w:szCs w:val="22"/>
          <w:lang w:val="sk-SK"/>
        </w:rPr>
        <w:t>é</w:t>
      </w:r>
      <w:r w:rsidRPr="00B50F60">
        <w:rPr>
          <w:rFonts w:ascii="Times New Roman" w:hAnsi="Times New Roman"/>
          <w:szCs w:val="22"/>
          <w:lang w:val="sk-SK"/>
        </w:rPr>
        <w:t xml:space="preserve"> zvýšenému riziku srdcovej toxicity</w:t>
      </w:r>
      <w:r w:rsidR="00291A13" w:rsidRPr="00B50F60">
        <w:rPr>
          <w:rFonts w:ascii="Times New Roman" w:hAnsi="Times New Roman"/>
          <w:szCs w:val="22"/>
          <w:lang w:val="sk-SK"/>
        </w:rPr>
        <w:t>,</w:t>
      </w:r>
      <w:r w:rsidRPr="00B50F60">
        <w:rPr>
          <w:rFonts w:ascii="Times New Roman" w:hAnsi="Times New Roman"/>
          <w:szCs w:val="22"/>
          <w:lang w:val="sk-SK"/>
        </w:rPr>
        <w:t xml:space="preserve"> predovšetkým neskorej toxicity. </w:t>
      </w:r>
      <w:r w:rsidR="009D6510" w:rsidRPr="00B50F60">
        <w:rPr>
          <w:rFonts w:ascii="Times New Roman" w:hAnsi="Times New Roman"/>
          <w:szCs w:val="22"/>
          <w:lang w:val="sk-SK"/>
        </w:rPr>
        <w:t xml:space="preserve">Je potrebné očakávať </w:t>
      </w:r>
      <w:proofErr w:type="spellStart"/>
      <w:r w:rsidR="009D6510" w:rsidRPr="00B50F60">
        <w:rPr>
          <w:rFonts w:ascii="Times New Roman" w:hAnsi="Times New Roman"/>
          <w:szCs w:val="22"/>
          <w:lang w:val="sk-SK"/>
        </w:rPr>
        <w:t>m</w:t>
      </w:r>
      <w:r w:rsidRPr="00B50F60">
        <w:rPr>
          <w:rFonts w:ascii="Times New Roman" w:hAnsi="Times New Roman"/>
          <w:szCs w:val="22"/>
          <w:lang w:val="sk-SK"/>
        </w:rPr>
        <w:t>yelotoxicit</w:t>
      </w:r>
      <w:r w:rsidR="009D6510" w:rsidRPr="00B50F60">
        <w:rPr>
          <w:rFonts w:ascii="Times New Roman" w:hAnsi="Times New Roman"/>
          <w:szCs w:val="22"/>
          <w:lang w:val="sk-SK"/>
        </w:rPr>
        <w:t>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s najnižš</w:t>
      </w:r>
      <w:r w:rsidR="009D6510" w:rsidRPr="00B50F60">
        <w:rPr>
          <w:rFonts w:ascii="Times New Roman" w:hAnsi="Times New Roman"/>
          <w:szCs w:val="22"/>
          <w:lang w:val="sk-SK"/>
        </w:rPr>
        <w:t>ími</w:t>
      </w:r>
      <w:r w:rsidRPr="00B50F60">
        <w:rPr>
          <w:rFonts w:ascii="Times New Roman" w:hAnsi="Times New Roman"/>
          <w:szCs w:val="22"/>
          <w:lang w:val="sk-SK"/>
        </w:rPr>
        <w:t xml:space="preserve"> hodnot</w:t>
      </w:r>
      <w:r w:rsidR="009D6510" w:rsidRPr="00B50F60">
        <w:rPr>
          <w:rFonts w:ascii="Times New Roman" w:hAnsi="Times New Roman"/>
          <w:szCs w:val="22"/>
          <w:lang w:val="sk-SK"/>
        </w:rPr>
        <w:t>ami</w:t>
      </w:r>
      <w:r w:rsidRPr="00B50F60">
        <w:rPr>
          <w:rFonts w:ascii="Times New Roman" w:hAnsi="Times New Roman"/>
          <w:szCs w:val="22"/>
          <w:lang w:val="sk-SK"/>
        </w:rPr>
        <w:t xml:space="preserve"> na 10. až 14. deň od začiatku liečby. Maximálna kumulatívna dávka u detí je 400 mg/</w:t>
      </w:r>
      <w:r w:rsidR="00D56469" w:rsidRPr="00B50F60">
        <w:rPr>
          <w:rFonts w:ascii="Times New Roman" w:hAnsi="Times New Roman"/>
          <w:szCs w:val="22"/>
          <w:lang w:val="sk-SK"/>
        </w:rPr>
        <w:t>m²</w:t>
      </w:r>
      <w:r w:rsidRPr="00B50F60">
        <w:rPr>
          <w:rFonts w:ascii="Times New Roman" w:hAnsi="Times New Roman"/>
          <w:szCs w:val="22"/>
          <w:lang w:val="sk-SK"/>
        </w:rPr>
        <w:t>.</w:t>
      </w:r>
    </w:p>
    <w:p w14:paraId="75EA5EBF" w14:textId="77777777" w:rsidR="00B91E71" w:rsidRPr="00B50F60" w:rsidRDefault="00B91E71" w:rsidP="00ED7827">
      <w:pPr>
        <w:pStyle w:val="Standardenglisch"/>
        <w:tabs>
          <w:tab w:val="left" w:pos="284"/>
          <w:tab w:val="left" w:pos="567"/>
        </w:tabs>
        <w:outlineLvl w:val="0"/>
        <w:rPr>
          <w:rFonts w:ascii="Times New Roman" w:hAnsi="Times New Roman"/>
          <w:szCs w:val="22"/>
          <w:u w:val="single"/>
          <w:lang w:val="sk-SK"/>
        </w:rPr>
      </w:pPr>
    </w:p>
    <w:p w14:paraId="3B41BB40" w14:textId="77777777" w:rsidR="003A02AC" w:rsidRPr="00B50F60" w:rsidRDefault="003A02AC" w:rsidP="00162654">
      <w:pPr>
        <w:pStyle w:val="Standardenglisch"/>
        <w:keepNext/>
        <w:keepLines/>
        <w:widowControl/>
        <w:tabs>
          <w:tab w:val="left" w:pos="284"/>
          <w:tab w:val="left" w:pos="567"/>
        </w:tabs>
        <w:outlineLvl w:val="0"/>
        <w:rPr>
          <w:rFonts w:ascii="Times New Roman" w:hAnsi="Times New Roman"/>
          <w:szCs w:val="22"/>
          <w:u w:val="single"/>
          <w:lang w:val="sk-SK"/>
        </w:rPr>
      </w:pPr>
      <w:r w:rsidRPr="00B50F60">
        <w:rPr>
          <w:rFonts w:ascii="Times New Roman" w:hAnsi="Times New Roman"/>
          <w:szCs w:val="22"/>
          <w:u w:val="single"/>
          <w:lang w:val="sk-SK"/>
        </w:rPr>
        <w:t>Porucha funkcie pečene</w:t>
      </w:r>
    </w:p>
    <w:p w14:paraId="63B95573" w14:textId="29DE55B8" w:rsidR="003A02AC" w:rsidRPr="00B50F60" w:rsidRDefault="003A02AC" w:rsidP="00162654">
      <w:pPr>
        <w:pStyle w:val="Standardenglisch"/>
        <w:keepNext/>
        <w:keepLines/>
        <w:widowControl/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>Ak je poškodená funkcia pečene, dávkovanie sa má znížiť podľa nasledujúcej tabuľky:</w:t>
      </w:r>
    </w:p>
    <w:p w14:paraId="580FF664" w14:textId="77777777" w:rsidR="003A02AC" w:rsidRPr="00B50F60" w:rsidRDefault="003A02AC" w:rsidP="00162654">
      <w:pPr>
        <w:pStyle w:val="Standardenglisch"/>
        <w:keepNext/>
        <w:keepLines/>
        <w:widowControl/>
        <w:ind w:left="567"/>
        <w:rPr>
          <w:rFonts w:ascii="Times New Roman" w:hAnsi="Times New Roman"/>
          <w:szCs w:val="22"/>
          <w:lang w:val="sk-SK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5"/>
        <w:gridCol w:w="2724"/>
        <w:gridCol w:w="2551"/>
      </w:tblGrid>
      <w:tr w:rsidR="003A02AC" w:rsidRPr="00B50F60" w14:paraId="5073B195" w14:textId="77777777" w:rsidTr="00ED7827">
        <w:trPr>
          <w:trHeight w:val="319"/>
        </w:trPr>
        <w:tc>
          <w:tcPr>
            <w:tcW w:w="2875" w:type="dxa"/>
          </w:tcPr>
          <w:p w14:paraId="776C3D75" w14:textId="77777777" w:rsidR="003A02AC" w:rsidRPr="00B50F60" w:rsidRDefault="003A02AC" w:rsidP="00162654">
            <w:pPr>
              <w:pStyle w:val="Standardenglisch"/>
              <w:keepNext/>
              <w:keepLines/>
              <w:widowControl/>
              <w:ind w:left="72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b/>
                <w:szCs w:val="22"/>
                <w:lang w:val="sk-SK"/>
              </w:rPr>
              <w:t xml:space="preserve">Sérové hladiny </w:t>
            </w:r>
            <w:proofErr w:type="spellStart"/>
            <w:r w:rsidRPr="00B50F60">
              <w:rPr>
                <w:rFonts w:ascii="Times New Roman" w:hAnsi="Times New Roman"/>
                <w:b/>
                <w:szCs w:val="22"/>
                <w:lang w:val="sk-SK"/>
              </w:rPr>
              <w:t>bilirubínu</w:t>
            </w:r>
            <w:proofErr w:type="spellEnd"/>
          </w:p>
        </w:tc>
        <w:tc>
          <w:tcPr>
            <w:tcW w:w="2724" w:type="dxa"/>
          </w:tcPr>
          <w:p w14:paraId="0E7E9743" w14:textId="77777777" w:rsidR="003A02AC" w:rsidRPr="00B50F60" w:rsidRDefault="003A02AC" w:rsidP="00162654">
            <w:pPr>
              <w:pStyle w:val="Standardenglisch"/>
              <w:keepNext/>
              <w:keepLines/>
              <w:widowControl/>
              <w:ind w:left="174"/>
              <w:rPr>
                <w:rFonts w:ascii="Times New Roman" w:hAnsi="Times New Roman"/>
                <w:b/>
                <w:szCs w:val="22"/>
                <w:lang w:val="sk-SK"/>
              </w:rPr>
            </w:pPr>
            <w:proofErr w:type="spellStart"/>
            <w:r w:rsidRPr="00B50F60">
              <w:rPr>
                <w:rFonts w:ascii="Times New Roman" w:hAnsi="Times New Roman"/>
                <w:b/>
                <w:szCs w:val="22"/>
                <w:lang w:val="sk-SK"/>
              </w:rPr>
              <w:t>Retencia</w:t>
            </w:r>
            <w:proofErr w:type="spellEnd"/>
            <w:r w:rsidRPr="00B50F60">
              <w:rPr>
                <w:rFonts w:ascii="Times New Roman" w:hAnsi="Times New Roman"/>
                <w:b/>
                <w:szCs w:val="22"/>
                <w:lang w:val="sk-SK"/>
              </w:rPr>
              <w:t xml:space="preserve"> BSP</w:t>
            </w:r>
          </w:p>
        </w:tc>
        <w:tc>
          <w:tcPr>
            <w:tcW w:w="2551" w:type="dxa"/>
          </w:tcPr>
          <w:p w14:paraId="297D8C14" w14:textId="77777777" w:rsidR="003A02AC" w:rsidRPr="00B50F60" w:rsidRDefault="003A02AC" w:rsidP="00162654">
            <w:pPr>
              <w:pStyle w:val="Standardenglisch"/>
              <w:keepNext/>
              <w:keepLines/>
              <w:widowControl/>
              <w:ind w:left="143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b/>
                <w:szCs w:val="22"/>
                <w:lang w:val="sk-SK"/>
              </w:rPr>
              <w:t>Odporúčaná dávka</w:t>
            </w:r>
          </w:p>
        </w:tc>
      </w:tr>
      <w:tr w:rsidR="003A02AC" w:rsidRPr="00B50F60" w14:paraId="7BC5F69C" w14:textId="77777777" w:rsidTr="00ED7827">
        <w:tc>
          <w:tcPr>
            <w:tcW w:w="2875" w:type="dxa"/>
          </w:tcPr>
          <w:p w14:paraId="01708490" w14:textId="77777777" w:rsidR="003A02AC" w:rsidRPr="00B50F60" w:rsidRDefault="003A02AC" w:rsidP="00162654">
            <w:pPr>
              <w:pStyle w:val="Standardenglisch"/>
              <w:keepNext/>
              <w:keepLines/>
              <w:widowControl/>
              <w:ind w:left="72"/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szCs w:val="22"/>
                <w:lang w:val="sk-SK"/>
              </w:rPr>
              <w:t>20</w:t>
            </w:r>
            <w:r w:rsidR="00884EFD" w:rsidRPr="00B50F60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noBreakHyphen/>
            </w:r>
            <w:r w:rsidR="00884EFD" w:rsidRPr="00B50F60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50 </w:t>
            </w:r>
            <w:r w:rsidR="00D82E60" w:rsidRPr="00B50F60">
              <w:rPr>
                <w:rFonts w:ascii="Times New Roman" w:hAnsi="Times New Roman"/>
                <w:szCs w:val="22"/>
                <w:lang w:val="sk-SK"/>
              </w:rPr>
              <w:t>µmol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/l</w:t>
            </w:r>
          </w:p>
        </w:tc>
        <w:tc>
          <w:tcPr>
            <w:tcW w:w="2724" w:type="dxa"/>
          </w:tcPr>
          <w:p w14:paraId="549A3D36" w14:textId="77777777" w:rsidR="003A02AC" w:rsidRPr="00B50F60" w:rsidRDefault="003A02AC" w:rsidP="00162654">
            <w:pPr>
              <w:pStyle w:val="Standardenglisch"/>
              <w:keepNext/>
              <w:keepLines/>
              <w:widowControl/>
              <w:ind w:left="174"/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szCs w:val="22"/>
                <w:lang w:val="sk-SK"/>
              </w:rPr>
              <w:t>9</w:t>
            </w:r>
            <w:r w:rsidR="00884EFD" w:rsidRPr="00B50F60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noBreakHyphen/>
            </w:r>
            <w:r w:rsidR="00884EFD" w:rsidRPr="00B50F60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15 %</w:t>
            </w:r>
          </w:p>
        </w:tc>
        <w:tc>
          <w:tcPr>
            <w:tcW w:w="2551" w:type="dxa"/>
          </w:tcPr>
          <w:p w14:paraId="3C2B2399" w14:textId="77777777" w:rsidR="003A02AC" w:rsidRPr="00B50F60" w:rsidRDefault="003A02AC" w:rsidP="00162654">
            <w:pPr>
              <w:pStyle w:val="Standardenglisch"/>
              <w:keepNext/>
              <w:keepLines/>
              <w:widowControl/>
              <w:ind w:left="143"/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szCs w:val="22"/>
                <w:lang w:val="sk-SK"/>
              </w:rPr>
              <w:t>50 % obvyklej dávky</w:t>
            </w:r>
          </w:p>
          <w:p w14:paraId="5E0187DC" w14:textId="77777777" w:rsidR="003A02AC" w:rsidRPr="00B50F60" w:rsidRDefault="003A02AC" w:rsidP="00162654">
            <w:pPr>
              <w:pStyle w:val="Standardenglisch"/>
              <w:keepNext/>
              <w:keepLines/>
              <w:widowControl/>
              <w:ind w:left="143"/>
              <w:rPr>
                <w:rFonts w:ascii="Times New Roman" w:hAnsi="Times New Roman"/>
                <w:szCs w:val="22"/>
                <w:lang w:val="sk-SK"/>
              </w:rPr>
            </w:pPr>
          </w:p>
        </w:tc>
      </w:tr>
      <w:tr w:rsidR="003A02AC" w:rsidRPr="00B50F60" w14:paraId="54956E59" w14:textId="77777777" w:rsidTr="00ED7827">
        <w:tc>
          <w:tcPr>
            <w:tcW w:w="2875" w:type="dxa"/>
          </w:tcPr>
          <w:p w14:paraId="7492A9E4" w14:textId="77777777" w:rsidR="003A02AC" w:rsidRPr="00B50F60" w:rsidRDefault="003A02AC" w:rsidP="00162654">
            <w:pPr>
              <w:pStyle w:val="Standardenglisch"/>
              <w:keepNext/>
              <w:keepLines/>
              <w:widowControl/>
              <w:ind w:left="72"/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szCs w:val="22"/>
                <w:lang w:val="sk-SK"/>
              </w:rPr>
              <w:t>nad 50 </w:t>
            </w:r>
            <w:r w:rsidR="00D82E60" w:rsidRPr="00B50F60">
              <w:rPr>
                <w:rFonts w:ascii="Times New Roman" w:hAnsi="Times New Roman"/>
                <w:szCs w:val="22"/>
                <w:lang w:val="sk-SK"/>
              </w:rPr>
              <w:t>µmol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/l</w:t>
            </w:r>
          </w:p>
        </w:tc>
        <w:tc>
          <w:tcPr>
            <w:tcW w:w="2724" w:type="dxa"/>
          </w:tcPr>
          <w:p w14:paraId="398C8D55" w14:textId="77777777" w:rsidR="003A02AC" w:rsidRPr="00B50F60" w:rsidRDefault="003A02AC" w:rsidP="00162654">
            <w:pPr>
              <w:pStyle w:val="Standardenglisch"/>
              <w:keepNext/>
              <w:keepLines/>
              <w:widowControl/>
              <w:ind w:left="174"/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szCs w:val="22"/>
                <w:lang w:val="sk-SK"/>
              </w:rPr>
              <w:t>nad 15 %</w:t>
            </w:r>
          </w:p>
        </w:tc>
        <w:tc>
          <w:tcPr>
            <w:tcW w:w="2551" w:type="dxa"/>
          </w:tcPr>
          <w:p w14:paraId="6016D94F" w14:textId="77777777" w:rsidR="003A02AC" w:rsidRPr="00B50F60" w:rsidRDefault="003A02AC" w:rsidP="00162654">
            <w:pPr>
              <w:pStyle w:val="Standardenglisch"/>
              <w:keepNext/>
              <w:keepLines/>
              <w:widowControl/>
              <w:ind w:left="143"/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szCs w:val="22"/>
                <w:lang w:val="sk-SK"/>
              </w:rPr>
              <w:t>25 % obvyklej dávky</w:t>
            </w:r>
          </w:p>
          <w:p w14:paraId="679B86F6" w14:textId="77777777" w:rsidR="003A02AC" w:rsidRPr="00B50F60" w:rsidRDefault="003A02AC" w:rsidP="00162654">
            <w:pPr>
              <w:pStyle w:val="Standardenglisch"/>
              <w:keepNext/>
              <w:keepLines/>
              <w:widowControl/>
              <w:ind w:left="143"/>
              <w:rPr>
                <w:rFonts w:ascii="Times New Roman" w:hAnsi="Times New Roman"/>
                <w:szCs w:val="22"/>
                <w:lang w:val="sk-SK"/>
              </w:rPr>
            </w:pPr>
          </w:p>
        </w:tc>
      </w:tr>
    </w:tbl>
    <w:p w14:paraId="03B72427" w14:textId="77777777" w:rsidR="003A02AC" w:rsidRPr="00B50F60" w:rsidRDefault="003A02AC" w:rsidP="00DC57E3">
      <w:pPr>
        <w:pStyle w:val="Standardenglisch"/>
        <w:ind w:left="567"/>
        <w:rPr>
          <w:rFonts w:ascii="Times New Roman" w:hAnsi="Times New Roman"/>
          <w:b/>
          <w:szCs w:val="22"/>
          <w:lang w:val="sk-SK"/>
        </w:rPr>
      </w:pPr>
    </w:p>
    <w:p w14:paraId="23F29B26" w14:textId="77777777" w:rsidR="003A02AC" w:rsidRPr="00B50F60" w:rsidRDefault="003A02AC" w:rsidP="00ED7827">
      <w:pPr>
        <w:pStyle w:val="Standardenglisch"/>
        <w:tabs>
          <w:tab w:val="left" w:pos="0"/>
          <w:tab w:val="left" w:pos="284"/>
        </w:tabs>
        <w:outlineLvl w:val="0"/>
        <w:rPr>
          <w:rFonts w:ascii="Times New Roman" w:hAnsi="Times New Roman"/>
          <w:szCs w:val="22"/>
          <w:u w:val="single"/>
          <w:lang w:val="sk-SK"/>
        </w:rPr>
      </w:pPr>
      <w:r w:rsidRPr="00B50F60">
        <w:rPr>
          <w:rFonts w:ascii="Times New Roman" w:hAnsi="Times New Roman"/>
          <w:szCs w:val="22"/>
          <w:u w:val="single"/>
          <w:lang w:val="sk-SK"/>
        </w:rPr>
        <w:lastRenderedPageBreak/>
        <w:t>Porucha funkcie obličiek</w:t>
      </w:r>
    </w:p>
    <w:p w14:paraId="2D36D660" w14:textId="77777777" w:rsidR="003A02AC" w:rsidRPr="00B50F60" w:rsidRDefault="003A02AC" w:rsidP="00ED7827">
      <w:pPr>
        <w:pStyle w:val="Standardenglisch"/>
        <w:tabs>
          <w:tab w:val="left" w:pos="0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 xml:space="preserve">V prípadoch </w:t>
      </w:r>
      <w:proofErr w:type="spellStart"/>
      <w:r w:rsidRPr="00B50F60">
        <w:rPr>
          <w:rFonts w:ascii="Times New Roman" w:hAnsi="Times New Roman"/>
          <w:szCs w:val="22"/>
          <w:lang w:val="sk-SK"/>
        </w:rPr>
        <w:t>renálnej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B50F60">
        <w:rPr>
          <w:rFonts w:ascii="Times New Roman" w:hAnsi="Times New Roman"/>
          <w:szCs w:val="22"/>
          <w:lang w:val="sk-SK"/>
        </w:rPr>
        <w:t>insuficiencie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s GFR menej ako 10 ml/min sa má podať 75 % vypočítanej dávky.</w:t>
      </w:r>
    </w:p>
    <w:p w14:paraId="2BCAE4FD" w14:textId="77777777" w:rsidR="003A02AC" w:rsidRPr="00B50F60" w:rsidRDefault="003A02AC" w:rsidP="00ED7827">
      <w:pPr>
        <w:pStyle w:val="Standardenglisch"/>
        <w:tabs>
          <w:tab w:val="left" w:pos="0"/>
        </w:tabs>
        <w:rPr>
          <w:rFonts w:ascii="Times New Roman" w:hAnsi="Times New Roman"/>
          <w:szCs w:val="22"/>
          <w:lang w:val="sk-SK"/>
        </w:rPr>
      </w:pPr>
    </w:p>
    <w:p w14:paraId="21BF75A9" w14:textId="77777777" w:rsidR="003A02AC" w:rsidRPr="00B50F60" w:rsidRDefault="003A02AC" w:rsidP="00ED7827">
      <w:pPr>
        <w:pStyle w:val="Standardenglisch"/>
        <w:tabs>
          <w:tab w:val="left" w:pos="0"/>
        </w:tabs>
        <w:outlineLvl w:val="0"/>
        <w:rPr>
          <w:rFonts w:ascii="Times New Roman" w:hAnsi="Times New Roman"/>
          <w:szCs w:val="22"/>
          <w:u w:val="single"/>
          <w:lang w:val="sk-SK"/>
        </w:rPr>
      </w:pPr>
      <w:r w:rsidRPr="00B50F60">
        <w:rPr>
          <w:rFonts w:ascii="Times New Roman" w:hAnsi="Times New Roman"/>
          <w:szCs w:val="22"/>
          <w:u w:val="single"/>
          <w:lang w:val="sk-SK"/>
        </w:rPr>
        <w:t>Obézni pacienti</w:t>
      </w:r>
    </w:p>
    <w:p w14:paraId="49118D44" w14:textId="77777777" w:rsidR="003A02AC" w:rsidRPr="00B50F60" w:rsidRDefault="009D6510" w:rsidP="00ED7827">
      <w:pPr>
        <w:pStyle w:val="Standardenglisch"/>
        <w:tabs>
          <w:tab w:val="left" w:pos="0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>U obéznych pacientov bude možno potrebné zvážiť n</w:t>
      </w:r>
      <w:r w:rsidR="003A02AC" w:rsidRPr="00B50F60">
        <w:rPr>
          <w:rFonts w:ascii="Times New Roman" w:hAnsi="Times New Roman"/>
          <w:szCs w:val="22"/>
          <w:lang w:val="sk-SK"/>
        </w:rPr>
        <w:t>ižši</w:t>
      </w:r>
      <w:r w:rsidRPr="00B50F60">
        <w:rPr>
          <w:rFonts w:ascii="Times New Roman" w:hAnsi="Times New Roman"/>
          <w:szCs w:val="22"/>
          <w:lang w:val="sk-SK"/>
        </w:rPr>
        <w:t>u</w:t>
      </w:r>
      <w:r w:rsidR="003A02AC" w:rsidRPr="00B50F60">
        <w:rPr>
          <w:rFonts w:ascii="Times New Roman" w:hAnsi="Times New Roman"/>
          <w:szCs w:val="22"/>
          <w:lang w:val="sk-SK"/>
        </w:rPr>
        <w:t xml:space="preserve"> úvodn</w:t>
      </w:r>
      <w:r w:rsidRPr="00B50F60">
        <w:rPr>
          <w:rFonts w:ascii="Times New Roman" w:hAnsi="Times New Roman"/>
          <w:szCs w:val="22"/>
          <w:lang w:val="sk-SK"/>
        </w:rPr>
        <w:t>ú</w:t>
      </w:r>
      <w:r w:rsidR="003A02AC" w:rsidRPr="00B50F60">
        <w:rPr>
          <w:rFonts w:ascii="Times New Roman" w:hAnsi="Times New Roman"/>
          <w:szCs w:val="22"/>
          <w:lang w:val="sk-SK"/>
        </w:rPr>
        <w:t xml:space="preserve"> dávk</w:t>
      </w:r>
      <w:r w:rsidRPr="00B50F60">
        <w:rPr>
          <w:rFonts w:ascii="Times New Roman" w:hAnsi="Times New Roman"/>
          <w:szCs w:val="22"/>
          <w:lang w:val="sk-SK"/>
        </w:rPr>
        <w:t>u</w:t>
      </w:r>
      <w:r w:rsidR="003A02AC" w:rsidRPr="00B50F60">
        <w:rPr>
          <w:rFonts w:ascii="Times New Roman" w:hAnsi="Times New Roman"/>
          <w:szCs w:val="22"/>
          <w:lang w:val="sk-SK"/>
        </w:rPr>
        <w:t xml:space="preserve"> alebo predĺžený dávkovací interval (pozri </w:t>
      </w:r>
      <w:r w:rsidR="0066152F" w:rsidRPr="00B50F60">
        <w:rPr>
          <w:rFonts w:ascii="Times New Roman" w:hAnsi="Times New Roman"/>
          <w:szCs w:val="22"/>
          <w:lang w:val="sk-SK"/>
        </w:rPr>
        <w:t xml:space="preserve">časť </w:t>
      </w:r>
      <w:r w:rsidR="003A02AC" w:rsidRPr="00B50F60">
        <w:rPr>
          <w:rFonts w:ascii="Times New Roman" w:hAnsi="Times New Roman"/>
          <w:szCs w:val="22"/>
          <w:lang w:val="sk-SK"/>
        </w:rPr>
        <w:t>4.4).</w:t>
      </w:r>
    </w:p>
    <w:p w14:paraId="41653E5F" w14:textId="77777777" w:rsidR="003A02AC" w:rsidRPr="00B50F60" w:rsidRDefault="003A02AC" w:rsidP="00ED7827">
      <w:pPr>
        <w:pStyle w:val="Standardenglisch"/>
        <w:tabs>
          <w:tab w:val="left" w:pos="0"/>
          <w:tab w:val="left" w:pos="284"/>
        </w:tabs>
        <w:rPr>
          <w:rFonts w:ascii="Times New Roman" w:hAnsi="Times New Roman"/>
          <w:szCs w:val="22"/>
          <w:lang w:val="sk-SK"/>
        </w:rPr>
      </w:pPr>
    </w:p>
    <w:p w14:paraId="6416A617" w14:textId="77777777" w:rsidR="00B750C4" w:rsidRPr="00B50F60" w:rsidRDefault="00173A45" w:rsidP="00ED7827">
      <w:pPr>
        <w:tabs>
          <w:tab w:val="left" w:pos="0"/>
        </w:tabs>
        <w:outlineLvl w:val="0"/>
        <w:rPr>
          <w:rFonts w:ascii="Times New Roman" w:hAnsi="Times New Roman"/>
          <w:szCs w:val="22"/>
          <w:u w:val="single"/>
          <w:lang w:val="sk-SK"/>
        </w:rPr>
      </w:pPr>
      <w:r w:rsidRPr="00B50F60">
        <w:rPr>
          <w:rFonts w:ascii="Times New Roman" w:hAnsi="Times New Roman"/>
          <w:szCs w:val="22"/>
          <w:u w:val="single"/>
          <w:lang w:val="sk-SK"/>
        </w:rPr>
        <w:t xml:space="preserve">Pre </w:t>
      </w:r>
      <w:proofErr w:type="spellStart"/>
      <w:r w:rsidRPr="00B50F60">
        <w:rPr>
          <w:rFonts w:ascii="Times New Roman" w:hAnsi="Times New Roman"/>
          <w:szCs w:val="22"/>
          <w:u w:val="single"/>
          <w:lang w:val="sk-SK"/>
        </w:rPr>
        <w:t>i</w:t>
      </w:r>
      <w:r w:rsidR="002F3D69" w:rsidRPr="00B50F60">
        <w:rPr>
          <w:rFonts w:ascii="Times New Roman" w:hAnsi="Times New Roman"/>
          <w:szCs w:val="22"/>
          <w:u w:val="single"/>
          <w:lang w:val="sk-SK"/>
        </w:rPr>
        <w:t>ntrave</w:t>
      </w:r>
      <w:r w:rsidR="00F37D29" w:rsidRPr="00B50F60">
        <w:rPr>
          <w:rFonts w:ascii="Times New Roman" w:hAnsi="Times New Roman"/>
          <w:szCs w:val="22"/>
          <w:u w:val="single"/>
          <w:lang w:val="sk-SK"/>
        </w:rPr>
        <w:t>z</w:t>
      </w:r>
      <w:r w:rsidR="002F3D69" w:rsidRPr="00B50F60">
        <w:rPr>
          <w:rFonts w:ascii="Times New Roman" w:hAnsi="Times New Roman"/>
          <w:szCs w:val="22"/>
          <w:u w:val="single"/>
          <w:lang w:val="sk-SK"/>
        </w:rPr>
        <w:t>iká</w:t>
      </w:r>
      <w:r w:rsidR="00B750C4" w:rsidRPr="00B50F60">
        <w:rPr>
          <w:rFonts w:ascii="Times New Roman" w:hAnsi="Times New Roman"/>
          <w:szCs w:val="22"/>
          <w:u w:val="single"/>
          <w:lang w:val="sk-SK"/>
        </w:rPr>
        <w:t>l</w:t>
      </w:r>
      <w:r w:rsidR="002F3D69" w:rsidRPr="00B50F60">
        <w:rPr>
          <w:rFonts w:ascii="Times New Roman" w:hAnsi="Times New Roman"/>
          <w:szCs w:val="22"/>
          <w:u w:val="single"/>
          <w:lang w:val="sk-SK"/>
        </w:rPr>
        <w:t>ne</w:t>
      </w:r>
      <w:proofErr w:type="spellEnd"/>
      <w:r w:rsidR="002F3D69" w:rsidRPr="00B50F60">
        <w:rPr>
          <w:rFonts w:ascii="Times New Roman" w:hAnsi="Times New Roman"/>
          <w:szCs w:val="22"/>
          <w:u w:val="single"/>
          <w:lang w:val="sk-SK"/>
        </w:rPr>
        <w:t xml:space="preserve"> p</w:t>
      </w:r>
      <w:r w:rsidR="003039B2" w:rsidRPr="00B50F60">
        <w:rPr>
          <w:rFonts w:ascii="Times New Roman" w:hAnsi="Times New Roman"/>
          <w:szCs w:val="22"/>
          <w:u w:val="single"/>
          <w:lang w:val="sk-SK"/>
        </w:rPr>
        <w:t>oužitie</w:t>
      </w:r>
    </w:p>
    <w:p w14:paraId="53EEA98E" w14:textId="77777777" w:rsidR="003A02AC" w:rsidRPr="00B50F60" w:rsidRDefault="003A02AC" w:rsidP="00ED7827">
      <w:pPr>
        <w:pStyle w:val="Standardenglisch"/>
        <w:tabs>
          <w:tab w:val="left" w:pos="0"/>
          <w:tab w:val="left" w:pos="284"/>
        </w:tabs>
        <w:rPr>
          <w:rFonts w:ascii="Times New Roman" w:hAnsi="Times New Roman"/>
          <w:szCs w:val="22"/>
          <w:lang w:val="sk-SK"/>
        </w:rPr>
      </w:pPr>
      <w:proofErr w:type="spellStart"/>
      <w:r w:rsidRPr="00B50F60">
        <w:rPr>
          <w:rFonts w:ascii="Times New Roman" w:hAnsi="Times New Roman"/>
          <w:szCs w:val="22"/>
          <w:lang w:val="sk-SK"/>
        </w:rPr>
        <w:t>Intravezikálne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podávanie:</w:t>
      </w:r>
    </w:p>
    <w:p w14:paraId="05EB8754" w14:textId="2D6F5CED" w:rsidR="00926025" w:rsidRPr="00B50F60" w:rsidRDefault="003A02AC" w:rsidP="00ED7827">
      <w:pPr>
        <w:pStyle w:val="Standardenglisch"/>
        <w:tabs>
          <w:tab w:val="left" w:pos="0"/>
          <w:tab w:val="left" w:pos="284"/>
        </w:tabs>
        <w:rPr>
          <w:rFonts w:ascii="Times New Roman" w:hAnsi="Times New Roman"/>
          <w:szCs w:val="22"/>
          <w:lang w:val="sk-SK"/>
        </w:rPr>
      </w:pPr>
      <w:proofErr w:type="spellStart"/>
      <w:r w:rsidRPr="00B50F60">
        <w:rPr>
          <w:rFonts w:ascii="Times New Roman" w:hAnsi="Times New Roman"/>
          <w:szCs w:val="22"/>
          <w:lang w:val="sk-SK"/>
        </w:rPr>
        <w:t>Doxorubicín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sa môže podávať </w:t>
      </w:r>
      <w:proofErr w:type="spellStart"/>
      <w:r w:rsidRPr="00B50F60">
        <w:rPr>
          <w:rFonts w:ascii="Times New Roman" w:hAnsi="Times New Roman"/>
          <w:szCs w:val="22"/>
          <w:lang w:val="sk-SK"/>
        </w:rPr>
        <w:t>intravezikálnou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B50F60">
        <w:rPr>
          <w:rFonts w:ascii="Times New Roman" w:hAnsi="Times New Roman"/>
          <w:szCs w:val="22"/>
          <w:lang w:val="sk-SK"/>
        </w:rPr>
        <w:t>instiláciou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pri liečbe </w:t>
      </w:r>
      <w:proofErr w:type="spellStart"/>
      <w:r w:rsidRPr="00B50F60">
        <w:rPr>
          <w:rFonts w:ascii="Times New Roman" w:hAnsi="Times New Roman"/>
          <w:szCs w:val="22"/>
          <w:lang w:val="sk-SK"/>
        </w:rPr>
        <w:t>superficiálneho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karcinómu močového mechúra a na prevenciu </w:t>
      </w:r>
      <w:proofErr w:type="spellStart"/>
      <w:r w:rsidRPr="00B50F60">
        <w:rPr>
          <w:rFonts w:ascii="Times New Roman" w:hAnsi="Times New Roman"/>
          <w:szCs w:val="22"/>
          <w:lang w:val="sk-SK"/>
        </w:rPr>
        <w:t>relapsu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po </w:t>
      </w:r>
      <w:proofErr w:type="spellStart"/>
      <w:r w:rsidRPr="00B50F60">
        <w:rPr>
          <w:rFonts w:ascii="Times New Roman" w:hAnsi="Times New Roman"/>
          <w:szCs w:val="22"/>
          <w:lang w:val="sk-SK"/>
        </w:rPr>
        <w:t>transuretrálnej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resekcii (T.U.R). Odporúčaná dávka pre </w:t>
      </w:r>
      <w:proofErr w:type="spellStart"/>
      <w:r w:rsidRPr="00B50F60">
        <w:rPr>
          <w:rFonts w:ascii="Times New Roman" w:hAnsi="Times New Roman"/>
          <w:szCs w:val="22"/>
          <w:lang w:val="sk-SK"/>
        </w:rPr>
        <w:t>intravezikálnu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liečbu </w:t>
      </w:r>
      <w:proofErr w:type="spellStart"/>
      <w:r w:rsidRPr="00B50F60">
        <w:rPr>
          <w:rFonts w:ascii="Times New Roman" w:hAnsi="Times New Roman"/>
          <w:szCs w:val="22"/>
          <w:lang w:val="sk-SK"/>
        </w:rPr>
        <w:t>superficiálneho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karcinómu močového mechúra je 30</w:t>
      </w:r>
      <w:r w:rsidR="00214540" w:rsidRPr="00B50F60">
        <w:rPr>
          <w:rFonts w:ascii="Times New Roman" w:hAnsi="Times New Roman"/>
          <w:szCs w:val="22"/>
          <w:lang w:val="sk-SK"/>
        </w:rPr>
        <w:t> </w:t>
      </w:r>
      <w:r w:rsidR="00BF0EFE" w:rsidRPr="00B50F60">
        <w:rPr>
          <w:rFonts w:ascii="Times New Roman" w:hAnsi="Times New Roman"/>
          <w:szCs w:val="22"/>
          <w:lang w:val="sk-SK"/>
        </w:rPr>
        <w:t>–</w:t>
      </w:r>
      <w:r w:rsidR="00214540" w:rsidRPr="00B50F60">
        <w:rPr>
          <w:rFonts w:ascii="Times New Roman" w:hAnsi="Times New Roman"/>
          <w:szCs w:val="22"/>
          <w:lang w:val="sk-SK"/>
        </w:rPr>
        <w:t> </w:t>
      </w:r>
      <w:r w:rsidRPr="00B50F60">
        <w:rPr>
          <w:rFonts w:ascii="Times New Roman" w:hAnsi="Times New Roman"/>
          <w:szCs w:val="22"/>
          <w:lang w:val="sk-SK"/>
        </w:rPr>
        <w:t>50 mg v</w:t>
      </w:r>
      <w:r w:rsidR="00214540" w:rsidRPr="00B50F60">
        <w:rPr>
          <w:rFonts w:ascii="Times New Roman" w:hAnsi="Times New Roman"/>
          <w:szCs w:val="22"/>
          <w:lang w:val="sk-SK"/>
        </w:rPr>
        <w:t> </w:t>
      </w:r>
      <w:r w:rsidRPr="00B50F60">
        <w:rPr>
          <w:rFonts w:ascii="Times New Roman" w:hAnsi="Times New Roman"/>
          <w:szCs w:val="22"/>
          <w:lang w:val="sk-SK"/>
        </w:rPr>
        <w:t>25</w:t>
      </w:r>
      <w:r w:rsidR="00214540" w:rsidRPr="00B50F60">
        <w:rPr>
          <w:rFonts w:ascii="Times New Roman" w:hAnsi="Times New Roman"/>
          <w:szCs w:val="22"/>
          <w:lang w:val="sk-SK"/>
        </w:rPr>
        <w:t> </w:t>
      </w:r>
      <w:r w:rsidR="00BF0EFE" w:rsidRPr="00B50F60">
        <w:rPr>
          <w:rFonts w:ascii="Times New Roman" w:hAnsi="Times New Roman"/>
          <w:szCs w:val="22"/>
          <w:lang w:val="sk-SK"/>
        </w:rPr>
        <w:t>–</w:t>
      </w:r>
      <w:r w:rsidR="00214540" w:rsidRPr="00B50F60">
        <w:rPr>
          <w:rFonts w:ascii="Times New Roman" w:hAnsi="Times New Roman"/>
          <w:szCs w:val="22"/>
          <w:lang w:val="sk-SK"/>
        </w:rPr>
        <w:t> </w:t>
      </w:r>
      <w:r w:rsidRPr="00B50F60">
        <w:rPr>
          <w:rFonts w:ascii="Times New Roman" w:hAnsi="Times New Roman"/>
          <w:szCs w:val="22"/>
          <w:lang w:val="sk-SK"/>
        </w:rPr>
        <w:t xml:space="preserve">50 ml fyziologického roztoku na </w:t>
      </w:r>
      <w:proofErr w:type="spellStart"/>
      <w:r w:rsidRPr="00B50F60">
        <w:rPr>
          <w:rFonts w:ascii="Times New Roman" w:hAnsi="Times New Roman"/>
          <w:szCs w:val="22"/>
          <w:lang w:val="sk-SK"/>
        </w:rPr>
        <w:t>instiláciu</w:t>
      </w:r>
      <w:proofErr w:type="spellEnd"/>
      <w:r w:rsidRPr="00B50F60">
        <w:rPr>
          <w:rFonts w:ascii="Times New Roman" w:hAnsi="Times New Roman"/>
          <w:szCs w:val="22"/>
          <w:lang w:val="sk-SK"/>
        </w:rPr>
        <w:t>.</w:t>
      </w:r>
      <w:r w:rsidR="00926025" w:rsidRPr="00B50F60">
        <w:rPr>
          <w:rFonts w:ascii="Times New Roman" w:hAnsi="Times New Roman"/>
          <w:szCs w:val="22"/>
          <w:lang w:val="sk-SK"/>
        </w:rPr>
        <w:t xml:space="preserve"> Optimálna koncentrácia je približne 1 mg/ml. Roztok má zotrvať v močovom mechúre po dobu 1</w:t>
      </w:r>
      <w:r w:rsidR="00214540" w:rsidRPr="00B50F60">
        <w:rPr>
          <w:rFonts w:ascii="Times New Roman" w:hAnsi="Times New Roman"/>
          <w:szCs w:val="22"/>
          <w:lang w:val="sk-SK"/>
        </w:rPr>
        <w:t> </w:t>
      </w:r>
      <w:r w:rsidR="00BF0EFE" w:rsidRPr="00B50F60">
        <w:rPr>
          <w:rFonts w:ascii="Times New Roman" w:hAnsi="Times New Roman"/>
          <w:szCs w:val="22"/>
          <w:lang w:val="sk-SK"/>
        </w:rPr>
        <w:t>–</w:t>
      </w:r>
      <w:r w:rsidR="00214540" w:rsidRPr="00B50F60">
        <w:rPr>
          <w:rFonts w:ascii="Times New Roman" w:hAnsi="Times New Roman"/>
          <w:szCs w:val="22"/>
          <w:lang w:val="sk-SK"/>
        </w:rPr>
        <w:t> 2 </w:t>
      </w:r>
      <w:r w:rsidR="00926025" w:rsidRPr="00B50F60">
        <w:rPr>
          <w:rFonts w:ascii="Times New Roman" w:hAnsi="Times New Roman"/>
          <w:szCs w:val="22"/>
          <w:lang w:val="sk-SK"/>
        </w:rPr>
        <w:t>hodín. Počas t</w:t>
      </w:r>
      <w:r w:rsidR="00B04068" w:rsidRPr="00B50F60">
        <w:rPr>
          <w:rFonts w:ascii="Times New Roman" w:hAnsi="Times New Roman"/>
          <w:szCs w:val="22"/>
          <w:lang w:val="sk-SK"/>
        </w:rPr>
        <w:t>ejto doby</w:t>
      </w:r>
      <w:r w:rsidR="00926025" w:rsidRPr="00B50F60">
        <w:rPr>
          <w:rFonts w:ascii="Times New Roman" w:hAnsi="Times New Roman"/>
          <w:szCs w:val="22"/>
          <w:lang w:val="sk-SK"/>
        </w:rPr>
        <w:t xml:space="preserve"> sa má pacient otáčať o 90° každých 15</w:t>
      </w:r>
      <w:r w:rsidR="00214540" w:rsidRPr="00B50F60">
        <w:rPr>
          <w:rFonts w:ascii="Times New Roman" w:hAnsi="Times New Roman"/>
          <w:szCs w:val="22"/>
          <w:lang w:val="sk-SK"/>
        </w:rPr>
        <w:t> </w:t>
      </w:r>
      <w:r w:rsidR="00926025" w:rsidRPr="00B50F60">
        <w:rPr>
          <w:rFonts w:ascii="Times New Roman" w:hAnsi="Times New Roman"/>
          <w:szCs w:val="22"/>
          <w:lang w:val="sk-SK"/>
        </w:rPr>
        <w:t xml:space="preserve">minút. Pacienta je potrebné upozorniť, aby neprijímal žiadne tekutiny v priebehu 12 hodín pred </w:t>
      </w:r>
      <w:proofErr w:type="spellStart"/>
      <w:r w:rsidR="00926025" w:rsidRPr="00B50F60">
        <w:rPr>
          <w:rFonts w:ascii="Times New Roman" w:hAnsi="Times New Roman"/>
          <w:szCs w:val="22"/>
          <w:lang w:val="sk-SK"/>
        </w:rPr>
        <w:t>instiláciou</w:t>
      </w:r>
      <w:proofErr w:type="spellEnd"/>
      <w:r w:rsidR="00926025" w:rsidRPr="00B50F60">
        <w:rPr>
          <w:rFonts w:ascii="Times New Roman" w:hAnsi="Times New Roman"/>
          <w:szCs w:val="22"/>
          <w:lang w:val="sk-SK"/>
        </w:rPr>
        <w:t xml:space="preserve"> (to má znížiť tvorbu moču na približne 50 ml/hod), aby sa zabránilo neželanému zriedeniu s močom. </w:t>
      </w:r>
      <w:proofErr w:type="spellStart"/>
      <w:r w:rsidR="00926025" w:rsidRPr="00B50F60">
        <w:rPr>
          <w:rFonts w:ascii="Times New Roman" w:hAnsi="Times New Roman"/>
          <w:szCs w:val="22"/>
          <w:lang w:val="sk-SK"/>
        </w:rPr>
        <w:t>Instilácia</w:t>
      </w:r>
      <w:proofErr w:type="spellEnd"/>
      <w:r w:rsidR="00926025" w:rsidRPr="00B50F60">
        <w:rPr>
          <w:rFonts w:ascii="Times New Roman" w:hAnsi="Times New Roman"/>
          <w:szCs w:val="22"/>
          <w:lang w:val="sk-SK"/>
        </w:rPr>
        <w:t xml:space="preserve"> sa môže zopakovať s intervalom 1</w:t>
      </w:r>
      <w:r w:rsidR="00214540" w:rsidRPr="00B50F60">
        <w:rPr>
          <w:rFonts w:ascii="Times New Roman" w:hAnsi="Times New Roman"/>
          <w:szCs w:val="22"/>
          <w:lang w:val="sk-SK"/>
        </w:rPr>
        <w:t> </w:t>
      </w:r>
      <w:r w:rsidR="00926025" w:rsidRPr="00B50F60">
        <w:rPr>
          <w:rFonts w:ascii="Times New Roman" w:hAnsi="Times New Roman"/>
          <w:szCs w:val="22"/>
          <w:lang w:val="sk-SK"/>
        </w:rPr>
        <w:t>týždeň až 1</w:t>
      </w:r>
      <w:r w:rsidR="00214540" w:rsidRPr="00B50F60">
        <w:rPr>
          <w:rFonts w:ascii="Times New Roman" w:hAnsi="Times New Roman"/>
          <w:szCs w:val="22"/>
          <w:lang w:val="sk-SK"/>
        </w:rPr>
        <w:t> </w:t>
      </w:r>
      <w:r w:rsidR="00926025" w:rsidRPr="00B50F60">
        <w:rPr>
          <w:rFonts w:ascii="Times New Roman" w:hAnsi="Times New Roman"/>
          <w:szCs w:val="22"/>
          <w:lang w:val="sk-SK"/>
        </w:rPr>
        <w:t>mesiac v závislosti od toho, či je liečba terapeutická alebo profylaktická.</w:t>
      </w:r>
    </w:p>
    <w:p w14:paraId="37B353B8" w14:textId="77777777" w:rsidR="00E9634D" w:rsidRPr="00B50F60" w:rsidRDefault="00E9634D" w:rsidP="00DC57E3">
      <w:pPr>
        <w:tabs>
          <w:tab w:val="left" w:pos="284"/>
          <w:tab w:val="left" w:pos="567"/>
        </w:tabs>
        <w:rPr>
          <w:rFonts w:ascii="Times New Roman" w:hAnsi="Times New Roman"/>
          <w:b/>
          <w:szCs w:val="22"/>
          <w:lang w:val="sk-SK"/>
        </w:rPr>
      </w:pPr>
    </w:p>
    <w:p w14:paraId="759F8824" w14:textId="77777777" w:rsidR="00B750C4" w:rsidRPr="00B50F60" w:rsidRDefault="00214540" w:rsidP="00ED7827">
      <w:pPr>
        <w:tabs>
          <w:tab w:val="left" w:pos="567"/>
        </w:tabs>
        <w:ind w:left="567" w:hanging="567"/>
        <w:outlineLvl w:val="0"/>
        <w:rPr>
          <w:rFonts w:ascii="Times New Roman" w:hAnsi="Times New Roman"/>
          <w:b/>
          <w:szCs w:val="22"/>
          <w:lang w:val="sk-SK"/>
        </w:rPr>
      </w:pPr>
      <w:r w:rsidRPr="00B50F60">
        <w:rPr>
          <w:rFonts w:ascii="Times New Roman" w:hAnsi="Times New Roman"/>
          <w:b/>
          <w:szCs w:val="22"/>
          <w:lang w:val="sk-SK"/>
        </w:rPr>
        <w:t>4.3</w:t>
      </w:r>
      <w:r w:rsidRPr="00B50F60">
        <w:rPr>
          <w:rFonts w:ascii="Times New Roman" w:hAnsi="Times New Roman"/>
          <w:b/>
          <w:szCs w:val="22"/>
          <w:lang w:val="sk-SK"/>
        </w:rPr>
        <w:tab/>
      </w:r>
      <w:r w:rsidR="00A00517" w:rsidRPr="00B50F60">
        <w:rPr>
          <w:rFonts w:ascii="Times New Roman" w:hAnsi="Times New Roman"/>
          <w:b/>
          <w:szCs w:val="22"/>
          <w:lang w:val="sk-SK"/>
        </w:rPr>
        <w:t>Kontraindikácie</w:t>
      </w:r>
    </w:p>
    <w:p w14:paraId="0436C62B" w14:textId="77777777" w:rsidR="00B750C4" w:rsidRPr="00B50F60" w:rsidRDefault="00B750C4" w:rsidP="00ED7827">
      <w:pPr>
        <w:pStyle w:val="Standardenglisch"/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Cs w:val="22"/>
          <w:lang w:val="sk-SK"/>
        </w:rPr>
      </w:pPr>
    </w:p>
    <w:p w14:paraId="445D011D" w14:textId="3849EA46" w:rsidR="00E9634D" w:rsidRPr="00B50F60" w:rsidRDefault="00A00517" w:rsidP="00ED7827">
      <w:pPr>
        <w:pStyle w:val="Standardenglisch"/>
        <w:tabs>
          <w:tab w:val="left" w:pos="0"/>
          <w:tab w:val="left" w:pos="284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>Prec</w:t>
      </w:r>
      <w:r w:rsidR="00A2196C" w:rsidRPr="00B50F60">
        <w:rPr>
          <w:rFonts w:ascii="Times New Roman" w:hAnsi="Times New Roman"/>
          <w:szCs w:val="22"/>
          <w:lang w:val="sk-SK"/>
        </w:rPr>
        <w:t xml:space="preserve">itlivenosť na </w:t>
      </w:r>
      <w:r w:rsidR="0075703F" w:rsidRPr="00B50F60">
        <w:rPr>
          <w:rFonts w:ascii="Times New Roman" w:hAnsi="Times New Roman"/>
          <w:szCs w:val="22"/>
          <w:lang w:val="sk-SK"/>
        </w:rPr>
        <w:t>liečivo</w:t>
      </w:r>
      <w:r w:rsidR="00932F2F" w:rsidRPr="00B50F60">
        <w:rPr>
          <w:rFonts w:ascii="Times New Roman" w:hAnsi="Times New Roman"/>
          <w:szCs w:val="22"/>
          <w:lang w:val="sk-SK"/>
        </w:rPr>
        <w:t xml:space="preserve"> </w:t>
      </w:r>
      <w:r w:rsidRPr="00B50F60">
        <w:rPr>
          <w:rFonts w:ascii="Times New Roman" w:hAnsi="Times New Roman"/>
          <w:szCs w:val="22"/>
          <w:lang w:val="sk-SK"/>
        </w:rPr>
        <w:t xml:space="preserve">alebo </w:t>
      </w:r>
      <w:r w:rsidR="00A2196C" w:rsidRPr="00B50F60">
        <w:rPr>
          <w:rFonts w:ascii="Times New Roman" w:hAnsi="Times New Roman"/>
          <w:szCs w:val="22"/>
          <w:lang w:val="sk-SK"/>
        </w:rPr>
        <w:t xml:space="preserve">na </w:t>
      </w:r>
      <w:r w:rsidRPr="00B50F60">
        <w:rPr>
          <w:rFonts w:ascii="Times New Roman" w:hAnsi="Times New Roman"/>
          <w:szCs w:val="22"/>
          <w:lang w:val="sk-SK"/>
        </w:rPr>
        <w:t>ktorúkoľvek z pomocných látok</w:t>
      </w:r>
      <w:r w:rsidR="00575CAE" w:rsidRPr="00B50F60">
        <w:rPr>
          <w:rFonts w:ascii="Times New Roman" w:hAnsi="Times New Roman"/>
          <w:szCs w:val="22"/>
          <w:lang w:val="sk-SK"/>
        </w:rPr>
        <w:t xml:space="preserve"> uvedených v</w:t>
      </w:r>
      <w:r w:rsidR="00214540" w:rsidRPr="00B50F60">
        <w:rPr>
          <w:rFonts w:ascii="Times New Roman" w:hAnsi="Times New Roman"/>
          <w:szCs w:val="22"/>
          <w:lang w:val="sk-SK"/>
        </w:rPr>
        <w:t> </w:t>
      </w:r>
      <w:r w:rsidR="00575CAE" w:rsidRPr="00B50F60">
        <w:rPr>
          <w:rFonts w:ascii="Times New Roman" w:hAnsi="Times New Roman"/>
          <w:szCs w:val="22"/>
          <w:lang w:val="sk-SK"/>
        </w:rPr>
        <w:t>časti</w:t>
      </w:r>
      <w:r w:rsidR="00214540" w:rsidRPr="00B50F60">
        <w:rPr>
          <w:rFonts w:ascii="Times New Roman" w:hAnsi="Times New Roman"/>
          <w:szCs w:val="22"/>
          <w:lang w:val="sk-SK"/>
        </w:rPr>
        <w:t> </w:t>
      </w:r>
      <w:r w:rsidR="00575CAE" w:rsidRPr="00B50F60">
        <w:rPr>
          <w:rFonts w:ascii="Times New Roman" w:hAnsi="Times New Roman"/>
          <w:szCs w:val="22"/>
          <w:lang w:val="sk-SK"/>
        </w:rPr>
        <w:t>6.1</w:t>
      </w:r>
      <w:r w:rsidRPr="00B50F60">
        <w:rPr>
          <w:rFonts w:ascii="Times New Roman" w:hAnsi="Times New Roman"/>
          <w:szCs w:val="22"/>
          <w:lang w:val="sk-SK"/>
        </w:rPr>
        <w:t>.</w:t>
      </w:r>
      <w:r w:rsidR="00E83768" w:rsidRPr="00B50F60">
        <w:rPr>
          <w:rFonts w:ascii="Times New Roman" w:hAnsi="Times New Roman"/>
          <w:szCs w:val="22"/>
          <w:lang w:val="sk-SK"/>
        </w:rPr>
        <w:t xml:space="preserve"> alebo na iné </w:t>
      </w:r>
      <w:proofErr w:type="spellStart"/>
      <w:r w:rsidR="00E83768" w:rsidRPr="00B50F60">
        <w:rPr>
          <w:rFonts w:ascii="Times New Roman" w:hAnsi="Times New Roman"/>
          <w:szCs w:val="22"/>
          <w:lang w:val="sk-SK"/>
        </w:rPr>
        <w:t>antracyklíny</w:t>
      </w:r>
      <w:proofErr w:type="spellEnd"/>
      <w:r w:rsidR="00E83768" w:rsidRPr="00B50F60">
        <w:rPr>
          <w:rFonts w:ascii="Times New Roman" w:hAnsi="Times New Roman"/>
          <w:szCs w:val="22"/>
          <w:lang w:val="sk-SK"/>
        </w:rPr>
        <w:t xml:space="preserve"> alebo </w:t>
      </w:r>
      <w:proofErr w:type="spellStart"/>
      <w:r w:rsidR="00E83768" w:rsidRPr="00B50F60">
        <w:rPr>
          <w:rFonts w:ascii="Times New Roman" w:hAnsi="Times New Roman"/>
          <w:szCs w:val="22"/>
          <w:lang w:val="sk-SK"/>
        </w:rPr>
        <w:t>antrac</w:t>
      </w:r>
      <w:r w:rsidR="00213082">
        <w:rPr>
          <w:rFonts w:ascii="Times New Roman" w:hAnsi="Times New Roman"/>
          <w:szCs w:val="22"/>
          <w:lang w:val="sk-SK"/>
        </w:rPr>
        <w:t>é</w:t>
      </w:r>
      <w:r w:rsidR="00E83768" w:rsidRPr="00B50F60">
        <w:rPr>
          <w:rFonts w:ascii="Times New Roman" w:hAnsi="Times New Roman"/>
          <w:szCs w:val="22"/>
          <w:lang w:val="sk-SK"/>
        </w:rPr>
        <w:t>ndióny</w:t>
      </w:r>
      <w:proofErr w:type="spellEnd"/>
      <w:r w:rsidR="00E83768" w:rsidRPr="00B50F60">
        <w:rPr>
          <w:rFonts w:ascii="Times New Roman" w:hAnsi="Times New Roman"/>
          <w:szCs w:val="22"/>
          <w:lang w:val="sk-SK"/>
        </w:rPr>
        <w:t>.</w:t>
      </w:r>
    </w:p>
    <w:p w14:paraId="3F0096CB" w14:textId="77777777" w:rsidR="00A00517" w:rsidRPr="00B50F60" w:rsidRDefault="00A00517" w:rsidP="00ED7827">
      <w:pPr>
        <w:pStyle w:val="Standardenglisch"/>
        <w:tabs>
          <w:tab w:val="left" w:pos="284"/>
          <w:tab w:val="left" w:pos="567"/>
        </w:tabs>
        <w:ind w:left="567" w:hanging="567"/>
        <w:rPr>
          <w:rFonts w:ascii="Times New Roman" w:hAnsi="Times New Roman"/>
          <w:szCs w:val="22"/>
          <w:lang w:val="sk-SK"/>
        </w:rPr>
      </w:pPr>
    </w:p>
    <w:p w14:paraId="14A5BABF" w14:textId="77777777" w:rsidR="00926025" w:rsidRPr="00B50F60" w:rsidRDefault="00926025" w:rsidP="00ED7827">
      <w:pPr>
        <w:pStyle w:val="Standardenglisch"/>
        <w:tabs>
          <w:tab w:val="left" w:pos="284"/>
          <w:tab w:val="left" w:pos="567"/>
        </w:tabs>
        <w:ind w:left="567" w:hanging="567"/>
        <w:outlineLvl w:val="0"/>
        <w:rPr>
          <w:rFonts w:ascii="Times New Roman" w:hAnsi="Times New Roman"/>
          <w:szCs w:val="22"/>
          <w:u w:val="single"/>
          <w:lang w:val="sk-SK"/>
        </w:rPr>
      </w:pPr>
      <w:r w:rsidRPr="00B50F60">
        <w:rPr>
          <w:rFonts w:ascii="Times New Roman" w:hAnsi="Times New Roman"/>
          <w:szCs w:val="22"/>
          <w:u w:val="single"/>
          <w:lang w:val="sk-SK"/>
        </w:rPr>
        <w:t xml:space="preserve">Kontraindikácie </w:t>
      </w:r>
      <w:r w:rsidR="00197742" w:rsidRPr="00B50F60">
        <w:rPr>
          <w:rFonts w:ascii="Times New Roman" w:hAnsi="Times New Roman"/>
          <w:szCs w:val="22"/>
          <w:u w:val="single"/>
          <w:lang w:val="sk-SK"/>
        </w:rPr>
        <w:t>pre</w:t>
      </w:r>
      <w:r w:rsidRPr="00B50F60">
        <w:rPr>
          <w:rFonts w:ascii="Times New Roman" w:hAnsi="Times New Roman"/>
          <w:szCs w:val="22"/>
          <w:u w:val="single"/>
          <w:lang w:val="sk-SK"/>
        </w:rPr>
        <w:t xml:space="preserve"> intravenózne podávanie:</w:t>
      </w:r>
    </w:p>
    <w:p w14:paraId="34F9F26D" w14:textId="77777777" w:rsidR="00926025" w:rsidRPr="00B50F60" w:rsidRDefault="00926025" w:rsidP="00ED7827">
      <w:pPr>
        <w:pStyle w:val="Standardenglisch"/>
        <w:numPr>
          <w:ilvl w:val="0"/>
          <w:numId w:val="7"/>
        </w:numPr>
        <w:tabs>
          <w:tab w:val="left" w:pos="567"/>
          <w:tab w:val="left" w:pos="1134"/>
        </w:tabs>
        <w:ind w:left="567" w:hanging="567"/>
        <w:rPr>
          <w:rFonts w:ascii="Times New Roman" w:hAnsi="Times New Roman"/>
          <w:szCs w:val="22"/>
          <w:lang w:val="sk-SK"/>
        </w:rPr>
      </w:pPr>
      <w:proofErr w:type="spellStart"/>
      <w:r w:rsidRPr="00B50F60">
        <w:rPr>
          <w:rFonts w:ascii="Times New Roman" w:hAnsi="Times New Roman"/>
          <w:szCs w:val="22"/>
          <w:lang w:val="sk-SK"/>
        </w:rPr>
        <w:t>perzistentná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B50F60">
        <w:rPr>
          <w:rFonts w:ascii="Times New Roman" w:hAnsi="Times New Roman"/>
          <w:szCs w:val="22"/>
          <w:lang w:val="sk-SK"/>
        </w:rPr>
        <w:t>myelosupresia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alebo závažná </w:t>
      </w:r>
      <w:proofErr w:type="spellStart"/>
      <w:r w:rsidRPr="00B50F60">
        <w:rPr>
          <w:rFonts w:ascii="Times New Roman" w:hAnsi="Times New Roman"/>
          <w:szCs w:val="22"/>
          <w:lang w:val="sk-SK"/>
        </w:rPr>
        <w:t>stomatitída</w:t>
      </w:r>
      <w:proofErr w:type="spellEnd"/>
      <w:r w:rsidRPr="00B50F60">
        <w:rPr>
          <w:rFonts w:ascii="Times New Roman" w:hAnsi="Times New Roman"/>
          <w:szCs w:val="22"/>
          <w:lang w:val="sk-SK"/>
        </w:rPr>
        <w:t>, ktorá sa vysk</w:t>
      </w:r>
      <w:r w:rsidR="00446280" w:rsidRPr="00B50F60">
        <w:rPr>
          <w:rFonts w:ascii="Times New Roman" w:hAnsi="Times New Roman"/>
          <w:szCs w:val="22"/>
          <w:lang w:val="sk-SK"/>
        </w:rPr>
        <w:t>ytla</w:t>
      </w:r>
      <w:r w:rsidRPr="00B50F60">
        <w:rPr>
          <w:rFonts w:ascii="Times New Roman" w:hAnsi="Times New Roman"/>
          <w:szCs w:val="22"/>
          <w:lang w:val="sk-SK"/>
        </w:rPr>
        <w:t xml:space="preserve"> počas predchádzajúcej </w:t>
      </w:r>
      <w:proofErr w:type="spellStart"/>
      <w:r w:rsidRPr="00B50F60">
        <w:rPr>
          <w:rFonts w:ascii="Times New Roman" w:hAnsi="Times New Roman"/>
          <w:szCs w:val="22"/>
          <w:lang w:val="sk-SK"/>
        </w:rPr>
        <w:t>cytotoxickej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liečby a/alebo ožarovania</w:t>
      </w:r>
    </w:p>
    <w:p w14:paraId="73D60C8C" w14:textId="77777777" w:rsidR="00926025" w:rsidRPr="00B50F60" w:rsidRDefault="00926025" w:rsidP="00ED7827">
      <w:pPr>
        <w:pStyle w:val="Standardenglisch"/>
        <w:numPr>
          <w:ilvl w:val="0"/>
          <w:numId w:val="7"/>
        </w:numPr>
        <w:tabs>
          <w:tab w:val="left" w:pos="567"/>
          <w:tab w:val="left" w:pos="1134"/>
        </w:tabs>
        <w:ind w:left="567" w:hanging="567"/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>celková infekcia</w:t>
      </w:r>
    </w:p>
    <w:p w14:paraId="75AC459A" w14:textId="77777777" w:rsidR="00926025" w:rsidRPr="00B50F60" w:rsidRDefault="00926025" w:rsidP="00ED7827">
      <w:pPr>
        <w:pStyle w:val="Standardenglisch"/>
        <w:numPr>
          <w:ilvl w:val="0"/>
          <w:numId w:val="7"/>
        </w:numPr>
        <w:tabs>
          <w:tab w:val="left" w:pos="567"/>
          <w:tab w:val="left" w:pos="1134"/>
        </w:tabs>
        <w:ind w:left="567" w:hanging="567"/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>závažná porucha funkcie pečene</w:t>
      </w:r>
    </w:p>
    <w:p w14:paraId="6CF7109D" w14:textId="77777777" w:rsidR="00926025" w:rsidRPr="00B50F60" w:rsidRDefault="00926025" w:rsidP="00ED7827">
      <w:pPr>
        <w:pStyle w:val="Standardenglisch"/>
        <w:numPr>
          <w:ilvl w:val="0"/>
          <w:numId w:val="7"/>
        </w:numPr>
        <w:tabs>
          <w:tab w:val="left" w:pos="567"/>
          <w:tab w:val="left" w:pos="1134"/>
        </w:tabs>
        <w:ind w:left="567" w:hanging="567"/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 xml:space="preserve">závažná </w:t>
      </w:r>
      <w:proofErr w:type="spellStart"/>
      <w:r w:rsidRPr="00B50F60">
        <w:rPr>
          <w:rFonts w:ascii="Times New Roman" w:hAnsi="Times New Roman"/>
          <w:szCs w:val="22"/>
          <w:lang w:val="sk-SK"/>
        </w:rPr>
        <w:t>arytmia</w:t>
      </w:r>
      <w:proofErr w:type="spellEnd"/>
      <w:r w:rsidRPr="00B50F60">
        <w:rPr>
          <w:rFonts w:ascii="Times New Roman" w:hAnsi="Times New Roman"/>
          <w:szCs w:val="22"/>
          <w:lang w:val="sk-SK"/>
        </w:rPr>
        <w:t>, zlyhanie srdca, predchádzajúci srdcový infarkt, akútne zápalové srdcové ochorenie</w:t>
      </w:r>
    </w:p>
    <w:p w14:paraId="5D4557FC" w14:textId="77777777" w:rsidR="00926025" w:rsidRPr="00B50F60" w:rsidRDefault="00926025" w:rsidP="00ED7827">
      <w:pPr>
        <w:pStyle w:val="Standardenglisch"/>
        <w:numPr>
          <w:ilvl w:val="0"/>
          <w:numId w:val="7"/>
        </w:numPr>
        <w:tabs>
          <w:tab w:val="left" w:pos="567"/>
          <w:tab w:val="left" w:pos="1134"/>
        </w:tabs>
        <w:ind w:left="567" w:hanging="567"/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 xml:space="preserve">predchádzajúca liečba </w:t>
      </w:r>
      <w:proofErr w:type="spellStart"/>
      <w:r w:rsidRPr="00B50F60">
        <w:rPr>
          <w:rFonts w:ascii="Times New Roman" w:hAnsi="Times New Roman"/>
          <w:szCs w:val="22"/>
          <w:lang w:val="sk-SK"/>
        </w:rPr>
        <w:t>antracyklínmi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s maximálnymi kumulatívnymi dávkami (pozri časť</w:t>
      </w:r>
      <w:r w:rsidR="00326A81" w:rsidRPr="00B50F60">
        <w:rPr>
          <w:rFonts w:ascii="Times New Roman" w:hAnsi="Times New Roman"/>
          <w:szCs w:val="22"/>
          <w:lang w:val="sk-SK"/>
        </w:rPr>
        <w:t> </w:t>
      </w:r>
      <w:r w:rsidRPr="00B50F60">
        <w:rPr>
          <w:rFonts w:ascii="Times New Roman" w:hAnsi="Times New Roman"/>
          <w:szCs w:val="22"/>
          <w:lang w:val="sk-SK"/>
        </w:rPr>
        <w:t>4.4)</w:t>
      </w:r>
    </w:p>
    <w:p w14:paraId="484D4F9D" w14:textId="77777777" w:rsidR="00926025" w:rsidRPr="00B50F60" w:rsidRDefault="00926025" w:rsidP="00ED7827">
      <w:pPr>
        <w:pStyle w:val="Standardenglisch"/>
        <w:numPr>
          <w:ilvl w:val="0"/>
          <w:numId w:val="7"/>
        </w:numPr>
        <w:tabs>
          <w:tab w:val="left" w:pos="567"/>
          <w:tab w:val="left" w:pos="1134"/>
        </w:tabs>
        <w:ind w:left="567" w:hanging="567"/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>zvýšená náchylnosť na krvácanie</w:t>
      </w:r>
    </w:p>
    <w:p w14:paraId="58F4178B" w14:textId="77777777" w:rsidR="00926025" w:rsidRPr="00B50F60" w:rsidRDefault="00926025" w:rsidP="00ED7827">
      <w:pPr>
        <w:pStyle w:val="Standardenglisch"/>
        <w:numPr>
          <w:ilvl w:val="0"/>
          <w:numId w:val="7"/>
        </w:numPr>
        <w:tabs>
          <w:tab w:val="left" w:pos="567"/>
          <w:tab w:val="left" w:pos="1134"/>
        </w:tabs>
        <w:ind w:left="567" w:hanging="567"/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>dojčenie</w:t>
      </w:r>
    </w:p>
    <w:p w14:paraId="273823B6" w14:textId="77777777" w:rsidR="00926025" w:rsidRPr="00B50F60" w:rsidRDefault="00926025" w:rsidP="00ED7827">
      <w:pPr>
        <w:pStyle w:val="Standardenglisch"/>
        <w:tabs>
          <w:tab w:val="left" w:pos="567"/>
        </w:tabs>
        <w:ind w:left="567" w:hanging="567"/>
        <w:rPr>
          <w:rFonts w:ascii="Times New Roman" w:hAnsi="Times New Roman"/>
          <w:szCs w:val="22"/>
          <w:lang w:val="sk-SK"/>
        </w:rPr>
      </w:pPr>
    </w:p>
    <w:p w14:paraId="2FBECC65" w14:textId="77777777" w:rsidR="00D07B82" w:rsidRPr="00B50F60" w:rsidRDefault="00D07B82" w:rsidP="00ED7827">
      <w:pPr>
        <w:pStyle w:val="Standardenglisch"/>
        <w:tabs>
          <w:tab w:val="left" w:pos="567"/>
        </w:tabs>
        <w:ind w:left="567" w:hanging="567"/>
        <w:outlineLvl w:val="0"/>
        <w:rPr>
          <w:rFonts w:ascii="Times New Roman" w:hAnsi="Times New Roman"/>
          <w:szCs w:val="22"/>
          <w:u w:val="single"/>
          <w:lang w:val="sk-SK"/>
        </w:rPr>
      </w:pPr>
      <w:r w:rsidRPr="00B50F60">
        <w:rPr>
          <w:rFonts w:ascii="Times New Roman" w:hAnsi="Times New Roman"/>
          <w:szCs w:val="22"/>
          <w:u w:val="single"/>
          <w:lang w:val="sk-SK"/>
        </w:rPr>
        <w:t xml:space="preserve">Kontraindikácie </w:t>
      </w:r>
      <w:r w:rsidR="00197742" w:rsidRPr="00B50F60">
        <w:rPr>
          <w:rFonts w:ascii="Times New Roman" w:hAnsi="Times New Roman"/>
          <w:szCs w:val="22"/>
          <w:u w:val="single"/>
          <w:lang w:val="sk-SK"/>
        </w:rPr>
        <w:t>pre</w:t>
      </w:r>
      <w:r w:rsidRPr="00B50F60">
        <w:rPr>
          <w:rFonts w:ascii="Times New Roman" w:hAnsi="Times New Roman"/>
          <w:szCs w:val="22"/>
          <w:u w:val="single"/>
          <w:lang w:val="sk-SK"/>
        </w:rPr>
        <w:t xml:space="preserve"> </w:t>
      </w:r>
      <w:proofErr w:type="spellStart"/>
      <w:r w:rsidRPr="00B50F60">
        <w:rPr>
          <w:rFonts w:ascii="Times New Roman" w:hAnsi="Times New Roman"/>
          <w:szCs w:val="22"/>
          <w:u w:val="single"/>
          <w:lang w:val="sk-SK"/>
        </w:rPr>
        <w:t>intravezikálne</w:t>
      </w:r>
      <w:proofErr w:type="spellEnd"/>
      <w:r w:rsidRPr="00B50F60">
        <w:rPr>
          <w:rFonts w:ascii="Times New Roman" w:hAnsi="Times New Roman"/>
          <w:szCs w:val="22"/>
          <w:u w:val="single"/>
          <w:lang w:val="sk-SK"/>
        </w:rPr>
        <w:t xml:space="preserve"> podávanie:</w:t>
      </w:r>
    </w:p>
    <w:p w14:paraId="45B3F8E9" w14:textId="77777777" w:rsidR="00926025" w:rsidRPr="00B50F60" w:rsidRDefault="00D07B82" w:rsidP="00ED7827">
      <w:pPr>
        <w:pStyle w:val="Standardenglisch"/>
        <w:numPr>
          <w:ilvl w:val="0"/>
          <w:numId w:val="7"/>
        </w:numPr>
        <w:tabs>
          <w:tab w:val="left" w:pos="567"/>
          <w:tab w:val="left" w:pos="1134"/>
        </w:tabs>
        <w:ind w:left="567" w:hanging="567"/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>invazívne tumory, ktoré prenikli močovým mechúrom (za</w:t>
      </w:r>
      <w:r w:rsidR="00326A81" w:rsidRPr="00B50F60">
        <w:rPr>
          <w:rFonts w:ascii="Times New Roman" w:hAnsi="Times New Roman"/>
          <w:szCs w:val="22"/>
          <w:lang w:val="sk-SK"/>
        </w:rPr>
        <w:t> </w:t>
      </w:r>
      <w:r w:rsidRPr="00B50F60">
        <w:rPr>
          <w:rFonts w:ascii="Times New Roman" w:hAnsi="Times New Roman"/>
          <w:szCs w:val="22"/>
          <w:lang w:val="sk-SK"/>
        </w:rPr>
        <w:t>T1)</w:t>
      </w:r>
    </w:p>
    <w:p w14:paraId="2460E1A8" w14:textId="77777777" w:rsidR="00D07B82" w:rsidRPr="00B50F60" w:rsidRDefault="00D07B82" w:rsidP="00ED7827">
      <w:pPr>
        <w:pStyle w:val="Standardenglisch"/>
        <w:numPr>
          <w:ilvl w:val="0"/>
          <w:numId w:val="7"/>
        </w:numPr>
        <w:tabs>
          <w:tab w:val="left" w:pos="567"/>
          <w:tab w:val="left" w:pos="1134"/>
        </w:tabs>
        <w:ind w:left="567" w:hanging="567"/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>infekcie močového traktu</w:t>
      </w:r>
    </w:p>
    <w:p w14:paraId="33BDA9CC" w14:textId="77777777" w:rsidR="00D07B82" w:rsidRPr="00B50F60" w:rsidRDefault="00D07B82" w:rsidP="00ED7827">
      <w:pPr>
        <w:pStyle w:val="Standardenglisch"/>
        <w:numPr>
          <w:ilvl w:val="0"/>
          <w:numId w:val="7"/>
        </w:numPr>
        <w:tabs>
          <w:tab w:val="left" w:pos="567"/>
          <w:tab w:val="left" w:pos="1134"/>
        </w:tabs>
        <w:ind w:left="567" w:hanging="567"/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>zápal močového mechúra</w:t>
      </w:r>
    </w:p>
    <w:p w14:paraId="0E27C0B1" w14:textId="77777777" w:rsidR="00D07B82" w:rsidRPr="00B50F60" w:rsidRDefault="00D07B82" w:rsidP="00ED7827">
      <w:pPr>
        <w:pStyle w:val="Standardenglisch"/>
        <w:numPr>
          <w:ilvl w:val="0"/>
          <w:numId w:val="7"/>
        </w:numPr>
        <w:tabs>
          <w:tab w:val="left" w:pos="567"/>
          <w:tab w:val="left" w:pos="1134"/>
        </w:tabs>
        <w:ind w:left="567" w:hanging="567"/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>problémy s </w:t>
      </w:r>
      <w:proofErr w:type="spellStart"/>
      <w:r w:rsidRPr="00B50F60">
        <w:rPr>
          <w:rFonts w:ascii="Times New Roman" w:hAnsi="Times New Roman"/>
          <w:szCs w:val="22"/>
          <w:lang w:val="sk-SK"/>
        </w:rPr>
        <w:t>katetrizáciou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napr. </w:t>
      </w:r>
      <w:proofErr w:type="spellStart"/>
      <w:r w:rsidRPr="00B50F60">
        <w:rPr>
          <w:rFonts w:ascii="Times New Roman" w:hAnsi="Times New Roman"/>
          <w:szCs w:val="22"/>
          <w:lang w:val="sk-SK"/>
        </w:rPr>
        <w:t>uretrálna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B50F60">
        <w:rPr>
          <w:rFonts w:ascii="Times New Roman" w:hAnsi="Times New Roman"/>
          <w:szCs w:val="22"/>
          <w:lang w:val="sk-SK"/>
        </w:rPr>
        <w:t>stenóza</w:t>
      </w:r>
      <w:proofErr w:type="spellEnd"/>
    </w:p>
    <w:p w14:paraId="26180804" w14:textId="77777777" w:rsidR="00D07B82" w:rsidRPr="00B50F60" w:rsidRDefault="00D07B82" w:rsidP="00ED7827">
      <w:pPr>
        <w:pStyle w:val="Standardenglisch"/>
        <w:numPr>
          <w:ilvl w:val="0"/>
          <w:numId w:val="7"/>
        </w:numPr>
        <w:tabs>
          <w:tab w:val="left" w:pos="567"/>
          <w:tab w:val="left" w:pos="1134"/>
        </w:tabs>
        <w:ind w:left="567" w:hanging="567"/>
        <w:rPr>
          <w:rFonts w:ascii="Times New Roman" w:hAnsi="Times New Roman"/>
          <w:szCs w:val="22"/>
          <w:lang w:val="sk-SK"/>
        </w:rPr>
      </w:pPr>
      <w:proofErr w:type="spellStart"/>
      <w:r w:rsidRPr="00B50F60">
        <w:rPr>
          <w:rFonts w:ascii="Times New Roman" w:hAnsi="Times New Roman"/>
          <w:szCs w:val="22"/>
          <w:lang w:val="sk-SK"/>
        </w:rPr>
        <w:t>hematúria</w:t>
      </w:r>
      <w:proofErr w:type="spellEnd"/>
    </w:p>
    <w:p w14:paraId="02F84066" w14:textId="77777777" w:rsidR="00D07B82" w:rsidRPr="00B50F60" w:rsidRDefault="00D07B82" w:rsidP="00ED7827">
      <w:pPr>
        <w:pStyle w:val="Standardenglisch"/>
        <w:numPr>
          <w:ilvl w:val="0"/>
          <w:numId w:val="7"/>
        </w:numPr>
        <w:tabs>
          <w:tab w:val="left" w:pos="567"/>
          <w:tab w:val="left" w:pos="1134"/>
        </w:tabs>
        <w:ind w:left="567" w:hanging="567"/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>dojčenie</w:t>
      </w:r>
    </w:p>
    <w:p w14:paraId="08CB2C5A" w14:textId="77777777" w:rsidR="00926025" w:rsidRPr="00B50F60" w:rsidRDefault="00926025" w:rsidP="00ED7827">
      <w:pPr>
        <w:pStyle w:val="Standardenglisch"/>
        <w:tabs>
          <w:tab w:val="left" w:pos="284"/>
          <w:tab w:val="left" w:pos="567"/>
        </w:tabs>
        <w:ind w:left="567" w:hanging="567"/>
        <w:rPr>
          <w:rFonts w:ascii="Times New Roman" w:hAnsi="Times New Roman"/>
          <w:szCs w:val="22"/>
          <w:lang w:val="sk-SK"/>
        </w:rPr>
      </w:pPr>
    </w:p>
    <w:p w14:paraId="75711B03" w14:textId="77777777" w:rsidR="00B750C4" w:rsidRPr="00B50F60" w:rsidRDefault="00A00517" w:rsidP="00ED7827">
      <w:pPr>
        <w:pStyle w:val="Standardenglisch"/>
        <w:tabs>
          <w:tab w:val="left" w:pos="0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>Dávka sa ne</w:t>
      </w:r>
      <w:r w:rsidR="00342D8C" w:rsidRPr="00B50F60">
        <w:rPr>
          <w:rFonts w:ascii="Times New Roman" w:hAnsi="Times New Roman"/>
          <w:szCs w:val="22"/>
          <w:lang w:val="sk-SK"/>
        </w:rPr>
        <w:t>má</w:t>
      </w:r>
      <w:r w:rsidRPr="00B50F60">
        <w:rPr>
          <w:rFonts w:ascii="Times New Roman" w:hAnsi="Times New Roman"/>
          <w:szCs w:val="22"/>
          <w:lang w:val="sk-SK"/>
        </w:rPr>
        <w:t xml:space="preserve"> opakovať </w:t>
      </w:r>
      <w:r w:rsidR="00FD37D7" w:rsidRPr="00B50F60">
        <w:rPr>
          <w:rFonts w:ascii="Times New Roman" w:hAnsi="Times New Roman"/>
          <w:szCs w:val="22"/>
          <w:lang w:val="sk-SK"/>
        </w:rPr>
        <w:t xml:space="preserve">v prípade </w:t>
      </w:r>
      <w:r w:rsidR="0043247A" w:rsidRPr="00B50F60">
        <w:rPr>
          <w:rFonts w:ascii="Times New Roman" w:hAnsi="Times New Roman"/>
          <w:szCs w:val="22"/>
          <w:lang w:val="sk-SK"/>
        </w:rPr>
        <w:t>výskytu</w:t>
      </w:r>
      <w:r w:rsidR="00FD37D7" w:rsidRPr="00B50F60">
        <w:rPr>
          <w:rFonts w:ascii="Times New Roman" w:hAnsi="Times New Roman"/>
          <w:szCs w:val="22"/>
          <w:lang w:val="sk-SK"/>
        </w:rPr>
        <w:t xml:space="preserve"> alebo</w:t>
      </w:r>
      <w:r w:rsidR="0043247A" w:rsidRPr="00B50F60">
        <w:rPr>
          <w:rFonts w:ascii="Times New Roman" w:hAnsi="Times New Roman"/>
          <w:szCs w:val="22"/>
          <w:lang w:val="sk-SK"/>
        </w:rPr>
        <w:t xml:space="preserve"> rozvoja </w:t>
      </w:r>
      <w:r w:rsidR="00FD37D7" w:rsidRPr="00B50F60">
        <w:rPr>
          <w:rFonts w:ascii="Times New Roman" w:hAnsi="Times New Roman"/>
          <w:szCs w:val="22"/>
          <w:lang w:val="sk-SK"/>
        </w:rPr>
        <w:t>útlmu</w:t>
      </w:r>
      <w:r w:rsidRPr="00B50F60">
        <w:rPr>
          <w:rFonts w:ascii="Times New Roman" w:hAnsi="Times New Roman"/>
          <w:szCs w:val="22"/>
          <w:lang w:val="sk-SK"/>
        </w:rPr>
        <w:t xml:space="preserve"> kostnej drene alebo </w:t>
      </w:r>
      <w:proofErr w:type="spellStart"/>
      <w:r w:rsidR="00342D8C" w:rsidRPr="00B50F60">
        <w:rPr>
          <w:rFonts w:ascii="Times New Roman" w:hAnsi="Times New Roman"/>
          <w:szCs w:val="22"/>
          <w:lang w:val="sk-SK"/>
        </w:rPr>
        <w:t>buká</w:t>
      </w:r>
      <w:r w:rsidRPr="00B50F60">
        <w:rPr>
          <w:rFonts w:ascii="Times New Roman" w:hAnsi="Times New Roman"/>
          <w:szCs w:val="22"/>
          <w:lang w:val="sk-SK"/>
        </w:rPr>
        <w:t>l</w:t>
      </w:r>
      <w:r w:rsidR="00342D8C" w:rsidRPr="00B50F60">
        <w:rPr>
          <w:rFonts w:ascii="Times New Roman" w:hAnsi="Times New Roman"/>
          <w:szCs w:val="22"/>
          <w:lang w:val="sk-SK"/>
        </w:rPr>
        <w:t>nej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B50F60">
        <w:rPr>
          <w:rFonts w:ascii="Times New Roman" w:hAnsi="Times New Roman"/>
          <w:szCs w:val="22"/>
          <w:lang w:val="sk-SK"/>
        </w:rPr>
        <w:t>ulcerácie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. </w:t>
      </w:r>
      <w:proofErr w:type="spellStart"/>
      <w:r w:rsidR="001A1959" w:rsidRPr="00B50F60">
        <w:rPr>
          <w:rFonts w:ascii="Times New Roman" w:hAnsi="Times New Roman"/>
          <w:szCs w:val="22"/>
          <w:lang w:val="sk-SK"/>
        </w:rPr>
        <w:t>Bukálnej</w:t>
      </w:r>
      <w:proofErr w:type="spellEnd"/>
      <w:r w:rsidR="001A1959" w:rsidRPr="00B50F6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="001A1959" w:rsidRPr="00B50F60">
        <w:rPr>
          <w:rFonts w:ascii="Times New Roman" w:hAnsi="Times New Roman"/>
          <w:szCs w:val="22"/>
          <w:lang w:val="sk-SK"/>
        </w:rPr>
        <w:t>ulcerácii</w:t>
      </w:r>
      <w:proofErr w:type="spellEnd"/>
      <w:r w:rsidR="001A1959" w:rsidRPr="00B50F60">
        <w:rPr>
          <w:rFonts w:ascii="Times New Roman" w:hAnsi="Times New Roman"/>
          <w:szCs w:val="22"/>
          <w:lang w:val="sk-SK"/>
        </w:rPr>
        <w:t xml:space="preserve"> </w:t>
      </w:r>
      <w:r w:rsidRPr="00B50F60">
        <w:rPr>
          <w:rFonts w:ascii="Times New Roman" w:hAnsi="Times New Roman"/>
          <w:szCs w:val="22"/>
          <w:lang w:val="sk-SK"/>
        </w:rPr>
        <w:t xml:space="preserve">môže predchádzať </w:t>
      </w:r>
      <w:r w:rsidR="00342D8C" w:rsidRPr="00B50F60">
        <w:rPr>
          <w:rFonts w:ascii="Times New Roman" w:hAnsi="Times New Roman"/>
          <w:szCs w:val="22"/>
          <w:lang w:val="sk-SK"/>
        </w:rPr>
        <w:t xml:space="preserve">varovný </w:t>
      </w:r>
      <w:r w:rsidRPr="00B50F60">
        <w:rPr>
          <w:rFonts w:ascii="Times New Roman" w:hAnsi="Times New Roman"/>
          <w:szCs w:val="22"/>
          <w:lang w:val="sk-SK"/>
        </w:rPr>
        <w:t>pocit pálenia</w:t>
      </w:r>
      <w:r w:rsidR="00342D8C" w:rsidRPr="00B50F60">
        <w:rPr>
          <w:rFonts w:ascii="Times New Roman" w:hAnsi="Times New Roman"/>
          <w:szCs w:val="22"/>
          <w:lang w:val="sk-SK"/>
        </w:rPr>
        <w:t xml:space="preserve"> v ústach a na tvári</w:t>
      </w:r>
      <w:r w:rsidR="001A1959" w:rsidRPr="00B50F60">
        <w:rPr>
          <w:rFonts w:ascii="Times New Roman" w:hAnsi="Times New Roman"/>
          <w:szCs w:val="22"/>
          <w:lang w:val="sk-SK"/>
        </w:rPr>
        <w:t xml:space="preserve"> a podanie </w:t>
      </w:r>
      <w:r w:rsidR="001E1CC2" w:rsidRPr="00B50F60">
        <w:rPr>
          <w:rFonts w:ascii="Times New Roman" w:hAnsi="Times New Roman"/>
          <w:szCs w:val="22"/>
          <w:lang w:val="sk-SK"/>
        </w:rPr>
        <w:t>ďalšej</w:t>
      </w:r>
      <w:r w:rsidR="001A1959" w:rsidRPr="00B50F60">
        <w:rPr>
          <w:rFonts w:ascii="Times New Roman" w:hAnsi="Times New Roman"/>
          <w:szCs w:val="22"/>
          <w:lang w:val="sk-SK"/>
        </w:rPr>
        <w:t xml:space="preserve"> dávky </w:t>
      </w:r>
      <w:r w:rsidRPr="00B50F60">
        <w:rPr>
          <w:rFonts w:ascii="Times New Roman" w:hAnsi="Times New Roman"/>
          <w:szCs w:val="22"/>
          <w:lang w:val="sk-SK"/>
        </w:rPr>
        <w:t>sa za prítomnosti tohto príznaku neodporúča.</w:t>
      </w:r>
    </w:p>
    <w:p w14:paraId="0F263A45" w14:textId="77777777" w:rsidR="000C09E7" w:rsidRPr="00B50F60" w:rsidRDefault="000C09E7" w:rsidP="00DC57E3">
      <w:pPr>
        <w:pStyle w:val="Standardenglisch"/>
        <w:tabs>
          <w:tab w:val="left" w:pos="284"/>
          <w:tab w:val="left" w:pos="567"/>
        </w:tabs>
        <w:jc w:val="both"/>
        <w:rPr>
          <w:rFonts w:ascii="Times New Roman" w:hAnsi="Times New Roman"/>
          <w:szCs w:val="22"/>
          <w:lang w:val="sk-SK"/>
        </w:rPr>
      </w:pPr>
    </w:p>
    <w:p w14:paraId="48961ABE" w14:textId="77777777" w:rsidR="00B750C4" w:rsidRPr="00B50F60" w:rsidRDefault="0030361E" w:rsidP="00DC57E3">
      <w:pPr>
        <w:tabs>
          <w:tab w:val="left" w:pos="567"/>
        </w:tabs>
        <w:outlineLvl w:val="0"/>
        <w:rPr>
          <w:rFonts w:ascii="Times New Roman" w:hAnsi="Times New Roman"/>
          <w:b/>
          <w:szCs w:val="22"/>
          <w:lang w:val="sk-SK"/>
        </w:rPr>
      </w:pPr>
      <w:r w:rsidRPr="00B50F60">
        <w:rPr>
          <w:rFonts w:ascii="Times New Roman" w:hAnsi="Times New Roman"/>
          <w:b/>
          <w:szCs w:val="22"/>
          <w:lang w:val="sk-SK"/>
        </w:rPr>
        <w:t>4.4</w:t>
      </w:r>
      <w:r w:rsidRPr="00B50F60">
        <w:rPr>
          <w:rFonts w:ascii="Times New Roman" w:hAnsi="Times New Roman"/>
          <w:b/>
          <w:szCs w:val="22"/>
          <w:lang w:val="sk-SK"/>
        </w:rPr>
        <w:tab/>
        <w:t xml:space="preserve">Osobitné </w:t>
      </w:r>
      <w:r w:rsidR="006A2F9A" w:rsidRPr="00B50F60">
        <w:rPr>
          <w:rFonts w:ascii="Times New Roman" w:hAnsi="Times New Roman"/>
          <w:b/>
          <w:szCs w:val="22"/>
          <w:lang w:val="sk-SK"/>
        </w:rPr>
        <w:t>upozornenia a opatrenia pri používaní</w:t>
      </w:r>
    </w:p>
    <w:p w14:paraId="418CD546" w14:textId="77777777" w:rsidR="00B750C4" w:rsidRPr="00B50F60" w:rsidRDefault="00B750C4" w:rsidP="00ED7827">
      <w:pPr>
        <w:pStyle w:val="Standardenglisch"/>
        <w:tabs>
          <w:tab w:val="left" w:pos="0"/>
          <w:tab w:val="left" w:pos="284"/>
        </w:tabs>
        <w:rPr>
          <w:rFonts w:ascii="Times New Roman" w:hAnsi="Times New Roman"/>
          <w:szCs w:val="22"/>
          <w:lang w:val="sk-SK"/>
        </w:rPr>
      </w:pPr>
    </w:p>
    <w:p w14:paraId="52DEA7A2" w14:textId="77777777" w:rsidR="00D07B82" w:rsidRPr="00B50F60" w:rsidRDefault="00D07B82" w:rsidP="00ED7827">
      <w:pPr>
        <w:pStyle w:val="Standardenglisch"/>
        <w:tabs>
          <w:tab w:val="left" w:pos="0"/>
          <w:tab w:val="left" w:pos="284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 xml:space="preserve">Tak ako každá iná chemoterapia, aj liečba </w:t>
      </w:r>
      <w:proofErr w:type="spellStart"/>
      <w:r w:rsidR="001E1CC2" w:rsidRPr="00B50F60">
        <w:rPr>
          <w:rFonts w:ascii="Times New Roman" w:hAnsi="Times New Roman"/>
          <w:szCs w:val="22"/>
          <w:lang w:val="sk-SK"/>
        </w:rPr>
        <w:t>Doxorubic</w:t>
      </w:r>
      <w:r w:rsidR="00A37E13" w:rsidRPr="00B50F60">
        <w:rPr>
          <w:rFonts w:ascii="Times New Roman" w:hAnsi="Times New Roman"/>
          <w:szCs w:val="22"/>
          <w:lang w:val="sk-SK"/>
        </w:rPr>
        <w:t>i</w:t>
      </w:r>
      <w:r w:rsidR="001E1CC2" w:rsidRPr="00B50F60">
        <w:rPr>
          <w:rFonts w:ascii="Times New Roman" w:hAnsi="Times New Roman"/>
          <w:szCs w:val="22"/>
          <w:lang w:val="sk-SK"/>
        </w:rPr>
        <w:t>n</w:t>
      </w:r>
      <w:r w:rsidR="00AD36A6" w:rsidRPr="00B50F60">
        <w:rPr>
          <w:rFonts w:ascii="Times New Roman" w:hAnsi="Times New Roman"/>
          <w:szCs w:val="22"/>
          <w:lang w:val="sk-SK"/>
        </w:rPr>
        <w:t>om</w:t>
      </w:r>
      <w:proofErr w:type="spellEnd"/>
      <w:r w:rsidR="002F533E" w:rsidRPr="00B50F6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="002F533E" w:rsidRPr="00B50F60">
        <w:rPr>
          <w:rFonts w:ascii="Times New Roman" w:hAnsi="Times New Roman"/>
          <w:szCs w:val="22"/>
          <w:lang w:val="sk-SK"/>
        </w:rPr>
        <w:t>medac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sa má vykonávať </w:t>
      </w:r>
      <w:r w:rsidR="0075703F" w:rsidRPr="00B50F60">
        <w:rPr>
          <w:rFonts w:ascii="Times New Roman" w:hAnsi="Times New Roman"/>
          <w:szCs w:val="22"/>
          <w:lang w:val="sk-SK"/>
        </w:rPr>
        <w:t xml:space="preserve">len </w:t>
      </w:r>
      <w:r w:rsidRPr="00B50F60">
        <w:rPr>
          <w:rFonts w:ascii="Times New Roman" w:hAnsi="Times New Roman"/>
          <w:szCs w:val="22"/>
          <w:lang w:val="sk-SK"/>
        </w:rPr>
        <w:t>pod dozorom kvalifikovaného lekára so skúsenosťami v použ</w:t>
      </w:r>
      <w:r w:rsidR="00197742" w:rsidRPr="00B50F60">
        <w:rPr>
          <w:rFonts w:ascii="Times New Roman" w:hAnsi="Times New Roman"/>
          <w:szCs w:val="22"/>
          <w:lang w:val="sk-SK"/>
        </w:rPr>
        <w:t>ívaní</w:t>
      </w:r>
      <w:r w:rsidRPr="00B50F60">
        <w:rPr>
          <w:rFonts w:ascii="Times New Roman" w:hAnsi="Times New Roman"/>
          <w:szCs w:val="22"/>
          <w:lang w:val="sk-SK"/>
        </w:rPr>
        <w:t xml:space="preserve"> chemoterapeutických liekov. Primeraný manažment liečby a jej komplikácií je možný len v prípade, že sú plne dostupné adekvátne diagnostické a liečebné prostriedky.</w:t>
      </w:r>
    </w:p>
    <w:p w14:paraId="42D1DD73" w14:textId="77777777" w:rsidR="00D07B82" w:rsidRPr="00B50F60" w:rsidRDefault="00D07B82" w:rsidP="00ED7827">
      <w:pPr>
        <w:pStyle w:val="Standardenglisch"/>
        <w:tabs>
          <w:tab w:val="left" w:pos="0"/>
          <w:tab w:val="left" w:pos="284"/>
        </w:tabs>
        <w:jc w:val="both"/>
        <w:rPr>
          <w:rFonts w:ascii="Times New Roman" w:hAnsi="Times New Roman"/>
          <w:szCs w:val="22"/>
          <w:lang w:val="sk-SK"/>
        </w:rPr>
      </w:pPr>
    </w:p>
    <w:p w14:paraId="08295853" w14:textId="77777777" w:rsidR="00197742" w:rsidRPr="00B50F60" w:rsidRDefault="00197742" w:rsidP="00ED7827">
      <w:pPr>
        <w:pStyle w:val="Standardenglisch"/>
        <w:tabs>
          <w:tab w:val="left" w:pos="0"/>
          <w:tab w:val="left" w:pos="284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 xml:space="preserve">Pred začiatkom liečby </w:t>
      </w:r>
      <w:proofErr w:type="spellStart"/>
      <w:r w:rsidRPr="00B50F60">
        <w:rPr>
          <w:rFonts w:ascii="Times New Roman" w:hAnsi="Times New Roman"/>
          <w:szCs w:val="22"/>
          <w:lang w:val="sk-SK"/>
        </w:rPr>
        <w:t>doxorubicínom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sa pacienti majú zotaviť z akútnych toxicít predchádzajúcej </w:t>
      </w:r>
      <w:proofErr w:type="spellStart"/>
      <w:r w:rsidRPr="00B50F60">
        <w:rPr>
          <w:rFonts w:ascii="Times New Roman" w:hAnsi="Times New Roman"/>
          <w:szCs w:val="22"/>
          <w:lang w:val="sk-SK"/>
        </w:rPr>
        <w:t>cytotoxickej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liečby (ako je </w:t>
      </w:r>
      <w:proofErr w:type="spellStart"/>
      <w:r w:rsidRPr="00B50F60">
        <w:rPr>
          <w:rFonts w:ascii="Times New Roman" w:hAnsi="Times New Roman"/>
          <w:szCs w:val="22"/>
          <w:lang w:val="sk-SK"/>
        </w:rPr>
        <w:t>stomatitída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, </w:t>
      </w:r>
      <w:proofErr w:type="spellStart"/>
      <w:r w:rsidRPr="00B50F60">
        <w:rPr>
          <w:rFonts w:ascii="Times New Roman" w:hAnsi="Times New Roman"/>
          <w:szCs w:val="22"/>
          <w:lang w:val="sk-SK"/>
        </w:rPr>
        <w:t>neutropénia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, </w:t>
      </w:r>
      <w:proofErr w:type="spellStart"/>
      <w:r w:rsidRPr="00B50F60">
        <w:rPr>
          <w:rFonts w:ascii="Times New Roman" w:hAnsi="Times New Roman"/>
          <w:szCs w:val="22"/>
          <w:lang w:val="sk-SK"/>
        </w:rPr>
        <w:t>trombocytopénia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a </w:t>
      </w:r>
      <w:r w:rsidR="000512AE" w:rsidRPr="00B50F60">
        <w:rPr>
          <w:rFonts w:ascii="Times New Roman" w:hAnsi="Times New Roman"/>
          <w:szCs w:val="22"/>
          <w:lang w:val="sk-SK"/>
        </w:rPr>
        <w:t>generalizované</w:t>
      </w:r>
      <w:r w:rsidRPr="00B50F60">
        <w:rPr>
          <w:rFonts w:ascii="Times New Roman" w:hAnsi="Times New Roman"/>
          <w:szCs w:val="22"/>
          <w:lang w:val="sk-SK"/>
        </w:rPr>
        <w:t xml:space="preserve"> infekcie).</w:t>
      </w:r>
    </w:p>
    <w:p w14:paraId="352E2FEF" w14:textId="77777777" w:rsidR="00197742" w:rsidRPr="00B50F60" w:rsidRDefault="00197742" w:rsidP="00ED7827">
      <w:pPr>
        <w:pStyle w:val="Standardenglisch"/>
        <w:tabs>
          <w:tab w:val="left" w:pos="0"/>
          <w:tab w:val="left" w:pos="284"/>
        </w:tabs>
        <w:rPr>
          <w:rFonts w:ascii="Times New Roman" w:hAnsi="Times New Roman"/>
          <w:szCs w:val="22"/>
          <w:lang w:val="sk-SK"/>
        </w:rPr>
      </w:pPr>
    </w:p>
    <w:p w14:paraId="47F1BE1D" w14:textId="77777777" w:rsidR="00197742" w:rsidRPr="00B50F60" w:rsidRDefault="00197742" w:rsidP="00E0676E">
      <w:pPr>
        <w:pStyle w:val="Standardenglisch"/>
        <w:keepNext/>
        <w:keepLines/>
        <w:widowControl/>
        <w:tabs>
          <w:tab w:val="left" w:pos="0"/>
          <w:tab w:val="left" w:pos="284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 xml:space="preserve">Pred začiatkom liečby </w:t>
      </w:r>
      <w:proofErr w:type="spellStart"/>
      <w:r w:rsidRPr="00B50F60">
        <w:rPr>
          <w:rFonts w:ascii="Times New Roman" w:hAnsi="Times New Roman"/>
          <w:szCs w:val="22"/>
          <w:lang w:val="sk-SK"/>
        </w:rPr>
        <w:t>doxorubicínom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a počas nej sa odporúčajú nasledujúce monitorovacie vyšetrenia (ako často sa budú vykonávať tieto vyšetrenia závisí od celkového stavu, dávky a súbežnej liečby):</w:t>
      </w:r>
    </w:p>
    <w:p w14:paraId="201733A8" w14:textId="77777777" w:rsidR="004F7D01" w:rsidRPr="00B50F60" w:rsidRDefault="004F7D01" w:rsidP="00E0676E">
      <w:pPr>
        <w:pStyle w:val="Standardenglisch"/>
        <w:keepNext/>
        <w:keepLines/>
        <w:widowControl/>
        <w:tabs>
          <w:tab w:val="left" w:pos="0"/>
          <w:tab w:val="left" w:pos="284"/>
        </w:tabs>
        <w:rPr>
          <w:rFonts w:ascii="Times New Roman" w:hAnsi="Times New Roman"/>
          <w:szCs w:val="22"/>
          <w:lang w:val="sk-SK"/>
        </w:rPr>
      </w:pPr>
    </w:p>
    <w:p w14:paraId="352574B2" w14:textId="77777777" w:rsidR="00197742" w:rsidRPr="00B50F60" w:rsidRDefault="003E703E" w:rsidP="00E0676E">
      <w:pPr>
        <w:pStyle w:val="Standardenglisch"/>
        <w:keepNext/>
        <w:keepLines/>
        <w:widowControl/>
        <w:tabs>
          <w:tab w:val="left" w:pos="567"/>
          <w:tab w:val="left" w:pos="1134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sym w:font="Symbol" w:char="F0B7"/>
      </w:r>
      <w:r w:rsidRPr="00B50F60">
        <w:rPr>
          <w:rFonts w:ascii="Times New Roman" w:hAnsi="Times New Roman"/>
          <w:szCs w:val="22"/>
          <w:lang w:val="sk-SK"/>
        </w:rPr>
        <w:tab/>
      </w:r>
      <w:r w:rsidR="00197742" w:rsidRPr="00B50F60">
        <w:rPr>
          <w:rFonts w:ascii="Times New Roman" w:hAnsi="Times New Roman"/>
          <w:szCs w:val="22"/>
          <w:lang w:val="sk-SK"/>
        </w:rPr>
        <w:t>r</w:t>
      </w:r>
      <w:r w:rsidR="00C367DE" w:rsidRPr="00B50F60">
        <w:rPr>
          <w:rFonts w:ascii="Times New Roman" w:hAnsi="Times New Roman"/>
          <w:szCs w:val="22"/>
          <w:lang w:val="sk-SK"/>
        </w:rPr>
        <w:t>ö</w:t>
      </w:r>
      <w:r w:rsidR="000512AE" w:rsidRPr="00B50F60">
        <w:rPr>
          <w:rFonts w:ascii="Times New Roman" w:hAnsi="Times New Roman"/>
          <w:szCs w:val="22"/>
          <w:lang w:val="sk-SK"/>
        </w:rPr>
        <w:t>ntgen</w:t>
      </w:r>
      <w:r w:rsidR="00197742" w:rsidRPr="00B50F60">
        <w:rPr>
          <w:rFonts w:ascii="Times New Roman" w:hAnsi="Times New Roman"/>
          <w:szCs w:val="22"/>
          <w:lang w:val="sk-SK"/>
        </w:rPr>
        <w:t xml:space="preserve"> pľúc a hrudníka a EKG</w:t>
      </w:r>
    </w:p>
    <w:p w14:paraId="78FAA122" w14:textId="77777777" w:rsidR="00197742" w:rsidRPr="00B50F60" w:rsidRDefault="003E703E" w:rsidP="00E0676E">
      <w:pPr>
        <w:pStyle w:val="Standardenglisch"/>
        <w:keepNext/>
        <w:keepLines/>
        <w:widowControl/>
        <w:tabs>
          <w:tab w:val="left" w:pos="567"/>
          <w:tab w:val="left" w:pos="1134"/>
        </w:tabs>
        <w:ind w:left="567" w:hanging="567"/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sym w:font="Symbol" w:char="F0B7"/>
      </w:r>
      <w:r w:rsidRPr="00B50F60">
        <w:rPr>
          <w:rFonts w:ascii="Times New Roman" w:hAnsi="Times New Roman"/>
          <w:szCs w:val="22"/>
          <w:lang w:val="sk-SK"/>
        </w:rPr>
        <w:tab/>
      </w:r>
      <w:r w:rsidR="00197742" w:rsidRPr="00B50F60">
        <w:rPr>
          <w:rFonts w:ascii="Times New Roman" w:hAnsi="Times New Roman"/>
          <w:szCs w:val="22"/>
          <w:lang w:val="sk-SK"/>
        </w:rPr>
        <w:t xml:space="preserve">pravidelné sledovanie </w:t>
      </w:r>
      <w:r w:rsidR="000512AE" w:rsidRPr="00B50F60">
        <w:rPr>
          <w:rFonts w:ascii="Times New Roman" w:hAnsi="Times New Roman"/>
          <w:szCs w:val="22"/>
          <w:lang w:val="sk-SK"/>
        </w:rPr>
        <w:t>srdečnej funkcie</w:t>
      </w:r>
      <w:r w:rsidR="00197742" w:rsidRPr="00B50F60">
        <w:rPr>
          <w:rFonts w:ascii="Times New Roman" w:hAnsi="Times New Roman"/>
          <w:szCs w:val="22"/>
          <w:lang w:val="sk-SK"/>
        </w:rPr>
        <w:t xml:space="preserve"> (LVEF pomocou napr. EKG, </w:t>
      </w:r>
      <w:r w:rsidR="004F7D01" w:rsidRPr="00B50F60">
        <w:rPr>
          <w:rFonts w:ascii="Times New Roman" w:hAnsi="Times New Roman"/>
          <w:szCs w:val="22"/>
          <w:lang w:val="sk-SK"/>
        </w:rPr>
        <w:t>ultrazvukovej kardiografie a MUGA snímku)</w:t>
      </w:r>
    </w:p>
    <w:p w14:paraId="420498B3" w14:textId="77777777" w:rsidR="004F7D01" w:rsidRPr="00B50F60" w:rsidRDefault="003E703E" w:rsidP="00E0676E">
      <w:pPr>
        <w:pStyle w:val="Standardenglisch"/>
        <w:keepNext/>
        <w:keepLines/>
        <w:widowControl/>
        <w:tabs>
          <w:tab w:val="left" w:pos="567"/>
          <w:tab w:val="left" w:pos="1134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sym w:font="Symbol" w:char="F0B7"/>
      </w:r>
      <w:r w:rsidRPr="00B50F60">
        <w:rPr>
          <w:rFonts w:ascii="Times New Roman" w:hAnsi="Times New Roman"/>
          <w:szCs w:val="22"/>
          <w:lang w:val="sk-SK"/>
        </w:rPr>
        <w:tab/>
      </w:r>
      <w:r w:rsidR="004F7D01" w:rsidRPr="00B50F60">
        <w:rPr>
          <w:rFonts w:ascii="Times New Roman" w:hAnsi="Times New Roman"/>
          <w:szCs w:val="22"/>
          <w:lang w:val="sk-SK"/>
        </w:rPr>
        <w:t>denná kontrola zmien sliznice v ústnej dutine a hltane</w:t>
      </w:r>
    </w:p>
    <w:p w14:paraId="4562F4E7" w14:textId="77777777" w:rsidR="004F7D01" w:rsidRPr="00B50F60" w:rsidRDefault="003E703E" w:rsidP="00E0676E">
      <w:pPr>
        <w:pStyle w:val="Standardenglisch"/>
        <w:keepNext/>
        <w:keepLines/>
        <w:widowControl/>
        <w:tabs>
          <w:tab w:val="left" w:pos="567"/>
          <w:tab w:val="left" w:pos="1134"/>
        </w:tabs>
        <w:ind w:left="567" w:hanging="567"/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sym w:font="Symbol" w:char="F0B7"/>
      </w:r>
      <w:r w:rsidRPr="00B50F60">
        <w:rPr>
          <w:rFonts w:ascii="Times New Roman" w:hAnsi="Times New Roman"/>
          <w:szCs w:val="22"/>
          <w:lang w:val="sk-SK"/>
        </w:rPr>
        <w:tab/>
      </w:r>
      <w:r w:rsidR="004F7D01" w:rsidRPr="00B50F60">
        <w:rPr>
          <w:rFonts w:ascii="Times New Roman" w:hAnsi="Times New Roman"/>
          <w:szCs w:val="22"/>
          <w:lang w:val="sk-SK"/>
        </w:rPr>
        <w:t xml:space="preserve">krvné testy: </w:t>
      </w:r>
      <w:proofErr w:type="spellStart"/>
      <w:r w:rsidR="004F7D01" w:rsidRPr="00B50F60">
        <w:rPr>
          <w:rFonts w:ascii="Times New Roman" w:hAnsi="Times New Roman"/>
          <w:szCs w:val="22"/>
          <w:lang w:val="sk-SK"/>
        </w:rPr>
        <w:t>hematokrit</w:t>
      </w:r>
      <w:proofErr w:type="spellEnd"/>
      <w:r w:rsidR="004F7D01" w:rsidRPr="00B50F60">
        <w:rPr>
          <w:rFonts w:ascii="Times New Roman" w:hAnsi="Times New Roman"/>
          <w:szCs w:val="22"/>
          <w:lang w:val="sk-SK"/>
        </w:rPr>
        <w:t xml:space="preserve">, krvné doštičky, diferenciálny počet bielych krviniek, AST, ALT, LDH, </w:t>
      </w:r>
      <w:proofErr w:type="spellStart"/>
      <w:r w:rsidR="004F7D01" w:rsidRPr="00B50F60">
        <w:rPr>
          <w:rFonts w:ascii="Times New Roman" w:hAnsi="Times New Roman"/>
          <w:szCs w:val="22"/>
          <w:lang w:val="sk-SK"/>
        </w:rPr>
        <w:t>bilirubín</w:t>
      </w:r>
      <w:proofErr w:type="spellEnd"/>
      <w:r w:rsidR="004F7D01" w:rsidRPr="00B50F60">
        <w:rPr>
          <w:rFonts w:ascii="Times New Roman" w:hAnsi="Times New Roman"/>
          <w:szCs w:val="22"/>
          <w:lang w:val="sk-SK"/>
        </w:rPr>
        <w:t>, kyselina močová.</w:t>
      </w:r>
    </w:p>
    <w:p w14:paraId="005A0EA6" w14:textId="77777777" w:rsidR="00197742" w:rsidRPr="00B50F60" w:rsidRDefault="00197742" w:rsidP="00ED7827">
      <w:pPr>
        <w:pStyle w:val="Standardenglisch"/>
        <w:tabs>
          <w:tab w:val="left" w:pos="0"/>
          <w:tab w:val="left" w:pos="284"/>
        </w:tabs>
        <w:rPr>
          <w:rFonts w:ascii="Times New Roman" w:hAnsi="Times New Roman"/>
          <w:szCs w:val="22"/>
          <w:lang w:val="sk-SK"/>
        </w:rPr>
      </w:pPr>
    </w:p>
    <w:p w14:paraId="19F0A9C8" w14:textId="77777777" w:rsidR="00197742" w:rsidRPr="00B50F60" w:rsidRDefault="004F7D01" w:rsidP="00ED7827">
      <w:pPr>
        <w:pStyle w:val="Standardenglisch"/>
        <w:tabs>
          <w:tab w:val="left" w:pos="0"/>
          <w:tab w:val="left" w:pos="284"/>
        </w:tabs>
        <w:outlineLvl w:val="0"/>
        <w:rPr>
          <w:rFonts w:ascii="Times New Roman" w:hAnsi="Times New Roman"/>
          <w:szCs w:val="22"/>
          <w:u w:val="single"/>
          <w:lang w:val="sk-SK"/>
        </w:rPr>
      </w:pPr>
      <w:r w:rsidRPr="00B50F60">
        <w:rPr>
          <w:rFonts w:ascii="Times New Roman" w:hAnsi="Times New Roman"/>
          <w:szCs w:val="22"/>
          <w:u w:val="single"/>
          <w:lang w:val="sk-SK"/>
        </w:rPr>
        <w:t>Kard</w:t>
      </w:r>
      <w:r w:rsidR="003F1138" w:rsidRPr="00B50F60">
        <w:rPr>
          <w:rFonts w:ascii="Times New Roman" w:hAnsi="Times New Roman"/>
          <w:szCs w:val="22"/>
          <w:u w:val="single"/>
          <w:lang w:val="sk-SK"/>
        </w:rPr>
        <w:t xml:space="preserve">iálna </w:t>
      </w:r>
      <w:r w:rsidRPr="00B50F60">
        <w:rPr>
          <w:rFonts w:ascii="Times New Roman" w:hAnsi="Times New Roman"/>
          <w:szCs w:val="22"/>
          <w:u w:val="single"/>
          <w:lang w:val="sk-SK"/>
        </w:rPr>
        <w:t>toxicita</w:t>
      </w:r>
    </w:p>
    <w:p w14:paraId="40AE2F54" w14:textId="5E59A096" w:rsidR="004F7D01" w:rsidRPr="00B50F60" w:rsidRDefault="004F7D01" w:rsidP="00ED7827">
      <w:pPr>
        <w:pStyle w:val="Standardenglisch"/>
        <w:tabs>
          <w:tab w:val="left" w:pos="0"/>
          <w:tab w:val="left" w:pos="284"/>
        </w:tabs>
        <w:rPr>
          <w:rFonts w:ascii="Times New Roman" w:hAnsi="Times New Roman"/>
          <w:szCs w:val="22"/>
          <w:lang w:val="sk-SK"/>
        </w:rPr>
      </w:pPr>
      <w:proofErr w:type="spellStart"/>
      <w:r w:rsidRPr="00B50F60">
        <w:rPr>
          <w:rFonts w:ascii="Times New Roman" w:hAnsi="Times New Roman"/>
          <w:szCs w:val="22"/>
          <w:lang w:val="sk-SK"/>
        </w:rPr>
        <w:t>Kardiotoxicita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je rizikom </w:t>
      </w:r>
      <w:proofErr w:type="spellStart"/>
      <w:r w:rsidRPr="00B50F60">
        <w:rPr>
          <w:rFonts w:ascii="Times New Roman" w:hAnsi="Times New Roman"/>
          <w:szCs w:val="22"/>
          <w:lang w:val="sk-SK"/>
        </w:rPr>
        <w:t>antracyklínovej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liečby, ktorá sa môže prejavovať včasnými (t.</w:t>
      </w:r>
      <w:r w:rsidR="00163237">
        <w:rPr>
          <w:rFonts w:ascii="Times New Roman" w:hAnsi="Times New Roman"/>
          <w:szCs w:val="22"/>
          <w:lang w:val="sk-SK"/>
        </w:rPr>
        <w:t> </w:t>
      </w:r>
      <w:r w:rsidRPr="00B50F60">
        <w:rPr>
          <w:rFonts w:ascii="Times New Roman" w:hAnsi="Times New Roman"/>
          <w:szCs w:val="22"/>
          <w:lang w:val="sk-SK"/>
        </w:rPr>
        <w:t>j. akútnymi) alebo neskorými (t.</w:t>
      </w:r>
      <w:r w:rsidR="00163237">
        <w:rPr>
          <w:rFonts w:ascii="Times New Roman" w:hAnsi="Times New Roman"/>
          <w:szCs w:val="22"/>
          <w:lang w:val="sk-SK"/>
        </w:rPr>
        <w:t> </w:t>
      </w:r>
      <w:r w:rsidRPr="00B50F60">
        <w:rPr>
          <w:rFonts w:ascii="Times New Roman" w:hAnsi="Times New Roman"/>
          <w:szCs w:val="22"/>
          <w:lang w:val="sk-SK"/>
        </w:rPr>
        <w:t>j. oneskoren</w:t>
      </w:r>
      <w:r w:rsidR="00CF6DAE" w:rsidRPr="00B50F60">
        <w:rPr>
          <w:rFonts w:ascii="Times New Roman" w:hAnsi="Times New Roman"/>
          <w:szCs w:val="22"/>
          <w:lang w:val="sk-SK"/>
        </w:rPr>
        <w:t>ými</w:t>
      </w:r>
      <w:r w:rsidRPr="00B50F60">
        <w:rPr>
          <w:rFonts w:ascii="Times New Roman" w:hAnsi="Times New Roman"/>
          <w:szCs w:val="22"/>
          <w:lang w:val="sk-SK"/>
        </w:rPr>
        <w:t>) udalosťami.</w:t>
      </w:r>
    </w:p>
    <w:p w14:paraId="755A9145" w14:textId="77777777" w:rsidR="004F7D01" w:rsidRPr="00B50F60" w:rsidRDefault="004F7D01" w:rsidP="00ED7827">
      <w:pPr>
        <w:pStyle w:val="Standardenglisch"/>
        <w:tabs>
          <w:tab w:val="left" w:pos="0"/>
          <w:tab w:val="left" w:pos="284"/>
        </w:tabs>
        <w:rPr>
          <w:rFonts w:ascii="Times New Roman" w:hAnsi="Times New Roman"/>
          <w:szCs w:val="22"/>
          <w:lang w:val="sk-SK"/>
        </w:rPr>
      </w:pPr>
    </w:p>
    <w:p w14:paraId="2E83FBBA" w14:textId="5087AEF9" w:rsidR="009360C0" w:rsidRPr="00B50F60" w:rsidRDefault="009360C0" w:rsidP="00ED7827">
      <w:pPr>
        <w:pStyle w:val="Standardenglisch"/>
        <w:tabs>
          <w:tab w:val="left" w:pos="0"/>
          <w:tab w:val="left" w:pos="284"/>
        </w:tabs>
        <w:rPr>
          <w:rFonts w:ascii="Times New Roman" w:hAnsi="Times New Roman"/>
          <w:i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>Včasné (t.</w:t>
      </w:r>
      <w:r w:rsidR="00A224C5">
        <w:rPr>
          <w:rFonts w:ascii="Times New Roman" w:hAnsi="Times New Roman"/>
          <w:szCs w:val="22"/>
          <w:lang w:val="sk-SK"/>
        </w:rPr>
        <w:t> </w:t>
      </w:r>
      <w:r w:rsidRPr="00B50F60">
        <w:rPr>
          <w:rFonts w:ascii="Times New Roman" w:hAnsi="Times New Roman"/>
          <w:szCs w:val="22"/>
          <w:lang w:val="sk-SK"/>
        </w:rPr>
        <w:t>j. akútne) udalosti:</w:t>
      </w:r>
      <w:r w:rsidR="003F1138" w:rsidRPr="00B50F60">
        <w:rPr>
          <w:rFonts w:ascii="Times New Roman" w:hAnsi="Times New Roman"/>
          <w:i/>
          <w:szCs w:val="22"/>
          <w:lang w:val="sk-SK"/>
        </w:rPr>
        <w:t xml:space="preserve"> </w:t>
      </w:r>
    </w:p>
    <w:p w14:paraId="185CEB8F" w14:textId="77777777" w:rsidR="003F1138" w:rsidRPr="00B50F60" w:rsidRDefault="003F1138" w:rsidP="00ED7827">
      <w:pPr>
        <w:pStyle w:val="Standardenglisch"/>
        <w:tabs>
          <w:tab w:val="left" w:pos="0"/>
          <w:tab w:val="left" w:pos="284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 xml:space="preserve">Včasná </w:t>
      </w:r>
      <w:proofErr w:type="spellStart"/>
      <w:r w:rsidRPr="00B50F60">
        <w:rPr>
          <w:rFonts w:ascii="Times New Roman" w:hAnsi="Times New Roman"/>
          <w:szCs w:val="22"/>
          <w:lang w:val="sk-SK"/>
        </w:rPr>
        <w:t>kardiotoxicita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B50F60">
        <w:rPr>
          <w:rFonts w:ascii="Times New Roman" w:hAnsi="Times New Roman"/>
          <w:szCs w:val="22"/>
          <w:lang w:val="sk-SK"/>
        </w:rPr>
        <w:t>doxorubicínu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pozostáva hlavne zo sínusovej </w:t>
      </w:r>
      <w:proofErr w:type="spellStart"/>
      <w:r w:rsidRPr="00B50F60">
        <w:rPr>
          <w:rFonts w:ascii="Times New Roman" w:hAnsi="Times New Roman"/>
          <w:szCs w:val="22"/>
          <w:lang w:val="sk-SK"/>
        </w:rPr>
        <w:t>tachykardie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a/alebo EKG abnormalít, ako sú nešpecifické zmeny ST-T vlny. Boli tiež zaznamenané </w:t>
      </w:r>
      <w:proofErr w:type="spellStart"/>
      <w:r w:rsidRPr="00B50F60">
        <w:rPr>
          <w:rFonts w:ascii="Times New Roman" w:hAnsi="Times New Roman"/>
          <w:szCs w:val="22"/>
          <w:lang w:val="sk-SK"/>
        </w:rPr>
        <w:t>tachyarytmie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, vrátane predčasných </w:t>
      </w:r>
      <w:proofErr w:type="spellStart"/>
      <w:r w:rsidRPr="00B50F60">
        <w:rPr>
          <w:rFonts w:ascii="Times New Roman" w:hAnsi="Times New Roman"/>
          <w:szCs w:val="22"/>
          <w:lang w:val="sk-SK"/>
        </w:rPr>
        <w:t>ventrikulárnych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kontrakcií a </w:t>
      </w:r>
      <w:proofErr w:type="spellStart"/>
      <w:r w:rsidRPr="00B50F60">
        <w:rPr>
          <w:rFonts w:ascii="Times New Roman" w:hAnsi="Times New Roman"/>
          <w:szCs w:val="22"/>
          <w:lang w:val="sk-SK"/>
        </w:rPr>
        <w:t>ventrikulárnej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B50F60">
        <w:rPr>
          <w:rFonts w:ascii="Times New Roman" w:hAnsi="Times New Roman"/>
          <w:szCs w:val="22"/>
          <w:lang w:val="sk-SK"/>
        </w:rPr>
        <w:t>tachykardie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, bradykardie, rovnako ako </w:t>
      </w:r>
      <w:proofErr w:type="spellStart"/>
      <w:r w:rsidRPr="00B50F60">
        <w:rPr>
          <w:rFonts w:ascii="Times New Roman" w:hAnsi="Times New Roman"/>
          <w:szCs w:val="22"/>
          <w:lang w:val="sk-SK"/>
        </w:rPr>
        <w:t>atrioventrikulárna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blokáda alebo </w:t>
      </w:r>
      <w:proofErr w:type="spellStart"/>
      <w:r w:rsidRPr="00B50F60">
        <w:rPr>
          <w:rFonts w:ascii="Times New Roman" w:hAnsi="Times New Roman"/>
          <w:szCs w:val="22"/>
          <w:lang w:val="sk-SK"/>
        </w:rPr>
        <w:t>ramienková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blokáda. Tieto symptómy zvyčajne naznačujú akútnu prechodnú toxicitu. Sploštenie a rozšírenie QRS</w:t>
      </w:r>
      <w:r w:rsidRPr="00B50F60">
        <w:rPr>
          <w:rFonts w:ascii="Times New Roman" w:hAnsi="Times New Roman"/>
          <w:szCs w:val="22"/>
          <w:lang w:val="sk-SK"/>
        </w:rPr>
        <w:noBreakHyphen/>
        <w:t xml:space="preserve">komplexu nad limity </w:t>
      </w:r>
      <w:r w:rsidR="00CF6DAE" w:rsidRPr="00B50F60">
        <w:rPr>
          <w:rFonts w:ascii="Times New Roman" w:hAnsi="Times New Roman"/>
          <w:szCs w:val="22"/>
          <w:lang w:val="sk-SK"/>
        </w:rPr>
        <w:t xml:space="preserve">normálu </w:t>
      </w:r>
      <w:r w:rsidRPr="00B50F60">
        <w:rPr>
          <w:rFonts w:ascii="Times New Roman" w:hAnsi="Times New Roman"/>
          <w:szCs w:val="22"/>
          <w:lang w:val="sk-SK"/>
        </w:rPr>
        <w:t xml:space="preserve">môže naznačovať </w:t>
      </w:r>
      <w:proofErr w:type="spellStart"/>
      <w:r w:rsidR="00A614DD" w:rsidRPr="00B50F60">
        <w:rPr>
          <w:rFonts w:ascii="Times New Roman" w:hAnsi="Times New Roman"/>
          <w:szCs w:val="22"/>
          <w:lang w:val="sk-SK"/>
        </w:rPr>
        <w:t>kardiomyopatiu</w:t>
      </w:r>
      <w:proofErr w:type="spellEnd"/>
      <w:r w:rsidR="00A614DD" w:rsidRPr="00B50F60">
        <w:rPr>
          <w:rFonts w:ascii="Times New Roman" w:hAnsi="Times New Roman"/>
          <w:szCs w:val="22"/>
          <w:lang w:val="sk-SK"/>
        </w:rPr>
        <w:t xml:space="preserve"> indukovanú </w:t>
      </w:r>
      <w:proofErr w:type="spellStart"/>
      <w:r w:rsidR="00A614DD" w:rsidRPr="00B50F60">
        <w:rPr>
          <w:rFonts w:ascii="Times New Roman" w:hAnsi="Times New Roman"/>
          <w:szCs w:val="22"/>
          <w:lang w:val="sk-SK"/>
        </w:rPr>
        <w:t>doxorubicín</w:t>
      </w:r>
      <w:r w:rsidR="00D80489" w:rsidRPr="00B50F60">
        <w:rPr>
          <w:rFonts w:ascii="Times New Roman" w:hAnsi="Times New Roman"/>
          <w:szCs w:val="22"/>
          <w:lang w:val="sk-SK"/>
        </w:rPr>
        <w:t>i</w:t>
      </w:r>
      <w:r w:rsidR="00A614DD" w:rsidRPr="00B50F60">
        <w:rPr>
          <w:rFonts w:ascii="Times New Roman" w:hAnsi="Times New Roman"/>
          <w:szCs w:val="22"/>
          <w:lang w:val="sk-SK"/>
        </w:rPr>
        <w:t>u</w:t>
      </w:r>
      <w:r w:rsidR="00D80489" w:rsidRPr="00B50F60">
        <w:rPr>
          <w:rFonts w:ascii="Times New Roman" w:hAnsi="Times New Roman"/>
          <w:szCs w:val="22"/>
          <w:lang w:val="sk-SK"/>
        </w:rPr>
        <w:t>mchloridom</w:t>
      </w:r>
      <w:proofErr w:type="spellEnd"/>
      <w:r w:rsidR="00A614DD" w:rsidRPr="00B50F60">
        <w:rPr>
          <w:rFonts w:ascii="Times New Roman" w:hAnsi="Times New Roman"/>
          <w:szCs w:val="22"/>
          <w:lang w:val="sk-SK"/>
        </w:rPr>
        <w:t xml:space="preserve">. </w:t>
      </w:r>
      <w:r w:rsidR="00F167BC" w:rsidRPr="00B50F60">
        <w:rPr>
          <w:rFonts w:ascii="Times New Roman" w:hAnsi="Times New Roman"/>
          <w:szCs w:val="22"/>
          <w:lang w:val="sk-SK"/>
        </w:rPr>
        <w:t>U</w:t>
      </w:r>
      <w:r w:rsidR="00A614DD" w:rsidRPr="00B50F60">
        <w:rPr>
          <w:rFonts w:ascii="Times New Roman" w:hAnsi="Times New Roman"/>
          <w:szCs w:val="22"/>
          <w:lang w:val="sk-SK"/>
        </w:rPr>
        <w:t xml:space="preserve"> pacientov s normálnou východiskovou hodnotou LVEF (=50 %) zníženie absolútnej hodnoty </w:t>
      </w:r>
      <w:r w:rsidR="00135EDE" w:rsidRPr="00B50F60">
        <w:rPr>
          <w:rFonts w:ascii="Times New Roman" w:hAnsi="Times New Roman"/>
          <w:szCs w:val="22"/>
          <w:lang w:val="sk-SK"/>
        </w:rPr>
        <w:t xml:space="preserve">o 10 % </w:t>
      </w:r>
      <w:r w:rsidR="00A614DD" w:rsidRPr="00B50F60">
        <w:rPr>
          <w:rFonts w:ascii="Times New Roman" w:hAnsi="Times New Roman"/>
          <w:szCs w:val="22"/>
          <w:lang w:val="sk-SK"/>
        </w:rPr>
        <w:t xml:space="preserve">alebo pokles pod hranicu 50 % </w:t>
      </w:r>
      <w:r w:rsidR="00F167BC" w:rsidRPr="00B50F60">
        <w:rPr>
          <w:rFonts w:ascii="Times New Roman" w:hAnsi="Times New Roman"/>
          <w:szCs w:val="22"/>
          <w:lang w:val="sk-SK"/>
        </w:rPr>
        <w:t xml:space="preserve">spravidla </w:t>
      </w:r>
      <w:r w:rsidR="00A614DD" w:rsidRPr="00B50F60">
        <w:rPr>
          <w:rFonts w:ascii="Times New Roman" w:hAnsi="Times New Roman"/>
          <w:szCs w:val="22"/>
          <w:lang w:val="sk-SK"/>
        </w:rPr>
        <w:t>naznačuje srdcovú dy</w:t>
      </w:r>
      <w:r w:rsidR="00135EDE" w:rsidRPr="00B50F60">
        <w:rPr>
          <w:rFonts w:ascii="Times New Roman" w:hAnsi="Times New Roman"/>
          <w:szCs w:val="22"/>
          <w:lang w:val="sk-SK"/>
        </w:rPr>
        <w:t xml:space="preserve">sfunkciu a v tejto situácii sa má liečba </w:t>
      </w:r>
      <w:proofErr w:type="spellStart"/>
      <w:r w:rsidR="00135EDE" w:rsidRPr="00B50F60">
        <w:rPr>
          <w:rFonts w:ascii="Times New Roman" w:hAnsi="Times New Roman"/>
          <w:szCs w:val="22"/>
          <w:lang w:val="sk-SK"/>
        </w:rPr>
        <w:t>doxorubicín</w:t>
      </w:r>
      <w:r w:rsidR="00EE08DF" w:rsidRPr="00B50F60">
        <w:rPr>
          <w:rFonts w:ascii="Times New Roman" w:hAnsi="Times New Roman"/>
          <w:szCs w:val="22"/>
          <w:lang w:val="sk-SK"/>
        </w:rPr>
        <w:t>i</w:t>
      </w:r>
      <w:r w:rsidR="00135EDE" w:rsidRPr="00B50F60">
        <w:rPr>
          <w:rFonts w:ascii="Times New Roman" w:hAnsi="Times New Roman"/>
          <w:szCs w:val="22"/>
          <w:lang w:val="sk-SK"/>
        </w:rPr>
        <w:t>u</w:t>
      </w:r>
      <w:r w:rsidR="00EE08DF" w:rsidRPr="00B50F60">
        <w:rPr>
          <w:rFonts w:ascii="Times New Roman" w:hAnsi="Times New Roman"/>
          <w:szCs w:val="22"/>
          <w:lang w:val="sk-SK"/>
        </w:rPr>
        <w:t>mchloridom</w:t>
      </w:r>
      <w:proofErr w:type="spellEnd"/>
      <w:r w:rsidR="00135EDE" w:rsidRPr="00B50F60">
        <w:rPr>
          <w:rFonts w:ascii="Times New Roman" w:hAnsi="Times New Roman"/>
          <w:szCs w:val="22"/>
          <w:lang w:val="sk-SK"/>
        </w:rPr>
        <w:t xml:space="preserve"> starostlivo zvážiť.</w:t>
      </w:r>
    </w:p>
    <w:p w14:paraId="3FC59063" w14:textId="77777777" w:rsidR="003F1138" w:rsidRPr="00B50F60" w:rsidRDefault="003F1138" w:rsidP="00ED7827">
      <w:pPr>
        <w:pStyle w:val="Standardenglisch"/>
        <w:tabs>
          <w:tab w:val="left" w:pos="0"/>
          <w:tab w:val="left" w:pos="284"/>
        </w:tabs>
        <w:jc w:val="both"/>
        <w:rPr>
          <w:rFonts w:ascii="Times New Roman" w:hAnsi="Times New Roman"/>
          <w:szCs w:val="22"/>
          <w:lang w:val="sk-SK"/>
        </w:rPr>
      </w:pPr>
    </w:p>
    <w:p w14:paraId="1940EBBA" w14:textId="713F0D77" w:rsidR="009042B2" w:rsidRPr="00B50F60" w:rsidRDefault="009042B2" w:rsidP="00ED7827">
      <w:pPr>
        <w:pStyle w:val="Standardenglisch"/>
        <w:tabs>
          <w:tab w:val="left" w:pos="0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>Neskoré (t.</w:t>
      </w:r>
      <w:r w:rsidR="00601933">
        <w:rPr>
          <w:rFonts w:ascii="Times New Roman" w:hAnsi="Times New Roman"/>
          <w:szCs w:val="22"/>
          <w:lang w:val="sk-SK"/>
        </w:rPr>
        <w:t> </w:t>
      </w:r>
      <w:r w:rsidRPr="00B50F60">
        <w:rPr>
          <w:rFonts w:ascii="Times New Roman" w:hAnsi="Times New Roman"/>
          <w:szCs w:val="22"/>
          <w:lang w:val="sk-SK"/>
        </w:rPr>
        <w:t>j. oneskorené) udalosti:</w:t>
      </w:r>
    </w:p>
    <w:p w14:paraId="6A9FF62A" w14:textId="244CB34F" w:rsidR="003F1138" w:rsidRPr="00B50F60" w:rsidRDefault="003F1138" w:rsidP="00ED7827">
      <w:pPr>
        <w:pStyle w:val="Standardenglisch"/>
        <w:tabs>
          <w:tab w:val="left" w:pos="0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 xml:space="preserve">Oneskorená </w:t>
      </w:r>
      <w:proofErr w:type="spellStart"/>
      <w:r w:rsidRPr="00B50F60">
        <w:rPr>
          <w:rFonts w:ascii="Times New Roman" w:hAnsi="Times New Roman"/>
          <w:szCs w:val="22"/>
          <w:lang w:val="sk-SK"/>
        </w:rPr>
        <w:t>kardiotoxicita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sa zvyčajne vyvinie neskôr v priebehu liečby </w:t>
      </w:r>
      <w:proofErr w:type="spellStart"/>
      <w:r w:rsidR="00135EDE" w:rsidRPr="00B50F60">
        <w:rPr>
          <w:rFonts w:ascii="Times New Roman" w:hAnsi="Times New Roman"/>
          <w:szCs w:val="22"/>
          <w:lang w:val="sk-SK"/>
        </w:rPr>
        <w:t>doxo</w:t>
      </w:r>
      <w:r w:rsidRPr="00B50F60">
        <w:rPr>
          <w:rFonts w:ascii="Times New Roman" w:hAnsi="Times New Roman"/>
          <w:szCs w:val="22"/>
          <w:lang w:val="sk-SK"/>
        </w:rPr>
        <w:t>rubicínom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alebo v priebehu 2 a</w:t>
      </w:r>
      <w:r w:rsidR="00CF6DAE" w:rsidRPr="00B50F60">
        <w:rPr>
          <w:rFonts w:ascii="Times New Roman" w:hAnsi="Times New Roman"/>
          <w:szCs w:val="22"/>
          <w:lang w:val="sk-SK"/>
        </w:rPr>
        <w:t>ž</w:t>
      </w:r>
      <w:r w:rsidRPr="00B50F60">
        <w:rPr>
          <w:rFonts w:ascii="Times New Roman" w:hAnsi="Times New Roman"/>
          <w:szCs w:val="22"/>
          <w:lang w:val="sk-SK"/>
        </w:rPr>
        <w:t xml:space="preserve"> 3</w:t>
      </w:r>
      <w:r w:rsidR="003E703E" w:rsidRPr="00B50F60">
        <w:rPr>
          <w:rFonts w:ascii="Times New Roman" w:hAnsi="Times New Roman"/>
          <w:szCs w:val="22"/>
          <w:lang w:val="sk-SK"/>
        </w:rPr>
        <w:t> </w:t>
      </w:r>
      <w:r w:rsidRPr="00B50F60">
        <w:rPr>
          <w:rFonts w:ascii="Times New Roman" w:hAnsi="Times New Roman"/>
          <w:szCs w:val="22"/>
          <w:lang w:val="sk-SK"/>
        </w:rPr>
        <w:t>mesiacov po ukončení liečby, avšak boli tiež zaznamenané aj neskoršie udalosti</w:t>
      </w:r>
      <w:r w:rsidR="00135EDE" w:rsidRPr="00B50F60">
        <w:rPr>
          <w:rFonts w:ascii="Times New Roman" w:hAnsi="Times New Roman"/>
          <w:szCs w:val="22"/>
          <w:lang w:val="sk-SK"/>
        </w:rPr>
        <w:t>,</w:t>
      </w:r>
      <w:r w:rsidRPr="00B50F60">
        <w:rPr>
          <w:rFonts w:ascii="Times New Roman" w:hAnsi="Times New Roman"/>
          <w:szCs w:val="22"/>
          <w:lang w:val="sk-SK"/>
        </w:rPr>
        <w:t xml:space="preserve"> niekoľko mesiacov až rokov po skončení liečby. Oneskorená </w:t>
      </w:r>
      <w:proofErr w:type="spellStart"/>
      <w:r w:rsidRPr="00B50F60">
        <w:rPr>
          <w:rFonts w:ascii="Times New Roman" w:hAnsi="Times New Roman"/>
          <w:szCs w:val="22"/>
          <w:lang w:val="sk-SK"/>
        </w:rPr>
        <w:t>kardiomyopatia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sa prejavuje zníženou </w:t>
      </w:r>
      <w:proofErr w:type="spellStart"/>
      <w:r w:rsidRPr="00B50F60">
        <w:rPr>
          <w:rFonts w:ascii="Times New Roman" w:hAnsi="Times New Roman"/>
          <w:szCs w:val="22"/>
          <w:lang w:val="sk-SK"/>
        </w:rPr>
        <w:t>ejekčnou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frakciou ľavej komory (LVEF) a/alebo </w:t>
      </w:r>
      <w:r w:rsidR="00205CAF" w:rsidRPr="00B50F60">
        <w:rPr>
          <w:rFonts w:ascii="Times New Roman" w:hAnsi="Times New Roman"/>
          <w:szCs w:val="22"/>
          <w:lang w:val="sk-SK"/>
        </w:rPr>
        <w:t>prejavmi</w:t>
      </w:r>
      <w:r w:rsidRPr="00B50F60">
        <w:rPr>
          <w:rFonts w:ascii="Times New Roman" w:hAnsi="Times New Roman"/>
          <w:szCs w:val="22"/>
          <w:lang w:val="sk-SK"/>
        </w:rPr>
        <w:t xml:space="preserve"> a príznakmi </w:t>
      </w:r>
      <w:proofErr w:type="spellStart"/>
      <w:r w:rsidRPr="00B50F60">
        <w:rPr>
          <w:rFonts w:ascii="Times New Roman" w:hAnsi="Times New Roman"/>
          <w:szCs w:val="22"/>
          <w:lang w:val="sk-SK"/>
        </w:rPr>
        <w:t>kongestívneho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srdcového zlyhania (CHF), ako je </w:t>
      </w:r>
      <w:proofErr w:type="spellStart"/>
      <w:r w:rsidRPr="00B50F60">
        <w:rPr>
          <w:rFonts w:ascii="Times New Roman" w:hAnsi="Times New Roman"/>
          <w:szCs w:val="22"/>
          <w:lang w:val="sk-SK"/>
        </w:rPr>
        <w:t>dyspno</w:t>
      </w:r>
      <w:r w:rsidR="00571515" w:rsidRPr="00B50F60">
        <w:rPr>
          <w:rFonts w:ascii="Times New Roman" w:hAnsi="Times New Roman"/>
          <w:szCs w:val="22"/>
          <w:lang w:val="sk-SK"/>
        </w:rPr>
        <w:t>e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, pľúcny edém, </w:t>
      </w:r>
      <w:proofErr w:type="spellStart"/>
      <w:r w:rsidR="005C4629" w:rsidRPr="00B50F60">
        <w:rPr>
          <w:rFonts w:ascii="Times New Roman" w:hAnsi="Times New Roman"/>
          <w:szCs w:val="22"/>
          <w:lang w:val="sk-SK"/>
        </w:rPr>
        <w:t>posturálny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edém, </w:t>
      </w:r>
      <w:proofErr w:type="spellStart"/>
      <w:r w:rsidRPr="00B50F60">
        <w:rPr>
          <w:rFonts w:ascii="Times New Roman" w:hAnsi="Times New Roman"/>
          <w:szCs w:val="22"/>
          <w:lang w:val="sk-SK"/>
        </w:rPr>
        <w:t>ka</w:t>
      </w:r>
      <w:r w:rsidR="00B172F0" w:rsidRPr="00B50F60">
        <w:rPr>
          <w:rFonts w:ascii="Times New Roman" w:hAnsi="Times New Roman"/>
          <w:szCs w:val="22"/>
          <w:lang w:val="sk-SK"/>
        </w:rPr>
        <w:t>r</w:t>
      </w:r>
      <w:r w:rsidRPr="00B50F60">
        <w:rPr>
          <w:rFonts w:ascii="Times New Roman" w:hAnsi="Times New Roman"/>
          <w:szCs w:val="22"/>
          <w:lang w:val="sk-SK"/>
        </w:rPr>
        <w:t>diomegália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a </w:t>
      </w:r>
      <w:proofErr w:type="spellStart"/>
      <w:r w:rsidRPr="00B50F60">
        <w:rPr>
          <w:rFonts w:ascii="Times New Roman" w:hAnsi="Times New Roman"/>
          <w:szCs w:val="22"/>
          <w:lang w:val="sk-SK"/>
        </w:rPr>
        <w:t>hepatomegália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, </w:t>
      </w:r>
      <w:proofErr w:type="spellStart"/>
      <w:r w:rsidRPr="00B50F60">
        <w:rPr>
          <w:rFonts w:ascii="Times New Roman" w:hAnsi="Times New Roman"/>
          <w:szCs w:val="22"/>
          <w:lang w:val="sk-SK"/>
        </w:rPr>
        <w:t>oligúria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, </w:t>
      </w:r>
      <w:proofErr w:type="spellStart"/>
      <w:r w:rsidRPr="00B50F60">
        <w:rPr>
          <w:rFonts w:ascii="Times New Roman" w:hAnsi="Times New Roman"/>
          <w:szCs w:val="22"/>
          <w:lang w:val="sk-SK"/>
        </w:rPr>
        <w:t>ascites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, </w:t>
      </w:r>
      <w:proofErr w:type="spellStart"/>
      <w:r w:rsidRPr="00B50F60">
        <w:rPr>
          <w:rFonts w:ascii="Times New Roman" w:hAnsi="Times New Roman"/>
          <w:szCs w:val="22"/>
          <w:lang w:val="sk-SK"/>
        </w:rPr>
        <w:t>pleuráln</w:t>
      </w:r>
      <w:r w:rsidR="00135EDE" w:rsidRPr="00B50F60">
        <w:rPr>
          <w:rFonts w:ascii="Times New Roman" w:hAnsi="Times New Roman"/>
          <w:szCs w:val="22"/>
          <w:lang w:val="sk-SK"/>
        </w:rPr>
        <w:t>y</w:t>
      </w:r>
      <w:proofErr w:type="spellEnd"/>
      <w:r w:rsidR="00135EDE" w:rsidRPr="00B50F60">
        <w:rPr>
          <w:rFonts w:ascii="Times New Roman" w:hAnsi="Times New Roman"/>
          <w:szCs w:val="22"/>
          <w:lang w:val="sk-SK"/>
        </w:rPr>
        <w:t xml:space="preserve"> výpotok</w:t>
      </w:r>
      <w:r w:rsidRPr="00B50F60">
        <w:rPr>
          <w:rFonts w:ascii="Times New Roman" w:hAnsi="Times New Roman"/>
          <w:szCs w:val="22"/>
          <w:lang w:val="sk-SK"/>
        </w:rPr>
        <w:t xml:space="preserve"> a </w:t>
      </w:r>
      <w:proofErr w:type="spellStart"/>
      <w:r w:rsidRPr="00B50F60">
        <w:rPr>
          <w:rFonts w:ascii="Times New Roman" w:hAnsi="Times New Roman"/>
          <w:szCs w:val="22"/>
          <w:lang w:val="sk-SK"/>
        </w:rPr>
        <w:t>galopový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rytmus. </w:t>
      </w:r>
      <w:r w:rsidR="00E63456" w:rsidRPr="00B50F60">
        <w:rPr>
          <w:rFonts w:ascii="Times New Roman" w:hAnsi="Times New Roman"/>
          <w:szCs w:val="22"/>
          <w:lang w:val="sk-SK"/>
        </w:rPr>
        <w:t xml:space="preserve">Boli tiež zaznamenané </w:t>
      </w:r>
      <w:proofErr w:type="spellStart"/>
      <w:r w:rsidR="00E63456" w:rsidRPr="00B50F60">
        <w:rPr>
          <w:rFonts w:ascii="Times New Roman" w:hAnsi="Times New Roman"/>
          <w:szCs w:val="22"/>
          <w:lang w:val="sk-SK"/>
        </w:rPr>
        <w:t>subakútne</w:t>
      </w:r>
      <w:proofErr w:type="spellEnd"/>
      <w:r w:rsidR="00E63456" w:rsidRPr="00B50F60">
        <w:rPr>
          <w:rFonts w:ascii="Times New Roman" w:hAnsi="Times New Roman"/>
          <w:szCs w:val="22"/>
          <w:lang w:val="sk-SK"/>
        </w:rPr>
        <w:t xml:space="preserve"> účinky, ako je </w:t>
      </w:r>
      <w:proofErr w:type="spellStart"/>
      <w:r w:rsidR="00E63456" w:rsidRPr="00B50F60">
        <w:rPr>
          <w:rFonts w:ascii="Times New Roman" w:hAnsi="Times New Roman"/>
          <w:szCs w:val="22"/>
          <w:lang w:val="sk-SK"/>
        </w:rPr>
        <w:t>perikarditída</w:t>
      </w:r>
      <w:proofErr w:type="spellEnd"/>
      <w:r w:rsidR="00E63456" w:rsidRPr="00B50F60">
        <w:rPr>
          <w:rFonts w:ascii="Times New Roman" w:hAnsi="Times New Roman"/>
          <w:szCs w:val="22"/>
          <w:lang w:val="sk-SK"/>
        </w:rPr>
        <w:t>/</w:t>
      </w:r>
      <w:proofErr w:type="spellStart"/>
      <w:r w:rsidR="00E63456" w:rsidRPr="00B50F60">
        <w:rPr>
          <w:rFonts w:ascii="Times New Roman" w:hAnsi="Times New Roman"/>
          <w:szCs w:val="22"/>
          <w:lang w:val="sk-SK"/>
        </w:rPr>
        <w:t>myokarditída</w:t>
      </w:r>
      <w:proofErr w:type="spellEnd"/>
      <w:r w:rsidR="00E63456" w:rsidRPr="00B50F60">
        <w:rPr>
          <w:rFonts w:ascii="Times New Roman" w:hAnsi="Times New Roman"/>
          <w:szCs w:val="22"/>
          <w:lang w:val="sk-SK"/>
        </w:rPr>
        <w:t xml:space="preserve">. </w:t>
      </w:r>
      <w:r w:rsidRPr="00B50F60">
        <w:rPr>
          <w:rFonts w:ascii="Times New Roman" w:hAnsi="Times New Roman"/>
          <w:szCs w:val="22"/>
          <w:lang w:val="sk-SK"/>
        </w:rPr>
        <w:t xml:space="preserve">Najzávažnejšou formou </w:t>
      </w:r>
      <w:proofErr w:type="spellStart"/>
      <w:r w:rsidRPr="00B50F60">
        <w:rPr>
          <w:rFonts w:ascii="Times New Roman" w:hAnsi="Times New Roman"/>
          <w:szCs w:val="22"/>
          <w:lang w:val="sk-SK"/>
        </w:rPr>
        <w:t>kardiomyopatie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vyvolanej </w:t>
      </w:r>
      <w:proofErr w:type="spellStart"/>
      <w:r w:rsidRPr="00B50F60">
        <w:rPr>
          <w:rFonts w:ascii="Times New Roman" w:hAnsi="Times New Roman"/>
          <w:szCs w:val="22"/>
          <w:lang w:val="sk-SK"/>
        </w:rPr>
        <w:t>antracyklín</w:t>
      </w:r>
      <w:r w:rsidR="00AE444C" w:rsidRPr="00B50F60">
        <w:rPr>
          <w:rFonts w:ascii="Times New Roman" w:hAnsi="Times New Roman"/>
          <w:szCs w:val="22"/>
          <w:lang w:val="sk-SK"/>
        </w:rPr>
        <w:t>mi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je život ohrozujúce CHF a</w:t>
      </w:r>
      <w:r w:rsidR="00CF43F3" w:rsidRPr="00B50F60">
        <w:rPr>
          <w:rFonts w:ascii="Times New Roman" w:hAnsi="Times New Roman"/>
          <w:szCs w:val="22"/>
          <w:lang w:val="sk-SK"/>
        </w:rPr>
        <w:t> </w:t>
      </w:r>
      <w:r w:rsidRPr="00B50F60">
        <w:rPr>
          <w:rFonts w:ascii="Times New Roman" w:hAnsi="Times New Roman"/>
          <w:szCs w:val="22"/>
          <w:lang w:val="sk-SK"/>
        </w:rPr>
        <w:t>predstavuje</w:t>
      </w:r>
      <w:r w:rsidR="00CF43F3" w:rsidRPr="00B50F60">
        <w:rPr>
          <w:rFonts w:ascii="Times New Roman" w:hAnsi="Times New Roman"/>
          <w:szCs w:val="22"/>
          <w:lang w:val="sk-SK"/>
        </w:rPr>
        <w:t xml:space="preserve"> </w:t>
      </w:r>
      <w:r w:rsidRPr="00B50F60">
        <w:rPr>
          <w:rFonts w:ascii="Times New Roman" w:hAnsi="Times New Roman"/>
          <w:szCs w:val="22"/>
          <w:lang w:val="sk-SK"/>
        </w:rPr>
        <w:t>toxicitu lie</w:t>
      </w:r>
      <w:r w:rsidR="00B6283B" w:rsidRPr="00B50F60">
        <w:rPr>
          <w:rFonts w:ascii="Times New Roman" w:hAnsi="Times New Roman"/>
          <w:szCs w:val="22"/>
          <w:lang w:val="sk-SK"/>
        </w:rPr>
        <w:t>ku</w:t>
      </w:r>
      <w:r w:rsidRPr="00B50F60">
        <w:rPr>
          <w:rFonts w:ascii="Times New Roman" w:hAnsi="Times New Roman"/>
          <w:szCs w:val="22"/>
          <w:lang w:val="sk-SK"/>
        </w:rPr>
        <w:t>, ktorá obmedzuje kumulatívnu dávku.</w:t>
      </w:r>
    </w:p>
    <w:p w14:paraId="15B3A0EC" w14:textId="77777777" w:rsidR="003F1138" w:rsidRPr="00B50F60" w:rsidRDefault="003F1138" w:rsidP="00ED7827">
      <w:pPr>
        <w:pStyle w:val="Standardenglisch"/>
        <w:tabs>
          <w:tab w:val="left" w:pos="0"/>
        </w:tabs>
        <w:rPr>
          <w:rFonts w:ascii="Times New Roman" w:hAnsi="Times New Roman"/>
          <w:szCs w:val="22"/>
          <w:lang w:val="sk-SK"/>
        </w:rPr>
      </w:pPr>
    </w:p>
    <w:p w14:paraId="27313449" w14:textId="77777777" w:rsidR="003F1138" w:rsidRPr="00B50F60" w:rsidRDefault="003F1138" w:rsidP="00ED7827">
      <w:pPr>
        <w:pStyle w:val="Standardenglisch"/>
        <w:tabs>
          <w:tab w:val="left" w:pos="0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 xml:space="preserve">Funkcia srdca sa má hodnotiť pred začatím liečby </w:t>
      </w:r>
      <w:proofErr w:type="spellStart"/>
      <w:r w:rsidR="00E63456" w:rsidRPr="00B50F60">
        <w:rPr>
          <w:rFonts w:ascii="Times New Roman" w:hAnsi="Times New Roman"/>
          <w:szCs w:val="22"/>
          <w:lang w:val="sk-SK"/>
        </w:rPr>
        <w:t>doxo</w:t>
      </w:r>
      <w:r w:rsidRPr="00B50F60">
        <w:rPr>
          <w:rFonts w:ascii="Times New Roman" w:hAnsi="Times New Roman"/>
          <w:szCs w:val="22"/>
          <w:lang w:val="sk-SK"/>
        </w:rPr>
        <w:t>rubicínom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a musí sa sledovať v priebehu liečby na minimalizáciu rizika spôsobujúceho závažnú srdcovú poruchu. Riziko sa môže znížiť pravidelným sledovaním LVEF počas liečby s okamžitým vysadením </w:t>
      </w:r>
      <w:proofErr w:type="spellStart"/>
      <w:r w:rsidR="00E63456" w:rsidRPr="00B50F60">
        <w:rPr>
          <w:rFonts w:ascii="Times New Roman" w:hAnsi="Times New Roman"/>
          <w:szCs w:val="22"/>
          <w:lang w:val="sk-SK"/>
        </w:rPr>
        <w:t>doxo</w:t>
      </w:r>
      <w:r w:rsidRPr="00B50F60">
        <w:rPr>
          <w:rFonts w:ascii="Times New Roman" w:hAnsi="Times New Roman"/>
          <w:szCs w:val="22"/>
          <w:lang w:val="sk-SK"/>
        </w:rPr>
        <w:t>rubicínu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pri prv</w:t>
      </w:r>
      <w:r w:rsidR="00E63456" w:rsidRPr="00B50F60">
        <w:rPr>
          <w:rFonts w:ascii="Times New Roman" w:hAnsi="Times New Roman"/>
          <w:szCs w:val="22"/>
          <w:lang w:val="sk-SK"/>
        </w:rPr>
        <w:t>om</w:t>
      </w:r>
      <w:r w:rsidRPr="00B50F60">
        <w:rPr>
          <w:rFonts w:ascii="Times New Roman" w:hAnsi="Times New Roman"/>
          <w:szCs w:val="22"/>
          <w:lang w:val="sk-SK"/>
        </w:rPr>
        <w:t xml:space="preserve"> prejav</w:t>
      </w:r>
      <w:r w:rsidR="00E63456" w:rsidRPr="00B50F60">
        <w:rPr>
          <w:rFonts w:ascii="Times New Roman" w:hAnsi="Times New Roman"/>
          <w:szCs w:val="22"/>
          <w:lang w:val="sk-SK"/>
        </w:rPr>
        <w:t>e</w:t>
      </w:r>
      <w:r w:rsidRPr="00B50F60">
        <w:rPr>
          <w:rFonts w:ascii="Times New Roman" w:hAnsi="Times New Roman"/>
          <w:szCs w:val="22"/>
          <w:lang w:val="sk-SK"/>
        </w:rPr>
        <w:t xml:space="preserve"> poruchy funkcie. Vhodnou kvantitatívnou metódou opakovaného hodnotenia funkcie srdca (hodnotenie LVEF) je viacvstupová </w:t>
      </w:r>
      <w:proofErr w:type="spellStart"/>
      <w:r w:rsidRPr="00B50F60">
        <w:rPr>
          <w:rFonts w:ascii="Times New Roman" w:hAnsi="Times New Roman"/>
          <w:szCs w:val="22"/>
          <w:lang w:val="sk-SK"/>
        </w:rPr>
        <w:t>rádionuklidová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B50F60">
        <w:rPr>
          <w:rFonts w:ascii="Times New Roman" w:hAnsi="Times New Roman"/>
          <w:szCs w:val="22"/>
          <w:lang w:val="sk-SK"/>
        </w:rPr>
        <w:t>angiografia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(MUGA) alebo </w:t>
      </w:r>
      <w:proofErr w:type="spellStart"/>
      <w:r w:rsidRPr="00B50F60">
        <w:rPr>
          <w:rFonts w:ascii="Times New Roman" w:hAnsi="Times New Roman"/>
          <w:szCs w:val="22"/>
          <w:lang w:val="sk-SK"/>
        </w:rPr>
        <w:t>echokardiografia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(ECHO). Odporúča sa vyhodnotenie východiskovej funkcie srdca pomocou EKG a MUGA s</w:t>
      </w:r>
      <w:r w:rsidR="00E63456" w:rsidRPr="00B50F60">
        <w:rPr>
          <w:rFonts w:ascii="Times New Roman" w:hAnsi="Times New Roman"/>
          <w:szCs w:val="22"/>
          <w:lang w:val="sk-SK"/>
        </w:rPr>
        <w:t>nímk</w:t>
      </w:r>
      <w:r w:rsidRPr="00B50F60">
        <w:rPr>
          <w:rFonts w:ascii="Times New Roman" w:hAnsi="Times New Roman"/>
          <w:szCs w:val="22"/>
          <w:lang w:val="sk-SK"/>
        </w:rPr>
        <w:t xml:space="preserve">u alebo ECHO, najmä u pacientov s rizikovými faktormi pre zvýšenú </w:t>
      </w:r>
      <w:proofErr w:type="spellStart"/>
      <w:r w:rsidRPr="00B50F60">
        <w:rPr>
          <w:rFonts w:ascii="Times New Roman" w:hAnsi="Times New Roman"/>
          <w:szCs w:val="22"/>
          <w:lang w:val="sk-SK"/>
        </w:rPr>
        <w:t>kardiotoxicitu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. MUGA alebo ECHO vyšetrenia LVEF sa majú vykonávať opakovane, hlavne pri vyšších, kumulatívnych dávkach </w:t>
      </w:r>
      <w:proofErr w:type="spellStart"/>
      <w:r w:rsidRPr="00B50F60">
        <w:rPr>
          <w:rFonts w:ascii="Times New Roman" w:hAnsi="Times New Roman"/>
          <w:szCs w:val="22"/>
          <w:lang w:val="sk-SK"/>
        </w:rPr>
        <w:t>antracyklínov</w:t>
      </w:r>
      <w:proofErr w:type="spellEnd"/>
      <w:r w:rsidRPr="00B50F60">
        <w:rPr>
          <w:rFonts w:ascii="Times New Roman" w:hAnsi="Times New Roman"/>
          <w:szCs w:val="22"/>
          <w:lang w:val="sk-SK"/>
        </w:rPr>
        <w:t>. Počas celej doby sledovania sa má používať rovnaká technika vyšetrovania.</w:t>
      </w:r>
    </w:p>
    <w:p w14:paraId="25AF90FD" w14:textId="77777777" w:rsidR="003F1138" w:rsidRPr="00B50F60" w:rsidRDefault="003F1138" w:rsidP="00ED7827">
      <w:pPr>
        <w:pStyle w:val="Standardenglisch"/>
        <w:tabs>
          <w:tab w:val="left" w:pos="0"/>
        </w:tabs>
        <w:rPr>
          <w:rFonts w:ascii="Times New Roman" w:hAnsi="Times New Roman"/>
          <w:szCs w:val="22"/>
          <w:lang w:val="sk-SK"/>
        </w:rPr>
      </w:pPr>
    </w:p>
    <w:p w14:paraId="5B5A03CA" w14:textId="209BC2AF" w:rsidR="00E63456" w:rsidRPr="00B50F60" w:rsidRDefault="00E63456" w:rsidP="00ED7827">
      <w:pPr>
        <w:pStyle w:val="Standardenglisch"/>
        <w:tabs>
          <w:tab w:val="left" w:pos="0"/>
          <w:tab w:val="left" w:pos="284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>Pravdepodobnosť rozvoja CHF, odhadovaná na približne 1 % až 2 % pri kumulatívnej dávke 300 mg/</w:t>
      </w:r>
      <w:r w:rsidR="00D56469" w:rsidRPr="00B50F60">
        <w:rPr>
          <w:rFonts w:ascii="Times New Roman" w:hAnsi="Times New Roman"/>
          <w:szCs w:val="22"/>
          <w:lang w:val="sk-SK"/>
        </w:rPr>
        <w:t>m²</w:t>
      </w:r>
      <w:r w:rsidR="00886417" w:rsidRPr="00B50F60">
        <w:rPr>
          <w:rFonts w:ascii="Times New Roman" w:hAnsi="Times New Roman"/>
          <w:szCs w:val="22"/>
          <w:lang w:val="sk-SK"/>
        </w:rPr>
        <w:t xml:space="preserve">, </w:t>
      </w:r>
      <w:r w:rsidRPr="00B50F60">
        <w:rPr>
          <w:rFonts w:ascii="Times New Roman" w:hAnsi="Times New Roman"/>
          <w:szCs w:val="22"/>
          <w:lang w:val="sk-SK"/>
        </w:rPr>
        <w:t>sa pomaly zvyšuje až do celkovej kumulatívnej dávky 450</w:t>
      </w:r>
      <w:r w:rsidR="003E703E" w:rsidRPr="00B50F60">
        <w:rPr>
          <w:rFonts w:ascii="Times New Roman" w:hAnsi="Times New Roman"/>
          <w:szCs w:val="22"/>
          <w:lang w:val="sk-SK"/>
        </w:rPr>
        <w:t> </w:t>
      </w:r>
      <w:r w:rsidRPr="00B50F60">
        <w:rPr>
          <w:rFonts w:ascii="Times New Roman" w:hAnsi="Times New Roman"/>
          <w:szCs w:val="22"/>
          <w:lang w:val="sk-SK"/>
        </w:rPr>
        <w:noBreakHyphen/>
      </w:r>
      <w:r w:rsidR="003E703E" w:rsidRPr="00B50F60">
        <w:rPr>
          <w:rFonts w:ascii="Times New Roman" w:hAnsi="Times New Roman"/>
          <w:szCs w:val="22"/>
          <w:lang w:val="sk-SK"/>
        </w:rPr>
        <w:t> </w:t>
      </w:r>
      <w:r w:rsidRPr="00B50F60">
        <w:rPr>
          <w:rFonts w:ascii="Times New Roman" w:hAnsi="Times New Roman"/>
          <w:szCs w:val="22"/>
          <w:lang w:val="sk-SK"/>
        </w:rPr>
        <w:t>550 mg/</w:t>
      </w:r>
      <w:r w:rsidR="00D56469" w:rsidRPr="00B50F60">
        <w:rPr>
          <w:rFonts w:ascii="Times New Roman" w:hAnsi="Times New Roman"/>
          <w:szCs w:val="22"/>
          <w:lang w:val="sk-SK"/>
        </w:rPr>
        <w:t>m²</w:t>
      </w:r>
      <w:r w:rsidRPr="00B50F60">
        <w:rPr>
          <w:rFonts w:ascii="Times New Roman" w:hAnsi="Times New Roman"/>
          <w:szCs w:val="22"/>
          <w:lang w:val="sk-SK"/>
        </w:rPr>
        <w:t>. Riziko rozvoja CHF sa potom prudko zvyšuje a neodporúča sa prekračovať maximálnu kumulatívnu dávku 550 mg/</w:t>
      </w:r>
      <w:r w:rsidR="00D56469" w:rsidRPr="00B50F60">
        <w:rPr>
          <w:rFonts w:ascii="Times New Roman" w:hAnsi="Times New Roman"/>
          <w:szCs w:val="22"/>
          <w:lang w:val="sk-SK"/>
        </w:rPr>
        <w:t>m²</w:t>
      </w:r>
      <w:r w:rsidRPr="00B50F60">
        <w:rPr>
          <w:rFonts w:ascii="Times New Roman" w:hAnsi="Times New Roman"/>
          <w:szCs w:val="22"/>
          <w:lang w:val="sk-SK"/>
        </w:rPr>
        <w:t xml:space="preserve">. Ak má pacient iné potenciálne rizikové faktory </w:t>
      </w:r>
      <w:proofErr w:type="spellStart"/>
      <w:r w:rsidRPr="00B50F60">
        <w:rPr>
          <w:rFonts w:ascii="Times New Roman" w:hAnsi="Times New Roman"/>
          <w:szCs w:val="22"/>
          <w:lang w:val="sk-SK"/>
        </w:rPr>
        <w:t>kardi</w:t>
      </w:r>
      <w:r w:rsidR="00886417" w:rsidRPr="00B50F60">
        <w:rPr>
          <w:rFonts w:ascii="Times New Roman" w:hAnsi="Times New Roman"/>
          <w:szCs w:val="22"/>
          <w:lang w:val="sk-SK"/>
        </w:rPr>
        <w:t>o</w:t>
      </w:r>
      <w:r w:rsidRPr="00B50F60">
        <w:rPr>
          <w:rFonts w:ascii="Times New Roman" w:hAnsi="Times New Roman"/>
          <w:szCs w:val="22"/>
          <w:lang w:val="sk-SK"/>
        </w:rPr>
        <w:t>toxicity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(kardiovaskulárne ochorenie v anamnéze, predchádzajúca liečba s inými </w:t>
      </w:r>
      <w:proofErr w:type="spellStart"/>
      <w:r w:rsidRPr="00B50F60">
        <w:rPr>
          <w:rFonts w:ascii="Times New Roman" w:hAnsi="Times New Roman"/>
          <w:szCs w:val="22"/>
          <w:lang w:val="sk-SK"/>
        </w:rPr>
        <w:t>a</w:t>
      </w:r>
      <w:r w:rsidR="00886417" w:rsidRPr="00B50F60">
        <w:rPr>
          <w:rFonts w:ascii="Times New Roman" w:hAnsi="Times New Roman"/>
          <w:szCs w:val="22"/>
          <w:lang w:val="sk-SK"/>
        </w:rPr>
        <w:t>n</w:t>
      </w:r>
      <w:r w:rsidRPr="00B50F60">
        <w:rPr>
          <w:rFonts w:ascii="Times New Roman" w:hAnsi="Times New Roman"/>
          <w:szCs w:val="22"/>
          <w:lang w:val="sk-SK"/>
        </w:rPr>
        <w:t>tracyklínmi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alebo </w:t>
      </w:r>
      <w:proofErr w:type="spellStart"/>
      <w:r w:rsidRPr="00B50F60">
        <w:rPr>
          <w:rFonts w:ascii="Times New Roman" w:hAnsi="Times New Roman"/>
          <w:szCs w:val="22"/>
          <w:lang w:val="sk-SK"/>
        </w:rPr>
        <w:t>antracéndiónmi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, predchádzajúca alebo súbežná rádioterapia </w:t>
      </w:r>
      <w:proofErr w:type="spellStart"/>
      <w:r w:rsidRPr="00B50F60">
        <w:rPr>
          <w:rFonts w:ascii="Times New Roman" w:hAnsi="Times New Roman"/>
          <w:szCs w:val="22"/>
          <w:lang w:val="sk-SK"/>
        </w:rPr>
        <w:t>mediasti</w:t>
      </w:r>
      <w:r w:rsidR="005737D1" w:rsidRPr="00B50F60">
        <w:rPr>
          <w:rFonts w:ascii="Times New Roman" w:hAnsi="Times New Roman"/>
          <w:szCs w:val="22"/>
          <w:lang w:val="sk-SK"/>
        </w:rPr>
        <w:t>n</w:t>
      </w:r>
      <w:r w:rsidRPr="00B50F60">
        <w:rPr>
          <w:rFonts w:ascii="Times New Roman" w:hAnsi="Times New Roman"/>
          <w:szCs w:val="22"/>
          <w:lang w:val="sk-SK"/>
        </w:rPr>
        <w:t>álnej</w:t>
      </w:r>
      <w:proofErr w:type="spellEnd"/>
      <w:r w:rsidRPr="00B50F60">
        <w:rPr>
          <w:rFonts w:ascii="Times New Roman" w:hAnsi="Times New Roman"/>
          <w:szCs w:val="22"/>
          <w:lang w:val="sk-SK"/>
        </w:rPr>
        <w:t>/</w:t>
      </w:r>
      <w:proofErr w:type="spellStart"/>
      <w:r w:rsidRPr="00B50F60">
        <w:rPr>
          <w:rFonts w:ascii="Times New Roman" w:hAnsi="Times New Roman"/>
          <w:szCs w:val="22"/>
          <w:lang w:val="sk-SK"/>
        </w:rPr>
        <w:t>perikardiálnej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oblasti a súbežné používanie liekov, ktoré sú schopné potláčať </w:t>
      </w:r>
      <w:proofErr w:type="spellStart"/>
      <w:r w:rsidRPr="00B50F60">
        <w:rPr>
          <w:rFonts w:ascii="Times New Roman" w:hAnsi="Times New Roman"/>
          <w:szCs w:val="22"/>
          <w:lang w:val="sk-SK"/>
        </w:rPr>
        <w:t>kontraktilitu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srdca, vrátane </w:t>
      </w:r>
      <w:proofErr w:type="spellStart"/>
      <w:r w:rsidRPr="00B50F60">
        <w:rPr>
          <w:rFonts w:ascii="Times New Roman" w:hAnsi="Times New Roman"/>
          <w:szCs w:val="22"/>
          <w:lang w:val="sk-SK"/>
        </w:rPr>
        <w:t>cyklofosfamidu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a 5</w:t>
      </w:r>
      <w:r w:rsidRPr="00B50F60">
        <w:rPr>
          <w:rFonts w:ascii="Times New Roman" w:hAnsi="Times New Roman"/>
          <w:szCs w:val="22"/>
          <w:lang w:val="sk-SK"/>
        </w:rPr>
        <w:noBreakHyphen/>
        <w:t xml:space="preserve">fluóruracilu), </w:t>
      </w:r>
      <w:r w:rsidR="00CF6DAE" w:rsidRPr="00B50F60">
        <w:rPr>
          <w:rFonts w:ascii="Times New Roman" w:hAnsi="Times New Roman"/>
          <w:szCs w:val="22"/>
          <w:lang w:val="sk-SK"/>
        </w:rPr>
        <w:t xml:space="preserve">môže sa objaviť </w:t>
      </w:r>
      <w:proofErr w:type="spellStart"/>
      <w:r w:rsidR="00CF6DAE" w:rsidRPr="00B50F60">
        <w:rPr>
          <w:rFonts w:ascii="Times New Roman" w:hAnsi="Times New Roman"/>
          <w:szCs w:val="22"/>
          <w:lang w:val="sk-SK"/>
        </w:rPr>
        <w:t>kardiotoxicita</w:t>
      </w:r>
      <w:proofErr w:type="spellEnd"/>
      <w:r w:rsidR="00CF6DAE" w:rsidRPr="00B50F60">
        <w:rPr>
          <w:rFonts w:ascii="Times New Roman" w:hAnsi="Times New Roman"/>
          <w:szCs w:val="22"/>
          <w:lang w:val="sk-SK"/>
        </w:rPr>
        <w:t xml:space="preserve"> v súvislosti s </w:t>
      </w:r>
      <w:proofErr w:type="spellStart"/>
      <w:r w:rsidR="00CF6DAE" w:rsidRPr="00B50F60">
        <w:rPr>
          <w:rFonts w:ascii="Times New Roman" w:hAnsi="Times New Roman"/>
          <w:szCs w:val="22"/>
          <w:lang w:val="sk-SK"/>
        </w:rPr>
        <w:t>doxorubicínom</w:t>
      </w:r>
      <w:proofErr w:type="spellEnd"/>
      <w:r w:rsidR="00CF6DAE" w:rsidRPr="00B50F60">
        <w:rPr>
          <w:rFonts w:ascii="Times New Roman" w:hAnsi="Times New Roman"/>
          <w:szCs w:val="22"/>
          <w:lang w:val="sk-SK"/>
        </w:rPr>
        <w:t xml:space="preserve"> pri n</w:t>
      </w:r>
      <w:r w:rsidR="005737D1" w:rsidRPr="00B50F60">
        <w:rPr>
          <w:rFonts w:ascii="Times New Roman" w:hAnsi="Times New Roman"/>
          <w:szCs w:val="22"/>
          <w:lang w:val="sk-SK"/>
        </w:rPr>
        <w:t>ižší</w:t>
      </w:r>
      <w:r w:rsidR="00CF6DAE" w:rsidRPr="00B50F60">
        <w:rPr>
          <w:rFonts w:ascii="Times New Roman" w:hAnsi="Times New Roman"/>
          <w:szCs w:val="22"/>
          <w:lang w:val="sk-SK"/>
        </w:rPr>
        <w:t>ch kumulatívnych dávkach a funkcia srdca sa má starostlivo sledovať.</w:t>
      </w:r>
    </w:p>
    <w:p w14:paraId="12888600" w14:textId="1A8959FC" w:rsidR="00E83768" w:rsidRPr="00B50F60" w:rsidRDefault="00E83768" w:rsidP="00ED7827">
      <w:pPr>
        <w:pStyle w:val="Standardenglisch"/>
        <w:tabs>
          <w:tab w:val="left" w:pos="0"/>
          <w:tab w:val="left" w:pos="284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 xml:space="preserve">Deti a adolescenti majú zvýšené riziko rozvoja oneskorenej </w:t>
      </w:r>
      <w:proofErr w:type="spellStart"/>
      <w:r w:rsidRPr="00B50F60">
        <w:rPr>
          <w:rFonts w:ascii="Times New Roman" w:hAnsi="Times New Roman"/>
          <w:szCs w:val="22"/>
          <w:lang w:val="sk-SK"/>
        </w:rPr>
        <w:t>kardiotoxicity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po podaní </w:t>
      </w:r>
      <w:proofErr w:type="spellStart"/>
      <w:r w:rsidRPr="00B50F60">
        <w:rPr>
          <w:rFonts w:ascii="Times New Roman" w:hAnsi="Times New Roman"/>
          <w:szCs w:val="22"/>
          <w:lang w:val="sk-SK"/>
        </w:rPr>
        <w:t>doxorubicínu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. U žien môže existovať vyššie riziko </w:t>
      </w:r>
      <w:proofErr w:type="spellStart"/>
      <w:r w:rsidRPr="00B50F60">
        <w:rPr>
          <w:rFonts w:ascii="Times New Roman" w:hAnsi="Times New Roman"/>
          <w:szCs w:val="22"/>
          <w:lang w:val="sk-SK"/>
        </w:rPr>
        <w:t>kardiotoxicity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než u mužov. Odporúčajú sa pravidelné kontrolné </w:t>
      </w:r>
      <w:r w:rsidRPr="00B50F60">
        <w:rPr>
          <w:rFonts w:ascii="Times New Roman" w:hAnsi="Times New Roman"/>
          <w:szCs w:val="22"/>
          <w:lang w:val="sk-SK"/>
        </w:rPr>
        <w:lastRenderedPageBreak/>
        <w:t>srdcové hodnotenia na sledovanie účinku.</w:t>
      </w:r>
    </w:p>
    <w:p w14:paraId="275039F8" w14:textId="77777777" w:rsidR="00CF6DAE" w:rsidRPr="00B50F60" w:rsidRDefault="00CF6DAE" w:rsidP="00E0676E">
      <w:pPr>
        <w:pStyle w:val="Standardenglisch"/>
        <w:keepNext/>
        <w:keepLines/>
        <w:widowControl/>
        <w:tabs>
          <w:tab w:val="left" w:pos="0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 xml:space="preserve">Je pravdepodobné, že toxicita </w:t>
      </w:r>
      <w:proofErr w:type="spellStart"/>
      <w:r w:rsidRPr="00B50F60">
        <w:rPr>
          <w:rFonts w:ascii="Times New Roman" w:hAnsi="Times New Roman"/>
          <w:szCs w:val="22"/>
          <w:lang w:val="sk-SK"/>
        </w:rPr>
        <w:t>doxorubicínu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a iných </w:t>
      </w:r>
      <w:proofErr w:type="spellStart"/>
      <w:r w:rsidRPr="00B50F60">
        <w:rPr>
          <w:rFonts w:ascii="Times New Roman" w:hAnsi="Times New Roman"/>
          <w:szCs w:val="22"/>
          <w:lang w:val="sk-SK"/>
        </w:rPr>
        <w:t>antracyklínov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alebo </w:t>
      </w:r>
      <w:proofErr w:type="spellStart"/>
      <w:r w:rsidRPr="00B50F60">
        <w:rPr>
          <w:rFonts w:ascii="Times New Roman" w:hAnsi="Times New Roman"/>
          <w:szCs w:val="22"/>
          <w:lang w:val="sk-SK"/>
        </w:rPr>
        <w:t>antracéndiónov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je aditívna.</w:t>
      </w:r>
    </w:p>
    <w:p w14:paraId="4BCCB3EA" w14:textId="77777777" w:rsidR="00CF6DAE" w:rsidRPr="00B50F60" w:rsidRDefault="00CF6DAE" w:rsidP="00E0676E">
      <w:pPr>
        <w:pStyle w:val="Standardenglisch"/>
        <w:keepNext/>
        <w:keepLines/>
        <w:widowControl/>
        <w:tabs>
          <w:tab w:val="left" w:pos="0"/>
        </w:tabs>
        <w:rPr>
          <w:rFonts w:ascii="Times New Roman" w:hAnsi="Times New Roman"/>
          <w:szCs w:val="22"/>
          <w:lang w:val="sk-SK"/>
        </w:rPr>
      </w:pPr>
      <w:proofErr w:type="spellStart"/>
      <w:r w:rsidRPr="00B50F60">
        <w:rPr>
          <w:rFonts w:ascii="Times New Roman" w:hAnsi="Times New Roman"/>
          <w:szCs w:val="22"/>
          <w:lang w:val="sk-SK"/>
        </w:rPr>
        <w:t>Pre</w:t>
      </w:r>
      <w:r w:rsidR="00CF43F3" w:rsidRPr="00B50F60">
        <w:rPr>
          <w:rFonts w:ascii="Times New Roman" w:hAnsi="Times New Roman"/>
          <w:szCs w:val="22"/>
          <w:lang w:val="sk-SK"/>
        </w:rPr>
        <w:t>medikácia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B50F60">
        <w:rPr>
          <w:rFonts w:ascii="Times New Roman" w:hAnsi="Times New Roman"/>
          <w:szCs w:val="22"/>
          <w:lang w:val="sk-SK"/>
        </w:rPr>
        <w:t>digoxínom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</w:t>
      </w:r>
      <w:r w:rsidRPr="00B50F60">
        <w:rPr>
          <w:rFonts w:ascii="Times New Roman" w:hAnsi="Times New Roman"/>
          <w:color w:val="000000"/>
          <w:szCs w:val="22"/>
          <w:lang w:val="sk-SK"/>
        </w:rPr>
        <w:t>(250 µg denne</w:t>
      </w:r>
      <w:r w:rsidR="00886417" w:rsidRPr="00B50F60">
        <w:rPr>
          <w:rFonts w:ascii="Times New Roman" w:hAnsi="Times New Roman"/>
          <w:color w:val="000000"/>
          <w:szCs w:val="22"/>
          <w:lang w:val="sk-SK"/>
        </w:rPr>
        <w:t>, ktorá má začať</w:t>
      </w:r>
      <w:r w:rsidRPr="00B50F60">
        <w:rPr>
          <w:rFonts w:ascii="Times New Roman" w:hAnsi="Times New Roman"/>
          <w:color w:val="000000"/>
          <w:szCs w:val="22"/>
          <w:lang w:val="sk-SK"/>
        </w:rPr>
        <w:t xml:space="preserve"> 7</w:t>
      </w:r>
      <w:r w:rsidR="007B6ABE" w:rsidRPr="00B50F60">
        <w:rPr>
          <w:rFonts w:ascii="Times New Roman" w:hAnsi="Times New Roman"/>
          <w:color w:val="000000"/>
          <w:szCs w:val="22"/>
          <w:lang w:val="sk-SK"/>
        </w:rPr>
        <w:t> </w:t>
      </w:r>
      <w:r w:rsidRPr="00B50F60">
        <w:rPr>
          <w:rFonts w:ascii="Times New Roman" w:hAnsi="Times New Roman"/>
          <w:color w:val="000000"/>
          <w:szCs w:val="22"/>
          <w:lang w:val="sk-SK"/>
        </w:rPr>
        <w:t xml:space="preserve">dní pred podaním </w:t>
      </w:r>
      <w:proofErr w:type="spellStart"/>
      <w:r w:rsidRPr="00B50F60">
        <w:rPr>
          <w:rFonts w:ascii="Times New Roman" w:hAnsi="Times New Roman"/>
          <w:color w:val="000000"/>
          <w:szCs w:val="22"/>
          <w:lang w:val="sk-SK"/>
        </w:rPr>
        <w:t>doxorubicínu</w:t>
      </w:r>
      <w:proofErr w:type="spellEnd"/>
      <w:r w:rsidRPr="00B50F60">
        <w:rPr>
          <w:rFonts w:ascii="Times New Roman" w:hAnsi="Times New Roman"/>
          <w:color w:val="000000"/>
          <w:szCs w:val="22"/>
          <w:lang w:val="sk-SK"/>
        </w:rPr>
        <w:t>) pre</w:t>
      </w:r>
      <w:r w:rsidRPr="00B50F60">
        <w:rPr>
          <w:rFonts w:ascii="Times New Roman" w:hAnsi="Times New Roman"/>
          <w:szCs w:val="22"/>
          <w:lang w:val="sk-SK"/>
        </w:rPr>
        <w:t xml:space="preserve">ukázala ochranný účinok voči </w:t>
      </w:r>
      <w:proofErr w:type="spellStart"/>
      <w:r w:rsidRPr="00B50F60">
        <w:rPr>
          <w:rFonts w:ascii="Times New Roman" w:hAnsi="Times New Roman"/>
          <w:szCs w:val="22"/>
          <w:lang w:val="sk-SK"/>
        </w:rPr>
        <w:t>kardiotoxicite</w:t>
      </w:r>
      <w:proofErr w:type="spellEnd"/>
      <w:r w:rsidRPr="00B50F60">
        <w:rPr>
          <w:rFonts w:ascii="Times New Roman" w:hAnsi="Times New Roman"/>
          <w:szCs w:val="22"/>
          <w:lang w:val="sk-SK"/>
        </w:rPr>
        <w:t>.</w:t>
      </w:r>
    </w:p>
    <w:p w14:paraId="071EE32A" w14:textId="77777777" w:rsidR="00CF6DAE" w:rsidRPr="00B50F60" w:rsidRDefault="00CF6DAE" w:rsidP="00ED7827">
      <w:pPr>
        <w:pStyle w:val="Standardenglisch"/>
        <w:tabs>
          <w:tab w:val="left" w:pos="0"/>
        </w:tabs>
        <w:rPr>
          <w:rFonts w:ascii="Times New Roman" w:hAnsi="Times New Roman"/>
          <w:szCs w:val="22"/>
          <w:lang w:val="sk-SK"/>
        </w:rPr>
      </w:pPr>
    </w:p>
    <w:p w14:paraId="46FD7CDA" w14:textId="77777777" w:rsidR="00886417" w:rsidRPr="00B50F60" w:rsidRDefault="00886417" w:rsidP="00ED7827">
      <w:pPr>
        <w:pStyle w:val="Standardenglisch"/>
        <w:tabs>
          <w:tab w:val="left" w:pos="0"/>
        </w:tabs>
        <w:outlineLvl w:val="0"/>
        <w:rPr>
          <w:rFonts w:ascii="Times New Roman" w:hAnsi="Times New Roman"/>
          <w:szCs w:val="22"/>
          <w:u w:val="single"/>
          <w:lang w:val="sk-SK"/>
        </w:rPr>
      </w:pPr>
      <w:proofErr w:type="spellStart"/>
      <w:r w:rsidRPr="00B50F60">
        <w:rPr>
          <w:rFonts w:ascii="Times New Roman" w:hAnsi="Times New Roman"/>
          <w:szCs w:val="22"/>
          <w:u w:val="single"/>
          <w:lang w:val="sk-SK"/>
        </w:rPr>
        <w:t>Myelosupresia</w:t>
      </w:r>
      <w:proofErr w:type="spellEnd"/>
    </w:p>
    <w:p w14:paraId="05AB92B0" w14:textId="77777777" w:rsidR="008460BC" w:rsidRPr="00B50F60" w:rsidRDefault="00886417" w:rsidP="00ED7827">
      <w:pPr>
        <w:pStyle w:val="Standardenglisch"/>
        <w:tabs>
          <w:tab w:val="left" w:pos="0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 xml:space="preserve">Zaznamenal sa vysoký výskyt </w:t>
      </w:r>
      <w:r w:rsidR="00E612E5" w:rsidRPr="00B50F60">
        <w:rPr>
          <w:rFonts w:ascii="Times New Roman" w:hAnsi="Times New Roman"/>
          <w:szCs w:val="22"/>
          <w:lang w:val="sk-SK"/>
        </w:rPr>
        <w:t>útlmu</w:t>
      </w:r>
      <w:r w:rsidRPr="00B50F60">
        <w:rPr>
          <w:rFonts w:ascii="Times New Roman" w:hAnsi="Times New Roman"/>
          <w:szCs w:val="22"/>
          <w:lang w:val="sk-SK"/>
        </w:rPr>
        <w:t xml:space="preserve"> kostnej drene, predovšetkým leukocytov, ktor</w:t>
      </w:r>
      <w:r w:rsidR="00327318" w:rsidRPr="00B50F60">
        <w:rPr>
          <w:rFonts w:ascii="Times New Roman" w:hAnsi="Times New Roman"/>
          <w:szCs w:val="22"/>
          <w:lang w:val="sk-SK"/>
        </w:rPr>
        <w:t>á</w:t>
      </w:r>
      <w:r w:rsidRPr="00B50F60">
        <w:rPr>
          <w:rFonts w:ascii="Times New Roman" w:hAnsi="Times New Roman"/>
          <w:szCs w:val="22"/>
          <w:lang w:val="sk-SK"/>
        </w:rPr>
        <w:t xml:space="preserve"> si vyžaduje starostlivé hematologické sledovanie. Pri </w:t>
      </w:r>
      <w:r w:rsidR="008460BC" w:rsidRPr="00B50F60">
        <w:rPr>
          <w:rFonts w:ascii="Times New Roman" w:hAnsi="Times New Roman"/>
          <w:szCs w:val="22"/>
          <w:lang w:val="sk-SK"/>
        </w:rPr>
        <w:t>odpo</w:t>
      </w:r>
      <w:r w:rsidRPr="00B50F60">
        <w:rPr>
          <w:rFonts w:ascii="Times New Roman" w:hAnsi="Times New Roman"/>
          <w:szCs w:val="22"/>
          <w:lang w:val="sk-SK"/>
        </w:rPr>
        <w:t xml:space="preserve">rúčanej dávkovacej schéme je </w:t>
      </w:r>
      <w:proofErr w:type="spellStart"/>
      <w:r w:rsidRPr="00B50F60">
        <w:rPr>
          <w:rFonts w:ascii="Times New Roman" w:hAnsi="Times New Roman"/>
          <w:szCs w:val="22"/>
          <w:lang w:val="sk-SK"/>
        </w:rPr>
        <w:t>leukopénia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zvyčajne dočasná, pričom jej najnižšia hodnota sa dosiahne medzi 10. a 14. dňom po lieč</w:t>
      </w:r>
      <w:r w:rsidR="006953A6" w:rsidRPr="00B50F60">
        <w:rPr>
          <w:rFonts w:ascii="Times New Roman" w:hAnsi="Times New Roman"/>
          <w:szCs w:val="22"/>
          <w:lang w:val="sk-SK"/>
        </w:rPr>
        <w:t>be a</w:t>
      </w:r>
      <w:r w:rsidR="00703005" w:rsidRPr="00B50F60">
        <w:rPr>
          <w:rFonts w:ascii="Times New Roman" w:hAnsi="Times New Roman"/>
          <w:szCs w:val="22"/>
          <w:lang w:val="sk-SK"/>
        </w:rPr>
        <w:t> k normalizácii dôjde</w:t>
      </w:r>
      <w:r w:rsidRPr="00B50F60">
        <w:rPr>
          <w:rFonts w:ascii="Times New Roman" w:hAnsi="Times New Roman"/>
          <w:szCs w:val="22"/>
          <w:lang w:val="sk-SK"/>
        </w:rPr>
        <w:t xml:space="preserve"> do 21. dňa. </w:t>
      </w:r>
      <w:r w:rsidR="00703005" w:rsidRPr="00B50F60">
        <w:rPr>
          <w:rFonts w:ascii="Times New Roman" w:hAnsi="Times New Roman"/>
          <w:szCs w:val="22"/>
          <w:lang w:val="sk-SK"/>
        </w:rPr>
        <w:t xml:space="preserve">Predpokladá sa, že počas liečby vhodnými dávkami </w:t>
      </w:r>
      <w:proofErr w:type="spellStart"/>
      <w:r w:rsidR="00703005" w:rsidRPr="00B50F60">
        <w:rPr>
          <w:rFonts w:ascii="Times New Roman" w:hAnsi="Times New Roman"/>
          <w:szCs w:val="22"/>
          <w:lang w:val="sk-SK"/>
        </w:rPr>
        <w:t>doxorubicínu</w:t>
      </w:r>
      <w:proofErr w:type="spellEnd"/>
      <w:r w:rsidR="00703005" w:rsidRPr="00B50F60">
        <w:rPr>
          <w:rFonts w:ascii="Times New Roman" w:hAnsi="Times New Roman"/>
          <w:szCs w:val="22"/>
          <w:lang w:val="sk-SK"/>
        </w:rPr>
        <w:t xml:space="preserve"> bude počet bielych krviniek </w:t>
      </w:r>
      <w:r w:rsidR="008460BC" w:rsidRPr="00B50F60">
        <w:rPr>
          <w:rFonts w:ascii="Times New Roman" w:hAnsi="Times New Roman"/>
          <w:szCs w:val="22"/>
          <w:lang w:val="sk-SK"/>
        </w:rPr>
        <w:t xml:space="preserve">iba </w:t>
      </w:r>
      <w:r w:rsidR="00703005" w:rsidRPr="00B50F60">
        <w:rPr>
          <w:rFonts w:ascii="Times New Roman" w:hAnsi="Times New Roman"/>
          <w:szCs w:val="22"/>
          <w:lang w:val="sk-SK"/>
        </w:rPr>
        <w:t>1 000/mm</w:t>
      </w:r>
      <w:r w:rsidR="00703005" w:rsidRPr="00B50F60">
        <w:rPr>
          <w:rFonts w:ascii="Times New Roman" w:hAnsi="Times New Roman"/>
          <w:szCs w:val="22"/>
          <w:vertAlign w:val="superscript"/>
          <w:lang w:val="sk-SK"/>
        </w:rPr>
        <w:t>3</w:t>
      </w:r>
      <w:r w:rsidRPr="00B50F60">
        <w:rPr>
          <w:rFonts w:ascii="Times New Roman" w:hAnsi="Times New Roman"/>
          <w:szCs w:val="22"/>
          <w:lang w:val="sk-SK"/>
        </w:rPr>
        <w:t xml:space="preserve">. </w:t>
      </w:r>
      <w:r w:rsidR="008460BC" w:rsidRPr="00B50F60">
        <w:rPr>
          <w:rFonts w:ascii="Times New Roman" w:hAnsi="Times New Roman"/>
          <w:szCs w:val="22"/>
          <w:lang w:val="sk-SK"/>
        </w:rPr>
        <w:t xml:space="preserve">Je potrebné sledovať aj počet červených krviniek a krvných doštičiek, pretože aj </w:t>
      </w:r>
      <w:r w:rsidR="000C6DC4" w:rsidRPr="00B50F60">
        <w:rPr>
          <w:rFonts w:ascii="Times New Roman" w:hAnsi="Times New Roman"/>
          <w:szCs w:val="22"/>
          <w:lang w:val="sk-SK"/>
        </w:rPr>
        <w:t>ich hladiny</w:t>
      </w:r>
      <w:r w:rsidR="008460BC" w:rsidRPr="00B50F60">
        <w:rPr>
          <w:rFonts w:ascii="Times New Roman" w:hAnsi="Times New Roman"/>
          <w:szCs w:val="22"/>
          <w:lang w:val="sk-SK"/>
        </w:rPr>
        <w:t xml:space="preserve"> </w:t>
      </w:r>
      <w:r w:rsidR="000C6DC4" w:rsidRPr="00B50F60">
        <w:rPr>
          <w:rFonts w:ascii="Times New Roman" w:hAnsi="Times New Roman"/>
          <w:szCs w:val="22"/>
          <w:lang w:val="sk-SK"/>
        </w:rPr>
        <w:t>môžu byť</w:t>
      </w:r>
      <w:r w:rsidR="008460BC" w:rsidRPr="00B50F60">
        <w:rPr>
          <w:rFonts w:ascii="Times New Roman" w:hAnsi="Times New Roman"/>
          <w:szCs w:val="22"/>
          <w:lang w:val="sk-SK"/>
        </w:rPr>
        <w:t xml:space="preserve"> znížené. </w:t>
      </w:r>
      <w:r w:rsidRPr="00B50F60">
        <w:rPr>
          <w:rFonts w:ascii="Times New Roman" w:hAnsi="Times New Roman"/>
          <w:szCs w:val="22"/>
          <w:lang w:val="sk-SK"/>
        </w:rPr>
        <w:t xml:space="preserve">Medzi klinické následky závažnej </w:t>
      </w:r>
      <w:proofErr w:type="spellStart"/>
      <w:r w:rsidRPr="00B50F60">
        <w:rPr>
          <w:rFonts w:ascii="Times New Roman" w:hAnsi="Times New Roman"/>
          <w:szCs w:val="22"/>
          <w:lang w:val="sk-SK"/>
        </w:rPr>
        <w:t>myelosupresie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patrí horúčka, infekci</w:t>
      </w:r>
      <w:r w:rsidR="000C6DC4" w:rsidRPr="00B50F60">
        <w:rPr>
          <w:rFonts w:ascii="Times New Roman" w:hAnsi="Times New Roman"/>
          <w:szCs w:val="22"/>
          <w:lang w:val="sk-SK"/>
        </w:rPr>
        <w:t>e</w:t>
      </w:r>
      <w:r w:rsidRPr="00B50F60">
        <w:rPr>
          <w:rFonts w:ascii="Times New Roman" w:hAnsi="Times New Roman"/>
          <w:szCs w:val="22"/>
          <w:lang w:val="sk-SK"/>
        </w:rPr>
        <w:t>, sepsa/</w:t>
      </w:r>
      <w:proofErr w:type="spellStart"/>
      <w:r w:rsidRPr="00B50F60">
        <w:rPr>
          <w:rFonts w:ascii="Times New Roman" w:hAnsi="Times New Roman"/>
          <w:szCs w:val="22"/>
          <w:lang w:val="sk-SK"/>
        </w:rPr>
        <w:t>septikémia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, septický šok, </w:t>
      </w:r>
      <w:proofErr w:type="spellStart"/>
      <w:r w:rsidRPr="00B50F60">
        <w:rPr>
          <w:rFonts w:ascii="Times New Roman" w:hAnsi="Times New Roman"/>
          <w:szCs w:val="22"/>
          <w:lang w:val="sk-SK"/>
        </w:rPr>
        <w:t>hemorágia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, tkanivová </w:t>
      </w:r>
      <w:proofErr w:type="spellStart"/>
      <w:r w:rsidRPr="00B50F60">
        <w:rPr>
          <w:rFonts w:ascii="Times New Roman" w:hAnsi="Times New Roman"/>
          <w:szCs w:val="22"/>
          <w:lang w:val="sk-SK"/>
        </w:rPr>
        <w:t>hypoxia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alebo úmrtie.</w:t>
      </w:r>
    </w:p>
    <w:p w14:paraId="22271519" w14:textId="77777777" w:rsidR="008460BC" w:rsidRPr="00B50F60" w:rsidRDefault="008460BC" w:rsidP="00ED7827">
      <w:pPr>
        <w:pStyle w:val="Standardenglisch"/>
        <w:tabs>
          <w:tab w:val="left" w:pos="0"/>
        </w:tabs>
        <w:rPr>
          <w:rFonts w:ascii="Times New Roman" w:hAnsi="Times New Roman"/>
          <w:szCs w:val="22"/>
          <w:lang w:val="sk-SK"/>
        </w:rPr>
      </w:pPr>
    </w:p>
    <w:p w14:paraId="50612B89" w14:textId="6DE9EBD0" w:rsidR="00B96D2C" w:rsidRPr="00B50F60" w:rsidRDefault="008460BC" w:rsidP="00ED7827">
      <w:pPr>
        <w:pStyle w:val="Standardenglisch"/>
        <w:tabs>
          <w:tab w:val="left" w:pos="0"/>
        </w:tabs>
        <w:rPr>
          <w:rFonts w:ascii="Times New Roman" w:hAnsi="Times New Roman"/>
          <w:szCs w:val="22"/>
          <w:lang w:val="sk-SK"/>
        </w:rPr>
      </w:pPr>
      <w:proofErr w:type="spellStart"/>
      <w:r w:rsidRPr="00B50F60">
        <w:rPr>
          <w:rFonts w:ascii="Times New Roman" w:hAnsi="Times New Roman"/>
          <w:szCs w:val="22"/>
          <w:lang w:val="sk-SK"/>
        </w:rPr>
        <w:t>Myelosupresia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sa častejšie vyskytuje u pacientov, ktorí podstúpili rozsiahlu rádioterapiu, mali </w:t>
      </w:r>
      <w:r w:rsidR="000C6DC4" w:rsidRPr="00B50F60">
        <w:rPr>
          <w:rFonts w:ascii="Times New Roman" w:hAnsi="Times New Roman"/>
          <w:szCs w:val="22"/>
          <w:lang w:val="sk-SK"/>
        </w:rPr>
        <w:t>nádorovú</w:t>
      </w:r>
      <w:r w:rsidRPr="00B50F60">
        <w:rPr>
          <w:rFonts w:ascii="Times New Roman" w:hAnsi="Times New Roman"/>
          <w:szCs w:val="22"/>
          <w:lang w:val="sk-SK"/>
        </w:rPr>
        <w:t xml:space="preserve"> infiltráci</w:t>
      </w:r>
      <w:r w:rsidR="000C6DC4" w:rsidRPr="00B50F60">
        <w:rPr>
          <w:rFonts w:ascii="Times New Roman" w:hAnsi="Times New Roman"/>
          <w:szCs w:val="22"/>
          <w:lang w:val="sk-SK"/>
        </w:rPr>
        <w:t>u kosti</w:t>
      </w:r>
      <w:r w:rsidRPr="00B50F60">
        <w:rPr>
          <w:rFonts w:ascii="Times New Roman" w:hAnsi="Times New Roman"/>
          <w:szCs w:val="22"/>
          <w:lang w:val="sk-SK"/>
        </w:rPr>
        <w:t>, poruchu funkcie pečene (</w:t>
      </w:r>
      <w:r w:rsidR="006B7E39" w:rsidRPr="00B50F60">
        <w:rPr>
          <w:rFonts w:ascii="Times New Roman" w:hAnsi="Times New Roman"/>
          <w:szCs w:val="22"/>
          <w:lang w:val="sk-SK"/>
        </w:rPr>
        <w:t>pokia</w:t>
      </w:r>
      <w:r w:rsidR="00213082">
        <w:rPr>
          <w:rFonts w:ascii="Times New Roman" w:hAnsi="Times New Roman"/>
          <w:szCs w:val="22"/>
          <w:lang w:val="sk-SK"/>
        </w:rPr>
        <w:t>ľ</w:t>
      </w:r>
      <w:r w:rsidR="006B7E39" w:rsidRPr="00B50F60">
        <w:rPr>
          <w:rFonts w:ascii="Times New Roman" w:hAnsi="Times New Roman"/>
          <w:szCs w:val="22"/>
          <w:lang w:val="sk-SK"/>
        </w:rPr>
        <w:t xml:space="preserve"> neboli dávky náležite znížené</w:t>
      </w:r>
      <w:r w:rsidRPr="00B50F60">
        <w:rPr>
          <w:rFonts w:ascii="Times New Roman" w:hAnsi="Times New Roman"/>
          <w:szCs w:val="22"/>
          <w:lang w:val="sk-SK"/>
        </w:rPr>
        <w:t>) a súbežn</w:t>
      </w:r>
      <w:r w:rsidR="000C6DC4" w:rsidRPr="00B50F60">
        <w:rPr>
          <w:rFonts w:ascii="Times New Roman" w:hAnsi="Times New Roman"/>
          <w:szCs w:val="22"/>
          <w:lang w:val="sk-SK"/>
        </w:rPr>
        <w:t>ú</w:t>
      </w:r>
      <w:r w:rsidRPr="00B50F60">
        <w:rPr>
          <w:rFonts w:ascii="Times New Roman" w:hAnsi="Times New Roman"/>
          <w:szCs w:val="22"/>
          <w:lang w:val="sk-SK"/>
        </w:rPr>
        <w:t xml:space="preserve"> liečb</w:t>
      </w:r>
      <w:r w:rsidR="000C6DC4" w:rsidRPr="00B50F60">
        <w:rPr>
          <w:rFonts w:ascii="Times New Roman" w:hAnsi="Times New Roman"/>
          <w:szCs w:val="22"/>
          <w:lang w:val="sk-SK"/>
        </w:rPr>
        <w:t>u</w:t>
      </w:r>
      <w:r w:rsidRPr="00B50F60">
        <w:rPr>
          <w:rFonts w:ascii="Times New Roman" w:hAnsi="Times New Roman"/>
          <w:szCs w:val="22"/>
          <w:lang w:val="sk-SK"/>
        </w:rPr>
        <w:t xml:space="preserve"> s inými </w:t>
      </w:r>
      <w:proofErr w:type="spellStart"/>
      <w:r w:rsidRPr="00B50F60">
        <w:rPr>
          <w:rFonts w:ascii="Times New Roman" w:hAnsi="Times New Roman"/>
          <w:szCs w:val="22"/>
          <w:lang w:val="sk-SK"/>
        </w:rPr>
        <w:t>myelosupresívnymi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látkami. Hematologická toxicita môže vyžadovať zníženie dávky alebo </w:t>
      </w:r>
      <w:r w:rsidR="00B96D2C" w:rsidRPr="00B50F60">
        <w:rPr>
          <w:rFonts w:ascii="Times New Roman" w:hAnsi="Times New Roman"/>
          <w:szCs w:val="22"/>
          <w:lang w:val="sk-SK"/>
        </w:rPr>
        <w:t>vysadenie alebo onesk</w:t>
      </w:r>
      <w:r w:rsidRPr="00B50F60">
        <w:rPr>
          <w:rFonts w:ascii="Times New Roman" w:hAnsi="Times New Roman"/>
          <w:szCs w:val="22"/>
          <w:lang w:val="sk-SK"/>
        </w:rPr>
        <w:t>o</w:t>
      </w:r>
      <w:r w:rsidR="00B96D2C" w:rsidRPr="00B50F60">
        <w:rPr>
          <w:rFonts w:ascii="Times New Roman" w:hAnsi="Times New Roman"/>
          <w:szCs w:val="22"/>
          <w:lang w:val="sk-SK"/>
        </w:rPr>
        <w:t>r</w:t>
      </w:r>
      <w:r w:rsidRPr="00B50F60">
        <w:rPr>
          <w:rFonts w:ascii="Times New Roman" w:hAnsi="Times New Roman"/>
          <w:szCs w:val="22"/>
          <w:lang w:val="sk-SK"/>
        </w:rPr>
        <w:t>enie liečb</w:t>
      </w:r>
      <w:r w:rsidR="00B96D2C" w:rsidRPr="00B50F60">
        <w:rPr>
          <w:rFonts w:ascii="Times New Roman" w:hAnsi="Times New Roman"/>
          <w:szCs w:val="22"/>
          <w:lang w:val="sk-SK"/>
        </w:rPr>
        <w:t xml:space="preserve">y </w:t>
      </w:r>
      <w:proofErr w:type="spellStart"/>
      <w:r w:rsidR="00B96D2C" w:rsidRPr="00B50F60">
        <w:rPr>
          <w:rFonts w:ascii="Times New Roman" w:hAnsi="Times New Roman"/>
          <w:szCs w:val="22"/>
          <w:lang w:val="sk-SK"/>
        </w:rPr>
        <w:t>doxorubicínom</w:t>
      </w:r>
      <w:proofErr w:type="spellEnd"/>
      <w:r w:rsidR="00B96D2C" w:rsidRPr="00B50F60">
        <w:rPr>
          <w:rFonts w:ascii="Times New Roman" w:hAnsi="Times New Roman"/>
          <w:szCs w:val="22"/>
          <w:lang w:val="sk-SK"/>
        </w:rPr>
        <w:t xml:space="preserve">. Pretrvávajúca závažná </w:t>
      </w:r>
      <w:proofErr w:type="spellStart"/>
      <w:r w:rsidR="00CC346D" w:rsidRPr="00B50F60">
        <w:rPr>
          <w:rFonts w:ascii="Times New Roman" w:hAnsi="Times New Roman"/>
          <w:szCs w:val="22"/>
          <w:lang w:val="sk-SK"/>
        </w:rPr>
        <w:t>myelo</w:t>
      </w:r>
      <w:r w:rsidR="00B96D2C" w:rsidRPr="00B50F60">
        <w:rPr>
          <w:rFonts w:ascii="Times New Roman" w:hAnsi="Times New Roman"/>
          <w:szCs w:val="22"/>
          <w:lang w:val="sk-SK"/>
        </w:rPr>
        <w:t>supresia</w:t>
      </w:r>
      <w:proofErr w:type="spellEnd"/>
      <w:r w:rsidR="00B96D2C" w:rsidRPr="00B50F60">
        <w:rPr>
          <w:rFonts w:ascii="Times New Roman" w:hAnsi="Times New Roman"/>
          <w:szCs w:val="22"/>
          <w:lang w:val="sk-SK"/>
        </w:rPr>
        <w:t xml:space="preserve"> môže zapríčiniť </w:t>
      </w:r>
      <w:proofErr w:type="spellStart"/>
      <w:r w:rsidR="00B96D2C" w:rsidRPr="00B50F60">
        <w:rPr>
          <w:rFonts w:ascii="Times New Roman" w:hAnsi="Times New Roman"/>
          <w:szCs w:val="22"/>
          <w:lang w:val="sk-SK"/>
        </w:rPr>
        <w:t>superinfekciu</w:t>
      </w:r>
      <w:proofErr w:type="spellEnd"/>
      <w:r w:rsidR="00B96D2C" w:rsidRPr="00B50F60">
        <w:rPr>
          <w:rFonts w:ascii="Times New Roman" w:hAnsi="Times New Roman"/>
          <w:szCs w:val="22"/>
          <w:lang w:val="sk-SK"/>
        </w:rPr>
        <w:t xml:space="preserve"> alebo </w:t>
      </w:r>
      <w:proofErr w:type="spellStart"/>
      <w:r w:rsidR="00B96D2C" w:rsidRPr="00B50F60">
        <w:rPr>
          <w:rFonts w:ascii="Times New Roman" w:hAnsi="Times New Roman"/>
          <w:szCs w:val="22"/>
          <w:lang w:val="sk-SK"/>
        </w:rPr>
        <w:t>hemorágiu</w:t>
      </w:r>
      <w:proofErr w:type="spellEnd"/>
      <w:r w:rsidR="00B96D2C" w:rsidRPr="00B50F60">
        <w:rPr>
          <w:rFonts w:ascii="Times New Roman" w:hAnsi="Times New Roman"/>
          <w:szCs w:val="22"/>
          <w:lang w:val="sk-SK"/>
        </w:rPr>
        <w:t xml:space="preserve">. Z dôvodu </w:t>
      </w:r>
      <w:proofErr w:type="spellStart"/>
      <w:r w:rsidR="00B96D2C" w:rsidRPr="00B50F60">
        <w:rPr>
          <w:rFonts w:ascii="Times New Roman" w:hAnsi="Times New Roman"/>
          <w:szCs w:val="22"/>
          <w:lang w:val="sk-SK"/>
        </w:rPr>
        <w:t>myelosupresívnych</w:t>
      </w:r>
      <w:proofErr w:type="spellEnd"/>
      <w:r w:rsidR="00B96D2C" w:rsidRPr="00B50F60">
        <w:rPr>
          <w:rFonts w:ascii="Times New Roman" w:hAnsi="Times New Roman"/>
          <w:szCs w:val="22"/>
          <w:lang w:val="sk-SK"/>
        </w:rPr>
        <w:t xml:space="preserve"> účinkov sa vyžaduje starostlivé hematologické sledovanie.</w:t>
      </w:r>
    </w:p>
    <w:p w14:paraId="3ACFFD3D" w14:textId="77777777" w:rsidR="00B96D2C" w:rsidRPr="00B50F60" w:rsidRDefault="00B96D2C" w:rsidP="00ED7827">
      <w:pPr>
        <w:pStyle w:val="Standardenglisch"/>
        <w:tabs>
          <w:tab w:val="left" w:pos="0"/>
        </w:tabs>
        <w:rPr>
          <w:rFonts w:ascii="Times New Roman" w:hAnsi="Times New Roman"/>
          <w:szCs w:val="22"/>
          <w:lang w:val="sk-SK"/>
        </w:rPr>
      </w:pPr>
    </w:p>
    <w:p w14:paraId="5832D82A" w14:textId="77777777" w:rsidR="00B96D2C" w:rsidRPr="00B50F60" w:rsidRDefault="00B96D2C" w:rsidP="00ED7827">
      <w:pPr>
        <w:pStyle w:val="Standardenglisch"/>
        <w:tabs>
          <w:tab w:val="left" w:pos="0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 xml:space="preserve">Výskyt </w:t>
      </w:r>
      <w:r w:rsidRPr="00B50F60">
        <w:rPr>
          <w:rFonts w:ascii="Times New Roman" w:hAnsi="Times New Roman"/>
          <w:szCs w:val="22"/>
          <w:u w:val="single"/>
          <w:lang w:val="sk-SK"/>
        </w:rPr>
        <w:t xml:space="preserve">sekundárnej akútnej </w:t>
      </w:r>
      <w:proofErr w:type="spellStart"/>
      <w:r w:rsidRPr="00B50F60">
        <w:rPr>
          <w:rFonts w:ascii="Times New Roman" w:hAnsi="Times New Roman"/>
          <w:szCs w:val="22"/>
          <w:u w:val="single"/>
          <w:lang w:val="sk-SK"/>
        </w:rPr>
        <w:t>myeloidnej</w:t>
      </w:r>
      <w:proofErr w:type="spellEnd"/>
      <w:r w:rsidRPr="00B50F60">
        <w:rPr>
          <w:rFonts w:ascii="Times New Roman" w:hAnsi="Times New Roman"/>
          <w:szCs w:val="22"/>
          <w:u w:val="single"/>
          <w:lang w:val="sk-SK"/>
        </w:rPr>
        <w:t xml:space="preserve"> leukémie</w:t>
      </w:r>
      <w:r w:rsidRPr="00B50F60">
        <w:rPr>
          <w:rFonts w:ascii="Times New Roman" w:hAnsi="Times New Roman"/>
          <w:szCs w:val="22"/>
          <w:lang w:val="sk-SK"/>
        </w:rPr>
        <w:t xml:space="preserve"> s </w:t>
      </w:r>
      <w:proofErr w:type="spellStart"/>
      <w:r w:rsidRPr="00B50F60">
        <w:rPr>
          <w:rFonts w:ascii="Times New Roman" w:hAnsi="Times New Roman"/>
          <w:szCs w:val="22"/>
          <w:lang w:val="sk-SK"/>
        </w:rPr>
        <w:t>preleukemickou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fázou alebo bez nej sa zriedkavo zaznamenal u pacientov s</w:t>
      </w:r>
      <w:r w:rsidR="000C6DC4" w:rsidRPr="00B50F60">
        <w:rPr>
          <w:rFonts w:ascii="Times New Roman" w:hAnsi="Times New Roman"/>
          <w:szCs w:val="22"/>
          <w:lang w:val="sk-SK"/>
        </w:rPr>
        <w:t xml:space="preserve">úbežne liečených </w:t>
      </w:r>
      <w:proofErr w:type="spellStart"/>
      <w:r w:rsidR="000C6DC4" w:rsidRPr="00B50F60">
        <w:rPr>
          <w:rFonts w:ascii="Times New Roman" w:hAnsi="Times New Roman"/>
          <w:szCs w:val="22"/>
          <w:lang w:val="sk-SK"/>
        </w:rPr>
        <w:t>doxorubicínom</w:t>
      </w:r>
      <w:proofErr w:type="spellEnd"/>
      <w:r w:rsidR="000C6DC4" w:rsidRPr="00B50F60">
        <w:rPr>
          <w:rFonts w:ascii="Times New Roman" w:hAnsi="Times New Roman"/>
          <w:szCs w:val="22"/>
          <w:lang w:val="sk-SK"/>
        </w:rPr>
        <w:t xml:space="preserve"> </w:t>
      </w:r>
      <w:r w:rsidR="000E69DD" w:rsidRPr="00B50F60">
        <w:rPr>
          <w:rFonts w:ascii="Times New Roman" w:hAnsi="Times New Roman"/>
          <w:szCs w:val="22"/>
          <w:lang w:val="sk-SK"/>
        </w:rPr>
        <w:t xml:space="preserve">spolu </w:t>
      </w:r>
      <w:r w:rsidRPr="00B50F60">
        <w:rPr>
          <w:rFonts w:ascii="Times New Roman" w:hAnsi="Times New Roman"/>
          <w:szCs w:val="22"/>
          <w:lang w:val="sk-SK"/>
        </w:rPr>
        <w:t>s </w:t>
      </w:r>
      <w:proofErr w:type="spellStart"/>
      <w:r w:rsidRPr="00B50F60">
        <w:rPr>
          <w:rFonts w:ascii="Times New Roman" w:hAnsi="Times New Roman"/>
          <w:szCs w:val="22"/>
          <w:lang w:val="sk-SK"/>
        </w:rPr>
        <w:t>antineoplastickými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látkami poškodzujúcimi DNA. Takéto prípady by mohli mať krátku (1</w:t>
      </w:r>
      <w:r w:rsidRPr="00B50F60">
        <w:rPr>
          <w:rFonts w:ascii="Times New Roman" w:hAnsi="Times New Roman"/>
          <w:szCs w:val="22"/>
          <w:lang w:val="sk-SK"/>
        </w:rPr>
        <w:noBreakHyphen/>
        <w:t>3 roky) inkubačnú dobu.</w:t>
      </w:r>
    </w:p>
    <w:p w14:paraId="319B9648" w14:textId="77777777" w:rsidR="000C6DC4" w:rsidRPr="00B50F60" w:rsidRDefault="000C6DC4" w:rsidP="00ED7827">
      <w:pPr>
        <w:pStyle w:val="Standardenglisch"/>
        <w:tabs>
          <w:tab w:val="left" w:pos="0"/>
        </w:tabs>
        <w:rPr>
          <w:rFonts w:ascii="Times New Roman" w:hAnsi="Times New Roman"/>
          <w:szCs w:val="22"/>
          <w:lang w:val="sk-SK"/>
        </w:rPr>
      </w:pPr>
    </w:p>
    <w:p w14:paraId="38E10586" w14:textId="77777777" w:rsidR="000C6DC4" w:rsidRPr="00B50F60" w:rsidRDefault="000C6DC4" w:rsidP="00ED7827">
      <w:pPr>
        <w:pStyle w:val="Standardenglisch"/>
        <w:tabs>
          <w:tab w:val="left" w:pos="0"/>
        </w:tabs>
        <w:outlineLvl w:val="0"/>
        <w:rPr>
          <w:rFonts w:ascii="Times New Roman" w:hAnsi="Times New Roman"/>
          <w:szCs w:val="22"/>
          <w:u w:val="single"/>
          <w:lang w:val="sk-SK"/>
        </w:rPr>
      </w:pPr>
      <w:r w:rsidRPr="00B50F60">
        <w:rPr>
          <w:rFonts w:ascii="Times New Roman" w:hAnsi="Times New Roman"/>
          <w:szCs w:val="22"/>
          <w:u w:val="single"/>
          <w:lang w:val="sk-SK"/>
        </w:rPr>
        <w:t>Rádioterapia</w:t>
      </w:r>
    </w:p>
    <w:p w14:paraId="2B9DB674" w14:textId="77777777" w:rsidR="000C6DC4" w:rsidRPr="00B50F60" w:rsidRDefault="000C6DC4" w:rsidP="00ED7827">
      <w:pPr>
        <w:pStyle w:val="Standardenglisch"/>
        <w:tabs>
          <w:tab w:val="left" w:pos="0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 xml:space="preserve">Zvláštna opatrnosť je záväzná u pacientov, ktorí predtým podstúpili rádioterapiu, podstupujú rádioterapiu súbežne alebo sa chystajú na rádioterapiu. Títo pacienti sú vystavení špeciálnemu riziku lokálnych reakcií v ožarovanej oblasti (fenomén návratu reakcie) pri používaní </w:t>
      </w:r>
      <w:proofErr w:type="spellStart"/>
      <w:r w:rsidRPr="00B50F60">
        <w:rPr>
          <w:rFonts w:ascii="Times New Roman" w:hAnsi="Times New Roman"/>
          <w:szCs w:val="22"/>
          <w:lang w:val="sk-SK"/>
        </w:rPr>
        <w:t>doxorubicínu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. V tejto súvislosti bola zaznamenaná závažná, niekedy fatálna, </w:t>
      </w:r>
      <w:proofErr w:type="spellStart"/>
      <w:r w:rsidRPr="00B50F60">
        <w:rPr>
          <w:rFonts w:ascii="Times New Roman" w:hAnsi="Times New Roman"/>
          <w:szCs w:val="22"/>
          <w:lang w:val="sk-SK"/>
        </w:rPr>
        <w:t>hepatotoxicita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(poškodenie pečene).</w:t>
      </w:r>
      <w:r w:rsidR="00A30BF3" w:rsidRPr="00B50F60">
        <w:rPr>
          <w:rFonts w:ascii="Times New Roman" w:hAnsi="Times New Roman"/>
          <w:szCs w:val="22"/>
          <w:lang w:val="sk-SK"/>
        </w:rPr>
        <w:t xml:space="preserve"> Predchádzajúce ožarovanie </w:t>
      </w:r>
      <w:proofErr w:type="spellStart"/>
      <w:r w:rsidR="00A30BF3" w:rsidRPr="00B50F60">
        <w:rPr>
          <w:rFonts w:ascii="Times New Roman" w:hAnsi="Times New Roman"/>
          <w:szCs w:val="22"/>
          <w:lang w:val="sk-SK"/>
        </w:rPr>
        <w:t>mediastína</w:t>
      </w:r>
      <w:proofErr w:type="spellEnd"/>
      <w:r w:rsidR="00A30BF3" w:rsidRPr="00B50F60">
        <w:rPr>
          <w:rFonts w:ascii="Times New Roman" w:hAnsi="Times New Roman"/>
          <w:szCs w:val="22"/>
          <w:lang w:val="sk-SK"/>
        </w:rPr>
        <w:t xml:space="preserve"> zvyšuje </w:t>
      </w:r>
      <w:proofErr w:type="spellStart"/>
      <w:r w:rsidR="00A30BF3" w:rsidRPr="00B50F60">
        <w:rPr>
          <w:rFonts w:ascii="Times New Roman" w:hAnsi="Times New Roman"/>
          <w:szCs w:val="22"/>
          <w:lang w:val="sk-SK"/>
        </w:rPr>
        <w:t>kardiotoxicitu</w:t>
      </w:r>
      <w:proofErr w:type="spellEnd"/>
      <w:r w:rsidR="00A30BF3" w:rsidRPr="00B50F6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="00A30BF3" w:rsidRPr="00B50F60">
        <w:rPr>
          <w:rFonts w:ascii="Times New Roman" w:hAnsi="Times New Roman"/>
          <w:szCs w:val="22"/>
          <w:lang w:val="sk-SK"/>
        </w:rPr>
        <w:t>doxorubicínu</w:t>
      </w:r>
      <w:proofErr w:type="spellEnd"/>
      <w:r w:rsidR="00A30BF3" w:rsidRPr="00B50F60">
        <w:rPr>
          <w:rFonts w:ascii="Times New Roman" w:hAnsi="Times New Roman"/>
          <w:szCs w:val="22"/>
          <w:lang w:val="sk-SK"/>
        </w:rPr>
        <w:t>. Kumulatívna dávka 400 mg/</w:t>
      </w:r>
      <w:r w:rsidR="00D56469" w:rsidRPr="00B50F60">
        <w:rPr>
          <w:rFonts w:ascii="Times New Roman" w:hAnsi="Times New Roman"/>
          <w:szCs w:val="22"/>
          <w:lang w:val="sk-SK"/>
        </w:rPr>
        <w:t>m²</w:t>
      </w:r>
      <w:r w:rsidR="00A30BF3" w:rsidRPr="00B50F60">
        <w:rPr>
          <w:rFonts w:ascii="Times New Roman" w:hAnsi="Times New Roman"/>
          <w:szCs w:val="22"/>
          <w:lang w:val="sk-SK"/>
        </w:rPr>
        <w:t xml:space="preserve"> sa nesmie prekročiť obzvlášť v tomto prípade.</w:t>
      </w:r>
    </w:p>
    <w:p w14:paraId="5C6D52A3" w14:textId="77777777" w:rsidR="00A30BF3" w:rsidRPr="00B50F60" w:rsidRDefault="00A30BF3" w:rsidP="00ED7827">
      <w:pPr>
        <w:pStyle w:val="Standardenglisch"/>
        <w:tabs>
          <w:tab w:val="left" w:pos="0"/>
        </w:tabs>
        <w:rPr>
          <w:rFonts w:ascii="Times New Roman" w:hAnsi="Times New Roman"/>
          <w:szCs w:val="22"/>
          <w:lang w:val="sk-SK"/>
        </w:rPr>
      </w:pPr>
    </w:p>
    <w:p w14:paraId="69081087" w14:textId="77777777" w:rsidR="00A30BF3" w:rsidRPr="00B50F60" w:rsidRDefault="00A30BF3" w:rsidP="00ED7827">
      <w:pPr>
        <w:pStyle w:val="Standardenglisch"/>
        <w:tabs>
          <w:tab w:val="left" w:pos="0"/>
        </w:tabs>
        <w:outlineLvl w:val="0"/>
        <w:rPr>
          <w:rFonts w:ascii="Times New Roman" w:hAnsi="Times New Roman"/>
          <w:szCs w:val="22"/>
          <w:u w:val="single"/>
          <w:lang w:val="sk-SK"/>
        </w:rPr>
      </w:pPr>
      <w:proofErr w:type="spellStart"/>
      <w:r w:rsidRPr="00B50F60">
        <w:rPr>
          <w:rFonts w:ascii="Times New Roman" w:hAnsi="Times New Roman"/>
          <w:szCs w:val="22"/>
          <w:u w:val="single"/>
          <w:lang w:val="sk-SK"/>
        </w:rPr>
        <w:t>Imunosupresia</w:t>
      </w:r>
      <w:proofErr w:type="spellEnd"/>
    </w:p>
    <w:p w14:paraId="756EF8A9" w14:textId="77777777" w:rsidR="00A30BF3" w:rsidRPr="00B50F60" w:rsidRDefault="00A30BF3" w:rsidP="00ED7827">
      <w:pPr>
        <w:pStyle w:val="Standardenglisch"/>
        <w:tabs>
          <w:tab w:val="left" w:pos="0"/>
        </w:tabs>
        <w:rPr>
          <w:rFonts w:ascii="Times New Roman" w:hAnsi="Times New Roman"/>
          <w:szCs w:val="22"/>
          <w:lang w:val="sk-SK"/>
        </w:rPr>
      </w:pPr>
      <w:proofErr w:type="spellStart"/>
      <w:r w:rsidRPr="00B50F60">
        <w:rPr>
          <w:rFonts w:ascii="Times New Roman" w:hAnsi="Times New Roman"/>
          <w:szCs w:val="22"/>
          <w:lang w:val="sk-SK"/>
        </w:rPr>
        <w:t>Doxorubicín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je silné avšak dočasné </w:t>
      </w:r>
      <w:proofErr w:type="spellStart"/>
      <w:r w:rsidRPr="00B50F60">
        <w:rPr>
          <w:rFonts w:ascii="Times New Roman" w:hAnsi="Times New Roman"/>
          <w:szCs w:val="22"/>
          <w:lang w:val="sk-SK"/>
        </w:rPr>
        <w:t>imunosupresívum</w:t>
      </w:r>
      <w:proofErr w:type="spellEnd"/>
      <w:r w:rsidRPr="00B50F60">
        <w:rPr>
          <w:rFonts w:ascii="Times New Roman" w:hAnsi="Times New Roman"/>
          <w:szCs w:val="22"/>
          <w:lang w:val="sk-SK"/>
        </w:rPr>
        <w:t>. Na zabránenie sekundárnej infekcie sa majú robiť príslušné opatrenia.</w:t>
      </w:r>
    </w:p>
    <w:p w14:paraId="3D4661A2" w14:textId="77777777" w:rsidR="00A30BF3" w:rsidRPr="00B50F60" w:rsidRDefault="00A30BF3" w:rsidP="00ED7827">
      <w:pPr>
        <w:pStyle w:val="Standardenglisch"/>
        <w:tabs>
          <w:tab w:val="left" w:pos="0"/>
        </w:tabs>
        <w:rPr>
          <w:rFonts w:ascii="Times New Roman" w:hAnsi="Times New Roman"/>
          <w:szCs w:val="22"/>
          <w:lang w:val="sk-SK"/>
        </w:rPr>
      </w:pPr>
    </w:p>
    <w:p w14:paraId="501C4F74" w14:textId="77777777" w:rsidR="00A30BF3" w:rsidRPr="00B50F60" w:rsidRDefault="00A30BF3" w:rsidP="00ED7827">
      <w:pPr>
        <w:pStyle w:val="Standardenglisch"/>
        <w:keepNext/>
        <w:keepLines/>
        <w:widowControl/>
        <w:tabs>
          <w:tab w:val="left" w:pos="0"/>
        </w:tabs>
        <w:outlineLvl w:val="0"/>
        <w:rPr>
          <w:rFonts w:ascii="Times New Roman" w:hAnsi="Times New Roman"/>
          <w:szCs w:val="22"/>
          <w:u w:val="single"/>
          <w:lang w:val="sk-SK"/>
        </w:rPr>
      </w:pPr>
      <w:r w:rsidRPr="00B50F60">
        <w:rPr>
          <w:rFonts w:ascii="Times New Roman" w:hAnsi="Times New Roman"/>
          <w:szCs w:val="22"/>
          <w:u w:val="single"/>
          <w:lang w:val="sk-SK"/>
        </w:rPr>
        <w:t>Vakcíny</w:t>
      </w:r>
    </w:p>
    <w:p w14:paraId="4F44C02F" w14:textId="1B8D9A0D" w:rsidR="001062EB" w:rsidRPr="00B50F60" w:rsidRDefault="001062EB" w:rsidP="00ED7827">
      <w:pPr>
        <w:pStyle w:val="Standardenglisch"/>
        <w:keepNext/>
        <w:keepLines/>
        <w:widowControl/>
        <w:tabs>
          <w:tab w:val="left" w:pos="0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napToGrid/>
          <w:color w:val="000000"/>
          <w:szCs w:val="22"/>
          <w:lang w:val="sk-SK"/>
        </w:rPr>
        <w:t xml:space="preserve">Podávanie živých alebo oslabených živých očkovacích látok u pacientov </w:t>
      </w:r>
      <w:proofErr w:type="spellStart"/>
      <w:r w:rsidRPr="00B50F60">
        <w:rPr>
          <w:rFonts w:ascii="Times New Roman" w:hAnsi="Times New Roman"/>
          <w:snapToGrid/>
          <w:color w:val="000000"/>
          <w:szCs w:val="22"/>
          <w:lang w:val="sk-SK"/>
        </w:rPr>
        <w:t>imunokompromitovaných</w:t>
      </w:r>
      <w:proofErr w:type="spellEnd"/>
      <w:r w:rsidRPr="00B50F60">
        <w:rPr>
          <w:rFonts w:ascii="Times New Roman" w:hAnsi="Times New Roman"/>
          <w:snapToGrid/>
          <w:color w:val="000000"/>
          <w:szCs w:val="22"/>
          <w:lang w:val="sk-SK"/>
        </w:rPr>
        <w:t xml:space="preserve"> chemoterapeutickými látkami vrátane </w:t>
      </w:r>
      <w:proofErr w:type="spellStart"/>
      <w:r w:rsidRPr="00B50F60">
        <w:rPr>
          <w:rFonts w:ascii="Times New Roman" w:hAnsi="Times New Roman"/>
          <w:snapToGrid/>
          <w:color w:val="000000"/>
          <w:szCs w:val="22"/>
          <w:lang w:val="sk-SK"/>
        </w:rPr>
        <w:t>doxorubicínu</w:t>
      </w:r>
      <w:proofErr w:type="spellEnd"/>
      <w:r w:rsidRPr="00B50F60">
        <w:rPr>
          <w:rFonts w:ascii="Times New Roman" w:hAnsi="Times New Roman"/>
          <w:snapToGrid/>
          <w:color w:val="000000"/>
          <w:szCs w:val="22"/>
          <w:lang w:val="sk-SK"/>
        </w:rPr>
        <w:t xml:space="preserve"> môže mať za následok vážne alebo fatálne infekcie. Je potrebné sa vyhýbať očkovaniu živými vakcínami u pacientov dostávajúcich </w:t>
      </w:r>
      <w:proofErr w:type="spellStart"/>
      <w:r w:rsidRPr="00B50F60">
        <w:rPr>
          <w:rFonts w:ascii="Times New Roman" w:hAnsi="Times New Roman"/>
          <w:snapToGrid/>
          <w:color w:val="000000"/>
          <w:szCs w:val="22"/>
          <w:lang w:val="sk-SK"/>
        </w:rPr>
        <w:t>doxorubicín</w:t>
      </w:r>
      <w:proofErr w:type="spellEnd"/>
      <w:r w:rsidRPr="00B50F60">
        <w:rPr>
          <w:rFonts w:ascii="Times New Roman" w:hAnsi="Times New Roman"/>
          <w:snapToGrid/>
          <w:color w:val="000000"/>
          <w:szCs w:val="22"/>
          <w:lang w:val="sk-SK"/>
        </w:rPr>
        <w:t xml:space="preserve">. Zabité alebo </w:t>
      </w:r>
      <w:proofErr w:type="spellStart"/>
      <w:r w:rsidRPr="00B50F60">
        <w:rPr>
          <w:rFonts w:ascii="Times New Roman" w:hAnsi="Times New Roman"/>
          <w:snapToGrid/>
          <w:color w:val="000000"/>
          <w:szCs w:val="22"/>
          <w:lang w:val="sk-SK"/>
        </w:rPr>
        <w:t>inaktivované</w:t>
      </w:r>
      <w:proofErr w:type="spellEnd"/>
      <w:r w:rsidRPr="00B50F60">
        <w:rPr>
          <w:rFonts w:ascii="Times New Roman" w:hAnsi="Times New Roman"/>
          <w:snapToGrid/>
          <w:color w:val="000000"/>
          <w:szCs w:val="22"/>
          <w:lang w:val="sk-SK"/>
        </w:rPr>
        <w:t xml:space="preserve"> očkovacie látky môžu byť podávané, no odpoveď na takéto vakcíny môže byť znížená. Je potrebné sa vyhýbať osobám nedávno očkovaným proti obrne.</w:t>
      </w:r>
    </w:p>
    <w:p w14:paraId="3112329F" w14:textId="77777777" w:rsidR="00A30BF3" w:rsidRPr="00B50F60" w:rsidRDefault="00A30BF3" w:rsidP="00ED7827">
      <w:pPr>
        <w:pStyle w:val="Standardenglisch"/>
        <w:tabs>
          <w:tab w:val="left" w:pos="0"/>
        </w:tabs>
        <w:rPr>
          <w:rFonts w:ascii="Times New Roman" w:hAnsi="Times New Roman"/>
          <w:szCs w:val="22"/>
          <w:lang w:val="sk-SK"/>
        </w:rPr>
      </w:pPr>
    </w:p>
    <w:p w14:paraId="222CD189" w14:textId="77777777" w:rsidR="00A30BF3" w:rsidRPr="00B50F60" w:rsidRDefault="00A30BF3" w:rsidP="00ED7827">
      <w:pPr>
        <w:pStyle w:val="Standardenglisch"/>
        <w:tabs>
          <w:tab w:val="left" w:pos="0"/>
          <w:tab w:val="left" w:pos="284"/>
        </w:tabs>
        <w:outlineLvl w:val="0"/>
        <w:rPr>
          <w:rFonts w:ascii="Times New Roman" w:hAnsi="Times New Roman"/>
          <w:szCs w:val="22"/>
          <w:u w:val="single"/>
          <w:lang w:val="sk-SK"/>
        </w:rPr>
      </w:pPr>
      <w:r w:rsidRPr="00B50F60">
        <w:rPr>
          <w:rFonts w:ascii="Times New Roman" w:hAnsi="Times New Roman"/>
          <w:szCs w:val="22"/>
          <w:u w:val="single"/>
          <w:lang w:val="sk-SK"/>
        </w:rPr>
        <w:t>Zvýšená toxicita</w:t>
      </w:r>
    </w:p>
    <w:p w14:paraId="2C6F2B18" w14:textId="77777777" w:rsidR="00A30BF3" w:rsidRPr="00B50F60" w:rsidRDefault="00A30BF3" w:rsidP="00ED7827">
      <w:pPr>
        <w:pStyle w:val="Standardenglisch"/>
        <w:tabs>
          <w:tab w:val="left" w:pos="0"/>
          <w:tab w:val="left" w:pos="284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 xml:space="preserve">Zaznamenalo sa, že </w:t>
      </w:r>
      <w:proofErr w:type="spellStart"/>
      <w:r w:rsidRPr="00B50F60">
        <w:rPr>
          <w:rFonts w:ascii="Times New Roman" w:hAnsi="Times New Roman"/>
          <w:szCs w:val="22"/>
          <w:lang w:val="sk-SK"/>
        </w:rPr>
        <w:t>doxorubicín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môže zvýšiť závažnosť toxicity in</w:t>
      </w:r>
      <w:r w:rsidR="0029665F" w:rsidRPr="00B50F60">
        <w:rPr>
          <w:rFonts w:ascii="Times New Roman" w:hAnsi="Times New Roman"/>
          <w:szCs w:val="22"/>
          <w:lang w:val="sk-SK"/>
        </w:rPr>
        <w:t>ých typov</w:t>
      </w:r>
      <w:r w:rsidR="00906708" w:rsidRPr="00B50F6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="00906708" w:rsidRPr="00B50F60">
        <w:rPr>
          <w:rFonts w:ascii="Times New Roman" w:hAnsi="Times New Roman"/>
          <w:szCs w:val="22"/>
          <w:lang w:val="sk-SK"/>
        </w:rPr>
        <w:t>protinádorové</w:t>
      </w:r>
      <w:proofErr w:type="spellEnd"/>
      <w:r w:rsidR="00906708" w:rsidRPr="00B50F60">
        <w:rPr>
          <w:rFonts w:ascii="Times New Roman" w:hAnsi="Times New Roman"/>
          <w:szCs w:val="22"/>
          <w:lang w:val="sk-SK"/>
        </w:rPr>
        <w:t xml:space="preserve"> liečby</w:t>
      </w:r>
      <w:r w:rsidRPr="00B50F60">
        <w:rPr>
          <w:rFonts w:ascii="Times New Roman" w:hAnsi="Times New Roman"/>
          <w:szCs w:val="22"/>
          <w:lang w:val="sk-SK"/>
        </w:rPr>
        <w:t xml:space="preserve">, ako je </w:t>
      </w:r>
      <w:proofErr w:type="spellStart"/>
      <w:r w:rsidRPr="00B50F60">
        <w:rPr>
          <w:rFonts w:ascii="Times New Roman" w:hAnsi="Times New Roman"/>
          <w:szCs w:val="22"/>
          <w:lang w:val="sk-SK"/>
        </w:rPr>
        <w:t>cyklofosfamidom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indukovaná </w:t>
      </w:r>
      <w:proofErr w:type="spellStart"/>
      <w:r w:rsidRPr="00B50F60">
        <w:rPr>
          <w:rFonts w:ascii="Times New Roman" w:hAnsi="Times New Roman"/>
          <w:szCs w:val="22"/>
          <w:lang w:val="sk-SK"/>
        </w:rPr>
        <w:t>hemoragická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B50F60">
        <w:rPr>
          <w:rFonts w:ascii="Times New Roman" w:hAnsi="Times New Roman"/>
          <w:szCs w:val="22"/>
          <w:lang w:val="sk-SK"/>
        </w:rPr>
        <w:t>cystitída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, </w:t>
      </w:r>
      <w:proofErr w:type="spellStart"/>
      <w:r w:rsidRPr="00B50F60">
        <w:rPr>
          <w:rFonts w:ascii="Times New Roman" w:hAnsi="Times New Roman"/>
          <w:szCs w:val="22"/>
          <w:lang w:val="sk-SK"/>
        </w:rPr>
        <w:t>mukozitída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indukovaná rádioterapiou, </w:t>
      </w:r>
      <w:proofErr w:type="spellStart"/>
      <w:r w:rsidRPr="00B50F60">
        <w:rPr>
          <w:rFonts w:ascii="Times New Roman" w:hAnsi="Times New Roman"/>
          <w:szCs w:val="22"/>
          <w:lang w:val="sk-SK"/>
        </w:rPr>
        <w:t>hepatotoxicit</w:t>
      </w:r>
      <w:r w:rsidR="00E5312C" w:rsidRPr="00B50F60">
        <w:rPr>
          <w:rFonts w:ascii="Times New Roman" w:hAnsi="Times New Roman"/>
          <w:szCs w:val="22"/>
          <w:lang w:val="sk-SK"/>
        </w:rPr>
        <w:t>a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6</w:t>
      </w:r>
      <w:r w:rsidRPr="00B50F60">
        <w:rPr>
          <w:rFonts w:ascii="Times New Roman" w:hAnsi="Times New Roman"/>
          <w:szCs w:val="22"/>
          <w:lang w:val="sk-SK"/>
        </w:rPr>
        <w:noBreakHyphen/>
        <w:t>merkaptopurínu a toxicit</w:t>
      </w:r>
      <w:r w:rsidR="00E5312C" w:rsidRPr="00B50F60">
        <w:rPr>
          <w:rFonts w:ascii="Times New Roman" w:hAnsi="Times New Roman"/>
          <w:szCs w:val="22"/>
          <w:lang w:val="sk-SK"/>
        </w:rPr>
        <w:t>a</w:t>
      </w:r>
      <w:r w:rsidRPr="00B50F6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B50F60">
        <w:rPr>
          <w:rFonts w:ascii="Times New Roman" w:hAnsi="Times New Roman"/>
          <w:szCs w:val="22"/>
          <w:lang w:val="sk-SK"/>
        </w:rPr>
        <w:t>streptozocínu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alebo </w:t>
      </w:r>
      <w:proofErr w:type="spellStart"/>
      <w:r w:rsidRPr="00B50F60">
        <w:rPr>
          <w:rFonts w:ascii="Times New Roman" w:hAnsi="Times New Roman"/>
          <w:szCs w:val="22"/>
          <w:lang w:val="sk-SK"/>
        </w:rPr>
        <w:t>metotrexátu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(pozri časť 4.5).</w:t>
      </w:r>
    </w:p>
    <w:p w14:paraId="3FD505A5" w14:textId="77777777" w:rsidR="00A30BF3" w:rsidRPr="00B50F60" w:rsidRDefault="00A30BF3" w:rsidP="00ED7827">
      <w:pPr>
        <w:pStyle w:val="Standardenglisch"/>
        <w:tabs>
          <w:tab w:val="left" w:pos="0"/>
          <w:tab w:val="left" w:pos="284"/>
        </w:tabs>
        <w:rPr>
          <w:rFonts w:ascii="Times New Roman" w:hAnsi="Times New Roman"/>
          <w:szCs w:val="22"/>
          <w:lang w:val="sk-SK"/>
        </w:rPr>
      </w:pPr>
    </w:p>
    <w:p w14:paraId="6A46612E" w14:textId="77777777" w:rsidR="00E5312C" w:rsidRPr="00B50F60" w:rsidRDefault="00E5312C" w:rsidP="00ED7827">
      <w:pPr>
        <w:pStyle w:val="Standardenglisch"/>
        <w:tabs>
          <w:tab w:val="left" w:pos="0"/>
          <w:tab w:val="left" w:pos="284"/>
        </w:tabs>
        <w:outlineLvl w:val="0"/>
        <w:rPr>
          <w:rFonts w:ascii="Times New Roman" w:hAnsi="Times New Roman"/>
          <w:szCs w:val="22"/>
          <w:u w:val="single"/>
          <w:lang w:val="sk-SK"/>
        </w:rPr>
      </w:pPr>
      <w:r w:rsidRPr="00B50F60">
        <w:rPr>
          <w:rFonts w:ascii="Times New Roman" w:hAnsi="Times New Roman"/>
          <w:szCs w:val="22"/>
          <w:u w:val="single"/>
          <w:lang w:val="sk-SK"/>
        </w:rPr>
        <w:t>Porucha funkci</w:t>
      </w:r>
      <w:r w:rsidR="00D72853" w:rsidRPr="00B50F60">
        <w:rPr>
          <w:rFonts w:ascii="Times New Roman" w:hAnsi="Times New Roman"/>
          <w:szCs w:val="22"/>
          <w:u w:val="single"/>
          <w:lang w:val="sk-SK"/>
        </w:rPr>
        <w:t>e</w:t>
      </w:r>
      <w:r w:rsidRPr="00B50F60">
        <w:rPr>
          <w:rFonts w:ascii="Times New Roman" w:hAnsi="Times New Roman"/>
          <w:szCs w:val="22"/>
          <w:u w:val="single"/>
          <w:lang w:val="sk-SK"/>
        </w:rPr>
        <w:t xml:space="preserve"> pečene</w:t>
      </w:r>
    </w:p>
    <w:p w14:paraId="290B248A" w14:textId="77777777" w:rsidR="00E5312C" w:rsidRPr="00B50F60" w:rsidRDefault="00E5312C" w:rsidP="00ED7827">
      <w:pPr>
        <w:pStyle w:val="Standardenglisch"/>
        <w:tabs>
          <w:tab w:val="left" w:pos="0"/>
          <w:tab w:val="left" w:pos="284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 xml:space="preserve">Toxicita odporúčaných dávok </w:t>
      </w:r>
      <w:proofErr w:type="spellStart"/>
      <w:r w:rsidRPr="00B50F60">
        <w:rPr>
          <w:rFonts w:ascii="Times New Roman" w:hAnsi="Times New Roman"/>
          <w:szCs w:val="22"/>
          <w:lang w:val="sk-SK"/>
        </w:rPr>
        <w:t>doxorubicínu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sa zvyšuje poruchou funkcie pečene. Pred individuálnym dávkovaním sa odporúča vyšetriť funkciu pečene pomocou bežných klinických laboratórnych testov, ako je AST, ALT, alkalická </w:t>
      </w:r>
      <w:proofErr w:type="spellStart"/>
      <w:r w:rsidRPr="00B50F60">
        <w:rPr>
          <w:rFonts w:ascii="Times New Roman" w:hAnsi="Times New Roman"/>
          <w:szCs w:val="22"/>
          <w:lang w:val="sk-SK"/>
        </w:rPr>
        <w:t>fosfatáza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, </w:t>
      </w:r>
      <w:proofErr w:type="spellStart"/>
      <w:r w:rsidRPr="00B50F60">
        <w:rPr>
          <w:rFonts w:ascii="Times New Roman" w:hAnsi="Times New Roman"/>
          <w:szCs w:val="22"/>
          <w:lang w:val="sk-SK"/>
        </w:rPr>
        <w:t>bilirubín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a BSP. V prípade potreby sa má dávkovanie náležite znížiť (pozri časť 4.2).</w:t>
      </w:r>
    </w:p>
    <w:p w14:paraId="2B857B28" w14:textId="77777777" w:rsidR="00A30BF3" w:rsidRPr="00B50F60" w:rsidRDefault="00A30BF3" w:rsidP="00ED7827">
      <w:pPr>
        <w:pStyle w:val="Standardenglisch"/>
        <w:tabs>
          <w:tab w:val="left" w:pos="0"/>
          <w:tab w:val="left" w:pos="284"/>
        </w:tabs>
        <w:rPr>
          <w:rFonts w:ascii="Times New Roman" w:hAnsi="Times New Roman"/>
          <w:szCs w:val="22"/>
          <w:lang w:val="sk-SK"/>
        </w:rPr>
      </w:pPr>
    </w:p>
    <w:p w14:paraId="3AD269C6" w14:textId="77777777" w:rsidR="00E5312C" w:rsidRPr="00B50F60" w:rsidRDefault="00E5312C" w:rsidP="00ED7827">
      <w:pPr>
        <w:pStyle w:val="Standardenglisch"/>
        <w:tabs>
          <w:tab w:val="left" w:pos="0"/>
          <w:tab w:val="left" w:pos="284"/>
        </w:tabs>
        <w:outlineLvl w:val="0"/>
        <w:rPr>
          <w:rFonts w:ascii="Times New Roman" w:hAnsi="Times New Roman"/>
          <w:szCs w:val="22"/>
          <w:u w:val="single"/>
          <w:lang w:val="sk-SK"/>
        </w:rPr>
      </w:pPr>
      <w:proofErr w:type="spellStart"/>
      <w:r w:rsidRPr="00B50F60">
        <w:rPr>
          <w:rFonts w:ascii="Times New Roman" w:hAnsi="Times New Roman"/>
          <w:szCs w:val="22"/>
          <w:u w:val="single"/>
          <w:lang w:val="sk-SK"/>
        </w:rPr>
        <w:t>Karcinogenéza</w:t>
      </w:r>
      <w:proofErr w:type="spellEnd"/>
      <w:r w:rsidRPr="00B50F60">
        <w:rPr>
          <w:rFonts w:ascii="Times New Roman" w:hAnsi="Times New Roman"/>
          <w:szCs w:val="22"/>
          <w:u w:val="single"/>
          <w:lang w:val="sk-SK"/>
        </w:rPr>
        <w:t xml:space="preserve">, </w:t>
      </w:r>
      <w:proofErr w:type="spellStart"/>
      <w:r w:rsidRPr="00B50F60">
        <w:rPr>
          <w:rFonts w:ascii="Times New Roman" w:hAnsi="Times New Roman"/>
          <w:szCs w:val="22"/>
          <w:u w:val="single"/>
          <w:lang w:val="sk-SK"/>
        </w:rPr>
        <w:t>mutagenéza</w:t>
      </w:r>
      <w:proofErr w:type="spellEnd"/>
      <w:r w:rsidRPr="00B50F60">
        <w:rPr>
          <w:rFonts w:ascii="Times New Roman" w:hAnsi="Times New Roman"/>
          <w:szCs w:val="22"/>
          <w:u w:val="single"/>
          <w:lang w:val="sk-SK"/>
        </w:rPr>
        <w:t xml:space="preserve"> a porucha </w:t>
      </w:r>
      <w:proofErr w:type="spellStart"/>
      <w:r w:rsidRPr="00B50F60">
        <w:rPr>
          <w:rFonts w:ascii="Times New Roman" w:hAnsi="Times New Roman"/>
          <w:szCs w:val="22"/>
          <w:u w:val="single"/>
          <w:lang w:val="sk-SK"/>
        </w:rPr>
        <w:t>fertility</w:t>
      </w:r>
      <w:proofErr w:type="spellEnd"/>
    </w:p>
    <w:p w14:paraId="3530AC45" w14:textId="77777777" w:rsidR="00E5312C" w:rsidRPr="00B50F60" w:rsidRDefault="00E5312C" w:rsidP="00ED7827">
      <w:pPr>
        <w:pStyle w:val="Standardenglisch"/>
        <w:tabs>
          <w:tab w:val="left" w:pos="0"/>
          <w:tab w:val="left" w:pos="284"/>
        </w:tabs>
        <w:outlineLvl w:val="0"/>
        <w:rPr>
          <w:rFonts w:ascii="Times New Roman" w:hAnsi="Times New Roman"/>
          <w:szCs w:val="22"/>
          <w:lang w:val="sk-SK"/>
        </w:rPr>
      </w:pPr>
      <w:proofErr w:type="spellStart"/>
      <w:r w:rsidRPr="00B50F60">
        <w:rPr>
          <w:rFonts w:ascii="Times New Roman" w:hAnsi="Times New Roman"/>
          <w:szCs w:val="22"/>
          <w:lang w:val="sk-SK"/>
        </w:rPr>
        <w:t>Doxorubicín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bol </w:t>
      </w:r>
      <w:proofErr w:type="spellStart"/>
      <w:r w:rsidRPr="00B50F60">
        <w:rPr>
          <w:rFonts w:ascii="Times New Roman" w:hAnsi="Times New Roman"/>
          <w:szCs w:val="22"/>
          <w:lang w:val="sk-SK"/>
        </w:rPr>
        <w:t>genotoxický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a mutagénny v in vitro a in </w:t>
      </w:r>
      <w:proofErr w:type="spellStart"/>
      <w:r w:rsidRPr="00B50F60">
        <w:rPr>
          <w:rFonts w:ascii="Times New Roman" w:hAnsi="Times New Roman"/>
          <w:szCs w:val="22"/>
          <w:lang w:val="sk-SK"/>
        </w:rPr>
        <w:t>vivo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testoch.</w:t>
      </w:r>
    </w:p>
    <w:p w14:paraId="274D96A7" w14:textId="77777777" w:rsidR="00E5312C" w:rsidRPr="00B50F60" w:rsidRDefault="00E5312C" w:rsidP="00ED7827">
      <w:pPr>
        <w:pStyle w:val="Standardenglisch"/>
        <w:tabs>
          <w:tab w:val="left" w:pos="0"/>
          <w:tab w:val="left" w:pos="284"/>
        </w:tabs>
        <w:rPr>
          <w:rFonts w:ascii="Times New Roman" w:hAnsi="Times New Roman"/>
          <w:szCs w:val="22"/>
          <w:lang w:val="sk-SK"/>
        </w:rPr>
      </w:pPr>
    </w:p>
    <w:p w14:paraId="6699585C" w14:textId="77777777" w:rsidR="00E5312C" w:rsidRPr="00B50F60" w:rsidRDefault="00E5312C" w:rsidP="00ED7827">
      <w:pPr>
        <w:pStyle w:val="Standardenglisch"/>
        <w:tabs>
          <w:tab w:val="left" w:pos="0"/>
          <w:tab w:val="left" w:pos="284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 xml:space="preserve">U žien môže </w:t>
      </w:r>
      <w:proofErr w:type="spellStart"/>
      <w:r w:rsidRPr="00B50F60">
        <w:rPr>
          <w:rFonts w:ascii="Times New Roman" w:hAnsi="Times New Roman"/>
          <w:szCs w:val="22"/>
          <w:lang w:val="sk-SK"/>
        </w:rPr>
        <w:t>doxorubicín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spôsobiť </w:t>
      </w:r>
      <w:proofErr w:type="spellStart"/>
      <w:r w:rsidRPr="00B50F60">
        <w:rPr>
          <w:rFonts w:ascii="Times New Roman" w:hAnsi="Times New Roman"/>
          <w:szCs w:val="22"/>
          <w:lang w:val="sk-SK"/>
        </w:rPr>
        <w:t>amenoreu</w:t>
      </w:r>
      <w:proofErr w:type="spellEnd"/>
      <w:r w:rsidRPr="00B50F60">
        <w:rPr>
          <w:rFonts w:ascii="Times New Roman" w:hAnsi="Times New Roman"/>
          <w:szCs w:val="22"/>
          <w:lang w:val="sk-SK"/>
        </w:rPr>
        <w:t>. Zdá sa, že ovulácia a menštruácia sa obnov</w:t>
      </w:r>
      <w:r w:rsidR="00401178" w:rsidRPr="00B50F60">
        <w:rPr>
          <w:rFonts w:ascii="Times New Roman" w:hAnsi="Times New Roman"/>
          <w:szCs w:val="22"/>
          <w:lang w:val="sk-SK"/>
        </w:rPr>
        <w:t>ia</w:t>
      </w:r>
      <w:r w:rsidRPr="00B50F60">
        <w:rPr>
          <w:rFonts w:ascii="Times New Roman" w:hAnsi="Times New Roman"/>
          <w:szCs w:val="22"/>
          <w:lang w:val="sk-SK"/>
        </w:rPr>
        <w:t xml:space="preserve"> po ukončení liečby, hoci </w:t>
      </w:r>
      <w:r w:rsidR="00401178" w:rsidRPr="00B50F60">
        <w:rPr>
          <w:rFonts w:ascii="Times New Roman" w:hAnsi="Times New Roman"/>
          <w:szCs w:val="22"/>
          <w:lang w:val="sk-SK"/>
        </w:rPr>
        <w:t>sa môže vyskytnúť</w:t>
      </w:r>
      <w:r w:rsidRPr="00B50F60">
        <w:rPr>
          <w:rFonts w:ascii="Times New Roman" w:hAnsi="Times New Roman"/>
          <w:szCs w:val="22"/>
          <w:lang w:val="sk-SK"/>
        </w:rPr>
        <w:t xml:space="preserve"> predčasn</w:t>
      </w:r>
      <w:r w:rsidR="00401178" w:rsidRPr="00B50F60">
        <w:rPr>
          <w:rFonts w:ascii="Times New Roman" w:hAnsi="Times New Roman"/>
          <w:szCs w:val="22"/>
          <w:lang w:val="sk-SK"/>
        </w:rPr>
        <w:t>á</w:t>
      </w:r>
      <w:r w:rsidRPr="00B50F6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B50F60">
        <w:rPr>
          <w:rFonts w:ascii="Times New Roman" w:hAnsi="Times New Roman"/>
          <w:szCs w:val="22"/>
          <w:lang w:val="sk-SK"/>
        </w:rPr>
        <w:t>menopauz</w:t>
      </w:r>
      <w:r w:rsidR="00401178" w:rsidRPr="00B50F60">
        <w:rPr>
          <w:rFonts w:ascii="Times New Roman" w:hAnsi="Times New Roman"/>
          <w:szCs w:val="22"/>
          <w:lang w:val="sk-SK"/>
        </w:rPr>
        <w:t>a</w:t>
      </w:r>
      <w:proofErr w:type="spellEnd"/>
      <w:r w:rsidRPr="00B50F60">
        <w:rPr>
          <w:rFonts w:ascii="Times New Roman" w:hAnsi="Times New Roman"/>
          <w:szCs w:val="22"/>
          <w:lang w:val="sk-SK"/>
        </w:rPr>
        <w:t>.</w:t>
      </w:r>
    </w:p>
    <w:p w14:paraId="23DFBD81" w14:textId="77777777" w:rsidR="00E5312C" w:rsidRPr="00B50F60" w:rsidRDefault="00E5312C" w:rsidP="00ED7827">
      <w:pPr>
        <w:pStyle w:val="Standardenglisch"/>
        <w:tabs>
          <w:tab w:val="left" w:pos="0"/>
          <w:tab w:val="left" w:pos="284"/>
        </w:tabs>
        <w:rPr>
          <w:rFonts w:ascii="Times New Roman" w:hAnsi="Times New Roman"/>
          <w:szCs w:val="22"/>
          <w:lang w:val="sk-SK"/>
        </w:rPr>
      </w:pPr>
    </w:p>
    <w:p w14:paraId="5975CFE9" w14:textId="094EBC4F" w:rsidR="00E5312C" w:rsidRPr="00B50F60" w:rsidRDefault="00401178" w:rsidP="00ED7827">
      <w:pPr>
        <w:pStyle w:val="Standardenglisch"/>
        <w:tabs>
          <w:tab w:val="left" w:pos="0"/>
          <w:tab w:val="left" w:pos="284"/>
        </w:tabs>
        <w:rPr>
          <w:rFonts w:ascii="Times New Roman" w:hAnsi="Times New Roman"/>
          <w:szCs w:val="22"/>
          <w:lang w:val="sk-SK"/>
        </w:rPr>
      </w:pPr>
      <w:proofErr w:type="spellStart"/>
      <w:r w:rsidRPr="00B50F60">
        <w:rPr>
          <w:rFonts w:ascii="Times New Roman" w:hAnsi="Times New Roman"/>
          <w:szCs w:val="22"/>
          <w:lang w:val="sk-SK"/>
        </w:rPr>
        <w:t>Doxorubicín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je mutagénny a môže</w:t>
      </w:r>
      <w:r w:rsidR="00E5312C" w:rsidRPr="00B50F60">
        <w:rPr>
          <w:rFonts w:ascii="Times New Roman" w:hAnsi="Times New Roman"/>
          <w:szCs w:val="22"/>
          <w:lang w:val="sk-SK"/>
        </w:rPr>
        <w:t xml:space="preserve"> indukovať </w:t>
      </w:r>
      <w:proofErr w:type="spellStart"/>
      <w:r w:rsidR="00E5312C" w:rsidRPr="00B50F60">
        <w:rPr>
          <w:rFonts w:ascii="Times New Roman" w:hAnsi="Times New Roman"/>
          <w:szCs w:val="22"/>
          <w:lang w:val="sk-SK"/>
        </w:rPr>
        <w:t>chromozomálne</w:t>
      </w:r>
      <w:proofErr w:type="spellEnd"/>
      <w:r w:rsidR="00E5312C" w:rsidRPr="00B50F60">
        <w:rPr>
          <w:rFonts w:ascii="Times New Roman" w:hAnsi="Times New Roman"/>
          <w:szCs w:val="22"/>
          <w:lang w:val="sk-SK"/>
        </w:rPr>
        <w:t xml:space="preserve"> poškodenie ľudských spermií. </w:t>
      </w:r>
      <w:proofErr w:type="spellStart"/>
      <w:r w:rsidRPr="00B50F60">
        <w:rPr>
          <w:rFonts w:ascii="Times New Roman" w:hAnsi="Times New Roman"/>
          <w:szCs w:val="22"/>
          <w:lang w:val="sk-SK"/>
        </w:rPr>
        <w:t>Oligospermia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alebo </w:t>
      </w:r>
      <w:proofErr w:type="spellStart"/>
      <w:r w:rsidRPr="00B50F60">
        <w:rPr>
          <w:rFonts w:ascii="Times New Roman" w:hAnsi="Times New Roman"/>
          <w:szCs w:val="22"/>
          <w:lang w:val="sk-SK"/>
        </w:rPr>
        <w:t>azoospermia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môže byť trvalá; avšak zaznamenalo sa, že v niektorých prípadoch počty spermií dosiahli norm</w:t>
      </w:r>
      <w:r w:rsidR="00E770B5" w:rsidRPr="00B50F60">
        <w:rPr>
          <w:rFonts w:ascii="Times New Roman" w:hAnsi="Times New Roman"/>
          <w:szCs w:val="22"/>
          <w:lang w:val="sk-SK"/>
        </w:rPr>
        <w:t>álnych hodn</w:t>
      </w:r>
      <w:r w:rsidR="00713807">
        <w:rPr>
          <w:rFonts w:ascii="Times New Roman" w:hAnsi="Times New Roman"/>
          <w:szCs w:val="22"/>
          <w:lang w:val="sk-SK"/>
        </w:rPr>
        <w:t>ô</w:t>
      </w:r>
      <w:r w:rsidR="00E770B5" w:rsidRPr="00B50F60">
        <w:rPr>
          <w:rFonts w:ascii="Times New Roman" w:hAnsi="Times New Roman"/>
          <w:szCs w:val="22"/>
          <w:lang w:val="sk-SK"/>
        </w:rPr>
        <w:t>t</w:t>
      </w:r>
      <w:r w:rsidRPr="00B50F60">
        <w:rPr>
          <w:rFonts w:ascii="Times New Roman" w:hAnsi="Times New Roman"/>
          <w:szCs w:val="22"/>
          <w:lang w:val="sk-SK"/>
        </w:rPr>
        <w:t xml:space="preserve">. Môže k tomu dôjsť niekoľko rokov po skončení liečby. </w:t>
      </w:r>
    </w:p>
    <w:p w14:paraId="17B5F384" w14:textId="77777777" w:rsidR="00E5312C" w:rsidRPr="00B50F60" w:rsidRDefault="00E5312C" w:rsidP="00ED7827">
      <w:pPr>
        <w:pStyle w:val="Standardenglisch"/>
        <w:tabs>
          <w:tab w:val="left" w:pos="0"/>
          <w:tab w:val="left" w:pos="284"/>
        </w:tabs>
        <w:rPr>
          <w:rFonts w:ascii="Times New Roman" w:hAnsi="Times New Roman"/>
          <w:szCs w:val="22"/>
          <w:lang w:val="sk-SK"/>
        </w:rPr>
      </w:pPr>
    </w:p>
    <w:p w14:paraId="3A4BC893" w14:textId="77777777" w:rsidR="00522E5A" w:rsidRPr="00B50F60" w:rsidRDefault="005501BD" w:rsidP="00ED7827">
      <w:pPr>
        <w:pStyle w:val="Standardenglisch"/>
        <w:tabs>
          <w:tab w:val="left" w:pos="0"/>
          <w:tab w:val="left" w:pos="284"/>
        </w:tabs>
        <w:outlineLvl w:val="0"/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u w:val="single"/>
          <w:lang w:val="sk-SK"/>
        </w:rPr>
        <w:t>Reakc</w:t>
      </w:r>
      <w:r w:rsidR="008F1E22" w:rsidRPr="00B50F60">
        <w:rPr>
          <w:rFonts w:ascii="Times New Roman" w:hAnsi="Times New Roman"/>
          <w:szCs w:val="22"/>
          <w:u w:val="single"/>
          <w:lang w:val="sk-SK"/>
        </w:rPr>
        <w:t xml:space="preserve">ie </w:t>
      </w:r>
      <w:r w:rsidR="00401178" w:rsidRPr="00B50F60">
        <w:rPr>
          <w:rFonts w:ascii="Times New Roman" w:hAnsi="Times New Roman"/>
          <w:szCs w:val="22"/>
          <w:u w:val="single"/>
          <w:lang w:val="sk-SK"/>
        </w:rPr>
        <w:t>v mieste podania</w:t>
      </w:r>
    </w:p>
    <w:p w14:paraId="085A7D08" w14:textId="77777777" w:rsidR="00B750C4" w:rsidRPr="00B50F60" w:rsidRDefault="00F66B41" w:rsidP="00ED7827">
      <w:pPr>
        <w:pStyle w:val="Standardenglisch"/>
        <w:tabs>
          <w:tab w:val="left" w:pos="0"/>
          <w:tab w:val="left" w:pos="284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 xml:space="preserve">Lokálny </w:t>
      </w:r>
      <w:proofErr w:type="spellStart"/>
      <w:r w:rsidRPr="00B50F60">
        <w:rPr>
          <w:rFonts w:ascii="Times New Roman" w:hAnsi="Times New Roman"/>
          <w:szCs w:val="22"/>
          <w:lang w:val="sk-SK"/>
        </w:rPr>
        <w:t>erytémový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</w:t>
      </w:r>
      <w:r w:rsidR="004B5888" w:rsidRPr="00B50F60">
        <w:rPr>
          <w:rFonts w:ascii="Times New Roman" w:hAnsi="Times New Roman"/>
          <w:szCs w:val="22"/>
          <w:lang w:val="sk-SK"/>
        </w:rPr>
        <w:t>pruh</w:t>
      </w:r>
      <w:r w:rsidRPr="00B50F60">
        <w:rPr>
          <w:rFonts w:ascii="Times New Roman" w:hAnsi="Times New Roman"/>
          <w:szCs w:val="22"/>
          <w:lang w:val="sk-SK"/>
        </w:rPr>
        <w:t xml:space="preserve"> pozdĺž žily rovnako ako</w:t>
      </w:r>
      <w:r w:rsidRPr="00B50F60">
        <w:rPr>
          <w:rFonts w:ascii="Times New Roman" w:hAnsi="Times New Roman"/>
          <w:color w:val="FF0000"/>
          <w:szCs w:val="22"/>
          <w:lang w:val="sk-SK"/>
        </w:rPr>
        <w:t xml:space="preserve"> </w:t>
      </w:r>
      <w:r w:rsidR="001E72F4" w:rsidRPr="00B50F60">
        <w:rPr>
          <w:rFonts w:ascii="Times New Roman" w:hAnsi="Times New Roman"/>
          <w:szCs w:val="22"/>
          <w:lang w:val="sk-SK"/>
        </w:rPr>
        <w:t>začervenanie pokožky</w:t>
      </w:r>
      <w:r w:rsidRPr="00B50F60">
        <w:rPr>
          <w:rFonts w:ascii="Times New Roman" w:hAnsi="Times New Roman"/>
          <w:szCs w:val="22"/>
          <w:lang w:val="sk-SK"/>
        </w:rPr>
        <w:t xml:space="preserve"> </w:t>
      </w:r>
      <w:r w:rsidR="004B5888" w:rsidRPr="00B50F60">
        <w:rPr>
          <w:rFonts w:ascii="Times New Roman" w:hAnsi="Times New Roman"/>
          <w:szCs w:val="22"/>
          <w:lang w:val="sk-SK"/>
        </w:rPr>
        <w:t xml:space="preserve">môžu </w:t>
      </w:r>
      <w:r w:rsidR="00A76830" w:rsidRPr="00B50F60">
        <w:rPr>
          <w:rFonts w:ascii="Times New Roman" w:hAnsi="Times New Roman"/>
          <w:szCs w:val="22"/>
          <w:lang w:val="sk-SK"/>
        </w:rPr>
        <w:t xml:space="preserve">signalizovať </w:t>
      </w:r>
      <w:r w:rsidR="00C70FA7" w:rsidRPr="00B50F60">
        <w:rPr>
          <w:rFonts w:ascii="Times New Roman" w:hAnsi="Times New Roman"/>
          <w:szCs w:val="22"/>
          <w:lang w:val="sk-SK"/>
        </w:rPr>
        <w:t>príliš rýchle podanie</w:t>
      </w:r>
      <w:r w:rsidR="00A76830" w:rsidRPr="00B50F60">
        <w:rPr>
          <w:rFonts w:ascii="Times New Roman" w:hAnsi="Times New Roman"/>
          <w:szCs w:val="22"/>
          <w:lang w:val="sk-SK"/>
        </w:rPr>
        <w:t xml:space="preserve"> </w:t>
      </w:r>
      <w:r w:rsidR="005F7046" w:rsidRPr="00B50F60">
        <w:rPr>
          <w:rFonts w:ascii="Times New Roman" w:hAnsi="Times New Roman"/>
          <w:szCs w:val="22"/>
          <w:lang w:val="sk-SK"/>
        </w:rPr>
        <w:t>lieku</w:t>
      </w:r>
      <w:r w:rsidR="00A76830" w:rsidRPr="00B50F60">
        <w:rPr>
          <w:rFonts w:ascii="Times New Roman" w:hAnsi="Times New Roman"/>
          <w:szCs w:val="22"/>
          <w:lang w:val="sk-SK"/>
        </w:rPr>
        <w:t>.</w:t>
      </w:r>
    </w:p>
    <w:p w14:paraId="127B5647" w14:textId="316E6083" w:rsidR="00C70FA7" w:rsidRPr="00B50F60" w:rsidRDefault="00C70FA7" w:rsidP="000D615A">
      <w:pPr>
        <w:pStyle w:val="Standardenglisch"/>
        <w:tabs>
          <w:tab w:val="left" w:pos="0"/>
          <w:tab w:val="left" w:pos="284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>Pri int</w:t>
      </w:r>
      <w:r w:rsidR="004B5888" w:rsidRPr="00B50F60">
        <w:rPr>
          <w:rFonts w:ascii="Times New Roman" w:hAnsi="Times New Roman"/>
          <w:szCs w:val="22"/>
          <w:lang w:val="sk-SK"/>
        </w:rPr>
        <w:t xml:space="preserve">ravenóznom podaní </w:t>
      </w:r>
      <w:proofErr w:type="spellStart"/>
      <w:r w:rsidR="004B5888" w:rsidRPr="00B50F60">
        <w:rPr>
          <w:rFonts w:ascii="Times New Roman" w:hAnsi="Times New Roman"/>
          <w:szCs w:val="22"/>
          <w:lang w:val="sk-SK"/>
        </w:rPr>
        <w:t>doxorubicínu</w:t>
      </w:r>
      <w:proofErr w:type="spellEnd"/>
      <w:r w:rsidR="004B5888" w:rsidRPr="00B50F60">
        <w:rPr>
          <w:rFonts w:ascii="Times New Roman" w:hAnsi="Times New Roman"/>
          <w:szCs w:val="22"/>
          <w:lang w:val="sk-SK"/>
        </w:rPr>
        <w:t xml:space="preserve"> </w:t>
      </w:r>
      <w:r w:rsidR="003F37DC" w:rsidRPr="00B50F60">
        <w:rPr>
          <w:rFonts w:ascii="Times New Roman" w:hAnsi="Times New Roman"/>
          <w:szCs w:val="22"/>
          <w:lang w:val="sk-SK"/>
        </w:rPr>
        <w:t xml:space="preserve">je </w:t>
      </w:r>
      <w:r w:rsidRPr="00B50F60">
        <w:rPr>
          <w:rFonts w:ascii="Times New Roman" w:hAnsi="Times New Roman"/>
          <w:szCs w:val="22"/>
          <w:lang w:val="sk-SK"/>
        </w:rPr>
        <w:t xml:space="preserve">pocit </w:t>
      </w:r>
      <w:r w:rsidR="004B5888" w:rsidRPr="00B50F60">
        <w:rPr>
          <w:rFonts w:ascii="Times New Roman" w:hAnsi="Times New Roman"/>
          <w:szCs w:val="22"/>
          <w:lang w:val="sk-SK"/>
        </w:rPr>
        <w:t xml:space="preserve">pichania alebo </w:t>
      </w:r>
      <w:r w:rsidRPr="00B50F60">
        <w:rPr>
          <w:rFonts w:ascii="Times New Roman" w:hAnsi="Times New Roman"/>
          <w:szCs w:val="22"/>
          <w:lang w:val="sk-SK"/>
        </w:rPr>
        <w:t xml:space="preserve">pálenia </w:t>
      </w:r>
      <w:r w:rsidR="003F37DC" w:rsidRPr="00B50F60">
        <w:rPr>
          <w:rFonts w:ascii="Times New Roman" w:hAnsi="Times New Roman"/>
          <w:szCs w:val="22"/>
          <w:lang w:val="sk-SK"/>
        </w:rPr>
        <w:t xml:space="preserve">príznakom </w:t>
      </w:r>
      <w:proofErr w:type="spellStart"/>
      <w:r w:rsidRPr="00B50F60">
        <w:rPr>
          <w:rFonts w:ascii="Times New Roman" w:hAnsi="Times New Roman"/>
          <w:szCs w:val="22"/>
          <w:lang w:val="sk-SK"/>
        </w:rPr>
        <w:t>extravazáci</w:t>
      </w:r>
      <w:r w:rsidR="003F37DC" w:rsidRPr="00B50F60">
        <w:rPr>
          <w:rFonts w:ascii="Times New Roman" w:hAnsi="Times New Roman"/>
          <w:szCs w:val="22"/>
          <w:lang w:val="sk-SK"/>
        </w:rPr>
        <w:t>e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. A hoci je návrat </w:t>
      </w:r>
      <w:r w:rsidR="004B5888" w:rsidRPr="00B50F60">
        <w:rPr>
          <w:rFonts w:ascii="Times New Roman" w:hAnsi="Times New Roman"/>
          <w:szCs w:val="22"/>
          <w:lang w:val="sk-SK"/>
        </w:rPr>
        <w:t>krvi pri aspirácii v infúznej i</w:t>
      </w:r>
      <w:r w:rsidRPr="00B50F60">
        <w:rPr>
          <w:rFonts w:ascii="Times New Roman" w:hAnsi="Times New Roman"/>
          <w:szCs w:val="22"/>
          <w:lang w:val="sk-SK"/>
        </w:rPr>
        <w:t xml:space="preserve">hle </w:t>
      </w:r>
      <w:r w:rsidR="004B5888" w:rsidRPr="00B50F60">
        <w:rPr>
          <w:rFonts w:ascii="Times New Roman" w:hAnsi="Times New Roman"/>
          <w:szCs w:val="22"/>
          <w:lang w:val="sk-SK"/>
        </w:rPr>
        <w:t>správny</w:t>
      </w:r>
      <w:r w:rsidRPr="00B50F60">
        <w:rPr>
          <w:rFonts w:ascii="Times New Roman" w:hAnsi="Times New Roman"/>
          <w:szCs w:val="22"/>
          <w:lang w:val="sk-SK"/>
        </w:rPr>
        <w:t xml:space="preserve">, injekcia alebo infúzia sa má ihneď ukončiť a začať podávať do inej žily. </w:t>
      </w:r>
      <w:proofErr w:type="spellStart"/>
      <w:r w:rsidR="0056336D">
        <w:rPr>
          <w:rFonts w:ascii="Times New Roman" w:hAnsi="Times New Roman"/>
          <w:szCs w:val="22"/>
          <w:lang w:val="sk-SK"/>
        </w:rPr>
        <w:t>Perivenózna</w:t>
      </w:r>
      <w:proofErr w:type="spellEnd"/>
      <w:r w:rsidR="0056336D">
        <w:rPr>
          <w:rFonts w:ascii="Times New Roman" w:hAnsi="Times New Roman"/>
          <w:szCs w:val="22"/>
          <w:lang w:val="sk-SK"/>
        </w:rPr>
        <w:t xml:space="preserve"> nesprávna injekcia má za následok miestnu </w:t>
      </w:r>
      <w:proofErr w:type="spellStart"/>
      <w:r w:rsidR="0056336D">
        <w:rPr>
          <w:rFonts w:ascii="Times New Roman" w:hAnsi="Times New Roman"/>
          <w:szCs w:val="22"/>
          <w:lang w:val="sk-SK"/>
        </w:rPr>
        <w:t>nekrózu</w:t>
      </w:r>
      <w:proofErr w:type="spellEnd"/>
      <w:r w:rsidR="0056336D">
        <w:rPr>
          <w:rFonts w:ascii="Times New Roman" w:hAnsi="Times New Roman"/>
          <w:szCs w:val="22"/>
          <w:lang w:val="sk-SK"/>
        </w:rPr>
        <w:t xml:space="preserve"> a tromboflebitídu. </w:t>
      </w:r>
      <w:r w:rsidR="00F847DD">
        <w:rPr>
          <w:rFonts w:ascii="Times New Roman" w:hAnsi="Times New Roman"/>
          <w:szCs w:val="22"/>
          <w:lang w:val="sk-SK"/>
        </w:rPr>
        <w:t xml:space="preserve">Pocit pálenia v oblasti infúznej ihly </w:t>
      </w:r>
      <w:r w:rsidR="00946A86">
        <w:rPr>
          <w:rFonts w:ascii="Times New Roman" w:hAnsi="Times New Roman"/>
          <w:szCs w:val="22"/>
          <w:lang w:val="sk-SK"/>
        </w:rPr>
        <w:t>na</w:t>
      </w:r>
      <w:r w:rsidR="00F847DD">
        <w:rPr>
          <w:rFonts w:ascii="Times New Roman" w:hAnsi="Times New Roman"/>
          <w:szCs w:val="22"/>
          <w:lang w:val="sk-SK"/>
        </w:rPr>
        <w:t xml:space="preserve">značuje </w:t>
      </w:r>
      <w:proofErr w:type="spellStart"/>
      <w:r w:rsidR="00F847DD">
        <w:rPr>
          <w:rFonts w:ascii="Times New Roman" w:hAnsi="Times New Roman"/>
          <w:szCs w:val="22"/>
          <w:lang w:val="sk-SK"/>
        </w:rPr>
        <w:t>perivenózne</w:t>
      </w:r>
      <w:proofErr w:type="spellEnd"/>
      <w:r w:rsidR="00F847DD">
        <w:rPr>
          <w:rFonts w:ascii="Times New Roman" w:hAnsi="Times New Roman"/>
          <w:szCs w:val="22"/>
          <w:lang w:val="sk-SK"/>
        </w:rPr>
        <w:t xml:space="preserve"> podanie. Ak dôjde k </w:t>
      </w:r>
      <w:proofErr w:type="spellStart"/>
      <w:r w:rsidR="00F847DD">
        <w:rPr>
          <w:rFonts w:ascii="Times New Roman" w:hAnsi="Times New Roman"/>
          <w:szCs w:val="22"/>
          <w:lang w:val="sk-SK"/>
        </w:rPr>
        <w:t>extravazácii</w:t>
      </w:r>
      <w:proofErr w:type="spellEnd"/>
      <w:r w:rsidR="00F847DD">
        <w:rPr>
          <w:rFonts w:ascii="Times New Roman" w:hAnsi="Times New Roman"/>
          <w:szCs w:val="22"/>
          <w:lang w:val="sk-SK"/>
        </w:rPr>
        <w:t>, infúzia alebo injekcia sa mus</w:t>
      </w:r>
      <w:r w:rsidR="00946A86">
        <w:rPr>
          <w:rFonts w:ascii="Times New Roman" w:hAnsi="Times New Roman"/>
          <w:szCs w:val="22"/>
          <w:lang w:val="sk-SK"/>
        </w:rPr>
        <w:t>ia</w:t>
      </w:r>
      <w:r w:rsidR="00F847DD">
        <w:rPr>
          <w:rFonts w:ascii="Times New Roman" w:hAnsi="Times New Roman"/>
          <w:szCs w:val="22"/>
          <w:lang w:val="sk-SK"/>
        </w:rPr>
        <w:t xml:space="preserve"> </w:t>
      </w:r>
      <w:r w:rsidR="00946A86">
        <w:rPr>
          <w:rFonts w:ascii="Times New Roman" w:hAnsi="Times New Roman"/>
          <w:szCs w:val="22"/>
          <w:lang w:val="sk-SK"/>
        </w:rPr>
        <w:t xml:space="preserve">okamžite </w:t>
      </w:r>
      <w:r w:rsidR="00F847DD">
        <w:rPr>
          <w:rFonts w:ascii="Times New Roman" w:hAnsi="Times New Roman"/>
          <w:szCs w:val="22"/>
          <w:lang w:val="sk-SK"/>
        </w:rPr>
        <w:t>zastaviť, ihla sa má na krátku dobu ponechať na mieste a</w:t>
      </w:r>
      <w:r w:rsidR="00946A86">
        <w:rPr>
          <w:rFonts w:ascii="Times New Roman" w:hAnsi="Times New Roman"/>
          <w:szCs w:val="22"/>
          <w:lang w:val="sk-SK"/>
        </w:rPr>
        <w:t> </w:t>
      </w:r>
      <w:r w:rsidR="00F847DD">
        <w:rPr>
          <w:rFonts w:ascii="Times New Roman" w:hAnsi="Times New Roman"/>
          <w:szCs w:val="22"/>
          <w:lang w:val="sk-SK"/>
        </w:rPr>
        <w:t>potom</w:t>
      </w:r>
      <w:r w:rsidR="00946A86">
        <w:rPr>
          <w:rFonts w:ascii="Times New Roman" w:hAnsi="Times New Roman"/>
          <w:szCs w:val="22"/>
          <w:lang w:val="sk-SK"/>
        </w:rPr>
        <w:t>, po krátkej aspirácii</w:t>
      </w:r>
      <w:r w:rsidR="00F847DD">
        <w:rPr>
          <w:rFonts w:ascii="Times New Roman" w:hAnsi="Times New Roman"/>
          <w:szCs w:val="22"/>
          <w:lang w:val="sk-SK"/>
        </w:rPr>
        <w:t xml:space="preserve"> odstrániť.</w:t>
      </w:r>
      <w:r w:rsidR="0056336D">
        <w:rPr>
          <w:rFonts w:ascii="Times New Roman" w:hAnsi="Times New Roman"/>
          <w:szCs w:val="22"/>
          <w:lang w:val="sk-SK"/>
        </w:rPr>
        <w:t xml:space="preserve"> </w:t>
      </w:r>
      <w:r w:rsidR="001062EB" w:rsidRPr="00B50F60">
        <w:rPr>
          <w:rFonts w:ascii="Times New Roman" w:hAnsi="Times New Roman"/>
          <w:szCs w:val="22"/>
          <w:lang w:val="sk-SK"/>
        </w:rPr>
        <w:t xml:space="preserve">V prípade </w:t>
      </w:r>
      <w:proofErr w:type="spellStart"/>
      <w:r w:rsidR="001062EB" w:rsidRPr="00B50F60">
        <w:rPr>
          <w:rFonts w:ascii="Times New Roman" w:hAnsi="Times New Roman"/>
          <w:szCs w:val="22"/>
          <w:lang w:val="sk-SK"/>
        </w:rPr>
        <w:t>extravazácie</w:t>
      </w:r>
      <w:proofErr w:type="spellEnd"/>
      <w:r w:rsidR="001062EB" w:rsidRPr="00B50F60">
        <w:rPr>
          <w:rFonts w:ascii="Times New Roman" w:hAnsi="Times New Roman"/>
          <w:szCs w:val="22"/>
          <w:lang w:val="sk-SK"/>
        </w:rPr>
        <w:t xml:space="preserve"> začnite intravenóznu infúziu </w:t>
      </w:r>
      <w:proofErr w:type="spellStart"/>
      <w:r w:rsidR="001062EB" w:rsidRPr="00B50F60">
        <w:rPr>
          <w:rFonts w:ascii="Times New Roman" w:hAnsi="Times New Roman"/>
          <w:szCs w:val="22"/>
          <w:lang w:val="sk-SK"/>
        </w:rPr>
        <w:t>dexrazoxanu</w:t>
      </w:r>
      <w:proofErr w:type="spellEnd"/>
      <w:r w:rsidR="001062EB" w:rsidRPr="00B50F60">
        <w:rPr>
          <w:rFonts w:ascii="Times New Roman" w:hAnsi="Times New Roman"/>
          <w:szCs w:val="22"/>
          <w:lang w:val="sk-SK"/>
        </w:rPr>
        <w:t xml:space="preserve"> najneskôr 6</w:t>
      </w:r>
      <w:r w:rsidR="00B4363B">
        <w:rPr>
          <w:rFonts w:ascii="Times New Roman" w:hAnsi="Times New Roman"/>
          <w:szCs w:val="22"/>
          <w:lang w:val="sk-SK"/>
        </w:rPr>
        <w:t> </w:t>
      </w:r>
      <w:r w:rsidR="001062EB" w:rsidRPr="00B50F60">
        <w:rPr>
          <w:rFonts w:ascii="Times New Roman" w:hAnsi="Times New Roman"/>
          <w:szCs w:val="22"/>
          <w:lang w:val="sk-SK"/>
        </w:rPr>
        <w:t xml:space="preserve">hodín po </w:t>
      </w:r>
      <w:proofErr w:type="spellStart"/>
      <w:r w:rsidR="001062EB" w:rsidRPr="00B50F60">
        <w:rPr>
          <w:rFonts w:ascii="Times New Roman" w:hAnsi="Times New Roman"/>
          <w:szCs w:val="22"/>
          <w:lang w:val="sk-SK"/>
        </w:rPr>
        <w:t>extravazácii</w:t>
      </w:r>
      <w:proofErr w:type="spellEnd"/>
      <w:r w:rsidR="001062EB" w:rsidRPr="00B50F60">
        <w:rPr>
          <w:rFonts w:ascii="Times New Roman" w:hAnsi="Times New Roman"/>
          <w:szCs w:val="22"/>
          <w:lang w:val="sk-SK"/>
        </w:rPr>
        <w:t xml:space="preserve"> (</w:t>
      </w:r>
      <w:r w:rsidR="001062EB" w:rsidRPr="003E0478">
        <w:rPr>
          <w:rFonts w:ascii="Times New Roman" w:hAnsi="Times New Roman"/>
          <w:szCs w:val="22"/>
          <w:lang w:val="sk-SK"/>
        </w:rPr>
        <w:t>dávkovanie a ďalšie informácie nájdete v súhrne charakteristických vlastností lieku (</w:t>
      </w:r>
      <w:proofErr w:type="spellStart"/>
      <w:r w:rsidR="001062EB" w:rsidRPr="003E0478">
        <w:rPr>
          <w:rFonts w:ascii="Times New Roman" w:hAnsi="Times New Roman"/>
          <w:szCs w:val="22"/>
          <w:lang w:val="sk-SK"/>
        </w:rPr>
        <w:t>SmPC</w:t>
      </w:r>
      <w:proofErr w:type="spellEnd"/>
      <w:r w:rsidR="001062EB" w:rsidRPr="003E0478">
        <w:rPr>
          <w:rFonts w:ascii="Times New Roman" w:hAnsi="Times New Roman"/>
          <w:szCs w:val="22"/>
          <w:lang w:val="sk-SK"/>
        </w:rPr>
        <w:t xml:space="preserve">) pre </w:t>
      </w:r>
      <w:proofErr w:type="spellStart"/>
      <w:r w:rsidR="001062EB" w:rsidRPr="003E0478">
        <w:rPr>
          <w:rFonts w:ascii="Times New Roman" w:hAnsi="Times New Roman"/>
          <w:szCs w:val="22"/>
          <w:lang w:val="sk-SK"/>
        </w:rPr>
        <w:t>dexrazoxan</w:t>
      </w:r>
      <w:proofErr w:type="spellEnd"/>
      <w:r w:rsidR="004427F7" w:rsidRPr="003E0478">
        <w:rPr>
          <w:rFonts w:ascii="Times New Roman" w:hAnsi="Times New Roman"/>
          <w:szCs w:val="22"/>
          <w:lang w:val="sk-SK"/>
        </w:rPr>
        <w:t>)</w:t>
      </w:r>
      <w:r w:rsidR="001062EB" w:rsidRPr="003E0478">
        <w:rPr>
          <w:rFonts w:ascii="Times New Roman" w:hAnsi="Times New Roman"/>
          <w:szCs w:val="22"/>
          <w:lang w:val="sk-SK"/>
        </w:rPr>
        <w:t xml:space="preserve">. </w:t>
      </w:r>
      <w:r w:rsidR="00170DB8">
        <w:rPr>
          <w:rFonts w:ascii="Times New Roman" w:hAnsi="Times New Roman"/>
          <w:szCs w:val="22"/>
          <w:lang w:val="sk-SK"/>
        </w:rPr>
        <w:t xml:space="preserve">Ak je </w:t>
      </w:r>
      <w:proofErr w:type="spellStart"/>
      <w:r w:rsidR="00170DB8">
        <w:rPr>
          <w:rFonts w:ascii="Times New Roman" w:hAnsi="Times New Roman"/>
          <w:szCs w:val="22"/>
          <w:lang w:val="sk-SK"/>
        </w:rPr>
        <w:t>dexrazoxan</w:t>
      </w:r>
      <w:proofErr w:type="spellEnd"/>
      <w:r w:rsidR="00170DB8">
        <w:rPr>
          <w:rFonts w:ascii="Times New Roman" w:hAnsi="Times New Roman"/>
          <w:szCs w:val="22"/>
          <w:lang w:val="sk-SK"/>
        </w:rPr>
        <w:t xml:space="preserve"> kontraindikovaný, </w:t>
      </w:r>
      <w:r w:rsidR="001062EB" w:rsidRPr="003E0478">
        <w:rPr>
          <w:rFonts w:ascii="Times New Roman" w:hAnsi="Times New Roman"/>
          <w:szCs w:val="22"/>
          <w:lang w:val="sk-SK"/>
        </w:rPr>
        <w:t xml:space="preserve">odporúča </w:t>
      </w:r>
      <w:r w:rsidR="00170DB8">
        <w:rPr>
          <w:rFonts w:ascii="Times New Roman" w:hAnsi="Times New Roman"/>
          <w:szCs w:val="22"/>
          <w:lang w:val="sk-SK"/>
        </w:rPr>
        <w:t xml:space="preserve">sa </w:t>
      </w:r>
      <w:r w:rsidR="001062EB" w:rsidRPr="003E0478">
        <w:rPr>
          <w:rFonts w:ascii="Times New Roman" w:hAnsi="Times New Roman"/>
          <w:szCs w:val="22"/>
          <w:lang w:val="sk-SK"/>
        </w:rPr>
        <w:t xml:space="preserve">lokálne aplikovať 99 % </w:t>
      </w:r>
      <w:proofErr w:type="spellStart"/>
      <w:r w:rsidR="001062EB" w:rsidRPr="003E0478">
        <w:rPr>
          <w:rFonts w:ascii="Times New Roman" w:hAnsi="Times New Roman"/>
          <w:szCs w:val="22"/>
          <w:lang w:val="sk-SK"/>
        </w:rPr>
        <w:t>dimetylsulfoxid</w:t>
      </w:r>
      <w:proofErr w:type="spellEnd"/>
      <w:r w:rsidR="001062EB" w:rsidRPr="003E0478">
        <w:rPr>
          <w:rFonts w:ascii="Times New Roman" w:hAnsi="Times New Roman"/>
          <w:szCs w:val="22"/>
          <w:lang w:val="sk-SK"/>
        </w:rPr>
        <w:t xml:space="preserve"> (DMSO) na oblasť dvojnásobnej veľkosti ako je postihnutá oblasť (4</w:t>
      </w:r>
      <w:r w:rsidR="00B4363B">
        <w:rPr>
          <w:rFonts w:ascii="Times New Roman" w:hAnsi="Times New Roman"/>
          <w:szCs w:val="22"/>
          <w:lang w:val="sk-SK"/>
        </w:rPr>
        <w:t> </w:t>
      </w:r>
      <w:r w:rsidR="001062EB" w:rsidRPr="003E0478">
        <w:rPr>
          <w:rFonts w:ascii="Times New Roman" w:hAnsi="Times New Roman"/>
          <w:szCs w:val="22"/>
          <w:lang w:val="sk-SK"/>
        </w:rPr>
        <w:t>kvapky na 10</w:t>
      </w:r>
      <w:r w:rsidR="00B4363B">
        <w:rPr>
          <w:rFonts w:ascii="Times New Roman" w:hAnsi="Times New Roman"/>
          <w:szCs w:val="22"/>
          <w:lang w:val="sk-SK"/>
        </w:rPr>
        <w:t> </w:t>
      </w:r>
      <w:r w:rsidR="001062EB" w:rsidRPr="003E0478">
        <w:rPr>
          <w:rFonts w:ascii="Times New Roman" w:hAnsi="Times New Roman"/>
          <w:szCs w:val="22"/>
          <w:lang w:val="sk-SK"/>
        </w:rPr>
        <w:t xml:space="preserve">cm² oblasti kožného povrchu) a toto opakovať trikrát </w:t>
      </w:r>
      <w:r w:rsidR="000D615A" w:rsidRPr="003E0478">
        <w:rPr>
          <w:rFonts w:ascii="Times New Roman" w:hAnsi="Times New Roman"/>
          <w:szCs w:val="22"/>
          <w:lang w:val="sk-SK"/>
        </w:rPr>
        <w:t xml:space="preserve">denne </w:t>
      </w:r>
      <w:r w:rsidR="001062EB" w:rsidRPr="003E0478">
        <w:rPr>
          <w:rFonts w:ascii="Times New Roman" w:hAnsi="Times New Roman"/>
          <w:szCs w:val="22"/>
          <w:lang w:val="sk-SK"/>
        </w:rPr>
        <w:t xml:space="preserve">po dobu </w:t>
      </w:r>
      <w:r w:rsidR="009900D9">
        <w:rPr>
          <w:rFonts w:ascii="Times New Roman" w:hAnsi="Times New Roman"/>
          <w:szCs w:val="22"/>
          <w:lang w:val="sk-SK"/>
        </w:rPr>
        <w:t>najmenej</w:t>
      </w:r>
      <w:r w:rsidR="001062EB" w:rsidRPr="003E0478">
        <w:rPr>
          <w:rFonts w:ascii="Times New Roman" w:hAnsi="Times New Roman"/>
          <w:szCs w:val="22"/>
          <w:lang w:val="sk-SK"/>
        </w:rPr>
        <w:t xml:space="preserve"> 14</w:t>
      </w:r>
      <w:r w:rsidR="00B4363B">
        <w:rPr>
          <w:rFonts w:ascii="Times New Roman" w:hAnsi="Times New Roman"/>
          <w:szCs w:val="22"/>
          <w:lang w:val="sk-SK"/>
        </w:rPr>
        <w:t> </w:t>
      </w:r>
      <w:r w:rsidR="001062EB" w:rsidRPr="003E0478">
        <w:rPr>
          <w:rFonts w:ascii="Times New Roman" w:hAnsi="Times New Roman"/>
          <w:szCs w:val="22"/>
          <w:lang w:val="sk-SK"/>
        </w:rPr>
        <w:t>dní. Podľa potreby treba zvážiť vyčistenie. Kvôli antagonistickému mechanizmu</w:t>
      </w:r>
      <w:r w:rsidR="001062EB" w:rsidRPr="00B50F60">
        <w:rPr>
          <w:rFonts w:ascii="Times New Roman" w:hAnsi="Times New Roman"/>
          <w:szCs w:val="22"/>
          <w:lang w:val="sk-SK"/>
        </w:rPr>
        <w:t xml:space="preserve"> je po aplikácii DSMO (</w:t>
      </w:r>
      <w:proofErr w:type="spellStart"/>
      <w:r w:rsidR="001062EB" w:rsidRPr="00B50F60">
        <w:rPr>
          <w:rFonts w:ascii="Times New Roman" w:hAnsi="Times New Roman"/>
          <w:szCs w:val="22"/>
          <w:lang w:val="sk-SK"/>
        </w:rPr>
        <w:t>vazokonstrikcia</w:t>
      </w:r>
      <w:proofErr w:type="spellEnd"/>
      <w:r w:rsidR="001062EB" w:rsidRPr="00B50F60">
        <w:rPr>
          <w:rFonts w:ascii="Times New Roman" w:hAnsi="Times New Roman"/>
          <w:szCs w:val="22"/>
          <w:lang w:val="sk-SK"/>
        </w:rPr>
        <w:t xml:space="preserve"> oproti </w:t>
      </w:r>
      <w:proofErr w:type="spellStart"/>
      <w:r w:rsidR="001062EB" w:rsidRPr="00B50F60">
        <w:rPr>
          <w:rFonts w:ascii="Times New Roman" w:hAnsi="Times New Roman"/>
          <w:szCs w:val="22"/>
          <w:lang w:val="sk-SK"/>
        </w:rPr>
        <w:t>vazodilatácii</w:t>
      </w:r>
      <w:proofErr w:type="spellEnd"/>
      <w:r w:rsidR="001062EB" w:rsidRPr="00B50F60">
        <w:rPr>
          <w:rFonts w:ascii="Times New Roman" w:hAnsi="Times New Roman"/>
          <w:szCs w:val="22"/>
          <w:lang w:val="sk-SK"/>
        </w:rPr>
        <w:t xml:space="preserve">) potrebné oblasť schladiť, napríklad na zníženie bolesti. DSMO nepoužívajte u pacientov, ktorí dostávajú </w:t>
      </w:r>
      <w:proofErr w:type="spellStart"/>
      <w:r w:rsidR="001062EB" w:rsidRPr="00B50F60">
        <w:rPr>
          <w:rFonts w:ascii="Times New Roman" w:hAnsi="Times New Roman"/>
          <w:szCs w:val="22"/>
          <w:lang w:val="sk-SK"/>
        </w:rPr>
        <w:t>dexrazoxan</w:t>
      </w:r>
      <w:proofErr w:type="spellEnd"/>
      <w:r w:rsidR="001062EB" w:rsidRPr="00B50F60">
        <w:rPr>
          <w:rFonts w:ascii="Times New Roman" w:hAnsi="Times New Roman"/>
          <w:szCs w:val="22"/>
          <w:lang w:val="sk-SK"/>
        </w:rPr>
        <w:t xml:space="preserve"> na liečbu </w:t>
      </w:r>
      <w:proofErr w:type="spellStart"/>
      <w:r w:rsidR="001062EB" w:rsidRPr="00B50F60">
        <w:rPr>
          <w:rFonts w:ascii="Times New Roman" w:hAnsi="Times New Roman"/>
          <w:szCs w:val="22"/>
          <w:lang w:val="sk-SK"/>
        </w:rPr>
        <w:t>extravazácie</w:t>
      </w:r>
      <w:proofErr w:type="spellEnd"/>
      <w:r w:rsidR="001062EB" w:rsidRPr="00B50F60">
        <w:rPr>
          <w:rFonts w:ascii="Times New Roman" w:hAnsi="Times New Roman"/>
          <w:szCs w:val="22"/>
          <w:lang w:val="sk-SK"/>
        </w:rPr>
        <w:t xml:space="preserve"> spôsobenej </w:t>
      </w:r>
      <w:proofErr w:type="spellStart"/>
      <w:r w:rsidR="001062EB" w:rsidRPr="00B50F60">
        <w:rPr>
          <w:rFonts w:ascii="Times New Roman" w:hAnsi="Times New Roman"/>
          <w:szCs w:val="22"/>
          <w:lang w:val="sk-SK"/>
        </w:rPr>
        <w:t>antracyklínom</w:t>
      </w:r>
      <w:proofErr w:type="spellEnd"/>
      <w:r w:rsidR="001062EB" w:rsidRPr="00B50F60">
        <w:rPr>
          <w:rFonts w:ascii="Times New Roman" w:hAnsi="Times New Roman"/>
          <w:szCs w:val="22"/>
          <w:lang w:val="sk-SK"/>
        </w:rPr>
        <w:t>. Iné opatrenia sa v literatúre považujú za kontroverzné a nemajú žiadnu jednoznačnú hodnotu.</w:t>
      </w:r>
    </w:p>
    <w:p w14:paraId="20A9A861" w14:textId="77777777" w:rsidR="00B750C4" w:rsidRPr="00B50F60" w:rsidRDefault="00B750C4" w:rsidP="00ED7827">
      <w:pPr>
        <w:pStyle w:val="Standardenglisch"/>
        <w:tabs>
          <w:tab w:val="left" w:pos="0"/>
          <w:tab w:val="left" w:pos="284"/>
        </w:tabs>
        <w:rPr>
          <w:rFonts w:ascii="Times New Roman" w:hAnsi="Times New Roman"/>
          <w:szCs w:val="22"/>
          <w:lang w:val="sk-SK"/>
        </w:rPr>
      </w:pPr>
    </w:p>
    <w:p w14:paraId="27AD48C3" w14:textId="77777777" w:rsidR="002308F7" w:rsidRPr="00B50F60" w:rsidRDefault="002308F7" w:rsidP="00ED7827">
      <w:pPr>
        <w:pStyle w:val="Standardenglisch"/>
        <w:tabs>
          <w:tab w:val="left" w:pos="0"/>
          <w:tab w:val="left" w:pos="284"/>
        </w:tabs>
        <w:rPr>
          <w:rFonts w:ascii="Times New Roman" w:hAnsi="Times New Roman"/>
          <w:szCs w:val="22"/>
          <w:lang w:val="sk-SK"/>
        </w:rPr>
      </w:pPr>
      <w:proofErr w:type="spellStart"/>
      <w:r w:rsidRPr="00B50F60">
        <w:rPr>
          <w:rFonts w:ascii="Times New Roman" w:hAnsi="Times New Roman"/>
          <w:szCs w:val="22"/>
          <w:lang w:val="sk-SK"/>
        </w:rPr>
        <w:t>Doxorubicín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sa nesmie podávať </w:t>
      </w:r>
      <w:proofErr w:type="spellStart"/>
      <w:r w:rsidRPr="00B50F60">
        <w:rPr>
          <w:rFonts w:ascii="Times New Roman" w:hAnsi="Times New Roman"/>
          <w:szCs w:val="22"/>
          <w:lang w:val="sk-SK"/>
        </w:rPr>
        <w:t>intratekálne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ani </w:t>
      </w:r>
      <w:proofErr w:type="spellStart"/>
      <w:r w:rsidRPr="00B50F60">
        <w:rPr>
          <w:rFonts w:ascii="Times New Roman" w:hAnsi="Times New Roman"/>
          <w:szCs w:val="22"/>
          <w:lang w:val="sk-SK"/>
        </w:rPr>
        <w:t>intramuskulárne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alebo dlhotrvajúcou infúziou. Priama intravenózna infúzia sa neodporúča kvôli poškodeniu tkaniva, ktoré sa môže vyskytnúť, ak do tkanív prenikne infúzia. V prípade použitia centrálneho katétra sa odporúča infúzia </w:t>
      </w:r>
      <w:proofErr w:type="spellStart"/>
      <w:r w:rsidRPr="00B50F60">
        <w:rPr>
          <w:rFonts w:ascii="Times New Roman" w:hAnsi="Times New Roman"/>
          <w:szCs w:val="22"/>
          <w:lang w:val="sk-SK"/>
        </w:rPr>
        <w:t>doxorubicínu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v 0,9 % injekčnom roztoku chloridu sodného.</w:t>
      </w:r>
    </w:p>
    <w:p w14:paraId="3DCD2B2B" w14:textId="77777777" w:rsidR="002308F7" w:rsidRPr="00B50F60" w:rsidRDefault="002308F7" w:rsidP="00ED7827">
      <w:pPr>
        <w:pStyle w:val="Standardenglisch"/>
        <w:tabs>
          <w:tab w:val="left" w:pos="0"/>
          <w:tab w:val="left" w:pos="284"/>
        </w:tabs>
        <w:rPr>
          <w:rFonts w:ascii="Times New Roman" w:hAnsi="Times New Roman"/>
          <w:szCs w:val="22"/>
          <w:lang w:val="sk-SK"/>
        </w:rPr>
      </w:pPr>
    </w:p>
    <w:p w14:paraId="02FDF1A8" w14:textId="77777777" w:rsidR="00522E5A" w:rsidRPr="00B50F60" w:rsidRDefault="002308F7" w:rsidP="00ED7827">
      <w:pPr>
        <w:pStyle w:val="Standardenglisch"/>
        <w:tabs>
          <w:tab w:val="left" w:pos="0"/>
          <w:tab w:val="left" w:pos="284"/>
        </w:tabs>
        <w:outlineLvl w:val="0"/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u w:val="single"/>
          <w:lang w:val="sk-SK"/>
        </w:rPr>
        <w:t>Iné</w:t>
      </w:r>
    </w:p>
    <w:p w14:paraId="632C761F" w14:textId="77777777" w:rsidR="002308F7" w:rsidRPr="00B50F60" w:rsidRDefault="002308F7" w:rsidP="00ED7827">
      <w:pPr>
        <w:pStyle w:val="Standardenglisch"/>
        <w:tabs>
          <w:tab w:val="left" w:pos="0"/>
          <w:tab w:val="left" w:pos="284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>Opatrnosť je tiež potrebná počas súbežnej alebo predošlej rádioterapi</w:t>
      </w:r>
      <w:r w:rsidR="00E308B6" w:rsidRPr="00B50F60">
        <w:rPr>
          <w:rFonts w:ascii="Times New Roman" w:hAnsi="Times New Roman"/>
          <w:szCs w:val="22"/>
          <w:lang w:val="sk-SK"/>
        </w:rPr>
        <w:t>e</w:t>
      </w:r>
      <w:r w:rsidRPr="00B50F6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B50F60">
        <w:rPr>
          <w:rFonts w:ascii="Times New Roman" w:hAnsi="Times New Roman"/>
          <w:szCs w:val="22"/>
          <w:lang w:val="sk-SK"/>
        </w:rPr>
        <w:t>mediastinálnej</w:t>
      </w:r>
      <w:proofErr w:type="spellEnd"/>
      <w:r w:rsidRPr="00B50F60">
        <w:rPr>
          <w:rFonts w:ascii="Times New Roman" w:hAnsi="Times New Roman"/>
          <w:szCs w:val="22"/>
          <w:lang w:val="sk-SK"/>
        </w:rPr>
        <w:t>/</w:t>
      </w:r>
      <w:proofErr w:type="spellStart"/>
      <w:r w:rsidRPr="00B50F60">
        <w:rPr>
          <w:rFonts w:ascii="Times New Roman" w:hAnsi="Times New Roman"/>
          <w:szCs w:val="22"/>
          <w:lang w:val="sk-SK"/>
        </w:rPr>
        <w:t>perikardiálnej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oblasti alebo po liečbe s inými </w:t>
      </w:r>
      <w:proofErr w:type="spellStart"/>
      <w:r w:rsidRPr="00B50F60">
        <w:rPr>
          <w:rFonts w:ascii="Times New Roman" w:hAnsi="Times New Roman"/>
          <w:szCs w:val="22"/>
          <w:lang w:val="sk-SK"/>
        </w:rPr>
        <w:t>kardiotoxickými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látkami.</w:t>
      </w:r>
    </w:p>
    <w:p w14:paraId="3BBC7707" w14:textId="77777777" w:rsidR="002308F7" w:rsidRPr="00B50F60" w:rsidRDefault="002308F7" w:rsidP="00ED7827">
      <w:pPr>
        <w:pStyle w:val="Standardenglisch"/>
        <w:tabs>
          <w:tab w:val="left" w:pos="0"/>
          <w:tab w:val="left" w:pos="284"/>
        </w:tabs>
        <w:rPr>
          <w:rFonts w:ascii="Times New Roman" w:hAnsi="Times New Roman"/>
          <w:szCs w:val="22"/>
          <w:lang w:val="sk-SK"/>
        </w:rPr>
      </w:pPr>
    </w:p>
    <w:p w14:paraId="482F2A60" w14:textId="77777777" w:rsidR="002308F7" w:rsidRPr="00B50F60" w:rsidRDefault="002308F7" w:rsidP="00ED7827">
      <w:pPr>
        <w:pStyle w:val="Standardenglisch"/>
        <w:tabs>
          <w:tab w:val="left" w:pos="0"/>
          <w:tab w:val="left" w:pos="284"/>
        </w:tabs>
        <w:rPr>
          <w:rFonts w:ascii="Times New Roman" w:hAnsi="Times New Roman"/>
          <w:szCs w:val="22"/>
          <w:lang w:val="sk-SK"/>
        </w:rPr>
      </w:pPr>
      <w:proofErr w:type="spellStart"/>
      <w:r w:rsidRPr="00B50F60">
        <w:rPr>
          <w:rFonts w:ascii="Times New Roman" w:hAnsi="Times New Roman"/>
          <w:szCs w:val="22"/>
          <w:lang w:val="sk-SK"/>
        </w:rPr>
        <w:t>Doxorubicín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môže vyvolať </w:t>
      </w:r>
      <w:proofErr w:type="spellStart"/>
      <w:r w:rsidRPr="00B50F60">
        <w:rPr>
          <w:rFonts w:ascii="Times New Roman" w:hAnsi="Times New Roman"/>
          <w:szCs w:val="22"/>
          <w:lang w:val="sk-SK"/>
        </w:rPr>
        <w:t>hyperurikémiu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ako dôsledok nadmerného </w:t>
      </w:r>
      <w:proofErr w:type="spellStart"/>
      <w:r w:rsidRPr="00B50F60">
        <w:rPr>
          <w:rFonts w:ascii="Times New Roman" w:hAnsi="Times New Roman"/>
          <w:szCs w:val="22"/>
          <w:lang w:val="sk-SK"/>
        </w:rPr>
        <w:t>purínového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B50F60">
        <w:rPr>
          <w:rFonts w:ascii="Times New Roman" w:hAnsi="Times New Roman"/>
          <w:szCs w:val="22"/>
          <w:lang w:val="sk-SK"/>
        </w:rPr>
        <w:t>katabolizmu</w:t>
      </w:r>
      <w:proofErr w:type="spellEnd"/>
      <w:r w:rsidRPr="00B50F60">
        <w:rPr>
          <w:rFonts w:ascii="Times New Roman" w:hAnsi="Times New Roman"/>
          <w:szCs w:val="22"/>
          <w:lang w:val="sk-SK"/>
        </w:rPr>
        <w:t>, ktorý sprevádza</w:t>
      </w:r>
      <w:r w:rsidR="00987D96" w:rsidRPr="00B50F60">
        <w:rPr>
          <w:rFonts w:ascii="Times New Roman" w:hAnsi="Times New Roman"/>
          <w:szCs w:val="22"/>
          <w:lang w:val="sk-SK"/>
        </w:rPr>
        <w:t xml:space="preserve"> liekom indukovaný rýchly rozpad </w:t>
      </w:r>
      <w:proofErr w:type="spellStart"/>
      <w:r w:rsidR="00CC3FDC" w:rsidRPr="00B50F60">
        <w:rPr>
          <w:rFonts w:ascii="Times New Roman" w:hAnsi="Times New Roman"/>
          <w:szCs w:val="22"/>
          <w:lang w:val="sk-SK"/>
        </w:rPr>
        <w:t>neoplastických</w:t>
      </w:r>
      <w:proofErr w:type="spellEnd"/>
      <w:r w:rsidR="00CC3FDC" w:rsidRPr="00B50F60">
        <w:rPr>
          <w:rFonts w:ascii="Times New Roman" w:hAnsi="Times New Roman"/>
          <w:szCs w:val="22"/>
          <w:lang w:val="sk-SK"/>
        </w:rPr>
        <w:t xml:space="preserve"> buniek</w:t>
      </w:r>
      <w:r w:rsidRPr="00B50F60">
        <w:rPr>
          <w:rFonts w:ascii="Times New Roman" w:hAnsi="Times New Roman"/>
          <w:szCs w:val="22"/>
          <w:lang w:val="sk-SK"/>
        </w:rPr>
        <w:t xml:space="preserve"> (syndróm </w:t>
      </w:r>
      <w:r w:rsidR="008D14E8" w:rsidRPr="00B50F60">
        <w:rPr>
          <w:rFonts w:ascii="Times New Roman" w:hAnsi="Times New Roman"/>
          <w:szCs w:val="22"/>
          <w:lang w:val="sk-SK"/>
        </w:rPr>
        <w:t>nádorového rozpadu</w:t>
      </w:r>
      <w:r w:rsidRPr="00B50F60">
        <w:rPr>
          <w:rFonts w:ascii="Times New Roman" w:hAnsi="Times New Roman"/>
          <w:szCs w:val="22"/>
          <w:lang w:val="sk-SK"/>
        </w:rPr>
        <w:t xml:space="preserve">) (pozri časť 4.8). Po úvodnej liečbe sa majú vyšetriť hladiny kyseliny močovej v krvi, draslíka, fosforečnanu vápenatého a </w:t>
      </w:r>
      <w:proofErr w:type="spellStart"/>
      <w:r w:rsidRPr="00B50F60">
        <w:rPr>
          <w:rFonts w:ascii="Times New Roman" w:hAnsi="Times New Roman"/>
          <w:szCs w:val="22"/>
          <w:lang w:val="sk-SK"/>
        </w:rPr>
        <w:t>kreatinínu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. Hydratácia, </w:t>
      </w:r>
      <w:proofErr w:type="spellStart"/>
      <w:r w:rsidRPr="00B50F60">
        <w:rPr>
          <w:rFonts w:ascii="Times New Roman" w:hAnsi="Times New Roman"/>
          <w:szCs w:val="22"/>
          <w:lang w:val="sk-SK"/>
        </w:rPr>
        <w:t>alkalinizácia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moču a profylaxia </w:t>
      </w:r>
      <w:proofErr w:type="spellStart"/>
      <w:r w:rsidRPr="00B50F60">
        <w:rPr>
          <w:rFonts w:ascii="Times New Roman" w:hAnsi="Times New Roman"/>
          <w:szCs w:val="22"/>
          <w:lang w:val="sk-SK"/>
        </w:rPr>
        <w:t>alopurinolom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na prevenciu </w:t>
      </w:r>
      <w:proofErr w:type="spellStart"/>
      <w:r w:rsidRPr="00B50F60">
        <w:rPr>
          <w:rFonts w:ascii="Times New Roman" w:hAnsi="Times New Roman"/>
          <w:szCs w:val="22"/>
          <w:lang w:val="sk-SK"/>
        </w:rPr>
        <w:t>hyperurikémie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môžu minimalizovať možné komplikácie syndrómu </w:t>
      </w:r>
      <w:r w:rsidR="00B63D39" w:rsidRPr="00B50F60">
        <w:rPr>
          <w:rFonts w:ascii="Times New Roman" w:hAnsi="Times New Roman"/>
          <w:szCs w:val="22"/>
          <w:lang w:val="sk-SK"/>
        </w:rPr>
        <w:t>nádorového rozpadu</w:t>
      </w:r>
      <w:r w:rsidRPr="00B50F60">
        <w:rPr>
          <w:rFonts w:ascii="Times New Roman" w:hAnsi="Times New Roman"/>
          <w:szCs w:val="22"/>
          <w:lang w:val="sk-SK"/>
        </w:rPr>
        <w:t>.</w:t>
      </w:r>
    </w:p>
    <w:p w14:paraId="54796EC1" w14:textId="36DD9F26" w:rsidR="002308F7" w:rsidRPr="00B50F60" w:rsidRDefault="002308F7" w:rsidP="00ED7827">
      <w:pPr>
        <w:pStyle w:val="Standardenglisch"/>
        <w:tabs>
          <w:tab w:val="left" w:pos="0"/>
          <w:tab w:val="left" w:pos="284"/>
        </w:tabs>
        <w:rPr>
          <w:rFonts w:ascii="Times New Roman" w:hAnsi="Times New Roman"/>
          <w:szCs w:val="22"/>
          <w:lang w:val="sk-SK"/>
        </w:rPr>
      </w:pPr>
    </w:p>
    <w:p w14:paraId="4AA238FE" w14:textId="77777777" w:rsidR="00612A15" w:rsidRPr="003E0478" w:rsidRDefault="00612A15" w:rsidP="00612A15">
      <w:pPr>
        <w:widowControl/>
        <w:autoSpaceDE w:val="0"/>
        <w:autoSpaceDN w:val="0"/>
        <w:adjustRightInd w:val="0"/>
        <w:ind w:left="1440" w:hanging="1440"/>
        <w:jc w:val="both"/>
        <w:rPr>
          <w:rFonts w:ascii="Times New Roman" w:hAnsi="Times New Roman"/>
          <w:snapToGrid/>
          <w:szCs w:val="22"/>
          <w:u w:val="single"/>
          <w:lang w:val="sk-SK"/>
        </w:rPr>
      </w:pPr>
      <w:r w:rsidRPr="003E0478">
        <w:rPr>
          <w:rFonts w:ascii="Times New Roman" w:hAnsi="Times New Roman"/>
          <w:snapToGrid/>
          <w:szCs w:val="22"/>
          <w:u w:val="single"/>
          <w:lang w:val="sk-SK"/>
        </w:rPr>
        <w:t>Sodík</w:t>
      </w:r>
    </w:p>
    <w:p w14:paraId="33327F7B" w14:textId="6BDCA647" w:rsidR="00612A15" w:rsidRDefault="00612A15" w:rsidP="00612A15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napToGrid/>
          <w:szCs w:val="22"/>
          <w:lang w:val="sk-SK"/>
        </w:rPr>
      </w:pPr>
      <w:r w:rsidRPr="00612A15">
        <w:rPr>
          <w:rFonts w:ascii="Times New Roman" w:hAnsi="Times New Roman"/>
          <w:snapToGrid/>
          <w:szCs w:val="22"/>
          <w:lang w:val="sk-SK"/>
        </w:rPr>
        <w:t>Tento liek obsahuje 0,154 mmol (alebo 3,54 mg) sodíka na ml roztoku na infúziu, čo je potrebné zohľadniť u pacientov s diétou s obmedzením soli.</w:t>
      </w:r>
      <w:r>
        <w:rPr>
          <w:rFonts w:ascii="Times New Roman" w:hAnsi="Times New Roman"/>
          <w:snapToGrid/>
          <w:szCs w:val="22"/>
          <w:lang w:val="sk-SK"/>
        </w:rPr>
        <w:t xml:space="preserve"> </w:t>
      </w:r>
      <w:r w:rsidRPr="00612A15">
        <w:rPr>
          <w:rFonts w:ascii="Times New Roman" w:hAnsi="Times New Roman"/>
          <w:snapToGrid/>
          <w:szCs w:val="22"/>
          <w:lang w:val="sk-SK"/>
        </w:rPr>
        <w:t>Rôzne veľkosti balenia tohto lieku obsahujú nasledujúce množstvá sodíka:</w:t>
      </w:r>
    </w:p>
    <w:p w14:paraId="0AE3D048" w14:textId="77777777" w:rsidR="00612A15" w:rsidRPr="00612A15" w:rsidRDefault="00612A15" w:rsidP="003E0478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napToGrid/>
          <w:szCs w:val="22"/>
          <w:lang w:val="sk-SK"/>
        </w:rPr>
      </w:pPr>
    </w:p>
    <w:p w14:paraId="4CCBE0C7" w14:textId="30594BD0" w:rsidR="00612A15" w:rsidRDefault="00612A15" w:rsidP="00612A15">
      <w:pPr>
        <w:widowControl/>
        <w:autoSpaceDE w:val="0"/>
        <w:autoSpaceDN w:val="0"/>
        <w:adjustRightInd w:val="0"/>
        <w:ind w:left="1620" w:hanging="1620"/>
        <w:jc w:val="both"/>
        <w:rPr>
          <w:rFonts w:ascii="Times New Roman" w:hAnsi="Times New Roman"/>
          <w:snapToGrid/>
          <w:szCs w:val="22"/>
          <w:lang w:val="sk-SK"/>
        </w:rPr>
      </w:pPr>
      <w:r w:rsidRPr="00612A15">
        <w:rPr>
          <w:rFonts w:ascii="Times New Roman" w:hAnsi="Times New Roman"/>
          <w:snapToGrid/>
          <w:szCs w:val="22"/>
          <w:lang w:val="sk-SK"/>
        </w:rPr>
        <w:t>5 ml liekovka:</w:t>
      </w:r>
      <w:r>
        <w:rPr>
          <w:rFonts w:ascii="Times New Roman" w:hAnsi="Times New Roman"/>
          <w:snapToGrid/>
          <w:szCs w:val="22"/>
          <w:lang w:val="sk-SK"/>
        </w:rPr>
        <w:tab/>
      </w:r>
      <w:r w:rsidRPr="00612A15">
        <w:rPr>
          <w:rFonts w:ascii="Times New Roman" w:hAnsi="Times New Roman"/>
          <w:snapToGrid/>
          <w:szCs w:val="22"/>
          <w:lang w:val="sk-SK"/>
        </w:rPr>
        <w:t xml:space="preserve">Táto veľkosť balenia obsahuje menej </w:t>
      </w:r>
      <w:r w:rsidR="00510A3B">
        <w:rPr>
          <w:rFonts w:ascii="Times New Roman" w:hAnsi="Times New Roman"/>
          <w:snapToGrid/>
          <w:szCs w:val="22"/>
          <w:lang w:val="sk-SK"/>
        </w:rPr>
        <w:t>ako</w:t>
      </w:r>
      <w:r w:rsidRPr="00612A15">
        <w:rPr>
          <w:rFonts w:ascii="Times New Roman" w:hAnsi="Times New Roman"/>
          <w:snapToGrid/>
          <w:szCs w:val="22"/>
          <w:lang w:val="sk-SK"/>
        </w:rPr>
        <w:t xml:space="preserve"> 1 mmol sodíka (23 mg), t. j. v podstate zanedbateľné množstvo sodíka.</w:t>
      </w:r>
    </w:p>
    <w:p w14:paraId="3F4B2900" w14:textId="77777777" w:rsidR="00612A15" w:rsidRDefault="00612A15" w:rsidP="00612A15">
      <w:pPr>
        <w:widowControl/>
        <w:autoSpaceDE w:val="0"/>
        <w:autoSpaceDN w:val="0"/>
        <w:adjustRightInd w:val="0"/>
        <w:ind w:left="1620" w:hanging="1620"/>
        <w:jc w:val="both"/>
        <w:rPr>
          <w:rFonts w:ascii="Times New Roman" w:hAnsi="Times New Roman"/>
          <w:snapToGrid/>
          <w:szCs w:val="22"/>
          <w:lang w:val="sk-SK"/>
        </w:rPr>
      </w:pPr>
    </w:p>
    <w:p w14:paraId="37778AF8" w14:textId="5DB99EF9" w:rsidR="00612A15" w:rsidRDefault="00612A15">
      <w:pPr>
        <w:widowControl/>
        <w:autoSpaceDE w:val="0"/>
        <w:autoSpaceDN w:val="0"/>
        <w:adjustRightInd w:val="0"/>
        <w:ind w:left="1620" w:hanging="1620"/>
        <w:jc w:val="both"/>
        <w:rPr>
          <w:rFonts w:ascii="Times New Roman" w:hAnsi="Times New Roman"/>
          <w:snapToGrid/>
          <w:szCs w:val="22"/>
          <w:lang w:val="sk-SK"/>
        </w:rPr>
      </w:pPr>
      <w:r w:rsidRPr="00612A15">
        <w:rPr>
          <w:rFonts w:ascii="Times New Roman" w:hAnsi="Times New Roman"/>
          <w:snapToGrid/>
          <w:szCs w:val="22"/>
          <w:lang w:val="sk-SK"/>
        </w:rPr>
        <w:t>10 ml liekovka:</w:t>
      </w:r>
      <w:r>
        <w:rPr>
          <w:rFonts w:ascii="Times New Roman" w:hAnsi="Times New Roman"/>
          <w:snapToGrid/>
          <w:szCs w:val="22"/>
          <w:lang w:val="sk-SK"/>
        </w:rPr>
        <w:tab/>
      </w:r>
      <w:r w:rsidRPr="00612A15">
        <w:rPr>
          <w:rFonts w:ascii="Times New Roman" w:hAnsi="Times New Roman"/>
          <w:snapToGrid/>
          <w:szCs w:val="22"/>
          <w:lang w:val="sk-SK"/>
        </w:rPr>
        <w:t xml:space="preserve">Táto veľkosť balenia obsahuje 35,42 mg sodíka, čo zodpovedá 1,77 % WHO odporúčaného maximálneho denného príjmu 2 g sodíka </w:t>
      </w:r>
      <w:r w:rsidR="00F97DD8">
        <w:rPr>
          <w:rFonts w:ascii="Times New Roman" w:hAnsi="Times New Roman"/>
          <w:snapToGrid/>
          <w:szCs w:val="22"/>
          <w:lang w:val="sk-SK"/>
        </w:rPr>
        <w:t xml:space="preserve">pre </w:t>
      </w:r>
      <w:r w:rsidR="00510A3B" w:rsidRPr="00510A3B">
        <w:rPr>
          <w:rFonts w:ascii="Times New Roman" w:hAnsi="Times New Roman"/>
          <w:snapToGrid/>
          <w:szCs w:val="22"/>
          <w:lang w:val="sk-SK"/>
        </w:rPr>
        <w:t>dospelú</w:t>
      </w:r>
      <w:r w:rsidR="00510A3B">
        <w:rPr>
          <w:rFonts w:ascii="Times New Roman" w:hAnsi="Times New Roman"/>
          <w:snapToGrid/>
          <w:szCs w:val="22"/>
          <w:lang w:val="sk-SK"/>
        </w:rPr>
        <w:t xml:space="preserve"> </w:t>
      </w:r>
      <w:r w:rsidR="00510A3B" w:rsidRPr="00510A3B">
        <w:rPr>
          <w:rFonts w:ascii="Times New Roman" w:hAnsi="Times New Roman"/>
          <w:snapToGrid/>
          <w:szCs w:val="22"/>
          <w:lang w:val="sk-SK"/>
        </w:rPr>
        <w:t>osobu</w:t>
      </w:r>
      <w:r w:rsidRPr="00612A15">
        <w:rPr>
          <w:rFonts w:ascii="Times New Roman" w:hAnsi="Times New Roman"/>
          <w:snapToGrid/>
          <w:szCs w:val="22"/>
          <w:lang w:val="sk-SK"/>
        </w:rPr>
        <w:t>.</w:t>
      </w:r>
    </w:p>
    <w:p w14:paraId="2C7F9404" w14:textId="77777777" w:rsidR="00612A15" w:rsidRDefault="00612A15" w:rsidP="00612A15">
      <w:pPr>
        <w:widowControl/>
        <w:autoSpaceDE w:val="0"/>
        <w:autoSpaceDN w:val="0"/>
        <w:adjustRightInd w:val="0"/>
        <w:ind w:left="1620" w:hanging="1620"/>
        <w:jc w:val="both"/>
        <w:rPr>
          <w:rFonts w:ascii="Times New Roman" w:hAnsi="Times New Roman"/>
          <w:snapToGrid/>
          <w:szCs w:val="22"/>
          <w:lang w:val="sk-SK"/>
        </w:rPr>
      </w:pPr>
    </w:p>
    <w:p w14:paraId="27C5F984" w14:textId="4D3C50B0" w:rsidR="00612A15" w:rsidRDefault="00612A15" w:rsidP="00612A15">
      <w:pPr>
        <w:widowControl/>
        <w:autoSpaceDE w:val="0"/>
        <w:autoSpaceDN w:val="0"/>
        <w:adjustRightInd w:val="0"/>
        <w:ind w:left="1620" w:hanging="1620"/>
        <w:jc w:val="both"/>
        <w:rPr>
          <w:rFonts w:ascii="Times New Roman" w:hAnsi="Times New Roman"/>
          <w:snapToGrid/>
          <w:szCs w:val="22"/>
          <w:lang w:val="sk-SK"/>
        </w:rPr>
      </w:pPr>
      <w:r w:rsidRPr="00612A15">
        <w:rPr>
          <w:rFonts w:ascii="Times New Roman" w:hAnsi="Times New Roman"/>
          <w:snapToGrid/>
          <w:szCs w:val="22"/>
          <w:lang w:val="sk-SK"/>
        </w:rPr>
        <w:t>25 ml liekovka:</w:t>
      </w:r>
      <w:r>
        <w:rPr>
          <w:rFonts w:ascii="Times New Roman" w:hAnsi="Times New Roman"/>
          <w:snapToGrid/>
          <w:szCs w:val="22"/>
          <w:lang w:val="sk-SK"/>
        </w:rPr>
        <w:tab/>
      </w:r>
      <w:r w:rsidRPr="00612A15">
        <w:rPr>
          <w:rFonts w:ascii="Times New Roman" w:hAnsi="Times New Roman"/>
          <w:snapToGrid/>
          <w:szCs w:val="22"/>
          <w:lang w:val="sk-SK"/>
        </w:rPr>
        <w:t xml:space="preserve">Táto veľkosť balenia obsahuje 88,55 mg sodíka, čo zodpovedá 4,43 % WHO odporúčaného maximálneho denného príjmu 2 g sodíka </w:t>
      </w:r>
      <w:r w:rsidR="00F97DD8">
        <w:rPr>
          <w:rFonts w:ascii="Times New Roman" w:hAnsi="Times New Roman"/>
          <w:snapToGrid/>
          <w:szCs w:val="22"/>
          <w:lang w:val="sk-SK"/>
        </w:rPr>
        <w:t xml:space="preserve">pre </w:t>
      </w:r>
      <w:r w:rsidR="00510A3B" w:rsidRPr="00510A3B">
        <w:rPr>
          <w:rFonts w:ascii="Times New Roman" w:hAnsi="Times New Roman"/>
          <w:snapToGrid/>
          <w:szCs w:val="22"/>
          <w:lang w:val="sk-SK"/>
        </w:rPr>
        <w:t>dospelú osobu</w:t>
      </w:r>
      <w:r w:rsidRPr="00612A15">
        <w:rPr>
          <w:rFonts w:ascii="Times New Roman" w:hAnsi="Times New Roman"/>
          <w:snapToGrid/>
          <w:szCs w:val="22"/>
          <w:lang w:val="sk-SK"/>
        </w:rPr>
        <w:t>.</w:t>
      </w:r>
    </w:p>
    <w:p w14:paraId="7362F2C4" w14:textId="77777777" w:rsidR="00612A15" w:rsidRDefault="00612A15" w:rsidP="00612A15">
      <w:pPr>
        <w:widowControl/>
        <w:autoSpaceDE w:val="0"/>
        <w:autoSpaceDN w:val="0"/>
        <w:adjustRightInd w:val="0"/>
        <w:ind w:left="1620" w:hanging="1620"/>
        <w:jc w:val="both"/>
        <w:rPr>
          <w:rFonts w:ascii="Times New Roman" w:hAnsi="Times New Roman"/>
          <w:snapToGrid/>
          <w:szCs w:val="22"/>
          <w:lang w:val="sk-SK"/>
        </w:rPr>
      </w:pPr>
    </w:p>
    <w:p w14:paraId="48BC3926" w14:textId="333AFA43" w:rsidR="00612A15" w:rsidRDefault="00612A15" w:rsidP="00612A15">
      <w:pPr>
        <w:widowControl/>
        <w:autoSpaceDE w:val="0"/>
        <w:autoSpaceDN w:val="0"/>
        <w:adjustRightInd w:val="0"/>
        <w:ind w:left="1620" w:hanging="1620"/>
        <w:jc w:val="both"/>
        <w:rPr>
          <w:rFonts w:ascii="Times New Roman" w:hAnsi="Times New Roman"/>
          <w:snapToGrid/>
          <w:szCs w:val="22"/>
          <w:lang w:val="sk-SK"/>
        </w:rPr>
      </w:pPr>
      <w:r w:rsidRPr="00612A15">
        <w:rPr>
          <w:rFonts w:ascii="Times New Roman" w:hAnsi="Times New Roman"/>
          <w:snapToGrid/>
          <w:szCs w:val="22"/>
          <w:lang w:val="sk-SK"/>
        </w:rPr>
        <w:lastRenderedPageBreak/>
        <w:t>75 ml liekovka:</w:t>
      </w:r>
      <w:r>
        <w:rPr>
          <w:rFonts w:ascii="Times New Roman" w:hAnsi="Times New Roman"/>
          <w:snapToGrid/>
          <w:szCs w:val="22"/>
          <w:lang w:val="sk-SK"/>
        </w:rPr>
        <w:tab/>
      </w:r>
      <w:r w:rsidRPr="00612A15">
        <w:rPr>
          <w:rFonts w:ascii="Times New Roman" w:hAnsi="Times New Roman"/>
          <w:snapToGrid/>
          <w:szCs w:val="22"/>
          <w:lang w:val="sk-SK"/>
        </w:rPr>
        <w:t>Táto veľkosť balenia obsahuje 265,65 mg sodíka, čo zodpovedá 13,28</w:t>
      </w:r>
      <w:r w:rsidR="00192660">
        <w:rPr>
          <w:rFonts w:ascii="Times New Roman" w:hAnsi="Times New Roman"/>
          <w:snapToGrid/>
          <w:szCs w:val="22"/>
          <w:lang w:val="sk-SK"/>
        </w:rPr>
        <w:t> </w:t>
      </w:r>
      <w:r w:rsidRPr="00612A15">
        <w:rPr>
          <w:rFonts w:ascii="Times New Roman" w:hAnsi="Times New Roman"/>
          <w:snapToGrid/>
          <w:szCs w:val="22"/>
          <w:lang w:val="sk-SK"/>
        </w:rPr>
        <w:t xml:space="preserve">% WHO odporúčaného maximálneho denného príjmu 2 g sodíka </w:t>
      </w:r>
      <w:r w:rsidR="00F97DD8">
        <w:rPr>
          <w:rFonts w:ascii="Times New Roman" w:hAnsi="Times New Roman"/>
          <w:snapToGrid/>
          <w:szCs w:val="22"/>
          <w:lang w:val="sk-SK"/>
        </w:rPr>
        <w:t xml:space="preserve">pre </w:t>
      </w:r>
      <w:r w:rsidR="00510A3B" w:rsidRPr="00510A3B">
        <w:rPr>
          <w:rFonts w:ascii="Times New Roman" w:hAnsi="Times New Roman"/>
          <w:snapToGrid/>
          <w:szCs w:val="22"/>
          <w:lang w:val="sk-SK"/>
        </w:rPr>
        <w:t>dospelú osobu</w:t>
      </w:r>
      <w:r w:rsidRPr="00612A15">
        <w:rPr>
          <w:rFonts w:ascii="Times New Roman" w:hAnsi="Times New Roman"/>
          <w:snapToGrid/>
          <w:szCs w:val="22"/>
          <w:lang w:val="sk-SK"/>
        </w:rPr>
        <w:t>.</w:t>
      </w:r>
    </w:p>
    <w:p w14:paraId="4CE5AEA5" w14:textId="77777777" w:rsidR="00612A15" w:rsidRDefault="00612A15" w:rsidP="00612A15">
      <w:pPr>
        <w:widowControl/>
        <w:autoSpaceDE w:val="0"/>
        <w:autoSpaceDN w:val="0"/>
        <w:adjustRightInd w:val="0"/>
        <w:ind w:left="1620" w:hanging="1620"/>
        <w:jc w:val="both"/>
        <w:rPr>
          <w:rFonts w:ascii="Times New Roman" w:hAnsi="Times New Roman"/>
          <w:snapToGrid/>
          <w:szCs w:val="22"/>
          <w:lang w:val="sk-SK"/>
        </w:rPr>
      </w:pPr>
    </w:p>
    <w:p w14:paraId="727E6346" w14:textId="11CAE8FF" w:rsidR="001062EB" w:rsidRPr="00B50F60" w:rsidRDefault="00612A15" w:rsidP="003E0478">
      <w:pPr>
        <w:widowControl/>
        <w:autoSpaceDE w:val="0"/>
        <w:autoSpaceDN w:val="0"/>
        <w:adjustRightInd w:val="0"/>
        <w:ind w:left="1620" w:hanging="1620"/>
        <w:jc w:val="both"/>
        <w:rPr>
          <w:rFonts w:ascii="Times New Roman" w:hAnsi="Times New Roman"/>
          <w:snapToGrid/>
          <w:szCs w:val="22"/>
          <w:lang w:val="sk-SK"/>
        </w:rPr>
      </w:pPr>
      <w:r w:rsidRPr="00612A15">
        <w:rPr>
          <w:rFonts w:ascii="Times New Roman" w:hAnsi="Times New Roman"/>
          <w:snapToGrid/>
          <w:szCs w:val="22"/>
          <w:lang w:val="sk-SK"/>
        </w:rPr>
        <w:t>100 ml liekovka:</w:t>
      </w:r>
      <w:r>
        <w:rPr>
          <w:rFonts w:ascii="Times New Roman" w:hAnsi="Times New Roman"/>
          <w:snapToGrid/>
          <w:szCs w:val="22"/>
          <w:lang w:val="sk-SK"/>
        </w:rPr>
        <w:tab/>
      </w:r>
      <w:r w:rsidRPr="00612A15">
        <w:rPr>
          <w:rFonts w:ascii="Times New Roman" w:hAnsi="Times New Roman"/>
          <w:snapToGrid/>
          <w:szCs w:val="22"/>
          <w:lang w:val="sk-SK"/>
        </w:rPr>
        <w:t>Táto veľkosť balenia obsahuje 354,20 mg sodíka, čo zodpovedá 17,71</w:t>
      </w:r>
      <w:r w:rsidR="00192660">
        <w:rPr>
          <w:rFonts w:ascii="Times New Roman" w:hAnsi="Times New Roman"/>
          <w:snapToGrid/>
          <w:szCs w:val="22"/>
          <w:lang w:val="sk-SK"/>
        </w:rPr>
        <w:t> </w:t>
      </w:r>
      <w:r w:rsidRPr="00612A15">
        <w:rPr>
          <w:rFonts w:ascii="Times New Roman" w:hAnsi="Times New Roman"/>
          <w:snapToGrid/>
          <w:szCs w:val="22"/>
          <w:lang w:val="sk-SK"/>
        </w:rPr>
        <w:t xml:space="preserve">% WHO odporúčaného maximálneho denného príjmu 2 g sodíka </w:t>
      </w:r>
      <w:r w:rsidR="00F97DD8">
        <w:rPr>
          <w:rFonts w:ascii="Times New Roman" w:hAnsi="Times New Roman"/>
          <w:snapToGrid/>
          <w:szCs w:val="22"/>
          <w:lang w:val="sk-SK"/>
        </w:rPr>
        <w:t xml:space="preserve">pre </w:t>
      </w:r>
      <w:r w:rsidR="00510A3B" w:rsidRPr="00510A3B">
        <w:rPr>
          <w:rFonts w:ascii="Times New Roman" w:hAnsi="Times New Roman"/>
          <w:snapToGrid/>
          <w:szCs w:val="22"/>
          <w:lang w:val="sk-SK"/>
        </w:rPr>
        <w:t>dospelú osobu</w:t>
      </w:r>
      <w:r w:rsidRPr="00612A15">
        <w:rPr>
          <w:rFonts w:ascii="Times New Roman" w:hAnsi="Times New Roman"/>
          <w:snapToGrid/>
          <w:szCs w:val="22"/>
          <w:lang w:val="sk-SK"/>
        </w:rPr>
        <w:t>.</w:t>
      </w:r>
    </w:p>
    <w:p w14:paraId="6F2F42CD" w14:textId="77777777" w:rsidR="001062EB" w:rsidRPr="00B50F60" w:rsidRDefault="001062EB" w:rsidP="00ED7827">
      <w:pPr>
        <w:pStyle w:val="Standardenglisch"/>
        <w:tabs>
          <w:tab w:val="left" w:pos="0"/>
          <w:tab w:val="left" w:pos="284"/>
        </w:tabs>
        <w:rPr>
          <w:rFonts w:ascii="Times New Roman" w:hAnsi="Times New Roman"/>
          <w:szCs w:val="22"/>
          <w:lang w:val="sk-SK"/>
        </w:rPr>
      </w:pPr>
    </w:p>
    <w:p w14:paraId="519ABFB3" w14:textId="77777777" w:rsidR="002308F7" w:rsidRPr="00B50F60" w:rsidRDefault="002308F7" w:rsidP="00ED7827">
      <w:pPr>
        <w:pStyle w:val="Standardenglisch"/>
        <w:tabs>
          <w:tab w:val="left" w:pos="0"/>
          <w:tab w:val="left" w:pos="284"/>
        </w:tabs>
        <w:outlineLvl w:val="0"/>
        <w:rPr>
          <w:rFonts w:ascii="Times New Roman" w:hAnsi="Times New Roman"/>
          <w:szCs w:val="22"/>
          <w:u w:val="single"/>
          <w:lang w:val="sk-SK"/>
        </w:rPr>
      </w:pPr>
      <w:proofErr w:type="spellStart"/>
      <w:r w:rsidRPr="00B50F60">
        <w:rPr>
          <w:rFonts w:ascii="Times New Roman" w:hAnsi="Times New Roman"/>
          <w:szCs w:val="22"/>
          <w:u w:val="single"/>
          <w:lang w:val="sk-SK"/>
        </w:rPr>
        <w:t>Intravezikálne</w:t>
      </w:r>
      <w:proofErr w:type="spellEnd"/>
      <w:r w:rsidRPr="00B50F60">
        <w:rPr>
          <w:rFonts w:ascii="Times New Roman" w:hAnsi="Times New Roman"/>
          <w:szCs w:val="22"/>
          <w:u w:val="single"/>
          <w:lang w:val="sk-SK"/>
        </w:rPr>
        <w:t xml:space="preserve"> podanie</w:t>
      </w:r>
    </w:p>
    <w:p w14:paraId="38B90AD9" w14:textId="7BDD404A" w:rsidR="002308F7" w:rsidRPr="00B50F60" w:rsidRDefault="002308F7" w:rsidP="00ED7827">
      <w:pPr>
        <w:pStyle w:val="Standardenglisch"/>
        <w:tabs>
          <w:tab w:val="left" w:pos="0"/>
          <w:tab w:val="left" w:pos="284"/>
        </w:tabs>
        <w:rPr>
          <w:rFonts w:ascii="Times New Roman" w:hAnsi="Times New Roman"/>
          <w:szCs w:val="22"/>
          <w:lang w:val="sk-SK"/>
        </w:rPr>
      </w:pPr>
      <w:proofErr w:type="spellStart"/>
      <w:r w:rsidRPr="00B50F60">
        <w:rPr>
          <w:rFonts w:ascii="Times New Roman" w:hAnsi="Times New Roman"/>
          <w:szCs w:val="22"/>
          <w:lang w:val="sk-SK"/>
        </w:rPr>
        <w:t>Intravezikálne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podávanie </w:t>
      </w:r>
      <w:proofErr w:type="spellStart"/>
      <w:r w:rsidRPr="00B50F60">
        <w:rPr>
          <w:rFonts w:ascii="Times New Roman" w:hAnsi="Times New Roman"/>
          <w:szCs w:val="22"/>
          <w:lang w:val="sk-SK"/>
        </w:rPr>
        <w:t>doxorubicínu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môže vyvolať symptómy chemickej </w:t>
      </w:r>
      <w:proofErr w:type="spellStart"/>
      <w:r w:rsidRPr="00B50F60">
        <w:rPr>
          <w:rFonts w:ascii="Times New Roman" w:hAnsi="Times New Roman"/>
          <w:szCs w:val="22"/>
          <w:lang w:val="sk-SK"/>
        </w:rPr>
        <w:t>cystitídy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(t.</w:t>
      </w:r>
      <w:r w:rsidR="00E05C45">
        <w:rPr>
          <w:rFonts w:ascii="Times New Roman" w:hAnsi="Times New Roman"/>
          <w:szCs w:val="22"/>
          <w:lang w:val="sk-SK"/>
        </w:rPr>
        <w:t> </w:t>
      </w:r>
      <w:r w:rsidRPr="00B50F60">
        <w:rPr>
          <w:rFonts w:ascii="Times New Roman" w:hAnsi="Times New Roman"/>
          <w:szCs w:val="22"/>
          <w:lang w:val="sk-SK"/>
        </w:rPr>
        <w:t xml:space="preserve">j. </w:t>
      </w:r>
      <w:proofErr w:type="spellStart"/>
      <w:r w:rsidRPr="00B50F60">
        <w:rPr>
          <w:rFonts w:ascii="Times New Roman" w:hAnsi="Times New Roman"/>
          <w:szCs w:val="22"/>
          <w:lang w:val="sk-SK"/>
        </w:rPr>
        <w:t>dyzúria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, časté močenie, </w:t>
      </w:r>
      <w:proofErr w:type="spellStart"/>
      <w:r w:rsidRPr="00B50F60">
        <w:rPr>
          <w:rFonts w:ascii="Times New Roman" w:hAnsi="Times New Roman"/>
          <w:szCs w:val="22"/>
          <w:lang w:val="sk-SK"/>
        </w:rPr>
        <w:t>noktúria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, </w:t>
      </w:r>
      <w:proofErr w:type="spellStart"/>
      <w:r w:rsidRPr="00B50F60">
        <w:rPr>
          <w:rFonts w:ascii="Times New Roman" w:hAnsi="Times New Roman"/>
          <w:szCs w:val="22"/>
          <w:lang w:val="sk-SK"/>
        </w:rPr>
        <w:t>strangúria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, </w:t>
      </w:r>
      <w:proofErr w:type="spellStart"/>
      <w:r w:rsidRPr="00B50F60">
        <w:rPr>
          <w:rFonts w:ascii="Times New Roman" w:hAnsi="Times New Roman"/>
          <w:szCs w:val="22"/>
          <w:lang w:val="sk-SK"/>
        </w:rPr>
        <w:t>hematúria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, </w:t>
      </w:r>
      <w:proofErr w:type="spellStart"/>
      <w:r w:rsidRPr="00B50F60">
        <w:rPr>
          <w:rFonts w:ascii="Times New Roman" w:hAnsi="Times New Roman"/>
          <w:szCs w:val="22"/>
          <w:lang w:val="sk-SK"/>
        </w:rPr>
        <w:t>nekróza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steny močového mechúra).</w:t>
      </w:r>
    </w:p>
    <w:p w14:paraId="2DE1F1FD" w14:textId="71F859A1" w:rsidR="002308F7" w:rsidRPr="00B50F60" w:rsidRDefault="002308F7" w:rsidP="00ED7827">
      <w:pPr>
        <w:pStyle w:val="Standardenglisch"/>
        <w:tabs>
          <w:tab w:val="left" w:pos="0"/>
          <w:tab w:val="left" w:pos="284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>Špeciálna pozornosť sa vyžaduje pri problémoch s </w:t>
      </w:r>
      <w:proofErr w:type="spellStart"/>
      <w:r w:rsidRPr="00B50F60">
        <w:rPr>
          <w:rFonts w:ascii="Times New Roman" w:hAnsi="Times New Roman"/>
          <w:szCs w:val="22"/>
          <w:lang w:val="sk-SK"/>
        </w:rPr>
        <w:t>katetrizáciou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(t.</w:t>
      </w:r>
      <w:r w:rsidR="00E05C45">
        <w:rPr>
          <w:rFonts w:ascii="Times New Roman" w:hAnsi="Times New Roman"/>
          <w:szCs w:val="22"/>
          <w:lang w:val="sk-SK"/>
        </w:rPr>
        <w:t> </w:t>
      </w:r>
      <w:r w:rsidRPr="00B50F60">
        <w:rPr>
          <w:rFonts w:ascii="Times New Roman" w:hAnsi="Times New Roman"/>
          <w:szCs w:val="22"/>
          <w:lang w:val="sk-SK"/>
        </w:rPr>
        <w:t xml:space="preserve">j. </w:t>
      </w:r>
      <w:proofErr w:type="spellStart"/>
      <w:r w:rsidRPr="00B50F60">
        <w:rPr>
          <w:rFonts w:ascii="Times New Roman" w:hAnsi="Times New Roman"/>
          <w:szCs w:val="22"/>
          <w:lang w:val="sk-SK"/>
        </w:rPr>
        <w:t>uretrálna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obštrukcia spôsobená </w:t>
      </w:r>
      <w:r w:rsidR="00AE3C49" w:rsidRPr="00B50F60">
        <w:rPr>
          <w:rFonts w:ascii="Times New Roman" w:hAnsi="Times New Roman"/>
          <w:szCs w:val="22"/>
          <w:lang w:val="sk-SK"/>
        </w:rPr>
        <w:t>preniknutím</w:t>
      </w:r>
      <w:r w:rsidRPr="00B50F6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B50F60">
        <w:rPr>
          <w:rFonts w:ascii="Times New Roman" w:hAnsi="Times New Roman"/>
          <w:szCs w:val="22"/>
          <w:lang w:val="sk-SK"/>
        </w:rPr>
        <w:t>intravezikulárn</w:t>
      </w:r>
      <w:r w:rsidR="00AE3C49" w:rsidRPr="00B50F60">
        <w:rPr>
          <w:rFonts w:ascii="Times New Roman" w:hAnsi="Times New Roman"/>
          <w:szCs w:val="22"/>
          <w:lang w:val="sk-SK"/>
        </w:rPr>
        <w:t>eho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tumor</w:t>
      </w:r>
      <w:r w:rsidR="00AE3C49" w:rsidRPr="00B50F60">
        <w:rPr>
          <w:rFonts w:ascii="Times New Roman" w:hAnsi="Times New Roman"/>
          <w:szCs w:val="22"/>
          <w:lang w:val="sk-SK"/>
        </w:rPr>
        <w:t>u</w:t>
      </w:r>
      <w:r w:rsidRPr="00B50F60">
        <w:rPr>
          <w:rFonts w:ascii="Times New Roman" w:hAnsi="Times New Roman"/>
          <w:szCs w:val="22"/>
          <w:lang w:val="sk-SK"/>
        </w:rPr>
        <w:t>).</w:t>
      </w:r>
    </w:p>
    <w:p w14:paraId="500D3181" w14:textId="77777777" w:rsidR="002308F7" w:rsidRPr="00B50F60" w:rsidRDefault="002308F7" w:rsidP="00ED7827">
      <w:pPr>
        <w:pStyle w:val="Standardenglisch"/>
        <w:tabs>
          <w:tab w:val="left" w:pos="0"/>
          <w:tab w:val="left" w:pos="284"/>
        </w:tabs>
        <w:rPr>
          <w:rFonts w:ascii="Times New Roman" w:hAnsi="Times New Roman"/>
          <w:szCs w:val="22"/>
          <w:lang w:val="sk-SK"/>
        </w:rPr>
      </w:pPr>
      <w:proofErr w:type="spellStart"/>
      <w:r w:rsidRPr="00B50F60">
        <w:rPr>
          <w:rFonts w:ascii="Times New Roman" w:hAnsi="Times New Roman"/>
          <w:szCs w:val="22"/>
          <w:lang w:val="sk-SK"/>
        </w:rPr>
        <w:t>Intravezikálne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podávanie je kontraindikované v prípade tumorov, ktoré prenikli močovým mechúrom (za T1).</w:t>
      </w:r>
    </w:p>
    <w:p w14:paraId="2530FD5A" w14:textId="77777777" w:rsidR="002308F7" w:rsidRPr="00B50F60" w:rsidRDefault="002308F7" w:rsidP="00ED7827">
      <w:pPr>
        <w:pStyle w:val="Standardenglisch"/>
        <w:tabs>
          <w:tab w:val="left" w:pos="0"/>
          <w:tab w:val="left" w:pos="284"/>
        </w:tabs>
        <w:rPr>
          <w:rFonts w:ascii="Times New Roman" w:hAnsi="Times New Roman"/>
          <w:szCs w:val="22"/>
          <w:lang w:val="sk-SK"/>
        </w:rPr>
      </w:pPr>
      <w:proofErr w:type="spellStart"/>
      <w:r w:rsidRPr="00B50F60">
        <w:rPr>
          <w:rFonts w:ascii="Times New Roman" w:hAnsi="Times New Roman"/>
          <w:szCs w:val="22"/>
          <w:lang w:val="sk-SK"/>
        </w:rPr>
        <w:t>Intravezikálny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spôsob podávania sa nemá </w:t>
      </w:r>
      <w:r w:rsidR="0022636E" w:rsidRPr="00B50F60">
        <w:rPr>
          <w:rFonts w:ascii="Times New Roman" w:hAnsi="Times New Roman"/>
          <w:szCs w:val="22"/>
          <w:lang w:val="sk-SK"/>
        </w:rPr>
        <w:t xml:space="preserve">skúšať u pacientov s </w:t>
      </w:r>
      <w:r w:rsidRPr="00B50F60">
        <w:rPr>
          <w:rFonts w:ascii="Times New Roman" w:hAnsi="Times New Roman"/>
          <w:szCs w:val="22"/>
          <w:lang w:val="sk-SK"/>
        </w:rPr>
        <w:t>invazívn</w:t>
      </w:r>
      <w:r w:rsidR="0022636E" w:rsidRPr="00B50F60">
        <w:rPr>
          <w:rFonts w:ascii="Times New Roman" w:hAnsi="Times New Roman"/>
          <w:szCs w:val="22"/>
          <w:lang w:val="sk-SK"/>
        </w:rPr>
        <w:t>ymi</w:t>
      </w:r>
      <w:r w:rsidRPr="00B50F60">
        <w:rPr>
          <w:rFonts w:ascii="Times New Roman" w:hAnsi="Times New Roman"/>
          <w:szCs w:val="22"/>
          <w:lang w:val="sk-SK"/>
        </w:rPr>
        <w:t xml:space="preserve"> tumor</w:t>
      </w:r>
      <w:r w:rsidR="0022636E" w:rsidRPr="00B50F60">
        <w:rPr>
          <w:rFonts w:ascii="Times New Roman" w:hAnsi="Times New Roman"/>
          <w:szCs w:val="22"/>
          <w:lang w:val="sk-SK"/>
        </w:rPr>
        <w:t>mi</w:t>
      </w:r>
      <w:r w:rsidRPr="00B50F60">
        <w:rPr>
          <w:rFonts w:ascii="Times New Roman" w:hAnsi="Times New Roman"/>
          <w:szCs w:val="22"/>
          <w:lang w:val="sk-SK"/>
        </w:rPr>
        <w:t xml:space="preserve">, ktoré prenikli </w:t>
      </w:r>
      <w:r w:rsidR="0022636E" w:rsidRPr="00B50F60">
        <w:rPr>
          <w:rFonts w:ascii="Times New Roman" w:hAnsi="Times New Roman"/>
          <w:szCs w:val="22"/>
          <w:lang w:val="sk-SK"/>
        </w:rPr>
        <w:t xml:space="preserve">stenou </w:t>
      </w:r>
      <w:r w:rsidRPr="00B50F60">
        <w:rPr>
          <w:rFonts w:ascii="Times New Roman" w:hAnsi="Times New Roman"/>
          <w:szCs w:val="22"/>
          <w:lang w:val="sk-SK"/>
        </w:rPr>
        <w:t>močov</w:t>
      </w:r>
      <w:r w:rsidR="0022636E" w:rsidRPr="00B50F60">
        <w:rPr>
          <w:rFonts w:ascii="Times New Roman" w:hAnsi="Times New Roman"/>
          <w:szCs w:val="22"/>
          <w:lang w:val="sk-SK"/>
        </w:rPr>
        <w:t>ého</w:t>
      </w:r>
      <w:r w:rsidRPr="00B50F60">
        <w:rPr>
          <w:rFonts w:ascii="Times New Roman" w:hAnsi="Times New Roman"/>
          <w:szCs w:val="22"/>
          <w:lang w:val="sk-SK"/>
        </w:rPr>
        <w:t xml:space="preserve"> mechúr</w:t>
      </w:r>
      <w:r w:rsidR="0022636E" w:rsidRPr="00B50F60">
        <w:rPr>
          <w:rFonts w:ascii="Times New Roman" w:hAnsi="Times New Roman"/>
          <w:szCs w:val="22"/>
          <w:lang w:val="sk-SK"/>
        </w:rPr>
        <w:t xml:space="preserve">a, s </w:t>
      </w:r>
      <w:r w:rsidRPr="00B50F60">
        <w:rPr>
          <w:rFonts w:ascii="Times New Roman" w:hAnsi="Times New Roman"/>
          <w:szCs w:val="22"/>
          <w:lang w:val="sk-SK"/>
        </w:rPr>
        <w:t>infekci</w:t>
      </w:r>
      <w:r w:rsidR="0022636E" w:rsidRPr="00B50F60">
        <w:rPr>
          <w:rFonts w:ascii="Times New Roman" w:hAnsi="Times New Roman"/>
          <w:szCs w:val="22"/>
          <w:lang w:val="sk-SK"/>
        </w:rPr>
        <w:t>ami</w:t>
      </w:r>
      <w:r w:rsidRPr="00B50F60">
        <w:rPr>
          <w:rFonts w:ascii="Times New Roman" w:hAnsi="Times New Roman"/>
          <w:szCs w:val="22"/>
          <w:lang w:val="sk-SK"/>
        </w:rPr>
        <w:t xml:space="preserve"> močového traktu</w:t>
      </w:r>
      <w:r w:rsidR="0022636E" w:rsidRPr="00B50F60">
        <w:rPr>
          <w:rFonts w:ascii="Times New Roman" w:hAnsi="Times New Roman"/>
          <w:szCs w:val="22"/>
          <w:lang w:val="sk-SK"/>
        </w:rPr>
        <w:t xml:space="preserve">, so </w:t>
      </w:r>
      <w:r w:rsidRPr="00B50F60">
        <w:rPr>
          <w:rFonts w:ascii="Times New Roman" w:hAnsi="Times New Roman"/>
          <w:szCs w:val="22"/>
          <w:lang w:val="sk-SK"/>
        </w:rPr>
        <w:t>zápal</w:t>
      </w:r>
      <w:r w:rsidR="0022636E" w:rsidRPr="00B50F60">
        <w:rPr>
          <w:rFonts w:ascii="Times New Roman" w:hAnsi="Times New Roman"/>
          <w:szCs w:val="22"/>
          <w:lang w:val="sk-SK"/>
        </w:rPr>
        <w:t>ovými ochoreniami</w:t>
      </w:r>
      <w:r w:rsidRPr="00B50F60">
        <w:rPr>
          <w:rFonts w:ascii="Times New Roman" w:hAnsi="Times New Roman"/>
          <w:szCs w:val="22"/>
          <w:lang w:val="sk-SK"/>
        </w:rPr>
        <w:t xml:space="preserve"> močového mechúra</w:t>
      </w:r>
      <w:r w:rsidR="0022636E" w:rsidRPr="00B50F60">
        <w:rPr>
          <w:rFonts w:ascii="Times New Roman" w:hAnsi="Times New Roman"/>
          <w:szCs w:val="22"/>
          <w:lang w:val="sk-SK"/>
        </w:rPr>
        <w:t>.</w:t>
      </w:r>
    </w:p>
    <w:p w14:paraId="63743737" w14:textId="77777777" w:rsidR="002308F7" w:rsidRPr="00B50F60" w:rsidRDefault="002308F7" w:rsidP="00ED7827">
      <w:pPr>
        <w:pStyle w:val="Standardenglisch"/>
        <w:tabs>
          <w:tab w:val="left" w:pos="0"/>
        </w:tabs>
        <w:rPr>
          <w:rFonts w:ascii="Times New Roman" w:hAnsi="Times New Roman"/>
          <w:szCs w:val="22"/>
          <w:lang w:val="sk-SK"/>
        </w:rPr>
      </w:pPr>
    </w:p>
    <w:p w14:paraId="7C772ACB" w14:textId="77777777" w:rsidR="0022636E" w:rsidRPr="00B50F60" w:rsidRDefault="0022636E" w:rsidP="00ED7827">
      <w:pPr>
        <w:pStyle w:val="Standardenglisch"/>
        <w:tabs>
          <w:tab w:val="left" w:pos="0"/>
          <w:tab w:val="left" w:pos="284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>Pacientov treba informovať, že moč môže mať červenkastú farbu, predovšetkým v prvej vzorke po podaní</w:t>
      </w:r>
      <w:r w:rsidR="00AE3C49" w:rsidRPr="00B50F60">
        <w:rPr>
          <w:rFonts w:ascii="Times New Roman" w:hAnsi="Times New Roman"/>
          <w:szCs w:val="22"/>
          <w:lang w:val="sk-SK"/>
        </w:rPr>
        <w:t>,</w:t>
      </w:r>
      <w:r w:rsidRPr="00B50F60">
        <w:rPr>
          <w:rFonts w:ascii="Times New Roman" w:hAnsi="Times New Roman"/>
          <w:szCs w:val="22"/>
          <w:lang w:val="sk-SK"/>
        </w:rPr>
        <w:t xml:space="preserve"> ale aj o tom, že to nie je dôvod na obavy.</w:t>
      </w:r>
    </w:p>
    <w:p w14:paraId="02B1AA95" w14:textId="77777777" w:rsidR="00B750C4" w:rsidRPr="00B50F60" w:rsidRDefault="00B750C4" w:rsidP="00ED7827">
      <w:pPr>
        <w:pStyle w:val="Standardenglisch"/>
        <w:tabs>
          <w:tab w:val="left" w:pos="0"/>
          <w:tab w:val="left" w:pos="284"/>
        </w:tabs>
        <w:rPr>
          <w:rFonts w:ascii="Times New Roman" w:hAnsi="Times New Roman"/>
          <w:szCs w:val="22"/>
          <w:lang w:val="sk-SK"/>
        </w:rPr>
      </w:pPr>
    </w:p>
    <w:p w14:paraId="74E9BAC4" w14:textId="2D87B4EB" w:rsidR="0005010A" w:rsidRPr="00B50F60" w:rsidRDefault="00166618" w:rsidP="00162654">
      <w:pPr>
        <w:pStyle w:val="Standardenglisch"/>
        <w:keepNext/>
        <w:keepLines/>
        <w:widowControl/>
        <w:tabs>
          <w:tab w:val="left" w:pos="0"/>
          <w:tab w:val="left" w:pos="284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 xml:space="preserve">Tento liek </w:t>
      </w:r>
      <w:r w:rsidR="00580FBD" w:rsidRPr="00B50F60">
        <w:rPr>
          <w:rFonts w:ascii="Times New Roman" w:hAnsi="Times New Roman"/>
          <w:szCs w:val="22"/>
          <w:lang w:val="sk-SK"/>
        </w:rPr>
        <w:t>obsahuje 3,5</w:t>
      </w:r>
      <w:r w:rsidR="00CE22BE" w:rsidRPr="00B50F60">
        <w:rPr>
          <w:rFonts w:ascii="Times New Roman" w:hAnsi="Times New Roman"/>
          <w:szCs w:val="22"/>
          <w:lang w:val="sk-SK"/>
        </w:rPr>
        <w:t> </w:t>
      </w:r>
      <w:r w:rsidR="00580FBD" w:rsidRPr="00B50F60">
        <w:rPr>
          <w:rFonts w:ascii="Times New Roman" w:hAnsi="Times New Roman"/>
          <w:szCs w:val="22"/>
          <w:lang w:val="sk-SK"/>
        </w:rPr>
        <w:t>mg sodíka v</w:t>
      </w:r>
      <w:r w:rsidR="008D2A1A" w:rsidRPr="00B50F60">
        <w:rPr>
          <w:rFonts w:ascii="Times New Roman" w:hAnsi="Times New Roman"/>
          <w:szCs w:val="22"/>
          <w:lang w:val="sk-SK"/>
        </w:rPr>
        <w:t> </w:t>
      </w:r>
      <w:r w:rsidR="00580FBD" w:rsidRPr="00B50F60">
        <w:rPr>
          <w:rFonts w:ascii="Times New Roman" w:hAnsi="Times New Roman"/>
          <w:szCs w:val="22"/>
          <w:lang w:val="sk-SK"/>
        </w:rPr>
        <w:t>1</w:t>
      </w:r>
      <w:r w:rsidR="008D2A1A" w:rsidRPr="00B50F60">
        <w:rPr>
          <w:rFonts w:ascii="Times New Roman" w:hAnsi="Times New Roman"/>
          <w:szCs w:val="22"/>
          <w:lang w:val="sk-SK"/>
        </w:rPr>
        <w:t> </w:t>
      </w:r>
      <w:r w:rsidR="00580FBD" w:rsidRPr="00B50F60">
        <w:rPr>
          <w:rFonts w:ascii="Times New Roman" w:hAnsi="Times New Roman"/>
          <w:szCs w:val="22"/>
          <w:lang w:val="sk-SK"/>
        </w:rPr>
        <w:t xml:space="preserve">ml </w:t>
      </w:r>
      <w:r w:rsidR="00184105" w:rsidRPr="00B50F60">
        <w:rPr>
          <w:rFonts w:ascii="Times New Roman" w:hAnsi="Times New Roman"/>
          <w:szCs w:val="22"/>
          <w:lang w:val="sk-SK"/>
        </w:rPr>
        <w:t xml:space="preserve">infúzneho </w:t>
      </w:r>
      <w:r w:rsidR="0005010A" w:rsidRPr="00B50F60">
        <w:rPr>
          <w:rFonts w:ascii="Times New Roman" w:hAnsi="Times New Roman"/>
          <w:szCs w:val="22"/>
          <w:lang w:val="sk-SK"/>
        </w:rPr>
        <w:t xml:space="preserve">roztoku </w:t>
      </w:r>
      <w:proofErr w:type="spellStart"/>
      <w:r w:rsidR="0005010A" w:rsidRPr="00B50F60">
        <w:rPr>
          <w:rFonts w:ascii="Times New Roman" w:hAnsi="Times New Roman"/>
          <w:szCs w:val="22"/>
          <w:lang w:val="sk-SK"/>
        </w:rPr>
        <w:t>doxorubic</w:t>
      </w:r>
      <w:r w:rsidR="00184105" w:rsidRPr="00B50F60">
        <w:rPr>
          <w:rFonts w:ascii="Times New Roman" w:hAnsi="Times New Roman"/>
          <w:szCs w:val="22"/>
          <w:lang w:val="sk-SK"/>
        </w:rPr>
        <w:t>í</w:t>
      </w:r>
      <w:r w:rsidR="0005010A" w:rsidRPr="00B50F60">
        <w:rPr>
          <w:rFonts w:ascii="Times New Roman" w:hAnsi="Times New Roman"/>
          <w:szCs w:val="22"/>
          <w:lang w:val="sk-SK"/>
        </w:rPr>
        <w:t>n</w:t>
      </w:r>
      <w:r w:rsidR="00CF3F85" w:rsidRPr="00B50F60">
        <w:rPr>
          <w:rFonts w:ascii="Times New Roman" w:hAnsi="Times New Roman"/>
          <w:szCs w:val="22"/>
          <w:lang w:val="sk-SK"/>
        </w:rPr>
        <w:t>ium</w:t>
      </w:r>
      <w:r w:rsidR="0005010A" w:rsidRPr="00B50F60">
        <w:rPr>
          <w:rFonts w:ascii="Times New Roman" w:hAnsi="Times New Roman"/>
          <w:szCs w:val="22"/>
          <w:lang w:val="sk-SK"/>
        </w:rPr>
        <w:t>chlorid</w:t>
      </w:r>
      <w:r w:rsidR="00184105" w:rsidRPr="00B50F60">
        <w:rPr>
          <w:rFonts w:ascii="Times New Roman" w:hAnsi="Times New Roman"/>
          <w:szCs w:val="22"/>
          <w:lang w:val="sk-SK"/>
        </w:rPr>
        <w:t>u</w:t>
      </w:r>
      <w:proofErr w:type="spellEnd"/>
      <w:r w:rsidR="0005010A" w:rsidRPr="00B50F60">
        <w:rPr>
          <w:rFonts w:ascii="Times New Roman" w:hAnsi="Times New Roman"/>
          <w:szCs w:val="22"/>
          <w:lang w:val="sk-SK"/>
        </w:rPr>
        <w:t xml:space="preserve">. </w:t>
      </w:r>
      <w:r w:rsidR="001A71FA" w:rsidRPr="00B50F60">
        <w:rPr>
          <w:rFonts w:ascii="Times New Roman" w:hAnsi="Times New Roman"/>
          <w:szCs w:val="22"/>
          <w:lang w:val="sk-SK"/>
        </w:rPr>
        <w:t>Má sa</w:t>
      </w:r>
      <w:r w:rsidR="0005010A" w:rsidRPr="00B50F60">
        <w:rPr>
          <w:rFonts w:ascii="Times New Roman" w:hAnsi="Times New Roman"/>
          <w:szCs w:val="22"/>
          <w:lang w:val="sk-SK"/>
        </w:rPr>
        <w:t xml:space="preserve"> vziať do úvahy u pacientov</w:t>
      </w:r>
      <w:r w:rsidR="001A71FA" w:rsidRPr="00B50F60">
        <w:rPr>
          <w:rFonts w:ascii="Times New Roman" w:hAnsi="Times New Roman"/>
          <w:szCs w:val="22"/>
          <w:lang w:val="sk-SK"/>
        </w:rPr>
        <w:t xml:space="preserve"> </w:t>
      </w:r>
      <w:r w:rsidR="0005010A" w:rsidRPr="00B50F60">
        <w:rPr>
          <w:rFonts w:ascii="Times New Roman" w:hAnsi="Times New Roman"/>
          <w:szCs w:val="22"/>
          <w:lang w:val="sk-SK"/>
        </w:rPr>
        <w:t xml:space="preserve">na diéte s kontrolovaným </w:t>
      </w:r>
      <w:r w:rsidR="001A71FA" w:rsidRPr="00B50F60">
        <w:rPr>
          <w:rFonts w:ascii="Times New Roman" w:hAnsi="Times New Roman"/>
          <w:szCs w:val="22"/>
          <w:lang w:val="sk-SK"/>
        </w:rPr>
        <w:t xml:space="preserve">obsahom </w:t>
      </w:r>
      <w:r w:rsidR="0005010A" w:rsidRPr="00B50F60">
        <w:rPr>
          <w:rFonts w:ascii="Times New Roman" w:hAnsi="Times New Roman"/>
          <w:szCs w:val="22"/>
          <w:lang w:val="sk-SK"/>
        </w:rPr>
        <w:t>sodíka.</w:t>
      </w:r>
    </w:p>
    <w:p w14:paraId="45AEEA97" w14:textId="77777777" w:rsidR="0046784D" w:rsidRPr="00B50F60" w:rsidRDefault="0046784D" w:rsidP="00ED7827">
      <w:pPr>
        <w:pStyle w:val="Standardenglisch"/>
        <w:tabs>
          <w:tab w:val="left" w:pos="0"/>
          <w:tab w:val="left" w:pos="284"/>
        </w:tabs>
        <w:jc w:val="both"/>
        <w:rPr>
          <w:rFonts w:ascii="Times New Roman" w:hAnsi="Times New Roman"/>
          <w:szCs w:val="22"/>
          <w:lang w:val="sk-SK"/>
        </w:rPr>
      </w:pPr>
    </w:p>
    <w:p w14:paraId="626A7726" w14:textId="77777777" w:rsidR="00B750C4" w:rsidRPr="00B50F60" w:rsidRDefault="00B750C4" w:rsidP="003E703E">
      <w:pPr>
        <w:tabs>
          <w:tab w:val="left" w:pos="567"/>
        </w:tabs>
        <w:outlineLvl w:val="0"/>
        <w:rPr>
          <w:rFonts w:ascii="Times New Roman" w:hAnsi="Times New Roman"/>
          <w:b/>
          <w:szCs w:val="22"/>
          <w:lang w:val="sk-SK"/>
        </w:rPr>
      </w:pPr>
      <w:r w:rsidRPr="00B50F60">
        <w:rPr>
          <w:rFonts w:ascii="Times New Roman" w:hAnsi="Times New Roman"/>
          <w:b/>
          <w:szCs w:val="22"/>
          <w:lang w:val="sk-SK"/>
        </w:rPr>
        <w:t>4.5</w:t>
      </w:r>
      <w:r w:rsidRPr="00B50F60">
        <w:rPr>
          <w:rFonts w:ascii="Times New Roman" w:hAnsi="Times New Roman"/>
          <w:b/>
          <w:szCs w:val="22"/>
          <w:lang w:val="sk-SK"/>
        </w:rPr>
        <w:tab/>
      </w:r>
      <w:r w:rsidR="001123D4" w:rsidRPr="00B50F60">
        <w:rPr>
          <w:rFonts w:ascii="Times New Roman" w:hAnsi="Times New Roman"/>
          <w:b/>
          <w:szCs w:val="22"/>
          <w:lang w:val="sk-SK"/>
        </w:rPr>
        <w:t>Liekové a iné interakcie</w:t>
      </w:r>
    </w:p>
    <w:p w14:paraId="2969D3E8" w14:textId="77777777" w:rsidR="00B750C4" w:rsidRPr="00B50F60" w:rsidRDefault="00B750C4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5BF342B9" w14:textId="727949E5" w:rsidR="001123D4" w:rsidRPr="00B50F60" w:rsidRDefault="001123D4" w:rsidP="00ED3A08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>Súbež</w:t>
      </w:r>
      <w:r w:rsidR="00184105" w:rsidRPr="00B50F60">
        <w:rPr>
          <w:rFonts w:ascii="Times New Roman" w:hAnsi="Times New Roman"/>
          <w:szCs w:val="22"/>
          <w:lang w:val="sk-SK"/>
        </w:rPr>
        <w:t xml:space="preserve">né podávanie iných </w:t>
      </w:r>
      <w:proofErr w:type="spellStart"/>
      <w:r w:rsidR="00232BFC" w:rsidRPr="00B50F60">
        <w:rPr>
          <w:rFonts w:ascii="Times New Roman" w:hAnsi="Times New Roman"/>
          <w:szCs w:val="22"/>
          <w:lang w:val="sk-SK"/>
        </w:rPr>
        <w:t>protinádorov</w:t>
      </w:r>
      <w:r w:rsidR="00184105" w:rsidRPr="00B50F60">
        <w:rPr>
          <w:rFonts w:ascii="Times New Roman" w:hAnsi="Times New Roman"/>
          <w:szCs w:val="22"/>
          <w:lang w:val="sk-SK"/>
        </w:rPr>
        <w:t>ých</w:t>
      </w:r>
      <w:proofErr w:type="spellEnd"/>
      <w:r w:rsidR="00184105" w:rsidRPr="00B50F60">
        <w:rPr>
          <w:rFonts w:ascii="Times New Roman" w:hAnsi="Times New Roman"/>
          <w:szCs w:val="22"/>
          <w:lang w:val="sk-SK"/>
        </w:rPr>
        <w:t xml:space="preserve"> látok</w:t>
      </w:r>
      <w:r w:rsidRPr="00B50F60">
        <w:rPr>
          <w:rFonts w:ascii="Times New Roman" w:hAnsi="Times New Roman"/>
          <w:szCs w:val="22"/>
          <w:lang w:val="sk-SK"/>
        </w:rPr>
        <w:t xml:space="preserve">, napr. </w:t>
      </w:r>
      <w:proofErr w:type="spellStart"/>
      <w:r w:rsidRPr="00B50F60">
        <w:rPr>
          <w:rFonts w:ascii="Times New Roman" w:hAnsi="Times New Roman"/>
          <w:szCs w:val="22"/>
          <w:lang w:val="sk-SK"/>
        </w:rPr>
        <w:t>antracyklínov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(</w:t>
      </w:r>
      <w:proofErr w:type="spellStart"/>
      <w:r w:rsidRPr="00B50F60">
        <w:rPr>
          <w:rFonts w:ascii="Times New Roman" w:hAnsi="Times New Roman"/>
          <w:szCs w:val="22"/>
          <w:lang w:val="sk-SK"/>
        </w:rPr>
        <w:t>daunorubicín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, </w:t>
      </w:r>
      <w:proofErr w:type="spellStart"/>
      <w:r w:rsidRPr="00B50F60">
        <w:rPr>
          <w:rFonts w:ascii="Times New Roman" w:hAnsi="Times New Roman"/>
          <w:szCs w:val="22"/>
          <w:lang w:val="sk-SK"/>
        </w:rPr>
        <w:t>epirubicín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, </w:t>
      </w:r>
      <w:proofErr w:type="spellStart"/>
      <w:r w:rsidRPr="00B50F60">
        <w:rPr>
          <w:rFonts w:ascii="Times New Roman" w:hAnsi="Times New Roman"/>
          <w:szCs w:val="22"/>
          <w:lang w:val="sk-SK"/>
        </w:rPr>
        <w:t>idarubicín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), </w:t>
      </w:r>
      <w:proofErr w:type="spellStart"/>
      <w:r w:rsidRPr="00B50F60">
        <w:rPr>
          <w:rFonts w:ascii="Times New Roman" w:hAnsi="Times New Roman"/>
          <w:szCs w:val="22"/>
          <w:lang w:val="sk-SK"/>
        </w:rPr>
        <w:t>cisplatiny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, </w:t>
      </w:r>
      <w:proofErr w:type="spellStart"/>
      <w:r w:rsidRPr="00B50F60">
        <w:rPr>
          <w:rFonts w:ascii="Times New Roman" w:hAnsi="Times New Roman"/>
          <w:szCs w:val="22"/>
          <w:lang w:val="sk-SK"/>
        </w:rPr>
        <w:t>cyklofosfamid</w:t>
      </w:r>
      <w:r w:rsidR="009E2A28" w:rsidRPr="00B50F60">
        <w:rPr>
          <w:rFonts w:ascii="Times New Roman" w:hAnsi="Times New Roman"/>
          <w:szCs w:val="22"/>
          <w:lang w:val="sk-SK"/>
        </w:rPr>
        <w:t>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, </w:t>
      </w:r>
      <w:proofErr w:type="spellStart"/>
      <w:r w:rsidRPr="00B50F60">
        <w:rPr>
          <w:rFonts w:ascii="Times New Roman" w:hAnsi="Times New Roman"/>
          <w:szCs w:val="22"/>
          <w:lang w:val="sk-SK"/>
        </w:rPr>
        <w:t>cyklosporínu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, </w:t>
      </w:r>
      <w:proofErr w:type="spellStart"/>
      <w:r w:rsidRPr="00B50F60">
        <w:rPr>
          <w:rFonts w:ascii="Times New Roman" w:hAnsi="Times New Roman"/>
          <w:szCs w:val="22"/>
          <w:lang w:val="sk-SK"/>
        </w:rPr>
        <w:t>cytarabínu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, </w:t>
      </w:r>
      <w:proofErr w:type="spellStart"/>
      <w:r w:rsidRPr="00B50F60">
        <w:rPr>
          <w:rFonts w:ascii="Times New Roman" w:hAnsi="Times New Roman"/>
          <w:szCs w:val="22"/>
          <w:lang w:val="sk-SK"/>
        </w:rPr>
        <w:t>dakarbazínu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, </w:t>
      </w:r>
      <w:proofErr w:type="spellStart"/>
      <w:r w:rsidRPr="00B50F60">
        <w:rPr>
          <w:rFonts w:ascii="Times New Roman" w:hAnsi="Times New Roman"/>
          <w:szCs w:val="22"/>
          <w:lang w:val="sk-SK"/>
        </w:rPr>
        <w:t>daktinomycínu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, </w:t>
      </w:r>
      <w:proofErr w:type="spellStart"/>
      <w:r w:rsidRPr="00B50F60">
        <w:rPr>
          <w:rFonts w:ascii="Times New Roman" w:hAnsi="Times New Roman"/>
          <w:szCs w:val="22"/>
          <w:lang w:val="sk-SK"/>
        </w:rPr>
        <w:t>flu</w:t>
      </w:r>
      <w:r w:rsidR="00CC6558" w:rsidRPr="00B50F60">
        <w:rPr>
          <w:rFonts w:ascii="Times New Roman" w:hAnsi="Times New Roman"/>
          <w:szCs w:val="22"/>
          <w:lang w:val="sk-SK"/>
        </w:rPr>
        <w:t>ó</w:t>
      </w:r>
      <w:r w:rsidRPr="00B50F60">
        <w:rPr>
          <w:rFonts w:ascii="Times New Roman" w:hAnsi="Times New Roman"/>
          <w:szCs w:val="22"/>
          <w:lang w:val="sk-SK"/>
        </w:rPr>
        <w:t>ruracilu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, </w:t>
      </w:r>
      <w:proofErr w:type="spellStart"/>
      <w:r w:rsidRPr="00B50F60">
        <w:rPr>
          <w:rFonts w:ascii="Times New Roman" w:hAnsi="Times New Roman"/>
          <w:szCs w:val="22"/>
          <w:lang w:val="sk-SK"/>
        </w:rPr>
        <w:t>mitomycínu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C a </w:t>
      </w:r>
      <w:proofErr w:type="spellStart"/>
      <w:r w:rsidRPr="00B50F60">
        <w:rPr>
          <w:rFonts w:ascii="Times New Roman" w:hAnsi="Times New Roman"/>
          <w:szCs w:val="22"/>
          <w:lang w:val="sk-SK"/>
        </w:rPr>
        <w:t>taxánov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môže </w:t>
      </w:r>
      <w:r w:rsidR="00184105" w:rsidRPr="00B50F60">
        <w:rPr>
          <w:rFonts w:ascii="Times New Roman" w:hAnsi="Times New Roman"/>
          <w:szCs w:val="22"/>
          <w:lang w:val="sk-SK"/>
        </w:rPr>
        <w:t>zosilniť</w:t>
      </w:r>
      <w:r w:rsidRPr="00B50F60">
        <w:rPr>
          <w:rFonts w:ascii="Times New Roman" w:hAnsi="Times New Roman"/>
          <w:szCs w:val="22"/>
          <w:lang w:val="sk-SK"/>
        </w:rPr>
        <w:t xml:space="preserve"> riziko </w:t>
      </w:r>
      <w:proofErr w:type="spellStart"/>
      <w:r w:rsidR="009E2A28" w:rsidRPr="00B50F60">
        <w:rPr>
          <w:rFonts w:ascii="Times New Roman" w:hAnsi="Times New Roman"/>
          <w:szCs w:val="22"/>
          <w:lang w:val="sk-SK"/>
        </w:rPr>
        <w:t>doxorubicínom</w:t>
      </w:r>
      <w:proofErr w:type="spellEnd"/>
      <w:r w:rsidR="009E2A28" w:rsidRPr="00B50F60">
        <w:rPr>
          <w:rFonts w:ascii="Times New Roman" w:hAnsi="Times New Roman"/>
          <w:szCs w:val="22"/>
          <w:lang w:val="sk-SK"/>
        </w:rPr>
        <w:t xml:space="preserve"> indukované</w:t>
      </w:r>
      <w:r w:rsidR="002D415B" w:rsidRPr="00B50F60">
        <w:rPr>
          <w:rFonts w:ascii="Times New Roman" w:hAnsi="Times New Roman"/>
          <w:szCs w:val="22"/>
          <w:lang w:val="sk-SK"/>
        </w:rPr>
        <w:t>h</w:t>
      </w:r>
      <w:r w:rsidR="009E2A28" w:rsidRPr="00B50F60">
        <w:rPr>
          <w:rFonts w:ascii="Times New Roman" w:hAnsi="Times New Roman"/>
          <w:szCs w:val="22"/>
          <w:lang w:val="sk-SK"/>
        </w:rPr>
        <w:t>o chronického</w:t>
      </w:r>
      <w:r w:rsidRPr="00B50F60">
        <w:rPr>
          <w:rFonts w:ascii="Times New Roman" w:hAnsi="Times New Roman"/>
          <w:szCs w:val="22"/>
          <w:lang w:val="sk-SK"/>
        </w:rPr>
        <w:t xml:space="preserve"> srdcového zlyhania. </w:t>
      </w:r>
      <w:r w:rsidR="00420EAF" w:rsidRPr="00B50F60">
        <w:rPr>
          <w:rFonts w:ascii="Times New Roman" w:hAnsi="Times New Roman"/>
          <w:szCs w:val="22"/>
          <w:lang w:val="sk-SK"/>
        </w:rPr>
        <w:t xml:space="preserve">Eliminácia </w:t>
      </w:r>
      <w:proofErr w:type="spellStart"/>
      <w:r w:rsidRPr="00B50F60">
        <w:rPr>
          <w:rFonts w:ascii="Times New Roman" w:hAnsi="Times New Roman"/>
          <w:szCs w:val="22"/>
          <w:lang w:val="sk-SK"/>
        </w:rPr>
        <w:t>doxorubicínu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sa významne zmenil</w:t>
      </w:r>
      <w:r w:rsidR="00184105" w:rsidRPr="00B50F60">
        <w:rPr>
          <w:rFonts w:ascii="Times New Roman" w:hAnsi="Times New Roman"/>
          <w:szCs w:val="22"/>
          <w:lang w:val="sk-SK"/>
        </w:rPr>
        <w:t>a</w:t>
      </w:r>
      <w:r w:rsidRPr="00B50F60">
        <w:rPr>
          <w:rFonts w:ascii="Times New Roman" w:hAnsi="Times New Roman"/>
          <w:szCs w:val="22"/>
          <w:lang w:val="sk-SK"/>
        </w:rPr>
        <w:t xml:space="preserve">, keď sa podával ihneď po krátkej intravenóznej infúzii </w:t>
      </w:r>
      <w:proofErr w:type="spellStart"/>
      <w:r w:rsidRPr="00B50F60">
        <w:rPr>
          <w:rFonts w:ascii="Times New Roman" w:hAnsi="Times New Roman"/>
          <w:szCs w:val="22"/>
          <w:lang w:val="sk-SK"/>
        </w:rPr>
        <w:t>paklitaxelu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. Súbežné podávanie </w:t>
      </w:r>
      <w:proofErr w:type="spellStart"/>
      <w:r w:rsidRPr="00B50F60">
        <w:rPr>
          <w:rFonts w:ascii="Times New Roman" w:hAnsi="Times New Roman"/>
          <w:szCs w:val="22"/>
          <w:lang w:val="sk-SK"/>
        </w:rPr>
        <w:t>paklitaxelu</w:t>
      </w:r>
      <w:proofErr w:type="spellEnd"/>
      <w:r w:rsidR="00B41C2C" w:rsidRPr="00B50F60">
        <w:rPr>
          <w:rFonts w:ascii="Times New Roman" w:hAnsi="Times New Roman"/>
          <w:szCs w:val="22"/>
          <w:lang w:val="sk-SK"/>
        </w:rPr>
        <w:t xml:space="preserve"> spôsobuje zníženie </w:t>
      </w:r>
      <w:proofErr w:type="spellStart"/>
      <w:r w:rsidR="00E76484">
        <w:rPr>
          <w:rFonts w:ascii="Times New Roman" w:hAnsi="Times New Roman"/>
          <w:szCs w:val="22"/>
          <w:lang w:val="sk-SK"/>
        </w:rPr>
        <w:t>klírens</w:t>
      </w:r>
      <w:proofErr w:type="spellEnd"/>
      <w:r w:rsidR="00E76484" w:rsidRPr="00B50F6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="00B41C2C" w:rsidRPr="00B50F60">
        <w:rPr>
          <w:rFonts w:ascii="Times New Roman" w:hAnsi="Times New Roman"/>
          <w:szCs w:val="22"/>
          <w:lang w:val="sk-SK"/>
        </w:rPr>
        <w:t>doxorubicínu</w:t>
      </w:r>
      <w:proofErr w:type="spellEnd"/>
      <w:r w:rsidR="00B41C2C" w:rsidRPr="00B50F60">
        <w:rPr>
          <w:rFonts w:ascii="Times New Roman" w:hAnsi="Times New Roman"/>
          <w:szCs w:val="22"/>
          <w:lang w:val="sk-SK"/>
        </w:rPr>
        <w:t xml:space="preserve"> a </w:t>
      </w:r>
      <w:r w:rsidR="0081366F" w:rsidRPr="00B50F60">
        <w:rPr>
          <w:rFonts w:ascii="Times New Roman" w:hAnsi="Times New Roman"/>
          <w:szCs w:val="22"/>
          <w:lang w:val="sk-SK"/>
        </w:rPr>
        <w:t>takisto bol pozorov</w:t>
      </w:r>
      <w:r w:rsidR="00420EAF" w:rsidRPr="00B50F60">
        <w:rPr>
          <w:rFonts w:ascii="Times New Roman" w:hAnsi="Times New Roman"/>
          <w:szCs w:val="22"/>
          <w:lang w:val="sk-SK"/>
        </w:rPr>
        <w:t>aný</w:t>
      </w:r>
      <w:r w:rsidR="00B41C2C" w:rsidRPr="00B50F60">
        <w:rPr>
          <w:rFonts w:ascii="Times New Roman" w:hAnsi="Times New Roman"/>
          <w:szCs w:val="22"/>
          <w:lang w:val="sk-SK"/>
        </w:rPr>
        <w:t xml:space="preserve"> </w:t>
      </w:r>
      <w:r w:rsidR="001E72F4" w:rsidRPr="00B50F60">
        <w:rPr>
          <w:rFonts w:ascii="Times New Roman" w:hAnsi="Times New Roman"/>
          <w:szCs w:val="22"/>
          <w:lang w:val="sk-SK"/>
        </w:rPr>
        <w:t>vyšší počet</w:t>
      </w:r>
      <w:r w:rsidR="00B41C2C" w:rsidRPr="00B50F6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="00B41C2C" w:rsidRPr="00B50F60">
        <w:rPr>
          <w:rFonts w:ascii="Times New Roman" w:hAnsi="Times New Roman"/>
          <w:szCs w:val="22"/>
          <w:lang w:val="sk-SK"/>
        </w:rPr>
        <w:t>neutropenických</w:t>
      </w:r>
      <w:proofErr w:type="spellEnd"/>
      <w:r w:rsidR="00B41C2C" w:rsidRPr="00B50F60">
        <w:rPr>
          <w:rFonts w:ascii="Times New Roman" w:hAnsi="Times New Roman"/>
          <w:szCs w:val="22"/>
          <w:lang w:val="sk-SK"/>
        </w:rPr>
        <w:t xml:space="preserve"> epizód a epizód </w:t>
      </w:r>
      <w:proofErr w:type="spellStart"/>
      <w:r w:rsidR="00B41C2C" w:rsidRPr="00B50F60">
        <w:rPr>
          <w:rFonts w:ascii="Times New Roman" w:hAnsi="Times New Roman"/>
          <w:szCs w:val="22"/>
          <w:lang w:val="sk-SK"/>
        </w:rPr>
        <w:t>stomatitídy</w:t>
      </w:r>
      <w:proofErr w:type="spellEnd"/>
      <w:r w:rsidR="00B41C2C" w:rsidRPr="00B50F60">
        <w:rPr>
          <w:rFonts w:ascii="Times New Roman" w:hAnsi="Times New Roman"/>
          <w:szCs w:val="22"/>
          <w:lang w:val="sk-SK"/>
        </w:rPr>
        <w:t>.</w:t>
      </w:r>
    </w:p>
    <w:p w14:paraId="1E538C13" w14:textId="77777777" w:rsidR="00E35778" w:rsidRPr="00B50F60" w:rsidRDefault="00E35778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063178B7" w14:textId="77777777" w:rsidR="00B41C2C" w:rsidRPr="00B50F60" w:rsidRDefault="0081366F" w:rsidP="00E0676E">
      <w:pPr>
        <w:pStyle w:val="Standardenglisch"/>
        <w:keepNext/>
        <w:keepLines/>
        <w:widowControl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>Zvýšená</w:t>
      </w:r>
      <w:r w:rsidR="001E72F4" w:rsidRPr="00B50F6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="001E72F4" w:rsidRPr="00B50F60">
        <w:rPr>
          <w:rFonts w:ascii="Times New Roman" w:hAnsi="Times New Roman"/>
          <w:szCs w:val="22"/>
          <w:lang w:val="sk-SK"/>
        </w:rPr>
        <w:t>kardiotoxicita</w:t>
      </w:r>
      <w:proofErr w:type="spellEnd"/>
      <w:r w:rsidR="00B41C2C" w:rsidRPr="00B50F60">
        <w:rPr>
          <w:rFonts w:ascii="Times New Roman" w:hAnsi="Times New Roman"/>
          <w:szCs w:val="22"/>
          <w:lang w:val="sk-SK"/>
        </w:rPr>
        <w:t xml:space="preserve"> </w:t>
      </w:r>
      <w:r w:rsidRPr="00B50F60">
        <w:rPr>
          <w:rFonts w:ascii="Times New Roman" w:hAnsi="Times New Roman"/>
          <w:szCs w:val="22"/>
          <w:lang w:val="sk-SK"/>
        </w:rPr>
        <w:t xml:space="preserve">sa objavila aj </w:t>
      </w:r>
      <w:r w:rsidR="00B41C2C" w:rsidRPr="00B50F60">
        <w:rPr>
          <w:rFonts w:ascii="Times New Roman" w:hAnsi="Times New Roman"/>
          <w:szCs w:val="22"/>
          <w:lang w:val="sk-SK"/>
        </w:rPr>
        <w:t xml:space="preserve">po súbežnom podaní </w:t>
      </w:r>
      <w:proofErr w:type="spellStart"/>
      <w:r w:rsidR="00B41C2C" w:rsidRPr="00B50F60">
        <w:rPr>
          <w:rFonts w:ascii="Times New Roman" w:hAnsi="Times New Roman"/>
          <w:szCs w:val="22"/>
          <w:lang w:val="sk-SK"/>
        </w:rPr>
        <w:t>kardioaktívnych</w:t>
      </w:r>
      <w:proofErr w:type="spellEnd"/>
      <w:r w:rsidR="00B41C2C" w:rsidRPr="00B50F60">
        <w:rPr>
          <w:rFonts w:ascii="Times New Roman" w:hAnsi="Times New Roman"/>
          <w:szCs w:val="22"/>
          <w:lang w:val="sk-SK"/>
        </w:rPr>
        <w:t xml:space="preserve"> liekov, napr. </w:t>
      </w:r>
      <w:proofErr w:type="spellStart"/>
      <w:r w:rsidR="00B41C2C" w:rsidRPr="00B50F60">
        <w:rPr>
          <w:rFonts w:ascii="Times New Roman" w:hAnsi="Times New Roman"/>
          <w:szCs w:val="22"/>
          <w:lang w:val="sk-SK"/>
        </w:rPr>
        <w:t>b</w:t>
      </w:r>
      <w:r w:rsidR="001E72F4" w:rsidRPr="00B50F60">
        <w:rPr>
          <w:rFonts w:ascii="Times New Roman" w:hAnsi="Times New Roman"/>
          <w:szCs w:val="22"/>
          <w:lang w:val="sk-SK"/>
        </w:rPr>
        <w:t>l</w:t>
      </w:r>
      <w:r w:rsidR="00B41C2C" w:rsidRPr="00B50F60">
        <w:rPr>
          <w:rFonts w:ascii="Times New Roman" w:hAnsi="Times New Roman"/>
          <w:szCs w:val="22"/>
          <w:lang w:val="sk-SK"/>
        </w:rPr>
        <w:t>okátorov</w:t>
      </w:r>
      <w:proofErr w:type="spellEnd"/>
      <w:r w:rsidR="00B41C2C" w:rsidRPr="00B50F60">
        <w:rPr>
          <w:rFonts w:ascii="Times New Roman" w:hAnsi="Times New Roman"/>
          <w:szCs w:val="22"/>
          <w:lang w:val="sk-SK"/>
        </w:rPr>
        <w:t xml:space="preserve"> kalciového kanála a </w:t>
      </w:r>
      <w:proofErr w:type="spellStart"/>
      <w:r w:rsidR="00B41C2C" w:rsidRPr="00B50F60">
        <w:rPr>
          <w:rFonts w:ascii="Times New Roman" w:hAnsi="Times New Roman"/>
          <w:szCs w:val="22"/>
          <w:lang w:val="sk-SK"/>
        </w:rPr>
        <w:t>verapamilu</w:t>
      </w:r>
      <w:proofErr w:type="spellEnd"/>
      <w:r w:rsidR="00B41C2C" w:rsidRPr="00B50F60">
        <w:rPr>
          <w:rFonts w:ascii="Times New Roman" w:hAnsi="Times New Roman"/>
          <w:szCs w:val="22"/>
          <w:lang w:val="sk-SK"/>
        </w:rPr>
        <w:t xml:space="preserve"> (so zvýšením </w:t>
      </w:r>
      <w:r w:rsidRPr="00B50F60">
        <w:rPr>
          <w:rFonts w:ascii="Times New Roman" w:hAnsi="Times New Roman"/>
          <w:szCs w:val="22"/>
          <w:lang w:val="sk-SK"/>
        </w:rPr>
        <w:t xml:space="preserve">maximálnych </w:t>
      </w:r>
      <w:r w:rsidR="00B41C2C" w:rsidRPr="00B50F60">
        <w:rPr>
          <w:rFonts w:ascii="Times New Roman" w:hAnsi="Times New Roman"/>
          <w:szCs w:val="22"/>
          <w:lang w:val="sk-SK"/>
        </w:rPr>
        <w:t xml:space="preserve">hladín </w:t>
      </w:r>
      <w:proofErr w:type="spellStart"/>
      <w:r w:rsidR="00B41C2C" w:rsidRPr="00B50F60">
        <w:rPr>
          <w:rFonts w:ascii="Times New Roman" w:hAnsi="Times New Roman"/>
          <w:szCs w:val="22"/>
          <w:lang w:val="sk-SK"/>
        </w:rPr>
        <w:t>doxorubicínu</w:t>
      </w:r>
      <w:proofErr w:type="spellEnd"/>
      <w:r w:rsidR="00B41C2C" w:rsidRPr="00B50F60">
        <w:rPr>
          <w:rFonts w:ascii="Times New Roman" w:hAnsi="Times New Roman"/>
          <w:szCs w:val="22"/>
          <w:lang w:val="sk-SK"/>
        </w:rPr>
        <w:t xml:space="preserve">, </w:t>
      </w:r>
      <w:r w:rsidRPr="00B50F60">
        <w:rPr>
          <w:rFonts w:ascii="Times New Roman" w:hAnsi="Times New Roman"/>
          <w:szCs w:val="22"/>
          <w:lang w:val="sk-SK"/>
        </w:rPr>
        <w:t>eliminačného polčasu</w:t>
      </w:r>
      <w:r w:rsidR="00B41C2C" w:rsidRPr="00B50F60">
        <w:rPr>
          <w:rFonts w:ascii="Times New Roman" w:hAnsi="Times New Roman"/>
          <w:szCs w:val="22"/>
          <w:lang w:val="sk-SK"/>
        </w:rPr>
        <w:t xml:space="preserve"> a distribučného objemu). </w:t>
      </w:r>
      <w:r w:rsidR="001E72F4" w:rsidRPr="00B50F60">
        <w:rPr>
          <w:rFonts w:ascii="Times New Roman" w:hAnsi="Times New Roman"/>
          <w:szCs w:val="22"/>
          <w:lang w:val="sk-SK"/>
        </w:rPr>
        <w:t>P</w:t>
      </w:r>
      <w:r w:rsidR="00B41C2C" w:rsidRPr="00B50F60">
        <w:rPr>
          <w:rFonts w:ascii="Times New Roman" w:hAnsi="Times New Roman"/>
          <w:szCs w:val="22"/>
          <w:lang w:val="sk-SK"/>
        </w:rPr>
        <w:t xml:space="preserve">očas liečby </w:t>
      </w:r>
      <w:proofErr w:type="spellStart"/>
      <w:r w:rsidR="00B41C2C" w:rsidRPr="00B50F60">
        <w:rPr>
          <w:rFonts w:ascii="Times New Roman" w:hAnsi="Times New Roman"/>
          <w:szCs w:val="22"/>
          <w:lang w:val="sk-SK"/>
        </w:rPr>
        <w:t>doxorubicínom</w:t>
      </w:r>
      <w:proofErr w:type="spellEnd"/>
      <w:r w:rsidR="001E72F4" w:rsidRPr="00B50F60">
        <w:rPr>
          <w:rFonts w:ascii="Times New Roman" w:hAnsi="Times New Roman"/>
          <w:szCs w:val="22"/>
          <w:lang w:val="sk-SK"/>
        </w:rPr>
        <w:t xml:space="preserve"> sa znižuje biologická dostupnosť </w:t>
      </w:r>
      <w:proofErr w:type="spellStart"/>
      <w:r w:rsidR="001E72F4" w:rsidRPr="00B50F60">
        <w:rPr>
          <w:rFonts w:ascii="Times New Roman" w:hAnsi="Times New Roman"/>
          <w:szCs w:val="22"/>
          <w:lang w:val="sk-SK"/>
        </w:rPr>
        <w:t>digoxínu</w:t>
      </w:r>
      <w:proofErr w:type="spellEnd"/>
      <w:r w:rsidR="00B41C2C" w:rsidRPr="00B50F60">
        <w:rPr>
          <w:rFonts w:ascii="Times New Roman" w:hAnsi="Times New Roman"/>
          <w:szCs w:val="22"/>
          <w:lang w:val="sk-SK"/>
        </w:rPr>
        <w:t xml:space="preserve">. </w:t>
      </w:r>
      <w:r w:rsidR="001E72F4" w:rsidRPr="00B50F60">
        <w:rPr>
          <w:rFonts w:ascii="Times New Roman" w:hAnsi="Times New Roman"/>
          <w:szCs w:val="22"/>
          <w:lang w:val="sk-SK"/>
        </w:rPr>
        <w:t>Vyžaduje sa s</w:t>
      </w:r>
      <w:r w:rsidR="00B41C2C" w:rsidRPr="00B50F60">
        <w:rPr>
          <w:rFonts w:ascii="Times New Roman" w:hAnsi="Times New Roman"/>
          <w:szCs w:val="22"/>
          <w:lang w:val="sk-SK"/>
        </w:rPr>
        <w:t xml:space="preserve">tarostlivé monitorovanie srdcových funkcií vo všetkých takýchto súbežných liečebných </w:t>
      </w:r>
      <w:r w:rsidR="00B63D39" w:rsidRPr="00B50F60">
        <w:rPr>
          <w:rFonts w:ascii="Times New Roman" w:hAnsi="Times New Roman"/>
          <w:szCs w:val="22"/>
          <w:lang w:val="sk-SK"/>
        </w:rPr>
        <w:t>režimoch</w:t>
      </w:r>
      <w:r w:rsidR="00B41C2C" w:rsidRPr="00B50F60">
        <w:rPr>
          <w:rFonts w:ascii="Times New Roman" w:hAnsi="Times New Roman"/>
          <w:szCs w:val="22"/>
          <w:lang w:val="sk-SK"/>
        </w:rPr>
        <w:t>.</w:t>
      </w:r>
    </w:p>
    <w:p w14:paraId="32F0C6B8" w14:textId="77777777" w:rsidR="00B750C4" w:rsidRPr="00B50F60" w:rsidRDefault="00B750C4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28EBE17B" w14:textId="0CC99B20" w:rsidR="000A668A" w:rsidRDefault="001D7FC4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 xml:space="preserve">Používanie </w:t>
      </w:r>
      <w:proofErr w:type="spellStart"/>
      <w:r w:rsidRPr="00B50F60">
        <w:rPr>
          <w:rFonts w:ascii="Times New Roman" w:hAnsi="Times New Roman"/>
          <w:szCs w:val="22"/>
          <w:lang w:val="sk-SK"/>
        </w:rPr>
        <w:t>trastuzumabu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v kombinácii s </w:t>
      </w:r>
      <w:proofErr w:type="spellStart"/>
      <w:r w:rsidRPr="00B50F60">
        <w:rPr>
          <w:rFonts w:ascii="Times New Roman" w:hAnsi="Times New Roman"/>
          <w:szCs w:val="22"/>
          <w:lang w:val="sk-SK"/>
        </w:rPr>
        <w:t>antracyklínmi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(ako je </w:t>
      </w:r>
      <w:proofErr w:type="spellStart"/>
      <w:r w:rsidRPr="00B50F60">
        <w:rPr>
          <w:rFonts w:ascii="Times New Roman" w:hAnsi="Times New Roman"/>
          <w:szCs w:val="22"/>
          <w:lang w:val="sk-SK"/>
        </w:rPr>
        <w:t>doxorubicín</w:t>
      </w:r>
      <w:proofErr w:type="spellEnd"/>
      <w:r w:rsidRPr="00B50F60">
        <w:rPr>
          <w:rFonts w:ascii="Times New Roman" w:hAnsi="Times New Roman"/>
          <w:szCs w:val="22"/>
          <w:lang w:val="sk-SK"/>
        </w:rPr>
        <w:t>) súvisí s </w:t>
      </w:r>
      <w:r w:rsidR="00E35286" w:rsidRPr="00B50F60">
        <w:rPr>
          <w:rFonts w:ascii="Times New Roman" w:hAnsi="Times New Roman"/>
          <w:szCs w:val="22"/>
          <w:lang w:val="sk-SK"/>
        </w:rPr>
        <w:t>vysokým</w:t>
      </w:r>
      <w:r w:rsidRPr="00B50F6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B50F60">
        <w:rPr>
          <w:rFonts w:ascii="Times New Roman" w:hAnsi="Times New Roman"/>
          <w:szCs w:val="22"/>
          <w:lang w:val="sk-SK"/>
        </w:rPr>
        <w:t>kardiotoxickým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rizikom. </w:t>
      </w:r>
      <w:proofErr w:type="spellStart"/>
      <w:r w:rsidRPr="00B50F60">
        <w:rPr>
          <w:rFonts w:ascii="Times New Roman" w:hAnsi="Times New Roman"/>
          <w:szCs w:val="22"/>
          <w:lang w:val="sk-SK"/>
        </w:rPr>
        <w:t>Trastuzumab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a </w:t>
      </w:r>
      <w:proofErr w:type="spellStart"/>
      <w:r w:rsidRPr="00B50F60">
        <w:rPr>
          <w:rFonts w:ascii="Times New Roman" w:hAnsi="Times New Roman"/>
          <w:szCs w:val="22"/>
          <w:lang w:val="sk-SK"/>
        </w:rPr>
        <w:t>antracykl</w:t>
      </w:r>
      <w:r w:rsidR="00E35286" w:rsidRPr="00B50F60">
        <w:rPr>
          <w:rFonts w:ascii="Times New Roman" w:hAnsi="Times New Roman"/>
          <w:szCs w:val="22"/>
          <w:lang w:val="sk-SK"/>
        </w:rPr>
        <w:t>í</w:t>
      </w:r>
      <w:r w:rsidRPr="00B50F60">
        <w:rPr>
          <w:rFonts w:ascii="Times New Roman" w:hAnsi="Times New Roman"/>
          <w:szCs w:val="22"/>
          <w:lang w:val="sk-SK"/>
        </w:rPr>
        <w:t>n</w:t>
      </w:r>
      <w:r w:rsidR="00E35286" w:rsidRPr="00B50F60">
        <w:rPr>
          <w:rFonts w:ascii="Times New Roman" w:hAnsi="Times New Roman"/>
          <w:szCs w:val="22"/>
          <w:lang w:val="sk-SK"/>
        </w:rPr>
        <w:t>y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sa nemajú používať v kombinácii, s výnimkou dobre kontrolovaných klinických štúdií, kde je srdcová funkcia sledovaná. </w:t>
      </w:r>
      <w:r w:rsidR="004849D1">
        <w:rPr>
          <w:rFonts w:ascii="Times New Roman" w:hAnsi="Times New Roman"/>
          <w:szCs w:val="22"/>
          <w:lang w:val="sk-SK"/>
        </w:rPr>
        <w:t>Pacienti dostávajúci</w:t>
      </w:r>
      <w:r w:rsidR="00C5718E" w:rsidRPr="00B50F6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="00C5718E" w:rsidRPr="00B50F60">
        <w:rPr>
          <w:rFonts w:ascii="Times New Roman" w:hAnsi="Times New Roman"/>
          <w:szCs w:val="22"/>
          <w:lang w:val="sk-SK"/>
        </w:rPr>
        <w:t>antracyklíny</w:t>
      </w:r>
      <w:proofErr w:type="spellEnd"/>
      <w:r w:rsidR="00C5718E" w:rsidRPr="00B50F60">
        <w:rPr>
          <w:rFonts w:ascii="Times New Roman" w:hAnsi="Times New Roman"/>
          <w:szCs w:val="22"/>
          <w:lang w:val="sk-SK"/>
        </w:rPr>
        <w:t xml:space="preserve"> </w:t>
      </w:r>
      <w:r w:rsidRPr="00B50F60">
        <w:rPr>
          <w:rFonts w:ascii="Times New Roman" w:hAnsi="Times New Roman"/>
          <w:szCs w:val="22"/>
          <w:lang w:val="sk-SK"/>
        </w:rPr>
        <w:t xml:space="preserve">po ukončení liečby </w:t>
      </w:r>
      <w:r w:rsidR="004849D1">
        <w:rPr>
          <w:rFonts w:ascii="Times New Roman" w:hAnsi="Times New Roman"/>
          <w:szCs w:val="22"/>
          <w:lang w:val="sk-SK"/>
        </w:rPr>
        <w:t xml:space="preserve">inými </w:t>
      </w:r>
      <w:proofErr w:type="spellStart"/>
      <w:r w:rsidR="004849D1">
        <w:rPr>
          <w:rFonts w:ascii="Times New Roman" w:hAnsi="Times New Roman"/>
          <w:szCs w:val="22"/>
          <w:lang w:val="sk-SK"/>
        </w:rPr>
        <w:t>kardiotoxickými</w:t>
      </w:r>
      <w:proofErr w:type="spellEnd"/>
      <w:r w:rsidR="004849D1">
        <w:rPr>
          <w:rFonts w:ascii="Times New Roman" w:hAnsi="Times New Roman"/>
          <w:szCs w:val="22"/>
          <w:lang w:val="sk-SK"/>
        </w:rPr>
        <w:t xml:space="preserve"> l</w:t>
      </w:r>
      <w:r w:rsidR="00946A86">
        <w:rPr>
          <w:rFonts w:ascii="Times New Roman" w:hAnsi="Times New Roman"/>
          <w:szCs w:val="22"/>
          <w:lang w:val="sk-SK"/>
        </w:rPr>
        <w:t>ie</w:t>
      </w:r>
      <w:r w:rsidR="004849D1">
        <w:rPr>
          <w:rFonts w:ascii="Times New Roman" w:hAnsi="Times New Roman"/>
          <w:szCs w:val="22"/>
          <w:lang w:val="sk-SK"/>
        </w:rPr>
        <w:t>k</w:t>
      </w:r>
      <w:r w:rsidR="00946A86">
        <w:rPr>
          <w:rFonts w:ascii="Times New Roman" w:hAnsi="Times New Roman"/>
          <w:szCs w:val="22"/>
          <w:lang w:val="sk-SK"/>
        </w:rPr>
        <w:t>m</w:t>
      </w:r>
      <w:r w:rsidR="004849D1">
        <w:rPr>
          <w:rFonts w:ascii="Times New Roman" w:hAnsi="Times New Roman"/>
          <w:szCs w:val="22"/>
          <w:lang w:val="sk-SK"/>
        </w:rPr>
        <w:t xml:space="preserve">i, najmä tými </w:t>
      </w:r>
      <w:r w:rsidR="00694D14">
        <w:rPr>
          <w:rFonts w:ascii="Times New Roman" w:hAnsi="Times New Roman"/>
          <w:szCs w:val="22"/>
          <w:lang w:val="sk-SK"/>
        </w:rPr>
        <w:t xml:space="preserve">s dlhým polčasom rozpadu ako je </w:t>
      </w:r>
      <w:proofErr w:type="spellStart"/>
      <w:r w:rsidR="00C5718E" w:rsidRPr="00B50F60">
        <w:rPr>
          <w:rFonts w:ascii="Times New Roman" w:hAnsi="Times New Roman"/>
          <w:szCs w:val="22"/>
          <w:lang w:val="sk-SK"/>
        </w:rPr>
        <w:t>trastuzumab</w:t>
      </w:r>
      <w:proofErr w:type="spellEnd"/>
      <w:r w:rsidR="00E35286" w:rsidRPr="00B50F60">
        <w:rPr>
          <w:rFonts w:ascii="Times New Roman" w:hAnsi="Times New Roman"/>
          <w:szCs w:val="22"/>
          <w:lang w:val="sk-SK"/>
        </w:rPr>
        <w:t>,</w:t>
      </w:r>
      <w:r w:rsidR="00C5718E" w:rsidRPr="00B50F60">
        <w:rPr>
          <w:rFonts w:ascii="Times New Roman" w:hAnsi="Times New Roman"/>
          <w:szCs w:val="22"/>
          <w:lang w:val="sk-SK"/>
        </w:rPr>
        <w:t xml:space="preserve"> </w:t>
      </w:r>
      <w:r w:rsidR="00B03349">
        <w:rPr>
          <w:rFonts w:ascii="Times New Roman" w:hAnsi="Times New Roman"/>
          <w:szCs w:val="22"/>
          <w:lang w:val="sk-SK"/>
        </w:rPr>
        <w:t>môžu tiež mať zvýšené</w:t>
      </w:r>
      <w:r w:rsidR="00C5718E" w:rsidRPr="00B50F60">
        <w:rPr>
          <w:rFonts w:ascii="Times New Roman" w:hAnsi="Times New Roman"/>
          <w:szCs w:val="22"/>
          <w:lang w:val="sk-SK"/>
        </w:rPr>
        <w:t xml:space="preserve"> riziko</w:t>
      </w:r>
      <w:r w:rsidR="00886B4D">
        <w:rPr>
          <w:rFonts w:ascii="Times New Roman" w:hAnsi="Times New Roman"/>
          <w:szCs w:val="22"/>
          <w:lang w:val="sk-SK"/>
        </w:rPr>
        <w:t xml:space="preserve"> rozvoja</w:t>
      </w:r>
      <w:r w:rsidR="00C5718E" w:rsidRPr="00B50F6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="00C5718E" w:rsidRPr="00B50F60">
        <w:rPr>
          <w:rFonts w:ascii="Times New Roman" w:hAnsi="Times New Roman"/>
          <w:szCs w:val="22"/>
          <w:lang w:val="sk-SK"/>
        </w:rPr>
        <w:t>ka</w:t>
      </w:r>
      <w:r w:rsidR="00DF5CE8">
        <w:rPr>
          <w:rFonts w:ascii="Times New Roman" w:hAnsi="Times New Roman"/>
          <w:szCs w:val="22"/>
          <w:lang w:val="sk-SK"/>
        </w:rPr>
        <w:t>r</w:t>
      </w:r>
      <w:r w:rsidR="00C5718E" w:rsidRPr="00B50F60">
        <w:rPr>
          <w:rFonts w:ascii="Times New Roman" w:hAnsi="Times New Roman"/>
          <w:szCs w:val="22"/>
          <w:lang w:val="sk-SK"/>
        </w:rPr>
        <w:t>diotoxicity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. </w:t>
      </w:r>
      <w:r w:rsidR="00FC458A">
        <w:rPr>
          <w:rFonts w:ascii="Times New Roman" w:hAnsi="Times New Roman"/>
          <w:szCs w:val="22"/>
          <w:lang w:val="sk-SK"/>
        </w:rPr>
        <w:t>Hlásený p</w:t>
      </w:r>
      <w:r w:rsidR="001062EB" w:rsidRPr="00B50F60">
        <w:rPr>
          <w:rFonts w:ascii="Times New Roman" w:hAnsi="Times New Roman"/>
          <w:szCs w:val="22"/>
          <w:lang w:val="sk-SK"/>
        </w:rPr>
        <w:t xml:space="preserve">olčas rozpadu </w:t>
      </w:r>
      <w:proofErr w:type="spellStart"/>
      <w:r w:rsidR="001062EB" w:rsidRPr="00B50F60">
        <w:rPr>
          <w:rFonts w:ascii="Times New Roman" w:hAnsi="Times New Roman"/>
          <w:szCs w:val="22"/>
          <w:lang w:val="sk-SK"/>
        </w:rPr>
        <w:t>trastuzumabu</w:t>
      </w:r>
      <w:proofErr w:type="spellEnd"/>
      <w:r w:rsidR="001062EB" w:rsidRPr="00B50F60">
        <w:rPr>
          <w:rFonts w:ascii="Times New Roman" w:hAnsi="Times New Roman"/>
          <w:szCs w:val="22"/>
          <w:lang w:val="sk-SK"/>
        </w:rPr>
        <w:t xml:space="preserve"> </w:t>
      </w:r>
      <w:r w:rsidR="00007432">
        <w:rPr>
          <w:rFonts w:ascii="Times New Roman" w:hAnsi="Times New Roman"/>
          <w:szCs w:val="22"/>
          <w:lang w:val="sk-SK"/>
        </w:rPr>
        <w:t xml:space="preserve">je rôzny. Látka </w:t>
      </w:r>
      <w:r w:rsidR="001062EB" w:rsidRPr="00B50F60">
        <w:rPr>
          <w:rFonts w:ascii="Times New Roman" w:hAnsi="Times New Roman"/>
          <w:szCs w:val="22"/>
          <w:lang w:val="sk-SK"/>
        </w:rPr>
        <w:t xml:space="preserve">môže pretrvávať </w:t>
      </w:r>
      <w:r w:rsidR="00007432">
        <w:rPr>
          <w:rFonts w:ascii="Times New Roman" w:hAnsi="Times New Roman"/>
          <w:szCs w:val="22"/>
          <w:lang w:val="sk-SK"/>
        </w:rPr>
        <w:t xml:space="preserve">v obehu </w:t>
      </w:r>
      <w:r w:rsidR="001062EB" w:rsidRPr="00B50F60">
        <w:rPr>
          <w:rFonts w:ascii="Times New Roman" w:hAnsi="Times New Roman"/>
          <w:szCs w:val="22"/>
          <w:lang w:val="sk-SK"/>
        </w:rPr>
        <w:t xml:space="preserve">až do </w:t>
      </w:r>
      <w:r w:rsidR="000A668A">
        <w:rPr>
          <w:rFonts w:ascii="Times New Roman" w:hAnsi="Times New Roman"/>
          <w:szCs w:val="22"/>
          <w:lang w:val="sk-SK"/>
        </w:rPr>
        <w:t>7 mesiacov</w:t>
      </w:r>
      <w:r w:rsidR="001062EB" w:rsidRPr="00B50F60">
        <w:rPr>
          <w:rFonts w:ascii="Times New Roman" w:hAnsi="Times New Roman"/>
          <w:szCs w:val="22"/>
          <w:lang w:val="sk-SK"/>
        </w:rPr>
        <w:t>.</w:t>
      </w:r>
    </w:p>
    <w:p w14:paraId="5A044A33" w14:textId="5014E2C1" w:rsidR="001D7FC4" w:rsidRPr="00B50F60" w:rsidRDefault="001062EB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>Z toho dôvodu sa lekári</w:t>
      </w:r>
      <w:r w:rsidR="00946A86" w:rsidRPr="00B50F60">
        <w:rPr>
          <w:rFonts w:ascii="Times New Roman" w:hAnsi="Times New Roman"/>
          <w:szCs w:val="22"/>
          <w:lang w:val="sk-SK"/>
        </w:rPr>
        <w:t>, ak je to možné</w:t>
      </w:r>
      <w:r w:rsidR="00946A86">
        <w:rPr>
          <w:rFonts w:ascii="Times New Roman" w:hAnsi="Times New Roman"/>
          <w:szCs w:val="22"/>
          <w:lang w:val="sk-SK"/>
        </w:rPr>
        <w:t>,</w:t>
      </w:r>
      <w:r w:rsidRPr="00B50F60">
        <w:rPr>
          <w:rFonts w:ascii="Times New Roman" w:hAnsi="Times New Roman"/>
          <w:szCs w:val="22"/>
          <w:lang w:val="sk-SK"/>
        </w:rPr>
        <w:t xml:space="preserve"> majú vyhýbať terapii na báze </w:t>
      </w:r>
      <w:proofErr w:type="spellStart"/>
      <w:r w:rsidRPr="00B50F60">
        <w:rPr>
          <w:rFonts w:ascii="Times New Roman" w:hAnsi="Times New Roman"/>
          <w:szCs w:val="22"/>
          <w:lang w:val="sk-SK"/>
        </w:rPr>
        <w:t>antracyklínov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až do </w:t>
      </w:r>
      <w:r w:rsidR="004504D2">
        <w:rPr>
          <w:rFonts w:ascii="Times New Roman" w:hAnsi="Times New Roman"/>
          <w:szCs w:val="22"/>
          <w:lang w:val="sk-SK"/>
        </w:rPr>
        <w:t>7 mesiacov</w:t>
      </w:r>
      <w:r w:rsidRPr="00B50F60">
        <w:rPr>
          <w:rFonts w:ascii="Times New Roman" w:hAnsi="Times New Roman"/>
          <w:szCs w:val="22"/>
          <w:lang w:val="sk-SK"/>
        </w:rPr>
        <w:t xml:space="preserve"> po vysadení </w:t>
      </w:r>
      <w:proofErr w:type="spellStart"/>
      <w:r w:rsidRPr="00B50F60">
        <w:rPr>
          <w:rFonts w:ascii="Times New Roman" w:hAnsi="Times New Roman"/>
          <w:szCs w:val="22"/>
          <w:lang w:val="sk-SK"/>
        </w:rPr>
        <w:t>trastuzumabu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. Ak sa </w:t>
      </w:r>
      <w:proofErr w:type="spellStart"/>
      <w:r w:rsidRPr="00B50F60">
        <w:rPr>
          <w:rFonts w:ascii="Times New Roman" w:hAnsi="Times New Roman"/>
          <w:szCs w:val="22"/>
          <w:lang w:val="sk-SK"/>
        </w:rPr>
        <w:t>antracyklíny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použijú pred touto dobou, odporúča sa pozorné monitorovanie srdcovej funkcie.</w:t>
      </w:r>
    </w:p>
    <w:p w14:paraId="719F59B2" w14:textId="77777777" w:rsidR="00E35286" w:rsidRPr="00B50F60" w:rsidRDefault="00E35286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0940F355" w14:textId="77777777" w:rsidR="00E35286" w:rsidRPr="00B50F60" w:rsidRDefault="00E35286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  <w:proofErr w:type="spellStart"/>
      <w:r w:rsidRPr="00B50F60">
        <w:rPr>
          <w:rFonts w:ascii="Times New Roman" w:hAnsi="Times New Roman"/>
          <w:szCs w:val="22"/>
          <w:lang w:val="sk-SK"/>
        </w:rPr>
        <w:t>Doxorubicín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podlieha metabolizmu prostredníctvom </w:t>
      </w:r>
      <w:proofErr w:type="spellStart"/>
      <w:r w:rsidRPr="00B50F60">
        <w:rPr>
          <w:rFonts w:ascii="Times New Roman" w:hAnsi="Times New Roman"/>
          <w:szCs w:val="22"/>
          <w:lang w:val="sk-SK"/>
        </w:rPr>
        <w:t>cytochrómu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P450 (CYP450) a je substrátom pre </w:t>
      </w:r>
      <w:proofErr w:type="spellStart"/>
      <w:r w:rsidRPr="00B50F60">
        <w:rPr>
          <w:rFonts w:ascii="Times New Roman" w:hAnsi="Times New Roman"/>
          <w:szCs w:val="22"/>
          <w:lang w:val="sk-SK"/>
        </w:rPr>
        <w:t>Pgp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transportér. Súbežné podávanie inhibítorov CYP450 a/alebo </w:t>
      </w:r>
      <w:proofErr w:type="spellStart"/>
      <w:r w:rsidRPr="00B50F60">
        <w:rPr>
          <w:rFonts w:ascii="Times New Roman" w:hAnsi="Times New Roman"/>
          <w:szCs w:val="22"/>
          <w:lang w:val="sk-SK"/>
        </w:rPr>
        <w:t>Pgp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by mohlo spôsobiť zvýšenie plazmatických koncentrácií </w:t>
      </w:r>
      <w:proofErr w:type="spellStart"/>
      <w:r w:rsidRPr="00B50F60">
        <w:rPr>
          <w:rFonts w:ascii="Times New Roman" w:hAnsi="Times New Roman"/>
          <w:szCs w:val="22"/>
          <w:lang w:val="sk-SK"/>
        </w:rPr>
        <w:t>doxorubicínu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a tým zvýšiť toxicitu. Naopak súbežné podávanie induktorov CYP450, ako je </w:t>
      </w:r>
      <w:proofErr w:type="spellStart"/>
      <w:r w:rsidRPr="00B50F60">
        <w:rPr>
          <w:rFonts w:ascii="Times New Roman" w:hAnsi="Times New Roman"/>
          <w:szCs w:val="22"/>
          <w:lang w:val="sk-SK"/>
        </w:rPr>
        <w:t>rifampicín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a barbituráty, by mohlo znížiť plazmatické koncentrácie </w:t>
      </w:r>
      <w:proofErr w:type="spellStart"/>
      <w:r w:rsidRPr="00B50F60">
        <w:rPr>
          <w:rFonts w:ascii="Times New Roman" w:hAnsi="Times New Roman"/>
          <w:szCs w:val="22"/>
          <w:lang w:val="sk-SK"/>
        </w:rPr>
        <w:t>doxorubicínu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a znížiť účinnosť.</w:t>
      </w:r>
    </w:p>
    <w:p w14:paraId="1BC3CC7D" w14:textId="77777777" w:rsidR="001D7FC4" w:rsidRPr="00B50F60" w:rsidRDefault="001D7FC4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41888B43" w14:textId="77777777" w:rsidR="00C862D5" w:rsidRPr="00B50F60" w:rsidRDefault="00C862D5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  <w:proofErr w:type="spellStart"/>
      <w:r w:rsidRPr="00B50F60">
        <w:rPr>
          <w:rFonts w:ascii="Times New Roman" w:hAnsi="Times New Roman"/>
          <w:szCs w:val="22"/>
          <w:lang w:val="sk-SK"/>
        </w:rPr>
        <w:t>Cyklosporín</w:t>
      </w:r>
      <w:proofErr w:type="spellEnd"/>
      <w:r w:rsidRPr="00B50F60">
        <w:rPr>
          <w:rFonts w:ascii="Times New Roman" w:hAnsi="Times New Roman"/>
          <w:szCs w:val="22"/>
          <w:lang w:val="sk-SK"/>
        </w:rPr>
        <w:t>, inhibítor CYP3A4 a </w:t>
      </w:r>
      <w:proofErr w:type="spellStart"/>
      <w:r w:rsidRPr="00B50F60">
        <w:rPr>
          <w:rFonts w:ascii="Times New Roman" w:hAnsi="Times New Roman"/>
          <w:szCs w:val="22"/>
          <w:lang w:val="sk-SK"/>
        </w:rPr>
        <w:t>Pgp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, zvýšil AUC </w:t>
      </w:r>
      <w:proofErr w:type="spellStart"/>
      <w:r w:rsidRPr="00B50F60">
        <w:rPr>
          <w:rFonts w:ascii="Times New Roman" w:hAnsi="Times New Roman"/>
          <w:szCs w:val="22"/>
          <w:lang w:val="sk-SK"/>
        </w:rPr>
        <w:t>doxorubicínu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o 55 % a </w:t>
      </w:r>
      <w:proofErr w:type="spellStart"/>
      <w:r w:rsidRPr="00B50F60">
        <w:rPr>
          <w:rFonts w:ascii="Times New Roman" w:hAnsi="Times New Roman"/>
          <w:szCs w:val="22"/>
          <w:lang w:val="sk-SK"/>
        </w:rPr>
        <w:t>doxorubicinolu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o 350 %. Kombinácia si môže vyžadovať úpravu dávky. Preukázalo sa tiež, že </w:t>
      </w:r>
      <w:proofErr w:type="spellStart"/>
      <w:r w:rsidRPr="00B50F60">
        <w:rPr>
          <w:rFonts w:ascii="Times New Roman" w:hAnsi="Times New Roman"/>
          <w:szCs w:val="22"/>
          <w:lang w:val="sk-SK"/>
        </w:rPr>
        <w:t>cimetidín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znižuje plazmatický </w:t>
      </w:r>
      <w:proofErr w:type="spellStart"/>
      <w:r w:rsidRPr="00B50F60">
        <w:rPr>
          <w:rFonts w:ascii="Times New Roman" w:hAnsi="Times New Roman"/>
          <w:szCs w:val="22"/>
          <w:lang w:val="sk-SK"/>
        </w:rPr>
        <w:t>klírens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a zvyšuje AUC </w:t>
      </w:r>
      <w:proofErr w:type="spellStart"/>
      <w:r w:rsidRPr="00B50F60">
        <w:rPr>
          <w:rFonts w:ascii="Times New Roman" w:hAnsi="Times New Roman"/>
          <w:szCs w:val="22"/>
          <w:lang w:val="sk-SK"/>
        </w:rPr>
        <w:t>doxorubicínu</w:t>
      </w:r>
      <w:proofErr w:type="spellEnd"/>
      <w:r w:rsidRPr="00B50F60">
        <w:rPr>
          <w:rFonts w:ascii="Times New Roman" w:hAnsi="Times New Roman"/>
          <w:szCs w:val="22"/>
          <w:lang w:val="sk-SK"/>
        </w:rPr>
        <w:t>.</w:t>
      </w:r>
    </w:p>
    <w:p w14:paraId="2E53577E" w14:textId="77777777" w:rsidR="00634684" w:rsidRPr="00B50F60" w:rsidRDefault="00634684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4E50418F" w14:textId="77777777" w:rsidR="00F117D3" w:rsidRPr="00B50F60" w:rsidRDefault="00F117D3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 xml:space="preserve">Ak po liečbe </w:t>
      </w:r>
      <w:proofErr w:type="spellStart"/>
      <w:r w:rsidRPr="00B50F60">
        <w:rPr>
          <w:rFonts w:ascii="Times New Roman" w:hAnsi="Times New Roman"/>
          <w:szCs w:val="22"/>
          <w:lang w:val="sk-SK"/>
        </w:rPr>
        <w:t>doxorubicínom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nasledovalo podanie </w:t>
      </w:r>
      <w:proofErr w:type="spellStart"/>
      <w:r w:rsidRPr="00B50F60">
        <w:rPr>
          <w:rFonts w:ascii="Times New Roman" w:hAnsi="Times New Roman"/>
          <w:szCs w:val="22"/>
          <w:lang w:val="sk-SK"/>
        </w:rPr>
        <w:t>cyklofosfamidu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, </w:t>
      </w:r>
      <w:r w:rsidR="00F405EF" w:rsidRPr="00B50F60">
        <w:rPr>
          <w:rFonts w:ascii="Times New Roman" w:hAnsi="Times New Roman"/>
          <w:szCs w:val="22"/>
          <w:lang w:val="sk-SK"/>
        </w:rPr>
        <w:t>bolo hlásené</w:t>
      </w:r>
      <w:r w:rsidRPr="00B50F60">
        <w:rPr>
          <w:rFonts w:ascii="Times New Roman" w:hAnsi="Times New Roman"/>
          <w:szCs w:val="22"/>
          <w:lang w:val="sk-SK"/>
        </w:rPr>
        <w:t xml:space="preserve"> zvýšené množstvo </w:t>
      </w:r>
      <w:proofErr w:type="spellStart"/>
      <w:r w:rsidRPr="00B50F60">
        <w:rPr>
          <w:rFonts w:ascii="Times New Roman" w:hAnsi="Times New Roman"/>
          <w:szCs w:val="22"/>
          <w:lang w:val="sk-SK"/>
        </w:rPr>
        <w:t>hemoragických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B50F60">
        <w:rPr>
          <w:rFonts w:ascii="Times New Roman" w:hAnsi="Times New Roman"/>
          <w:szCs w:val="22"/>
          <w:lang w:val="sk-SK"/>
        </w:rPr>
        <w:t>cystitíd</w:t>
      </w:r>
      <w:proofErr w:type="spellEnd"/>
      <w:r w:rsidRPr="00B50F60">
        <w:rPr>
          <w:rFonts w:ascii="Times New Roman" w:hAnsi="Times New Roman"/>
          <w:szCs w:val="22"/>
          <w:lang w:val="sk-SK"/>
        </w:rPr>
        <w:t>.</w:t>
      </w:r>
    </w:p>
    <w:p w14:paraId="77EFDB0B" w14:textId="77777777" w:rsidR="00B750C4" w:rsidRPr="00B50F60" w:rsidRDefault="00B750C4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47B33BDE" w14:textId="77777777" w:rsidR="00B750C4" w:rsidRPr="00B50F60" w:rsidRDefault="00F117D3" w:rsidP="00ED7827">
      <w:pPr>
        <w:pStyle w:val="Standardenglisch"/>
        <w:keepNext/>
        <w:keepLines/>
        <w:widowControl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 xml:space="preserve">Absorpcia </w:t>
      </w:r>
      <w:proofErr w:type="spellStart"/>
      <w:r w:rsidRPr="00B50F60">
        <w:rPr>
          <w:rFonts w:ascii="Times New Roman" w:hAnsi="Times New Roman"/>
          <w:szCs w:val="22"/>
          <w:lang w:val="sk-SK"/>
        </w:rPr>
        <w:t>antiepileptík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(napr. </w:t>
      </w:r>
      <w:proofErr w:type="spellStart"/>
      <w:r w:rsidRPr="00B50F60">
        <w:rPr>
          <w:rFonts w:ascii="Times New Roman" w:hAnsi="Times New Roman"/>
          <w:szCs w:val="22"/>
          <w:lang w:val="sk-SK"/>
        </w:rPr>
        <w:t>karbamazepínu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, </w:t>
      </w:r>
      <w:proofErr w:type="spellStart"/>
      <w:r w:rsidRPr="00B50F60">
        <w:rPr>
          <w:rFonts w:ascii="Times New Roman" w:hAnsi="Times New Roman"/>
          <w:szCs w:val="22"/>
          <w:lang w:val="sk-SK"/>
        </w:rPr>
        <w:t>fenytoínu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, </w:t>
      </w:r>
      <w:proofErr w:type="spellStart"/>
      <w:r w:rsidRPr="00B50F60">
        <w:rPr>
          <w:rFonts w:ascii="Times New Roman" w:hAnsi="Times New Roman"/>
          <w:szCs w:val="22"/>
          <w:lang w:val="sk-SK"/>
        </w:rPr>
        <w:t>valproátu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) sa pri súbežnej liečbe </w:t>
      </w:r>
      <w:proofErr w:type="spellStart"/>
      <w:r w:rsidRPr="00B50F60">
        <w:rPr>
          <w:rFonts w:ascii="Times New Roman" w:hAnsi="Times New Roman"/>
          <w:szCs w:val="22"/>
          <w:lang w:val="sk-SK"/>
        </w:rPr>
        <w:t>doxorubicínom</w:t>
      </w:r>
      <w:proofErr w:type="spellEnd"/>
      <w:r w:rsidR="00F405EF" w:rsidRPr="00B50F60">
        <w:rPr>
          <w:rFonts w:ascii="Times New Roman" w:hAnsi="Times New Roman"/>
          <w:szCs w:val="22"/>
          <w:lang w:val="sk-SK"/>
        </w:rPr>
        <w:t xml:space="preserve"> znižuje</w:t>
      </w:r>
      <w:r w:rsidRPr="00B50F60">
        <w:rPr>
          <w:rFonts w:ascii="Times New Roman" w:hAnsi="Times New Roman"/>
          <w:szCs w:val="22"/>
          <w:lang w:val="sk-SK"/>
        </w:rPr>
        <w:t xml:space="preserve">. </w:t>
      </w:r>
    </w:p>
    <w:p w14:paraId="420C8BB0" w14:textId="77777777" w:rsidR="00B750C4" w:rsidRPr="00B50F60" w:rsidRDefault="00B750C4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7657C92F" w14:textId="4C4BE7F8" w:rsidR="00F117D3" w:rsidRPr="00B50F60" w:rsidRDefault="001E72F4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 xml:space="preserve">Keďže sa </w:t>
      </w:r>
      <w:proofErr w:type="spellStart"/>
      <w:r w:rsidRPr="00B50F60">
        <w:rPr>
          <w:rFonts w:ascii="Times New Roman" w:hAnsi="Times New Roman"/>
          <w:szCs w:val="22"/>
          <w:lang w:val="sk-SK"/>
        </w:rPr>
        <w:t>doxorubicín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rýchlo</w:t>
      </w:r>
      <w:r w:rsidR="00F117D3" w:rsidRPr="00B50F60">
        <w:rPr>
          <w:rFonts w:ascii="Times New Roman" w:hAnsi="Times New Roman"/>
          <w:szCs w:val="22"/>
          <w:lang w:val="sk-SK"/>
        </w:rPr>
        <w:t xml:space="preserve"> metabolizuje a eliminuje </w:t>
      </w:r>
      <w:r w:rsidRPr="00B50F60">
        <w:rPr>
          <w:rFonts w:ascii="Times New Roman" w:hAnsi="Times New Roman"/>
          <w:szCs w:val="22"/>
          <w:lang w:val="sk-SK"/>
        </w:rPr>
        <w:t xml:space="preserve">prevažne </w:t>
      </w:r>
      <w:r w:rsidR="00F117D3" w:rsidRPr="00B50F60">
        <w:rPr>
          <w:rFonts w:ascii="Times New Roman" w:hAnsi="Times New Roman"/>
          <w:szCs w:val="22"/>
          <w:lang w:val="sk-SK"/>
        </w:rPr>
        <w:t xml:space="preserve">biliárnym systémom, súbežné podanie známych </w:t>
      </w:r>
      <w:proofErr w:type="spellStart"/>
      <w:r w:rsidR="00F117D3" w:rsidRPr="00B50F60">
        <w:rPr>
          <w:rFonts w:ascii="Times New Roman" w:hAnsi="Times New Roman"/>
          <w:szCs w:val="22"/>
          <w:lang w:val="sk-SK"/>
        </w:rPr>
        <w:t>hepatotoxických</w:t>
      </w:r>
      <w:proofErr w:type="spellEnd"/>
      <w:r w:rsidR="00F117D3" w:rsidRPr="00B50F6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="00F117D3" w:rsidRPr="00B50F60">
        <w:rPr>
          <w:rFonts w:ascii="Times New Roman" w:hAnsi="Times New Roman"/>
          <w:szCs w:val="22"/>
          <w:lang w:val="sk-SK"/>
        </w:rPr>
        <w:t>chemoterapeutík</w:t>
      </w:r>
      <w:proofErr w:type="spellEnd"/>
      <w:r w:rsidR="00F117D3" w:rsidRPr="00B50F60">
        <w:rPr>
          <w:rFonts w:ascii="Times New Roman" w:hAnsi="Times New Roman"/>
          <w:szCs w:val="22"/>
          <w:lang w:val="sk-SK"/>
        </w:rPr>
        <w:t xml:space="preserve"> (napr. </w:t>
      </w:r>
      <w:proofErr w:type="spellStart"/>
      <w:r w:rsidR="00F117D3" w:rsidRPr="00B50F60">
        <w:rPr>
          <w:rFonts w:ascii="Times New Roman" w:hAnsi="Times New Roman"/>
          <w:szCs w:val="22"/>
          <w:lang w:val="sk-SK"/>
        </w:rPr>
        <w:t>merkaptopurínu</w:t>
      </w:r>
      <w:proofErr w:type="spellEnd"/>
      <w:r w:rsidR="00F117D3" w:rsidRPr="00B50F60">
        <w:rPr>
          <w:rFonts w:ascii="Times New Roman" w:hAnsi="Times New Roman"/>
          <w:szCs w:val="22"/>
          <w:lang w:val="sk-SK"/>
        </w:rPr>
        <w:t xml:space="preserve">, </w:t>
      </w:r>
      <w:proofErr w:type="spellStart"/>
      <w:r w:rsidR="00F117D3" w:rsidRPr="00B50F60">
        <w:rPr>
          <w:rFonts w:ascii="Times New Roman" w:hAnsi="Times New Roman"/>
          <w:szCs w:val="22"/>
          <w:lang w:val="sk-SK"/>
        </w:rPr>
        <w:t>metotrexátu</w:t>
      </w:r>
      <w:proofErr w:type="spellEnd"/>
      <w:r w:rsidR="00F117D3" w:rsidRPr="00B50F60">
        <w:rPr>
          <w:rFonts w:ascii="Times New Roman" w:hAnsi="Times New Roman"/>
          <w:szCs w:val="22"/>
          <w:lang w:val="sk-SK"/>
        </w:rPr>
        <w:t xml:space="preserve">, </w:t>
      </w:r>
      <w:proofErr w:type="spellStart"/>
      <w:r w:rsidR="00F117D3" w:rsidRPr="00B50F60">
        <w:rPr>
          <w:rFonts w:ascii="Times New Roman" w:hAnsi="Times New Roman"/>
          <w:szCs w:val="22"/>
          <w:lang w:val="sk-SK"/>
        </w:rPr>
        <w:t>streptozocínu</w:t>
      </w:r>
      <w:proofErr w:type="spellEnd"/>
      <w:r w:rsidR="00F117D3" w:rsidRPr="00B50F60">
        <w:rPr>
          <w:rFonts w:ascii="Times New Roman" w:hAnsi="Times New Roman"/>
          <w:szCs w:val="22"/>
          <w:lang w:val="sk-SK"/>
        </w:rPr>
        <w:t xml:space="preserve">) môže potenciálne zvýšiť </w:t>
      </w:r>
      <w:r w:rsidR="003A56F5" w:rsidRPr="00B50F60">
        <w:rPr>
          <w:rFonts w:ascii="Times New Roman" w:hAnsi="Times New Roman"/>
          <w:szCs w:val="22"/>
          <w:lang w:val="sk-SK"/>
        </w:rPr>
        <w:t xml:space="preserve">toxicitu </w:t>
      </w:r>
      <w:proofErr w:type="spellStart"/>
      <w:r w:rsidR="003A56F5" w:rsidRPr="00B50F60">
        <w:rPr>
          <w:rFonts w:ascii="Times New Roman" w:hAnsi="Times New Roman"/>
          <w:szCs w:val="22"/>
          <w:lang w:val="sk-SK"/>
        </w:rPr>
        <w:t>doxorubicínu</w:t>
      </w:r>
      <w:proofErr w:type="spellEnd"/>
      <w:r w:rsidR="003A56F5" w:rsidRPr="00B50F60">
        <w:rPr>
          <w:rFonts w:ascii="Times New Roman" w:hAnsi="Times New Roman"/>
          <w:szCs w:val="22"/>
          <w:lang w:val="sk-SK"/>
        </w:rPr>
        <w:t xml:space="preserve"> ako dôsledok zníženého </w:t>
      </w:r>
      <w:proofErr w:type="spellStart"/>
      <w:r w:rsidR="003A56F5" w:rsidRPr="00B50F60">
        <w:rPr>
          <w:rFonts w:ascii="Times New Roman" w:hAnsi="Times New Roman"/>
          <w:szCs w:val="22"/>
          <w:lang w:val="sk-SK"/>
        </w:rPr>
        <w:t>hepatálneho</w:t>
      </w:r>
      <w:proofErr w:type="spellEnd"/>
      <w:r w:rsidR="003A56F5" w:rsidRPr="00B50F6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="003B7247">
        <w:rPr>
          <w:rFonts w:ascii="Times New Roman" w:hAnsi="Times New Roman"/>
          <w:szCs w:val="22"/>
          <w:lang w:val="sk-SK"/>
        </w:rPr>
        <w:t>klírens</w:t>
      </w:r>
      <w:proofErr w:type="spellEnd"/>
      <w:r w:rsidR="007D505B" w:rsidRPr="00B50F60">
        <w:rPr>
          <w:rFonts w:ascii="Times New Roman" w:hAnsi="Times New Roman"/>
          <w:szCs w:val="22"/>
          <w:lang w:val="sk-SK"/>
        </w:rPr>
        <w:t xml:space="preserve"> </w:t>
      </w:r>
      <w:r w:rsidR="003A56F5" w:rsidRPr="00B50F60">
        <w:rPr>
          <w:rFonts w:ascii="Times New Roman" w:hAnsi="Times New Roman"/>
          <w:szCs w:val="22"/>
          <w:lang w:val="sk-SK"/>
        </w:rPr>
        <w:t xml:space="preserve">lieku. Dávkovanie </w:t>
      </w:r>
      <w:proofErr w:type="spellStart"/>
      <w:r w:rsidR="003A56F5" w:rsidRPr="00B50F60">
        <w:rPr>
          <w:rFonts w:ascii="Times New Roman" w:hAnsi="Times New Roman"/>
          <w:szCs w:val="22"/>
          <w:lang w:val="sk-SK"/>
        </w:rPr>
        <w:t>doxorubicínu</w:t>
      </w:r>
      <w:proofErr w:type="spellEnd"/>
      <w:r w:rsidR="003A56F5" w:rsidRPr="00B50F60">
        <w:rPr>
          <w:rFonts w:ascii="Times New Roman" w:hAnsi="Times New Roman"/>
          <w:szCs w:val="22"/>
          <w:lang w:val="sk-SK"/>
        </w:rPr>
        <w:t xml:space="preserve"> </w:t>
      </w:r>
      <w:r w:rsidR="00634684" w:rsidRPr="00B50F60">
        <w:rPr>
          <w:rFonts w:ascii="Times New Roman" w:hAnsi="Times New Roman"/>
          <w:szCs w:val="22"/>
          <w:lang w:val="sk-SK"/>
        </w:rPr>
        <w:t>sa musí</w:t>
      </w:r>
      <w:r w:rsidR="007D505B" w:rsidRPr="00B50F60">
        <w:rPr>
          <w:rFonts w:ascii="Times New Roman" w:hAnsi="Times New Roman"/>
          <w:szCs w:val="22"/>
          <w:lang w:val="sk-SK"/>
        </w:rPr>
        <w:t xml:space="preserve"> </w:t>
      </w:r>
      <w:r w:rsidR="0011193E" w:rsidRPr="00B50F60">
        <w:rPr>
          <w:rFonts w:ascii="Times New Roman" w:hAnsi="Times New Roman"/>
          <w:szCs w:val="22"/>
          <w:lang w:val="sk-SK"/>
        </w:rPr>
        <w:t>upravi</w:t>
      </w:r>
      <w:r w:rsidR="003A56F5" w:rsidRPr="00B50F60">
        <w:rPr>
          <w:rFonts w:ascii="Times New Roman" w:hAnsi="Times New Roman"/>
          <w:szCs w:val="22"/>
          <w:lang w:val="sk-SK"/>
        </w:rPr>
        <w:t>ť, a</w:t>
      </w:r>
      <w:r w:rsidR="00444952" w:rsidRPr="00B50F60">
        <w:rPr>
          <w:rFonts w:ascii="Times New Roman" w:hAnsi="Times New Roman"/>
          <w:szCs w:val="22"/>
          <w:lang w:val="sk-SK"/>
        </w:rPr>
        <w:t>k je nevyhnutná súbežná liečba</w:t>
      </w:r>
      <w:r w:rsidR="003A56F5" w:rsidRPr="00B50F6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="003A56F5" w:rsidRPr="00B50F60">
        <w:rPr>
          <w:rFonts w:ascii="Times New Roman" w:hAnsi="Times New Roman"/>
          <w:szCs w:val="22"/>
          <w:lang w:val="sk-SK"/>
        </w:rPr>
        <w:t>hepatotoxickými</w:t>
      </w:r>
      <w:proofErr w:type="spellEnd"/>
      <w:r w:rsidR="003A56F5" w:rsidRPr="00B50F60">
        <w:rPr>
          <w:rFonts w:ascii="Times New Roman" w:hAnsi="Times New Roman"/>
          <w:szCs w:val="22"/>
          <w:lang w:val="sk-SK"/>
        </w:rPr>
        <w:t xml:space="preserve"> liekmi.</w:t>
      </w:r>
    </w:p>
    <w:p w14:paraId="20CDFFA5" w14:textId="77777777" w:rsidR="00B750C4" w:rsidRPr="00B50F60" w:rsidRDefault="00B750C4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19D52241" w14:textId="77777777" w:rsidR="003A56F5" w:rsidRPr="00B50F60" w:rsidRDefault="00F72DA7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>Porucha krvotvorby</w:t>
      </w:r>
      <w:r w:rsidR="003A56F5" w:rsidRPr="00B50F60">
        <w:rPr>
          <w:rFonts w:ascii="Times New Roman" w:hAnsi="Times New Roman"/>
          <w:szCs w:val="22"/>
          <w:lang w:val="sk-SK"/>
        </w:rPr>
        <w:t xml:space="preserve"> </w:t>
      </w:r>
      <w:r w:rsidRPr="00B50F60">
        <w:rPr>
          <w:rFonts w:ascii="Times New Roman" w:hAnsi="Times New Roman"/>
          <w:szCs w:val="22"/>
          <w:lang w:val="sk-SK"/>
        </w:rPr>
        <w:t>bola pozorovaná</w:t>
      </w:r>
      <w:r w:rsidR="003A56F5" w:rsidRPr="00B50F60">
        <w:rPr>
          <w:rFonts w:ascii="Times New Roman" w:hAnsi="Times New Roman"/>
          <w:szCs w:val="22"/>
          <w:lang w:val="sk-SK"/>
        </w:rPr>
        <w:t xml:space="preserve"> </w:t>
      </w:r>
      <w:r w:rsidRPr="00B50F60">
        <w:rPr>
          <w:rFonts w:ascii="Times New Roman" w:hAnsi="Times New Roman"/>
          <w:szCs w:val="22"/>
          <w:lang w:val="sk-SK"/>
        </w:rPr>
        <w:t xml:space="preserve">pri </w:t>
      </w:r>
      <w:r w:rsidR="003A56F5" w:rsidRPr="00B50F60">
        <w:rPr>
          <w:rFonts w:ascii="Times New Roman" w:hAnsi="Times New Roman"/>
          <w:szCs w:val="22"/>
          <w:lang w:val="sk-SK"/>
        </w:rPr>
        <w:t>súbežnom pod</w:t>
      </w:r>
      <w:r w:rsidRPr="00B50F60">
        <w:rPr>
          <w:rFonts w:ascii="Times New Roman" w:hAnsi="Times New Roman"/>
          <w:szCs w:val="22"/>
          <w:lang w:val="sk-SK"/>
        </w:rPr>
        <w:t>áva</w:t>
      </w:r>
      <w:r w:rsidR="003A56F5" w:rsidRPr="00B50F60">
        <w:rPr>
          <w:rFonts w:ascii="Times New Roman" w:hAnsi="Times New Roman"/>
          <w:szCs w:val="22"/>
          <w:lang w:val="sk-SK"/>
        </w:rPr>
        <w:t xml:space="preserve">ní liekov ovplyvňujúcich funkciu kostnej drene (napr. deriváty </w:t>
      </w:r>
      <w:proofErr w:type="spellStart"/>
      <w:r w:rsidR="003A56F5" w:rsidRPr="00B50F60">
        <w:rPr>
          <w:rFonts w:ascii="Times New Roman" w:hAnsi="Times New Roman"/>
          <w:szCs w:val="22"/>
          <w:lang w:val="sk-SK"/>
        </w:rPr>
        <w:t>amidopyrínu</w:t>
      </w:r>
      <w:proofErr w:type="spellEnd"/>
      <w:r w:rsidR="003A56F5" w:rsidRPr="00B50F60">
        <w:rPr>
          <w:rFonts w:ascii="Times New Roman" w:hAnsi="Times New Roman"/>
          <w:szCs w:val="22"/>
          <w:lang w:val="sk-SK"/>
        </w:rPr>
        <w:t xml:space="preserve">, </w:t>
      </w:r>
      <w:proofErr w:type="spellStart"/>
      <w:r w:rsidR="003A56F5" w:rsidRPr="00B50F60">
        <w:rPr>
          <w:rFonts w:ascii="Times New Roman" w:hAnsi="Times New Roman"/>
          <w:szCs w:val="22"/>
          <w:lang w:val="sk-SK"/>
        </w:rPr>
        <w:t>antiretrovirotiká</w:t>
      </w:r>
      <w:proofErr w:type="spellEnd"/>
      <w:r w:rsidR="003A56F5" w:rsidRPr="00B50F60">
        <w:rPr>
          <w:rFonts w:ascii="Times New Roman" w:hAnsi="Times New Roman"/>
          <w:szCs w:val="22"/>
          <w:lang w:val="sk-SK"/>
        </w:rPr>
        <w:t xml:space="preserve">, </w:t>
      </w:r>
      <w:proofErr w:type="spellStart"/>
      <w:r w:rsidR="003A56F5" w:rsidRPr="00B50F60">
        <w:rPr>
          <w:rFonts w:ascii="Times New Roman" w:hAnsi="Times New Roman"/>
          <w:szCs w:val="22"/>
          <w:lang w:val="sk-SK"/>
        </w:rPr>
        <w:t>chloramfenikol</w:t>
      </w:r>
      <w:proofErr w:type="spellEnd"/>
      <w:r w:rsidR="003A56F5" w:rsidRPr="00B50F60">
        <w:rPr>
          <w:rFonts w:ascii="Times New Roman" w:hAnsi="Times New Roman"/>
          <w:szCs w:val="22"/>
          <w:lang w:val="sk-SK"/>
        </w:rPr>
        <w:t xml:space="preserve">, </w:t>
      </w:r>
      <w:proofErr w:type="spellStart"/>
      <w:r w:rsidR="003A56F5" w:rsidRPr="00B50F60">
        <w:rPr>
          <w:rFonts w:ascii="Times New Roman" w:hAnsi="Times New Roman"/>
          <w:szCs w:val="22"/>
          <w:lang w:val="sk-SK"/>
        </w:rPr>
        <w:t>fenytoín</w:t>
      </w:r>
      <w:proofErr w:type="spellEnd"/>
      <w:r w:rsidR="003A56F5" w:rsidRPr="00B50F60">
        <w:rPr>
          <w:rFonts w:ascii="Times New Roman" w:hAnsi="Times New Roman"/>
          <w:szCs w:val="22"/>
          <w:lang w:val="sk-SK"/>
        </w:rPr>
        <w:t xml:space="preserve">, sulfónamidy). Zvýšenie </w:t>
      </w:r>
      <w:proofErr w:type="spellStart"/>
      <w:r w:rsidR="003A56F5" w:rsidRPr="00B50F60">
        <w:rPr>
          <w:rFonts w:ascii="Times New Roman" w:hAnsi="Times New Roman"/>
          <w:szCs w:val="22"/>
          <w:lang w:val="sk-SK"/>
        </w:rPr>
        <w:t>neutropénie</w:t>
      </w:r>
      <w:proofErr w:type="spellEnd"/>
      <w:r w:rsidR="003A56F5" w:rsidRPr="00B50F60">
        <w:rPr>
          <w:rFonts w:ascii="Times New Roman" w:hAnsi="Times New Roman"/>
          <w:szCs w:val="22"/>
          <w:lang w:val="sk-SK"/>
        </w:rPr>
        <w:t xml:space="preserve"> a </w:t>
      </w:r>
      <w:proofErr w:type="spellStart"/>
      <w:r w:rsidR="003A56F5" w:rsidRPr="00B50F60">
        <w:rPr>
          <w:rFonts w:ascii="Times New Roman" w:hAnsi="Times New Roman"/>
          <w:szCs w:val="22"/>
          <w:lang w:val="sk-SK"/>
        </w:rPr>
        <w:t>trombocytopénie</w:t>
      </w:r>
      <w:proofErr w:type="spellEnd"/>
      <w:r w:rsidR="003A56F5" w:rsidRPr="00B50F60">
        <w:rPr>
          <w:rFonts w:ascii="Times New Roman" w:hAnsi="Times New Roman"/>
          <w:szCs w:val="22"/>
          <w:lang w:val="sk-SK"/>
        </w:rPr>
        <w:t xml:space="preserve"> </w:t>
      </w:r>
      <w:r w:rsidR="00444952" w:rsidRPr="00B50F60">
        <w:rPr>
          <w:rFonts w:ascii="Times New Roman" w:hAnsi="Times New Roman"/>
          <w:szCs w:val="22"/>
          <w:lang w:val="sk-SK"/>
        </w:rPr>
        <w:t>bolo hlásené</w:t>
      </w:r>
      <w:r w:rsidR="003A56F5" w:rsidRPr="00B50F60">
        <w:rPr>
          <w:rFonts w:ascii="Times New Roman" w:hAnsi="Times New Roman"/>
          <w:szCs w:val="22"/>
          <w:lang w:val="sk-SK"/>
        </w:rPr>
        <w:t xml:space="preserve"> po </w:t>
      </w:r>
      <w:r w:rsidRPr="00B50F60">
        <w:rPr>
          <w:rFonts w:ascii="Times New Roman" w:hAnsi="Times New Roman"/>
          <w:szCs w:val="22"/>
          <w:lang w:val="sk-SK"/>
        </w:rPr>
        <w:t xml:space="preserve">súčasnom </w:t>
      </w:r>
      <w:r w:rsidR="003A56F5" w:rsidRPr="00B50F60">
        <w:rPr>
          <w:rFonts w:ascii="Times New Roman" w:hAnsi="Times New Roman"/>
          <w:szCs w:val="22"/>
          <w:lang w:val="sk-SK"/>
        </w:rPr>
        <w:t xml:space="preserve">použití </w:t>
      </w:r>
      <w:proofErr w:type="spellStart"/>
      <w:r w:rsidR="003A56F5" w:rsidRPr="00B50F60">
        <w:rPr>
          <w:rFonts w:ascii="Times New Roman" w:hAnsi="Times New Roman"/>
          <w:szCs w:val="22"/>
          <w:lang w:val="sk-SK"/>
        </w:rPr>
        <w:t>progesterónu</w:t>
      </w:r>
      <w:proofErr w:type="spellEnd"/>
      <w:r w:rsidR="003A56F5" w:rsidRPr="00B50F60">
        <w:rPr>
          <w:rFonts w:ascii="Times New Roman" w:hAnsi="Times New Roman"/>
          <w:szCs w:val="22"/>
          <w:lang w:val="sk-SK"/>
        </w:rPr>
        <w:t xml:space="preserve">. </w:t>
      </w:r>
      <w:r w:rsidR="0061377B" w:rsidRPr="00B50F60">
        <w:rPr>
          <w:rFonts w:ascii="Times New Roman" w:hAnsi="Times New Roman"/>
          <w:szCs w:val="22"/>
          <w:lang w:val="sk-SK"/>
        </w:rPr>
        <w:t xml:space="preserve">Počas liečby </w:t>
      </w:r>
      <w:proofErr w:type="spellStart"/>
      <w:r w:rsidR="0061377B" w:rsidRPr="00B50F60">
        <w:rPr>
          <w:rFonts w:ascii="Times New Roman" w:hAnsi="Times New Roman"/>
          <w:szCs w:val="22"/>
          <w:lang w:val="sk-SK"/>
        </w:rPr>
        <w:t>doxorubicínom</w:t>
      </w:r>
      <w:proofErr w:type="spellEnd"/>
      <w:r w:rsidR="0061377B" w:rsidRPr="00B50F60">
        <w:rPr>
          <w:rFonts w:ascii="Times New Roman" w:hAnsi="Times New Roman"/>
          <w:szCs w:val="22"/>
          <w:lang w:val="sk-SK"/>
        </w:rPr>
        <w:t xml:space="preserve"> sa môže </w:t>
      </w:r>
      <w:r w:rsidR="00444952" w:rsidRPr="00B50F60">
        <w:rPr>
          <w:rFonts w:ascii="Times New Roman" w:hAnsi="Times New Roman"/>
          <w:szCs w:val="22"/>
          <w:lang w:val="sk-SK"/>
        </w:rPr>
        <w:t>vyskytnú</w:t>
      </w:r>
      <w:r w:rsidR="0061377B" w:rsidRPr="00B50F60">
        <w:rPr>
          <w:rFonts w:ascii="Times New Roman" w:hAnsi="Times New Roman"/>
          <w:szCs w:val="22"/>
          <w:lang w:val="sk-SK"/>
        </w:rPr>
        <w:t xml:space="preserve">ť značná </w:t>
      </w:r>
      <w:proofErr w:type="spellStart"/>
      <w:r w:rsidR="0061377B" w:rsidRPr="00B50F60">
        <w:rPr>
          <w:rFonts w:ascii="Times New Roman" w:hAnsi="Times New Roman"/>
          <w:szCs w:val="22"/>
          <w:lang w:val="sk-SK"/>
        </w:rPr>
        <w:t>nefrotoxicita</w:t>
      </w:r>
      <w:proofErr w:type="spellEnd"/>
      <w:r w:rsidR="0061377B" w:rsidRPr="00B50F6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="0061377B" w:rsidRPr="00B50F60">
        <w:rPr>
          <w:rFonts w:ascii="Times New Roman" w:hAnsi="Times New Roman"/>
          <w:szCs w:val="22"/>
          <w:lang w:val="sk-SK"/>
        </w:rPr>
        <w:t>Amfotericínu</w:t>
      </w:r>
      <w:proofErr w:type="spellEnd"/>
      <w:r w:rsidR="0061377B" w:rsidRPr="00B50F60">
        <w:rPr>
          <w:rFonts w:ascii="Times New Roman" w:hAnsi="Times New Roman"/>
          <w:szCs w:val="22"/>
          <w:lang w:val="sk-SK"/>
        </w:rPr>
        <w:t xml:space="preserve"> B.</w:t>
      </w:r>
      <w:r w:rsidR="00AB2735" w:rsidRPr="00B50F60">
        <w:rPr>
          <w:rFonts w:ascii="Times New Roman" w:hAnsi="Times New Roman"/>
          <w:szCs w:val="22"/>
          <w:lang w:val="sk-SK"/>
        </w:rPr>
        <w:t xml:space="preserve"> </w:t>
      </w:r>
      <w:r w:rsidR="00C862D5" w:rsidRPr="00B50F60">
        <w:rPr>
          <w:rFonts w:ascii="Times New Roman" w:hAnsi="Times New Roman"/>
          <w:szCs w:val="22"/>
          <w:lang w:val="sk-SK"/>
        </w:rPr>
        <w:t xml:space="preserve">Po súbežnom podávaní </w:t>
      </w:r>
      <w:proofErr w:type="spellStart"/>
      <w:r w:rsidR="00C862D5" w:rsidRPr="00B50F60">
        <w:rPr>
          <w:rFonts w:ascii="Times New Roman" w:hAnsi="Times New Roman"/>
          <w:szCs w:val="22"/>
          <w:lang w:val="sk-SK"/>
        </w:rPr>
        <w:t>doxorubicínu</w:t>
      </w:r>
      <w:proofErr w:type="spellEnd"/>
      <w:r w:rsidR="00C862D5" w:rsidRPr="00B50F60">
        <w:rPr>
          <w:rFonts w:ascii="Times New Roman" w:hAnsi="Times New Roman"/>
          <w:szCs w:val="22"/>
          <w:lang w:val="sk-SK"/>
        </w:rPr>
        <w:t xml:space="preserve"> s </w:t>
      </w:r>
      <w:proofErr w:type="spellStart"/>
      <w:r w:rsidR="00C862D5" w:rsidRPr="00B50F60">
        <w:rPr>
          <w:rFonts w:ascii="Times New Roman" w:hAnsi="Times New Roman"/>
          <w:szCs w:val="22"/>
          <w:lang w:val="sk-SK"/>
        </w:rPr>
        <w:t>ritonavirom</w:t>
      </w:r>
      <w:proofErr w:type="spellEnd"/>
      <w:r w:rsidR="00C862D5" w:rsidRPr="00B50F60">
        <w:rPr>
          <w:rFonts w:ascii="Times New Roman" w:hAnsi="Times New Roman"/>
          <w:szCs w:val="22"/>
          <w:lang w:val="sk-SK"/>
        </w:rPr>
        <w:t xml:space="preserve"> sa zaznamenali zvýšené sérové koncentrácie </w:t>
      </w:r>
      <w:proofErr w:type="spellStart"/>
      <w:r w:rsidR="00C862D5" w:rsidRPr="00B50F60">
        <w:rPr>
          <w:rFonts w:ascii="Times New Roman" w:hAnsi="Times New Roman"/>
          <w:szCs w:val="22"/>
          <w:lang w:val="sk-SK"/>
        </w:rPr>
        <w:t>doxorubicínu</w:t>
      </w:r>
      <w:proofErr w:type="spellEnd"/>
      <w:r w:rsidR="00C862D5" w:rsidRPr="00B50F60">
        <w:rPr>
          <w:rFonts w:ascii="Times New Roman" w:hAnsi="Times New Roman"/>
          <w:szCs w:val="22"/>
          <w:lang w:val="sk-SK"/>
        </w:rPr>
        <w:t>.</w:t>
      </w:r>
    </w:p>
    <w:p w14:paraId="208FCBC4" w14:textId="77777777" w:rsidR="00AB2735" w:rsidRPr="00B50F60" w:rsidRDefault="00AB2735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4788E1DD" w14:textId="77777777" w:rsidR="00AB2735" w:rsidRPr="00B50F60" w:rsidRDefault="00AB2735" w:rsidP="00162654">
      <w:pPr>
        <w:pStyle w:val="Standardenglisch"/>
        <w:keepNext/>
        <w:keepLines/>
        <w:widowControl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 xml:space="preserve">Toxické účinky liečby </w:t>
      </w:r>
      <w:proofErr w:type="spellStart"/>
      <w:r w:rsidRPr="00B50F60">
        <w:rPr>
          <w:rFonts w:ascii="Times New Roman" w:hAnsi="Times New Roman"/>
          <w:szCs w:val="22"/>
          <w:lang w:val="sk-SK"/>
        </w:rPr>
        <w:t>doxorubicínom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sa môžu zvýšiť v kombinácii s inými </w:t>
      </w:r>
      <w:proofErr w:type="spellStart"/>
      <w:r w:rsidRPr="00B50F60">
        <w:rPr>
          <w:rFonts w:ascii="Times New Roman" w:hAnsi="Times New Roman"/>
          <w:szCs w:val="22"/>
          <w:lang w:val="sk-SK"/>
        </w:rPr>
        <w:t>cytostatikami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(napr. </w:t>
      </w:r>
      <w:proofErr w:type="spellStart"/>
      <w:r w:rsidRPr="00B50F60">
        <w:rPr>
          <w:rFonts w:ascii="Times New Roman" w:hAnsi="Times New Roman"/>
          <w:szCs w:val="22"/>
          <w:lang w:val="sk-SK"/>
        </w:rPr>
        <w:t>cytarabínom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, </w:t>
      </w:r>
      <w:proofErr w:type="spellStart"/>
      <w:r w:rsidRPr="00B50F60">
        <w:rPr>
          <w:rFonts w:ascii="Times New Roman" w:hAnsi="Times New Roman"/>
          <w:szCs w:val="22"/>
          <w:lang w:val="sk-SK"/>
        </w:rPr>
        <w:t>cisplatinou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, </w:t>
      </w:r>
      <w:proofErr w:type="spellStart"/>
      <w:r w:rsidRPr="00B50F60">
        <w:rPr>
          <w:rFonts w:ascii="Times New Roman" w:hAnsi="Times New Roman"/>
          <w:szCs w:val="22"/>
          <w:lang w:val="sk-SK"/>
        </w:rPr>
        <w:t>cyklofosfamidom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). </w:t>
      </w:r>
      <w:r w:rsidR="00B66D8D" w:rsidRPr="00B50F60">
        <w:rPr>
          <w:rFonts w:ascii="Times New Roman" w:hAnsi="Times New Roman"/>
          <w:szCs w:val="22"/>
          <w:lang w:val="sk-SK"/>
        </w:rPr>
        <w:t xml:space="preserve">Zaznamenali sa </w:t>
      </w:r>
      <w:proofErr w:type="spellStart"/>
      <w:r w:rsidR="00B66D8D" w:rsidRPr="00B50F60">
        <w:rPr>
          <w:rFonts w:ascii="Times New Roman" w:hAnsi="Times New Roman"/>
          <w:szCs w:val="22"/>
          <w:lang w:val="sk-SK"/>
        </w:rPr>
        <w:t>n</w:t>
      </w:r>
      <w:r w:rsidRPr="00B50F60">
        <w:rPr>
          <w:rFonts w:ascii="Times New Roman" w:hAnsi="Times New Roman"/>
          <w:szCs w:val="22"/>
          <w:lang w:val="sk-SK"/>
        </w:rPr>
        <w:t>ekrózy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hrubého čreva s masívnou </w:t>
      </w:r>
      <w:proofErr w:type="spellStart"/>
      <w:r w:rsidRPr="00B50F60">
        <w:rPr>
          <w:rFonts w:ascii="Times New Roman" w:hAnsi="Times New Roman"/>
          <w:szCs w:val="22"/>
          <w:lang w:val="sk-SK"/>
        </w:rPr>
        <w:t>hemorágiou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a závažné infekcie v súvislosti s kombinovanou liečbou s </w:t>
      </w:r>
      <w:proofErr w:type="spellStart"/>
      <w:r w:rsidRPr="00B50F60">
        <w:rPr>
          <w:rFonts w:ascii="Times New Roman" w:hAnsi="Times New Roman"/>
          <w:szCs w:val="22"/>
          <w:lang w:val="sk-SK"/>
        </w:rPr>
        <w:t>cytarabínom</w:t>
      </w:r>
      <w:proofErr w:type="spellEnd"/>
      <w:r w:rsidRPr="00B50F60">
        <w:rPr>
          <w:rFonts w:ascii="Times New Roman" w:hAnsi="Times New Roman"/>
          <w:szCs w:val="22"/>
          <w:lang w:val="sk-SK"/>
        </w:rPr>
        <w:t>.</w:t>
      </w:r>
    </w:p>
    <w:p w14:paraId="694DB5F2" w14:textId="77777777" w:rsidR="00AB2735" w:rsidRPr="00B50F60" w:rsidRDefault="00AB2735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6549FCDF" w14:textId="77777777" w:rsidR="00AB2735" w:rsidRPr="00B50F60" w:rsidRDefault="00AB2735" w:rsidP="00ED7827">
      <w:pPr>
        <w:pStyle w:val="Standardenglisch"/>
        <w:tabs>
          <w:tab w:val="left" w:pos="284"/>
          <w:tab w:val="left" w:pos="567"/>
        </w:tabs>
        <w:outlineLvl w:val="0"/>
        <w:rPr>
          <w:rFonts w:ascii="Times New Roman" w:hAnsi="Times New Roman"/>
          <w:szCs w:val="22"/>
          <w:lang w:val="sk-SK"/>
        </w:rPr>
      </w:pPr>
      <w:proofErr w:type="spellStart"/>
      <w:r w:rsidRPr="00B50F60">
        <w:rPr>
          <w:rFonts w:ascii="Times New Roman" w:hAnsi="Times New Roman"/>
          <w:szCs w:val="22"/>
          <w:lang w:val="sk-SK"/>
        </w:rPr>
        <w:t>Klozapín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môže zvýšiť riziko a závažnosť hematologickej toxicity </w:t>
      </w:r>
      <w:proofErr w:type="spellStart"/>
      <w:r w:rsidR="00E35286" w:rsidRPr="00B50F60">
        <w:rPr>
          <w:rFonts w:ascii="Times New Roman" w:hAnsi="Times New Roman"/>
          <w:szCs w:val="22"/>
          <w:lang w:val="sk-SK"/>
        </w:rPr>
        <w:t>d</w:t>
      </w:r>
      <w:r w:rsidRPr="00B50F60">
        <w:rPr>
          <w:rFonts w:ascii="Times New Roman" w:hAnsi="Times New Roman"/>
          <w:szCs w:val="22"/>
          <w:lang w:val="sk-SK"/>
        </w:rPr>
        <w:t>oxorubicínu</w:t>
      </w:r>
      <w:proofErr w:type="spellEnd"/>
      <w:r w:rsidRPr="00B50F60">
        <w:rPr>
          <w:rFonts w:ascii="Times New Roman" w:hAnsi="Times New Roman"/>
          <w:szCs w:val="22"/>
          <w:lang w:val="sk-SK"/>
        </w:rPr>
        <w:t>.</w:t>
      </w:r>
    </w:p>
    <w:p w14:paraId="6276EFCB" w14:textId="77777777" w:rsidR="00AB2735" w:rsidRPr="00B50F60" w:rsidRDefault="00AB2735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07DA3776" w14:textId="77777777" w:rsidR="00B750C4" w:rsidRPr="00B50F60" w:rsidRDefault="00AB2735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  <w:proofErr w:type="spellStart"/>
      <w:r w:rsidRPr="00B50F60">
        <w:rPr>
          <w:rFonts w:ascii="Times New Roman" w:hAnsi="Times New Roman"/>
          <w:szCs w:val="22"/>
          <w:lang w:val="sk-SK"/>
        </w:rPr>
        <w:t>Doxorubicín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je silná, </w:t>
      </w:r>
      <w:proofErr w:type="spellStart"/>
      <w:r w:rsidRPr="00B50F60">
        <w:rPr>
          <w:rFonts w:ascii="Times New Roman" w:hAnsi="Times New Roman"/>
          <w:szCs w:val="22"/>
          <w:lang w:val="sk-SK"/>
        </w:rPr>
        <w:t>rádiosenzibilizačná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látka („</w:t>
      </w:r>
      <w:proofErr w:type="spellStart"/>
      <w:r w:rsidRPr="00B50F60">
        <w:rPr>
          <w:rFonts w:ascii="Times New Roman" w:hAnsi="Times New Roman"/>
          <w:szCs w:val="22"/>
          <w:lang w:val="sk-SK"/>
        </w:rPr>
        <w:t>rádiosenzibilizátor</w:t>
      </w:r>
      <w:proofErr w:type="spellEnd"/>
      <w:r w:rsidRPr="00B50F60">
        <w:rPr>
          <w:rFonts w:ascii="Times New Roman" w:hAnsi="Times New Roman"/>
          <w:szCs w:val="22"/>
          <w:lang w:val="sk-SK"/>
        </w:rPr>
        <w:t>“) a</w:t>
      </w:r>
      <w:r w:rsidR="00E35286" w:rsidRPr="00B50F60">
        <w:rPr>
          <w:rFonts w:ascii="Times New Roman" w:hAnsi="Times New Roman"/>
          <w:szCs w:val="22"/>
          <w:lang w:val="sk-SK"/>
        </w:rPr>
        <w:t> návrat reakcie z ožiarenia</w:t>
      </w:r>
      <w:r w:rsidRPr="00B50F60">
        <w:rPr>
          <w:rFonts w:ascii="Times New Roman" w:hAnsi="Times New Roman"/>
          <w:szCs w:val="22"/>
          <w:lang w:val="sk-SK"/>
        </w:rPr>
        <w:t xml:space="preserve"> ním indukovaný môže byť život ohrozujúci. Akákoľvek predchádzajúca, súbežná alebo následná rádioterapia môže zvýšiť </w:t>
      </w:r>
      <w:proofErr w:type="spellStart"/>
      <w:r w:rsidRPr="00B50F60">
        <w:rPr>
          <w:rFonts w:ascii="Times New Roman" w:hAnsi="Times New Roman"/>
          <w:szCs w:val="22"/>
          <w:lang w:val="sk-SK"/>
        </w:rPr>
        <w:t>kardiotoxicitu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alebo </w:t>
      </w:r>
      <w:proofErr w:type="spellStart"/>
      <w:r w:rsidRPr="00B50F60">
        <w:rPr>
          <w:rFonts w:ascii="Times New Roman" w:hAnsi="Times New Roman"/>
          <w:szCs w:val="22"/>
          <w:lang w:val="sk-SK"/>
        </w:rPr>
        <w:t>hepatotoxicitu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B50F60">
        <w:rPr>
          <w:rFonts w:ascii="Times New Roman" w:hAnsi="Times New Roman"/>
          <w:szCs w:val="22"/>
          <w:lang w:val="sk-SK"/>
        </w:rPr>
        <w:t>doxorubicínu</w:t>
      </w:r>
      <w:proofErr w:type="spellEnd"/>
      <w:r w:rsidRPr="00B50F60">
        <w:rPr>
          <w:rFonts w:ascii="Times New Roman" w:hAnsi="Times New Roman"/>
          <w:szCs w:val="22"/>
          <w:lang w:val="sk-SK"/>
        </w:rPr>
        <w:t>.</w:t>
      </w:r>
    </w:p>
    <w:p w14:paraId="598E4EE1" w14:textId="77777777" w:rsidR="00AB2735" w:rsidRPr="00B50F60" w:rsidRDefault="00AB2735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4375039A" w14:textId="77777777" w:rsidR="00AB2735" w:rsidRPr="00B50F60" w:rsidRDefault="00AB2735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  <w:proofErr w:type="spellStart"/>
      <w:r w:rsidRPr="00B50F60">
        <w:rPr>
          <w:rFonts w:ascii="Times New Roman" w:hAnsi="Times New Roman"/>
          <w:szCs w:val="22"/>
          <w:lang w:val="sk-SK"/>
        </w:rPr>
        <w:t>Doxorubicín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môže vyvolať </w:t>
      </w:r>
      <w:proofErr w:type="spellStart"/>
      <w:r w:rsidRPr="00B50F60">
        <w:rPr>
          <w:rFonts w:ascii="Times New Roman" w:hAnsi="Times New Roman"/>
          <w:szCs w:val="22"/>
          <w:lang w:val="sk-SK"/>
        </w:rPr>
        <w:t>exacerbácie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B50F60">
        <w:rPr>
          <w:rFonts w:ascii="Times New Roman" w:hAnsi="Times New Roman"/>
          <w:szCs w:val="22"/>
          <w:lang w:val="sk-SK"/>
        </w:rPr>
        <w:t>hemoragickej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B50F60">
        <w:rPr>
          <w:rFonts w:ascii="Times New Roman" w:hAnsi="Times New Roman"/>
          <w:szCs w:val="22"/>
          <w:lang w:val="sk-SK"/>
        </w:rPr>
        <w:t>cystitídy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spôsobenej predchádzajúcou liečbou </w:t>
      </w:r>
      <w:proofErr w:type="spellStart"/>
      <w:r w:rsidRPr="00B50F60">
        <w:rPr>
          <w:rFonts w:ascii="Times New Roman" w:hAnsi="Times New Roman"/>
          <w:szCs w:val="22"/>
          <w:lang w:val="sk-SK"/>
        </w:rPr>
        <w:t>cyklofosfamidom</w:t>
      </w:r>
      <w:proofErr w:type="spellEnd"/>
      <w:r w:rsidRPr="00B50F60">
        <w:rPr>
          <w:rFonts w:ascii="Times New Roman" w:hAnsi="Times New Roman"/>
          <w:szCs w:val="22"/>
          <w:lang w:val="sk-SK"/>
        </w:rPr>
        <w:t>.</w:t>
      </w:r>
    </w:p>
    <w:p w14:paraId="7B17FA11" w14:textId="77777777" w:rsidR="00AB2735" w:rsidRPr="00B50F60" w:rsidRDefault="00AB2735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61E1572F" w14:textId="77777777" w:rsidR="00AB2735" w:rsidRPr="00B50F60" w:rsidRDefault="00AB2735" w:rsidP="00ED7827">
      <w:pPr>
        <w:pStyle w:val="Standardenglisch"/>
        <w:tabs>
          <w:tab w:val="left" w:pos="284"/>
          <w:tab w:val="left" w:pos="567"/>
        </w:tabs>
        <w:outlineLvl w:val="0"/>
        <w:rPr>
          <w:rFonts w:ascii="Times New Roman" w:hAnsi="Times New Roman"/>
          <w:szCs w:val="22"/>
          <w:lang w:val="sk-SK"/>
        </w:rPr>
      </w:pPr>
      <w:proofErr w:type="spellStart"/>
      <w:r w:rsidRPr="00B50F60">
        <w:rPr>
          <w:rFonts w:ascii="Times New Roman" w:hAnsi="Times New Roman"/>
          <w:szCs w:val="22"/>
          <w:lang w:val="sk-SK"/>
        </w:rPr>
        <w:t>Doxorubicín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môže znížiť biologickú dostupnosť </w:t>
      </w:r>
      <w:proofErr w:type="spellStart"/>
      <w:r w:rsidRPr="00B50F60">
        <w:rPr>
          <w:rFonts w:ascii="Times New Roman" w:hAnsi="Times New Roman"/>
          <w:szCs w:val="22"/>
          <w:lang w:val="sk-SK"/>
        </w:rPr>
        <w:t>digoxínu</w:t>
      </w:r>
      <w:proofErr w:type="spellEnd"/>
      <w:r w:rsidR="00F90E2F" w:rsidRPr="00B50F60">
        <w:rPr>
          <w:rFonts w:ascii="Times New Roman" w:hAnsi="Times New Roman"/>
          <w:szCs w:val="22"/>
          <w:lang w:val="sk-SK"/>
        </w:rPr>
        <w:t xml:space="preserve"> pri perorálnom podávaní</w:t>
      </w:r>
      <w:r w:rsidRPr="00B50F60">
        <w:rPr>
          <w:rFonts w:ascii="Times New Roman" w:hAnsi="Times New Roman"/>
          <w:szCs w:val="22"/>
          <w:lang w:val="sk-SK"/>
        </w:rPr>
        <w:t>.</w:t>
      </w:r>
    </w:p>
    <w:p w14:paraId="1CDA8D67" w14:textId="77777777" w:rsidR="00AB2735" w:rsidRPr="00B50F60" w:rsidRDefault="00AB2735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076F6E68" w14:textId="77777777" w:rsidR="00CD55DD" w:rsidRPr="00B50F60" w:rsidRDefault="00CD55DD" w:rsidP="00E0676E">
      <w:pPr>
        <w:pStyle w:val="Standardenglisch"/>
        <w:keepNext/>
        <w:keepLines/>
        <w:widowControl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 xml:space="preserve">Liečba </w:t>
      </w:r>
      <w:proofErr w:type="spellStart"/>
      <w:r w:rsidRPr="00B50F60">
        <w:rPr>
          <w:rFonts w:ascii="Times New Roman" w:hAnsi="Times New Roman"/>
          <w:szCs w:val="22"/>
          <w:lang w:val="sk-SK"/>
        </w:rPr>
        <w:t>doxorubicínom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môže viesť k zvýšeniu sé</w:t>
      </w:r>
      <w:r w:rsidR="00AB2735" w:rsidRPr="00B50F60">
        <w:rPr>
          <w:rFonts w:ascii="Times New Roman" w:hAnsi="Times New Roman"/>
          <w:szCs w:val="22"/>
          <w:lang w:val="sk-SK"/>
        </w:rPr>
        <w:t xml:space="preserve">rovej </w:t>
      </w:r>
      <w:r w:rsidR="00F90E2F" w:rsidRPr="00B50F60">
        <w:rPr>
          <w:rFonts w:ascii="Times New Roman" w:hAnsi="Times New Roman"/>
          <w:szCs w:val="22"/>
          <w:lang w:val="sk-SK"/>
        </w:rPr>
        <w:t xml:space="preserve">hladiny </w:t>
      </w:r>
      <w:r w:rsidR="00AB2735" w:rsidRPr="00B50F60">
        <w:rPr>
          <w:rFonts w:ascii="Times New Roman" w:hAnsi="Times New Roman"/>
          <w:szCs w:val="22"/>
          <w:lang w:val="sk-SK"/>
        </w:rPr>
        <w:t xml:space="preserve">kyseliny močovej, a preto môže byť nevyhnutná </w:t>
      </w:r>
      <w:r w:rsidRPr="00B50F60">
        <w:rPr>
          <w:rFonts w:ascii="Times New Roman" w:hAnsi="Times New Roman"/>
          <w:szCs w:val="22"/>
          <w:lang w:val="sk-SK"/>
        </w:rPr>
        <w:t xml:space="preserve">úprava dávky </w:t>
      </w:r>
      <w:r w:rsidR="00AB2735" w:rsidRPr="00B50F60">
        <w:rPr>
          <w:rFonts w:ascii="Times New Roman" w:hAnsi="Times New Roman"/>
          <w:szCs w:val="22"/>
          <w:lang w:val="sk-SK"/>
        </w:rPr>
        <w:t>liečiv znižujúcich hladinu kyseliny močovej.</w:t>
      </w:r>
    </w:p>
    <w:p w14:paraId="58EB31EB" w14:textId="77777777" w:rsidR="00CD55DD" w:rsidRPr="00B50F60" w:rsidRDefault="00CD55DD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51E6EFAB" w14:textId="77777777" w:rsidR="00B750C4" w:rsidRPr="00B50F60" w:rsidRDefault="0061377B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 xml:space="preserve">Živé vakcíny sa nesmú </w:t>
      </w:r>
      <w:r w:rsidR="00D64B2C" w:rsidRPr="00B50F60">
        <w:rPr>
          <w:rFonts w:ascii="Times New Roman" w:hAnsi="Times New Roman"/>
          <w:szCs w:val="22"/>
          <w:lang w:val="sk-SK"/>
        </w:rPr>
        <w:t>aplikovať</w:t>
      </w:r>
      <w:r w:rsidR="002D415B" w:rsidRPr="00B50F60">
        <w:rPr>
          <w:rFonts w:ascii="Times New Roman" w:hAnsi="Times New Roman"/>
          <w:szCs w:val="22"/>
          <w:lang w:val="sk-SK"/>
        </w:rPr>
        <w:t xml:space="preserve"> </w:t>
      </w:r>
      <w:r w:rsidRPr="00B50F60">
        <w:rPr>
          <w:rFonts w:ascii="Times New Roman" w:hAnsi="Times New Roman"/>
          <w:szCs w:val="22"/>
          <w:lang w:val="sk-SK"/>
        </w:rPr>
        <w:t xml:space="preserve">počas liečby </w:t>
      </w:r>
      <w:proofErr w:type="spellStart"/>
      <w:r w:rsidRPr="00B50F60">
        <w:rPr>
          <w:rFonts w:ascii="Times New Roman" w:hAnsi="Times New Roman"/>
          <w:szCs w:val="22"/>
          <w:lang w:val="sk-SK"/>
        </w:rPr>
        <w:t>doxorubicínom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z dôvodu rizika generalizovaného ochorenia, ktoré by mohlo byť </w:t>
      </w:r>
      <w:r w:rsidR="00444952" w:rsidRPr="00B50F60">
        <w:rPr>
          <w:rFonts w:ascii="Times New Roman" w:hAnsi="Times New Roman"/>
          <w:szCs w:val="22"/>
          <w:lang w:val="sk-SK"/>
        </w:rPr>
        <w:t>smrteľné</w:t>
      </w:r>
      <w:r w:rsidRPr="00B50F60">
        <w:rPr>
          <w:rFonts w:ascii="Times New Roman" w:hAnsi="Times New Roman"/>
          <w:szCs w:val="22"/>
          <w:lang w:val="sk-SK"/>
        </w:rPr>
        <w:t>. Riziko sa zvyšuje</w:t>
      </w:r>
      <w:r w:rsidR="00AA6CD8" w:rsidRPr="00B50F60">
        <w:rPr>
          <w:rFonts w:ascii="Times New Roman" w:hAnsi="Times New Roman"/>
          <w:szCs w:val="22"/>
          <w:lang w:val="sk-SK"/>
        </w:rPr>
        <w:t xml:space="preserve"> </w:t>
      </w:r>
      <w:r w:rsidR="00D64B2C" w:rsidRPr="00B50F60">
        <w:rPr>
          <w:rFonts w:ascii="Times New Roman" w:hAnsi="Times New Roman"/>
          <w:szCs w:val="22"/>
          <w:lang w:val="sk-SK"/>
        </w:rPr>
        <w:t>u</w:t>
      </w:r>
      <w:r w:rsidRPr="00B50F60">
        <w:rPr>
          <w:rFonts w:ascii="Times New Roman" w:hAnsi="Times New Roman"/>
          <w:szCs w:val="22"/>
          <w:lang w:val="sk-SK"/>
        </w:rPr>
        <w:t xml:space="preserve"> pacientov</w:t>
      </w:r>
      <w:r w:rsidR="00D64B2C" w:rsidRPr="00B50F60">
        <w:rPr>
          <w:rFonts w:ascii="Times New Roman" w:hAnsi="Times New Roman"/>
          <w:szCs w:val="22"/>
          <w:lang w:val="sk-SK"/>
        </w:rPr>
        <w:t xml:space="preserve"> s </w:t>
      </w:r>
      <w:proofErr w:type="spellStart"/>
      <w:r w:rsidR="00D64B2C" w:rsidRPr="00B50F60">
        <w:rPr>
          <w:rFonts w:ascii="Times New Roman" w:hAnsi="Times New Roman"/>
          <w:szCs w:val="22"/>
          <w:lang w:val="sk-SK"/>
        </w:rPr>
        <w:t>imunosupresiou</w:t>
      </w:r>
      <w:proofErr w:type="spellEnd"/>
      <w:r w:rsidR="00D64B2C" w:rsidRPr="00B50F60">
        <w:rPr>
          <w:rFonts w:ascii="Times New Roman" w:hAnsi="Times New Roman"/>
          <w:szCs w:val="22"/>
          <w:lang w:val="sk-SK"/>
        </w:rPr>
        <w:t xml:space="preserve"> spôsobenou</w:t>
      </w:r>
      <w:r w:rsidRPr="00B50F60">
        <w:rPr>
          <w:rFonts w:ascii="Times New Roman" w:hAnsi="Times New Roman"/>
          <w:szCs w:val="22"/>
          <w:lang w:val="sk-SK"/>
        </w:rPr>
        <w:t xml:space="preserve"> </w:t>
      </w:r>
      <w:r w:rsidR="00444952" w:rsidRPr="00B50F60">
        <w:rPr>
          <w:rFonts w:ascii="Times New Roman" w:hAnsi="Times New Roman"/>
          <w:szCs w:val="22"/>
          <w:lang w:val="sk-SK"/>
        </w:rPr>
        <w:t>základn</w:t>
      </w:r>
      <w:r w:rsidR="00D64B2C" w:rsidRPr="00B50F60">
        <w:rPr>
          <w:rFonts w:ascii="Times New Roman" w:hAnsi="Times New Roman"/>
          <w:szCs w:val="22"/>
          <w:lang w:val="sk-SK"/>
        </w:rPr>
        <w:t>ým</w:t>
      </w:r>
      <w:r w:rsidR="002D415B" w:rsidRPr="00B50F60">
        <w:rPr>
          <w:rFonts w:ascii="Times New Roman" w:hAnsi="Times New Roman"/>
          <w:szCs w:val="22"/>
          <w:lang w:val="sk-SK"/>
        </w:rPr>
        <w:t xml:space="preserve"> </w:t>
      </w:r>
      <w:r w:rsidRPr="00B50F60">
        <w:rPr>
          <w:rFonts w:ascii="Times New Roman" w:hAnsi="Times New Roman"/>
          <w:szCs w:val="22"/>
          <w:lang w:val="sk-SK"/>
        </w:rPr>
        <w:t>ochoren</w:t>
      </w:r>
      <w:r w:rsidR="00D64B2C" w:rsidRPr="00B50F60">
        <w:rPr>
          <w:rFonts w:ascii="Times New Roman" w:hAnsi="Times New Roman"/>
          <w:szCs w:val="22"/>
          <w:lang w:val="sk-SK"/>
        </w:rPr>
        <w:t>ím</w:t>
      </w:r>
      <w:r w:rsidR="002D415B" w:rsidRPr="00B50F60">
        <w:rPr>
          <w:rFonts w:ascii="Times New Roman" w:hAnsi="Times New Roman"/>
          <w:szCs w:val="22"/>
          <w:lang w:val="sk-SK"/>
        </w:rPr>
        <w:t>.</w:t>
      </w:r>
      <w:r w:rsidR="00CD55DD" w:rsidRPr="00B50F60">
        <w:rPr>
          <w:rFonts w:ascii="Times New Roman" w:hAnsi="Times New Roman"/>
          <w:szCs w:val="22"/>
          <w:lang w:val="sk-SK"/>
        </w:rPr>
        <w:t xml:space="preserve"> Počas liečby </w:t>
      </w:r>
      <w:proofErr w:type="spellStart"/>
      <w:r w:rsidR="00E35286" w:rsidRPr="00B50F60">
        <w:rPr>
          <w:rFonts w:ascii="Times New Roman" w:hAnsi="Times New Roman"/>
          <w:szCs w:val="22"/>
          <w:lang w:val="sk-SK"/>
        </w:rPr>
        <w:t>d</w:t>
      </w:r>
      <w:r w:rsidR="00CD55DD" w:rsidRPr="00B50F60">
        <w:rPr>
          <w:rFonts w:ascii="Times New Roman" w:hAnsi="Times New Roman"/>
          <w:szCs w:val="22"/>
          <w:lang w:val="sk-SK"/>
        </w:rPr>
        <w:t>oxorubicínom</w:t>
      </w:r>
      <w:proofErr w:type="spellEnd"/>
      <w:r w:rsidR="00CD55DD" w:rsidRPr="00B50F60">
        <w:rPr>
          <w:rFonts w:ascii="Times New Roman" w:hAnsi="Times New Roman"/>
          <w:szCs w:val="22"/>
          <w:lang w:val="sk-SK"/>
        </w:rPr>
        <w:t xml:space="preserve"> sa majú pacienti vyhýbať </w:t>
      </w:r>
      <w:r w:rsidR="0048449E" w:rsidRPr="00B50F60">
        <w:rPr>
          <w:rFonts w:ascii="Times New Roman" w:hAnsi="Times New Roman"/>
          <w:szCs w:val="22"/>
          <w:lang w:val="sk-SK"/>
        </w:rPr>
        <w:t xml:space="preserve">aj </w:t>
      </w:r>
      <w:r w:rsidR="00CD55DD" w:rsidRPr="00B50F60">
        <w:rPr>
          <w:rFonts w:ascii="Times New Roman" w:hAnsi="Times New Roman"/>
          <w:szCs w:val="22"/>
          <w:lang w:val="sk-SK"/>
        </w:rPr>
        <w:t>kontaktu s osobami, ktoré boli nedávno zaočkované proti detskej obrne.</w:t>
      </w:r>
    </w:p>
    <w:p w14:paraId="23855128" w14:textId="77777777" w:rsidR="00CD55DD" w:rsidRPr="00B50F60" w:rsidRDefault="00CD55DD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4C8743CC" w14:textId="77777777" w:rsidR="00CD55DD" w:rsidRPr="00B50F60" w:rsidRDefault="00CD55DD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 xml:space="preserve">Súbežné podávanie </w:t>
      </w:r>
      <w:proofErr w:type="spellStart"/>
      <w:r w:rsidRPr="00B50F60">
        <w:rPr>
          <w:rFonts w:ascii="Times New Roman" w:hAnsi="Times New Roman"/>
          <w:szCs w:val="22"/>
          <w:lang w:val="sk-SK"/>
        </w:rPr>
        <w:t>heparínu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a </w:t>
      </w:r>
      <w:proofErr w:type="spellStart"/>
      <w:r w:rsidRPr="00B50F60">
        <w:rPr>
          <w:rFonts w:ascii="Times New Roman" w:hAnsi="Times New Roman"/>
          <w:szCs w:val="22"/>
          <w:lang w:val="sk-SK"/>
        </w:rPr>
        <w:t>doxorubicínu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môže viesť k zvýšeniu rýchlosti </w:t>
      </w:r>
      <w:proofErr w:type="spellStart"/>
      <w:r w:rsidRPr="00B50F60">
        <w:rPr>
          <w:rFonts w:ascii="Times New Roman" w:hAnsi="Times New Roman"/>
          <w:szCs w:val="22"/>
          <w:lang w:val="sk-SK"/>
        </w:rPr>
        <w:t>klírensu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B50F60">
        <w:rPr>
          <w:rFonts w:ascii="Times New Roman" w:hAnsi="Times New Roman"/>
          <w:szCs w:val="22"/>
          <w:lang w:val="sk-SK"/>
        </w:rPr>
        <w:t>doxorubicínu</w:t>
      </w:r>
      <w:proofErr w:type="spellEnd"/>
      <w:r w:rsidRPr="00B50F60">
        <w:rPr>
          <w:rFonts w:ascii="Times New Roman" w:hAnsi="Times New Roman"/>
          <w:szCs w:val="22"/>
          <w:lang w:val="sk-SK"/>
        </w:rPr>
        <w:t>. Navyše sa môžu vytvárať zrazeniny, ktoré vedú k strate účinnosti oboch lie</w:t>
      </w:r>
      <w:r w:rsidR="005B52B5" w:rsidRPr="00B50F60">
        <w:rPr>
          <w:rFonts w:ascii="Times New Roman" w:hAnsi="Times New Roman"/>
          <w:szCs w:val="22"/>
          <w:lang w:val="sk-SK"/>
        </w:rPr>
        <w:t>ko</w:t>
      </w:r>
      <w:r w:rsidRPr="00B50F60">
        <w:rPr>
          <w:rFonts w:ascii="Times New Roman" w:hAnsi="Times New Roman"/>
          <w:szCs w:val="22"/>
          <w:lang w:val="sk-SK"/>
        </w:rPr>
        <w:t>v (pozri časť</w:t>
      </w:r>
      <w:r w:rsidR="00622227" w:rsidRPr="00B50F60">
        <w:rPr>
          <w:rFonts w:ascii="Times New Roman" w:hAnsi="Times New Roman"/>
          <w:szCs w:val="22"/>
          <w:lang w:val="sk-SK"/>
        </w:rPr>
        <w:t> </w:t>
      </w:r>
      <w:r w:rsidRPr="00B50F60">
        <w:rPr>
          <w:rFonts w:ascii="Times New Roman" w:hAnsi="Times New Roman"/>
          <w:szCs w:val="22"/>
          <w:lang w:val="sk-SK"/>
        </w:rPr>
        <w:t>6.2).</w:t>
      </w:r>
    </w:p>
    <w:p w14:paraId="7C40C1E5" w14:textId="77777777" w:rsidR="002C5756" w:rsidRPr="00B50F60" w:rsidRDefault="002C5756" w:rsidP="00DC57E3">
      <w:pPr>
        <w:tabs>
          <w:tab w:val="left" w:pos="567"/>
        </w:tabs>
        <w:rPr>
          <w:rFonts w:ascii="Times New Roman" w:hAnsi="Times New Roman"/>
          <w:b/>
          <w:szCs w:val="22"/>
          <w:lang w:val="sk-SK"/>
        </w:rPr>
      </w:pPr>
    </w:p>
    <w:p w14:paraId="5B5B77C2" w14:textId="77777777" w:rsidR="00B750C4" w:rsidRPr="00B50F60" w:rsidRDefault="00B750C4" w:rsidP="003E703E">
      <w:pPr>
        <w:keepNext/>
        <w:tabs>
          <w:tab w:val="left" w:pos="567"/>
        </w:tabs>
        <w:outlineLvl w:val="0"/>
        <w:rPr>
          <w:rFonts w:ascii="Times New Roman" w:hAnsi="Times New Roman"/>
          <w:b/>
          <w:szCs w:val="22"/>
          <w:lang w:val="sk-SK"/>
        </w:rPr>
      </w:pPr>
      <w:r w:rsidRPr="00B50F60">
        <w:rPr>
          <w:rFonts w:ascii="Times New Roman" w:hAnsi="Times New Roman"/>
          <w:b/>
          <w:szCs w:val="22"/>
          <w:lang w:val="sk-SK"/>
        </w:rPr>
        <w:t>4.6</w:t>
      </w:r>
      <w:r w:rsidRPr="00B50F60">
        <w:rPr>
          <w:rFonts w:ascii="Times New Roman" w:hAnsi="Times New Roman"/>
          <w:b/>
          <w:szCs w:val="22"/>
          <w:lang w:val="sk-SK"/>
        </w:rPr>
        <w:tab/>
      </w:r>
      <w:proofErr w:type="spellStart"/>
      <w:r w:rsidR="002233AA" w:rsidRPr="00B50F60">
        <w:rPr>
          <w:rFonts w:ascii="Times New Roman" w:hAnsi="Times New Roman"/>
          <w:b/>
          <w:szCs w:val="22"/>
          <w:lang w:val="sk-SK"/>
        </w:rPr>
        <w:t>Fertilita</w:t>
      </w:r>
      <w:proofErr w:type="spellEnd"/>
      <w:r w:rsidR="002233AA" w:rsidRPr="00B50F60">
        <w:rPr>
          <w:rFonts w:ascii="Times New Roman" w:hAnsi="Times New Roman"/>
          <w:b/>
          <w:szCs w:val="22"/>
          <w:lang w:val="sk-SK"/>
        </w:rPr>
        <w:t>, g</w:t>
      </w:r>
      <w:r w:rsidR="00247986" w:rsidRPr="00B50F60">
        <w:rPr>
          <w:rFonts w:ascii="Times New Roman" w:hAnsi="Times New Roman"/>
          <w:b/>
          <w:szCs w:val="22"/>
          <w:lang w:val="sk-SK"/>
        </w:rPr>
        <w:t>ravidita a laktácia</w:t>
      </w:r>
    </w:p>
    <w:p w14:paraId="5F0E3A32" w14:textId="77777777" w:rsidR="00B750C4" w:rsidRPr="00B50F60" w:rsidRDefault="00B750C4" w:rsidP="00ED7827">
      <w:pPr>
        <w:pStyle w:val="Standardenglisch"/>
        <w:keepNext/>
        <w:tabs>
          <w:tab w:val="left" w:pos="284"/>
          <w:tab w:val="left" w:pos="567"/>
        </w:tabs>
        <w:jc w:val="both"/>
        <w:rPr>
          <w:rFonts w:ascii="Times New Roman" w:hAnsi="Times New Roman"/>
          <w:szCs w:val="22"/>
          <w:lang w:val="sk-SK"/>
        </w:rPr>
      </w:pPr>
    </w:p>
    <w:p w14:paraId="3FDB7F82" w14:textId="77777777" w:rsidR="00CD55DD" w:rsidRPr="00B50F60" w:rsidRDefault="00117D4B" w:rsidP="00ED7827">
      <w:pPr>
        <w:pStyle w:val="Standardenglisch"/>
        <w:keepNext/>
        <w:tabs>
          <w:tab w:val="left" w:pos="284"/>
          <w:tab w:val="left" w:pos="567"/>
        </w:tabs>
        <w:jc w:val="both"/>
        <w:outlineLvl w:val="0"/>
        <w:rPr>
          <w:rFonts w:ascii="Times New Roman" w:hAnsi="Times New Roman"/>
          <w:szCs w:val="22"/>
          <w:u w:val="single"/>
          <w:lang w:val="sk-SK"/>
        </w:rPr>
      </w:pPr>
      <w:r w:rsidRPr="00B50F60">
        <w:rPr>
          <w:rFonts w:ascii="Times New Roman" w:hAnsi="Times New Roman"/>
          <w:szCs w:val="22"/>
          <w:u w:val="single"/>
          <w:lang w:val="sk-SK"/>
        </w:rPr>
        <w:t>Gravidita</w:t>
      </w:r>
    </w:p>
    <w:p w14:paraId="62B774EB" w14:textId="77777777" w:rsidR="00CD55DD" w:rsidRPr="00B50F60" w:rsidRDefault="00CD55DD" w:rsidP="00ED7827">
      <w:pPr>
        <w:pStyle w:val="Standardenglisch"/>
        <w:keepNext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  <w:proofErr w:type="spellStart"/>
      <w:r w:rsidRPr="00B50F60">
        <w:rPr>
          <w:rFonts w:ascii="Times New Roman" w:hAnsi="Times New Roman"/>
          <w:szCs w:val="22"/>
          <w:lang w:val="sk-SK"/>
        </w:rPr>
        <w:t>Doxorubicín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sa nemá podávať počas gravidity. Vo všeobecnosti sa majú </w:t>
      </w:r>
      <w:proofErr w:type="spellStart"/>
      <w:r w:rsidRPr="00B50F60">
        <w:rPr>
          <w:rFonts w:ascii="Times New Roman" w:hAnsi="Times New Roman"/>
          <w:szCs w:val="22"/>
          <w:lang w:val="sk-SK"/>
        </w:rPr>
        <w:t>cytostatiká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podávať počas gravidity len v prípade striktnej indikácie a v prípade, že prínos pre matku prevýši možné riziká pre plod. V štúdiách na zvieratách preukázal </w:t>
      </w:r>
      <w:proofErr w:type="spellStart"/>
      <w:r w:rsidRPr="00B50F60">
        <w:rPr>
          <w:rFonts w:ascii="Times New Roman" w:hAnsi="Times New Roman"/>
          <w:szCs w:val="22"/>
          <w:lang w:val="sk-SK"/>
        </w:rPr>
        <w:t>doxorubicín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embryo-, </w:t>
      </w:r>
      <w:proofErr w:type="spellStart"/>
      <w:r w:rsidRPr="00B50F60">
        <w:rPr>
          <w:rFonts w:ascii="Times New Roman" w:hAnsi="Times New Roman"/>
          <w:szCs w:val="22"/>
          <w:lang w:val="sk-SK"/>
        </w:rPr>
        <w:t>feto</w:t>
      </w:r>
      <w:proofErr w:type="spellEnd"/>
      <w:r w:rsidRPr="00B50F60">
        <w:rPr>
          <w:rFonts w:ascii="Times New Roman" w:hAnsi="Times New Roman"/>
          <w:szCs w:val="22"/>
          <w:lang w:val="sk-SK"/>
        </w:rPr>
        <w:t>- a </w:t>
      </w:r>
      <w:proofErr w:type="spellStart"/>
      <w:r w:rsidRPr="00B50F60">
        <w:rPr>
          <w:rFonts w:ascii="Times New Roman" w:hAnsi="Times New Roman"/>
          <w:szCs w:val="22"/>
          <w:lang w:val="sk-SK"/>
        </w:rPr>
        <w:t>teratogénne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účinky (pozri časť 5.3).</w:t>
      </w:r>
      <w:r w:rsidR="0041581F" w:rsidRPr="00B50F60">
        <w:rPr>
          <w:rFonts w:ascii="Times New Roman" w:hAnsi="Times New Roman"/>
          <w:szCs w:val="22"/>
          <w:lang w:val="sk-SK"/>
        </w:rPr>
        <w:t xml:space="preserve"> Ženy nemajú otehotnieť počas liečby a ešte 6 mesiacov po liečbe. Mužom liečeným </w:t>
      </w:r>
      <w:proofErr w:type="spellStart"/>
      <w:r w:rsidR="0041581F" w:rsidRPr="00B50F60">
        <w:rPr>
          <w:rFonts w:ascii="Times New Roman" w:hAnsi="Times New Roman"/>
          <w:szCs w:val="22"/>
          <w:lang w:val="sk-SK"/>
        </w:rPr>
        <w:t>doxorubicínom</w:t>
      </w:r>
      <w:proofErr w:type="spellEnd"/>
      <w:r w:rsidR="0041581F" w:rsidRPr="00B50F60">
        <w:rPr>
          <w:rFonts w:ascii="Times New Roman" w:hAnsi="Times New Roman"/>
          <w:szCs w:val="22"/>
          <w:lang w:val="sk-SK"/>
        </w:rPr>
        <w:t xml:space="preserve"> sa odporúča, aby počas liečby a ešte 6</w:t>
      </w:r>
      <w:r w:rsidR="00B7709F" w:rsidRPr="00B50F60">
        <w:rPr>
          <w:rFonts w:ascii="Times New Roman" w:hAnsi="Times New Roman"/>
          <w:szCs w:val="22"/>
          <w:lang w:val="sk-SK"/>
        </w:rPr>
        <w:t> </w:t>
      </w:r>
      <w:r w:rsidR="0041581F" w:rsidRPr="00B50F60">
        <w:rPr>
          <w:rFonts w:ascii="Times New Roman" w:hAnsi="Times New Roman"/>
          <w:szCs w:val="22"/>
          <w:lang w:val="sk-SK"/>
        </w:rPr>
        <w:t>mesiacov po liečbe</w:t>
      </w:r>
      <w:r w:rsidR="0054422F" w:rsidRPr="00B50F60">
        <w:rPr>
          <w:rFonts w:ascii="Times New Roman" w:hAnsi="Times New Roman"/>
          <w:szCs w:val="22"/>
          <w:lang w:val="sk-SK"/>
        </w:rPr>
        <w:t xml:space="preserve"> </w:t>
      </w:r>
      <w:r w:rsidR="0055189A" w:rsidRPr="00B50F60">
        <w:rPr>
          <w:rFonts w:ascii="Times New Roman" w:hAnsi="Times New Roman"/>
          <w:szCs w:val="22"/>
          <w:lang w:val="sk-SK"/>
        </w:rPr>
        <w:t>nesplodili dieťa.</w:t>
      </w:r>
    </w:p>
    <w:p w14:paraId="330D3B48" w14:textId="77777777" w:rsidR="0041581F" w:rsidRPr="00B50F60" w:rsidRDefault="0041581F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1DA7FFD1" w14:textId="77777777" w:rsidR="00CD55DD" w:rsidRPr="00B50F60" w:rsidRDefault="00CD55DD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>Muži a ženy majú používať účinnú antikoncepciu počas liečby a ešte 6 mesiacov po liečbe (pozri časť</w:t>
      </w:r>
      <w:r w:rsidR="00622227" w:rsidRPr="00B50F60">
        <w:rPr>
          <w:rFonts w:ascii="Times New Roman" w:hAnsi="Times New Roman"/>
          <w:szCs w:val="22"/>
          <w:lang w:val="sk-SK"/>
        </w:rPr>
        <w:t> </w:t>
      </w:r>
      <w:r w:rsidRPr="00B50F60">
        <w:rPr>
          <w:rFonts w:ascii="Times New Roman" w:hAnsi="Times New Roman"/>
          <w:szCs w:val="22"/>
          <w:lang w:val="sk-SK"/>
        </w:rPr>
        <w:t>4.4).</w:t>
      </w:r>
    </w:p>
    <w:p w14:paraId="510DB36A" w14:textId="77777777" w:rsidR="00CD55DD" w:rsidRPr="00B50F60" w:rsidRDefault="00CD55DD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15A8D615" w14:textId="77777777" w:rsidR="00CD55DD" w:rsidRPr="00B50F60" w:rsidRDefault="00216874" w:rsidP="00ED7827">
      <w:pPr>
        <w:pStyle w:val="Standardenglisch"/>
        <w:keepNext/>
        <w:keepLines/>
        <w:widowControl/>
        <w:tabs>
          <w:tab w:val="left" w:pos="284"/>
          <w:tab w:val="left" w:pos="567"/>
        </w:tabs>
        <w:outlineLvl w:val="0"/>
        <w:rPr>
          <w:rFonts w:ascii="Times New Roman" w:hAnsi="Times New Roman"/>
          <w:szCs w:val="22"/>
          <w:u w:val="single"/>
          <w:lang w:val="sk-SK"/>
        </w:rPr>
      </w:pPr>
      <w:r w:rsidRPr="00B50F60">
        <w:rPr>
          <w:rFonts w:ascii="Times New Roman" w:hAnsi="Times New Roman"/>
          <w:szCs w:val="22"/>
          <w:u w:val="single"/>
          <w:lang w:val="sk-SK"/>
        </w:rPr>
        <w:lastRenderedPageBreak/>
        <w:t>Dojčenie</w:t>
      </w:r>
    </w:p>
    <w:p w14:paraId="09299EAD" w14:textId="77777777" w:rsidR="00CD55DD" w:rsidRPr="00B50F60" w:rsidRDefault="00CD55DD" w:rsidP="00ED7827">
      <w:pPr>
        <w:pStyle w:val="Standardenglisch"/>
        <w:keepNext/>
        <w:keepLines/>
        <w:widowControl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 xml:space="preserve">Zaznamenalo sa, že </w:t>
      </w:r>
      <w:r w:rsidR="00503864" w:rsidRPr="00B50F60">
        <w:rPr>
          <w:rFonts w:ascii="Times New Roman" w:hAnsi="Times New Roman"/>
          <w:szCs w:val="22"/>
          <w:lang w:val="sk-SK"/>
        </w:rPr>
        <w:t xml:space="preserve">u ľudí sa </w:t>
      </w:r>
      <w:proofErr w:type="spellStart"/>
      <w:r w:rsidR="00503864" w:rsidRPr="00B50F60">
        <w:rPr>
          <w:rFonts w:ascii="Times New Roman" w:hAnsi="Times New Roman"/>
          <w:szCs w:val="22"/>
          <w:lang w:val="sk-SK"/>
        </w:rPr>
        <w:t>doxorubicín</w:t>
      </w:r>
      <w:proofErr w:type="spellEnd"/>
      <w:r w:rsidR="00503864" w:rsidRPr="00B50F60">
        <w:rPr>
          <w:rFonts w:ascii="Times New Roman" w:hAnsi="Times New Roman"/>
          <w:szCs w:val="22"/>
          <w:lang w:val="sk-SK"/>
        </w:rPr>
        <w:t xml:space="preserve"> vylučuje </w:t>
      </w:r>
      <w:r w:rsidRPr="00B50F60">
        <w:rPr>
          <w:rFonts w:ascii="Times New Roman" w:hAnsi="Times New Roman"/>
          <w:szCs w:val="22"/>
          <w:lang w:val="sk-SK"/>
        </w:rPr>
        <w:t xml:space="preserve">do </w:t>
      </w:r>
      <w:r w:rsidR="00216874" w:rsidRPr="00B50F60">
        <w:rPr>
          <w:rFonts w:ascii="Times New Roman" w:hAnsi="Times New Roman"/>
          <w:szCs w:val="22"/>
          <w:lang w:val="sk-SK"/>
        </w:rPr>
        <w:t xml:space="preserve">ľudského </w:t>
      </w:r>
      <w:r w:rsidRPr="00B50F60">
        <w:rPr>
          <w:rFonts w:ascii="Times New Roman" w:hAnsi="Times New Roman"/>
          <w:szCs w:val="22"/>
          <w:lang w:val="sk-SK"/>
        </w:rPr>
        <w:t xml:space="preserve">materského mlieka. Riziko pre dojčené dieťa nemožno vylúčiť. Keďže používanie </w:t>
      </w:r>
      <w:proofErr w:type="spellStart"/>
      <w:r w:rsidRPr="00B50F60">
        <w:rPr>
          <w:rFonts w:ascii="Times New Roman" w:hAnsi="Times New Roman"/>
          <w:szCs w:val="22"/>
          <w:lang w:val="sk-SK"/>
        </w:rPr>
        <w:t>doxorubicínu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počas dojčenia je kontraindikované, počas liečby </w:t>
      </w:r>
      <w:proofErr w:type="spellStart"/>
      <w:r w:rsidRPr="00B50F60">
        <w:rPr>
          <w:rFonts w:ascii="Times New Roman" w:hAnsi="Times New Roman"/>
          <w:szCs w:val="22"/>
          <w:lang w:val="sk-SK"/>
        </w:rPr>
        <w:t>doxorubicínom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sa má dojčenie prerušiť (pozri časť 4.3).</w:t>
      </w:r>
    </w:p>
    <w:p w14:paraId="1CB90B6C" w14:textId="77777777" w:rsidR="000D4B85" w:rsidRPr="00B50F60" w:rsidRDefault="000D4B85" w:rsidP="00ED7827">
      <w:pPr>
        <w:pStyle w:val="Standardenglisch"/>
        <w:keepNext/>
        <w:keepLines/>
        <w:widowControl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01F7E709" w14:textId="77777777" w:rsidR="000D4B85" w:rsidRPr="00B50F60" w:rsidRDefault="000D4B85" w:rsidP="00ED7827">
      <w:pPr>
        <w:pStyle w:val="Standardenglisch"/>
        <w:keepNext/>
        <w:keepLines/>
        <w:widowControl/>
        <w:tabs>
          <w:tab w:val="left" w:pos="284"/>
          <w:tab w:val="left" w:pos="567"/>
        </w:tabs>
        <w:rPr>
          <w:rFonts w:ascii="Times New Roman" w:hAnsi="Times New Roman"/>
          <w:szCs w:val="22"/>
          <w:u w:val="single"/>
          <w:lang w:val="sk-SK"/>
        </w:rPr>
      </w:pPr>
      <w:proofErr w:type="spellStart"/>
      <w:r w:rsidRPr="00B50F60">
        <w:rPr>
          <w:rFonts w:ascii="Times New Roman" w:hAnsi="Times New Roman"/>
          <w:szCs w:val="22"/>
          <w:u w:val="single"/>
          <w:lang w:val="sk-SK"/>
        </w:rPr>
        <w:t>Fertilita</w:t>
      </w:r>
      <w:proofErr w:type="spellEnd"/>
    </w:p>
    <w:p w14:paraId="1E66EB9C" w14:textId="77777777" w:rsidR="000D4B85" w:rsidRPr="00B50F60" w:rsidRDefault="000D4B85" w:rsidP="00ED7827">
      <w:pPr>
        <w:pStyle w:val="Standardenglisch"/>
        <w:keepNext/>
        <w:keepLines/>
        <w:widowControl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 xml:space="preserve">U žien môže </w:t>
      </w:r>
      <w:proofErr w:type="spellStart"/>
      <w:r w:rsidRPr="00B50F60">
        <w:rPr>
          <w:rFonts w:ascii="Times New Roman" w:hAnsi="Times New Roman"/>
          <w:szCs w:val="22"/>
          <w:lang w:val="sk-SK"/>
        </w:rPr>
        <w:t>doxorubicín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vyvolať neplodnosť počas obdobia podávania lieku. </w:t>
      </w:r>
      <w:r w:rsidR="00CC196C" w:rsidRPr="00B50F60">
        <w:rPr>
          <w:rFonts w:ascii="Times New Roman" w:hAnsi="Times New Roman"/>
          <w:szCs w:val="22"/>
          <w:lang w:val="sk-SK"/>
        </w:rPr>
        <w:t xml:space="preserve">Mužom liečeným </w:t>
      </w:r>
      <w:proofErr w:type="spellStart"/>
      <w:r w:rsidR="00CC196C" w:rsidRPr="00B50F60">
        <w:rPr>
          <w:rFonts w:ascii="Times New Roman" w:hAnsi="Times New Roman"/>
          <w:szCs w:val="22"/>
          <w:lang w:val="sk-SK"/>
        </w:rPr>
        <w:t>doxorubicínom</w:t>
      </w:r>
      <w:proofErr w:type="spellEnd"/>
      <w:r w:rsidR="00CC196C" w:rsidRPr="00B50F60">
        <w:rPr>
          <w:rFonts w:ascii="Times New Roman" w:hAnsi="Times New Roman"/>
          <w:szCs w:val="22"/>
          <w:lang w:val="sk-SK"/>
        </w:rPr>
        <w:t xml:space="preserve"> sa odporúča, aby sa pred liečbou informovali o</w:t>
      </w:r>
      <w:r w:rsidR="0055189A" w:rsidRPr="00B50F60">
        <w:rPr>
          <w:rFonts w:ascii="Times New Roman" w:hAnsi="Times New Roman"/>
          <w:szCs w:val="22"/>
          <w:lang w:val="sk-SK"/>
        </w:rPr>
        <w:t> možnosti</w:t>
      </w:r>
      <w:r w:rsidR="00EB6913" w:rsidRPr="00B50F60">
        <w:rPr>
          <w:rFonts w:ascii="Times New Roman" w:hAnsi="Times New Roman"/>
          <w:szCs w:val="22"/>
          <w:lang w:val="sk-SK"/>
        </w:rPr>
        <w:t>ach</w:t>
      </w:r>
      <w:r w:rsidR="0055189A" w:rsidRPr="00B50F6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="00CC196C" w:rsidRPr="00B50F60">
        <w:rPr>
          <w:rFonts w:ascii="Times New Roman" w:hAnsi="Times New Roman"/>
          <w:szCs w:val="22"/>
          <w:lang w:val="sk-SK"/>
        </w:rPr>
        <w:t>kryokonzerváci</w:t>
      </w:r>
      <w:r w:rsidR="00EB6913" w:rsidRPr="00B50F60">
        <w:rPr>
          <w:rFonts w:ascii="Times New Roman" w:hAnsi="Times New Roman"/>
          <w:szCs w:val="22"/>
          <w:lang w:val="sk-SK"/>
        </w:rPr>
        <w:t>e</w:t>
      </w:r>
      <w:proofErr w:type="spellEnd"/>
      <w:r w:rsidR="00EB6913" w:rsidRPr="00B50F60">
        <w:rPr>
          <w:rFonts w:ascii="Times New Roman" w:hAnsi="Times New Roman"/>
          <w:szCs w:val="22"/>
          <w:lang w:val="sk-SK"/>
        </w:rPr>
        <w:t xml:space="preserve"> </w:t>
      </w:r>
      <w:r w:rsidR="00CC196C" w:rsidRPr="00B50F60">
        <w:rPr>
          <w:rFonts w:ascii="Times New Roman" w:hAnsi="Times New Roman"/>
          <w:szCs w:val="22"/>
          <w:lang w:val="sk-SK"/>
        </w:rPr>
        <w:t xml:space="preserve">(alebo </w:t>
      </w:r>
      <w:proofErr w:type="spellStart"/>
      <w:r w:rsidR="00CC196C" w:rsidRPr="00B50F60">
        <w:rPr>
          <w:rFonts w:ascii="Times New Roman" w:hAnsi="Times New Roman"/>
          <w:szCs w:val="22"/>
          <w:lang w:val="sk-SK"/>
        </w:rPr>
        <w:t>kryoprezerváci</w:t>
      </w:r>
      <w:r w:rsidR="0055189A" w:rsidRPr="00B50F60">
        <w:rPr>
          <w:rFonts w:ascii="Times New Roman" w:hAnsi="Times New Roman"/>
          <w:szCs w:val="22"/>
          <w:lang w:val="sk-SK"/>
        </w:rPr>
        <w:t>e</w:t>
      </w:r>
      <w:proofErr w:type="spellEnd"/>
      <w:r w:rsidR="00CC196C" w:rsidRPr="00B50F60">
        <w:rPr>
          <w:rFonts w:ascii="Times New Roman" w:hAnsi="Times New Roman"/>
          <w:szCs w:val="22"/>
          <w:lang w:val="sk-SK"/>
        </w:rPr>
        <w:t xml:space="preserve">) spermií z dôvodu možnej reverzibilnej neplodnosti spôsobenej liečbou </w:t>
      </w:r>
      <w:proofErr w:type="spellStart"/>
      <w:r w:rsidR="00CC196C" w:rsidRPr="00B50F60">
        <w:rPr>
          <w:rFonts w:ascii="Times New Roman" w:hAnsi="Times New Roman"/>
          <w:szCs w:val="22"/>
          <w:lang w:val="sk-SK"/>
        </w:rPr>
        <w:t>doxorubicínom</w:t>
      </w:r>
      <w:proofErr w:type="spellEnd"/>
      <w:r w:rsidR="00CC196C" w:rsidRPr="00B50F60">
        <w:rPr>
          <w:rFonts w:ascii="Times New Roman" w:hAnsi="Times New Roman"/>
          <w:szCs w:val="22"/>
          <w:lang w:val="sk-SK"/>
        </w:rPr>
        <w:t>.</w:t>
      </w:r>
    </w:p>
    <w:p w14:paraId="6D698102" w14:textId="77777777" w:rsidR="00B750C4" w:rsidRPr="00B50F60" w:rsidRDefault="00B750C4" w:rsidP="00ED7827">
      <w:pPr>
        <w:pStyle w:val="Standardenglisch"/>
        <w:tabs>
          <w:tab w:val="left" w:pos="284"/>
          <w:tab w:val="left" w:pos="567"/>
        </w:tabs>
        <w:outlineLvl w:val="0"/>
        <w:rPr>
          <w:rFonts w:ascii="Times New Roman" w:hAnsi="Times New Roman"/>
          <w:szCs w:val="22"/>
          <w:lang w:val="sk-SK"/>
        </w:rPr>
      </w:pPr>
    </w:p>
    <w:p w14:paraId="0387298F" w14:textId="77777777" w:rsidR="00B750C4" w:rsidRPr="00B50F60" w:rsidRDefault="00B750C4" w:rsidP="00622227">
      <w:pPr>
        <w:tabs>
          <w:tab w:val="left" w:pos="567"/>
        </w:tabs>
        <w:outlineLvl w:val="0"/>
        <w:rPr>
          <w:rFonts w:ascii="Times New Roman" w:hAnsi="Times New Roman"/>
          <w:b/>
          <w:szCs w:val="22"/>
          <w:lang w:val="sk-SK"/>
        </w:rPr>
      </w:pPr>
      <w:r w:rsidRPr="00B50F60">
        <w:rPr>
          <w:rFonts w:ascii="Times New Roman" w:hAnsi="Times New Roman"/>
          <w:b/>
          <w:szCs w:val="22"/>
          <w:lang w:val="sk-SK"/>
        </w:rPr>
        <w:t>4.7</w:t>
      </w:r>
      <w:r w:rsidRPr="00B50F60">
        <w:rPr>
          <w:rFonts w:ascii="Times New Roman" w:hAnsi="Times New Roman"/>
          <w:b/>
          <w:szCs w:val="22"/>
          <w:lang w:val="sk-SK"/>
        </w:rPr>
        <w:tab/>
      </w:r>
      <w:r w:rsidR="00DD59BE" w:rsidRPr="00B50F60">
        <w:rPr>
          <w:rFonts w:ascii="Times New Roman" w:hAnsi="Times New Roman"/>
          <w:b/>
          <w:szCs w:val="22"/>
          <w:lang w:val="sk-SK"/>
        </w:rPr>
        <w:t>Ovplyvnenie</w:t>
      </w:r>
      <w:r w:rsidR="00F046FA" w:rsidRPr="00B50F60">
        <w:rPr>
          <w:rFonts w:ascii="Times New Roman" w:hAnsi="Times New Roman"/>
          <w:b/>
          <w:szCs w:val="22"/>
          <w:lang w:val="sk-SK"/>
        </w:rPr>
        <w:t xml:space="preserve"> </w:t>
      </w:r>
      <w:r w:rsidR="00DD59BE" w:rsidRPr="00B50F60">
        <w:rPr>
          <w:rFonts w:ascii="Times New Roman" w:hAnsi="Times New Roman"/>
          <w:b/>
          <w:szCs w:val="22"/>
          <w:lang w:val="sk-SK"/>
        </w:rPr>
        <w:t xml:space="preserve">schopnosti </w:t>
      </w:r>
      <w:r w:rsidR="00F046FA" w:rsidRPr="00B50F60">
        <w:rPr>
          <w:rFonts w:ascii="Times New Roman" w:hAnsi="Times New Roman"/>
          <w:b/>
          <w:szCs w:val="22"/>
          <w:lang w:val="sk-SK"/>
        </w:rPr>
        <w:t>viesť vozidlá a obsluhovať stroje</w:t>
      </w:r>
    </w:p>
    <w:p w14:paraId="735201C7" w14:textId="77777777" w:rsidR="00B750C4" w:rsidRPr="00B50F60" w:rsidRDefault="00B750C4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2C1B1D4A" w14:textId="77777777" w:rsidR="00B750C4" w:rsidRPr="00B50F60" w:rsidRDefault="00CD55DD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>Z dôvodu častého výskytu nauzey a vracania sa treba vyhýbať vedeniu vozidla a obsluhe strojov.</w:t>
      </w:r>
    </w:p>
    <w:p w14:paraId="273F6C3D" w14:textId="77777777" w:rsidR="00B750C4" w:rsidRPr="00B50F60" w:rsidRDefault="00B750C4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47281728" w14:textId="77777777" w:rsidR="00B750C4" w:rsidRPr="00B50F60" w:rsidRDefault="00DD59BE" w:rsidP="00162654">
      <w:pPr>
        <w:keepNext/>
        <w:keepLines/>
        <w:widowControl/>
        <w:tabs>
          <w:tab w:val="left" w:pos="567"/>
        </w:tabs>
        <w:outlineLvl w:val="0"/>
        <w:rPr>
          <w:rFonts w:ascii="Times New Roman" w:hAnsi="Times New Roman"/>
          <w:b/>
          <w:szCs w:val="22"/>
          <w:lang w:val="sk-SK"/>
        </w:rPr>
      </w:pPr>
      <w:r w:rsidRPr="00B50F60">
        <w:rPr>
          <w:rFonts w:ascii="Times New Roman" w:hAnsi="Times New Roman"/>
          <w:b/>
          <w:szCs w:val="22"/>
          <w:lang w:val="sk-SK"/>
        </w:rPr>
        <w:t>4.8</w:t>
      </w:r>
      <w:r w:rsidRPr="00B50F60">
        <w:rPr>
          <w:rFonts w:ascii="Times New Roman" w:hAnsi="Times New Roman"/>
          <w:b/>
          <w:szCs w:val="22"/>
          <w:lang w:val="sk-SK"/>
        </w:rPr>
        <w:tab/>
      </w:r>
      <w:r w:rsidR="00F046FA" w:rsidRPr="00B50F60">
        <w:rPr>
          <w:rFonts w:ascii="Times New Roman" w:hAnsi="Times New Roman"/>
          <w:b/>
          <w:szCs w:val="22"/>
          <w:lang w:val="sk-SK"/>
        </w:rPr>
        <w:t>Nežiaduce účinky</w:t>
      </w:r>
    </w:p>
    <w:p w14:paraId="680D3FCE" w14:textId="77777777" w:rsidR="00B750C4" w:rsidRPr="00B50F60" w:rsidRDefault="00B750C4" w:rsidP="00162654">
      <w:pPr>
        <w:keepNext/>
        <w:keepLines/>
        <w:widowControl/>
        <w:rPr>
          <w:rFonts w:ascii="Times New Roman" w:hAnsi="Times New Roman"/>
          <w:b/>
          <w:i/>
          <w:szCs w:val="22"/>
          <w:lang w:val="sk-SK"/>
        </w:rPr>
      </w:pPr>
    </w:p>
    <w:p w14:paraId="5F55BFB7" w14:textId="77777777" w:rsidR="00777A6E" w:rsidRPr="00B50F60" w:rsidRDefault="00777A6E" w:rsidP="00162654">
      <w:pPr>
        <w:keepNext/>
        <w:keepLines/>
        <w:widowControl/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 xml:space="preserve">Liečba </w:t>
      </w:r>
      <w:proofErr w:type="spellStart"/>
      <w:r w:rsidRPr="00B50F60">
        <w:rPr>
          <w:rFonts w:ascii="Times New Roman" w:hAnsi="Times New Roman"/>
          <w:szCs w:val="22"/>
          <w:lang w:val="sk-SK"/>
        </w:rPr>
        <w:t>doxorubicínom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často spôsobuje nežiaduce účinky a niektoré z týchto účinkov sú dostatočne závažné na to, aby bol pacient starostlivo sledovan</w:t>
      </w:r>
      <w:r w:rsidR="008523E6" w:rsidRPr="00B50F60">
        <w:rPr>
          <w:rFonts w:ascii="Times New Roman" w:hAnsi="Times New Roman"/>
          <w:szCs w:val="22"/>
          <w:lang w:val="sk-SK"/>
        </w:rPr>
        <w:t>ý</w:t>
      </w:r>
      <w:r w:rsidRPr="00B50F60">
        <w:rPr>
          <w:rFonts w:ascii="Times New Roman" w:hAnsi="Times New Roman"/>
          <w:szCs w:val="22"/>
          <w:lang w:val="sk-SK"/>
        </w:rPr>
        <w:t xml:space="preserve">. Frekvencia a typ nežiaducich účinkov sú ovplyvnené rýchlosťou podávania a dávkovaním. </w:t>
      </w:r>
      <w:proofErr w:type="spellStart"/>
      <w:r w:rsidRPr="00B50F60">
        <w:rPr>
          <w:rFonts w:ascii="Times New Roman" w:hAnsi="Times New Roman"/>
          <w:szCs w:val="22"/>
          <w:lang w:val="sk-SK"/>
        </w:rPr>
        <w:t>Supresia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kostnej drene je akútny nežiaduci účinok obmedzujúci dávku, je však väčšinou dočasný. Klinické následky toxicity kostn</w:t>
      </w:r>
      <w:r w:rsidR="008523E6" w:rsidRPr="00B50F60">
        <w:rPr>
          <w:rFonts w:ascii="Times New Roman" w:hAnsi="Times New Roman"/>
          <w:szCs w:val="22"/>
          <w:lang w:val="sk-SK"/>
        </w:rPr>
        <w:t>ej</w:t>
      </w:r>
      <w:r w:rsidRPr="00B50F60">
        <w:rPr>
          <w:rFonts w:ascii="Times New Roman" w:hAnsi="Times New Roman"/>
          <w:szCs w:val="22"/>
          <w:lang w:val="sk-SK"/>
        </w:rPr>
        <w:t xml:space="preserve"> dre</w:t>
      </w:r>
      <w:r w:rsidR="008523E6" w:rsidRPr="00B50F60">
        <w:rPr>
          <w:rFonts w:ascii="Times New Roman" w:hAnsi="Times New Roman"/>
          <w:szCs w:val="22"/>
          <w:lang w:val="sk-SK"/>
        </w:rPr>
        <w:t>ne</w:t>
      </w:r>
      <w:r w:rsidRPr="00B50F60">
        <w:rPr>
          <w:rFonts w:ascii="Times New Roman" w:hAnsi="Times New Roman"/>
          <w:szCs w:val="22"/>
          <w:lang w:val="sk-SK"/>
        </w:rPr>
        <w:t xml:space="preserve">/hematologickej toxicity </w:t>
      </w:r>
      <w:proofErr w:type="spellStart"/>
      <w:r w:rsidRPr="00B50F60">
        <w:rPr>
          <w:rFonts w:ascii="Times New Roman" w:hAnsi="Times New Roman"/>
          <w:szCs w:val="22"/>
          <w:lang w:val="sk-SK"/>
        </w:rPr>
        <w:t>doxorubicínu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môžu byť horúčka, infekcie, sepsa/</w:t>
      </w:r>
      <w:proofErr w:type="spellStart"/>
      <w:r w:rsidRPr="00B50F60">
        <w:rPr>
          <w:rFonts w:ascii="Times New Roman" w:hAnsi="Times New Roman"/>
          <w:szCs w:val="22"/>
          <w:lang w:val="sk-SK"/>
        </w:rPr>
        <w:t>septikémia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, </w:t>
      </w:r>
      <w:proofErr w:type="spellStart"/>
      <w:r w:rsidRPr="00B50F60">
        <w:rPr>
          <w:rFonts w:ascii="Times New Roman" w:hAnsi="Times New Roman"/>
          <w:szCs w:val="22"/>
          <w:lang w:val="sk-SK"/>
        </w:rPr>
        <w:t>hemorágie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, tkanivová </w:t>
      </w:r>
      <w:proofErr w:type="spellStart"/>
      <w:r w:rsidRPr="00B50F60">
        <w:rPr>
          <w:rFonts w:ascii="Times New Roman" w:hAnsi="Times New Roman"/>
          <w:szCs w:val="22"/>
          <w:lang w:val="sk-SK"/>
        </w:rPr>
        <w:t>hypoxia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alebo úmrtie. Nauzea a vracanie rovnako ako </w:t>
      </w:r>
      <w:proofErr w:type="spellStart"/>
      <w:r w:rsidRPr="00B50F60">
        <w:rPr>
          <w:rFonts w:ascii="Times New Roman" w:hAnsi="Times New Roman"/>
          <w:szCs w:val="22"/>
          <w:lang w:val="sk-SK"/>
        </w:rPr>
        <w:t>alopécia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sa pozorovali takmer </w:t>
      </w:r>
      <w:r w:rsidR="008523E6" w:rsidRPr="00B50F60">
        <w:rPr>
          <w:rFonts w:ascii="Times New Roman" w:hAnsi="Times New Roman"/>
          <w:szCs w:val="22"/>
          <w:lang w:val="sk-SK"/>
        </w:rPr>
        <w:t>u </w:t>
      </w:r>
      <w:r w:rsidRPr="00B50F60">
        <w:rPr>
          <w:rFonts w:ascii="Times New Roman" w:hAnsi="Times New Roman"/>
          <w:szCs w:val="22"/>
          <w:lang w:val="sk-SK"/>
        </w:rPr>
        <w:t>všetkých pacientov.</w:t>
      </w:r>
    </w:p>
    <w:p w14:paraId="77A8AF50" w14:textId="77777777" w:rsidR="00777A6E" w:rsidRPr="00B50F60" w:rsidRDefault="00777A6E" w:rsidP="00ED7827">
      <w:pPr>
        <w:rPr>
          <w:rFonts w:ascii="Times New Roman" w:hAnsi="Times New Roman"/>
          <w:szCs w:val="22"/>
          <w:lang w:val="sk-SK"/>
        </w:rPr>
      </w:pPr>
    </w:p>
    <w:p w14:paraId="1D5A761E" w14:textId="77777777" w:rsidR="00777A6E" w:rsidRPr="00B50F60" w:rsidRDefault="00777A6E" w:rsidP="00ED7827">
      <w:pPr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 xml:space="preserve">V rámci každej triedy orgánových systémov sú nežiaduce udalosti zoradené pod </w:t>
      </w:r>
      <w:r w:rsidR="009733A0" w:rsidRPr="00B50F60">
        <w:rPr>
          <w:rFonts w:ascii="Times New Roman" w:hAnsi="Times New Roman"/>
          <w:szCs w:val="22"/>
          <w:lang w:val="sk-SK"/>
        </w:rPr>
        <w:t>názvom frekvencie, pričom najčastejšie reakcie sú uvedené ako prvé. Na hodnotenie nežiaducich účinkov sa budú používať nasledujúce stanovené frekvencie:</w:t>
      </w:r>
    </w:p>
    <w:p w14:paraId="32721F83" w14:textId="77777777" w:rsidR="009733A0" w:rsidRPr="00B50F60" w:rsidRDefault="009733A0" w:rsidP="00ED7827">
      <w:pPr>
        <w:rPr>
          <w:rFonts w:ascii="Times New Roman" w:hAnsi="Times New Roman"/>
          <w:szCs w:val="22"/>
          <w:lang w:val="sk-SK"/>
        </w:rPr>
      </w:pPr>
    </w:p>
    <w:p w14:paraId="5F2FAA6C" w14:textId="77777777" w:rsidR="009733A0" w:rsidRPr="00B50F60" w:rsidRDefault="00183C9C" w:rsidP="00E0676E">
      <w:pPr>
        <w:keepNext/>
        <w:keepLines/>
        <w:widowControl/>
        <w:rPr>
          <w:rFonts w:ascii="Times New Roman" w:hAnsi="Times New Roman"/>
          <w:bCs/>
          <w:szCs w:val="22"/>
          <w:lang w:val="sk-SK"/>
        </w:rPr>
      </w:pPr>
      <w:r w:rsidRPr="00B50F60">
        <w:rPr>
          <w:rFonts w:ascii="Times New Roman" w:hAnsi="Times New Roman"/>
          <w:bCs/>
          <w:szCs w:val="22"/>
          <w:lang w:val="sk-SK"/>
        </w:rPr>
        <w:t>Veľmi časté (</w:t>
      </w:r>
      <w:r w:rsidRPr="00B50F60">
        <w:rPr>
          <w:rFonts w:ascii="Times New Roman" w:hAnsi="Times New Roman"/>
          <w:bCs/>
          <w:szCs w:val="22"/>
          <w:lang w:val="sk-SK"/>
        </w:rPr>
        <w:sym w:font="Symbol" w:char="F0B3"/>
      </w:r>
      <w:r w:rsidRPr="00B50F60">
        <w:rPr>
          <w:rFonts w:ascii="Times New Roman" w:hAnsi="Times New Roman"/>
          <w:bCs/>
          <w:szCs w:val="22"/>
          <w:lang w:val="sk-SK"/>
        </w:rPr>
        <w:t> 1/10)</w:t>
      </w:r>
    </w:p>
    <w:p w14:paraId="42A9D62A" w14:textId="77777777" w:rsidR="00183C9C" w:rsidRPr="00B50F60" w:rsidRDefault="00183C9C" w:rsidP="00E0676E">
      <w:pPr>
        <w:keepNext/>
        <w:keepLines/>
        <w:widowControl/>
        <w:rPr>
          <w:rFonts w:ascii="Times New Roman" w:hAnsi="Times New Roman"/>
          <w:bCs/>
          <w:szCs w:val="22"/>
          <w:lang w:val="sk-SK"/>
        </w:rPr>
      </w:pPr>
      <w:r w:rsidRPr="00B50F60">
        <w:rPr>
          <w:rFonts w:ascii="Times New Roman" w:hAnsi="Times New Roman"/>
          <w:bCs/>
          <w:szCs w:val="22"/>
          <w:lang w:val="sk-SK"/>
        </w:rPr>
        <w:t>Časté (</w:t>
      </w:r>
      <w:r w:rsidRPr="00B50F60">
        <w:rPr>
          <w:rFonts w:ascii="Times New Roman" w:hAnsi="Times New Roman"/>
          <w:bCs/>
          <w:szCs w:val="22"/>
          <w:lang w:val="sk-SK"/>
        </w:rPr>
        <w:sym w:font="Symbol" w:char="F0B3"/>
      </w:r>
      <w:r w:rsidRPr="00B50F60">
        <w:rPr>
          <w:rFonts w:ascii="Times New Roman" w:hAnsi="Times New Roman"/>
          <w:bCs/>
          <w:szCs w:val="22"/>
          <w:lang w:val="sk-SK"/>
        </w:rPr>
        <w:t> 1/100 až &lt; 1/10)</w:t>
      </w:r>
    </w:p>
    <w:p w14:paraId="0889D670" w14:textId="77777777" w:rsidR="00183C9C" w:rsidRPr="00B50F60" w:rsidRDefault="00183C9C" w:rsidP="00E0676E">
      <w:pPr>
        <w:keepNext/>
        <w:keepLines/>
        <w:widowControl/>
        <w:rPr>
          <w:rFonts w:ascii="Times New Roman" w:hAnsi="Times New Roman"/>
          <w:bCs/>
          <w:szCs w:val="22"/>
          <w:lang w:val="sk-SK"/>
        </w:rPr>
      </w:pPr>
      <w:r w:rsidRPr="00B50F60">
        <w:rPr>
          <w:rFonts w:ascii="Times New Roman" w:hAnsi="Times New Roman"/>
          <w:bCs/>
          <w:szCs w:val="22"/>
          <w:lang w:val="sk-SK"/>
        </w:rPr>
        <w:t>Menej časté (</w:t>
      </w:r>
      <w:r w:rsidRPr="00B50F60">
        <w:rPr>
          <w:rFonts w:ascii="Times New Roman" w:hAnsi="Times New Roman"/>
          <w:bCs/>
          <w:szCs w:val="22"/>
          <w:lang w:val="sk-SK"/>
        </w:rPr>
        <w:sym w:font="Symbol" w:char="F0B3"/>
      </w:r>
      <w:r w:rsidRPr="00B50F60">
        <w:rPr>
          <w:rFonts w:ascii="Times New Roman" w:hAnsi="Times New Roman"/>
          <w:bCs/>
          <w:szCs w:val="22"/>
          <w:lang w:val="sk-SK"/>
        </w:rPr>
        <w:t> 1/1 000 až &lt; 1/100)</w:t>
      </w:r>
    </w:p>
    <w:p w14:paraId="2AF43D9D" w14:textId="77777777" w:rsidR="00183C9C" w:rsidRPr="00B50F60" w:rsidRDefault="00183C9C" w:rsidP="00E0676E">
      <w:pPr>
        <w:keepNext/>
        <w:keepLines/>
        <w:widowControl/>
        <w:rPr>
          <w:rFonts w:ascii="Times New Roman" w:hAnsi="Times New Roman"/>
          <w:bCs/>
          <w:szCs w:val="22"/>
          <w:lang w:val="sk-SK"/>
        </w:rPr>
      </w:pPr>
      <w:r w:rsidRPr="00B50F60">
        <w:rPr>
          <w:rFonts w:ascii="Times New Roman" w:hAnsi="Times New Roman"/>
          <w:bCs/>
          <w:szCs w:val="22"/>
          <w:lang w:val="sk-SK"/>
        </w:rPr>
        <w:t>Zriedkavé (</w:t>
      </w:r>
      <w:r w:rsidRPr="00B50F60">
        <w:rPr>
          <w:rFonts w:ascii="Times New Roman" w:hAnsi="Times New Roman"/>
          <w:bCs/>
          <w:szCs w:val="22"/>
          <w:lang w:val="sk-SK"/>
        </w:rPr>
        <w:sym w:font="Symbol" w:char="F0B3"/>
      </w:r>
      <w:r w:rsidRPr="00B50F60">
        <w:rPr>
          <w:rFonts w:ascii="Times New Roman" w:hAnsi="Times New Roman"/>
          <w:bCs/>
          <w:szCs w:val="22"/>
          <w:lang w:val="sk-SK"/>
        </w:rPr>
        <w:t> 1/10 000 až &lt; 1/1 000)</w:t>
      </w:r>
    </w:p>
    <w:p w14:paraId="76EC68FA" w14:textId="77777777" w:rsidR="00183C9C" w:rsidRPr="00B50F60" w:rsidRDefault="00183C9C" w:rsidP="00E0676E">
      <w:pPr>
        <w:keepNext/>
        <w:keepLines/>
        <w:widowControl/>
        <w:rPr>
          <w:rFonts w:ascii="Times New Roman" w:hAnsi="Times New Roman"/>
          <w:bCs/>
          <w:szCs w:val="22"/>
          <w:lang w:val="sk-SK"/>
        </w:rPr>
      </w:pPr>
      <w:r w:rsidRPr="00B50F60">
        <w:rPr>
          <w:rFonts w:ascii="Times New Roman" w:hAnsi="Times New Roman"/>
          <w:bCs/>
          <w:szCs w:val="22"/>
          <w:lang w:val="sk-SK"/>
        </w:rPr>
        <w:t>Veľmi zriedkavé (&lt; 1/10 000)</w:t>
      </w:r>
    </w:p>
    <w:p w14:paraId="668440D2" w14:textId="77777777" w:rsidR="00183C9C" w:rsidRPr="00B50F60" w:rsidRDefault="00183C9C" w:rsidP="00E0676E">
      <w:pPr>
        <w:keepNext/>
        <w:keepLines/>
        <w:widowControl/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bCs/>
          <w:szCs w:val="22"/>
          <w:lang w:val="sk-SK"/>
        </w:rPr>
        <w:t>Neznáme</w:t>
      </w:r>
      <w:r w:rsidRPr="00B50F60">
        <w:rPr>
          <w:rFonts w:ascii="Times New Roman" w:hAnsi="Times New Roman"/>
          <w:iCs/>
          <w:szCs w:val="22"/>
          <w:lang w:val="sk-SK"/>
        </w:rPr>
        <w:t xml:space="preserve"> (z dostupných údajov)</w:t>
      </w:r>
    </w:p>
    <w:p w14:paraId="7AB797D2" w14:textId="77777777" w:rsidR="00183C9C" w:rsidRPr="00B50F60" w:rsidRDefault="00183C9C" w:rsidP="00DC57E3">
      <w:pPr>
        <w:ind w:left="567"/>
        <w:rPr>
          <w:rFonts w:ascii="Times New Roman" w:hAnsi="Times New Roman"/>
          <w:szCs w:val="22"/>
          <w:lang w:val="sk-SK"/>
        </w:rPr>
      </w:pP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30"/>
        <w:gridCol w:w="1883"/>
        <w:gridCol w:w="4292"/>
      </w:tblGrid>
      <w:tr w:rsidR="009733A0" w:rsidRPr="00B50F60" w14:paraId="68AEC055" w14:textId="77777777" w:rsidTr="00ED7827">
        <w:tc>
          <w:tcPr>
            <w:tcW w:w="2330" w:type="dxa"/>
          </w:tcPr>
          <w:p w14:paraId="704843D4" w14:textId="77777777" w:rsidR="009733A0" w:rsidRPr="00B50F60" w:rsidRDefault="009733A0" w:rsidP="00DC57E3">
            <w:pPr>
              <w:ind w:left="34"/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iCs/>
                <w:szCs w:val="22"/>
                <w:lang w:val="sk-SK"/>
              </w:rPr>
              <w:t>Infekcie a</w:t>
            </w:r>
            <w:r w:rsidR="00FF38D8" w:rsidRPr="00B50F60">
              <w:rPr>
                <w:rFonts w:ascii="Times New Roman" w:hAnsi="Times New Roman"/>
                <w:iCs/>
                <w:szCs w:val="22"/>
                <w:lang w:val="sk-SK"/>
              </w:rPr>
              <w:t> </w:t>
            </w:r>
            <w:r w:rsidRPr="00B50F60">
              <w:rPr>
                <w:rFonts w:ascii="Times New Roman" w:hAnsi="Times New Roman"/>
                <w:iCs/>
                <w:szCs w:val="22"/>
                <w:lang w:val="sk-SK"/>
              </w:rPr>
              <w:t>nákazy</w:t>
            </w:r>
          </w:p>
        </w:tc>
        <w:tc>
          <w:tcPr>
            <w:tcW w:w="1883" w:type="dxa"/>
            <w:tcBorders>
              <w:right w:val="nil"/>
            </w:tcBorders>
          </w:tcPr>
          <w:p w14:paraId="4AC251F3" w14:textId="492912E3" w:rsidR="001062EB" w:rsidRPr="00B50F60" w:rsidRDefault="001062EB" w:rsidP="00DC57E3">
            <w:pPr>
              <w:rPr>
                <w:rFonts w:ascii="Times New Roman" w:hAnsi="Times New Roman"/>
                <w:iCs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iCs/>
                <w:szCs w:val="22"/>
                <w:lang w:val="sk-SK"/>
              </w:rPr>
              <w:t>Veľmi časté:</w:t>
            </w:r>
          </w:p>
          <w:p w14:paraId="1A100F1E" w14:textId="77777777" w:rsidR="001062EB" w:rsidRPr="00B50F60" w:rsidRDefault="001062EB" w:rsidP="00DC57E3">
            <w:pPr>
              <w:rPr>
                <w:rFonts w:ascii="Times New Roman" w:hAnsi="Times New Roman"/>
                <w:iCs/>
                <w:szCs w:val="22"/>
                <w:lang w:val="sk-SK"/>
              </w:rPr>
            </w:pPr>
          </w:p>
          <w:p w14:paraId="1F5F157A" w14:textId="3551B16A" w:rsidR="009733A0" w:rsidRPr="00B50F60" w:rsidRDefault="002662F5" w:rsidP="00DC57E3">
            <w:pPr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iCs/>
                <w:szCs w:val="22"/>
                <w:lang w:val="sk-SK"/>
              </w:rPr>
              <w:t>Časté</w:t>
            </w:r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>:</w:t>
            </w:r>
          </w:p>
        </w:tc>
        <w:tc>
          <w:tcPr>
            <w:tcW w:w="4292" w:type="dxa"/>
            <w:tcBorders>
              <w:left w:val="nil"/>
            </w:tcBorders>
          </w:tcPr>
          <w:p w14:paraId="2317B8F0" w14:textId="1611B061" w:rsidR="001062EB" w:rsidRPr="00B50F60" w:rsidRDefault="001062EB" w:rsidP="00DC57E3">
            <w:pPr>
              <w:ind w:left="74"/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szCs w:val="22"/>
                <w:lang w:val="sk-SK"/>
              </w:rPr>
              <w:t>Infekcia</w:t>
            </w:r>
          </w:p>
          <w:p w14:paraId="3FA84451" w14:textId="77777777" w:rsidR="001062EB" w:rsidRPr="00B50F60" w:rsidRDefault="001062EB" w:rsidP="00DC57E3">
            <w:pPr>
              <w:ind w:left="74"/>
              <w:rPr>
                <w:rFonts w:ascii="Times New Roman" w:hAnsi="Times New Roman"/>
                <w:szCs w:val="22"/>
                <w:lang w:val="sk-SK"/>
              </w:rPr>
            </w:pPr>
          </w:p>
          <w:p w14:paraId="1DC7ADBB" w14:textId="47C67232" w:rsidR="009733A0" w:rsidRPr="00B50F60" w:rsidRDefault="009733A0" w:rsidP="00DC57E3">
            <w:pPr>
              <w:ind w:left="74"/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szCs w:val="22"/>
                <w:lang w:val="sk-SK"/>
              </w:rPr>
              <w:t>Seps</w:t>
            </w:r>
            <w:r w:rsidR="002662F5" w:rsidRPr="00B50F60">
              <w:rPr>
                <w:rFonts w:ascii="Times New Roman" w:hAnsi="Times New Roman"/>
                <w:szCs w:val="22"/>
                <w:lang w:val="sk-SK"/>
              </w:rPr>
              <w:t>a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, </w:t>
            </w:r>
            <w:proofErr w:type="spellStart"/>
            <w:r w:rsidRPr="00B50F60">
              <w:rPr>
                <w:rFonts w:ascii="Times New Roman" w:hAnsi="Times New Roman"/>
                <w:szCs w:val="22"/>
                <w:lang w:val="sk-SK"/>
              </w:rPr>
              <w:t>septi</w:t>
            </w:r>
            <w:r w:rsidR="002662F5" w:rsidRPr="00B50F60">
              <w:rPr>
                <w:rFonts w:ascii="Times New Roman" w:hAnsi="Times New Roman"/>
                <w:szCs w:val="22"/>
                <w:lang w:val="sk-SK"/>
              </w:rPr>
              <w:t>ké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mia</w:t>
            </w:r>
            <w:proofErr w:type="spellEnd"/>
          </w:p>
          <w:p w14:paraId="1060B28F" w14:textId="77777777" w:rsidR="009733A0" w:rsidRPr="00B50F60" w:rsidRDefault="009733A0" w:rsidP="00DC57E3">
            <w:pPr>
              <w:ind w:left="74"/>
              <w:rPr>
                <w:rFonts w:ascii="Times New Roman" w:hAnsi="Times New Roman"/>
                <w:szCs w:val="22"/>
                <w:lang w:val="sk-SK"/>
              </w:rPr>
            </w:pPr>
          </w:p>
        </w:tc>
      </w:tr>
      <w:tr w:rsidR="009733A0" w:rsidRPr="00A900AC" w14:paraId="7204BB12" w14:textId="77777777" w:rsidTr="00ED7827">
        <w:tc>
          <w:tcPr>
            <w:tcW w:w="2330" w:type="dxa"/>
          </w:tcPr>
          <w:p w14:paraId="1315796A" w14:textId="77777777" w:rsidR="002662F5" w:rsidRPr="00B50F60" w:rsidRDefault="009733A0" w:rsidP="00DC57E3">
            <w:pPr>
              <w:ind w:left="34"/>
              <w:rPr>
                <w:rFonts w:ascii="Times New Roman" w:hAnsi="Times New Roman"/>
                <w:i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iCs/>
                <w:szCs w:val="22"/>
                <w:lang w:val="sk-SK"/>
              </w:rPr>
              <w:t>Benígne a malígne nádory</w:t>
            </w:r>
            <w:r w:rsidR="00EC3CFD" w:rsidRPr="00B50F60">
              <w:rPr>
                <w:rFonts w:ascii="Times New Roman" w:hAnsi="Times New Roman"/>
                <w:iCs/>
                <w:szCs w:val="22"/>
                <w:lang w:val="sk-SK"/>
              </w:rPr>
              <w:t>, vrátane nešpecifikovaných novotvarov (cysty a</w:t>
            </w:r>
            <w:r w:rsidR="00FF38D8" w:rsidRPr="00B50F60">
              <w:rPr>
                <w:rFonts w:ascii="Times New Roman" w:hAnsi="Times New Roman"/>
                <w:iCs/>
                <w:szCs w:val="22"/>
                <w:lang w:val="sk-SK"/>
              </w:rPr>
              <w:t> </w:t>
            </w:r>
            <w:r w:rsidR="00EC3CFD" w:rsidRPr="00B50F60">
              <w:rPr>
                <w:rFonts w:ascii="Times New Roman" w:hAnsi="Times New Roman"/>
                <w:iCs/>
                <w:szCs w:val="22"/>
                <w:lang w:val="sk-SK"/>
              </w:rPr>
              <w:t>polypy)</w:t>
            </w:r>
          </w:p>
        </w:tc>
        <w:tc>
          <w:tcPr>
            <w:tcW w:w="1883" w:type="dxa"/>
            <w:tcBorders>
              <w:bottom w:val="single" w:sz="4" w:space="0" w:color="auto"/>
              <w:right w:val="nil"/>
            </w:tcBorders>
          </w:tcPr>
          <w:p w14:paraId="39DF86A3" w14:textId="77777777" w:rsidR="009733A0" w:rsidRPr="00B50F60" w:rsidRDefault="002662F5" w:rsidP="00DC57E3">
            <w:pPr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iCs/>
                <w:szCs w:val="22"/>
                <w:lang w:val="sk-SK"/>
              </w:rPr>
              <w:t>Zriedkavé</w:t>
            </w:r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>:</w:t>
            </w:r>
          </w:p>
        </w:tc>
        <w:tc>
          <w:tcPr>
            <w:tcW w:w="4292" w:type="dxa"/>
            <w:tcBorders>
              <w:left w:val="nil"/>
              <w:bottom w:val="single" w:sz="4" w:space="0" w:color="auto"/>
            </w:tcBorders>
          </w:tcPr>
          <w:p w14:paraId="4F3CFEB8" w14:textId="563A100D" w:rsidR="009733A0" w:rsidRPr="00B50F60" w:rsidRDefault="009733A0" w:rsidP="00996F77">
            <w:pPr>
              <w:ind w:left="74"/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szCs w:val="22"/>
                <w:lang w:val="sk-SK"/>
              </w:rPr>
              <w:t>Se</w:t>
            </w:r>
            <w:r w:rsidR="002662F5" w:rsidRPr="00B50F60">
              <w:rPr>
                <w:rFonts w:ascii="Times New Roman" w:hAnsi="Times New Roman"/>
                <w:szCs w:val="22"/>
                <w:lang w:val="sk-SK"/>
              </w:rPr>
              <w:t xml:space="preserve">kundárna akútna </w:t>
            </w:r>
            <w:proofErr w:type="spellStart"/>
            <w:r w:rsidRPr="00B50F60">
              <w:rPr>
                <w:rFonts w:ascii="Times New Roman" w:hAnsi="Times New Roman"/>
                <w:szCs w:val="22"/>
                <w:lang w:val="sk-SK"/>
              </w:rPr>
              <w:t>myeloid</w:t>
            </w:r>
            <w:r w:rsidR="002662F5" w:rsidRPr="00B50F60">
              <w:rPr>
                <w:rFonts w:ascii="Times New Roman" w:hAnsi="Times New Roman"/>
                <w:szCs w:val="22"/>
                <w:lang w:val="sk-SK"/>
              </w:rPr>
              <w:t>ná</w:t>
            </w:r>
            <w:proofErr w:type="spellEnd"/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 leuk</w:t>
            </w:r>
            <w:r w:rsidR="002662F5" w:rsidRPr="00B50F60">
              <w:rPr>
                <w:rFonts w:ascii="Times New Roman" w:hAnsi="Times New Roman"/>
                <w:szCs w:val="22"/>
                <w:lang w:val="sk-SK"/>
              </w:rPr>
              <w:t>é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mia</w:t>
            </w:r>
            <w:r w:rsidR="002662F5" w:rsidRPr="00B50F60">
              <w:rPr>
                <w:rFonts w:ascii="Times New Roman" w:hAnsi="Times New Roman"/>
                <w:szCs w:val="22"/>
                <w:lang w:val="sk-SK"/>
              </w:rPr>
              <w:t xml:space="preserve">, keď sa podáva v kombinácii s </w:t>
            </w:r>
            <w:proofErr w:type="spellStart"/>
            <w:r w:rsidR="002662F5" w:rsidRPr="00B50F60">
              <w:rPr>
                <w:rFonts w:ascii="Times New Roman" w:hAnsi="Times New Roman"/>
                <w:szCs w:val="22"/>
                <w:lang w:val="sk-SK"/>
              </w:rPr>
              <w:t>antineoplastickými</w:t>
            </w:r>
            <w:proofErr w:type="spellEnd"/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  <w:r w:rsidR="002662F5" w:rsidRPr="00B50F60">
              <w:rPr>
                <w:rFonts w:ascii="Times New Roman" w:hAnsi="Times New Roman"/>
                <w:szCs w:val="22"/>
                <w:lang w:val="sk-SK"/>
              </w:rPr>
              <w:t>lie</w:t>
            </w:r>
            <w:r w:rsidR="00C906D8" w:rsidRPr="00B50F60">
              <w:rPr>
                <w:rFonts w:ascii="Times New Roman" w:hAnsi="Times New Roman"/>
                <w:szCs w:val="22"/>
                <w:lang w:val="sk-SK"/>
              </w:rPr>
              <w:t>k</w:t>
            </w:r>
            <w:r w:rsidR="002662F5" w:rsidRPr="00B50F60">
              <w:rPr>
                <w:rFonts w:ascii="Times New Roman" w:hAnsi="Times New Roman"/>
                <w:szCs w:val="22"/>
                <w:lang w:val="sk-SK"/>
              </w:rPr>
              <w:t xml:space="preserve">mi, ktoré poškodzujú 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DNA (</w:t>
            </w:r>
            <w:r w:rsidR="002662F5" w:rsidRPr="00B50F60">
              <w:rPr>
                <w:rFonts w:ascii="Times New Roman" w:hAnsi="Times New Roman"/>
                <w:szCs w:val="22"/>
                <w:lang w:val="sk-SK"/>
              </w:rPr>
              <w:t>pozri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  <w:r w:rsidR="002662F5" w:rsidRPr="00B50F60">
              <w:rPr>
                <w:rFonts w:ascii="Times New Roman" w:hAnsi="Times New Roman"/>
                <w:szCs w:val="22"/>
                <w:lang w:val="sk-SK"/>
              </w:rPr>
              <w:t>časť</w:t>
            </w:r>
            <w:r w:rsidR="00FC2976" w:rsidRPr="00B50F60">
              <w:rPr>
                <w:rFonts w:ascii="Times New Roman" w:hAnsi="Times New Roman"/>
                <w:szCs w:val="22"/>
                <w:lang w:val="sk-SK"/>
              </w:rPr>
              <w:t> 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4.4); </w:t>
            </w:r>
            <w:r w:rsidR="002662F5" w:rsidRPr="00B50F60">
              <w:rPr>
                <w:rFonts w:ascii="Times New Roman" w:hAnsi="Times New Roman"/>
                <w:szCs w:val="22"/>
                <w:lang w:val="sk-SK"/>
              </w:rPr>
              <w:t xml:space="preserve">syndróm </w:t>
            </w:r>
            <w:r w:rsidR="00996F77" w:rsidRPr="00B50F60">
              <w:rPr>
                <w:rFonts w:ascii="Times New Roman" w:hAnsi="Times New Roman"/>
                <w:szCs w:val="22"/>
                <w:lang w:val="sk-SK"/>
              </w:rPr>
              <w:t>rozpadu nádoru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;</w:t>
            </w:r>
          </w:p>
        </w:tc>
      </w:tr>
      <w:tr w:rsidR="009733A0" w:rsidRPr="00A900AC" w14:paraId="4175BCA3" w14:textId="77777777" w:rsidTr="00ED7827">
        <w:tc>
          <w:tcPr>
            <w:tcW w:w="2330" w:type="dxa"/>
            <w:vMerge w:val="restart"/>
          </w:tcPr>
          <w:p w14:paraId="3A89A6C3" w14:textId="77777777" w:rsidR="009733A0" w:rsidRPr="00B50F60" w:rsidRDefault="009733A0" w:rsidP="00DC57E3">
            <w:pPr>
              <w:ind w:left="34"/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iCs/>
                <w:szCs w:val="22"/>
                <w:lang w:val="sk-SK"/>
              </w:rPr>
              <w:t>Poruchy krvi a lymfatického systému</w:t>
            </w:r>
          </w:p>
        </w:tc>
        <w:tc>
          <w:tcPr>
            <w:tcW w:w="1883" w:type="dxa"/>
            <w:tcBorders>
              <w:bottom w:val="nil"/>
              <w:right w:val="nil"/>
            </w:tcBorders>
          </w:tcPr>
          <w:p w14:paraId="75CE04E4" w14:textId="77777777" w:rsidR="00813E5A" w:rsidRPr="00B50F60" w:rsidRDefault="00813E5A" w:rsidP="00813E5A">
            <w:pPr>
              <w:rPr>
                <w:rFonts w:ascii="Times New Roman" w:hAnsi="Times New Roman"/>
                <w:iCs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iCs/>
                <w:szCs w:val="22"/>
                <w:lang w:val="sk-SK"/>
              </w:rPr>
              <w:t>Veľmi časté:</w:t>
            </w:r>
          </w:p>
          <w:p w14:paraId="3004391B" w14:textId="77777777" w:rsidR="00813E5A" w:rsidRPr="00B50F60" w:rsidRDefault="00813E5A" w:rsidP="00DC57E3">
            <w:pPr>
              <w:rPr>
                <w:rFonts w:ascii="Times New Roman" w:hAnsi="Times New Roman"/>
                <w:iCs/>
                <w:szCs w:val="22"/>
                <w:lang w:val="sk-SK"/>
              </w:rPr>
            </w:pPr>
          </w:p>
          <w:p w14:paraId="4DCF5F08" w14:textId="3916854A" w:rsidR="009733A0" w:rsidRPr="00B50F60" w:rsidRDefault="002662F5" w:rsidP="00DC57E3">
            <w:pPr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iCs/>
                <w:szCs w:val="22"/>
                <w:lang w:val="sk-SK"/>
              </w:rPr>
              <w:t>Časté</w:t>
            </w:r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>:</w:t>
            </w:r>
          </w:p>
          <w:p w14:paraId="277D87BB" w14:textId="77777777" w:rsidR="009733A0" w:rsidRPr="00B50F60" w:rsidRDefault="009733A0" w:rsidP="00DC57E3">
            <w:pPr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105E9B09" w14:textId="5D95214A" w:rsidR="00813E5A" w:rsidRPr="00B50F60" w:rsidRDefault="00813E5A" w:rsidP="00DC57E3">
            <w:pPr>
              <w:ind w:left="74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B50F60">
              <w:rPr>
                <w:rFonts w:ascii="Times New Roman" w:hAnsi="Times New Roman"/>
                <w:szCs w:val="22"/>
                <w:lang w:val="sk-SK"/>
              </w:rPr>
              <w:t>Neutropénia</w:t>
            </w:r>
            <w:proofErr w:type="spellEnd"/>
          </w:p>
          <w:p w14:paraId="6009DA4B" w14:textId="77777777" w:rsidR="00813E5A" w:rsidRPr="00B50F60" w:rsidRDefault="00813E5A" w:rsidP="00DC57E3">
            <w:pPr>
              <w:ind w:left="74"/>
              <w:rPr>
                <w:rFonts w:ascii="Times New Roman" w:hAnsi="Times New Roman"/>
                <w:szCs w:val="22"/>
                <w:lang w:val="sk-SK"/>
              </w:rPr>
            </w:pPr>
          </w:p>
          <w:p w14:paraId="15CCD1E6" w14:textId="186E71A1" w:rsidR="009733A0" w:rsidRPr="00B50F60" w:rsidRDefault="00B64780" w:rsidP="00DC57E3">
            <w:pPr>
              <w:ind w:left="74"/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szCs w:val="22"/>
                <w:lang w:val="sk-SK"/>
              </w:rPr>
              <w:t>Útlm</w:t>
            </w:r>
            <w:r w:rsidR="002662F5" w:rsidRPr="00B50F60">
              <w:rPr>
                <w:rFonts w:ascii="Times New Roman" w:hAnsi="Times New Roman"/>
                <w:szCs w:val="22"/>
                <w:lang w:val="sk-SK"/>
              </w:rPr>
              <w:t xml:space="preserve"> kostnej drene</w:t>
            </w:r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 xml:space="preserve">, </w:t>
            </w:r>
            <w:proofErr w:type="spellStart"/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>leu</w:t>
            </w:r>
            <w:r w:rsidR="002662F5" w:rsidRPr="00B50F60">
              <w:rPr>
                <w:rFonts w:ascii="Times New Roman" w:hAnsi="Times New Roman"/>
                <w:szCs w:val="22"/>
                <w:lang w:val="sk-SK"/>
              </w:rPr>
              <w:t>k</w:t>
            </w:r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>op</w:t>
            </w:r>
            <w:r w:rsidR="002662F5" w:rsidRPr="00B50F60">
              <w:rPr>
                <w:rFonts w:ascii="Times New Roman" w:hAnsi="Times New Roman"/>
                <w:szCs w:val="22"/>
                <w:lang w:val="sk-SK"/>
              </w:rPr>
              <w:t>é</w:t>
            </w:r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>nia</w:t>
            </w:r>
            <w:proofErr w:type="spellEnd"/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 xml:space="preserve"> (</w:t>
            </w:r>
            <w:r w:rsidR="002662F5" w:rsidRPr="00B50F60">
              <w:rPr>
                <w:rFonts w:ascii="Times New Roman" w:hAnsi="Times New Roman"/>
                <w:szCs w:val="22"/>
                <w:lang w:val="sk-SK"/>
              </w:rPr>
              <w:t>pozri časť</w:t>
            </w:r>
            <w:r w:rsidR="00FC2976" w:rsidRPr="00B50F60">
              <w:rPr>
                <w:rFonts w:ascii="Times New Roman" w:hAnsi="Times New Roman"/>
                <w:szCs w:val="22"/>
                <w:lang w:val="sk-SK"/>
              </w:rPr>
              <w:t> </w:t>
            </w:r>
            <w:r w:rsidR="002662F5" w:rsidRPr="00B50F60">
              <w:rPr>
                <w:rFonts w:ascii="Times New Roman" w:hAnsi="Times New Roman"/>
                <w:szCs w:val="22"/>
                <w:lang w:val="sk-SK"/>
              </w:rPr>
              <w:t>4.4);</w:t>
            </w:r>
          </w:p>
          <w:p w14:paraId="6D9D2A89" w14:textId="77777777" w:rsidR="009733A0" w:rsidRPr="00B50F60" w:rsidRDefault="009733A0" w:rsidP="00DC57E3">
            <w:pPr>
              <w:ind w:left="74"/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</w:p>
        </w:tc>
      </w:tr>
      <w:tr w:rsidR="009733A0" w:rsidRPr="00B50F60" w14:paraId="70D7F280" w14:textId="77777777" w:rsidTr="00ED7827">
        <w:tc>
          <w:tcPr>
            <w:tcW w:w="2330" w:type="dxa"/>
            <w:vMerge/>
          </w:tcPr>
          <w:p w14:paraId="5CD27E39" w14:textId="77777777" w:rsidR="009733A0" w:rsidRPr="00B50F60" w:rsidRDefault="009733A0" w:rsidP="00DC57E3">
            <w:pPr>
              <w:ind w:left="34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1883" w:type="dxa"/>
            <w:tcBorders>
              <w:top w:val="nil"/>
              <w:right w:val="nil"/>
            </w:tcBorders>
          </w:tcPr>
          <w:p w14:paraId="124135B7" w14:textId="77777777" w:rsidR="009733A0" w:rsidRPr="00B50F60" w:rsidRDefault="009733A0" w:rsidP="00DC57E3">
            <w:pPr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szCs w:val="22"/>
                <w:lang w:val="sk-SK"/>
              </w:rPr>
              <w:t>N</w:t>
            </w:r>
            <w:r w:rsidR="002662F5" w:rsidRPr="00B50F60">
              <w:rPr>
                <w:rFonts w:ascii="Times New Roman" w:hAnsi="Times New Roman"/>
                <w:szCs w:val="22"/>
                <w:lang w:val="sk-SK"/>
              </w:rPr>
              <w:t>eznáme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:</w:t>
            </w:r>
          </w:p>
        </w:tc>
        <w:tc>
          <w:tcPr>
            <w:tcW w:w="4292" w:type="dxa"/>
            <w:tcBorders>
              <w:top w:val="nil"/>
              <w:left w:val="nil"/>
            </w:tcBorders>
          </w:tcPr>
          <w:p w14:paraId="6AB65B42" w14:textId="77777777" w:rsidR="009733A0" w:rsidRPr="00B50F60" w:rsidRDefault="002662F5" w:rsidP="00DC57E3">
            <w:pPr>
              <w:ind w:left="74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B50F60">
              <w:rPr>
                <w:rFonts w:ascii="Times New Roman" w:hAnsi="Times New Roman"/>
                <w:szCs w:val="22"/>
                <w:lang w:val="sk-SK"/>
              </w:rPr>
              <w:t>Trombocytopénia</w:t>
            </w:r>
            <w:proofErr w:type="spellEnd"/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>, an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é</w:t>
            </w:r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>mia (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pozri časť</w:t>
            </w:r>
            <w:r w:rsidR="00FC2976" w:rsidRPr="00B50F60">
              <w:rPr>
                <w:rFonts w:ascii="Times New Roman" w:hAnsi="Times New Roman"/>
                <w:szCs w:val="22"/>
                <w:lang w:val="sk-SK"/>
              </w:rPr>
              <w:t> </w:t>
            </w:r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>4.4);</w:t>
            </w:r>
          </w:p>
        </w:tc>
      </w:tr>
      <w:tr w:rsidR="009733A0" w:rsidRPr="00B50F60" w14:paraId="22D830D3" w14:textId="77777777" w:rsidTr="00ED7827">
        <w:tc>
          <w:tcPr>
            <w:tcW w:w="2330" w:type="dxa"/>
          </w:tcPr>
          <w:p w14:paraId="277F1E8C" w14:textId="77777777" w:rsidR="009733A0" w:rsidRPr="00B50F60" w:rsidRDefault="009733A0" w:rsidP="00DC57E3">
            <w:pPr>
              <w:ind w:left="34"/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iCs/>
                <w:szCs w:val="22"/>
                <w:lang w:val="sk-SK"/>
              </w:rPr>
              <w:t>Poruchy imunitného systému</w:t>
            </w:r>
          </w:p>
        </w:tc>
        <w:tc>
          <w:tcPr>
            <w:tcW w:w="1883" w:type="dxa"/>
            <w:tcBorders>
              <w:right w:val="nil"/>
            </w:tcBorders>
          </w:tcPr>
          <w:p w14:paraId="52C3B90D" w14:textId="77777777" w:rsidR="009733A0" w:rsidRPr="00B50F60" w:rsidRDefault="002662F5" w:rsidP="00DC57E3">
            <w:pPr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iCs/>
                <w:szCs w:val="22"/>
                <w:lang w:val="sk-SK"/>
              </w:rPr>
              <w:t>Zriedkavé</w:t>
            </w:r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>:</w:t>
            </w:r>
          </w:p>
        </w:tc>
        <w:tc>
          <w:tcPr>
            <w:tcW w:w="4292" w:type="dxa"/>
            <w:tcBorders>
              <w:left w:val="nil"/>
            </w:tcBorders>
          </w:tcPr>
          <w:p w14:paraId="399EF98C" w14:textId="77777777" w:rsidR="009733A0" w:rsidRPr="00B50F60" w:rsidRDefault="009733A0" w:rsidP="00DC57E3">
            <w:pPr>
              <w:ind w:left="74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B50F60">
              <w:rPr>
                <w:rFonts w:ascii="Times New Roman" w:hAnsi="Times New Roman"/>
                <w:szCs w:val="22"/>
                <w:lang w:val="sk-SK"/>
              </w:rPr>
              <w:t>Ana</w:t>
            </w:r>
            <w:r w:rsidR="002662F5" w:rsidRPr="00B50F60">
              <w:rPr>
                <w:rFonts w:ascii="Times New Roman" w:hAnsi="Times New Roman"/>
                <w:szCs w:val="22"/>
                <w:lang w:val="sk-SK"/>
              </w:rPr>
              <w:t>f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yla</w:t>
            </w:r>
            <w:r w:rsidR="002662F5" w:rsidRPr="00B50F60">
              <w:rPr>
                <w:rFonts w:ascii="Times New Roman" w:hAnsi="Times New Roman"/>
                <w:szCs w:val="22"/>
                <w:lang w:val="sk-SK"/>
              </w:rPr>
              <w:t>k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tic</w:t>
            </w:r>
            <w:r w:rsidR="002662F5" w:rsidRPr="00B50F60">
              <w:rPr>
                <w:rFonts w:ascii="Times New Roman" w:hAnsi="Times New Roman"/>
                <w:szCs w:val="22"/>
                <w:lang w:val="sk-SK"/>
              </w:rPr>
              <w:t>ké</w:t>
            </w:r>
            <w:proofErr w:type="spellEnd"/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 rea</w:t>
            </w:r>
            <w:r w:rsidR="002662F5" w:rsidRPr="00B50F60">
              <w:rPr>
                <w:rFonts w:ascii="Times New Roman" w:hAnsi="Times New Roman"/>
                <w:szCs w:val="22"/>
                <w:lang w:val="sk-SK"/>
              </w:rPr>
              <w:t>k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ci</w:t>
            </w:r>
            <w:r w:rsidR="002662F5" w:rsidRPr="00B50F60">
              <w:rPr>
                <w:rFonts w:ascii="Times New Roman" w:hAnsi="Times New Roman"/>
                <w:szCs w:val="22"/>
                <w:lang w:val="sk-SK"/>
              </w:rPr>
              <w:t>e</w:t>
            </w:r>
          </w:p>
        </w:tc>
      </w:tr>
      <w:tr w:rsidR="009733A0" w:rsidRPr="00B50F60" w14:paraId="1BC2DEC9" w14:textId="77777777" w:rsidTr="00ED7827">
        <w:tc>
          <w:tcPr>
            <w:tcW w:w="2330" w:type="dxa"/>
          </w:tcPr>
          <w:p w14:paraId="5AD5D4A2" w14:textId="77777777" w:rsidR="009733A0" w:rsidRPr="00B50F60" w:rsidRDefault="009733A0" w:rsidP="00DC57E3">
            <w:pPr>
              <w:ind w:left="34"/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iCs/>
                <w:szCs w:val="22"/>
                <w:lang w:val="sk-SK"/>
              </w:rPr>
              <w:t>Poruchy endokrinného systému</w:t>
            </w:r>
          </w:p>
        </w:tc>
        <w:tc>
          <w:tcPr>
            <w:tcW w:w="1883" w:type="dxa"/>
            <w:tcBorders>
              <w:right w:val="nil"/>
            </w:tcBorders>
          </w:tcPr>
          <w:p w14:paraId="584B3DB7" w14:textId="77777777" w:rsidR="009733A0" w:rsidRPr="00B50F60" w:rsidRDefault="002662F5" w:rsidP="00DC57E3">
            <w:pPr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szCs w:val="22"/>
                <w:lang w:val="sk-SK"/>
              </w:rPr>
              <w:t>Neznáme</w:t>
            </w:r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>:</w:t>
            </w:r>
          </w:p>
        </w:tc>
        <w:tc>
          <w:tcPr>
            <w:tcW w:w="4292" w:type="dxa"/>
            <w:tcBorders>
              <w:left w:val="nil"/>
            </w:tcBorders>
          </w:tcPr>
          <w:p w14:paraId="598B80C7" w14:textId="77777777" w:rsidR="009733A0" w:rsidRPr="00B50F60" w:rsidRDefault="002662F5" w:rsidP="00DC57E3">
            <w:pPr>
              <w:ind w:left="74"/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szCs w:val="22"/>
                <w:lang w:val="sk-SK"/>
              </w:rPr>
              <w:t>Návaly horúčavy</w:t>
            </w:r>
          </w:p>
          <w:p w14:paraId="57D83054" w14:textId="77777777" w:rsidR="009733A0" w:rsidRPr="00B50F60" w:rsidRDefault="009733A0" w:rsidP="00DC57E3">
            <w:pPr>
              <w:ind w:left="74"/>
              <w:rPr>
                <w:rFonts w:ascii="Times New Roman" w:hAnsi="Times New Roman"/>
                <w:szCs w:val="22"/>
                <w:lang w:val="sk-SK"/>
              </w:rPr>
            </w:pPr>
          </w:p>
        </w:tc>
      </w:tr>
      <w:tr w:rsidR="009733A0" w:rsidRPr="00B50F60" w14:paraId="55FF0037" w14:textId="77777777" w:rsidTr="00ED7827">
        <w:tc>
          <w:tcPr>
            <w:tcW w:w="2330" w:type="dxa"/>
          </w:tcPr>
          <w:p w14:paraId="1DE97773" w14:textId="77777777" w:rsidR="009733A0" w:rsidRPr="00B50F60" w:rsidRDefault="009733A0" w:rsidP="00DC57E3">
            <w:pPr>
              <w:ind w:left="34"/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iCs/>
                <w:szCs w:val="22"/>
                <w:lang w:val="sk-SK"/>
              </w:rPr>
              <w:t>Poruchy oka</w:t>
            </w:r>
          </w:p>
        </w:tc>
        <w:tc>
          <w:tcPr>
            <w:tcW w:w="1883" w:type="dxa"/>
            <w:tcBorders>
              <w:bottom w:val="single" w:sz="4" w:space="0" w:color="auto"/>
              <w:right w:val="nil"/>
            </w:tcBorders>
          </w:tcPr>
          <w:p w14:paraId="3C2A8E9C" w14:textId="77777777" w:rsidR="009733A0" w:rsidRPr="00B50F60" w:rsidRDefault="002662F5" w:rsidP="00DC57E3">
            <w:pPr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iCs/>
                <w:szCs w:val="22"/>
                <w:lang w:val="sk-SK"/>
              </w:rPr>
              <w:t>Zriedkavé</w:t>
            </w:r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>:</w:t>
            </w:r>
          </w:p>
          <w:p w14:paraId="2098339F" w14:textId="7AC120D6" w:rsidR="00F0113B" w:rsidRPr="00B50F60" w:rsidRDefault="00F0113B" w:rsidP="00DC57E3">
            <w:pPr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szCs w:val="22"/>
                <w:lang w:val="sk-SK"/>
              </w:rPr>
              <w:lastRenderedPageBreak/>
              <w:t>Neznáme:</w:t>
            </w:r>
          </w:p>
        </w:tc>
        <w:tc>
          <w:tcPr>
            <w:tcW w:w="4292" w:type="dxa"/>
            <w:tcBorders>
              <w:left w:val="nil"/>
              <w:bottom w:val="single" w:sz="4" w:space="0" w:color="auto"/>
            </w:tcBorders>
          </w:tcPr>
          <w:p w14:paraId="0A01211F" w14:textId="77777777" w:rsidR="009733A0" w:rsidRPr="00B50F60" w:rsidRDefault="00B7709F" w:rsidP="00DC57E3">
            <w:pPr>
              <w:ind w:left="74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B50F60">
              <w:rPr>
                <w:rFonts w:ascii="Times New Roman" w:hAnsi="Times New Roman"/>
                <w:szCs w:val="22"/>
                <w:lang w:val="sk-SK"/>
              </w:rPr>
              <w:lastRenderedPageBreak/>
              <w:t>Konjunktivitída</w:t>
            </w:r>
            <w:proofErr w:type="spellEnd"/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, </w:t>
            </w:r>
            <w:proofErr w:type="spellStart"/>
            <w:r w:rsidRPr="00B50F60">
              <w:rPr>
                <w:rFonts w:ascii="Times New Roman" w:hAnsi="Times New Roman"/>
                <w:szCs w:val="22"/>
                <w:lang w:val="sk-SK"/>
              </w:rPr>
              <w:t>lakrimácia</w:t>
            </w:r>
            <w:proofErr w:type="spellEnd"/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</w:p>
          <w:p w14:paraId="68606B3D" w14:textId="600612EF" w:rsidR="009733A0" w:rsidRPr="00B50F60" w:rsidRDefault="00F0113B" w:rsidP="00DC57E3">
            <w:pPr>
              <w:ind w:left="74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B50F60">
              <w:rPr>
                <w:rFonts w:ascii="Times New Roman" w:hAnsi="Times New Roman"/>
                <w:szCs w:val="22"/>
                <w:lang w:val="sk-SK"/>
              </w:rPr>
              <w:lastRenderedPageBreak/>
              <w:t>Keratitída</w:t>
            </w:r>
            <w:proofErr w:type="spellEnd"/>
          </w:p>
        </w:tc>
      </w:tr>
      <w:tr w:rsidR="009733A0" w:rsidRPr="00A900AC" w14:paraId="6E5F65D7" w14:textId="77777777" w:rsidTr="00ED7827">
        <w:tc>
          <w:tcPr>
            <w:tcW w:w="2330" w:type="dxa"/>
            <w:vMerge w:val="restart"/>
          </w:tcPr>
          <w:p w14:paraId="32B81DE4" w14:textId="77777777" w:rsidR="009733A0" w:rsidRPr="00B50F60" w:rsidRDefault="009733A0" w:rsidP="003452E7">
            <w:pPr>
              <w:keepNext/>
              <w:keepLines/>
              <w:widowControl/>
              <w:ind w:left="34"/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iCs/>
                <w:szCs w:val="22"/>
                <w:lang w:val="sk-SK"/>
              </w:rPr>
              <w:lastRenderedPageBreak/>
              <w:t>Poruchy srdca a srdcovej činnosti</w:t>
            </w:r>
          </w:p>
        </w:tc>
        <w:tc>
          <w:tcPr>
            <w:tcW w:w="1883" w:type="dxa"/>
            <w:tcBorders>
              <w:bottom w:val="nil"/>
              <w:right w:val="nil"/>
            </w:tcBorders>
          </w:tcPr>
          <w:p w14:paraId="5C5F7A7C" w14:textId="77777777" w:rsidR="009733A0" w:rsidRPr="00B50F60" w:rsidRDefault="002662F5" w:rsidP="003452E7">
            <w:pPr>
              <w:keepNext/>
              <w:keepLines/>
              <w:widowControl/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iCs/>
                <w:szCs w:val="22"/>
                <w:lang w:val="sk-SK"/>
              </w:rPr>
              <w:t>Časté</w:t>
            </w:r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>:</w:t>
            </w:r>
          </w:p>
          <w:p w14:paraId="55EACBE6" w14:textId="77777777" w:rsidR="009733A0" w:rsidRPr="00B50F60" w:rsidRDefault="009733A0" w:rsidP="003452E7">
            <w:pPr>
              <w:keepNext/>
              <w:keepLines/>
              <w:widowControl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2B9D2321" w14:textId="21F38251" w:rsidR="009733A0" w:rsidRPr="00B50F60" w:rsidRDefault="002662F5" w:rsidP="003452E7">
            <w:pPr>
              <w:keepNext/>
              <w:keepLines/>
              <w:widowControl/>
              <w:ind w:left="74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B50F60">
              <w:rPr>
                <w:rFonts w:ascii="Times New Roman" w:hAnsi="Times New Roman"/>
                <w:szCs w:val="22"/>
                <w:lang w:val="sk-SK"/>
              </w:rPr>
              <w:t>K</w:t>
            </w:r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>ardiotoxicit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a</w:t>
            </w:r>
            <w:proofErr w:type="spellEnd"/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>,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 t</w:t>
            </w:r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>.</w:t>
            </w:r>
            <w:r w:rsidR="001A538D">
              <w:rPr>
                <w:rFonts w:ascii="Times New Roman" w:hAnsi="Times New Roman"/>
                <w:szCs w:val="22"/>
                <w:lang w:val="sk-SK"/>
              </w:rPr>
              <w:t> 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j</w:t>
            </w:r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 xml:space="preserve">. </w:t>
            </w:r>
            <w:proofErr w:type="spellStart"/>
            <w:r w:rsidRPr="00B50F60">
              <w:rPr>
                <w:rFonts w:ascii="Times New Roman" w:hAnsi="Times New Roman"/>
                <w:szCs w:val="22"/>
                <w:lang w:val="sk-SK"/>
              </w:rPr>
              <w:t>k</w:t>
            </w:r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>ardiomyopat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ia</w:t>
            </w:r>
            <w:proofErr w:type="spellEnd"/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 xml:space="preserve"> (2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 </w:t>
            </w:r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 xml:space="preserve">%; 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napr</w:t>
            </w:r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 xml:space="preserve">. 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zníženie</w:t>
            </w:r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 xml:space="preserve"> LVEF, </w:t>
            </w:r>
            <w:proofErr w:type="spellStart"/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>dyspno</w:t>
            </w:r>
            <w:r w:rsidR="00B40EAC" w:rsidRPr="00B50F60">
              <w:rPr>
                <w:rFonts w:ascii="Times New Roman" w:hAnsi="Times New Roman"/>
                <w:szCs w:val="22"/>
                <w:lang w:val="sk-SK"/>
              </w:rPr>
              <w:t>e</w:t>
            </w:r>
            <w:proofErr w:type="spellEnd"/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>); E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K</w:t>
            </w:r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 xml:space="preserve">G 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zmeny</w:t>
            </w:r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 xml:space="preserve"> (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napr</w:t>
            </w:r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>. s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í</w:t>
            </w:r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>nus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ová</w:t>
            </w:r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  <w:proofErr w:type="spellStart"/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>tachy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k</w:t>
            </w:r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>ardia</w:t>
            </w:r>
            <w:proofErr w:type="spellEnd"/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 xml:space="preserve">, </w:t>
            </w:r>
            <w:proofErr w:type="spellStart"/>
            <w:r w:rsidRPr="00B50F60">
              <w:rPr>
                <w:rFonts w:ascii="Times New Roman" w:hAnsi="Times New Roman"/>
                <w:szCs w:val="22"/>
                <w:lang w:val="sk-SK"/>
              </w:rPr>
              <w:t>k</w:t>
            </w:r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>ongest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í</w:t>
            </w:r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>v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n</w:t>
            </w:r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>e</w:t>
            </w:r>
            <w:proofErr w:type="spellEnd"/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srdcové zlyhanie</w:t>
            </w:r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 xml:space="preserve">; </w:t>
            </w:r>
            <w:proofErr w:type="spellStart"/>
            <w:r w:rsidRPr="00B50F60">
              <w:rPr>
                <w:rFonts w:ascii="Times New Roman" w:hAnsi="Times New Roman"/>
                <w:szCs w:val="22"/>
                <w:lang w:val="sk-SK"/>
              </w:rPr>
              <w:t>tachya</w:t>
            </w:r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>rytmia</w:t>
            </w:r>
            <w:proofErr w:type="spellEnd"/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 xml:space="preserve">, </w:t>
            </w:r>
            <w:proofErr w:type="spellStart"/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>ventri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k</w:t>
            </w:r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>ul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á</w:t>
            </w:r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>r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na</w:t>
            </w:r>
            <w:proofErr w:type="spellEnd"/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  <w:proofErr w:type="spellStart"/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>tachy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k</w:t>
            </w:r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>ardia</w:t>
            </w:r>
            <w:proofErr w:type="spellEnd"/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>, brady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k</w:t>
            </w:r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 xml:space="preserve">ardia, </w:t>
            </w:r>
            <w:proofErr w:type="spellStart"/>
            <w:r w:rsidR="00817301" w:rsidRPr="00B50F60">
              <w:rPr>
                <w:rFonts w:ascii="Times New Roman" w:hAnsi="Times New Roman"/>
                <w:szCs w:val="22"/>
                <w:lang w:val="sk-SK"/>
              </w:rPr>
              <w:t>ramienková</w:t>
            </w:r>
            <w:proofErr w:type="spellEnd"/>
            <w:r w:rsidR="00817301" w:rsidRPr="00B50F60">
              <w:rPr>
                <w:rFonts w:ascii="Times New Roman" w:hAnsi="Times New Roman"/>
                <w:szCs w:val="22"/>
                <w:lang w:val="sk-SK"/>
              </w:rPr>
              <w:t xml:space="preserve"> blokáda</w:t>
            </w:r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>)</w:t>
            </w:r>
          </w:p>
          <w:p w14:paraId="46596408" w14:textId="77777777" w:rsidR="009733A0" w:rsidRPr="00B50F60" w:rsidRDefault="009733A0" w:rsidP="003452E7">
            <w:pPr>
              <w:keepNext/>
              <w:keepLines/>
              <w:widowControl/>
              <w:ind w:left="74"/>
              <w:rPr>
                <w:rFonts w:ascii="Times New Roman" w:hAnsi="Times New Roman"/>
                <w:szCs w:val="22"/>
                <w:lang w:val="sk-SK"/>
              </w:rPr>
            </w:pPr>
          </w:p>
        </w:tc>
      </w:tr>
      <w:tr w:rsidR="009733A0" w:rsidRPr="00A900AC" w14:paraId="3E3858B9" w14:textId="77777777" w:rsidTr="00ED7827">
        <w:tc>
          <w:tcPr>
            <w:tcW w:w="2330" w:type="dxa"/>
            <w:vMerge/>
          </w:tcPr>
          <w:p w14:paraId="5CD2C843" w14:textId="77777777" w:rsidR="009733A0" w:rsidRPr="00B50F60" w:rsidRDefault="009733A0" w:rsidP="003452E7">
            <w:pPr>
              <w:keepNext/>
              <w:keepLines/>
              <w:widowControl/>
              <w:ind w:left="34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1883" w:type="dxa"/>
            <w:tcBorders>
              <w:top w:val="nil"/>
              <w:bottom w:val="single" w:sz="4" w:space="0" w:color="auto"/>
              <w:right w:val="nil"/>
            </w:tcBorders>
          </w:tcPr>
          <w:p w14:paraId="1D59A668" w14:textId="77777777" w:rsidR="009733A0" w:rsidRPr="00B50F60" w:rsidRDefault="002662F5" w:rsidP="003452E7">
            <w:pPr>
              <w:keepNext/>
              <w:keepLines/>
              <w:widowControl/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szCs w:val="22"/>
                <w:lang w:val="sk-SK"/>
              </w:rPr>
              <w:t>Neznáme</w:t>
            </w:r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>: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</w:tcBorders>
          </w:tcPr>
          <w:p w14:paraId="1351A51F" w14:textId="77777777" w:rsidR="009733A0" w:rsidRPr="00B50F60" w:rsidRDefault="009733A0" w:rsidP="003452E7">
            <w:pPr>
              <w:keepNext/>
              <w:keepLines/>
              <w:widowControl/>
              <w:ind w:left="74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B50F60">
              <w:rPr>
                <w:rFonts w:ascii="Times New Roman" w:hAnsi="Times New Roman"/>
                <w:szCs w:val="22"/>
                <w:lang w:val="sk-SK"/>
              </w:rPr>
              <w:t>Arytmia</w:t>
            </w:r>
            <w:proofErr w:type="spellEnd"/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; </w:t>
            </w:r>
            <w:r w:rsidR="00817301" w:rsidRPr="00B50F60">
              <w:rPr>
                <w:rFonts w:ascii="Times New Roman" w:hAnsi="Times New Roman"/>
                <w:szCs w:val="22"/>
                <w:lang w:val="sk-SK"/>
              </w:rPr>
              <w:t>závažné srdcové zlyhanie sa môže objaviť náhle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, </w:t>
            </w:r>
            <w:r w:rsidR="00817301" w:rsidRPr="00B50F60">
              <w:rPr>
                <w:rFonts w:ascii="Times New Roman" w:hAnsi="Times New Roman"/>
                <w:szCs w:val="22"/>
                <w:lang w:val="sk-SK"/>
              </w:rPr>
              <w:t>bez varovných EKG zmien</w:t>
            </w:r>
          </w:p>
        </w:tc>
      </w:tr>
      <w:tr w:rsidR="009733A0" w:rsidRPr="00B50F60" w14:paraId="0DBBCECD" w14:textId="77777777" w:rsidTr="00ED7827">
        <w:tc>
          <w:tcPr>
            <w:tcW w:w="2330" w:type="dxa"/>
            <w:vMerge w:val="restart"/>
          </w:tcPr>
          <w:p w14:paraId="12B08F78" w14:textId="77777777" w:rsidR="009733A0" w:rsidRPr="00B50F60" w:rsidRDefault="009733A0" w:rsidP="00DC57E3">
            <w:pPr>
              <w:ind w:left="34"/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iCs/>
                <w:szCs w:val="22"/>
                <w:lang w:val="sk-SK"/>
              </w:rPr>
              <w:t>Poruchy ciev</w:t>
            </w:r>
          </w:p>
        </w:tc>
        <w:tc>
          <w:tcPr>
            <w:tcW w:w="1883" w:type="dxa"/>
            <w:tcBorders>
              <w:bottom w:val="nil"/>
              <w:right w:val="nil"/>
            </w:tcBorders>
          </w:tcPr>
          <w:p w14:paraId="1A7CB567" w14:textId="77777777" w:rsidR="009733A0" w:rsidRPr="00B50F60" w:rsidRDefault="002662F5" w:rsidP="00DC57E3">
            <w:pPr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bCs/>
                <w:iCs/>
                <w:szCs w:val="22"/>
                <w:lang w:val="sk-SK"/>
              </w:rPr>
              <w:t>Menej časté</w:t>
            </w:r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>: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3D47FCD8" w14:textId="77777777" w:rsidR="009733A0" w:rsidRPr="00B50F60" w:rsidRDefault="00817301" w:rsidP="00DC57E3">
            <w:pPr>
              <w:ind w:left="74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B50F60">
              <w:rPr>
                <w:rFonts w:ascii="Times New Roman" w:hAnsi="Times New Roman"/>
                <w:szCs w:val="22"/>
                <w:lang w:val="sk-SK"/>
              </w:rPr>
              <w:t>F</w:t>
            </w:r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>lebos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k</w:t>
            </w:r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>ler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óza</w:t>
            </w:r>
            <w:proofErr w:type="spellEnd"/>
          </w:p>
        </w:tc>
      </w:tr>
      <w:tr w:rsidR="009733A0" w:rsidRPr="00B50F60" w14:paraId="1BF403BA" w14:textId="77777777" w:rsidTr="00ED7827">
        <w:tc>
          <w:tcPr>
            <w:tcW w:w="2330" w:type="dxa"/>
            <w:vMerge/>
          </w:tcPr>
          <w:p w14:paraId="78F94A43" w14:textId="77777777" w:rsidR="009733A0" w:rsidRPr="00B50F60" w:rsidRDefault="009733A0" w:rsidP="00DC57E3">
            <w:pPr>
              <w:ind w:left="34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1883" w:type="dxa"/>
            <w:tcBorders>
              <w:top w:val="nil"/>
              <w:right w:val="nil"/>
            </w:tcBorders>
          </w:tcPr>
          <w:p w14:paraId="0EA2EA99" w14:textId="77777777" w:rsidR="009733A0" w:rsidRPr="00B50F60" w:rsidRDefault="002662F5" w:rsidP="00DC57E3">
            <w:pPr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szCs w:val="22"/>
                <w:lang w:val="sk-SK"/>
              </w:rPr>
              <w:t>Neznáme</w:t>
            </w:r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>:</w:t>
            </w:r>
          </w:p>
        </w:tc>
        <w:tc>
          <w:tcPr>
            <w:tcW w:w="4292" w:type="dxa"/>
            <w:tcBorders>
              <w:top w:val="nil"/>
              <w:left w:val="nil"/>
            </w:tcBorders>
          </w:tcPr>
          <w:p w14:paraId="1B0EA59C" w14:textId="7D08B2AD" w:rsidR="009733A0" w:rsidRPr="00B50F60" w:rsidRDefault="009733A0" w:rsidP="00DC57E3">
            <w:pPr>
              <w:ind w:left="74"/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szCs w:val="22"/>
                <w:lang w:val="sk-SK"/>
              </w:rPr>
              <w:t>Trombo</w:t>
            </w:r>
            <w:r w:rsidR="00817301" w:rsidRPr="00B50F60">
              <w:rPr>
                <w:rFonts w:ascii="Times New Roman" w:hAnsi="Times New Roman"/>
                <w:szCs w:val="22"/>
                <w:lang w:val="sk-SK"/>
              </w:rPr>
              <w:t>f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lebit</w:t>
            </w:r>
            <w:r w:rsidR="00817301" w:rsidRPr="00B50F60">
              <w:rPr>
                <w:rFonts w:ascii="Times New Roman" w:hAnsi="Times New Roman"/>
                <w:szCs w:val="22"/>
                <w:lang w:val="sk-SK"/>
              </w:rPr>
              <w:t>ída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, </w:t>
            </w:r>
            <w:proofErr w:type="spellStart"/>
            <w:r w:rsidRPr="00B50F60">
              <w:rPr>
                <w:rFonts w:ascii="Times New Roman" w:hAnsi="Times New Roman"/>
                <w:szCs w:val="22"/>
                <w:lang w:val="sk-SK"/>
              </w:rPr>
              <w:t>tromboemb</w:t>
            </w:r>
            <w:r w:rsidR="00817301" w:rsidRPr="00B50F60">
              <w:rPr>
                <w:rFonts w:ascii="Times New Roman" w:hAnsi="Times New Roman"/>
                <w:szCs w:val="22"/>
                <w:lang w:val="sk-SK"/>
              </w:rPr>
              <w:t>ólia</w:t>
            </w:r>
            <w:proofErr w:type="spellEnd"/>
            <w:r w:rsidR="0067580B" w:rsidRPr="00B50F60">
              <w:rPr>
                <w:rFonts w:ascii="Times New Roman" w:hAnsi="Times New Roman"/>
                <w:szCs w:val="22"/>
                <w:lang w:val="sk-SK"/>
              </w:rPr>
              <w:t>, šok, krvácanie</w:t>
            </w:r>
          </w:p>
        </w:tc>
      </w:tr>
      <w:tr w:rsidR="009733A0" w:rsidRPr="00B50F60" w14:paraId="6A6ED0B5" w14:textId="77777777" w:rsidTr="00ED7827">
        <w:tc>
          <w:tcPr>
            <w:tcW w:w="2330" w:type="dxa"/>
          </w:tcPr>
          <w:p w14:paraId="7B3FB6EE" w14:textId="77777777" w:rsidR="009733A0" w:rsidRPr="00B50F60" w:rsidRDefault="009733A0" w:rsidP="00DC57E3">
            <w:pPr>
              <w:ind w:left="34"/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iCs/>
                <w:szCs w:val="22"/>
                <w:lang w:val="sk-SK"/>
              </w:rPr>
              <w:t>Poruchy dýchacej sústavy, hrudníka a</w:t>
            </w:r>
            <w:r w:rsidR="0055189A" w:rsidRPr="00B50F60">
              <w:rPr>
                <w:rFonts w:ascii="Times New Roman" w:hAnsi="Times New Roman"/>
                <w:iCs/>
                <w:szCs w:val="22"/>
                <w:lang w:val="sk-SK"/>
              </w:rPr>
              <w:t> </w:t>
            </w:r>
            <w:proofErr w:type="spellStart"/>
            <w:r w:rsidRPr="00B50F60">
              <w:rPr>
                <w:rFonts w:ascii="Times New Roman" w:hAnsi="Times New Roman"/>
                <w:iCs/>
                <w:szCs w:val="22"/>
                <w:lang w:val="sk-SK"/>
              </w:rPr>
              <w:t>mediastína</w:t>
            </w:r>
            <w:proofErr w:type="spellEnd"/>
          </w:p>
        </w:tc>
        <w:tc>
          <w:tcPr>
            <w:tcW w:w="1883" w:type="dxa"/>
            <w:tcBorders>
              <w:right w:val="nil"/>
            </w:tcBorders>
          </w:tcPr>
          <w:p w14:paraId="5659C9C9" w14:textId="54592A1C" w:rsidR="009733A0" w:rsidRPr="00B50F60" w:rsidRDefault="002662F5" w:rsidP="00DC57E3">
            <w:pPr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szCs w:val="22"/>
                <w:lang w:val="sk-SK"/>
              </w:rPr>
              <w:t>Neznáme</w:t>
            </w:r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>:</w:t>
            </w:r>
          </w:p>
        </w:tc>
        <w:tc>
          <w:tcPr>
            <w:tcW w:w="4292" w:type="dxa"/>
            <w:tcBorders>
              <w:left w:val="nil"/>
            </w:tcBorders>
          </w:tcPr>
          <w:p w14:paraId="4D9F117D" w14:textId="5AE567F4" w:rsidR="009733A0" w:rsidRPr="00B50F60" w:rsidRDefault="009733A0" w:rsidP="00DC57E3">
            <w:pPr>
              <w:ind w:left="74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B50F60">
              <w:rPr>
                <w:rFonts w:ascii="Times New Roman" w:hAnsi="Times New Roman"/>
                <w:szCs w:val="22"/>
                <w:lang w:val="sk-SK"/>
              </w:rPr>
              <w:t>Bronc</w:t>
            </w:r>
            <w:r w:rsidR="0067575D">
              <w:rPr>
                <w:rFonts w:ascii="Times New Roman" w:hAnsi="Times New Roman"/>
                <w:szCs w:val="22"/>
                <w:lang w:val="sk-SK"/>
              </w:rPr>
              <w:t>h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ospa</w:t>
            </w:r>
            <w:r w:rsidR="00817301" w:rsidRPr="00B50F60">
              <w:rPr>
                <w:rFonts w:ascii="Times New Roman" w:hAnsi="Times New Roman"/>
                <w:szCs w:val="22"/>
                <w:lang w:val="sk-SK"/>
              </w:rPr>
              <w:t>z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m</w:t>
            </w:r>
            <w:r w:rsidR="00817301" w:rsidRPr="00B50F60">
              <w:rPr>
                <w:rFonts w:ascii="Times New Roman" w:hAnsi="Times New Roman"/>
                <w:szCs w:val="22"/>
                <w:lang w:val="sk-SK"/>
              </w:rPr>
              <w:t>us</w:t>
            </w:r>
            <w:proofErr w:type="spellEnd"/>
            <w:r w:rsidRPr="00B50F60">
              <w:rPr>
                <w:rFonts w:ascii="Times New Roman" w:hAnsi="Times New Roman"/>
                <w:szCs w:val="22"/>
                <w:lang w:val="sk-SK"/>
              </w:rPr>
              <w:t>, radia</w:t>
            </w:r>
            <w:r w:rsidR="00817301" w:rsidRPr="00B50F60">
              <w:rPr>
                <w:rFonts w:ascii="Times New Roman" w:hAnsi="Times New Roman"/>
                <w:szCs w:val="22"/>
                <w:lang w:val="sk-SK"/>
              </w:rPr>
              <w:t>čná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  <w:proofErr w:type="spellStart"/>
            <w:r w:rsidRPr="00B50F60">
              <w:rPr>
                <w:rFonts w:ascii="Times New Roman" w:hAnsi="Times New Roman"/>
                <w:szCs w:val="22"/>
                <w:lang w:val="sk-SK"/>
              </w:rPr>
              <w:t>pneumonit</w:t>
            </w:r>
            <w:r w:rsidR="00817301" w:rsidRPr="00B50F60">
              <w:rPr>
                <w:rFonts w:ascii="Times New Roman" w:hAnsi="Times New Roman"/>
                <w:szCs w:val="22"/>
                <w:lang w:val="sk-SK"/>
              </w:rPr>
              <w:t>ída</w:t>
            </w:r>
            <w:proofErr w:type="spellEnd"/>
          </w:p>
        </w:tc>
      </w:tr>
      <w:tr w:rsidR="009733A0" w:rsidRPr="00A900AC" w14:paraId="32A34833" w14:textId="77777777" w:rsidTr="00ED7827">
        <w:tc>
          <w:tcPr>
            <w:tcW w:w="2330" w:type="dxa"/>
            <w:vMerge w:val="restart"/>
          </w:tcPr>
          <w:p w14:paraId="3849A9F6" w14:textId="77777777" w:rsidR="009733A0" w:rsidRPr="00B50F60" w:rsidRDefault="009733A0" w:rsidP="00162654">
            <w:pPr>
              <w:keepNext/>
              <w:keepLines/>
              <w:widowControl/>
              <w:ind w:left="34"/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iCs/>
                <w:szCs w:val="22"/>
                <w:lang w:val="sk-SK"/>
              </w:rPr>
              <w:t xml:space="preserve">Poruchy </w:t>
            </w:r>
            <w:proofErr w:type="spellStart"/>
            <w:r w:rsidRPr="00B50F60">
              <w:rPr>
                <w:rFonts w:ascii="Times New Roman" w:hAnsi="Times New Roman"/>
                <w:iCs/>
                <w:szCs w:val="22"/>
                <w:lang w:val="sk-SK"/>
              </w:rPr>
              <w:t>gastrointestinálneho</w:t>
            </w:r>
            <w:proofErr w:type="spellEnd"/>
            <w:r w:rsidRPr="00B50F60">
              <w:rPr>
                <w:rFonts w:ascii="Times New Roman" w:hAnsi="Times New Roman"/>
                <w:iCs/>
                <w:szCs w:val="22"/>
                <w:lang w:val="sk-SK"/>
              </w:rPr>
              <w:t xml:space="preserve"> traktu</w:t>
            </w:r>
          </w:p>
        </w:tc>
        <w:tc>
          <w:tcPr>
            <w:tcW w:w="1883" w:type="dxa"/>
            <w:tcBorders>
              <w:bottom w:val="nil"/>
              <w:right w:val="nil"/>
            </w:tcBorders>
          </w:tcPr>
          <w:p w14:paraId="7D0A2605" w14:textId="77777777" w:rsidR="009733A0" w:rsidRPr="00B50F60" w:rsidRDefault="002662F5" w:rsidP="00162654">
            <w:pPr>
              <w:keepNext/>
              <w:keepLines/>
              <w:widowControl/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iCs/>
                <w:szCs w:val="22"/>
                <w:lang w:val="sk-SK"/>
              </w:rPr>
              <w:t>Časté</w:t>
            </w:r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>: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09617DFD" w14:textId="77777777" w:rsidR="009733A0" w:rsidRPr="00B50F60" w:rsidRDefault="009733A0" w:rsidP="00162654">
            <w:pPr>
              <w:keepNext/>
              <w:keepLines/>
              <w:widowControl/>
              <w:ind w:left="74"/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szCs w:val="22"/>
                <w:lang w:val="sk-SK"/>
              </w:rPr>
              <w:t>Nau</w:t>
            </w:r>
            <w:r w:rsidR="00817301" w:rsidRPr="00B50F60">
              <w:rPr>
                <w:rFonts w:ascii="Times New Roman" w:hAnsi="Times New Roman"/>
                <w:szCs w:val="22"/>
                <w:lang w:val="sk-SK"/>
              </w:rPr>
              <w:t>z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ea; </w:t>
            </w:r>
            <w:r w:rsidR="00817301" w:rsidRPr="00B50F60">
              <w:rPr>
                <w:rFonts w:ascii="Times New Roman" w:hAnsi="Times New Roman"/>
                <w:szCs w:val="22"/>
                <w:lang w:val="sk-SK"/>
              </w:rPr>
              <w:t>vracanie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; </w:t>
            </w:r>
            <w:proofErr w:type="spellStart"/>
            <w:r w:rsidRPr="00B50F60">
              <w:rPr>
                <w:rFonts w:ascii="Times New Roman" w:hAnsi="Times New Roman"/>
                <w:szCs w:val="22"/>
                <w:lang w:val="sk-SK"/>
              </w:rPr>
              <w:t>anorexia</w:t>
            </w:r>
            <w:proofErr w:type="spellEnd"/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; </w:t>
            </w:r>
            <w:r w:rsidR="00817301" w:rsidRPr="00B50F60">
              <w:rPr>
                <w:rFonts w:ascii="Times New Roman" w:hAnsi="Times New Roman"/>
                <w:szCs w:val="22"/>
                <w:lang w:val="sk-SK"/>
              </w:rPr>
              <w:t>hnačka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; </w:t>
            </w:r>
          </w:p>
          <w:p w14:paraId="7C2B033C" w14:textId="77777777" w:rsidR="009733A0" w:rsidRPr="00B50F60" w:rsidRDefault="009733A0" w:rsidP="00162654">
            <w:pPr>
              <w:keepNext/>
              <w:keepLines/>
              <w:widowControl/>
              <w:ind w:left="74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B50F60">
              <w:rPr>
                <w:rFonts w:ascii="Times New Roman" w:hAnsi="Times New Roman"/>
                <w:szCs w:val="22"/>
                <w:lang w:val="sk-SK"/>
              </w:rPr>
              <w:t>Mu</w:t>
            </w:r>
            <w:r w:rsidR="00817301" w:rsidRPr="00B50F60">
              <w:rPr>
                <w:rFonts w:ascii="Times New Roman" w:hAnsi="Times New Roman"/>
                <w:szCs w:val="22"/>
                <w:lang w:val="sk-SK"/>
              </w:rPr>
              <w:t>k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o</w:t>
            </w:r>
            <w:r w:rsidR="00817301" w:rsidRPr="00B50F60">
              <w:rPr>
                <w:rFonts w:ascii="Times New Roman" w:hAnsi="Times New Roman"/>
                <w:szCs w:val="22"/>
                <w:lang w:val="sk-SK"/>
              </w:rPr>
              <w:t>z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it</w:t>
            </w:r>
            <w:r w:rsidR="00817301" w:rsidRPr="00B50F60">
              <w:rPr>
                <w:rFonts w:ascii="Times New Roman" w:hAnsi="Times New Roman"/>
                <w:szCs w:val="22"/>
                <w:lang w:val="sk-SK"/>
              </w:rPr>
              <w:t>ída</w:t>
            </w:r>
            <w:proofErr w:type="spellEnd"/>
            <w:r w:rsidR="00817301" w:rsidRPr="00B50F60">
              <w:rPr>
                <w:rFonts w:ascii="Times New Roman" w:hAnsi="Times New Roman"/>
                <w:szCs w:val="22"/>
                <w:lang w:val="sk-SK"/>
              </w:rPr>
              <w:t xml:space="preserve"> sa najčastejšie vyskytuje 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5 </w:t>
            </w:r>
            <w:r w:rsidR="00817301" w:rsidRPr="00B50F60">
              <w:rPr>
                <w:rFonts w:ascii="Times New Roman" w:hAnsi="Times New Roman"/>
                <w:szCs w:val="22"/>
                <w:lang w:val="sk-SK"/>
              </w:rPr>
              <w:t>až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 10 d</w:t>
            </w:r>
            <w:r w:rsidR="00817301" w:rsidRPr="00B50F60">
              <w:rPr>
                <w:rFonts w:ascii="Times New Roman" w:hAnsi="Times New Roman"/>
                <w:szCs w:val="22"/>
                <w:lang w:val="sk-SK"/>
              </w:rPr>
              <w:t>ní po liečbe a zvyčajne začína ako pocit pálenia v ústach a hltane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. </w:t>
            </w:r>
            <w:r w:rsidR="00817301" w:rsidRPr="00B50F60">
              <w:rPr>
                <w:rFonts w:ascii="Times New Roman" w:hAnsi="Times New Roman"/>
                <w:szCs w:val="22"/>
                <w:lang w:val="sk-SK"/>
              </w:rPr>
              <w:t xml:space="preserve">Môže postihovať vagínu, konečník a pažerák a môže sa vyvinúť do </w:t>
            </w:r>
            <w:proofErr w:type="spellStart"/>
            <w:r w:rsidR="00817301" w:rsidRPr="00B50F60">
              <w:rPr>
                <w:rFonts w:ascii="Times New Roman" w:hAnsi="Times New Roman"/>
                <w:szCs w:val="22"/>
                <w:lang w:val="sk-SK"/>
              </w:rPr>
              <w:t>ulcerácie</w:t>
            </w:r>
            <w:proofErr w:type="spellEnd"/>
            <w:r w:rsidR="00817301" w:rsidRPr="00B50F60">
              <w:rPr>
                <w:rFonts w:ascii="Times New Roman" w:hAnsi="Times New Roman"/>
                <w:szCs w:val="22"/>
                <w:lang w:val="sk-SK"/>
              </w:rPr>
              <w:t xml:space="preserve"> s rizikom sekundárnej infekcie a zvyčajne ustúpi v priebehu 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10</w:t>
            </w:r>
            <w:r w:rsidR="00817301" w:rsidRPr="00B50F60">
              <w:rPr>
                <w:rFonts w:ascii="Times New Roman" w:hAnsi="Times New Roman"/>
                <w:szCs w:val="22"/>
                <w:lang w:val="sk-SK"/>
              </w:rPr>
              <w:t> 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d</w:t>
            </w:r>
            <w:r w:rsidR="00817301" w:rsidRPr="00B50F60">
              <w:rPr>
                <w:rFonts w:ascii="Times New Roman" w:hAnsi="Times New Roman"/>
                <w:szCs w:val="22"/>
                <w:lang w:val="sk-SK"/>
              </w:rPr>
              <w:t>ní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. </w:t>
            </w:r>
            <w:proofErr w:type="spellStart"/>
            <w:r w:rsidRPr="00B50F60">
              <w:rPr>
                <w:rFonts w:ascii="Times New Roman" w:hAnsi="Times New Roman"/>
                <w:szCs w:val="22"/>
                <w:lang w:val="sk-SK"/>
              </w:rPr>
              <w:t>Mu</w:t>
            </w:r>
            <w:r w:rsidR="00817301" w:rsidRPr="00B50F60">
              <w:rPr>
                <w:rFonts w:ascii="Times New Roman" w:hAnsi="Times New Roman"/>
                <w:szCs w:val="22"/>
                <w:lang w:val="sk-SK"/>
              </w:rPr>
              <w:t>k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o</w:t>
            </w:r>
            <w:r w:rsidR="00817301" w:rsidRPr="00B50F60">
              <w:rPr>
                <w:rFonts w:ascii="Times New Roman" w:hAnsi="Times New Roman"/>
                <w:szCs w:val="22"/>
                <w:lang w:val="sk-SK"/>
              </w:rPr>
              <w:t>z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it</w:t>
            </w:r>
            <w:r w:rsidR="00817301" w:rsidRPr="00B50F60">
              <w:rPr>
                <w:rFonts w:ascii="Times New Roman" w:hAnsi="Times New Roman"/>
                <w:szCs w:val="22"/>
                <w:lang w:val="sk-SK"/>
              </w:rPr>
              <w:t>ída</w:t>
            </w:r>
            <w:proofErr w:type="spellEnd"/>
            <w:r w:rsidR="00817301" w:rsidRPr="00B50F60">
              <w:rPr>
                <w:rFonts w:ascii="Times New Roman" w:hAnsi="Times New Roman"/>
                <w:szCs w:val="22"/>
                <w:lang w:val="sk-SK"/>
              </w:rPr>
              <w:t xml:space="preserve"> môžu byť závažná u pacientov, ktorí predtým podstúpili ožiarenie slizníc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.</w:t>
            </w:r>
          </w:p>
          <w:p w14:paraId="19281B12" w14:textId="77777777" w:rsidR="009733A0" w:rsidRPr="00B50F60" w:rsidRDefault="009733A0" w:rsidP="00162654">
            <w:pPr>
              <w:keepNext/>
              <w:keepLines/>
              <w:widowControl/>
              <w:ind w:left="74"/>
              <w:rPr>
                <w:rFonts w:ascii="Times New Roman" w:hAnsi="Times New Roman"/>
                <w:szCs w:val="22"/>
                <w:lang w:val="sk-SK"/>
              </w:rPr>
            </w:pPr>
          </w:p>
        </w:tc>
      </w:tr>
      <w:tr w:rsidR="009733A0" w:rsidRPr="00B50F60" w14:paraId="453E916D" w14:textId="77777777" w:rsidTr="00ED7827">
        <w:tc>
          <w:tcPr>
            <w:tcW w:w="2330" w:type="dxa"/>
            <w:vMerge/>
          </w:tcPr>
          <w:p w14:paraId="3D158B05" w14:textId="77777777" w:rsidR="009733A0" w:rsidRPr="00B50F60" w:rsidRDefault="009733A0" w:rsidP="00162654">
            <w:pPr>
              <w:keepNext/>
              <w:keepLines/>
              <w:widowControl/>
              <w:ind w:left="34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1883" w:type="dxa"/>
            <w:tcBorders>
              <w:top w:val="nil"/>
              <w:right w:val="nil"/>
            </w:tcBorders>
          </w:tcPr>
          <w:p w14:paraId="4B387751" w14:textId="77777777" w:rsidR="009733A0" w:rsidRPr="00B50F60" w:rsidRDefault="002662F5" w:rsidP="00162654">
            <w:pPr>
              <w:keepNext/>
              <w:keepLines/>
              <w:widowControl/>
              <w:rPr>
                <w:rFonts w:ascii="Times New Roman" w:hAnsi="Times New Roman"/>
                <w:bCs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bCs/>
                <w:iCs/>
                <w:szCs w:val="22"/>
                <w:lang w:val="sk-SK"/>
              </w:rPr>
              <w:t>Menej časté</w:t>
            </w:r>
            <w:r w:rsidR="009733A0" w:rsidRPr="00B50F60">
              <w:rPr>
                <w:rFonts w:ascii="Times New Roman" w:hAnsi="Times New Roman"/>
                <w:bCs/>
                <w:szCs w:val="22"/>
                <w:lang w:val="sk-SK"/>
              </w:rPr>
              <w:t>:</w:t>
            </w:r>
          </w:p>
          <w:p w14:paraId="30E39AA3" w14:textId="77777777" w:rsidR="00315252" w:rsidRPr="00B50F60" w:rsidRDefault="00315252" w:rsidP="00162654">
            <w:pPr>
              <w:keepNext/>
              <w:keepLines/>
              <w:widowControl/>
              <w:rPr>
                <w:rFonts w:ascii="Times New Roman" w:hAnsi="Times New Roman"/>
                <w:bCs/>
                <w:szCs w:val="22"/>
                <w:lang w:val="sk-SK"/>
              </w:rPr>
            </w:pPr>
          </w:p>
          <w:p w14:paraId="69D69E8B" w14:textId="77777777" w:rsidR="00315252" w:rsidRPr="00B50F60" w:rsidRDefault="00315252" w:rsidP="00162654">
            <w:pPr>
              <w:keepNext/>
              <w:keepLines/>
              <w:widowControl/>
              <w:rPr>
                <w:rFonts w:ascii="Times New Roman" w:hAnsi="Times New Roman"/>
                <w:bCs/>
                <w:szCs w:val="22"/>
                <w:lang w:val="sk-SK"/>
              </w:rPr>
            </w:pPr>
          </w:p>
          <w:p w14:paraId="663AA2ED" w14:textId="77777777" w:rsidR="00315252" w:rsidRPr="00B50F60" w:rsidRDefault="00315252" w:rsidP="00162654">
            <w:pPr>
              <w:keepNext/>
              <w:keepLines/>
              <w:widowControl/>
              <w:rPr>
                <w:rFonts w:ascii="Times New Roman" w:hAnsi="Times New Roman"/>
                <w:bCs/>
                <w:szCs w:val="22"/>
                <w:lang w:val="sk-SK"/>
              </w:rPr>
            </w:pPr>
          </w:p>
          <w:p w14:paraId="7E830505" w14:textId="698D2112" w:rsidR="00315252" w:rsidRPr="00B50F60" w:rsidRDefault="00315252" w:rsidP="00162654">
            <w:pPr>
              <w:keepNext/>
              <w:keepLines/>
              <w:widowControl/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bCs/>
                <w:szCs w:val="22"/>
                <w:lang w:val="sk-SK"/>
              </w:rPr>
              <w:t>Neznáme:</w:t>
            </w:r>
          </w:p>
        </w:tc>
        <w:tc>
          <w:tcPr>
            <w:tcW w:w="4292" w:type="dxa"/>
            <w:tcBorders>
              <w:top w:val="nil"/>
              <w:left w:val="nil"/>
            </w:tcBorders>
          </w:tcPr>
          <w:p w14:paraId="196113C1" w14:textId="77777777" w:rsidR="009733A0" w:rsidRPr="00B50F60" w:rsidRDefault="009733A0" w:rsidP="00162654">
            <w:pPr>
              <w:keepNext/>
              <w:keepLines/>
              <w:widowControl/>
              <w:ind w:left="74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B50F60">
              <w:rPr>
                <w:rFonts w:ascii="Times New Roman" w:hAnsi="Times New Roman"/>
                <w:bCs/>
                <w:szCs w:val="22"/>
                <w:lang w:val="sk-SK"/>
              </w:rPr>
              <w:t>Gastrointestin</w:t>
            </w:r>
            <w:r w:rsidR="00817301" w:rsidRPr="00B50F60">
              <w:rPr>
                <w:rFonts w:ascii="Times New Roman" w:hAnsi="Times New Roman"/>
                <w:bCs/>
                <w:szCs w:val="22"/>
                <w:lang w:val="sk-SK"/>
              </w:rPr>
              <w:t>á</w:t>
            </w:r>
            <w:r w:rsidRPr="00B50F60">
              <w:rPr>
                <w:rFonts w:ascii="Times New Roman" w:hAnsi="Times New Roman"/>
                <w:bCs/>
                <w:szCs w:val="22"/>
                <w:lang w:val="sk-SK"/>
              </w:rPr>
              <w:t>l</w:t>
            </w:r>
            <w:r w:rsidR="00817301" w:rsidRPr="00B50F60">
              <w:rPr>
                <w:rFonts w:ascii="Times New Roman" w:hAnsi="Times New Roman"/>
                <w:bCs/>
                <w:szCs w:val="22"/>
                <w:lang w:val="sk-SK"/>
              </w:rPr>
              <w:t>n</w:t>
            </w:r>
            <w:r w:rsidR="00091A04" w:rsidRPr="00B50F60">
              <w:rPr>
                <w:rFonts w:ascii="Times New Roman" w:hAnsi="Times New Roman"/>
                <w:bCs/>
                <w:szCs w:val="22"/>
                <w:lang w:val="sk-SK"/>
              </w:rPr>
              <w:t>e</w:t>
            </w:r>
            <w:proofErr w:type="spellEnd"/>
            <w:r w:rsidR="00091A04" w:rsidRPr="00B50F60">
              <w:rPr>
                <w:rFonts w:ascii="Times New Roman" w:hAnsi="Times New Roman"/>
                <w:bCs/>
                <w:szCs w:val="22"/>
                <w:lang w:val="sk-SK"/>
              </w:rPr>
              <w:t xml:space="preserve"> krvácanie</w:t>
            </w:r>
            <w:r w:rsidRPr="00B50F60">
              <w:rPr>
                <w:rFonts w:ascii="Times New Roman" w:hAnsi="Times New Roman"/>
                <w:bCs/>
                <w:szCs w:val="22"/>
                <w:lang w:val="sk-SK"/>
              </w:rPr>
              <w:t xml:space="preserve">, </w:t>
            </w:r>
            <w:r w:rsidR="00091A04" w:rsidRPr="00B50F60">
              <w:rPr>
                <w:rFonts w:ascii="Times New Roman" w:hAnsi="Times New Roman"/>
                <w:bCs/>
                <w:szCs w:val="22"/>
                <w:lang w:val="sk-SK"/>
              </w:rPr>
              <w:t>bolesti brucha</w:t>
            </w:r>
            <w:r w:rsidRPr="00B50F60">
              <w:rPr>
                <w:rFonts w:ascii="Times New Roman" w:hAnsi="Times New Roman"/>
                <w:bCs/>
                <w:szCs w:val="22"/>
                <w:lang w:val="sk-SK"/>
              </w:rPr>
              <w:t xml:space="preserve">; </w:t>
            </w:r>
            <w:proofErr w:type="spellStart"/>
            <w:r w:rsidRPr="00B50F60">
              <w:rPr>
                <w:rFonts w:ascii="Times New Roman" w:hAnsi="Times New Roman"/>
                <w:bCs/>
                <w:szCs w:val="22"/>
                <w:lang w:val="sk-SK"/>
              </w:rPr>
              <w:t>ulcer</w:t>
            </w:r>
            <w:r w:rsidR="00817301" w:rsidRPr="00B50F60">
              <w:rPr>
                <w:rFonts w:ascii="Times New Roman" w:hAnsi="Times New Roman"/>
                <w:bCs/>
                <w:szCs w:val="22"/>
                <w:lang w:val="sk-SK"/>
              </w:rPr>
              <w:t>ácia</w:t>
            </w:r>
            <w:proofErr w:type="spellEnd"/>
            <w:r w:rsidRPr="00B50F60">
              <w:rPr>
                <w:rFonts w:ascii="Times New Roman" w:hAnsi="Times New Roman"/>
                <w:bCs/>
                <w:szCs w:val="22"/>
                <w:lang w:val="sk-SK"/>
              </w:rPr>
              <w:t xml:space="preserve"> a</w:t>
            </w:r>
            <w:r w:rsidR="00817301" w:rsidRPr="00B50F60">
              <w:rPr>
                <w:rFonts w:ascii="Times New Roman" w:hAnsi="Times New Roman"/>
                <w:bCs/>
                <w:szCs w:val="22"/>
                <w:lang w:val="sk-SK"/>
              </w:rPr>
              <w:t> </w:t>
            </w:r>
            <w:proofErr w:type="spellStart"/>
            <w:r w:rsidRPr="00B50F60">
              <w:rPr>
                <w:rFonts w:ascii="Times New Roman" w:hAnsi="Times New Roman"/>
                <w:bCs/>
                <w:szCs w:val="22"/>
                <w:lang w:val="sk-SK"/>
              </w:rPr>
              <w:t>ne</w:t>
            </w:r>
            <w:r w:rsidR="00817301" w:rsidRPr="00B50F60">
              <w:rPr>
                <w:rFonts w:ascii="Times New Roman" w:hAnsi="Times New Roman"/>
                <w:bCs/>
                <w:szCs w:val="22"/>
                <w:lang w:val="sk-SK"/>
              </w:rPr>
              <w:t>króza</w:t>
            </w:r>
            <w:proofErr w:type="spellEnd"/>
            <w:r w:rsidR="00817301" w:rsidRPr="00B50F60">
              <w:rPr>
                <w:rFonts w:ascii="Times New Roman" w:hAnsi="Times New Roman"/>
                <w:bCs/>
                <w:szCs w:val="22"/>
                <w:lang w:val="sk-SK"/>
              </w:rPr>
              <w:t xml:space="preserve"> hrubého čreva</w:t>
            </w:r>
            <w:r w:rsidRPr="00B50F60">
              <w:rPr>
                <w:rFonts w:ascii="Times New Roman" w:hAnsi="Times New Roman"/>
                <w:bCs/>
                <w:szCs w:val="22"/>
                <w:lang w:val="sk-SK"/>
              </w:rPr>
              <w:t xml:space="preserve">; </w:t>
            </w:r>
            <w:proofErr w:type="spellStart"/>
            <w:r w:rsidRPr="00B50F60">
              <w:rPr>
                <w:rFonts w:ascii="Times New Roman" w:hAnsi="Times New Roman"/>
                <w:szCs w:val="22"/>
                <w:lang w:val="sk-SK"/>
              </w:rPr>
              <w:t>stomatit</w:t>
            </w:r>
            <w:r w:rsidR="00817301" w:rsidRPr="00B50F60">
              <w:rPr>
                <w:rFonts w:ascii="Times New Roman" w:hAnsi="Times New Roman"/>
                <w:szCs w:val="22"/>
                <w:lang w:val="sk-SK"/>
              </w:rPr>
              <w:t>ída</w:t>
            </w:r>
            <w:proofErr w:type="spellEnd"/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; </w:t>
            </w:r>
            <w:proofErr w:type="spellStart"/>
            <w:r w:rsidR="00817301" w:rsidRPr="00B50F60">
              <w:rPr>
                <w:rFonts w:ascii="Times New Roman" w:hAnsi="Times New Roman"/>
                <w:szCs w:val="22"/>
                <w:lang w:val="sk-SK"/>
              </w:rPr>
              <w:t>ezofagitída</w:t>
            </w:r>
            <w:proofErr w:type="spellEnd"/>
          </w:p>
          <w:p w14:paraId="6C491E75" w14:textId="77777777" w:rsidR="00315252" w:rsidRPr="00B50F60" w:rsidRDefault="00315252" w:rsidP="00162654">
            <w:pPr>
              <w:keepNext/>
              <w:keepLines/>
              <w:widowControl/>
              <w:ind w:left="74"/>
              <w:rPr>
                <w:rFonts w:ascii="Times New Roman" w:hAnsi="Times New Roman"/>
                <w:szCs w:val="22"/>
                <w:lang w:val="sk-SK"/>
              </w:rPr>
            </w:pPr>
          </w:p>
          <w:p w14:paraId="03649897" w14:textId="68918D48" w:rsidR="00315252" w:rsidRPr="00B50F60" w:rsidRDefault="00315252" w:rsidP="00162654">
            <w:pPr>
              <w:keepNext/>
              <w:keepLines/>
              <w:widowControl/>
              <w:ind w:left="74"/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szCs w:val="22"/>
                <w:lang w:val="sk-SK"/>
              </w:rPr>
              <w:t>Zmena farby slizníc</w:t>
            </w:r>
          </w:p>
        </w:tc>
      </w:tr>
      <w:tr w:rsidR="009733A0" w:rsidRPr="00ED3A08" w14:paraId="42B4482F" w14:textId="77777777" w:rsidTr="00ED7827">
        <w:tc>
          <w:tcPr>
            <w:tcW w:w="2330" w:type="dxa"/>
          </w:tcPr>
          <w:p w14:paraId="0C5DE1C3" w14:textId="77777777" w:rsidR="009733A0" w:rsidRPr="00B50F60" w:rsidRDefault="009733A0" w:rsidP="00DC57E3">
            <w:pPr>
              <w:ind w:left="34"/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iCs/>
                <w:szCs w:val="22"/>
                <w:lang w:val="sk-SK"/>
              </w:rPr>
              <w:t>Poruchy pečene a</w:t>
            </w:r>
            <w:r w:rsidR="00FF38D8" w:rsidRPr="00B50F60">
              <w:rPr>
                <w:rFonts w:ascii="Times New Roman" w:hAnsi="Times New Roman"/>
                <w:iCs/>
                <w:szCs w:val="22"/>
                <w:lang w:val="sk-SK"/>
              </w:rPr>
              <w:t> </w:t>
            </w:r>
            <w:r w:rsidRPr="00B50F60">
              <w:rPr>
                <w:rFonts w:ascii="Times New Roman" w:hAnsi="Times New Roman"/>
                <w:iCs/>
                <w:szCs w:val="22"/>
                <w:lang w:val="sk-SK"/>
              </w:rPr>
              <w:t>žlčových ciest</w:t>
            </w:r>
          </w:p>
        </w:tc>
        <w:tc>
          <w:tcPr>
            <w:tcW w:w="1883" w:type="dxa"/>
            <w:tcBorders>
              <w:bottom w:val="single" w:sz="4" w:space="0" w:color="auto"/>
              <w:right w:val="nil"/>
            </w:tcBorders>
          </w:tcPr>
          <w:p w14:paraId="08AA9D2E" w14:textId="77777777" w:rsidR="009733A0" w:rsidRPr="00B50F60" w:rsidRDefault="002662F5" w:rsidP="00DC57E3">
            <w:pPr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szCs w:val="22"/>
                <w:lang w:val="sk-SK"/>
              </w:rPr>
              <w:t>Neznáme</w:t>
            </w:r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>:</w:t>
            </w:r>
          </w:p>
        </w:tc>
        <w:tc>
          <w:tcPr>
            <w:tcW w:w="4292" w:type="dxa"/>
            <w:tcBorders>
              <w:left w:val="nil"/>
              <w:bottom w:val="single" w:sz="4" w:space="0" w:color="auto"/>
            </w:tcBorders>
          </w:tcPr>
          <w:p w14:paraId="145CAF0D" w14:textId="77777777" w:rsidR="009733A0" w:rsidRPr="00B50F60" w:rsidRDefault="009733A0" w:rsidP="00DC57E3">
            <w:pPr>
              <w:ind w:left="74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B50F60">
              <w:rPr>
                <w:rFonts w:ascii="Times New Roman" w:hAnsi="Times New Roman"/>
                <w:szCs w:val="22"/>
                <w:lang w:val="sk-SK"/>
              </w:rPr>
              <w:t>Hepatotoxicit</w:t>
            </w:r>
            <w:r w:rsidR="00817301" w:rsidRPr="00B50F60">
              <w:rPr>
                <w:rFonts w:ascii="Times New Roman" w:hAnsi="Times New Roman"/>
                <w:szCs w:val="22"/>
                <w:lang w:val="sk-SK"/>
              </w:rPr>
              <w:t>a</w:t>
            </w:r>
            <w:proofErr w:type="spellEnd"/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, </w:t>
            </w:r>
            <w:r w:rsidR="00817301" w:rsidRPr="00B50F60">
              <w:rPr>
                <w:rFonts w:ascii="Times New Roman" w:hAnsi="Times New Roman"/>
                <w:szCs w:val="22"/>
                <w:lang w:val="sk-SK"/>
              </w:rPr>
              <w:t>prechodné zvýšenie pečeňových enzýmov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 (</w:t>
            </w:r>
            <w:r w:rsidR="00817301" w:rsidRPr="00B50F60">
              <w:rPr>
                <w:rFonts w:ascii="Times New Roman" w:hAnsi="Times New Roman"/>
                <w:szCs w:val="22"/>
                <w:lang w:val="sk-SK"/>
              </w:rPr>
              <w:t>pozri časť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 4.4)</w:t>
            </w:r>
          </w:p>
        </w:tc>
      </w:tr>
      <w:tr w:rsidR="009733A0" w:rsidRPr="00B50F60" w14:paraId="5BC4A282" w14:textId="77777777" w:rsidTr="00ED7827">
        <w:tc>
          <w:tcPr>
            <w:tcW w:w="2330" w:type="dxa"/>
            <w:vMerge w:val="restart"/>
          </w:tcPr>
          <w:p w14:paraId="19421156" w14:textId="77777777" w:rsidR="009733A0" w:rsidRPr="00B50F60" w:rsidRDefault="009733A0" w:rsidP="00E0676E">
            <w:pPr>
              <w:keepNext/>
              <w:keepLines/>
              <w:widowControl/>
              <w:ind w:left="34"/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iCs/>
                <w:szCs w:val="22"/>
                <w:lang w:val="sk-SK"/>
              </w:rPr>
              <w:t>Poruchy kože a podkožného tkaniva</w:t>
            </w:r>
          </w:p>
        </w:tc>
        <w:tc>
          <w:tcPr>
            <w:tcW w:w="1883" w:type="dxa"/>
            <w:tcBorders>
              <w:bottom w:val="nil"/>
              <w:right w:val="nil"/>
            </w:tcBorders>
          </w:tcPr>
          <w:p w14:paraId="169FD70D" w14:textId="77777777" w:rsidR="009733A0" w:rsidRPr="00B50F60" w:rsidRDefault="002662F5" w:rsidP="00E0676E">
            <w:pPr>
              <w:keepNext/>
              <w:keepLines/>
              <w:widowControl/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iCs/>
                <w:szCs w:val="22"/>
                <w:lang w:val="sk-SK"/>
              </w:rPr>
              <w:t>Časté</w:t>
            </w:r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>: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0D09DA27" w14:textId="3D5DC440" w:rsidR="009733A0" w:rsidRPr="00B50F60" w:rsidRDefault="009733A0" w:rsidP="00E0676E">
            <w:pPr>
              <w:keepNext/>
              <w:keepLines/>
              <w:widowControl/>
              <w:ind w:left="74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B50F60">
              <w:rPr>
                <w:rFonts w:ascii="Times New Roman" w:hAnsi="Times New Roman"/>
                <w:szCs w:val="22"/>
                <w:lang w:val="sk-SK"/>
              </w:rPr>
              <w:t>Alop</w:t>
            </w:r>
            <w:r w:rsidR="00817301" w:rsidRPr="00B50F60">
              <w:rPr>
                <w:rFonts w:ascii="Times New Roman" w:hAnsi="Times New Roman"/>
                <w:szCs w:val="22"/>
                <w:lang w:val="sk-SK"/>
              </w:rPr>
              <w:t>é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cia</w:t>
            </w:r>
            <w:proofErr w:type="spellEnd"/>
            <w:r w:rsidR="007C7B3F" w:rsidRPr="00B50F60">
              <w:rPr>
                <w:rFonts w:ascii="Times New Roman" w:hAnsi="Times New Roman"/>
                <w:szCs w:val="22"/>
                <w:lang w:val="sk-SK"/>
              </w:rPr>
              <w:t xml:space="preserve">, </w:t>
            </w:r>
            <w:proofErr w:type="spellStart"/>
            <w:r w:rsidR="007C7B3F" w:rsidRPr="00B50F60">
              <w:rPr>
                <w:rFonts w:ascii="Times New Roman" w:hAnsi="Times New Roman"/>
                <w:szCs w:val="22"/>
                <w:lang w:val="sk-SK"/>
              </w:rPr>
              <w:t>h</w:t>
            </w:r>
            <w:r w:rsidR="00013907">
              <w:rPr>
                <w:rFonts w:ascii="Times New Roman" w:hAnsi="Times New Roman"/>
                <w:szCs w:val="22"/>
                <w:lang w:val="sk-SK"/>
              </w:rPr>
              <w:t>y</w:t>
            </w:r>
            <w:r w:rsidR="007C7B3F" w:rsidRPr="00B50F60">
              <w:rPr>
                <w:rFonts w:ascii="Times New Roman" w:hAnsi="Times New Roman"/>
                <w:szCs w:val="22"/>
                <w:lang w:val="sk-SK"/>
              </w:rPr>
              <w:t>perpigmentácia</w:t>
            </w:r>
            <w:proofErr w:type="spellEnd"/>
            <w:r w:rsidR="007C7B3F" w:rsidRPr="00B50F60">
              <w:rPr>
                <w:rFonts w:ascii="Times New Roman" w:hAnsi="Times New Roman"/>
                <w:szCs w:val="22"/>
                <w:lang w:val="sk-SK"/>
              </w:rPr>
              <w:t xml:space="preserve"> kože, vyrážka</w:t>
            </w:r>
          </w:p>
          <w:p w14:paraId="4E02C822" w14:textId="77777777" w:rsidR="009733A0" w:rsidRPr="00B50F60" w:rsidRDefault="009733A0" w:rsidP="00E0676E">
            <w:pPr>
              <w:keepNext/>
              <w:keepLines/>
              <w:widowControl/>
              <w:ind w:left="74"/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</w:p>
        </w:tc>
      </w:tr>
      <w:tr w:rsidR="009733A0" w:rsidRPr="00ED3A08" w14:paraId="563FB2FB" w14:textId="77777777" w:rsidTr="00ED7827">
        <w:tc>
          <w:tcPr>
            <w:tcW w:w="2330" w:type="dxa"/>
            <w:vMerge/>
          </w:tcPr>
          <w:p w14:paraId="219B2D1F" w14:textId="77777777" w:rsidR="009733A0" w:rsidRPr="00B50F60" w:rsidRDefault="009733A0" w:rsidP="00E0676E">
            <w:pPr>
              <w:keepNext/>
              <w:keepLines/>
              <w:widowControl/>
              <w:ind w:left="34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1883" w:type="dxa"/>
            <w:tcBorders>
              <w:top w:val="nil"/>
              <w:bottom w:val="nil"/>
              <w:right w:val="nil"/>
            </w:tcBorders>
          </w:tcPr>
          <w:p w14:paraId="591EB435" w14:textId="77777777" w:rsidR="009733A0" w:rsidRPr="00B50F60" w:rsidRDefault="002662F5" w:rsidP="00E0676E">
            <w:pPr>
              <w:keepNext/>
              <w:keepLines/>
              <w:widowControl/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bCs/>
                <w:iCs/>
                <w:szCs w:val="22"/>
                <w:lang w:val="sk-SK"/>
              </w:rPr>
              <w:t>Menej časté</w:t>
            </w:r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>: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09F44D11" w14:textId="77777777" w:rsidR="009733A0" w:rsidRPr="00B50F60" w:rsidRDefault="00817301" w:rsidP="00E0676E">
            <w:pPr>
              <w:keepNext/>
              <w:keepLines/>
              <w:widowControl/>
              <w:ind w:left="74"/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szCs w:val="22"/>
                <w:lang w:val="sk-SK"/>
              </w:rPr>
              <w:t>Návrat kožnej reakcie z</w:t>
            </w:r>
            <w:r w:rsidR="00987D96" w:rsidRPr="00B50F60">
              <w:rPr>
                <w:rFonts w:ascii="Times New Roman" w:hAnsi="Times New Roman"/>
                <w:szCs w:val="22"/>
                <w:lang w:val="sk-SK"/>
              </w:rPr>
              <w:t> 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dôvodu predchádzajúcej rádioterapie</w:t>
            </w:r>
          </w:p>
          <w:p w14:paraId="7C3D49A8" w14:textId="77777777" w:rsidR="009733A0" w:rsidRPr="00B50F60" w:rsidRDefault="009733A0" w:rsidP="00E0676E">
            <w:pPr>
              <w:keepNext/>
              <w:keepLines/>
              <w:widowControl/>
              <w:ind w:left="74"/>
              <w:rPr>
                <w:rFonts w:ascii="Times New Roman" w:hAnsi="Times New Roman"/>
                <w:szCs w:val="22"/>
                <w:lang w:val="sk-SK"/>
              </w:rPr>
            </w:pPr>
          </w:p>
        </w:tc>
      </w:tr>
      <w:tr w:rsidR="009733A0" w:rsidRPr="00ED3A08" w14:paraId="389F7AFC" w14:textId="77777777" w:rsidTr="00ED7827">
        <w:tc>
          <w:tcPr>
            <w:tcW w:w="2330" w:type="dxa"/>
            <w:vMerge/>
          </w:tcPr>
          <w:p w14:paraId="64C23840" w14:textId="77777777" w:rsidR="009733A0" w:rsidRPr="00B50F60" w:rsidRDefault="009733A0" w:rsidP="00E0676E">
            <w:pPr>
              <w:keepNext/>
              <w:keepLines/>
              <w:widowControl/>
              <w:ind w:left="34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1883" w:type="dxa"/>
            <w:tcBorders>
              <w:top w:val="nil"/>
              <w:bottom w:val="nil"/>
              <w:right w:val="nil"/>
            </w:tcBorders>
          </w:tcPr>
          <w:p w14:paraId="09F4CCC4" w14:textId="77777777" w:rsidR="009733A0" w:rsidRPr="00B50F60" w:rsidRDefault="002662F5" w:rsidP="00E0676E">
            <w:pPr>
              <w:keepNext/>
              <w:keepLines/>
              <w:widowControl/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iCs/>
                <w:szCs w:val="22"/>
                <w:lang w:val="sk-SK"/>
              </w:rPr>
              <w:t>Zriedkavé</w:t>
            </w:r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>: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0F6022B2" w14:textId="77777777" w:rsidR="009733A0" w:rsidRPr="00B50F60" w:rsidRDefault="009733A0" w:rsidP="00E0676E">
            <w:pPr>
              <w:keepNext/>
              <w:keepLines/>
              <w:widowControl/>
              <w:ind w:left="74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B50F60">
              <w:rPr>
                <w:rFonts w:ascii="Times New Roman" w:hAnsi="Times New Roman"/>
                <w:szCs w:val="22"/>
                <w:lang w:val="sk-SK"/>
              </w:rPr>
              <w:t>Urti</w:t>
            </w:r>
            <w:r w:rsidR="00817301" w:rsidRPr="00B50F60">
              <w:rPr>
                <w:rFonts w:ascii="Times New Roman" w:hAnsi="Times New Roman"/>
                <w:szCs w:val="22"/>
                <w:lang w:val="sk-SK"/>
              </w:rPr>
              <w:t>ká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ria</w:t>
            </w:r>
            <w:proofErr w:type="spellEnd"/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; </w:t>
            </w:r>
            <w:proofErr w:type="spellStart"/>
            <w:r w:rsidR="00817301" w:rsidRPr="00B50F60">
              <w:rPr>
                <w:rFonts w:ascii="Times New Roman" w:hAnsi="Times New Roman"/>
                <w:szCs w:val="22"/>
                <w:lang w:val="sk-SK"/>
              </w:rPr>
              <w:t>nekróza</w:t>
            </w:r>
            <w:proofErr w:type="spellEnd"/>
            <w:r w:rsidR="00817301" w:rsidRPr="00B50F60">
              <w:rPr>
                <w:rFonts w:ascii="Times New Roman" w:hAnsi="Times New Roman"/>
                <w:szCs w:val="22"/>
                <w:lang w:val="sk-SK"/>
              </w:rPr>
              <w:t xml:space="preserve"> tkaniva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; lo</w:t>
            </w:r>
            <w:r w:rsidR="00817301" w:rsidRPr="00B50F60">
              <w:rPr>
                <w:rFonts w:ascii="Times New Roman" w:hAnsi="Times New Roman"/>
                <w:szCs w:val="22"/>
                <w:lang w:val="sk-SK"/>
              </w:rPr>
              <w:t>ká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l</w:t>
            </w:r>
            <w:r w:rsidR="00DB448A" w:rsidRPr="00B50F60">
              <w:rPr>
                <w:rFonts w:ascii="Times New Roman" w:hAnsi="Times New Roman"/>
                <w:szCs w:val="22"/>
                <w:lang w:val="sk-SK"/>
              </w:rPr>
              <w:t>ne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  <w:proofErr w:type="spellStart"/>
            <w:r w:rsidRPr="00B50F60">
              <w:rPr>
                <w:rFonts w:ascii="Times New Roman" w:hAnsi="Times New Roman"/>
                <w:szCs w:val="22"/>
                <w:lang w:val="sk-SK"/>
              </w:rPr>
              <w:t>erytemat</w:t>
            </w:r>
            <w:r w:rsidR="00DB448A" w:rsidRPr="00B50F60">
              <w:rPr>
                <w:rFonts w:ascii="Times New Roman" w:hAnsi="Times New Roman"/>
                <w:szCs w:val="22"/>
                <w:lang w:val="sk-SK"/>
              </w:rPr>
              <w:t>ózne</w:t>
            </w:r>
            <w:proofErr w:type="spellEnd"/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 rea</w:t>
            </w:r>
            <w:r w:rsidR="00DB448A" w:rsidRPr="00B50F60">
              <w:rPr>
                <w:rFonts w:ascii="Times New Roman" w:hAnsi="Times New Roman"/>
                <w:szCs w:val="22"/>
                <w:lang w:val="sk-SK"/>
              </w:rPr>
              <w:t>kcie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  <w:r w:rsidR="00DB448A" w:rsidRPr="00B50F60">
              <w:rPr>
                <w:rFonts w:ascii="Times New Roman" w:hAnsi="Times New Roman"/>
                <w:szCs w:val="22"/>
                <w:lang w:val="sk-SK"/>
              </w:rPr>
              <w:t>pozdĺž žily, ktor</w:t>
            </w:r>
            <w:r w:rsidR="003D31A4" w:rsidRPr="00B50F60">
              <w:rPr>
                <w:rFonts w:ascii="Times New Roman" w:hAnsi="Times New Roman"/>
                <w:szCs w:val="22"/>
                <w:lang w:val="sk-SK"/>
              </w:rPr>
              <w:t>á</w:t>
            </w:r>
            <w:r w:rsidR="00DB448A" w:rsidRPr="00B50F60">
              <w:rPr>
                <w:rFonts w:ascii="Times New Roman" w:hAnsi="Times New Roman"/>
                <w:szCs w:val="22"/>
                <w:lang w:val="sk-SK"/>
              </w:rPr>
              <w:t xml:space="preserve"> sa používal</w:t>
            </w:r>
            <w:r w:rsidR="003D31A4" w:rsidRPr="00B50F60">
              <w:rPr>
                <w:rFonts w:ascii="Times New Roman" w:hAnsi="Times New Roman"/>
                <w:szCs w:val="22"/>
                <w:lang w:val="sk-SK"/>
              </w:rPr>
              <w:t>a</w:t>
            </w:r>
            <w:r w:rsidR="00DB448A" w:rsidRPr="00B50F60">
              <w:rPr>
                <w:rFonts w:ascii="Times New Roman" w:hAnsi="Times New Roman"/>
                <w:szCs w:val="22"/>
                <w:lang w:val="sk-SK"/>
              </w:rPr>
              <w:t xml:space="preserve"> na injekciu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, </w:t>
            </w:r>
            <w:proofErr w:type="spellStart"/>
            <w:r w:rsidRPr="00B50F60">
              <w:rPr>
                <w:rFonts w:ascii="Times New Roman" w:hAnsi="Times New Roman"/>
                <w:szCs w:val="22"/>
                <w:lang w:val="sk-SK"/>
              </w:rPr>
              <w:t>hyperpigment</w:t>
            </w:r>
            <w:r w:rsidR="00DB448A" w:rsidRPr="00B50F60">
              <w:rPr>
                <w:rFonts w:ascii="Times New Roman" w:hAnsi="Times New Roman"/>
                <w:szCs w:val="22"/>
                <w:lang w:val="sk-SK"/>
              </w:rPr>
              <w:t>ácia</w:t>
            </w:r>
            <w:proofErr w:type="spellEnd"/>
            <w:r w:rsidR="00DB448A" w:rsidRPr="00B50F60">
              <w:rPr>
                <w:rFonts w:ascii="Times New Roman" w:hAnsi="Times New Roman"/>
                <w:szCs w:val="22"/>
                <w:lang w:val="sk-SK"/>
              </w:rPr>
              <w:t xml:space="preserve"> nechtových lôžok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, </w:t>
            </w:r>
            <w:proofErr w:type="spellStart"/>
            <w:r w:rsidR="0055189A" w:rsidRPr="00B50F60">
              <w:rPr>
                <w:rFonts w:ascii="Times New Roman" w:hAnsi="Times New Roman"/>
                <w:szCs w:val="22"/>
                <w:lang w:val="sk-SK"/>
              </w:rPr>
              <w:t>onycholýza</w:t>
            </w:r>
            <w:proofErr w:type="spellEnd"/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, </w:t>
            </w:r>
            <w:r w:rsidR="00406097" w:rsidRPr="00B50F60">
              <w:rPr>
                <w:rFonts w:ascii="Times New Roman" w:hAnsi="Times New Roman"/>
                <w:szCs w:val="22"/>
                <w:lang w:val="sk-SK"/>
              </w:rPr>
              <w:t>kožné riasy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 (</w:t>
            </w:r>
            <w:r w:rsidR="00DB448A" w:rsidRPr="00B50F60">
              <w:rPr>
                <w:rFonts w:ascii="Times New Roman" w:hAnsi="Times New Roman"/>
                <w:szCs w:val="22"/>
                <w:lang w:val="sk-SK"/>
              </w:rPr>
              <w:t>predovšetkým u detí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)</w:t>
            </w:r>
          </w:p>
          <w:p w14:paraId="761FAF92" w14:textId="77777777" w:rsidR="00FC2976" w:rsidRPr="00B50F60" w:rsidRDefault="00FC2976" w:rsidP="00253BFF">
            <w:pPr>
              <w:keepNext/>
              <w:keepLines/>
              <w:widowControl/>
              <w:ind w:left="74" w:firstLine="765"/>
              <w:rPr>
                <w:rFonts w:ascii="Times New Roman" w:hAnsi="Times New Roman"/>
                <w:szCs w:val="22"/>
                <w:lang w:val="sk-SK"/>
              </w:rPr>
            </w:pPr>
          </w:p>
        </w:tc>
      </w:tr>
      <w:tr w:rsidR="009733A0" w:rsidRPr="00ED3A08" w14:paraId="50DF2EBA" w14:textId="77777777" w:rsidTr="00ED7827">
        <w:tc>
          <w:tcPr>
            <w:tcW w:w="2330" w:type="dxa"/>
            <w:vMerge/>
          </w:tcPr>
          <w:p w14:paraId="593DF4A1" w14:textId="77777777" w:rsidR="009733A0" w:rsidRPr="00B50F60" w:rsidRDefault="009733A0" w:rsidP="00DC57E3">
            <w:pPr>
              <w:ind w:left="34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1883" w:type="dxa"/>
            <w:tcBorders>
              <w:top w:val="nil"/>
              <w:right w:val="nil"/>
            </w:tcBorders>
          </w:tcPr>
          <w:p w14:paraId="38DEB196" w14:textId="77777777" w:rsidR="009733A0" w:rsidRPr="00B50F60" w:rsidRDefault="002662F5" w:rsidP="00DC57E3">
            <w:pPr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szCs w:val="22"/>
                <w:lang w:val="sk-SK"/>
              </w:rPr>
              <w:t>Neznáme</w:t>
            </w:r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>:</w:t>
            </w:r>
          </w:p>
        </w:tc>
        <w:tc>
          <w:tcPr>
            <w:tcW w:w="4292" w:type="dxa"/>
            <w:tcBorders>
              <w:top w:val="nil"/>
              <w:left w:val="nil"/>
            </w:tcBorders>
          </w:tcPr>
          <w:p w14:paraId="524F8CF3" w14:textId="170EF77A" w:rsidR="009733A0" w:rsidRPr="00B50F60" w:rsidRDefault="00DB448A" w:rsidP="00AC1069">
            <w:pPr>
              <w:ind w:left="74"/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szCs w:val="22"/>
                <w:lang w:val="sk-SK"/>
              </w:rPr>
              <w:t>Tkanivová</w:t>
            </w:r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  <w:proofErr w:type="spellStart"/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>hypoxia</w:t>
            </w:r>
            <w:proofErr w:type="spellEnd"/>
            <w:r w:rsidR="007B1673" w:rsidRPr="00B50F60">
              <w:rPr>
                <w:rFonts w:ascii="Times New Roman" w:hAnsi="Times New Roman"/>
                <w:szCs w:val="22"/>
                <w:lang w:val="sk-SK"/>
              </w:rPr>
              <w:t xml:space="preserve">, </w:t>
            </w:r>
            <w:r w:rsidR="00442504" w:rsidRPr="00B50F60">
              <w:rPr>
                <w:rFonts w:ascii="Times New Roman" w:hAnsi="Times New Roman"/>
                <w:szCs w:val="22"/>
                <w:lang w:val="sk-SK"/>
              </w:rPr>
              <w:t>syndró</w:t>
            </w:r>
            <w:r w:rsidR="00091A04" w:rsidRPr="00B50F60">
              <w:rPr>
                <w:rFonts w:ascii="Times New Roman" w:hAnsi="Times New Roman"/>
                <w:szCs w:val="22"/>
                <w:lang w:val="sk-SK"/>
              </w:rPr>
              <w:t xml:space="preserve">m </w:t>
            </w:r>
            <w:proofErr w:type="spellStart"/>
            <w:r w:rsidR="00CF6E84" w:rsidRPr="00B50F60">
              <w:rPr>
                <w:rFonts w:ascii="Times New Roman" w:hAnsi="Times New Roman"/>
                <w:szCs w:val="22"/>
                <w:lang w:val="sk-SK"/>
              </w:rPr>
              <w:t>palmo</w:t>
            </w:r>
            <w:r w:rsidR="00AC1069" w:rsidRPr="00B50F60">
              <w:rPr>
                <w:rFonts w:ascii="Times New Roman" w:hAnsi="Times New Roman"/>
                <w:szCs w:val="22"/>
                <w:lang w:val="sk-SK"/>
              </w:rPr>
              <w:t>plantá</w:t>
            </w:r>
            <w:r w:rsidR="0055647F" w:rsidRPr="00B50F60">
              <w:rPr>
                <w:rFonts w:ascii="Times New Roman" w:hAnsi="Times New Roman"/>
                <w:szCs w:val="22"/>
                <w:lang w:val="sk-SK"/>
              </w:rPr>
              <w:t>r</w:t>
            </w:r>
            <w:r w:rsidR="00AC1069" w:rsidRPr="00B50F60">
              <w:rPr>
                <w:rFonts w:ascii="Times New Roman" w:hAnsi="Times New Roman"/>
                <w:szCs w:val="22"/>
                <w:lang w:val="sk-SK"/>
              </w:rPr>
              <w:t>n</w:t>
            </w:r>
            <w:r w:rsidR="00091A04" w:rsidRPr="00B50F60">
              <w:rPr>
                <w:rFonts w:ascii="Times New Roman" w:hAnsi="Times New Roman"/>
                <w:szCs w:val="22"/>
                <w:lang w:val="sk-SK"/>
              </w:rPr>
              <w:t>ej</w:t>
            </w:r>
            <w:proofErr w:type="spellEnd"/>
            <w:r w:rsidR="00AC1069" w:rsidRPr="00B50F60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  <w:proofErr w:type="spellStart"/>
            <w:r w:rsidR="00AC1069" w:rsidRPr="00B50F60">
              <w:rPr>
                <w:rFonts w:ascii="Times New Roman" w:hAnsi="Times New Roman"/>
                <w:szCs w:val="22"/>
                <w:lang w:val="sk-SK"/>
              </w:rPr>
              <w:t>erytrodysestézi</w:t>
            </w:r>
            <w:r w:rsidR="00091A04" w:rsidRPr="00B50F60">
              <w:rPr>
                <w:rFonts w:ascii="Times New Roman" w:hAnsi="Times New Roman"/>
                <w:szCs w:val="22"/>
                <w:lang w:val="sk-SK"/>
              </w:rPr>
              <w:t>e</w:t>
            </w:r>
            <w:proofErr w:type="spellEnd"/>
            <w:r w:rsidR="00FD7117" w:rsidRPr="00B50F60">
              <w:rPr>
                <w:rFonts w:ascii="Times New Roman" w:hAnsi="Times New Roman"/>
                <w:szCs w:val="22"/>
                <w:lang w:val="sk-SK"/>
              </w:rPr>
              <w:t>, citlivosť na svetlo, svrbenie</w:t>
            </w:r>
          </w:p>
        </w:tc>
      </w:tr>
      <w:tr w:rsidR="009733A0" w:rsidRPr="00ED3A08" w14:paraId="2FCBAF89" w14:textId="77777777" w:rsidTr="00ED7827">
        <w:tc>
          <w:tcPr>
            <w:tcW w:w="2330" w:type="dxa"/>
            <w:vMerge w:val="restart"/>
          </w:tcPr>
          <w:p w14:paraId="1D10775B" w14:textId="77777777" w:rsidR="009733A0" w:rsidRPr="00B50F60" w:rsidRDefault="002662F5" w:rsidP="00DC57E3">
            <w:pPr>
              <w:ind w:left="34"/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iCs/>
                <w:szCs w:val="22"/>
                <w:lang w:val="sk-SK"/>
              </w:rPr>
              <w:t>Poruchy obličiek a močových ciest</w:t>
            </w:r>
          </w:p>
        </w:tc>
        <w:tc>
          <w:tcPr>
            <w:tcW w:w="1883" w:type="dxa"/>
            <w:tcBorders>
              <w:bottom w:val="nil"/>
              <w:right w:val="nil"/>
            </w:tcBorders>
          </w:tcPr>
          <w:p w14:paraId="1BBF931C" w14:textId="77777777" w:rsidR="009733A0" w:rsidRPr="00B50F60" w:rsidRDefault="002662F5" w:rsidP="00DC57E3">
            <w:pPr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iCs/>
                <w:szCs w:val="22"/>
                <w:lang w:val="sk-SK"/>
              </w:rPr>
              <w:t>Časté</w:t>
            </w:r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>: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1F7B63BA" w14:textId="29A0996B" w:rsidR="009733A0" w:rsidRPr="00B50F60" w:rsidRDefault="009733A0" w:rsidP="00DC57E3">
            <w:pPr>
              <w:ind w:left="74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B50F60">
              <w:rPr>
                <w:rFonts w:ascii="Times New Roman" w:hAnsi="Times New Roman"/>
                <w:szCs w:val="22"/>
                <w:lang w:val="sk-SK"/>
              </w:rPr>
              <w:t>H</w:t>
            </w:r>
            <w:r w:rsidR="00DB448A" w:rsidRPr="00B50F60">
              <w:rPr>
                <w:rFonts w:ascii="Times New Roman" w:hAnsi="Times New Roman"/>
                <w:szCs w:val="22"/>
                <w:lang w:val="sk-SK"/>
              </w:rPr>
              <w:t>e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moragic</w:t>
            </w:r>
            <w:r w:rsidR="00DB448A" w:rsidRPr="00B50F60">
              <w:rPr>
                <w:rFonts w:ascii="Times New Roman" w:hAnsi="Times New Roman"/>
                <w:szCs w:val="22"/>
                <w:lang w:val="sk-SK"/>
              </w:rPr>
              <w:t>ká</w:t>
            </w:r>
            <w:proofErr w:type="spellEnd"/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  <w:proofErr w:type="spellStart"/>
            <w:r w:rsidRPr="00B50F60">
              <w:rPr>
                <w:rFonts w:ascii="Times New Roman" w:hAnsi="Times New Roman"/>
                <w:szCs w:val="22"/>
                <w:lang w:val="sk-SK"/>
              </w:rPr>
              <w:t>cystit</w:t>
            </w:r>
            <w:r w:rsidR="00DB448A" w:rsidRPr="00B50F60">
              <w:rPr>
                <w:rFonts w:ascii="Times New Roman" w:hAnsi="Times New Roman"/>
                <w:szCs w:val="22"/>
                <w:lang w:val="sk-SK"/>
              </w:rPr>
              <w:t>ída</w:t>
            </w:r>
            <w:proofErr w:type="spellEnd"/>
            <w:r w:rsidRPr="00B50F60">
              <w:rPr>
                <w:rFonts w:ascii="Times New Roman" w:hAnsi="Times New Roman"/>
                <w:szCs w:val="22"/>
                <w:lang w:val="sk-SK"/>
              </w:rPr>
              <w:t>; Lo</w:t>
            </w:r>
            <w:r w:rsidR="00DB448A" w:rsidRPr="00B50F60">
              <w:rPr>
                <w:rFonts w:ascii="Times New Roman" w:hAnsi="Times New Roman"/>
                <w:szCs w:val="22"/>
                <w:lang w:val="sk-SK"/>
              </w:rPr>
              <w:t>kálne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 rea</w:t>
            </w:r>
            <w:r w:rsidR="00DB448A" w:rsidRPr="00B50F60">
              <w:rPr>
                <w:rFonts w:ascii="Times New Roman" w:hAnsi="Times New Roman"/>
                <w:szCs w:val="22"/>
                <w:lang w:val="sk-SK"/>
              </w:rPr>
              <w:t>k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c</w:t>
            </w:r>
            <w:r w:rsidR="00DB448A" w:rsidRPr="00B50F60">
              <w:rPr>
                <w:rFonts w:ascii="Times New Roman" w:hAnsi="Times New Roman"/>
                <w:szCs w:val="22"/>
                <w:lang w:val="sk-SK"/>
              </w:rPr>
              <w:t>ie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 (chemic</w:t>
            </w:r>
            <w:r w:rsidR="00DB448A" w:rsidRPr="00B50F60">
              <w:rPr>
                <w:rFonts w:ascii="Times New Roman" w:hAnsi="Times New Roman"/>
                <w:szCs w:val="22"/>
                <w:lang w:val="sk-SK"/>
              </w:rPr>
              <w:t>ká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  <w:proofErr w:type="spellStart"/>
            <w:r w:rsidRPr="00B50F60">
              <w:rPr>
                <w:rFonts w:ascii="Times New Roman" w:hAnsi="Times New Roman"/>
                <w:szCs w:val="22"/>
                <w:lang w:val="sk-SK"/>
              </w:rPr>
              <w:t>cystit</w:t>
            </w:r>
            <w:r w:rsidR="00DB448A" w:rsidRPr="00B50F60">
              <w:rPr>
                <w:rFonts w:ascii="Times New Roman" w:hAnsi="Times New Roman"/>
                <w:szCs w:val="22"/>
                <w:lang w:val="sk-SK"/>
              </w:rPr>
              <w:t>ída</w:t>
            </w:r>
            <w:proofErr w:type="spellEnd"/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) </w:t>
            </w:r>
            <w:r w:rsidR="00DB448A" w:rsidRPr="00B50F60">
              <w:rPr>
                <w:rFonts w:ascii="Times New Roman" w:hAnsi="Times New Roman"/>
                <w:szCs w:val="22"/>
                <w:lang w:val="sk-SK"/>
              </w:rPr>
              <w:t xml:space="preserve">sa môžu objaviť pri </w:t>
            </w:r>
            <w:proofErr w:type="spellStart"/>
            <w:r w:rsidR="00DB448A" w:rsidRPr="00B50F60">
              <w:rPr>
                <w:rFonts w:ascii="Times New Roman" w:hAnsi="Times New Roman"/>
                <w:szCs w:val="22"/>
                <w:lang w:val="sk-SK"/>
              </w:rPr>
              <w:t>intravezikálnej</w:t>
            </w:r>
            <w:proofErr w:type="spellEnd"/>
            <w:r w:rsidR="00DB448A" w:rsidRPr="00B50F60">
              <w:rPr>
                <w:rFonts w:ascii="Times New Roman" w:hAnsi="Times New Roman"/>
                <w:szCs w:val="22"/>
                <w:lang w:val="sk-SK"/>
              </w:rPr>
              <w:t xml:space="preserve"> liečbe 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(</w:t>
            </w:r>
            <w:r w:rsidR="00DB448A" w:rsidRPr="00B50F60">
              <w:rPr>
                <w:rFonts w:ascii="Times New Roman" w:hAnsi="Times New Roman"/>
                <w:szCs w:val="22"/>
                <w:lang w:val="sk-SK"/>
              </w:rPr>
              <w:t>t.</w:t>
            </w:r>
            <w:r w:rsidR="00206E09">
              <w:rPr>
                <w:rFonts w:ascii="Times New Roman" w:hAnsi="Times New Roman"/>
                <w:szCs w:val="22"/>
                <w:lang w:val="sk-SK"/>
              </w:rPr>
              <w:t> </w:t>
            </w:r>
            <w:r w:rsidR="00DB448A" w:rsidRPr="00B50F60">
              <w:rPr>
                <w:rFonts w:ascii="Times New Roman" w:hAnsi="Times New Roman"/>
                <w:szCs w:val="22"/>
                <w:lang w:val="sk-SK"/>
              </w:rPr>
              <w:t>j.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  <w:proofErr w:type="spellStart"/>
            <w:r w:rsidRPr="00B50F60">
              <w:rPr>
                <w:rFonts w:ascii="Times New Roman" w:hAnsi="Times New Roman"/>
                <w:szCs w:val="22"/>
                <w:lang w:val="sk-SK"/>
              </w:rPr>
              <w:t>dy</w:t>
            </w:r>
            <w:r w:rsidR="00DB448A" w:rsidRPr="00B50F60">
              <w:rPr>
                <w:rFonts w:ascii="Times New Roman" w:hAnsi="Times New Roman"/>
                <w:szCs w:val="22"/>
                <w:lang w:val="sk-SK"/>
              </w:rPr>
              <w:t>zú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ria</w:t>
            </w:r>
            <w:proofErr w:type="spellEnd"/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, </w:t>
            </w:r>
            <w:r w:rsidR="00DB448A" w:rsidRPr="00B50F60">
              <w:rPr>
                <w:rFonts w:ascii="Times New Roman" w:hAnsi="Times New Roman"/>
                <w:szCs w:val="22"/>
                <w:lang w:val="sk-SK"/>
              </w:rPr>
              <w:t>časté močenie,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  <w:proofErr w:type="spellStart"/>
            <w:r w:rsidRPr="00B50F60">
              <w:rPr>
                <w:rFonts w:ascii="Times New Roman" w:hAnsi="Times New Roman"/>
                <w:szCs w:val="22"/>
                <w:lang w:val="sk-SK"/>
              </w:rPr>
              <w:t>no</w:t>
            </w:r>
            <w:r w:rsidR="00DB448A" w:rsidRPr="00B50F60">
              <w:rPr>
                <w:rFonts w:ascii="Times New Roman" w:hAnsi="Times New Roman"/>
                <w:szCs w:val="22"/>
                <w:lang w:val="sk-SK"/>
              </w:rPr>
              <w:t>ktú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ria</w:t>
            </w:r>
            <w:proofErr w:type="spellEnd"/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, </w:t>
            </w:r>
            <w:proofErr w:type="spellStart"/>
            <w:r w:rsidRPr="00B50F60">
              <w:rPr>
                <w:rFonts w:ascii="Times New Roman" w:hAnsi="Times New Roman"/>
                <w:szCs w:val="22"/>
                <w:lang w:val="sk-SK"/>
              </w:rPr>
              <w:t>strang</w:t>
            </w:r>
            <w:r w:rsidR="00DB448A" w:rsidRPr="00B50F60">
              <w:rPr>
                <w:rFonts w:ascii="Times New Roman" w:hAnsi="Times New Roman"/>
                <w:szCs w:val="22"/>
                <w:lang w:val="sk-SK"/>
              </w:rPr>
              <w:t>ú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ria</w:t>
            </w:r>
            <w:proofErr w:type="spellEnd"/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, </w:t>
            </w:r>
            <w:proofErr w:type="spellStart"/>
            <w:r w:rsidRPr="00B50F60">
              <w:rPr>
                <w:rFonts w:ascii="Times New Roman" w:hAnsi="Times New Roman"/>
                <w:szCs w:val="22"/>
                <w:lang w:val="sk-SK"/>
              </w:rPr>
              <w:t>hemat</w:t>
            </w:r>
            <w:r w:rsidR="00DB448A" w:rsidRPr="00B50F60">
              <w:rPr>
                <w:rFonts w:ascii="Times New Roman" w:hAnsi="Times New Roman"/>
                <w:szCs w:val="22"/>
                <w:lang w:val="sk-SK"/>
              </w:rPr>
              <w:t>ú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ria</w:t>
            </w:r>
            <w:proofErr w:type="spellEnd"/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, </w:t>
            </w:r>
            <w:proofErr w:type="spellStart"/>
            <w:r w:rsidRPr="00B50F60">
              <w:rPr>
                <w:rFonts w:ascii="Times New Roman" w:hAnsi="Times New Roman"/>
                <w:szCs w:val="22"/>
                <w:lang w:val="sk-SK"/>
              </w:rPr>
              <w:t>ne</w:t>
            </w:r>
            <w:r w:rsidR="00DB448A" w:rsidRPr="00B50F60">
              <w:rPr>
                <w:rFonts w:ascii="Times New Roman" w:hAnsi="Times New Roman"/>
                <w:szCs w:val="22"/>
                <w:lang w:val="sk-SK"/>
              </w:rPr>
              <w:t>k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r</w:t>
            </w:r>
            <w:r w:rsidR="00DB448A" w:rsidRPr="00B50F60">
              <w:rPr>
                <w:rFonts w:ascii="Times New Roman" w:hAnsi="Times New Roman"/>
                <w:szCs w:val="22"/>
                <w:lang w:val="sk-SK"/>
              </w:rPr>
              <w:t>óza</w:t>
            </w:r>
            <w:proofErr w:type="spellEnd"/>
            <w:r w:rsidR="00DB448A" w:rsidRPr="00B50F60">
              <w:rPr>
                <w:rFonts w:ascii="Times New Roman" w:hAnsi="Times New Roman"/>
                <w:szCs w:val="22"/>
                <w:lang w:val="sk-SK"/>
              </w:rPr>
              <w:t xml:space="preserve"> steny močového mechúra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)</w:t>
            </w:r>
          </w:p>
          <w:p w14:paraId="5BADA625" w14:textId="77777777" w:rsidR="009733A0" w:rsidRPr="00B50F60" w:rsidRDefault="009733A0" w:rsidP="00DC57E3">
            <w:pPr>
              <w:ind w:left="74"/>
              <w:rPr>
                <w:rFonts w:ascii="Times New Roman" w:hAnsi="Times New Roman"/>
                <w:szCs w:val="22"/>
                <w:lang w:val="sk-SK"/>
              </w:rPr>
            </w:pPr>
          </w:p>
        </w:tc>
      </w:tr>
      <w:tr w:rsidR="009733A0" w:rsidRPr="00ED3A08" w14:paraId="1C599408" w14:textId="77777777" w:rsidTr="00ED7827">
        <w:tc>
          <w:tcPr>
            <w:tcW w:w="2330" w:type="dxa"/>
            <w:vMerge/>
          </w:tcPr>
          <w:p w14:paraId="3419E94C" w14:textId="77777777" w:rsidR="009733A0" w:rsidRPr="00B50F60" w:rsidRDefault="009733A0" w:rsidP="00DC57E3">
            <w:pPr>
              <w:ind w:left="34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1883" w:type="dxa"/>
            <w:tcBorders>
              <w:top w:val="nil"/>
              <w:right w:val="nil"/>
            </w:tcBorders>
          </w:tcPr>
          <w:p w14:paraId="6117C9DF" w14:textId="77777777" w:rsidR="009733A0" w:rsidRPr="00B50F60" w:rsidRDefault="002662F5" w:rsidP="00DC57E3">
            <w:pPr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szCs w:val="22"/>
                <w:lang w:val="sk-SK"/>
              </w:rPr>
              <w:t>Neznáme</w:t>
            </w:r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>:</w:t>
            </w:r>
          </w:p>
        </w:tc>
        <w:tc>
          <w:tcPr>
            <w:tcW w:w="4292" w:type="dxa"/>
            <w:tcBorders>
              <w:top w:val="nil"/>
              <w:left w:val="nil"/>
            </w:tcBorders>
          </w:tcPr>
          <w:p w14:paraId="68A851DE" w14:textId="77777777" w:rsidR="009733A0" w:rsidRPr="00B50F60" w:rsidRDefault="009733A0" w:rsidP="00DC57E3">
            <w:pPr>
              <w:ind w:left="74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B50F60">
              <w:rPr>
                <w:rFonts w:ascii="Times New Roman" w:hAnsi="Times New Roman"/>
                <w:szCs w:val="22"/>
                <w:lang w:val="sk-SK"/>
              </w:rPr>
              <w:t>R</w:t>
            </w:r>
            <w:r w:rsidR="00DB448A" w:rsidRPr="00B50F60">
              <w:rPr>
                <w:rFonts w:ascii="Times New Roman" w:hAnsi="Times New Roman"/>
                <w:szCs w:val="22"/>
                <w:lang w:val="sk-SK"/>
              </w:rPr>
              <w:t>enálne</w:t>
            </w:r>
            <w:proofErr w:type="spellEnd"/>
            <w:r w:rsidR="00DB448A" w:rsidRPr="00B50F60">
              <w:rPr>
                <w:rFonts w:ascii="Times New Roman" w:hAnsi="Times New Roman"/>
                <w:szCs w:val="22"/>
                <w:lang w:val="sk-SK"/>
              </w:rPr>
              <w:t xml:space="preserve"> poškodenie, akútne </w:t>
            </w:r>
            <w:proofErr w:type="spellStart"/>
            <w:r w:rsidR="00DB448A" w:rsidRPr="00B50F60">
              <w:rPr>
                <w:rFonts w:ascii="Times New Roman" w:hAnsi="Times New Roman"/>
                <w:szCs w:val="22"/>
                <w:lang w:val="sk-SK"/>
              </w:rPr>
              <w:t>renálne</w:t>
            </w:r>
            <w:proofErr w:type="spellEnd"/>
            <w:r w:rsidR="00DB448A" w:rsidRPr="00B50F60">
              <w:rPr>
                <w:rFonts w:ascii="Times New Roman" w:hAnsi="Times New Roman"/>
                <w:szCs w:val="22"/>
                <w:lang w:val="sk-SK"/>
              </w:rPr>
              <w:t xml:space="preserve"> zlyhanie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; </w:t>
            </w:r>
            <w:proofErr w:type="spellStart"/>
            <w:r w:rsidRPr="00B50F60">
              <w:rPr>
                <w:rFonts w:ascii="Times New Roman" w:hAnsi="Times New Roman"/>
                <w:szCs w:val="22"/>
                <w:lang w:val="sk-SK"/>
              </w:rPr>
              <w:t>hyperuri</w:t>
            </w:r>
            <w:r w:rsidR="00DB448A" w:rsidRPr="00B50F60">
              <w:rPr>
                <w:rFonts w:ascii="Times New Roman" w:hAnsi="Times New Roman"/>
                <w:szCs w:val="22"/>
                <w:lang w:val="sk-SK"/>
              </w:rPr>
              <w:t>ké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mia</w:t>
            </w:r>
            <w:proofErr w:type="spellEnd"/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 (</w:t>
            </w:r>
            <w:r w:rsidR="00DB448A" w:rsidRPr="00B50F60">
              <w:rPr>
                <w:rFonts w:ascii="Times New Roman" w:hAnsi="Times New Roman"/>
                <w:szCs w:val="22"/>
                <w:lang w:val="sk-SK"/>
              </w:rPr>
              <w:t>pozri časť</w:t>
            </w:r>
            <w:r w:rsidR="00FC2976" w:rsidRPr="00B50F60">
              <w:rPr>
                <w:rFonts w:ascii="Times New Roman" w:hAnsi="Times New Roman"/>
                <w:szCs w:val="22"/>
                <w:lang w:val="sk-SK"/>
              </w:rPr>
              <w:t> 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4.4)</w:t>
            </w:r>
          </w:p>
        </w:tc>
      </w:tr>
      <w:tr w:rsidR="009733A0" w:rsidRPr="00B50F60" w14:paraId="2831AF10" w14:textId="77777777" w:rsidTr="00ED7827">
        <w:tc>
          <w:tcPr>
            <w:tcW w:w="2330" w:type="dxa"/>
          </w:tcPr>
          <w:p w14:paraId="3390BD57" w14:textId="77777777" w:rsidR="009733A0" w:rsidRPr="00B50F60" w:rsidRDefault="002662F5" w:rsidP="00DC57E3">
            <w:pPr>
              <w:ind w:left="34"/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iCs/>
                <w:szCs w:val="22"/>
                <w:lang w:val="sk-SK"/>
              </w:rPr>
              <w:t xml:space="preserve">Poruchy </w:t>
            </w:r>
            <w:r w:rsidRPr="00B50F60">
              <w:rPr>
                <w:rFonts w:ascii="Times New Roman" w:hAnsi="Times New Roman"/>
                <w:iCs/>
                <w:szCs w:val="22"/>
                <w:lang w:val="sk-SK"/>
              </w:rPr>
              <w:lastRenderedPageBreak/>
              <w:t>reprodukčného systému a prsníkov</w:t>
            </w:r>
          </w:p>
        </w:tc>
        <w:tc>
          <w:tcPr>
            <w:tcW w:w="1883" w:type="dxa"/>
            <w:tcBorders>
              <w:bottom w:val="single" w:sz="4" w:space="0" w:color="auto"/>
              <w:right w:val="nil"/>
            </w:tcBorders>
          </w:tcPr>
          <w:p w14:paraId="52BC828E" w14:textId="77777777" w:rsidR="009733A0" w:rsidRPr="00B50F60" w:rsidRDefault="002662F5" w:rsidP="00DC57E3">
            <w:pPr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szCs w:val="22"/>
                <w:lang w:val="sk-SK"/>
              </w:rPr>
              <w:lastRenderedPageBreak/>
              <w:t>Neznáme</w:t>
            </w:r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>:</w:t>
            </w:r>
          </w:p>
        </w:tc>
        <w:tc>
          <w:tcPr>
            <w:tcW w:w="4292" w:type="dxa"/>
            <w:tcBorders>
              <w:left w:val="nil"/>
              <w:bottom w:val="single" w:sz="4" w:space="0" w:color="auto"/>
            </w:tcBorders>
          </w:tcPr>
          <w:p w14:paraId="24E95429" w14:textId="77777777" w:rsidR="009733A0" w:rsidRPr="00B50F60" w:rsidRDefault="009733A0" w:rsidP="00DC57E3">
            <w:pPr>
              <w:ind w:left="74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B50F60">
              <w:rPr>
                <w:rFonts w:ascii="Times New Roman" w:hAnsi="Times New Roman"/>
                <w:szCs w:val="22"/>
                <w:lang w:val="sk-SK"/>
              </w:rPr>
              <w:t>Doxorubic</w:t>
            </w:r>
            <w:r w:rsidR="00DB448A" w:rsidRPr="00B50F60">
              <w:rPr>
                <w:rFonts w:ascii="Times New Roman" w:hAnsi="Times New Roman"/>
                <w:szCs w:val="22"/>
                <w:lang w:val="sk-SK"/>
              </w:rPr>
              <w:t>í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n</w:t>
            </w:r>
            <w:proofErr w:type="spellEnd"/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  <w:r w:rsidR="00DB448A" w:rsidRPr="00B50F60">
              <w:rPr>
                <w:rFonts w:ascii="Times New Roman" w:hAnsi="Times New Roman"/>
                <w:szCs w:val="22"/>
                <w:lang w:val="sk-SK"/>
              </w:rPr>
              <w:t xml:space="preserve">môže spôsobiť neplodnosť </w:t>
            </w:r>
            <w:r w:rsidR="00DB448A" w:rsidRPr="00B50F60">
              <w:rPr>
                <w:rFonts w:ascii="Times New Roman" w:hAnsi="Times New Roman"/>
                <w:szCs w:val="22"/>
                <w:lang w:val="sk-SK"/>
              </w:rPr>
              <w:lastRenderedPageBreak/>
              <w:t>počas obdobia podávania lie</w:t>
            </w:r>
            <w:r w:rsidR="00903A52" w:rsidRPr="00B50F60">
              <w:rPr>
                <w:rFonts w:ascii="Times New Roman" w:hAnsi="Times New Roman"/>
                <w:szCs w:val="22"/>
                <w:lang w:val="sk-SK"/>
              </w:rPr>
              <w:t>ku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. </w:t>
            </w:r>
            <w:r w:rsidR="00DB448A" w:rsidRPr="00B50F60">
              <w:rPr>
                <w:rFonts w:ascii="Times New Roman" w:hAnsi="Times New Roman"/>
                <w:szCs w:val="22"/>
                <w:lang w:val="sk-SK"/>
              </w:rPr>
              <w:t xml:space="preserve">Aj keď sa zdá, že ovulácia a menštruácia sa </w:t>
            </w:r>
            <w:r w:rsidR="00106C75" w:rsidRPr="00B50F60">
              <w:rPr>
                <w:rFonts w:ascii="Times New Roman" w:hAnsi="Times New Roman"/>
                <w:szCs w:val="22"/>
                <w:lang w:val="sk-SK"/>
              </w:rPr>
              <w:t>obnoví</w:t>
            </w:r>
            <w:r w:rsidR="00DB448A" w:rsidRPr="00B50F60">
              <w:rPr>
                <w:rFonts w:ascii="Times New Roman" w:hAnsi="Times New Roman"/>
                <w:szCs w:val="22"/>
                <w:lang w:val="sk-SK"/>
              </w:rPr>
              <w:t xml:space="preserve"> po ukončení liečby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, </w:t>
            </w:r>
            <w:r w:rsidR="00C10C92" w:rsidRPr="00B50F60">
              <w:rPr>
                <w:rFonts w:ascii="Times New Roman" w:hAnsi="Times New Roman"/>
                <w:szCs w:val="22"/>
                <w:lang w:val="sk-SK"/>
              </w:rPr>
              <w:t xml:space="preserve">existujú len nedostatočné informácie o obnove mužskej </w:t>
            </w:r>
            <w:proofErr w:type="spellStart"/>
            <w:r w:rsidRPr="00B50F60">
              <w:rPr>
                <w:rFonts w:ascii="Times New Roman" w:hAnsi="Times New Roman"/>
                <w:szCs w:val="22"/>
                <w:lang w:val="sk-SK"/>
              </w:rPr>
              <w:t>fertility</w:t>
            </w:r>
            <w:proofErr w:type="spellEnd"/>
            <w:r w:rsidRPr="00B50F60">
              <w:rPr>
                <w:rFonts w:ascii="Times New Roman" w:hAnsi="Times New Roman"/>
                <w:szCs w:val="22"/>
                <w:lang w:val="sk-SK"/>
              </w:rPr>
              <w:t>.</w:t>
            </w:r>
          </w:p>
          <w:p w14:paraId="264E62D1" w14:textId="77777777" w:rsidR="009733A0" w:rsidRPr="00B50F60" w:rsidRDefault="009733A0" w:rsidP="00DC57E3">
            <w:pPr>
              <w:ind w:left="74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B50F60">
              <w:rPr>
                <w:rFonts w:ascii="Times New Roman" w:hAnsi="Times New Roman"/>
                <w:szCs w:val="22"/>
                <w:lang w:val="sk-SK"/>
              </w:rPr>
              <w:t>Amenorea</w:t>
            </w:r>
            <w:proofErr w:type="spellEnd"/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, </w:t>
            </w:r>
            <w:proofErr w:type="spellStart"/>
            <w:r w:rsidRPr="00B50F60">
              <w:rPr>
                <w:rFonts w:ascii="Times New Roman" w:hAnsi="Times New Roman"/>
                <w:szCs w:val="22"/>
                <w:lang w:val="sk-SK"/>
              </w:rPr>
              <w:t>oligospermia</w:t>
            </w:r>
            <w:proofErr w:type="spellEnd"/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, </w:t>
            </w:r>
            <w:proofErr w:type="spellStart"/>
            <w:r w:rsidRPr="00B50F60">
              <w:rPr>
                <w:rFonts w:ascii="Times New Roman" w:hAnsi="Times New Roman"/>
                <w:szCs w:val="22"/>
                <w:lang w:val="sk-SK"/>
              </w:rPr>
              <w:t>azoospermia</w:t>
            </w:r>
            <w:proofErr w:type="spellEnd"/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 (</w:t>
            </w:r>
            <w:r w:rsidR="00C10C92" w:rsidRPr="00B50F60">
              <w:rPr>
                <w:rFonts w:ascii="Times New Roman" w:hAnsi="Times New Roman"/>
                <w:szCs w:val="22"/>
                <w:lang w:val="sk-SK"/>
              </w:rPr>
              <w:t>pozri časť</w:t>
            </w:r>
            <w:r w:rsidR="00FC2976" w:rsidRPr="00B50F60">
              <w:rPr>
                <w:rFonts w:ascii="Times New Roman" w:hAnsi="Times New Roman"/>
                <w:szCs w:val="22"/>
                <w:lang w:val="sk-SK"/>
              </w:rPr>
              <w:t> 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4.4)</w:t>
            </w:r>
          </w:p>
        </w:tc>
      </w:tr>
      <w:tr w:rsidR="009733A0" w:rsidRPr="00B50F60" w14:paraId="1EDDAAAE" w14:textId="77777777" w:rsidTr="00ED7827">
        <w:tc>
          <w:tcPr>
            <w:tcW w:w="2330" w:type="dxa"/>
            <w:vMerge w:val="restart"/>
          </w:tcPr>
          <w:p w14:paraId="1515C910" w14:textId="77777777" w:rsidR="009733A0" w:rsidRPr="00B50F60" w:rsidRDefault="002662F5" w:rsidP="00162654">
            <w:pPr>
              <w:widowControl/>
              <w:ind w:left="34"/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iCs/>
                <w:szCs w:val="22"/>
                <w:lang w:val="sk-SK"/>
              </w:rPr>
              <w:lastRenderedPageBreak/>
              <w:t>Celkové poruchy a reakcie v mieste podania</w:t>
            </w:r>
          </w:p>
        </w:tc>
        <w:tc>
          <w:tcPr>
            <w:tcW w:w="1883" w:type="dxa"/>
            <w:tcBorders>
              <w:bottom w:val="nil"/>
              <w:right w:val="nil"/>
            </w:tcBorders>
          </w:tcPr>
          <w:p w14:paraId="7FCF32E4" w14:textId="77777777" w:rsidR="009733A0" w:rsidRPr="00B50F60" w:rsidRDefault="002662F5" w:rsidP="00162654">
            <w:pPr>
              <w:widowControl/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bCs/>
                <w:iCs/>
                <w:szCs w:val="22"/>
                <w:lang w:val="sk-SK"/>
              </w:rPr>
              <w:t>Menej časté</w:t>
            </w:r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>: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4AE04AFD" w14:textId="77777777" w:rsidR="009733A0" w:rsidRPr="00B50F60" w:rsidRDefault="009733A0" w:rsidP="00162654">
            <w:pPr>
              <w:widowControl/>
              <w:ind w:left="74"/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szCs w:val="22"/>
                <w:lang w:val="sk-SK"/>
              </w:rPr>
              <w:t>Dehydrat</w:t>
            </w:r>
            <w:r w:rsidR="00C10C92" w:rsidRPr="00B50F60">
              <w:rPr>
                <w:rFonts w:ascii="Times New Roman" w:hAnsi="Times New Roman"/>
                <w:szCs w:val="22"/>
                <w:lang w:val="sk-SK"/>
              </w:rPr>
              <w:t>ácia</w:t>
            </w:r>
          </w:p>
          <w:p w14:paraId="19A9B6FC" w14:textId="77777777" w:rsidR="009733A0" w:rsidRPr="00B50F60" w:rsidRDefault="009733A0" w:rsidP="00162654">
            <w:pPr>
              <w:widowControl/>
              <w:ind w:left="74"/>
              <w:rPr>
                <w:rFonts w:ascii="Times New Roman" w:hAnsi="Times New Roman"/>
                <w:szCs w:val="22"/>
                <w:lang w:val="sk-SK"/>
              </w:rPr>
            </w:pPr>
          </w:p>
        </w:tc>
      </w:tr>
      <w:tr w:rsidR="009733A0" w:rsidRPr="00B50F60" w14:paraId="3577BB64" w14:textId="77777777" w:rsidTr="00ED7827">
        <w:tc>
          <w:tcPr>
            <w:tcW w:w="2330" w:type="dxa"/>
            <w:vMerge/>
          </w:tcPr>
          <w:p w14:paraId="38E9937A" w14:textId="77777777" w:rsidR="009733A0" w:rsidRPr="00B50F60" w:rsidRDefault="009733A0" w:rsidP="00162654">
            <w:pPr>
              <w:widowControl/>
              <w:ind w:left="34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1883" w:type="dxa"/>
            <w:tcBorders>
              <w:top w:val="nil"/>
              <w:bottom w:val="nil"/>
              <w:right w:val="nil"/>
            </w:tcBorders>
          </w:tcPr>
          <w:p w14:paraId="73CB86FC" w14:textId="77777777" w:rsidR="009733A0" w:rsidRPr="00B50F60" w:rsidRDefault="002662F5" w:rsidP="00162654">
            <w:pPr>
              <w:widowControl/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iCs/>
                <w:szCs w:val="22"/>
                <w:lang w:val="sk-SK"/>
              </w:rPr>
              <w:t>Zriedkavé</w:t>
            </w:r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>: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62065F51" w14:textId="77777777" w:rsidR="009733A0" w:rsidRPr="00B50F60" w:rsidRDefault="009733A0" w:rsidP="00162654">
            <w:pPr>
              <w:widowControl/>
              <w:ind w:left="74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B50F60">
              <w:rPr>
                <w:rFonts w:ascii="Times New Roman" w:hAnsi="Times New Roman"/>
                <w:szCs w:val="22"/>
                <w:lang w:val="sk-SK"/>
              </w:rPr>
              <w:t>Ana</w:t>
            </w:r>
            <w:r w:rsidR="00C10C92" w:rsidRPr="00B50F60">
              <w:rPr>
                <w:rFonts w:ascii="Times New Roman" w:hAnsi="Times New Roman"/>
                <w:szCs w:val="22"/>
                <w:lang w:val="sk-SK"/>
              </w:rPr>
              <w:t>f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yla</w:t>
            </w:r>
            <w:r w:rsidR="00C10C92" w:rsidRPr="00B50F60">
              <w:rPr>
                <w:rFonts w:ascii="Times New Roman" w:hAnsi="Times New Roman"/>
                <w:szCs w:val="22"/>
                <w:lang w:val="sk-SK"/>
              </w:rPr>
              <w:t>ktické</w:t>
            </w:r>
            <w:proofErr w:type="spellEnd"/>
            <w:r w:rsidR="00C10C92" w:rsidRPr="00B50F60">
              <w:rPr>
                <w:rFonts w:ascii="Times New Roman" w:hAnsi="Times New Roman"/>
                <w:szCs w:val="22"/>
                <w:lang w:val="sk-SK"/>
              </w:rPr>
              <w:t xml:space="preserve"> reakcie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, </w:t>
            </w:r>
            <w:r w:rsidR="00C10C92" w:rsidRPr="00B50F60">
              <w:rPr>
                <w:rFonts w:ascii="Times New Roman" w:hAnsi="Times New Roman"/>
                <w:szCs w:val="22"/>
                <w:lang w:val="sk-SK"/>
              </w:rPr>
              <w:t>zimnica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, </w:t>
            </w:r>
            <w:r w:rsidR="00C10C92" w:rsidRPr="00B50F60">
              <w:rPr>
                <w:rFonts w:ascii="Times New Roman" w:hAnsi="Times New Roman"/>
                <w:szCs w:val="22"/>
                <w:lang w:val="sk-SK"/>
              </w:rPr>
              <w:t>horúčka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, </w:t>
            </w:r>
            <w:r w:rsidR="00C10C92" w:rsidRPr="00B50F60">
              <w:rPr>
                <w:rFonts w:ascii="Times New Roman" w:hAnsi="Times New Roman"/>
                <w:szCs w:val="22"/>
                <w:lang w:val="sk-SK"/>
              </w:rPr>
              <w:t>závrat</w:t>
            </w:r>
          </w:p>
          <w:p w14:paraId="29838450" w14:textId="77777777" w:rsidR="00FC2976" w:rsidRPr="00B50F60" w:rsidRDefault="00FC2976" w:rsidP="00162654">
            <w:pPr>
              <w:widowControl/>
              <w:ind w:left="74"/>
              <w:rPr>
                <w:rFonts w:ascii="Times New Roman" w:hAnsi="Times New Roman"/>
                <w:szCs w:val="22"/>
                <w:lang w:val="sk-SK"/>
              </w:rPr>
            </w:pPr>
          </w:p>
        </w:tc>
      </w:tr>
      <w:tr w:rsidR="009733A0" w:rsidRPr="00ED3A08" w14:paraId="1615C0FC" w14:textId="77777777" w:rsidTr="00ED7827">
        <w:tc>
          <w:tcPr>
            <w:tcW w:w="2330" w:type="dxa"/>
            <w:vMerge/>
          </w:tcPr>
          <w:p w14:paraId="4D5CCC5C" w14:textId="77777777" w:rsidR="009733A0" w:rsidRPr="00B50F60" w:rsidRDefault="009733A0" w:rsidP="00162654">
            <w:pPr>
              <w:widowControl/>
              <w:ind w:left="34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1883" w:type="dxa"/>
            <w:tcBorders>
              <w:top w:val="nil"/>
              <w:right w:val="nil"/>
            </w:tcBorders>
          </w:tcPr>
          <w:p w14:paraId="7C18C7E0" w14:textId="77777777" w:rsidR="009733A0" w:rsidRPr="00B50F60" w:rsidRDefault="002662F5" w:rsidP="00162654">
            <w:pPr>
              <w:widowControl/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szCs w:val="22"/>
                <w:lang w:val="sk-SK"/>
              </w:rPr>
              <w:t>Neznáme</w:t>
            </w:r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>:</w:t>
            </w:r>
          </w:p>
        </w:tc>
        <w:tc>
          <w:tcPr>
            <w:tcW w:w="4292" w:type="dxa"/>
            <w:tcBorders>
              <w:top w:val="nil"/>
              <w:left w:val="nil"/>
            </w:tcBorders>
          </w:tcPr>
          <w:p w14:paraId="5DB8D023" w14:textId="3438C9C1" w:rsidR="009733A0" w:rsidRPr="00B50F60" w:rsidRDefault="00C10C92" w:rsidP="00162654">
            <w:pPr>
              <w:widowControl/>
              <w:ind w:left="74"/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Pálčivý alebo </w:t>
            </w:r>
            <w:proofErr w:type="spellStart"/>
            <w:r w:rsidRPr="00B50F60">
              <w:rPr>
                <w:rFonts w:ascii="Times New Roman" w:hAnsi="Times New Roman"/>
                <w:szCs w:val="22"/>
                <w:lang w:val="sk-SK"/>
              </w:rPr>
              <w:t>pálivý</w:t>
            </w:r>
            <w:proofErr w:type="spellEnd"/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 pocit v mieste podania </w:t>
            </w:r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>(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pozri časť</w:t>
            </w:r>
            <w:r w:rsidR="00FC2976" w:rsidRPr="00B50F60">
              <w:rPr>
                <w:rFonts w:ascii="Times New Roman" w:hAnsi="Times New Roman"/>
                <w:szCs w:val="22"/>
                <w:lang w:val="sk-SK"/>
              </w:rPr>
              <w:t> </w:t>
            </w:r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 xml:space="preserve">4.4); 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mdloba</w:t>
            </w:r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>/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slabosť</w:t>
            </w:r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 xml:space="preserve">; 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červené sfarbenie moč</w:t>
            </w:r>
            <w:r w:rsidR="006502A6">
              <w:rPr>
                <w:rFonts w:ascii="Times New Roman" w:hAnsi="Times New Roman"/>
                <w:szCs w:val="22"/>
                <w:lang w:val="sk-SK"/>
              </w:rPr>
              <w:t>u</w:t>
            </w:r>
          </w:p>
        </w:tc>
      </w:tr>
      <w:tr w:rsidR="009733A0" w:rsidRPr="00ED3A08" w14:paraId="78664EEB" w14:textId="77777777" w:rsidTr="00ED7827">
        <w:tc>
          <w:tcPr>
            <w:tcW w:w="2330" w:type="dxa"/>
          </w:tcPr>
          <w:p w14:paraId="5B993719" w14:textId="77777777" w:rsidR="009733A0" w:rsidRPr="00B50F60" w:rsidRDefault="002662F5" w:rsidP="00162654">
            <w:pPr>
              <w:keepNext/>
              <w:keepLines/>
              <w:widowControl/>
              <w:ind w:left="34"/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iCs/>
                <w:szCs w:val="22"/>
                <w:lang w:val="sk-SK"/>
              </w:rPr>
              <w:t>Chirurgické a liečebné postupy</w:t>
            </w:r>
          </w:p>
        </w:tc>
        <w:tc>
          <w:tcPr>
            <w:tcW w:w="1883" w:type="dxa"/>
            <w:tcBorders>
              <w:right w:val="nil"/>
            </w:tcBorders>
          </w:tcPr>
          <w:p w14:paraId="1FE392B9" w14:textId="77777777" w:rsidR="009733A0" w:rsidRPr="00B50F60" w:rsidRDefault="002662F5" w:rsidP="00162654">
            <w:pPr>
              <w:keepNext/>
              <w:keepLines/>
              <w:widowControl/>
              <w:rPr>
                <w:rFonts w:ascii="Times New Roman" w:hAnsi="Times New Roman"/>
                <w:szCs w:val="22"/>
                <w:lang w:val="sk-SK"/>
              </w:rPr>
            </w:pPr>
            <w:r w:rsidRPr="00B50F60">
              <w:rPr>
                <w:rFonts w:ascii="Times New Roman" w:hAnsi="Times New Roman"/>
                <w:szCs w:val="22"/>
                <w:lang w:val="sk-SK"/>
              </w:rPr>
              <w:t>Neznáme</w:t>
            </w:r>
            <w:r w:rsidR="009733A0" w:rsidRPr="00B50F60">
              <w:rPr>
                <w:rFonts w:ascii="Times New Roman" w:hAnsi="Times New Roman"/>
                <w:szCs w:val="22"/>
                <w:lang w:val="sk-SK"/>
              </w:rPr>
              <w:t>:</w:t>
            </w:r>
          </w:p>
        </w:tc>
        <w:tc>
          <w:tcPr>
            <w:tcW w:w="4292" w:type="dxa"/>
            <w:tcBorders>
              <w:left w:val="nil"/>
            </w:tcBorders>
          </w:tcPr>
          <w:p w14:paraId="78809879" w14:textId="77777777" w:rsidR="009733A0" w:rsidRPr="00B50F60" w:rsidRDefault="009733A0" w:rsidP="00162654">
            <w:pPr>
              <w:keepNext/>
              <w:keepLines/>
              <w:widowControl/>
              <w:ind w:left="74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B50F60">
              <w:rPr>
                <w:rFonts w:ascii="Times New Roman" w:hAnsi="Times New Roman"/>
                <w:szCs w:val="22"/>
                <w:lang w:val="sk-SK"/>
              </w:rPr>
              <w:t>Extrava</w:t>
            </w:r>
            <w:r w:rsidR="00C10C92" w:rsidRPr="00B50F60">
              <w:rPr>
                <w:rFonts w:ascii="Times New Roman" w:hAnsi="Times New Roman"/>
                <w:szCs w:val="22"/>
                <w:lang w:val="sk-SK"/>
              </w:rPr>
              <w:t>zácia</w:t>
            </w:r>
            <w:proofErr w:type="spellEnd"/>
            <w:r w:rsidR="00C10C92" w:rsidRPr="00B50F60">
              <w:rPr>
                <w:rFonts w:ascii="Times New Roman" w:hAnsi="Times New Roman"/>
                <w:szCs w:val="22"/>
                <w:lang w:val="sk-SK"/>
              </w:rPr>
              <w:t xml:space="preserve"> môže viesť k</w:t>
            </w:r>
            <w:r w:rsidR="00987D96" w:rsidRPr="00B50F60">
              <w:rPr>
                <w:rFonts w:ascii="Times New Roman" w:hAnsi="Times New Roman"/>
                <w:szCs w:val="22"/>
                <w:lang w:val="sk-SK"/>
              </w:rPr>
              <w:t> </w:t>
            </w:r>
            <w:r w:rsidR="00C10C92" w:rsidRPr="00B50F60">
              <w:rPr>
                <w:rFonts w:ascii="Times New Roman" w:hAnsi="Times New Roman"/>
                <w:szCs w:val="22"/>
                <w:lang w:val="sk-SK"/>
              </w:rPr>
              <w:t>závažnej celulitíde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, </w:t>
            </w:r>
            <w:r w:rsidR="00C10C92" w:rsidRPr="00B50F60">
              <w:rPr>
                <w:rFonts w:ascii="Times New Roman" w:hAnsi="Times New Roman"/>
                <w:szCs w:val="22"/>
                <w:lang w:val="sk-SK"/>
              </w:rPr>
              <w:t>v</w:t>
            </w:r>
            <w:r w:rsidR="005968AB" w:rsidRPr="00B50F60">
              <w:rPr>
                <w:rFonts w:ascii="Times New Roman" w:hAnsi="Times New Roman"/>
                <w:szCs w:val="22"/>
                <w:lang w:val="sk-SK"/>
              </w:rPr>
              <w:t xml:space="preserve">zniku </w:t>
            </w:r>
            <w:r w:rsidR="005968AB" w:rsidRPr="00B50F60">
              <w:rPr>
                <w:rStyle w:val="Zvraznenie"/>
                <w:rFonts w:ascii="Times New Roman" w:hAnsi="Times New Roman"/>
                <w:bCs/>
                <w:i w:val="0"/>
                <w:iCs w:val="0"/>
                <w:color w:val="444444"/>
                <w:szCs w:val="22"/>
                <w:shd w:val="clear" w:color="auto" w:fill="FFFFFF"/>
                <w:lang w:val="sk-SK"/>
              </w:rPr>
              <w:t>pľuzgierov</w:t>
            </w:r>
            <w:r w:rsidR="00C10C92" w:rsidRPr="00B50F60">
              <w:rPr>
                <w:rFonts w:ascii="Times New Roman" w:hAnsi="Times New Roman"/>
                <w:szCs w:val="22"/>
                <w:lang w:val="sk-SK"/>
              </w:rPr>
              <w:t xml:space="preserve"> a lokáln</w:t>
            </w:r>
            <w:r w:rsidR="00B26243" w:rsidRPr="00B50F60">
              <w:rPr>
                <w:rFonts w:ascii="Times New Roman" w:hAnsi="Times New Roman"/>
                <w:szCs w:val="22"/>
                <w:lang w:val="sk-SK"/>
              </w:rPr>
              <w:t>ej</w:t>
            </w:r>
            <w:r w:rsidR="00C10C92" w:rsidRPr="00B50F60">
              <w:rPr>
                <w:rFonts w:ascii="Times New Roman" w:hAnsi="Times New Roman"/>
                <w:szCs w:val="22"/>
                <w:lang w:val="sk-SK"/>
              </w:rPr>
              <w:t xml:space="preserve"> tkanivov</w:t>
            </w:r>
            <w:r w:rsidR="00B26243" w:rsidRPr="00B50F60">
              <w:rPr>
                <w:rFonts w:ascii="Times New Roman" w:hAnsi="Times New Roman"/>
                <w:szCs w:val="22"/>
                <w:lang w:val="sk-SK"/>
              </w:rPr>
              <w:t>ej</w:t>
            </w:r>
            <w:r w:rsidR="00C10C92" w:rsidRPr="00B50F60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  <w:proofErr w:type="spellStart"/>
            <w:r w:rsidR="00C10C92" w:rsidRPr="00B50F60">
              <w:rPr>
                <w:rFonts w:ascii="Times New Roman" w:hAnsi="Times New Roman"/>
                <w:szCs w:val="22"/>
                <w:lang w:val="sk-SK"/>
              </w:rPr>
              <w:t>nekróz</w:t>
            </w:r>
            <w:r w:rsidR="00B26243" w:rsidRPr="00B50F60">
              <w:rPr>
                <w:rFonts w:ascii="Times New Roman" w:hAnsi="Times New Roman"/>
                <w:szCs w:val="22"/>
                <w:lang w:val="sk-SK"/>
              </w:rPr>
              <w:t>e</w:t>
            </w:r>
            <w:proofErr w:type="spellEnd"/>
            <w:r w:rsidR="00C10C92" w:rsidRPr="00B50F60">
              <w:rPr>
                <w:rFonts w:ascii="Times New Roman" w:hAnsi="Times New Roman"/>
                <w:szCs w:val="22"/>
                <w:lang w:val="sk-SK"/>
              </w:rPr>
              <w:t>, ktorá si môže vyžadovať chirurgické opatrenia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 xml:space="preserve"> (</w:t>
            </w:r>
            <w:r w:rsidR="00C10C92" w:rsidRPr="00B50F60">
              <w:rPr>
                <w:rFonts w:ascii="Times New Roman" w:hAnsi="Times New Roman"/>
                <w:szCs w:val="22"/>
                <w:lang w:val="sk-SK"/>
              </w:rPr>
              <w:t>vrátane kožných štepov</w:t>
            </w:r>
            <w:r w:rsidRPr="00B50F60">
              <w:rPr>
                <w:rFonts w:ascii="Times New Roman" w:hAnsi="Times New Roman"/>
                <w:szCs w:val="22"/>
                <w:lang w:val="sk-SK"/>
              </w:rPr>
              <w:t>)</w:t>
            </w:r>
          </w:p>
        </w:tc>
      </w:tr>
    </w:tbl>
    <w:p w14:paraId="07EE7C0B" w14:textId="77777777" w:rsidR="009733A0" w:rsidRPr="00B50F60" w:rsidRDefault="009733A0" w:rsidP="00ED7827">
      <w:pPr>
        <w:rPr>
          <w:rFonts w:ascii="Times New Roman" w:hAnsi="Times New Roman"/>
          <w:szCs w:val="22"/>
          <w:lang w:val="sk-SK"/>
        </w:rPr>
      </w:pPr>
    </w:p>
    <w:p w14:paraId="07E809EC" w14:textId="77777777" w:rsidR="0025312F" w:rsidRPr="00253BFF" w:rsidRDefault="0025312F" w:rsidP="0025312F">
      <w:pPr>
        <w:suppressLineNumbers/>
        <w:autoSpaceDE w:val="0"/>
        <w:autoSpaceDN w:val="0"/>
        <w:adjustRightInd w:val="0"/>
        <w:rPr>
          <w:rFonts w:ascii="Times New Roman" w:hAnsi="Times New Roman"/>
          <w:szCs w:val="22"/>
          <w:u w:val="single"/>
        </w:rPr>
      </w:pPr>
      <w:r w:rsidRPr="00253BFF">
        <w:rPr>
          <w:rFonts w:ascii="Times New Roman" w:hAnsi="Times New Roman"/>
          <w:noProof/>
          <w:szCs w:val="22"/>
          <w:u w:val="single"/>
        </w:rPr>
        <w:t>Hlásenie podozrení na nežiaduce reakcie</w:t>
      </w:r>
    </w:p>
    <w:p w14:paraId="0DCEA8AA" w14:textId="3C780128" w:rsidR="00162654" w:rsidRPr="00253BFF" w:rsidRDefault="0025312F" w:rsidP="00162654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C77CAE">
        <w:rPr>
          <w:noProof/>
          <w:szCs w:val="22"/>
        </w:rPr>
        <w:t>Hlásenie podozrení na nežiaduce reakcie po registrácii lieku je dôležité.</w:t>
      </w:r>
      <w:r w:rsidRPr="00C77CAE">
        <w:rPr>
          <w:szCs w:val="22"/>
        </w:rPr>
        <w:t xml:space="preserve"> </w:t>
      </w:r>
      <w:r w:rsidRPr="00C77CAE">
        <w:rPr>
          <w:noProof/>
          <w:szCs w:val="22"/>
        </w:rPr>
        <w:t>Umožňuje priebežné monitorovanie pomeru prínosu a rizika lieku.</w:t>
      </w:r>
      <w:r w:rsidRPr="00C77CAE">
        <w:rPr>
          <w:szCs w:val="22"/>
        </w:rPr>
        <w:t xml:space="preserve"> Od </w:t>
      </w:r>
      <w:r w:rsidRPr="00C77CAE">
        <w:rPr>
          <w:noProof/>
          <w:szCs w:val="22"/>
        </w:rPr>
        <w:t xml:space="preserve">zdravotníckych pracovníkov sa vyžaduje, aby hlásili akékoľvek podozrenia na nežiaduce reakcie na </w:t>
      </w:r>
      <w:r w:rsidRPr="00253BFF">
        <w:rPr>
          <w:noProof/>
          <w:szCs w:val="22"/>
          <w:highlight w:val="lightGray"/>
        </w:rPr>
        <w:t>národné centrum hlásenia uvedené v </w:t>
      </w:r>
      <w:hyperlink r:id="rId7" w:history="1">
        <w:r w:rsidRPr="00253BFF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253BFF">
        <w:rPr>
          <w:noProof/>
          <w:szCs w:val="22"/>
        </w:rPr>
        <w:t>.</w:t>
      </w:r>
    </w:p>
    <w:p w14:paraId="5B1EF1EA" w14:textId="77777777" w:rsidR="00B750C4" w:rsidRPr="00B50F60" w:rsidRDefault="00B750C4" w:rsidP="00ED7827">
      <w:pPr>
        <w:pStyle w:val="Standardenglisch"/>
        <w:tabs>
          <w:tab w:val="left" w:pos="284"/>
          <w:tab w:val="left" w:pos="567"/>
        </w:tabs>
        <w:outlineLvl w:val="0"/>
        <w:rPr>
          <w:rFonts w:ascii="Times New Roman" w:hAnsi="Times New Roman"/>
          <w:szCs w:val="22"/>
          <w:lang w:val="sk-SK"/>
        </w:rPr>
      </w:pPr>
    </w:p>
    <w:p w14:paraId="4D337C91" w14:textId="77777777" w:rsidR="00B750C4" w:rsidRPr="00B50F60" w:rsidRDefault="00B750C4" w:rsidP="00FC2976">
      <w:pPr>
        <w:tabs>
          <w:tab w:val="left" w:pos="567"/>
        </w:tabs>
        <w:outlineLvl w:val="0"/>
        <w:rPr>
          <w:rFonts w:ascii="Times New Roman" w:hAnsi="Times New Roman"/>
          <w:b/>
          <w:szCs w:val="22"/>
          <w:lang w:val="sk-SK"/>
        </w:rPr>
      </w:pPr>
      <w:r w:rsidRPr="00B50F60">
        <w:rPr>
          <w:rFonts w:ascii="Times New Roman" w:hAnsi="Times New Roman"/>
          <w:b/>
          <w:szCs w:val="22"/>
          <w:lang w:val="sk-SK"/>
        </w:rPr>
        <w:t>4.9</w:t>
      </w:r>
      <w:r w:rsidRPr="00B50F60">
        <w:rPr>
          <w:rFonts w:ascii="Times New Roman" w:hAnsi="Times New Roman"/>
          <w:b/>
          <w:szCs w:val="22"/>
          <w:lang w:val="sk-SK"/>
        </w:rPr>
        <w:tab/>
      </w:r>
      <w:r w:rsidR="00E51C28" w:rsidRPr="00B50F60">
        <w:rPr>
          <w:rFonts w:ascii="Times New Roman" w:hAnsi="Times New Roman"/>
          <w:b/>
          <w:szCs w:val="22"/>
          <w:lang w:val="sk-SK"/>
        </w:rPr>
        <w:t>Predávkovanie</w:t>
      </w:r>
    </w:p>
    <w:p w14:paraId="4B3EA95B" w14:textId="77777777" w:rsidR="00B750C4" w:rsidRPr="00B50F60" w:rsidRDefault="00B750C4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3DF3EA5D" w14:textId="77777777" w:rsidR="00E51C28" w:rsidRPr="00B50F60" w:rsidRDefault="00E51C28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 xml:space="preserve">Symptómy predávkovania sú pravdepodobne dôsledkom </w:t>
      </w:r>
      <w:r w:rsidR="006F221C" w:rsidRPr="00B50F60">
        <w:rPr>
          <w:rFonts w:ascii="Times New Roman" w:hAnsi="Times New Roman"/>
          <w:szCs w:val="22"/>
          <w:lang w:val="sk-SK"/>
        </w:rPr>
        <w:t xml:space="preserve">prehĺbenia </w:t>
      </w:r>
      <w:r w:rsidRPr="00B50F60">
        <w:rPr>
          <w:rFonts w:ascii="Times New Roman" w:hAnsi="Times New Roman"/>
          <w:szCs w:val="22"/>
          <w:lang w:val="sk-SK"/>
        </w:rPr>
        <w:t>farmakologické</w:t>
      </w:r>
      <w:r w:rsidR="0092080F" w:rsidRPr="00B50F60">
        <w:rPr>
          <w:rFonts w:ascii="Times New Roman" w:hAnsi="Times New Roman"/>
          <w:szCs w:val="22"/>
          <w:lang w:val="sk-SK"/>
        </w:rPr>
        <w:t>ho</w:t>
      </w:r>
      <w:r w:rsidRPr="00B50F60">
        <w:rPr>
          <w:rFonts w:ascii="Times New Roman" w:hAnsi="Times New Roman"/>
          <w:szCs w:val="22"/>
          <w:lang w:val="sk-SK"/>
        </w:rPr>
        <w:t xml:space="preserve"> účinku </w:t>
      </w:r>
      <w:proofErr w:type="spellStart"/>
      <w:r w:rsidRPr="00B50F60">
        <w:rPr>
          <w:rFonts w:ascii="Times New Roman" w:hAnsi="Times New Roman"/>
          <w:szCs w:val="22"/>
          <w:lang w:val="sk-SK"/>
        </w:rPr>
        <w:t>doxorubicínu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. </w:t>
      </w:r>
      <w:r w:rsidR="006F221C" w:rsidRPr="00B50F60">
        <w:rPr>
          <w:rFonts w:ascii="Times New Roman" w:hAnsi="Times New Roman"/>
          <w:szCs w:val="22"/>
          <w:lang w:val="sk-SK"/>
        </w:rPr>
        <w:t>Bolo dokázané</w:t>
      </w:r>
      <w:r w:rsidRPr="00B50F60">
        <w:rPr>
          <w:rFonts w:ascii="Times New Roman" w:hAnsi="Times New Roman"/>
          <w:szCs w:val="22"/>
          <w:lang w:val="sk-SK"/>
        </w:rPr>
        <w:t>, že jednotlivé dávky 250</w:t>
      </w:r>
      <w:r w:rsidR="00CE22BE" w:rsidRPr="00B50F60">
        <w:rPr>
          <w:rFonts w:ascii="Times New Roman" w:hAnsi="Times New Roman"/>
          <w:szCs w:val="22"/>
          <w:lang w:val="sk-SK"/>
        </w:rPr>
        <w:t> </w:t>
      </w:r>
      <w:r w:rsidRPr="00B50F60">
        <w:rPr>
          <w:rFonts w:ascii="Times New Roman" w:hAnsi="Times New Roman"/>
          <w:szCs w:val="22"/>
          <w:lang w:val="sk-SK"/>
        </w:rPr>
        <w:t>mg a</w:t>
      </w:r>
      <w:r w:rsidR="00CE22BE" w:rsidRPr="00B50F60">
        <w:rPr>
          <w:rFonts w:ascii="Times New Roman" w:hAnsi="Times New Roman"/>
          <w:szCs w:val="22"/>
          <w:lang w:val="sk-SK"/>
        </w:rPr>
        <w:t> </w:t>
      </w:r>
      <w:r w:rsidRPr="00B50F60">
        <w:rPr>
          <w:rFonts w:ascii="Times New Roman" w:hAnsi="Times New Roman"/>
          <w:szCs w:val="22"/>
          <w:lang w:val="sk-SK"/>
        </w:rPr>
        <w:t>50</w:t>
      </w:r>
      <w:r w:rsidR="0092080F" w:rsidRPr="00B50F60">
        <w:rPr>
          <w:rFonts w:ascii="Times New Roman" w:hAnsi="Times New Roman"/>
          <w:szCs w:val="22"/>
          <w:lang w:val="sk-SK"/>
        </w:rPr>
        <w:t>0</w:t>
      </w:r>
      <w:r w:rsidR="00CE22BE" w:rsidRPr="00B50F60">
        <w:rPr>
          <w:rFonts w:ascii="Times New Roman" w:hAnsi="Times New Roman"/>
          <w:szCs w:val="22"/>
          <w:lang w:val="sk-SK"/>
        </w:rPr>
        <w:t> </w:t>
      </w:r>
      <w:r w:rsidR="0092080F" w:rsidRPr="00B50F60">
        <w:rPr>
          <w:rFonts w:ascii="Times New Roman" w:hAnsi="Times New Roman"/>
          <w:szCs w:val="22"/>
          <w:lang w:val="sk-SK"/>
        </w:rPr>
        <w:t xml:space="preserve">mg </w:t>
      </w:r>
      <w:proofErr w:type="spellStart"/>
      <w:r w:rsidR="0092080F" w:rsidRPr="00B50F60">
        <w:rPr>
          <w:rFonts w:ascii="Times New Roman" w:hAnsi="Times New Roman"/>
          <w:szCs w:val="22"/>
          <w:lang w:val="sk-SK"/>
        </w:rPr>
        <w:t>doxorubicínu</w:t>
      </w:r>
      <w:proofErr w:type="spellEnd"/>
      <w:r w:rsidR="0092080F" w:rsidRPr="00B50F60">
        <w:rPr>
          <w:rFonts w:ascii="Times New Roman" w:hAnsi="Times New Roman"/>
          <w:szCs w:val="22"/>
          <w:lang w:val="sk-SK"/>
        </w:rPr>
        <w:t xml:space="preserve"> sú fatálne. Také</w:t>
      </w:r>
      <w:r w:rsidRPr="00B50F60">
        <w:rPr>
          <w:rFonts w:ascii="Times New Roman" w:hAnsi="Times New Roman"/>
          <w:szCs w:val="22"/>
          <w:lang w:val="sk-SK"/>
        </w:rPr>
        <w:t>to dávky môžu spôsobiť akútn</w:t>
      </w:r>
      <w:r w:rsidR="0092080F" w:rsidRPr="00B50F60">
        <w:rPr>
          <w:rFonts w:ascii="Times New Roman" w:hAnsi="Times New Roman"/>
          <w:szCs w:val="22"/>
          <w:lang w:val="sk-SK"/>
        </w:rPr>
        <w:t>u degeneráciu</w:t>
      </w:r>
      <w:r w:rsidRPr="00B50F60">
        <w:rPr>
          <w:rFonts w:ascii="Times New Roman" w:hAnsi="Times New Roman"/>
          <w:szCs w:val="22"/>
          <w:lang w:val="sk-SK"/>
        </w:rPr>
        <w:t xml:space="preserve"> myokardu do 24 hodín a závažnú </w:t>
      </w:r>
      <w:proofErr w:type="spellStart"/>
      <w:r w:rsidRPr="00B50F60">
        <w:rPr>
          <w:rFonts w:ascii="Times New Roman" w:hAnsi="Times New Roman"/>
          <w:szCs w:val="22"/>
          <w:lang w:val="sk-SK"/>
        </w:rPr>
        <w:t>myelosupresiu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, </w:t>
      </w:r>
      <w:r w:rsidR="006F221C" w:rsidRPr="00B50F60">
        <w:rPr>
          <w:rFonts w:ascii="Times New Roman" w:hAnsi="Times New Roman"/>
          <w:szCs w:val="22"/>
          <w:lang w:val="sk-SK"/>
        </w:rPr>
        <w:t xml:space="preserve">ktorá jej </w:t>
      </w:r>
      <w:r w:rsidRPr="00B50F60">
        <w:rPr>
          <w:rFonts w:ascii="Times New Roman" w:hAnsi="Times New Roman"/>
          <w:szCs w:val="22"/>
          <w:lang w:val="sk-SK"/>
        </w:rPr>
        <w:t>najväčši</w:t>
      </w:r>
      <w:r w:rsidR="006F221C" w:rsidRPr="00B50F60">
        <w:rPr>
          <w:rFonts w:ascii="Times New Roman" w:hAnsi="Times New Roman"/>
          <w:szCs w:val="22"/>
          <w:lang w:val="sk-SK"/>
        </w:rPr>
        <w:t>a</w:t>
      </w:r>
      <w:r w:rsidRPr="00B50F60">
        <w:rPr>
          <w:rFonts w:ascii="Times New Roman" w:hAnsi="Times New Roman"/>
          <w:szCs w:val="22"/>
          <w:lang w:val="sk-SK"/>
        </w:rPr>
        <w:t xml:space="preserve"> </w:t>
      </w:r>
      <w:r w:rsidR="003D277B" w:rsidRPr="00B50F60">
        <w:rPr>
          <w:rFonts w:ascii="Times New Roman" w:hAnsi="Times New Roman"/>
          <w:szCs w:val="22"/>
          <w:lang w:val="sk-SK"/>
        </w:rPr>
        <w:t>10</w:t>
      </w:r>
      <w:r w:rsidR="006F221C" w:rsidRPr="00B50F60">
        <w:rPr>
          <w:rFonts w:ascii="Times New Roman" w:hAnsi="Times New Roman"/>
          <w:szCs w:val="22"/>
          <w:lang w:val="sk-SK"/>
        </w:rPr>
        <w:t>.</w:t>
      </w:r>
      <w:r w:rsidR="003D277B" w:rsidRPr="00B50F60">
        <w:rPr>
          <w:rFonts w:ascii="Times New Roman" w:hAnsi="Times New Roman"/>
          <w:szCs w:val="22"/>
          <w:lang w:val="sk-SK"/>
        </w:rPr>
        <w:t xml:space="preserve"> až 15</w:t>
      </w:r>
      <w:r w:rsidR="006F221C" w:rsidRPr="00B50F60">
        <w:rPr>
          <w:rFonts w:ascii="Times New Roman" w:hAnsi="Times New Roman"/>
          <w:szCs w:val="22"/>
          <w:lang w:val="sk-SK"/>
        </w:rPr>
        <w:t>.</w:t>
      </w:r>
      <w:r w:rsidR="00FC2976" w:rsidRPr="00B50F60">
        <w:rPr>
          <w:rFonts w:ascii="Times New Roman" w:hAnsi="Times New Roman"/>
          <w:szCs w:val="22"/>
          <w:lang w:val="sk-SK"/>
        </w:rPr>
        <w:t> </w:t>
      </w:r>
      <w:r w:rsidR="003D277B" w:rsidRPr="00B50F60">
        <w:rPr>
          <w:rFonts w:ascii="Times New Roman" w:hAnsi="Times New Roman"/>
          <w:szCs w:val="22"/>
          <w:lang w:val="sk-SK"/>
        </w:rPr>
        <w:t>d</w:t>
      </w:r>
      <w:r w:rsidR="006F221C" w:rsidRPr="00B50F60">
        <w:rPr>
          <w:rFonts w:ascii="Times New Roman" w:hAnsi="Times New Roman"/>
          <w:szCs w:val="22"/>
          <w:lang w:val="sk-SK"/>
        </w:rPr>
        <w:t>eň</w:t>
      </w:r>
      <w:r w:rsidR="003D277B" w:rsidRPr="00B50F60">
        <w:rPr>
          <w:rFonts w:ascii="Times New Roman" w:hAnsi="Times New Roman"/>
          <w:szCs w:val="22"/>
          <w:lang w:val="sk-SK"/>
        </w:rPr>
        <w:t xml:space="preserve"> po podaní. Do 6 mesiacov po predávkovaní sa môže objaviť oneskorené zlyhanie srdca. V tomto čase sa má liečba sústrediť na podporu pacienta. </w:t>
      </w:r>
      <w:r w:rsidR="0092080F" w:rsidRPr="00B50F60">
        <w:rPr>
          <w:rFonts w:ascii="Times New Roman" w:hAnsi="Times New Roman"/>
          <w:szCs w:val="22"/>
          <w:lang w:val="sk-SK"/>
        </w:rPr>
        <w:t xml:space="preserve">Zvláštna </w:t>
      </w:r>
      <w:r w:rsidR="003D277B" w:rsidRPr="00B50F60">
        <w:rPr>
          <w:rFonts w:ascii="Times New Roman" w:hAnsi="Times New Roman"/>
          <w:szCs w:val="22"/>
          <w:lang w:val="sk-SK"/>
        </w:rPr>
        <w:t>pozornosť sa má venovať prevencii a liečbe možn</w:t>
      </w:r>
      <w:r w:rsidR="0092080F" w:rsidRPr="00B50F60">
        <w:rPr>
          <w:rFonts w:ascii="Times New Roman" w:hAnsi="Times New Roman"/>
          <w:szCs w:val="22"/>
          <w:lang w:val="sk-SK"/>
        </w:rPr>
        <w:t>ého</w:t>
      </w:r>
      <w:r w:rsidR="003D277B" w:rsidRPr="00B50F60">
        <w:rPr>
          <w:rFonts w:ascii="Times New Roman" w:hAnsi="Times New Roman"/>
          <w:szCs w:val="22"/>
          <w:lang w:val="sk-SK"/>
        </w:rPr>
        <w:t xml:space="preserve"> závažn</w:t>
      </w:r>
      <w:r w:rsidR="0092080F" w:rsidRPr="00B50F60">
        <w:rPr>
          <w:rFonts w:ascii="Times New Roman" w:hAnsi="Times New Roman"/>
          <w:szCs w:val="22"/>
          <w:lang w:val="sk-SK"/>
        </w:rPr>
        <w:t>ého</w:t>
      </w:r>
      <w:r w:rsidR="003D277B" w:rsidRPr="00B50F60">
        <w:rPr>
          <w:rFonts w:ascii="Times New Roman" w:hAnsi="Times New Roman"/>
          <w:szCs w:val="22"/>
          <w:lang w:val="sk-SK"/>
        </w:rPr>
        <w:t xml:space="preserve"> </w:t>
      </w:r>
      <w:r w:rsidR="0092080F" w:rsidRPr="00B50F60">
        <w:rPr>
          <w:rFonts w:ascii="Times New Roman" w:hAnsi="Times New Roman"/>
          <w:szCs w:val="22"/>
          <w:lang w:val="sk-SK"/>
        </w:rPr>
        <w:t>krvácania</w:t>
      </w:r>
      <w:r w:rsidR="003D277B" w:rsidRPr="00B50F60">
        <w:rPr>
          <w:rFonts w:ascii="Times New Roman" w:hAnsi="Times New Roman"/>
          <w:szCs w:val="22"/>
          <w:lang w:val="sk-SK"/>
        </w:rPr>
        <w:t xml:space="preserve"> alebo infekcií</w:t>
      </w:r>
      <w:r w:rsidR="0091151D" w:rsidRPr="00B50F60">
        <w:rPr>
          <w:rFonts w:ascii="Times New Roman" w:hAnsi="Times New Roman"/>
          <w:szCs w:val="22"/>
          <w:lang w:val="sk-SK"/>
        </w:rPr>
        <w:t xml:space="preserve">, ktoré vznikajú </w:t>
      </w:r>
      <w:r w:rsidR="003D277B" w:rsidRPr="00B50F60">
        <w:rPr>
          <w:rFonts w:ascii="Times New Roman" w:hAnsi="Times New Roman"/>
          <w:szCs w:val="22"/>
          <w:lang w:val="sk-SK"/>
        </w:rPr>
        <w:t xml:space="preserve">sekundárne </w:t>
      </w:r>
      <w:r w:rsidR="0091151D" w:rsidRPr="00B50F60">
        <w:rPr>
          <w:rFonts w:ascii="Times New Roman" w:hAnsi="Times New Roman"/>
          <w:szCs w:val="22"/>
          <w:lang w:val="sk-SK"/>
        </w:rPr>
        <w:t>a</w:t>
      </w:r>
      <w:r w:rsidR="003D277B" w:rsidRPr="00B50F60">
        <w:rPr>
          <w:rFonts w:ascii="Times New Roman" w:hAnsi="Times New Roman"/>
          <w:szCs w:val="22"/>
          <w:lang w:val="sk-SK"/>
        </w:rPr>
        <w:t>k</w:t>
      </w:r>
      <w:r w:rsidR="0091151D" w:rsidRPr="00B50F60">
        <w:rPr>
          <w:rFonts w:ascii="Times New Roman" w:hAnsi="Times New Roman"/>
          <w:szCs w:val="22"/>
          <w:lang w:val="sk-SK"/>
        </w:rPr>
        <w:t>o následok</w:t>
      </w:r>
      <w:r w:rsidR="003D277B" w:rsidRPr="00B50F60">
        <w:rPr>
          <w:rFonts w:ascii="Times New Roman" w:hAnsi="Times New Roman"/>
          <w:szCs w:val="22"/>
          <w:lang w:val="sk-SK"/>
        </w:rPr>
        <w:t xml:space="preserve"> závažnej, pretrvávajúcej depresi</w:t>
      </w:r>
      <w:r w:rsidR="0091151D" w:rsidRPr="00B50F60">
        <w:rPr>
          <w:rFonts w:ascii="Times New Roman" w:hAnsi="Times New Roman"/>
          <w:szCs w:val="22"/>
          <w:lang w:val="sk-SK"/>
        </w:rPr>
        <w:t>e</w:t>
      </w:r>
      <w:r w:rsidR="003D277B" w:rsidRPr="00B50F60">
        <w:rPr>
          <w:rFonts w:ascii="Times New Roman" w:hAnsi="Times New Roman"/>
          <w:szCs w:val="22"/>
          <w:lang w:val="sk-SK"/>
        </w:rPr>
        <w:t xml:space="preserve"> kostnej drene. Možno zvážiť podanie krvnej transfúzie a ošetrenia reverznou bariérou. </w:t>
      </w:r>
      <w:proofErr w:type="spellStart"/>
      <w:r w:rsidR="003D277B" w:rsidRPr="00B50F60">
        <w:rPr>
          <w:rFonts w:ascii="Times New Roman" w:hAnsi="Times New Roman"/>
          <w:szCs w:val="22"/>
          <w:lang w:val="sk-SK"/>
        </w:rPr>
        <w:t>Hemoperfúzia</w:t>
      </w:r>
      <w:proofErr w:type="spellEnd"/>
      <w:r w:rsidR="003D277B" w:rsidRPr="00B50F60">
        <w:rPr>
          <w:rFonts w:ascii="Times New Roman" w:hAnsi="Times New Roman"/>
          <w:szCs w:val="22"/>
          <w:lang w:val="sk-SK"/>
        </w:rPr>
        <w:t xml:space="preserve"> ihneď po predávkovaní </w:t>
      </w:r>
      <w:r w:rsidR="0091151D" w:rsidRPr="00B50F60">
        <w:rPr>
          <w:rFonts w:ascii="Times New Roman" w:hAnsi="Times New Roman"/>
          <w:szCs w:val="22"/>
          <w:lang w:val="sk-SK"/>
        </w:rPr>
        <w:t xml:space="preserve">sa </w:t>
      </w:r>
      <w:r w:rsidR="006F221C" w:rsidRPr="00B50F60">
        <w:rPr>
          <w:rFonts w:ascii="Times New Roman" w:hAnsi="Times New Roman"/>
          <w:szCs w:val="22"/>
          <w:lang w:val="sk-SK"/>
        </w:rPr>
        <w:t xml:space="preserve">osvedčila </w:t>
      </w:r>
      <w:r w:rsidR="003D277B" w:rsidRPr="00B50F60">
        <w:rPr>
          <w:rFonts w:ascii="Times New Roman" w:hAnsi="Times New Roman"/>
          <w:szCs w:val="22"/>
          <w:lang w:val="sk-SK"/>
        </w:rPr>
        <w:t>tiež ako prostriedok prvej pomoci.</w:t>
      </w:r>
    </w:p>
    <w:p w14:paraId="5172D79D" w14:textId="77777777" w:rsidR="00B750C4" w:rsidRPr="00B50F60" w:rsidRDefault="00B750C4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3DC6761B" w14:textId="77777777" w:rsidR="003D277B" w:rsidRPr="00B50F60" w:rsidRDefault="003D277B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 xml:space="preserve">Oneskorené srdcové zlyhanie sa môže objaviť </w:t>
      </w:r>
      <w:r w:rsidR="0091151D" w:rsidRPr="00B50F60">
        <w:rPr>
          <w:rFonts w:ascii="Times New Roman" w:hAnsi="Times New Roman"/>
          <w:szCs w:val="22"/>
          <w:lang w:val="sk-SK"/>
        </w:rPr>
        <w:t xml:space="preserve">až </w:t>
      </w:r>
      <w:r w:rsidRPr="00B50F60">
        <w:rPr>
          <w:rFonts w:ascii="Times New Roman" w:hAnsi="Times New Roman"/>
          <w:szCs w:val="22"/>
          <w:lang w:val="sk-SK"/>
        </w:rPr>
        <w:t>do 6</w:t>
      </w:r>
      <w:r w:rsidR="008D2A1A" w:rsidRPr="00B50F60">
        <w:rPr>
          <w:rFonts w:ascii="Times New Roman" w:hAnsi="Times New Roman"/>
          <w:szCs w:val="22"/>
          <w:lang w:val="sk-SK"/>
        </w:rPr>
        <w:t> </w:t>
      </w:r>
      <w:r w:rsidRPr="00B50F60">
        <w:rPr>
          <w:rFonts w:ascii="Times New Roman" w:hAnsi="Times New Roman"/>
          <w:szCs w:val="22"/>
          <w:lang w:val="sk-SK"/>
        </w:rPr>
        <w:t xml:space="preserve">mesiacov po predávkovaní. Pacientov treba starostlivo sledovať a ak sa objavia príznaky srdcového zlyhania, liečiť </w:t>
      </w:r>
      <w:r w:rsidR="006F221C" w:rsidRPr="00B50F60">
        <w:rPr>
          <w:rFonts w:ascii="Times New Roman" w:hAnsi="Times New Roman"/>
          <w:szCs w:val="22"/>
          <w:lang w:val="sk-SK"/>
        </w:rPr>
        <w:t xml:space="preserve">ich </w:t>
      </w:r>
      <w:r w:rsidR="0091151D" w:rsidRPr="00B50F60">
        <w:rPr>
          <w:rFonts w:ascii="Times New Roman" w:hAnsi="Times New Roman"/>
          <w:szCs w:val="22"/>
          <w:lang w:val="sk-SK"/>
        </w:rPr>
        <w:t>obvykl</w:t>
      </w:r>
      <w:r w:rsidRPr="00B50F60">
        <w:rPr>
          <w:rFonts w:ascii="Times New Roman" w:hAnsi="Times New Roman"/>
          <w:szCs w:val="22"/>
          <w:lang w:val="sk-SK"/>
        </w:rPr>
        <w:t>ými metódami.</w:t>
      </w:r>
    </w:p>
    <w:p w14:paraId="01ADBC02" w14:textId="77777777" w:rsidR="00B750C4" w:rsidRPr="00B50F60" w:rsidRDefault="00B750C4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0112562C" w14:textId="77777777" w:rsidR="00354AA4" w:rsidRPr="00B50F60" w:rsidRDefault="00354AA4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3780875E" w14:textId="77777777" w:rsidR="00B750C4" w:rsidRPr="00B50F60" w:rsidRDefault="00B750C4" w:rsidP="00FC2976">
      <w:pPr>
        <w:tabs>
          <w:tab w:val="left" w:pos="567"/>
        </w:tabs>
        <w:outlineLvl w:val="0"/>
        <w:rPr>
          <w:rFonts w:ascii="Times New Roman" w:hAnsi="Times New Roman"/>
          <w:b/>
          <w:bCs/>
          <w:szCs w:val="22"/>
          <w:lang w:val="sk-SK"/>
        </w:rPr>
      </w:pPr>
      <w:r w:rsidRPr="00B50F60">
        <w:rPr>
          <w:rFonts w:ascii="Times New Roman" w:hAnsi="Times New Roman"/>
          <w:b/>
          <w:bCs/>
          <w:szCs w:val="22"/>
          <w:lang w:val="sk-SK"/>
        </w:rPr>
        <w:t>5</w:t>
      </w:r>
      <w:r w:rsidR="00B03095" w:rsidRPr="00B50F60">
        <w:rPr>
          <w:rFonts w:ascii="Times New Roman" w:hAnsi="Times New Roman"/>
          <w:b/>
          <w:bCs/>
          <w:szCs w:val="22"/>
          <w:lang w:val="sk-SK"/>
        </w:rPr>
        <w:t>.</w:t>
      </w:r>
      <w:r w:rsidRPr="00B50F60">
        <w:rPr>
          <w:rFonts w:ascii="Times New Roman" w:hAnsi="Times New Roman"/>
          <w:b/>
          <w:bCs/>
          <w:szCs w:val="22"/>
          <w:lang w:val="sk-SK"/>
        </w:rPr>
        <w:tab/>
      </w:r>
      <w:r w:rsidR="003D277B" w:rsidRPr="00B50F60">
        <w:rPr>
          <w:rFonts w:ascii="Times New Roman" w:hAnsi="Times New Roman"/>
          <w:b/>
          <w:caps/>
          <w:szCs w:val="22"/>
          <w:lang w:val="sk-SK"/>
        </w:rPr>
        <w:t>FARMAKOLOGICKÉ VLASTNOSTI</w:t>
      </w:r>
    </w:p>
    <w:p w14:paraId="58D5E028" w14:textId="77777777" w:rsidR="00B750C4" w:rsidRPr="00B50F60" w:rsidRDefault="00B750C4" w:rsidP="00ED7827">
      <w:pPr>
        <w:rPr>
          <w:rFonts w:ascii="Times New Roman" w:hAnsi="Times New Roman"/>
          <w:szCs w:val="22"/>
          <w:lang w:val="sk-SK"/>
        </w:rPr>
      </w:pPr>
    </w:p>
    <w:p w14:paraId="2005426A" w14:textId="77777777" w:rsidR="00B750C4" w:rsidRPr="00B50F60" w:rsidRDefault="0091151D" w:rsidP="00FC2976">
      <w:pPr>
        <w:tabs>
          <w:tab w:val="left" w:pos="567"/>
        </w:tabs>
        <w:outlineLvl w:val="0"/>
        <w:rPr>
          <w:rFonts w:ascii="Times New Roman" w:hAnsi="Times New Roman"/>
          <w:b/>
          <w:szCs w:val="22"/>
          <w:lang w:val="sk-SK"/>
        </w:rPr>
      </w:pPr>
      <w:r w:rsidRPr="00B50F60">
        <w:rPr>
          <w:rFonts w:ascii="Times New Roman" w:hAnsi="Times New Roman"/>
          <w:b/>
          <w:szCs w:val="22"/>
          <w:lang w:val="sk-SK"/>
        </w:rPr>
        <w:t>5.1</w:t>
      </w:r>
      <w:r w:rsidRPr="00B50F60">
        <w:rPr>
          <w:rFonts w:ascii="Times New Roman" w:hAnsi="Times New Roman"/>
          <w:b/>
          <w:szCs w:val="22"/>
          <w:lang w:val="sk-SK"/>
        </w:rPr>
        <w:tab/>
      </w:r>
      <w:proofErr w:type="spellStart"/>
      <w:r w:rsidR="003D277B" w:rsidRPr="00B50F60">
        <w:rPr>
          <w:rFonts w:ascii="Times New Roman" w:hAnsi="Times New Roman"/>
          <w:b/>
          <w:szCs w:val="22"/>
          <w:lang w:val="sk-SK"/>
        </w:rPr>
        <w:t>Farmakodynamické</w:t>
      </w:r>
      <w:proofErr w:type="spellEnd"/>
      <w:r w:rsidR="003D277B" w:rsidRPr="00B50F60">
        <w:rPr>
          <w:rFonts w:ascii="Times New Roman" w:hAnsi="Times New Roman"/>
          <w:b/>
          <w:szCs w:val="22"/>
          <w:lang w:val="sk-SK"/>
        </w:rPr>
        <w:t xml:space="preserve"> vlastnosti</w:t>
      </w:r>
    </w:p>
    <w:p w14:paraId="04D194DC" w14:textId="77777777" w:rsidR="006A0232" w:rsidRPr="00B50F60" w:rsidRDefault="006A0232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77485FCF" w14:textId="129B120A" w:rsidR="007C09BA" w:rsidRPr="00B50F60" w:rsidRDefault="003D277B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  <w:proofErr w:type="spellStart"/>
      <w:r w:rsidRPr="00B50F60">
        <w:rPr>
          <w:rFonts w:ascii="Times New Roman" w:hAnsi="Times New Roman"/>
          <w:szCs w:val="22"/>
          <w:lang w:val="sk-SK"/>
        </w:rPr>
        <w:t>Farmakoterapeutická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skupina: </w:t>
      </w:r>
      <w:proofErr w:type="spellStart"/>
      <w:r w:rsidRPr="00B50F60">
        <w:rPr>
          <w:rFonts w:ascii="Times New Roman" w:hAnsi="Times New Roman"/>
          <w:szCs w:val="22"/>
          <w:lang w:val="sk-SK"/>
        </w:rPr>
        <w:t>Cyto</w:t>
      </w:r>
      <w:r w:rsidR="0091151D" w:rsidRPr="00B50F60">
        <w:rPr>
          <w:rFonts w:ascii="Times New Roman" w:hAnsi="Times New Roman"/>
          <w:szCs w:val="22"/>
          <w:lang w:val="sk-SK"/>
        </w:rPr>
        <w:t>statik</w:t>
      </w:r>
      <w:r w:rsidR="00996F77" w:rsidRPr="00B50F60">
        <w:rPr>
          <w:rFonts w:ascii="Times New Roman" w:hAnsi="Times New Roman"/>
          <w:szCs w:val="22"/>
          <w:lang w:val="sk-SK"/>
        </w:rPr>
        <w:t>á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(</w:t>
      </w:r>
      <w:proofErr w:type="spellStart"/>
      <w:r w:rsidRPr="00B50F60">
        <w:rPr>
          <w:rFonts w:ascii="Times New Roman" w:hAnsi="Times New Roman"/>
          <w:szCs w:val="22"/>
          <w:lang w:val="sk-SK"/>
        </w:rPr>
        <w:t>antracyklíny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a</w:t>
      </w:r>
      <w:r w:rsidR="00996F77" w:rsidRPr="00B50F60">
        <w:rPr>
          <w:rFonts w:ascii="Times New Roman" w:hAnsi="Times New Roman"/>
          <w:szCs w:val="22"/>
          <w:lang w:val="sk-SK"/>
        </w:rPr>
        <w:t> podobné liečivá</w:t>
      </w:r>
      <w:r w:rsidRPr="00B50F60">
        <w:rPr>
          <w:rFonts w:ascii="Times New Roman" w:hAnsi="Times New Roman"/>
          <w:szCs w:val="22"/>
          <w:lang w:val="sk-SK"/>
        </w:rPr>
        <w:t>)</w:t>
      </w:r>
    </w:p>
    <w:p w14:paraId="2E9088A1" w14:textId="77777777" w:rsidR="0015608D" w:rsidRPr="00B50F60" w:rsidRDefault="00D12E3D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>ATC kód: L01DB01</w:t>
      </w:r>
    </w:p>
    <w:p w14:paraId="79D648B3" w14:textId="77777777" w:rsidR="0015608D" w:rsidRPr="00B50F60" w:rsidRDefault="0015608D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2CAFEE6B" w14:textId="77777777" w:rsidR="00E35778" w:rsidRPr="00B50F60" w:rsidRDefault="00D12E3D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color w:val="000000"/>
          <w:szCs w:val="22"/>
          <w:lang w:val="sk-SK"/>
        </w:rPr>
      </w:pPr>
      <w:proofErr w:type="spellStart"/>
      <w:r w:rsidRPr="00B50F60">
        <w:rPr>
          <w:rFonts w:ascii="Times New Roman" w:hAnsi="Times New Roman"/>
          <w:szCs w:val="22"/>
          <w:lang w:val="sk-SK"/>
        </w:rPr>
        <w:t>Doxorubicín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je </w:t>
      </w:r>
      <w:proofErr w:type="spellStart"/>
      <w:r w:rsidRPr="00B50F60">
        <w:rPr>
          <w:rFonts w:ascii="Times New Roman" w:hAnsi="Times New Roman"/>
          <w:szCs w:val="22"/>
          <w:lang w:val="sk-SK"/>
        </w:rPr>
        <w:t>antracyklínové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antibiotikum. </w:t>
      </w:r>
      <w:r w:rsidR="005E1EFB" w:rsidRPr="00B50F60">
        <w:rPr>
          <w:rFonts w:ascii="Times New Roman" w:hAnsi="Times New Roman"/>
          <w:szCs w:val="22"/>
          <w:lang w:val="sk-SK"/>
        </w:rPr>
        <w:t xml:space="preserve">Mechanizmom jeho </w:t>
      </w:r>
      <w:proofErr w:type="spellStart"/>
      <w:r w:rsidR="00EB6664" w:rsidRPr="00B50F60">
        <w:rPr>
          <w:rFonts w:ascii="Times New Roman" w:hAnsi="Times New Roman"/>
          <w:szCs w:val="22"/>
          <w:lang w:val="sk-SK"/>
        </w:rPr>
        <w:t>antiproliferatívneho</w:t>
      </w:r>
      <w:proofErr w:type="spellEnd"/>
      <w:r w:rsidR="00EB6664" w:rsidRPr="00B50F60">
        <w:rPr>
          <w:rFonts w:ascii="Times New Roman" w:hAnsi="Times New Roman"/>
          <w:szCs w:val="22"/>
          <w:lang w:val="sk-SK"/>
        </w:rPr>
        <w:t xml:space="preserve"> </w:t>
      </w:r>
      <w:r w:rsidR="005E1EFB" w:rsidRPr="00B50F60">
        <w:rPr>
          <w:rFonts w:ascii="Times New Roman" w:hAnsi="Times New Roman"/>
          <w:szCs w:val="22"/>
          <w:lang w:val="sk-SK"/>
        </w:rPr>
        <w:t xml:space="preserve">účinku je </w:t>
      </w:r>
      <w:proofErr w:type="spellStart"/>
      <w:r w:rsidR="005E1EFB" w:rsidRPr="00B50F60">
        <w:rPr>
          <w:rFonts w:ascii="Times New Roman" w:hAnsi="Times New Roman"/>
          <w:szCs w:val="22"/>
          <w:lang w:val="sk-SK"/>
        </w:rPr>
        <w:t>cytotoxické</w:t>
      </w:r>
      <w:proofErr w:type="spellEnd"/>
      <w:r w:rsidR="005E1EFB" w:rsidRPr="00B50F60">
        <w:rPr>
          <w:rFonts w:ascii="Times New Roman" w:hAnsi="Times New Roman"/>
          <w:szCs w:val="22"/>
          <w:lang w:val="sk-SK"/>
        </w:rPr>
        <w:t xml:space="preserve"> pôsobenie</w:t>
      </w:r>
      <w:r w:rsidRPr="00B50F60">
        <w:rPr>
          <w:rFonts w:ascii="Times New Roman" w:hAnsi="Times New Roman"/>
          <w:szCs w:val="22"/>
          <w:lang w:val="sk-SK"/>
        </w:rPr>
        <w:t xml:space="preserve">, najmä </w:t>
      </w:r>
      <w:proofErr w:type="spellStart"/>
      <w:r w:rsidRPr="00B50F60">
        <w:rPr>
          <w:rFonts w:ascii="Times New Roman" w:hAnsi="Times New Roman"/>
          <w:szCs w:val="22"/>
          <w:lang w:val="sk-SK"/>
        </w:rPr>
        <w:t>interkaláciou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do DNA, inhibíciou enzýmu </w:t>
      </w:r>
      <w:proofErr w:type="spellStart"/>
      <w:r w:rsidRPr="00B50F60">
        <w:rPr>
          <w:rFonts w:ascii="Times New Roman" w:hAnsi="Times New Roman"/>
          <w:szCs w:val="22"/>
          <w:lang w:val="sk-SK"/>
        </w:rPr>
        <w:t>topoizomerázy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II a tvorbou </w:t>
      </w:r>
      <w:r w:rsidR="0091151D" w:rsidRPr="00B50F60">
        <w:rPr>
          <w:rFonts w:ascii="Times New Roman" w:hAnsi="Times New Roman"/>
          <w:szCs w:val="22"/>
          <w:lang w:val="sk-SK"/>
        </w:rPr>
        <w:t xml:space="preserve">vysoko </w:t>
      </w:r>
      <w:r w:rsidRPr="00B50F60">
        <w:rPr>
          <w:rFonts w:ascii="Times New Roman" w:hAnsi="Times New Roman"/>
          <w:szCs w:val="22"/>
          <w:lang w:val="sk-SK"/>
        </w:rPr>
        <w:t xml:space="preserve">reaktívnych kyslíkových </w:t>
      </w:r>
      <w:r w:rsidR="00EB6664" w:rsidRPr="00B50F60">
        <w:rPr>
          <w:rFonts w:ascii="Times New Roman" w:hAnsi="Times New Roman"/>
          <w:szCs w:val="22"/>
          <w:lang w:val="sk-SK"/>
        </w:rPr>
        <w:t>radikálov</w:t>
      </w:r>
      <w:r w:rsidRPr="00B50F60">
        <w:rPr>
          <w:rFonts w:ascii="Times New Roman" w:hAnsi="Times New Roman"/>
          <w:szCs w:val="22"/>
          <w:lang w:val="sk-SK"/>
        </w:rPr>
        <w:t xml:space="preserve">. Všetky tieto </w:t>
      </w:r>
      <w:r w:rsidR="007F51CD" w:rsidRPr="00B50F60">
        <w:rPr>
          <w:rFonts w:ascii="Times New Roman" w:hAnsi="Times New Roman"/>
          <w:szCs w:val="22"/>
          <w:lang w:val="sk-SK"/>
        </w:rPr>
        <w:t>mechanizmy</w:t>
      </w:r>
      <w:r w:rsidRPr="00B50F60">
        <w:rPr>
          <w:rFonts w:ascii="Times New Roman" w:hAnsi="Times New Roman"/>
          <w:szCs w:val="22"/>
          <w:lang w:val="sk-SK"/>
        </w:rPr>
        <w:t xml:space="preserve"> </w:t>
      </w:r>
      <w:r w:rsidR="00EB6664" w:rsidRPr="00B50F60">
        <w:rPr>
          <w:rFonts w:ascii="Times New Roman" w:hAnsi="Times New Roman"/>
          <w:szCs w:val="22"/>
          <w:lang w:val="sk-SK"/>
        </w:rPr>
        <w:t>narušujú</w:t>
      </w:r>
      <w:r w:rsidRPr="00B50F60">
        <w:rPr>
          <w:rFonts w:ascii="Times New Roman" w:hAnsi="Times New Roman"/>
          <w:szCs w:val="22"/>
          <w:lang w:val="sk-SK"/>
        </w:rPr>
        <w:t xml:space="preserve"> syntézu DNA: </w:t>
      </w:r>
      <w:proofErr w:type="spellStart"/>
      <w:r w:rsidRPr="00B50F60">
        <w:rPr>
          <w:rFonts w:ascii="Times New Roman" w:hAnsi="Times New Roman"/>
          <w:szCs w:val="22"/>
          <w:lang w:val="sk-SK"/>
        </w:rPr>
        <w:t>interkalácia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molekuly </w:t>
      </w:r>
      <w:proofErr w:type="spellStart"/>
      <w:r w:rsidRPr="00B50F60">
        <w:rPr>
          <w:rFonts w:ascii="Times New Roman" w:hAnsi="Times New Roman"/>
          <w:szCs w:val="22"/>
          <w:lang w:val="sk-SK"/>
        </w:rPr>
        <w:t>doxorubicínu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vedie k inhibícii RNA- a DNA-</w:t>
      </w:r>
      <w:proofErr w:type="spellStart"/>
      <w:r w:rsidRPr="00B50F60">
        <w:rPr>
          <w:rFonts w:ascii="Times New Roman" w:hAnsi="Times New Roman"/>
          <w:szCs w:val="22"/>
          <w:lang w:val="sk-SK"/>
        </w:rPr>
        <w:t>polymeráz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</w:t>
      </w:r>
      <w:r w:rsidR="007F51CD" w:rsidRPr="00B50F60">
        <w:rPr>
          <w:rFonts w:ascii="Times New Roman" w:hAnsi="Times New Roman"/>
          <w:szCs w:val="22"/>
          <w:lang w:val="sk-SK"/>
        </w:rPr>
        <w:t>prostredníctvom</w:t>
      </w:r>
      <w:r w:rsidRPr="00B50F60">
        <w:rPr>
          <w:rFonts w:ascii="Times New Roman" w:hAnsi="Times New Roman"/>
          <w:szCs w:val="22"/>
          <w:lang w:val="sk-SK"/>
        </w:rPr>
        <w:t xml:space="preserve"> rušenia </w:t>
      </w:r>
      <w:r w:rsidR="00EB6664" w:rsidRPr="00B50F60">
        <w:rPr>
          <w:rFonts w:ascii="Times New Roman" w:hAnsi="Times New Roman"/>
          <w:szCs w:val="22"/>
          <w:lang w:val="sk-SK"/>
        </w:rPr>
        <w:t xml:space="preserve">rozpoznávania </w:t>
      </w:r>
      <w:r w:rsidR="007F51CD" w:rsidRPr="00B50F60">
        <w:rPr>
          <w:rFonts w:ascii="Times New Roman" w:hAnsi="Times New Roman"/>
          <w:szCs w:val="22"/>
          <w:lang w:val="sk-SK"/>
        </w:rPr>
        <w:t>báz</w:t>
      </w:r>
      <w:r w:rsidRPr="00B50F60">
        <w:rPr>
          <w:rFonts w:ascii="Times New Roman" w:hAnsi="Times New Roman"/>
          <w:szCs w:val="22"/>
          <w:lang w:val="sk-SK"/>
        </w:rPr>
        <w:t xml:space="preserve"> a špecifikácie </w:t>
      </w:r>
      <w:r w:rsidR="0044654C" w:rsidRPr="00B50F60">
        <w:rPr>
          <w:rFonts w:ascii="Times New Roman" w:hAnsi="Times New Roman"/>
          <w:szCs w:val="22"/>
          <w:lang w:val="sk-SK"/>
        </w:rPr>
        <w:t xml:space="preserve">ich </w:t>
      </w:r>
      <w:r w:rsidRPr="00B50F60">
        <w:rPr>
          <w:rFonts w:ascii="Times New Roman" w:hAnsi="Times New Roman"/>
          <w:szCs w:val="22"/>
          <w:lang w:val="sk-SK"/>
        </w:rPr>
        <w:t>sekvencie. Inhibíci</w:t>
      </w:r>
      <w:r w:rsidR="0044654C" w:rsidRPr="00B50F60">
        <w:rPr>
          <w:rFonts w:ascii="Times New Roman" w:hAnsi="Times New Roman"/>
          <w:szCs w:val="22"/>
          <w:lang w:val="sk-SK"/>
        </w:rPr>
        <w:t>ou</w:t>
      </w:r>
      <w:r w:rsidRPr="00B50F6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B50F60">
        <w:rPr>
          <w:rFonts w:ascii="Times New Roman" w:hAnsi="Times New Roman"/>
          <w:szCs w:val="22"/>
          <w:lang w:val="sk-SK"/>
        </w:rPr>
        <w:t>topoizomerázy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II </w:t>
      </w:r>
      <w:r w:rsidR="0044654C" w:rsidRPr="00B50F60">
        <w:rPr>
          <w:rFonts w:ascii="Times New Roman" w:hAnsi="Times New Roman"/>
          <w:szCs w:val="22"/>
          <w:lang w:val="sk-SK"/>
        </w:rPr>
        <w:t>sa zabraňuje opätovnému spojeniu oboch</w:t>
      </w:r>
      <w:r w:rsidRPr="00B50F60">
        <w:rPr>
          <w:rFonts w:ascii="Times New Roman" w:hAnsi="Times New Roman"/>
          <w:szCs w:val="22"/>
          <w:lang w:val="sk-SK"/>
        </w:rPr>
        <w:t xml:space="preserve"> </w:t>
      </w:r>
      <w:r w:rsidR="007F51CD" w:rsidRPr="00B50F60">
        <w:rPr>
          <w:rFonts w:ascii="Times New Roman" w:hAnsi="Times New Roman"/>
          <w:szCs w:val="22"/>
          <w:lang w:val="sk-SK"/>
        </w:rPr>
        <w:t>vlákien</w:t>
      </w:r>
      <w:r w:rsidRPr="00B50F60">
        <w:rPr>
          <w:rFonts w:ascii="Times New Roman" w:hAnsi="Times New Roman"/>
          <w:szCs w:val="22"/>
          <w:lang w:val="sk-SK"/>
        </w:rPr>
        <w:t xml:space="preserve"> DNA. </w:t>
      </w:r>
      <w:r w:rsidR="007F51CD" w:rsidRPr="00B50F60">
        <w:rPr>
          <w:rFonts w:ascii="Times New Roman" w:hAnsi="Times New Roman"/>
          <w:szCs w:val="22"/>
          <w:lang w:val="sk-SK"/>
        </w:rPr>
        <w:t>Štiepe</w:t>
      </w:r>
      <w:r w:rsidRPr="00B50F60">
        <w:rPr>
          <w:rFonts w:ascii="Times New Roman" w:hAnsi="Times New Roman"/>
          <w:szCs w:val="22"/>
          <w:lang w:val="sk-SK"/>
        </w:rPr>
        <w:t xml:space="preserve">nie DNA je tiež spôsobené chemickou reakciou s vysoko reaktívnymi kyslíkovými </w:t>
      </w:r>
      <w:r w:rsidR="007F51CD" w:rsidRPr="00B50F60">
        <w:rPr>
          <w:rFonts w:ascii="Times New Roman" w:hAnsi="Times New Roman"/>
          <w:szCs w:val="22"/>
          <w:lang w:val="sk-SK"/>
        </w:rPr>
        <w:t>zlúčenina</w:t>
      </w:r>
      <w:r w:rsidRPr="00B50F60">
        <w:rPr>
          <w:rFonts w:ascii="Times New Roman" w:hAnsi="Times New Roman"/>
          <w:szCs w:val="22"/>
          <w:lang w:val="sk-SK"/>
        </w:rPr>
        <w:t>mi</w:t>
      </w:r>
      <w:r w:rsidR="00B648C0" w:rsidRPr="00B50F60">
        <w:rPr>
          <w:rFonts w:ascii="Times New Roman" w:hAnsi="Times New Roman"/>
          <w:szCs w:val="22"/>
          <w:lang w:val="sk-SK"/>
        </w:rPr>
        <w:t>,</w:t>
      </w:r>
      <w:r w:rsidRPr="00B50F60">
        <w:rPr>
          <w:rFonts w:ascii="Times New Roman" w:hAnsi="Times New Roman"/>
          <w:szCs w:val="22"/>
          <w:lang w:val="sk-SK"/>
        </w:rPr>
        <w:t xml:space="preserve"> ako </w:t>
      </w:r>
      <w:r w:rsidR="0044654C" w:rsidRPr="00B50F60">
        <w:rPr>
          <w:rFonts w:ascii="Times New Roman" w:hAnsi="Times New Roman"/>
          <w:szCs w:val="22"/>
          <w:lang w:val="sk-SK"/>
        </w:rPr>
        <w:t xml:space="preserve">je </w:t>
      </w:r>
      <w:proofErr w:type="spellStart"/>
      <w:r w:rsidR="007F51CD" w:rsidRPr="00B50F60">
        <w:rPr>
          <w:rFonts w:ascii="Times New Roman" w:hAnsi="Times New Roman"/>
          <w:szCs w:val="22"/>
          <w:lang w:val="sk-SK"/>
        </w:rPr>
        <w:t>hydroxylový</w:t>
      </w:r>
      <w:proofErr w:type="spellEnd"/>
      <w:r w:rsidR="007F51CD" w:rsidRPr="00B50F60">
        <w:rPr>
          <w:rFonts w:ascii="Times New Roman" w:hAnsi="Times New Roman"/>
          <w:szCs w:val="22"/>
          <w:lang w:val="sk-SK"/>
        </w:rPr>
        <w:t xml:space="preserve"> </w:t>
      </w:r>
      <w:r w:rsidRPr="00B50F60">
        <w:rPr>
          <w:rFonts w:ascii="Times New Roman" w:hAnsi="Times New Roman"/>
          <w:szCs w:val="22"/>
          <w:lang w:val="sk-SK"/>
        </w:rPr>
        <w:t xml:space="preserve">radikál </w:t>
      </w:r>
      <w:r w:rsidRPr="00B50F60">
        <w:rPr>
          <w:rFonts w:ascii="Times New Roman" w:hAnsi="Times New Roman"/>
          <w:color w:val="000000"/>
          <w:szCs w:val="22"/>
          <w:lang w:val="sk-SK"/>
        </w:rPr>
        <w:t>OH</w:t>
      </w:r>
      <w:r w:rsidRPr="00B50F60">
        <w:rPr>
          <w:rFonts w:ascii="Times New Roman" w:hAnsi="Times New Roman"/>
          <w:color w:val="000000"/>
          <w:szCs w:val="22"/>
          <w:vertAlign w:val="superscript"/>
          <w:lang w:val="sk-SK"/>
        </w:rPr>
        <w:sym w:font="Marlett" w:char="F068"/>
      </w:r>
      <w:r w:rsidR="0044654C" w:rsidRPr="00B50F60">
        <w:rPr>
          <w:rFonts w:ascii="Times New Roman" w:hAnsi="Times New Roman"/>
          <w:color w:val="000000"/>
          <w:szCs w:val="22"/>
          <w:lang w:val="sk-SK"/>
        </w:rPr>
        <w:t>.</w:t>
      </w:r>
      <w:r w:rsidR="007F51CD" w:rsidRPr="00B50F60">
        <w:rPr>
          <w:rFonts w:ascii="Times New Roman" w:hAnsi="Times New Roman"/>
          <w:color w:val="000000"/>
          <w:szCs w:val="22"/>
          <w:lang w:val="sk-SK"/>
        </w:rPr>
        <w:t xml:space="preserve"> </w:t>
      </w:r>
      <w:r w:rsidR="0044654C" w:rsidRPr="00B50F60">
        <w:rPr>
          <w:rFonts w:ascii="Times New Roman" w:hAnsi="Times New Roman"/>
          <w:color w:val="000000"/>
          <w:szCs w:val="22"/>
          <w:lang w:val="sk-SK"/>
        </w:rPr>
        <w:t>D</w:t>
      </w:r>
      <w:r w:rsidR="007F51CD" w:rsidRPr="00B50F60">
        <w:rPr>
          <w:rFonts w:ascii="Times New Roman" w:hAnsi="Times New Roman"/>
          <w:color w:val="000000"/>
          <w:szCs w:val="22"/>
          <w:lang w:val="sk-SK"/>
        </w:rPr>
        <w:t xml:space="preserve">ôsledkom </w:t>
      </w:r>
      <w:r w:rsidR="0044654C" w:rsidRPr="00B50F60">
        <w:rPr>
          <w:rFonts w:ascii="Times New Roman" w:hAnsi="Times New Roman"/>
          <w:color w:val="000000"/>
          <w:szCs w:val="22"/>
          <w:lang w:val="sk-SK"/>
        </w:rPr>
        <w:t xml:space="preserve">tohto </w:t>
      </w:r>
      <w:r w:rsidR="0044654C" w:rsidRPr="00B50F60">
        <w:rPr>
          <w:rFonts w:ascii="Times New Roman" w:hAnsi="Times New Roman"/>
          <w:color w:val="000000"/>
          <w:szCs w:val="22"/>
          <w:lang w:val="sk-SK"/>
        </w:rPr>
        <w:lastRenderedPageBreak/>
        <w:t xml:space="preserve">pôsobenia dochádza k </w:t>
      </w:r>
      <w:proofErr w:type="spellStart"/>
      <w:r w:rsidR="007F51CD" w:rsidRPr="00B50F60">
        <w:rPr>
          <w:rFonts w:ascii="Times New Roman" w:hAnsi="Times New Roman"/>
          <w:color w:val="000000"/>
          <w:szCs w:val="22"/>
          <w:lang w:val="sk-SK"/>
        </w:rPr>
        <w:t>mutagenéz</w:t>
      </w:r>
      <w:r w:rsidR="0044654C" w:rsidRPr="00B50F60">
        <w:rPr>
          <w:rFonts w:ascii="Times New Roman" w:hAnsi="Times New Roman"/>
          <w:color w:val="000000"/>
          <w:szCs w:val="22"/>
          <w:lang w:val="sk-SK"/>
        </w:rPr>
        <w:t>e</w:t>
      </w:r>
      <w:proofErr w:type="spellEnd"/>
      <w:r w:rsidR="007F51CD" w:rsidRPr="00B50F60">
        <w:rPr>
          <w:rFonts w:ascii="Times New Roman" w:hAnsi="Times New Roman"/>
          <w:color w:val="000000"/>
          <w:szCs w:val="22"/>
          <w:lang w:val="sk-SK"/>
        </w:rPr>
        <w:t xml:space="preserve"> a </w:t>
      </w:r>
      <w:proofErr w:type="spellStart"/>
      <w:r w:rsidR="007F51CD" w:rsidRPr="00B50F60">
        <w:rPr>
          <w:rFonts w:ascii="Times New Roman" w:hAnsi="Times New Roman"/>
          <w:color w:val="000000"/>
          <w:szCs w:val="22"/>
          <w:lang w:val="sk-SK"/>
        </w:rPr>
        <w:t>chromozomálne</w:t>
      </w:r>
      <w:r w:rsidR="0044654C" w:rsidRPr="00B50F60">
        <w:rPr>
          <w:rFonts w:ascii="Times New Roman" w:hAnsi="Times New Roman"/>
          <w:color w:val="000000"/>
          <w:szCs w:val="22"/>
          <w:lang w:val="sk-SK"/>
        </w:rPr>
        <w:t>j</w:t>
      </w:r>
      <w:proofErr w:type="spellEnd"/>
      <w:r w:rsidR="007F51CD" w:rsidRPr="00B50F60">
        <w:rPr>
          <w:rFonts w:ascii="Times New Roman" w:hAnsi="Times New Roman"/>
          <w:color w:val="000000"/>
          <w:szCs w:val="22"/>
          <w:lang w:val="sk-SK"/>
        </w:rPr>
        <w:t xml:space="preserve"> aberáci</w:t>
      </w:r>
      <w:r w:rsidR="0044654C" w:rsidRPr="00B50F60">
        <w:rPr>
          <w:rFonts w:ascii="Times New Roman" w:hAnsi="Times New Roman"/>
          <w:color w:val="000000"/>
          <w:szCs w:val="22"/>
          <w:lang w:val="sk-SK"/>
        </w:rPr>
        <w:t>i</w:t>
      </w:r>
      <w:r w:rsidRPr="00B50F60">
        <w:rPr>
          <w:rFonts w:ascii="Times New Roman" w:hAnsi="Times New Roman"/>
          <w:color w:val="000000"/>
          <w:szCs w:val="22"/>
          <w:lang w:val="sk-SK"/>
        </w:rPr>
        <w:t>.</w:t>
      </w:r>
    </w:p>
    <w:p w14:paraId="745A4E38" w14:textId="77777777" w:rsidR="00D12E3D" w:rsidRPr="00B50F60" w:rsidRDefault="00D12E3D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4777A1E5" w14:textId="77777777" w:rsidR="00D12E3D" w:rsidRPr="00B50F60" w:rsidRDefault="0044654C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 xml:space="preserve">Citlivosť </w:t>
      </w:r>
      <w:r w:rsidR="007E6810" w:rsidRPr="00B50F60">
        <w:rPr>
          <w:rFonts w:ascii="Times New Roman" w:hAnsi="Times New Roman"/>
          <w:szCs w:val="22"/>
          <w:lang w:val="sk-SK"/>
        </w:rPr>
        <w:t xml:space="preserve">tkanív </w:t>
      </w:r>
      <w:r w:rsidRPr="00B50F60">
        <w:rPr>
          <w:rFonts w:ascii="Times New Roman" w:hAnsi="Times New Roman"/>
          <w:szCs w:val="22"/>
          <w:lang w:val="sk-SK"/>
        </w:rPr>
        <w:t>na toxické pôsobenie</w:t>
      </w:r>
      <w:r w:rsidR="006D06F2" w:rsidRPr="00B50F6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="006D06F2" w:rsidRPr="00B50F60">
        <w:rPr>
          <w:rFonts w:ascii="Times New Roman" w:hAnsi="Times New Roman"/>
          <w:szCs w:val="22"/>
          <w:lang w:val="sk-SK"/>
        </w:rPr>
        <w:t>doxorubicínu</w:t>
      </w:r>
      <w:proofErr w:type="spellEnd"/>
      <w:r w:rsidR="006D06F2" w:rsidRPr="00B50F60">
        <w:rPr>
          <w:rFonts w:ascii="Times New Roman" w:hAnsi="Times New Roman"/>
          <w:szCs w:val="22"/>
          <w:lang w:val="sk-SK"/>
        </w:rPr>
        <w:t xml:space="preserve"> súvis</w:t>
      </w:r>
      <w:r w:rsidR="007F51CD" w:rsidRPr="00B50F60">
        <w:rPr>
          <w:rFonts w:ascii="Times New Roman" w:hAnsi="Times New Roman"/>
          <w:szCs w:val="22"/>
          <w:lang w:val="sk-SK"/>
        </w:rPr>
        <w:t>í predovšetkým</w:t>
      </w:r>
      <w:r w:rsidR="006D06F2" w:rsidRPr="00B50F60">
        <w:rPr>
          <w:rFonts w:ascii="Times New Roman" w:hAnsi="Times New Roman"/>
          <w:szCs w:val="22"/>
          <w:lang w:val="sk-SK"/>
        </w:rPr>
        <w:t xml:space="preserve"> s </w:t>
      </w:r>
      <w:proofErr w:type="spellStart"/>
      <w:r w:rsidR="006D06F2" w:rsidRPr="00B50F60">
        <w:rPr>
          <w:rFonts w:ascii="Times New Roman" w:hAnsi="Times New Roman"/>
          <w:szCs w:val="22"/>
          <w:lang w:val="sk-SK"/>
        </w:rPr>
        <w:t>proliferatívnou</w:t>
      </w:r>
      <w:proofErr w:type="spellEnd"/>
      <w:r w:rsidR="006D06F2" w:rsidRPr="00B50F60">
        <w:rPr>
          <w:rFonts w:ascii="Times New Roman" w:hAnsi="Times New Roman"/>
          <w:szCs w:val="22"/>
          <w:lang w:val="sk-SK"/>
        </w:rPr>
        <w:t xml:space="preserve"> aktivitou </w:t>
      </w:r>
      <w:r w:rsidRPr="00B50F60">
        <w:rPr>
          <w:rFonts w:ascii="Times New Roman" w:hAnsi="Times New Roman"/>
          <w:szCs w:val="22"/>
          <w:lang w:val="sk-SK"/>
        </w:rPr>
        <w:t xml:space="preserve">zdravého </w:t>
      </w:r>
      <w:r w:rsidR="006D06F2" w:rsidRPr="00B50F60">
        <w:rPr>
          <w:rFonts w:ascii="Times New Roman" w:hAnsi="Times New Roman"/>
          <w:szCs w:val="22"/>
          <w:lang w:val="sk-SK"/>
        </w:rPr>
        <w:t xml:space="preserve">tkaniva. Preto </w:t>
      </w:r>
      <w:r w:rsidRPr="00B50F60">
        <w:rPr>
          <w:rFonts w:ascii="Times New Roman" w:hAnsi="Times New Roman"/>
          <w:szCs w:val="22"/>
          <w:lang w:val="sk-SK"/>
        </w:rPr>
        <w:t xml:space="preserve">dochádza k poškodeniu najmä </w:t>
      </w:r>
      <w:r w:rsidR="006D06F2" w:rsidRPr="00B50F60">
        <w:rPr>
          <w:rFonts w:ascii="Times New Roman" w:hAnsi="Times New Roman"/>
          <w:szCs w:val="22"/>
          <w:lang w:val="sk-SK"/>
        </w:rPr>
        <w:t>kost</w:t>
      </w:r>
      <w:r w:rsidRPr="00B50F60">
        <w:rPr>
          <w:rFonts w:ascii="Times New Roman" w:hAnsi="Times New Roman"/>
          <w:szCs w:val="22"/>
          <w:lang w:val="sk-SK"/>
        </w:rPr>
        <w:t>nej</w:t>
      </w:r>
      <w:r w:rsidR="006D06F2" w:rsidRPr="00B50F60">
        <w:rPr>
          <w:rFonts w:ascii="Times New Roman" w:hAnsi="Times New Roman"/>
          <w:szCs w:val="22"/>
          <w:lang w:val="sk-SK"/>
        </w:rPr>
        <w:t xml:space="preserve"> dre</w:t>
      </w:r>
      <w:r w:rsidRPr="00B50F60">
        <w:rPr>
          <w:rFonts w:ascii="Times New Roman" w:hAnsi="Times New Roman"/>
          <w:szCs w:val="22"/>
          <w:lang w:val="sk-SK"/>
        </w:rPr>
        <w:t>ne</w:t>
      </w:r>
      <w:r w:rsidR="006D06F2" w:rsidRPr="00B50F60">
        <w:rPr>
          <w:rFonts w:ascii="Times New Roman" w:hAnsi="Times New Roman"/>
          <w:szCs w:val="22"/>
          <w:lang w:val="sk-SK"/>
        </w:rPr>
        <w:t xml:space="preserve">, </w:t>
      </w:r>
      <w:proofErr w:type="spellStart"/>
      <w:r w:rsidR="006D06F2" w:rsidRPr="00B50F60">
        <w:rPr>
          <w:rFonts w:ascii="Times New Roman" w:hAnsi="Times New Roman"/>
          <w:szCs w:val="22"/>
          <w:lang w:val="sk-SK"/>
        </w:rPr>
        <w:t>gastrointestináln</w:t>
      </w:r>
      <w:r w:rsidRPr="00B50F60">
        <w:rPr>
          <w:rFonts w:ascii="Times New Roman" w:hAnsi="Times New Roman"/>
          <w:szCs w:val="22"/>
          <w:lang w:val="sk-SK"/>
        </w:rPr>
        <w:t>eho</w:t>
      </w:r>
      <w:proofErr w:type="spellEnd"/>
      <w:r w:rsidR="006D06F2" w:rsidRPr="00B50F60">
        <w:rPr>
          <w:rFonts w:ascii="Times New Roman" w:hAnsi="Times New Roman"/>
          <w:szCs w:val="22"/>
          <w:lang w:val="sk-SK"/>
        </w:rPr>
        <w:t xml:space="preserve"> trakt</w:t>
      </w:r>
      <w:r w:rsidRPr="00B50F60">
        <w:rPr>
          <w:rFonts w:ascii="Times New Roman" w:hAnsi="Times New Roman"/>
          <w:szCs w:val="22"/>
          <w:lang w:val="sk-SK"/>
        </w:rPr>
        <w:t>u</w:t>
      </w:r>
      <w:r w:rsidR="006D06F2" w:rsidRPr="00B50F60">
        <w:rPr>
          <w:rFonts w:ascii="Times New Roman" w:hAnsi="Times New Roman"/>
          <w:szCs w:val="22"/>
          <w:lang w:val="sk-SK"/>
        </w:rPr>
        <w:t xml:space="preserve"> a</w:t>
      </w:r>
      <w:r w:rsidR="008D185B" w:rsidRPr="00B50F60">
        <w:rPr>
          <w:rFonts w:ascii="Times New Roman" w:hAnsi="Times New Roman"/>
          <w:szCs w:val="22"/>
          <w:lang w:val="sk-SK"/>
        </w:rPr>
        <w:t> pohlavných žliaz</w:t>
      </w:r>
      <w:r w:rsidR="00B648C0" w:rsidRPr="00B50F60">
        <w:rPr>
          <w:rFonts w:ascii="Times New Roman" w:hAnsi="Times New Roman"/>
          <w:szCs w:val="22"/>
          <w:lang w:val="sk-SK"/>
        </w:rPr>
        <w:t>.</w:t>
      </w:r>
      <w:r w:rsidR="006D06F2" w:rsidRPr="00B50F60">
        <w:rPr>
          <w:rFonts w:ascii="Times New Roman" w:hAnsi="Times New Roman"/>
          <w:szCs w:val="22"/>
          <w:lang w:val="sk-SK"/>
        </w:rPr>
        <w:t xml:space="preserve"> </w:t>
      </w:r>
    </w:p>
    <w:p w14:paraId="538AA914" w14:textId="77777777" w:rsidR="00B750C4" w:rsidRPr="00B50F60" w:rsidRDefault="00B750C4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09854AC5" w14:textId="77777777" w:rsidR="006A0232" w:rsidRPr="00B50F60" w:rsidRDefault="0044654C" w:rsidP="00ED7827">
      <w:pPr>
        <w:pStyle w:val="Standardenglisch"/>
        <w:keepNext/>
        <w:keepLines/>
        <w:widowControl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 xml:space="preserve">Hlavnou </w:t>
      </w:r>
      <w:r w:rsidR="00436312" w:rsidRPr="00B50F60">
        <w:rPr>
          <w:rFonts w:ascii="Times New Roman" w:hAnsi="Times New Roman"/>
          <w:szCs w:val="22"/>
          <w:lang w:val="sk-SK"/>
        </w:rPr>
        <w:t>príčinou</w:t>
      </w:r>
      <w:r w:rsidR="006D06F2" w:rsidRPr="00B50F60">
        <w:rPr>
          <w:rFonts w:ascii="Times New Roman" w:hAnsi="Times New Roman"/>
          <w:szCs w:val="22"/>
          <w:lang w:val="sk-SK"/>
        </w:rPr>
        <w:t xml:space="preserve"> zlyhania </w:t>
      </w:r>
      <w:r w:rsidR="007F51CD" w:rsidRPr="00B50F60">
        <w:rPr>
          <w:rFonts w:ascii="Times New Roman" w:hAnsi="Times New Roman"/>
          <w:szCs w:val="22"/>
          <w:lang w:val="sk-SK"/>
        </w:rPr>
        <w:t>l</w:t>
      </w:r>
      <w:r w:rsidR="006D06F2" w:rsidRPr="00B50F60">
        <w:rPr>
          <w:rFonts w:ascii="Times New Roman" w:hAnsi="Times New Roman"/>
          <w:szCs w:val="22"/>
          <w:lang w:val="sk-SK"/>
        </w:rPr>
        <w:t>ie</w:t>
      </w:r>
      <w:r w:rsidR="007F51CD" w:rsidRPr="00B50F60">
        <w:rPr>
          <w:rFonts w:ascii="Times New Roman" w:hAnsi="Times New Roman"/>
          <w:szCs w:val="22"/>
          <w:lang w:val="sk-SK"/>
        </w:rPr>
        <w:t>čby</w:t>
      </w:r>
      <w:r w:rsidR="006D06F2" w:rsidRPr="00B50F6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="006D06F2" w:rsidRPr="00B50F60">
        <w:rPr>
          <w:rFonts w:ascii="Times New Roman" w:hAnsi="Times New Roman"/>
          <w:szCs w:val="22"/>
          <w:lang w:val="sk-SK"/>
        </w:rPr>
        <w:t>doxorubicínom</w:t>
      </w:r>
      <w:proofErr w:type="spellEnd"/>
      <w:r w:rsidR="006D06F2" w:rsidRPr="00B50F60">
        <w:rPr>
          <w:rFonts w:ascii="Times New Roman" w:hAnsi="Times New Roman"/>
          <w:szCs w:val="22"/>
          <w:lang w:val="sk-SK"/>
        </w:rPr>
        <w:t xml:space="preserve"> a inými </w:t>
      </w:r>
      <w:proofErr w:type="spellStart"/>
      <w:r w:rsidR="006D06F2" w:rsidRPr="00B50F60">
        <w:rPr>
          <w:rFonts w:ascii="Times New Roman" w:hAnsi="Times New Roman"/>
          <w:szCs w:val="22"/>
          <w:lang w:val="sk-SK"/>
        </w:rPr>
        <w:t>antracyklínmi</w:t>
      </w:r>
      <w:proofErr w:type="spellEnd"/>
      <w:r w:rsidR="006D06F2" w:rsidRPr="00B50F60">
        <w:rPr>
          <w:rFonts w:ascii="Times New Roman" w:hAnsi="Times New Roman"/>
          <w:szCs w:val="22"/>
          <w:lang w:val="sk-SK"/>
        </w:rPr>
        <w:t xml:space="preserve"> je </w:t>
      </w:r>
      <w:r w:rsidR="00436312" w:rsidRPr="00B50F60">
        <w:rPr>
          <w:rFonts w:ascii="Times New Roman" w:hAnsi="Times New Roman"/>
          <w:szCs w:val="22"/>
          <w:lang w:val="sk-SK"/>
        </w:rPr>
        <w:t>roz</w:t>
      </w:r>
      <w:r w:rsidR="006D06F2" w:rsidRPr="00B50F60">
        <w:rPr>
          <w:rFonts w:ascii="Times New Roman" w:hAnsi="Times New Roman"/>
          <w:szCs w:val="22"/>
          <w:lang w:val="sk-SK"/>
        </w:rPr>
        <w:t>voj rezistencie. Keďže primárnym cieľom je</w:t>
      </w:r>
      <w:r w:rsidR="00C05049" w:rsidRPr="00B50F60">
        <w:rPr>
          <w:rFonts w:ascii="Times New Roman" w:hAnsi="Times New Roman"/>
          <w:szCs w:val="22"/>
          <w:lang w:val="sk-SK"/>
        </w:rPr>
        <w:t>ho pôsobe</w:t>
      </w:r>
      <w:r w:rsidRPr="00B50F60">
        <w:rPr>
          <w:rFonts w:ascii="Times New Roman" w:hAnsi="Times New Roman"/>
          <w:szCs w:val="22"/>
          <w:lang w:val="sk-SK"/>
        </w:rPr>
        <w:t xml:space="preserve">nia je </w:t>
      </w:r>
      <w:r w:rsidR="006D06F2" w:rsidRPr="00B50F60">
        <w:rPr>
          <w:rFonts w:ascii="Times New Roman" w:hAnsi="Times New Roman"/>
          <w:szCs w:val="22"/>
          <w:lang w:val="sk-SK"/>
        </w:rPr>
        <w:t xml:space="preserve">bunková membrána, </w:t>
      </w:r>
      <w:r w:rsidRPr="00B50F60">
        <w:rPr>
          <w:rFonts w:ascii="Times New Roman" w:hAnsi="Times New Roman"/>
          <w:szCs w:val="22"/>
          <w:lang w:val="sk-SK"/>
        </w:rPr>
        <w:t xml:space="preserve">zvažuje sa </w:t>
      </w:r>
      <w:r w:rsidR="006D06F2" w:rsidRPr="00B50F60">
        <w:rPr>
          <w:rFonts w:ascii="Times New Roman" w:hAnsi="Times New Roman"/>
          <w:szCs w:val="22"/>
          <w:lang w:val="sk-SK"/>
        </w:rPr>
        <w:t xml:space="preserve">použitie antagonistov </w:t>
      </w:r>
      <w:r w:rsidR="00436312" w:rsidRPr="00B50F60">
        <w:rPr>
          <w:rFonts w:ascii="Times New Roman" w:hAnsi="Times New Roman"/>
          <w:szCs w:val="22"/>
          <w:lang w:val="sk-SK"/>
        </w:rPr>
        <w:t>vápnika</w:t>
      </w:r>
      <w:r w:rsidR="006D06F2" w:rsidRPr="00B50F60">
        <w:rPr>
          <w:rFonts w:ascii="Times New Roman" w:hAnsi="Times New Roman"/>
          <w:szCs w:val="22"/>
          <w:lang w:val="sk-SK"/>
        </w:rPr>
        <w:t xml:space="preserve"> </w:t>
      </w:r>
      <w:r w:rsidRPr="00B50F60">
        <w:rPr>
          <w:rFonts w:ascii="Times New Roman" w:hAnsi="Times New Roman"/>
          <w:szCs w:val="22"/>
          <w:lang w:val="sk-SK"/>
        </w:rPr>
        <w:t>napr.</w:t>
      </w:r>
      <w:r w:rsidR="00BE3F2F" w:rsidRPr="00B50F6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="006D06F2" w:rsidRPr="00B50F60">
        <w:rPr>
          <w:rFonts w:ascii="Times New Roman" w:hAnsi="Times New Roman"/>
          <w:szCs w:val="22"/>
          <w:lang w:val="sk-SK"/>
        </w:rPr>
        <w:t>verapamil</w:t>
      </w:r>
      <w:r w:rsidR="00142CDD" w:rsidRPr="00B50F60">
        <w:rPr>
          <w:rFonts w:ascii="Times New Roman" w:hAnsi="Times New Roman"/>
          <w:szCs w:val="22"/>
          <w:lang w:val="sk-SK"/>
        </w:rPr>
        <w:t>u</w:t>
      </w:r>
      <w:proofErr w:type="spellEnd"/>
      <w:r w:rsidR="006D06F2" w:rsidRPr="00B50F60">
        <w:rPr>
          <w:rFonts w:ascii="Times New Roman" w:hAnsi="Times New Roman"/>
          <w:szCs w:val="22"/>
          <w:lang w:val="sk-SK"/>
        </w:rPr>
        <w:t xml:space="preserve"> </w:t>
      </w:r>
      <w:r w:rsidR="00C06285" w:rsidRPr="00B50F60">
        <w:rPr>
          <w:rFonts w:ascii="Times New Roman" w:hAnsi="Times New Roman"/>
          <w:szCs w:val="22"/>
          <w:lang w:val="sk-SK"/>
        </w:rPr>
        <w:t>ako jeden zo spôsobov zabránenia vzniku rezistencie.</w:t>
      </w:r>
      <w:r w:rsidR="006D06F2" w:rsidRPr="00B50F6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="006D06F2" w:rsidRPr="00B50F60">
        <w:rPr>
          <w:rFonts w:ascii="Times New Roman" w:hAnsi="Times New Roman"/>
          <w:szCs w:val="22"/>
          <w:lang w:val="sk-SK"/>
        </w:rPr>
        <w:t>Verapamil</w:t>
      </w:r>
      <w:proofErr w:type="spellEnd"/>
      <w:r w:rsidR="006D06F2" w:rsidRPr="00B50F6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="006D06F2" w:rsidRPr="00B50F60">
        <w:rPr>
          <w:rFonts w:ascii="Times New Roman" w:hAnsi="Times New Roman"/>
          <w:szCs w:val="22"/>
          <w:lang w:val="sk-SK"/>
        </w:rPr>
        <w:t>inhibuje</w:t>
      </w:r>
      <w:proofErr w:type="spellEnd"/>
      <w:r w:rsidR="006D06F2" w:rsidRPr="00B50F60">
        <w:rPr>
          <w:rFonts w:ascii="Times New Roman" w:hAnsi="Times New Roman"/>
          <w:szCs w:val="22"/>
          <w:lang w:val="sk-SK"/>
        </w:rPr>
        <w:t xml:space="preserve"> </w:t>
      </w:r>
      <w:r w:rsidR="00436312" w:rsidRPr="00B50F60">
        <w:rPr>
          <w:rFonts w:ascii="Times New Roman" w:hAnsi="Times New Roman"/>
          <w:szCs w:val="22"/>
          <w:lang w:val="sk-SK"/>
        </w:rPr>
        <w:t>pomal</w:t>
      </w:r>
      <w:r w:rsidR="00C06285" w:rsidRPr="00B50F60">
        <w:rPr>
          <w:rFonts w:ascii="Times New Roman" w:hAnsi="Times New Roman"/>
          <w:szCs w:val="22"/>
          <w:lang w:val="sk-SK"/>
        </w:rPr>
        <w:t>é</w:t>
      </w:r>
      <w:r w:rsidR="00436312" w:rsidRPr="00B50F60">
        <w:rPr>
          <w:rFonts w:ascii="Times New Roman" w:hAnsi="Times New Roman"/>
          <w:szCs w:val="22"/>
          <w:lang w:val="sk-SK"/>
        </w:rPr>
        <w:t xml:space="preserve"> </w:t>
      </w:r>
      <w:r w:rsidR="00C06285" w:rsidRPr="00B50F60">
        <w:rPr>
          <w:rFonts w:ascii="Times New Roman" w:hAnsi="Times New Roman"/>
          <w:szCs w:val="22"/>
          <w:lang w:val="sk-SK"/>
        </w:rPr>
        <w:t>vápnikové kanály</w:t>
      </w:r>
      <w:r w:rsidR="006D06F2" w:rsidRPr="00B50F60">
        <w:rPr>
          <w:rFonts w:ascii="Times New Roman" w:hAnsi="Times New Roman"/>
          <w:szCs w:val="22"/>
          <w:lang w:val="sk-SK"/>
        </w:rPr>
        <w:t xml:space="preserve"> a môže </w:t>
      </w:r>
      <w:r w:rsidR="00C06285" w:rsidRPr="00B50F60">
        <w:rPr>
          <w:rFonts w:ascii="Times New Roman" w:hAnsi="Times New Roman"/>
          <w:szCs w:val="22"/>
          <w:lang w:val="sk-SK"/>
        </w:rPr>
        <w:t xml:space="preserve">zvýšiť </w:t>
      </w:r>
      <w:r w:rsidR="006D06F2" w:rsidRPr="00B50F60">
        <w:rPr>
          <w:rFonts w:ascii="Times New Roman" w:hAnsi="Times New Roman"/>
          <w:szCs w:val="22"/>
          <w:lang w:val="sk-SK"/>
        </w:rPr>
        <w:t xml:space="preserve">bunkové vychytávanie </w:t>
      </w:r>
      <w:proofErr w:type="spellStart"/>
      <w:r w:rsidR="006D06F2" w:rsidRPr="00B50F60">
        <w:rPr>
          <w:rFonts w:ascii="Times New Roman" w:hAnsi="Times New Roman"/>
          <w:szCs w:val="22"/>
          <w:lang w:val="sk-SK"/>
        </w:rPr>
        <w:t>doxorubicínu</w:t>
      </w:r>
      <w:proofErr w:type="spellEnd"/>
      <w:r w:rsidR="006D06F2" w:rsidRPr="00B50F60">
        <w:rPr>
          <w:rFonts w:ascii="Times New Roman" w:hAnsi="Times New Roman"/>
          <w:szCs w:val="22"/>
          <w:lang w:val="sk-SK"/>
        </w:rPr>
        <w:t xml:space="preserve">. Pri pokusoch na zvieratách </w:t>
      </w:r>
      <w:r w:rsidR="00C06285" w:rsidRPr="00B50F60">
        <w:rPr>
          <w:rFonts w:ascii="Times New Roman" w:hAnsi="Times New Roman"/>
          <w:szCs w:val="22"/>
          <w:lang w:val="sk-SK"/>
        </w:rPr>
        <w:t xml:space="preserve">došlo za použitia </w:t>
      </w:r>
      <w:r w:rsidR="006D06F2" w:rsidRPr="00B50F60">
        <w:rPr>
          <w:rFonts w:ascii="Times New Roman" w:hAnsi="Times New Roman"/>
          <w:szCs w:val="22"/>
          <w:lang w:val="sk-SK"/>
        </w:rPr>
        <w:t>kombináci</w:t>
      </w:r>
      <w:r w:rsidR="00C06285" w:rsidRPr="00B50F60">
        <w:rPr>
          <w:rFonts w:ascii="Times New Roman" w:hAnsi="Times New Roman"/>
          <w:szCs w:val="22"/>
          <w:lang w:val="sk-SK"/>
        </w:rPr>
        <w:t>e</w:t>
      </w:r>
      <w:r w:rsidR="006D06F2" w:rsidRPr="00B50F6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="006D06F2" w:rsidRPr="00B50F60">
        <w:rPr>
          <w:rFonts w:ascii="Times New Roman" w:hAnsi="Times New Roman"/>
          <w:szCs w:val="22"/>
          <w:lang w:val="sk-SK"/>
        </w:rPr>
        <w:t>doxorubicínu</w:t>
      </w:r>
      <w:proofErr w:type="spellEnd"/>
      <w:r w:rsidR="006D06F2" w:rsidRPr="00B50F60">
        <w:rPr>
          <w:rFonts w:ascii="Times New Roman" w:hAnsi="Times New Roman"/>
          <w:szCs w:val="22"/>
          <w:lang w:val="sk-SK"/>
        </w:rPr>
        <w:t xml:space="preserve"> a </w:t>
      </w:r>
      <w:proofErr w:type="spellStart"/>
      <w:r w:rsidR="006D06F2" w:rsidRPr="00B50F60">
        <w:rPr>
          <w:rFonts w:ascii="Times New Roman" w:hAnsi="Times New Roman"/>
          <w:szCs w:val="22"/>
          <w:lang w:val="sk-SK"/>
        </w:rPr>
        <w:t>verapamilu</w:t>
      </w:r>
      <w:proofErr w:type="spellEnd"/>
      <w:r w:rsidR="006D06F2" w:rsidRPr="00B50F60">
        <w:rPr>
          <w:rFonts w:ascii="Times New Roman" w:hAnsi="Times New Roman"/>
          <w:szCs w:val="22"/>
          <w:lang w:val="sk-SK"/>
        </w:rPr>
        <w:t xml:space="preserve"> </w:t>
      </w:r>
      <w:r w:rsidR="00C06285" w:rsidRPr="00B50F60">
        <w:rPr>
          <w:rFonts w:ascii="Times New Roman" w:hAnsi="Times New Roman"/>
          <w:szCs w:val="22"/>
          <w:lang w:val="sk-SK"/>
        </w:rPr>
        <w:t xml:space="preserve">k rozvoju závažných </w:t>
      </w:r>
      <w:r w:rsidR="001E1CC2" w:rsidRPr="00B50F60">
        <w:rPr>
          <w:rFonts w:ascii="Times New Roman" w:hAnsi="Times New Roman"/>
          <w:szCs w:val="22"/>
          <w:lang w:val="sk-SK"/>
        </w:rPr>
        <w:t>nežiaducich</w:t>
      </w:r>
      <w:r w:rsidR="00C06285" w:rsidRPr="00B50F60">
        <w:rPr>
          <w:rFonts w:ascii="Times New Roman" w:hAnsi="Times New Roman"/>
          <w:szCs w:val="22"/>
          <w:lang w:val="sk-SK"/>
        </w:rPr>
        <w:t xml:space="preserve"> účinkov.</w:t>
      </w:r>
      <w:r w:rsidR="006D06F2" w:rsidRPr="00B50F60">
        <w:rPr>
          <w:rFonts w:ascii="Times New Roman" w:hAnsi="Times New Roman"/>
          <w:szCs w:val="22"/>
          <w:lang w:val="sk-SK"/>
        </w:rPr>
        <w:t xml:space="preserve"> </w:t>
      </w:r>
    </w:p>
    <w:p w14:paraId="59922DA0" w14:textId="77777777" w:rsidR="006D06F2" w:rsidRPr="00B50F60" w:rsidRDefault="006D06F2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57ED2698" w14:textId="77777777" w:rsidR="00B750C4" w:rsidRPr="00B50F60" w:rsidRDefault="00B750C4" w:rsidP="00FC2976">
      <w:pPr>
        <w:tabs>
          <w:tab w:val="left" w:pos="567"/>
        </w:tabs>
        <w:outlineLvl w:val="0"/>
        <w:rPr>
          <w:rFonts w:ascii="Times New Roman" w:hAnsi="Times New Roman"/>
          <w:b/>
          <w:szCs w:val="22"/>
          <w:lang w:val="sk-SK"/>
        </w:rPr>
      </w:pPr>
      <w:r w:rsidRPr="00B50F60">
        <w:rPr>
          <w:rFonts w:ascii="Times New Roman" w:hAnsi="Times New Roman"/>
          <w:b/>
          <w:szCs w:val="22"/>
          <w:lang w:val="sk-SK"/>
        </w:rPr>
        <w:t>5.2</w:t>
      </w:r>
      <w:r w:rsidRPr="00B50F60">
        <w:rPr>
          <w:rFonts w:ascii="Times New Roman" w:hAnsi="Times New Roman"/>
          <w:b/>
          <w:szCs w:val="22"/>
          <w:lang w:val="sk-SK"/>
        </w:rPr>
        <w:tab/>
      </w:r>
      <w:proofErr w:type="spellStart"/>
      <w:r w:rsidR="00E166D8" w:rsidRPr="00B50F60">
        <w:rPr>
          <w:rFonts w:ascii="Times New Roman" w:hAnsi="Times New Roman"/>
          <w:b/>
          <w:szCs w:val="22"/>
          <w:lang w:val="sk-SK"/>
        </w:rPr>
        <w:t>Farmakokinetické</w:t>
      </w:r>
      <w:proofErr w:type="spellEnd"/>
      <w:r w:rsidR="00E166D8" w:rsidRPr="00B50F60">
        <w:rPr>
          <w:rFonts w:ascii="Times New Roman" w:hAnsi="Times New Roman"/>
          <w:b/>
          <w:szCs w:val="22"/>
          <w:lang w:val="sk-SK"/>
        </w:rPr>
        <w:t xml:space="preserve"> vlastnosti</w:t>
      </w:r>
    </w:p>
    <w:p w14:paraId="3FEE7C65" w14:textId="77777777" w:rsidR="00B750C4" w:rsidRPr="00B50F60" w:rsidRDefault="00B750C4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3B270D1A" w14:textId="62D138E4" w:rsidR="00B750C4" w:rsidRPr="00B50F60" w:rsidRDefault="00E166D8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 xml:space="preserve">Po intravenóznej </w:t>
      </w:r>
      <w:r w:rsidR="008E6CCE" w:rsidRPr="00B50F60">
        <w:rPr>
          <w:rFonts w:ascii="Times New Roman" w:hAnsi="Times New Roman"/>
          <w:szCs w:val="22"/>
          <w:lang w:val="sk-SK"/>
        </w:rPr>
        <w:t>injekcii</w:t>
      </w:r>
      <w:r w:rsidR="00C05049" w:rsidRPr="00B50F60">
        <w:rPr>
          <w:rFonts w:ascii="Times New Roman" w:hAnsi="Times New Roman"/>
          <w:szCs w:val="22"/>
          <w:lang w:val="sk-SK"/>
        </w:rPr>
        <w:t xml:space="preserve"> </w:t>
      </w:r>
      <w:r w:rsidR="0029665F" w:rsidRPr="00B50F60">
        <w:rPr>
          <w:rFonts w:ascii="Times New Roman" w:hAnsi="Times New Roman"/>
          <w:szCs w:val="22"/>
          <w:lang w:val="sk-SK"/>
        </w:rPr>
        <w:t>je</w:t>
      </w:r>
      <w:r w:rsidRPr="00B50F6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B50F60">
        <w:rPr>
          <w:rFonts w:ascii="Times New Roman" w:hAnsi="Times New Roman"/>
          <w:szCs w:val="22"/>
          <w:lang w:val="sk-SK"/>
        </w:rPr>
        <w:t>doxorubicín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</w:t>
      </w:r>
      <w:r w:rsidR="008E6CCE" w:rsidRPr="00B50F60">
        <w:rPr>
          <w:rFonts w:ascii="Times New Roman" w:hAnsi="Times New Roman"/>
          <w:szCs w:val="22"/>
          <w:lang w:val="sk-SK"/>
        </w:rPr>
        <w:t xml:space="preserve">z krvi </w:t>
      </w:r>
      <w:r w:rsidRPr="00B50F60">
        <w:rPr>
          <w:rFonts w:ascii="Times New Roman" w:hAnsi="Times New Roman"/>
          <w:szCs w:val="22"/>
          <w:lang w:val="sk-SK"/>
        </w:rPr>
        <w:t>rýchlo</w:t>
      </w:r>
      <w:r w:rsidR="0029665F" w:rsidRPr="00B50F60">
        <w:rPr>
          <w:rFonts w:ascii="Times New Roman" w:hAnsi="Times New Roman"/>
          <w:szCs w:val="22"/>
          <w:lang w:val="sk-SK"/>
        </w:rPr>
        <w:t xml:space="preserve"> vychytáv</w:t>
      </w:r>
      <w:r w:rsidR="00A00973">
        <w:rPr>
          <w:rFonts w:ascii="Times New Roman" w:hAnsi="Times New Roman"/>
          <w:szCs w:val="22"/>
          <w:lang w:val="sk-SK"/>
        </w:rPr>
        <w:t>aný</w:t>
      </w:r>
      <w:r w:rsidR="0029665F" w:rsidRPr="00B50F60">
        <w:rPr>
          <w:rFonts w:ascii="Times New Roman" w:hAnsi="Times New Roman"/>
          <w:szCs w:val="22"/>
          <w:lang w:val="sk-SK"/>
        </w:rPr>
        <w:t xml:space="preserve"> a distribuov</w:t>
      </w:r>
      <w:r w:rsidR="00A00973">
        <w:rPr>
          <w:rFonts w:ascii="Times New Roman" w:hAnsi="Times New Roman"/>
          <w:szCs w:val="22"/>
          <w:lang w:val="sk-SK"/>
        </w:rPr>
        <w:t>aný</w:t>
      </w:r>
      <w:r w:rsidRPr="00B50F60">
        <w:rPr>
          <w:rFonts w:ascii="Times New Roman" w:hAnsi="Times New Roman"/>
          <w:szCs w:val="22"/>
          <w:lang w:val="sk-SK"/>
        </w:rPr>
        <w:t xml:space="preserve"> do tkanív vrátane pľúc, pečene, srdca, sleziny, lymfatických uzlín, kostnej drene a obličiek. Relatívne nízke</w:t>
      </w:r>
      <w:r w:rsidR="00007DAC" w:rsidRPr="00B50F60">
        <w:rPr>
          <w:rFonts w:ascii="Times New Roman" w:hAnsi="Times New Roman"/>
          <w:szCs w:val="22"/>
          <w:lang w:val="sk-SK"/>
        </w:rPr>
        <w:t>,</w:t>
      </w:r>
      <w:r w:rsidRPr="00B50F60">
        <w:rPr>
          <w:rFonts w:ascii="Times New Roman" w:hAnsi="Times New Roman"/>
          <w:szCs w:val="22"/>
          <w:lang w:val="sk-SK"/>
        </w:rPr>
        <w:t xml:space="preserve"> ale pretrvávajúce hladiny </w:t>
      </w:r>
      <w:r w:rsidR="00C05049" w:rsidRPr="00B50F60">
        <w:rPr>
          <w:rFonts w:ascii="Times New Roman" w:hAnsi="Times New Roman"/>
          <w:szCs w:val="22"/>
          <w:lang w:val="sk-SK"/>
        </w:rPr>
        <w:t>boli nájdené</w:t>
      </w:r>
      <w:r w:rsidRPr="00B50F60">
        <w:rPr>
          <w:rFonts w:ascii="Times New Roman" w:hAnsi="Times New Roman"/>
          <w:szCs w:val="22"/>
          <w:lang w:val="sk-SK"/>
        </w:rPr>
        <w:t xml:space="preserve"> v </w:t>
      </w:r>
      <w:r w:rsidR="00007DAC" w:rsidRPr="00B50F60">
        <w:rPr>
          <w:rFonts w:ascii="Times New Roman" w:hAnsi="Times New Roman"/>
          <w:szCs w:val="22"/>
          <w:lang w:val="sk-SK"/>
        </w:rPr>
        <w:t xml:space="preserve">nádorovom </w:t>
      </w:r>
      <w:r w:rsidRPr="00B50F60">
        <w:rPr>
          <w:rFonts w:ascii="Times New Roman" w:hAnsi="Times New Roman"/>
          <w:szCs w:val="22"/>
          <w:lang w:val="sk-SK"/>
        </w:rPr>
        <w:t>tkanive.</w:t>
      </w:r>
    </w:p>
    <w:p w14:paraId="642E7330" w14:textId="77777777" w:rsidR="00E166D8" w:rsidRPr="00B50F60" w:rsidRDefault="00E166D8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6505E2FC" w14:textId="77777777" w:rsidR="00E166D8" w:rsidRPr="00B50F60" w:rsidRDefault="00E166D8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  <w:proofErr w:type="spellStart"/>
      <w:r w:rsidRPr="00B50F60">
        <w:rPr>
          <w:rFonts w:ascii="Times New Roman" w:hAnsi="Times New Roman"/>
          <w:szCs w:val="22"/>
          <w:lang w:val="sk-SK"/>
        </w:rPr>
        <w:t>D</w:t>
      </w:r>
      <w:r w:rsidR="00B30C55" w:rsidRPr="00B50F60">
        <w:rPr>
          <w:rFonts w:ascii="Times New Roman" w:hAnsi="Times New Roman"/>
          <w:szCs w:val="22"/>
          <w:lang w:val="sk-SK"/>
        </w:rPr>
        <w:t>o</w:t>
      </w:r>
      <w:r w:rsidRPr="00B50F60">
        <w:rPr>
          <w:rFonts w:ascii="Times New Roman" w:hAnsi="Times New Roman"/>
          <w:szCs w:val="22"/>
          <w:lang w:val="sk-SK"/>
        </w:rPr>
        <w:t>xorubicín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sa rýchlo metabolizuje v pečeni.</w:t>
      </w:r>
      <w:r w:rsidR="001C67D5" w:rsidRPr="00B50F60">
        <w:rPr>
          <w:rFonts w:ascii="Times New Roman" w:hAnsi="Times New Roman"/>
          <w:szCs w:val="22"/>
          <w:lang w:val="sk-SK"/>
        </w:rPr>
        <w:t xml:space="preserve"> </w:t>
      </w:r>
      <w:r w:rsidRPr="00B50F60">
        <w:rPr>
          <w:rFonts w:ascii="Times New Roman" w:hAnsi="Times New Roman"/>
          <w:szCs w:val="22"/>
          <w:lang w:val="sk-SK"/>
        </w:rPr>
        <w:t xml:space="preserve">Najčastejším </w:t>
      </w:r>
      <w:proofErr w:type="spellStart"/>
      <w:r w:rsidRPr="00B50F60">
        <w:rPr>
          <w:rFonts w:ascii="Times New Roman" w:hAnsi="Times New Roman"/>
          <w:szCs w:val="22"/>
          <w:lang w:val="sk-SK"/>
        </w:rPr>
        <w:t>metabolitom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je </w:t>
      </w:r>
      <w:proofErr w:type="spellStart"/>
      <w:r w:rsidRPr="00B50F60">
        <w:rPr>
          <w:rFonts w:ascii="Times New Roman" w:hAnsi="Times New Roman"/>
          <w:szCs w:val="22"/>
          <w:lang w:val="sk-SK"/>
        </w:rPr>
        <w:t>doxorubicinol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, hoci u značnej časti pacientov sa </w:t>
      </w:r>
      <w:r w:rsidR="001C67D5" w:rsidRPr="00B50F60">
        <w:rPr>
          <w:rFonts w:ascii="Times New Roman" w:hAnsi="Times New Roman"/>
          <w:szCs w:val="22"/>
          <w:lang w:val="sk-SK"/>
        </w:rPr>
        <w:t>vytvára</w:t>
      </w:r>
      <w:r w:rsidRPr="00B50F60">
        <w:rPr>
          <w:rFonts w:ascii="Times New Roman" w:hAnsi="Times New Roman"/>
          <w:szCs w:val="22"/>
          <w:lang w:val="sk-SK"/>
        </w:rPr>
        <w:t xml:space="preserve"> doxorubicín</w:t>
      </w:r>
      <w:r w:rsidRPr="00B50F60">
        <w:rPr>
          <w:rFonts w:ascii="Times New Roman" w:hAnsi="Times New Roman"/>
          <w:szCs w:val="22"/>
          <w:lang w:val="sk-SK"/>
        </w:rPr>
        <w:noBreakHyphen/>
        <w:t>7</w:t>
      </w:r>
      <w:r w:rsidRPr="00B50F60">
        <w:rPr>
          <w:rFonts w:ascii="Times New Roman" w:hAnsi="Times New Roman"/>
          <w:szCs w:val="22"/>
          <w:lang w:val="sk-SK"/>
        </w:rPr>
        <w:noBreakHyphen/>
        <w:t>deoxyaglykón a doxorubicinol</w:t>
      </w:r>
      <w:r w:rsidRPr="00B50F60">
        <w:rPr>
          <w:rFonts w:ascii="Times New Roman" w:hAnsi="Times New Roman"/>
          <w:szCs w:val="22"/>
          <w:lang w:val="sk-SK"/>
        </w:rPr>
        <w:noBreakHyphen/>
        <w:t>7</w:t>
      </w:r>
      <w:r w:rsidRPr="00B50F60">
        <w:rPr>
          <w:rFonts w:ascii="Times New Roman" w:hAnsi="Times New Roman"/>
          <w:szCs w:val="22"/>
          <w:lang w:val="sk-SK"/>
        </w:rPr>
        <w:noBreakHyphen/>
        <w:t>deoxyaglykón. Do 7 dní sa asi 40 až 50</w:t>
      </w:r>
      <w:r w:rsidR="00CE22BE" w:rsidRPr="00B50F60">
        <w:rPr>
          <w:rFonts w:ascii="Times New Roman" w:hAnsi="Times New Roman"/>
          <w:szCs w:val="22"/>
          <w:lang w:val="sk-SK"/>
        </w:rPr>
        <w:t> </w:t>
      </w:r>
      <w:r w:rsidRPr="00B50F60">
        <w:rPr>
          <w:rFonts w:ascii="Times New Roman" w:hAnsi="Times New Roman"/>
          <w:szCs w:val="22"/>
          <w:lang w:val="sk-SK"/>
        </w:rPr>
        <w:t>% dávky</w:t>
      </w:r>
      <w:r w:rsidR="00FE24FE" w:rsidRPr="00B50F60">
        <w:rPr>
          <w:rFonts w:ascii="Times New Roman" w:hAnsi="Times New Roman"/>
          <w:szCs w:val="22"/>
          <w:lang w:val="sk-SK"/>
        </w:rPr>
        <w:t xml:space="preserve"> vylúči žlčou</w:t>
      </w:r>
      <w:r w:rsidRPr="00B50F60">
        <w:rPr>
          <w:rFonts w:ascii="Times New Roman" w:hAnsi="Times New Roman"/>
          <w:szCs w:val="22"/>
          <w:lang w:val="sk-SK"/>
        </w:rPr>
        <w:t xml:space="preserve">, z čoho asi polovica je nezmenené </w:t>
      </w:r>
      <w:r w:rsidR="008E6CCE" w:rsidRPr="00B50F60">
        <w:rPr>
          <w:rFonts w:ascii="Times New Roman" w:hAnsi="Times New Roman"/>
          <w:szCs w:val="22"/>
          <w:lang w:val="sk-SK"/>
        </w:rPr>
        <w:t xml:space="preserve">aktívne </w:t>
      </w:r>
      <w:r w:rsidRPr="00B50F60">
        <w:rPr>
          <w:rFonts w:ascii="Times New Roman" w:hAnsi="Times New Roman"/>
          <w:szCs w:val="22"/>
          <w:lang w:val="sk-SK"/>
        </w:rPr>
        <w:t>liečivo</w:t>
      </w:r>
      <w:r w:rsidR="00FE24FE" w:rsidRPr="00B50F60">
        <w:rPr>
          <w:rFonts w:ascii="Times New Roman" w:hAnsi="Times New Roman"/>
          <w:szCs w:val="22"/>
          <w:lang w:val="sk-SK"/>
        </w:rPr>
        <w:t>.</w:t>
      </w:r>
      <w:r w:rsidRPr="00B50F60">
        <w:rPr>
          <w:rFonts w:ascii="Times New Roman" w:hAnsi="Times New Roman"/>
          <w:szCs w:val="22"/>
          <w:lang w:val="sk-SK"/>
        </w:rPr>
        <w:t xml:space="preserve"> </w:t>
      </w:r>
      <w:r w:rsidR="00FE24FE" w:rsidRPr="00B50F60">
        <w:rPr>
          <w:rFonts w:ascii="Times New Roman" w:hAnsi="Times New Roman"/>
          <w:szCs w:val="22"/>
          <w:lang w:val="sk-SK"/>
        </w:rPr>
        <w:t>Len</w:t>
      </w:r>
      <w:r w:rsidRPr="00B50F60">
        <w:rPr>
          <w:rFonts w:ascii="Times New Roman" w:hAnsi="Times New Roman"/>
          <w:szCs w:val="22"/>
          <w:lang w:val="sk-SK"/>
        </w:rPr>
        <w:t xml:space="preserve"> asi 5</w:t>
      </w:r>
      <w:r w:rsidR="00CE22BE" w:rsidRPr="00B50F60">
        <w:rPr>
          <w:rFonts w:ascii="Times New Roman" w:hAnsi="Times New Roman"/>
          <w:szCs w:val="22"/>
          <w:lang w:val="sk-SK"/>
        </w:rPr>
        <w:t> </w:t>
      </w:r>
      <w:r w:rsidRPr="00B50F60">
        <w:rPr>
          <w:rFonts w:ascii="Times New Roman" w:hAnsi="Times New Roman"/>
          <w:szCs w:val="22"/>
          <w:lang w:val="sk-SK"/>
        </w:rPr>
        <w:t>% dávky sa do 5</w:t>
      </w:r>
      <w:r w:rsidR="008D2A1A" w:rsidRPr="00B50F60">
        <w:rPr>
          <w:rFonts w:ascii="Times New Roman" w:hAnsi="Times New Roman"/>
          <w:szCs w:val="22"/>
          <w:lang w:val="sk-SK"/>
        </w:rPr>
        <w:t> </w:t>
      </w:r>
      <w:r w:rsidRPr="00B50F60">
        <w:rPr>
          <w:rFonts w:ascii="Times New Roman" w:hAnsi="Times New Roman"/>
          <w:szCs w:val="22"/>
          <w:lang w:val="sk-SK"/>
        </w:rPr>
        <w:t xml:space="preserve">dní vylúči močom. </w:t>
      </w:r>
      <w:proofErr w:type="spellStart"/>
      <w:r w:rsidRPr="00B50F60">
        <w:rPr>
          <w:rFonts w:ascii="Times New Roman" w:hAnsi="Times New Roman"/>
          <w:szCs w:val="22"/>
          <w:lang w:val="sk-SK"/>
        </w:rPr>
        <w:t>Doxorubicinol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, hlavný (aktívny) </w:t>
      </w:r>
      <w:proofErr w:type="spellStart"/>
      <w:r w:rsidRPr="00B50F60">
        <w:rPr>
          <w:rFonts w:ascii="Times New Roman" w:hAnsi="Times New Roman"/>
          <w:szCs w:val="22"/>
          <w:lang w:val="sk-SK"/>
        </w:rPr>
        <w:t>metabolit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, sa vylučuje žlčou aj močom. Neprechádza </w:t>
      </w:r>
      <w:proofErr w:type="spellStart"/>
      <w:r w:rsidRPr="00B50F60">
        <w:rPr>
          <w:rFonts w:ascii="Times New Roman" w:hAnsi="Times New Roman"/>
          <w:szCs w:val="22"/>
          <w:lang w:val="sk-SK"/>
        </w:rPr>
        <w:t>hematoencefalickou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bariérou, ale prechádza placentou a vylučuje sa do materského mlieka. Eliminácia </w:t>
      </w:r>
      <w:proofErr w:type="spellStart"/>
      <w:r w:rsidRPr="00B50F60">
        <w:rPr>
          <w:rFonts w:ascii="Times New Roman" w:hAnsi="Times New Roman"/>
          <w:szCs w:val="22"/>
          <w:lang w:val="sk-SK"/>
        </w:rPr>
        <w:t>doxorubicínu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z krvi </w:t>
      </w:r>
      <w:r w:rsidR="00FE24FE" w:rsidRPr="00B50F60">
        <w:rPr>
          <w:rFonts w:ascii="Times New Roman" w:hAnsi="Times New Roman"/>
          <w:szCs w:val="22"/>
          <w:lang w:val="sk-SK"/>
        </w:rPr>
        <w:t>prebieha v troch fázach</w:t>
      </w:r>
      <w:r w:rsidRPr="00B50F60">
        <w:rPr>
          <w:rFonts w:ascii="Times New Roman" w:hAnsi="Times New Roman"/>
          <w:szCs w:val="22"/>
          <w:lang w:val="sk-SK"/>
        </w:rPr>
        <w:t xml:space="preserve"> s priemernými polčasmi 12</w:t>
      </w:r>
      <w:r w:rsidR="00CE22BE" w:rsidRPr="00B50F60">
        <w:rPr>
          <w:rFonts w:ascii="Times New Roman" w:hAnsi="Times New Roman"/>
          <w:szCs w:val="22"/>
          <w:lang w:val="sk-SK"/>
        </w:rPr>
        <w:t> </w:t>
      </w:r>
      <w:r w:rsidRPr="00B50F60">
        <w:rPr>
          <w:rFonts w:ascii="Times New Roman" w:hAnsi="Times New Roman"/>
          <w:szCs w:val="22"/>
          <w:lang w:val="sk-SK"/>
        </w:rPr>
        <w:t>minút, 3,3</w:t>
      </w:r>
      <w:r w:rsidR="00CE22BE" w:rsidRPr="00B50F60">
        <w:rPr>
          <w:rFonts w:ascii="Times New Roman" w:hAnsi="Times New Roman"/>
          <w:szCs w:val="22"/>
          <w:lang w:val="sk-SK"/>
        </w:rPr>
        <w:t> </w:t>
      </w:r>
      <w:r w:rsidRPr="00B50F60">
        <w:rPr>
          <w:rFonts w:ascii="Times New Roman" w:hAnsi="Times New Roman"/>
          <w:szCs w:val="22"/>
          <w:lang w:val="sk-SK"/>
        </w:rPr>
        <w:t>hodiny a asi 30</w:t>
      </w:r>
      <w:r w:rsidR="00CE22BE" w:rsidRPr="00B50F60">
        <w:rPr>
          <w:rFonts w:ascii="Times New Roman" w:hAnsi="Times New Roman"/>
          <w:szCs w:val="22"/>
          <w:lang w:val="sk-SK"/>
        </w:rPr>
        <w:t> </w:t>
      </w:r>
      <w:r w:rsidRPr="00B50F60">
        <w:rPr>
          <w:rFonts w:ascii="Times New Roman" w:hAnsi="Times New Roman"/>
          <w:szCs w:val="22"/>
          <w:lang w:val="sk-SK"/>
        </w:rPr>
        <w:t xml:space="preserve">hodín. </w:t>
      </w:r>
    </w:p>
    <w:p w14:paraId="2DE1C2A0" w14:textId="77777777" w:rsidR="00B750C4" w:rsidRPr="00B50F60" w:rsidRDefault="00B750C4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48F44F3D" w14:textId="0F80691C" w:rsidR="00E65353" w:rsidRPr="00B50F60" w:rsidRDefault="00E65353" w:rsidP="00E0676E">
      <w:pPr>
        <w:pStyle w:val="Standardenglisch"/>
        <w:keepNext/>
        <w:keepLines/>
        <w:widowControl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 xml:space="preserve">Distribučný objem </w:t>
      </w:r>
      <w:proofErr w:type="spellStart"/>
      <w:r w:rsidRPr="00B50F60">
        <w:rPr>
          <w:rFonts w:ascii="Times New Roman" w:hAnsi="Times New Roman"/>
          <w:szCs w:val="22"/>
          <w:lang w:val="sk-SK"/>
        </w:rPr>
        <w:t>V</w:t>
      </w:r>
      <w:r w:rsidR="00580FBD" w:rsidRPr="00B50F60">
        <w:rPr>
          <w:rFonts w:ascii="Times New Roman" w:hAnsi="Times New Roman"/>
          <w:szCs w:val="22"/>
          <w:vertAlign w:val="subscript"/>
          <w:lang w:val="sk-SK"/>
        </w:rPr>
        <w:t>d</w:t>
      </w:r>
      <w:proofErr w:type="spellEnd"/>
      <w:r w:rsidR="001C67D5" w:rsidRPr="00B50F60">
        <w:rPr>
          <w:rFonts w:ascii="Times New Roman" w:hAnsi="Times New Roman"/>
          <w:szCs w:val="22"/>
          <w:vertAlign w:val="subscript"/>
          <w:lang w:val="sk-SK"/>
        </w:rPr>
        <w:t xml:space="preserve"> </w:t>
      </w:r>
      <w:r w:rsidRPr="00B50F60">
        <w:rPr>
          <w:rFonts w:ascii="Times New Roman" w:hAnsi="Times New Roman"/>
          <w:szCs w:val="22"/>
          <w:lang w:val="sk-SK"/>
        </w:rPr>
        <w:t xml:space="preserve">je </w:t>
      </w:r>
      <w:smartTag w:uri="urn:schemas-microsoft-com:office:smarttags" w:element="metricconverter">
        <w:smartTagPr>
          <w:attr w:name="ProductID" w:val="25ﾠl"/>
        </w:smartTagPr>
        <w:r w:rsidRPr="00B50F60">
          <w:rPr>
            <w:rFonts w:ascii="Times New Roman" w:hAnsi="Times New Roman"/>
            <w:szCs w:val="22"/>
            <w:lang w:val="sk-SK"/>
          </w:rPr>
          <w:t>25</w:t>
        </w:r>
        <w:r w:rsidR="00CE22BE" w:rsidRPr="00B50F60">
          <w:rPr>
            <w:rFonts w:ascii="Times New Roman" w:hAnsi="Times New Roman"/>
            <w:szCs w:val="22"/>
            <w:lang w:val="sk-SK"/>
          </w:rPr>
          <w:t> </w:t>
        </w:r>
        <w:r w:rsidRPr="00B50F60">
          <w:rPr>
            <w:rFonts w:ascii="Times New Roman" w:hAnsi="Times New Roman"/>
            <w:szCs w:val="22"/>
            <w:lang w:val="sk-SK"/>
          </w:rPr>
          <w:t>l</w:t>
        </w:r>
      </w:smartTag>
      <w:r w:rsidR="008E6CCE" w:rsidRPr="00B50F60">
        <w:rPr>
          <w:rFonts w:ascii="Times New Roman" w:hAnsi="Times New Roman"/>
          <w:szCs w:val="22"/>
          <w:lang w:val="sk-SK"/>
        </w:rPr>
        <w:t>;</w:t>
      </w:r>
      <w:r w:rsidRPr="00B50F60">
        <w:rPr>
          <w:rFonts w:ascii="Times New Roman" w:hAnsi="Times New Roman"/>
          <w:szCs w:val="22"/>
          <w:lang w:val="sk-SK"/>
        </w:rPr>
        <w:t xml:space="preserve"> stupeň väzby na bielkoviny je 60</w:t>
      </w:r>
      <w:r w:rsidR="004E44F5" w:rsidRPr="00B50F60">
        <w:rPr>
          <w:rFonts w:ascii="Times New Roman" w:hAnsi="Times New Roman"/>
          <w:szCs w:val="22"/>
          <w:lang w:val="sk-SK"/>
        </w:rPr>
        <w:t> </w:t>
      </w:r>
      <w:r w:rsidR="00CD2179" w:rsidRPr="00B50F60">
        <w:rPr>
          <w:rFonts w:ascii="Times New Roman" w:hAnsi="Times New Roman"/>
          <w:szCs w:val="22"/>
          <w:lang w:val="sk-SK"/>
        </w:rPr>
        <w:t>–</w:t>
      </w:r>
      <w:r w:rsidR="004E44F5" w:rsidRPr="00B50F60">
        <w:rPr>
          <w:rFonts w:ascii="Times New Roman" w:hAnsi="Times New Roman"/>
          <w:szCs w:val="22"/>
          <w:lang w:val="sk-SK"/>
        </w:rPr>
        <w:t> </w:t>
      </w:r>
      <w:r w:rsidRPr="00B50F60">
        <w:rPr>
          <w:rFonts w:ascii="Times New Roman" w:hAnsi="Times New Roman"/>
          <w:szCs w:val="22"/>
          <w:lang w:val="sk-SK"/>
        </w:rPr>
        <w:t>70</w:t>
      </w:r>
      <w:r w:rsidR="00CE22BE" w:rsidRPr="00B50F60">
        <w:rPr>
          <w:rFonts w:ascii="Times New Roman" w:hAnsi="Times New Roman"/>
          <w:szCs w:val="22"/>
          <w:lang w:val="sk-SK"/>
        </w:rPr>
        <w:t> </w:t>
      </w:r>
      <w:r w:rsidRPr="00B50F60">
        <w:rPr>
          <w:rFonts w:ascii="Times New Roman" w:hAnsi="Times New Roman"/>
          <w:szCs w:val="22"/>
          <w:lang w:val="sk-SK"/>
        </w:rPr>
        <w:t xml:space="preserve">%. </w:t>
      </w:r>
      <w:r w:rsidR="001C67D5" w:rsidRPr="00B50F60">
        <w:rPr>
          <w:rFonts w:ascii="Times New Roman" w:hAnsi="Times New Roman"/>
          <w:szCs w:val="22"/>
          <w:lang w:val="sk-SK"/>
        </w:rPr>
        <w:t xml:space="preserve">V </w:t>
      </w:r>
      <w:proofErr w:type="spellStart"/>
      <w:r w:rsidR="001C67D5" w:rsidRPr="00B50F60">
        <w:rPr>
          <w:rFonts w:ascii="Times New Roman" w:hAnsi="Times New Roman"/>
          <w:szCs w:val="22"/>
          <w:lang w:val="sk-SK"/>
        </w:rPr>
        <w:t>biotransformácii</w:t>
      </w:r>
      <w:proofErr w:type="spellEnd"/>
      <w:r w:rsidR="001C67D5" w:rsidRPr="00B50F60">
        <w:rPr>
          <w:rFonts w:ascii="Times New Roman" w:hAnsi="Times New Roman"/>
          <w:szCs w:val="22"/>
          <w:lang w:val="sk-SK"/>
        </w:rPr>
        <w:t xml:space="preserve"> e</w:t>
      </w:r>
      <w:r w:rsidRPr="00B50F60">
        <w:rPr>
          <w:rFonts w:ascii="Times New Roman" w:hAnsi="Times New Roman"/>
          <w:szCs w:val="22"/>
          <w:lang w:val="sk-SK"/>
        </w:rPr>
        <w:t xml:space="preserve">xistuje značná variácia medzi </w:t>
      </w:r>
      <w:r w:rsidR="001E1CC2" w:rsidRPr="00B50F60">
        <w:rPr>
          <w:rFonts w:ascii="Times New Roman" w:hAnsi="Times New Roman"/>
          <w:szCs w:val="22"/>
          <w:lang w:val="sk-SK"/>
        </w:rPr>
        <w:t>pacientmi</w:t>
      </w:r>
      <w:r w:rsidRPr="00B50F60">
        <w:rPr>
          <w:rFonts w:ascii="Times New Roman" w:hAnsi="Times New Roman"/>
          <w:szCs w:val="22"/>
          <w:lang w:val="sk-SK"/>
        </w:rPr>
        <w:t xml:space="preserve">. </w:t>
      </w:r>
      <w:proofErr w:type="spellStart"/>
      <w:r w:rsidR="003B7247">
        <w:rPr>
          <w:rFonts w:ascii="Times New Roman" w:hAnsi="Times New Roman"/>
          <w:szCs w:val="22"/>
          <w:lang w:val="sk-SK"/>
        </w:rPr>
        <w:t>Klírens</w:t>
      </w:r>
      <w:proofErr w:type="spellEnd"/>
      <w:r w:rsidR="00FE24FE" w:rsidRPr="00B50F60">
        <w:rPr>
          <w:rFonts w:ascii="Times New Roman" w:hAnsi="Times New Roman"/>
          <w:szCs w:val="22"/>
          <w:lang w:val="sk-SK"/>
        </w:rPr>
        <w:t xml:space="preserve"> </w:t>
      </w:r>
      <w:r w:rsidRPr="00B50F60">
        <w:rPr>
          <w:rFonts w:ascii="Times New Roman" w:hAnsi="Times New Roman"/>
          <w:szCs w:val="22"/>
          <w:lang w:val="sk-SK"/>
        </w:rPr>
        <w:t xml:space="preserve">je </w:t>
      </w:r>
      <w:r w:rsidR="001C67D5" w:rsidRPr="00B50F60">
        <w:rPr>
          <w:rFonts w:ascii="Times New Roman" w:hAnsi="Times New Roman"/>
          <w:szCs w:val="22"/>
          <w:lang w:val="sk-SK"/>
        </w:rPr>
        <w:t>zrejme</w:t>
      </w:r>
      <w:r w:rsidRPr="00B50F60">
        <w:rPr>
          <w:rFonts w:ascii="Times New Roman" w:hAnsi="Times New Roman"/>
          <w:szCs w:val="22"/>
          <w:lang w:val="sk-SK"/>
        </w:rPr>
        <w:t xml:space="preserve"> nezávislý od dávky, ale je vyšší u mužov ako u žien.</w:t>
      </w:r>
    </w:p>
    <w:p w14:paraId="5F90AC34" w14:textId="77777777" w:rsidR="00B750C4" w:rsidRPr="00B50F60" w:rsidRDefault="00B750C4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4C2B26F3" w14:textId="4C4D0853" w:rsidR="00E65353" w:rsidRPr="00B50F60" w:rsidRDefault="00FE1BFB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>U pacientov so zhoršenou funkciou pečene</w:t>
      </w:r>
      <w:r w:rsidR="00142CDD" w:rsidRPr="00B50F60">
        <w:rPr>
          <w:rFonts w:ascii="Times New Roman" w:hAnsi="Times New Roman"/>
          <w:szCs w:val="22"/>
          <w:lang w:val="sk-SK"/>
        </w:rPr>
        <w:t xml:space="preserve"> </w:t>
      </w:r>
      <w:r w:rsidRPr="00B50F60">
        <w:rPr>
          <w:rFonts w:ascii="Times New Roman" w:hAnsi="Times New Roman"/>
          <w:szCs w:val="22"/>
          <w:lang w:val="sk-SK"/>
        </w:rPr>
        <w:t xml:space="preserve">dochádza k </w:t>
      </w:r>
      <w:r w:rsidR="00E65353" w:rsidRPr="00B50F60">
        <w:rPr>
          <w:rFonts w:ascii="Times New Roman" w:hAnsi="Times New Roman"/>
          <w:szCs w:val="22"/>
          <w:lang w:val="sk-SK"/>
        </w:rPr>
        <w:t>spomaleni</w:t>
      </w:r>
      <w:r w:rsidRPr="00B50F60">
        <w:rPr>
          <w:rFonts w:ascii="Times New Roman" w:hAnsi="Times New Roman"/>
          <w:szCs w:val="22"/>
          <w:lang w:val="sk-SK"/>
        </w:rPr>
        <w:t>u</w:t>
      </w:r>
      <w:r w:rsidR="00E65353" w:rsidRPr="00B50F60">
        <w:rPr>
          <w:rFonts w:ascii="Times New Roman" w:hAnsi="Times New Roman"/>
          <w:szCs w:val="22"/>
          <w:lang w:val="sk-SK"/>
        </w:rPr>
        <w:t xml:space="preserve"> </w:t>
      </w:r>
      <w:r w:rsidRPr="00B50F60">
        <w:rPr>
          <w:rFonts w:ascii="Times New Roman" w:hAnsi="Times New Roman"/>
          <w:szCs w:val="22"/>
          <w:lang w:val="sk-SK"/>
        </w:rPr>
        <w:t>eliminácie</w:t>
      </w:r>
      <w:r w:rsidR="00E65353" w:rsidRPr="00B50F60">
        <w:rPr>
          <w:rFonts w:ascii="Times New Roman" w:hAnsi="Times New Roman"/>
          <w:szCs w:val="22"/>
          <w:lang w:val="sk-SK"/>
        </w:rPr>
        <w:t>, a tým aj zvýšeni</w:t>
      </w:r>
      <w:r w:rsidRPr="00B50F60">
        <w:rPr>
          <w:rFonts w:ascii="Times New Roman" w:hAnsi="Times New Roman"/>
          <w:szCs w:val="22"/>
          <w:lang w:val="sk-SK"/>
        </w:rPr>
        <w:t>u</w:t>
      </w:r>
      <w:r w:rsidR="00E65353" w:rsidRPr="00B50F6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="00E65353" w:rsidRPr="00B50F60">
        <w:rPr>
          <w:rFonts w:ascii="Times New Roman" w:hAnsi="Times New Roman"/>
          <w:szCs w:val="22"/>
          <w:lang w:val="sk-SK"/>
        </w:rPr>
        <w:t>retencie</w:t>
      </w:r>
      <w:proofErr w:type="spellEnd"/>
      <w:r w:rsidR="00E65353" w:rsidRPr="00B50F60">
        <w:rPr>
          <w:rFonts w:ascii="Times New Roman" w:hAnsi="Times New Roman"/>
          <w:szCs w:val="22"/>
          <w:lang w:val="sk-SK"/>
        </w:rPr>
        <w:t xml:space="preserve"> a akumulácie v plazme a tkanivách. Všeobecne sa odporúča zníženie dávky</w:t>
      </w:r>
      <w:r w:rsidRPr="00B50F60">
        <w:rPr>
          <w:rFonts w:ascii="Times New Roman" w:hAnsi="Times New Roman"/>
          <w:szCs w:val="22"/>
          <w:lang w:val="sk-SK"/>
        </w:rPr>
        <w:t xml:space="preserve"> aj v prípade</w:t>
      </w:r>
      <w:r w:rsidR="00E65353" w:rsidRPr="00B50F60">
        <w:rPr>
          <w:rFonts w:ascii="Times New Roman" w:hAnsi="Times New Roman"/>
          <w:szCs w:val="22"/>
          <w:lang w:val="sk-SK"/>
        </w:rPr>
        <w:t xml:space="preserve">, </w:t>
      </w:r>
      <w:r w:rsidRPr="00B50F60">
        <w:rPr>
          <w:rFonts w:ascii="Times New Roman" w:hAnsi="Times New Roman"/>
          <w:szCs w:val="22"/>
          <w:lang w:val="sk-SK"/>
        </w:rPr>
        <w:t xml:space="preserve">že </w:t>
      </w:r>
      <w:r w:rsidR="00E65353" w:rsidRPr="00B50F60">
        <w:rPr>
          <w:rFonts w:ascii="Times New Roman" w:hAnsi="Times New Roman"/>
          <w:szCs w:val="22"/>
          <w:lang w:val="sk-SK"/>
        </w:rPr>
        <w:t xml:space="preserve">nie je jasná súvislosť medzi testami </w:t>
      </w:r>
      <w:proofErr w:type="spellStart"/>
      <w:r w:rsidR="00E65353" w:rsidRPr="00B50F60">
        <w:rPr>
          <w:rFonts w:ascii="Times New Roman" w:hAnsi="Times New Roman"/>
          <w:szCs w:val="22"/>
          <w:lang w:val="sk-SK"/>
        </w:rPr>
        <w:t>hepatálnych</w:t>
      </w:r>
      <w:proofErr w:type="spellEnd"/>
      <w:r w:rsidR="00E65353" w:rsidRPr="00B50F60">
        <w:rPr>
          <w:rFonts w:ascii="Times New Roman" w:hAnsi="Times New Roman"/>
          <w:szCs w:val="22"/>
          <w:lang w:val="sk-SK"/>
        </w:rPr>
        <w:t xml:space="preserve"> funkcií, </w:t>
      </w:r>
      <w:proofErr w:type="spellStart"/>
      <w:r w:rsidR="003B7247">
        <w:rPr>
          <w:rFonts w:ascii="Times New Roman" w:hAnsi="Times New Roman"/>
          <w:szCs w:val="22"/>
          <w:lang w:val="sk-SK"/>
        </w:rPr>
        <w:t>klírens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="00E65353" w:rsidRPr="00B50F60">
        <w:rPr>
          <w:rFonts w:ascii="Times New Roman" w:hAnsi="Times New Roman"/>
          <w:szCs w:val="22"/>
          <w:lang w:val="sk-SK"/>
        </w:rPr>
        <w:t>doxorubicínu</w:t>
      </w:r>
      <w:proofErr w:type="spellEnd"/>
      <w:r w:rsidR="00E65353" w:rsidRPr="00B50F60">
        <w:rPr>
          <w:rFonts w:ascii="Times New Roman" w:hAnsi="Times New Roman"/>
          <w:szCs w:val="22"/>
          <w:lang w:val="sk-SK"/>
        </w:rPr>
        <w:t xml:space="preserve"> a klinickou toxicitou. Keďže </w:t>
      </w:r>
      <w:proofErr w:type="spellStart"/>
      <w:r w:rsidR="00E65353" w:rsidRPr="00B50F60">
        <w:rPr>
          <w:rFonts w:ascii="Times New Roman" w:hAnsi="Times New Roman"/>
          <w:szCs w:val="22"/>
          <w:lang w:val="sk-SK"/>
        </w:rPr>
        <w:t>doxorubicín</w:t>
      </w:r>
      <w:proofErr w:type="spellEnd"/>
      <w:r w:rsidR="00E65353" w:rsidRPr="00B50F60">
        <w:rPr>
          <w:rFonts w:ascii="Times New Roman" w:hAnsi="Times New Roman"/>
          <w:szCs w:val="22"/>
          <w:lang w:val="sk-SK"/>
        </w:rPr>
        <w:t xml:space="preserve"> a </w:t>
      </w:r>
      <w:r w:rsidRPr="00B50F60">
        <w:rPr>
          <w:rFonts w:ascii="Times New Roman" w:hAnsi="Times New Roman"/>
          <w:szCs w:val="22"/>
          <w:lang w:val="sk-SK"/>
        </w:rPr>
        <w:t xml:space="preserve">jeho </w:t>
      </w:r>
      <w:proofErr w:type="spellStart"/>
      <w:r w:rsidR="00E65353" w:rsidRPr="00B50F60">
        <w:rPr>
          <w:rFonts w:ascii="Times New Roman" w:hAnsi="Times New Roman"/>
          <w:szCs w:val="22"/>
          <w:lang w:val="sk-SK"/>
        </w:rPr>
        <w:t>metabolity</w:t>
      </w:r>
      <w:proofErr w:type="spellEnd"/>
      <w:r w:rsidR="00E65353" w:rsidRPr="00B50F60">
        <w:rPr>
          <w:rFonts w:ascii="Times New Roman" w:hAnsi="Times New Roman"/>
          <w:szCs w:val="22"/>
          <w:lang w:val="sk-SK"/>
        </w:rPr>
        <w:t xml:space="preserve"> sú vylučované močom len </w:t>
      </w:r>
      <w:r w:rsidR="001C67D5" w:rsidRPr="00B50F60">
        <w:rPr>
          <w:rFonts w:ascii="Times New Roman" w:hAnsi="Times New Roman"/>
          <w:szCs w:val="22"/>
          <w:lang w:val="sk-SK"/>
        </w:rPr>
        <w:t>v malom rozsahu</w:t>
      </w:r>
      <w:r w:rsidR="00E65353" w:rsidRPr="00B50F60">
        <w:rPr>
          <w:rFonts w:ascii="Times New Roman" w:hAnsi="Times New Roman"/>
          <w:szCs w:val="22"/>
          <w:lang w:val="sk-SK"/>
        </w:rPr>
        <w:t xml:space="preserve">, neexistujú žiadne jasné </w:t>
      </w:r>
      <w:r w:rsidRPr="00B50F60">
        <w:rPr>
          <w:rFonts w:ascii="Times New Roman" w:hAnsi="Times New Roman"/>
          <w:szCs w:val="22"/>
          <w:lang w:val="sk-SK"/>
        </w:rPr>
        <w:t>dôkazy</w:t>
      </w:r>
      <w:r w:rsidR="00E65353" w:rsidRPr="00B50F60">
        <w:rPr>
          <w:rFonts w:ascii="Times New Roman" w:hAnsi="Times New Roman"/>
          <w:szCs w:val="22"/>
          <w:lang w:val="sk-SK"/>
        </w:rPr>
        <w:t xml:space="preserve">, že </w:t>
      </w:r>
      <w:proofErr w:type="spellStart"/>
      <w:r w:rsidR="00E65353" w:rsidRPr="00B50F60">
        <w:rPr>
          <w:rFonts w:ascii="Times New Roman" w:hAnsi="Times New Roman"/>
          <w:szCs w:val="22"/>
          <w:lang w:val="sk-SK"/>
        </w:rPr>
        <w:t>farmakokinetika</w:t>
      </w:r>
      <w:proofErr w:type="spellEnd"/>
      <w:r w:rsidR="00E65353" w:rsidRPr="00B50F60">
        <w:rPr>
          <w:rFonts w:ascii="Times New Roman" w:hAnsi="Times New Roman"/>
          <w:szCs w:val="22"/>
          <w:lang w:val="sk-SK"/>
        </w:rPr>
        <w:t xml:space="preserve"> alebo toxicita </w:t>
      </w:r>
      <w:proofErr w:type="spellStart"/>
      <w:r w:rsidR="00E65353" w:rsidRPr="00B50F60">
        <w:rPr>
          <w:rFonts w:ascii="Times New Roman" w:hAnsi="Times New Roman"/>
          <w:szCs w:val="22"/>
          <w:lang w:val="sk-SK"/>
        </w:rPr>
        <w:t>doxorubicínu</w:t>
      </w:r>
      <w:proofErr w:type="spellEnd"/>
      <w:r w:rsidR="00E65353" w:rsidRPr="00B50F60">
        <w:rPr>
          <w:rFonts w:ascii="Times New Roman" w:hAnsi="Times New Roman"/>
          <w:szCs w:val="22"/>
          <w:lang w:val="sk-SK"/>
        </w:rPr>
        <w:t xml:space="preserve"> </w:t>
      </w:r>
      <w:r w:rsidRPr="00B50F60">
        <w:rPr>
          <w:rFonts w:ascii="Times New Roman" w:hAnsi="Times New Roman"/>
          <w:szCs w:val="22"/>
          <w:lang w:val="sk-SK"/>
        </w:rPr>
        <w:t>je zmenená</w:t>
      </w:r>
      <w:r w:rsidR="00142CDD" w:rsidRPr="00B50F60">
        <w:rPr>
          <w:rFonts w:ascii="Times New Roman" w:hAnsi="Times New Roman"/>
          <w:szCs w:val="22"/>
          <w:lang w:val="sk-SK"/>
        </w:rPr>
        <w:t xml:space="preserve"> </w:t>
      </w:r>
      <w:r w:rsidR="00E65353" w:rsidRPr="00B50F60">
        <w:rPr>
          <w:rFonts w:ascii="Times New Roman" w:hAnsi="Times New Roman"/>
          <w:szCs w:val="22"/>
          <w:lang w:val="sk-SK"/>
        </w:rPr>
        <w:t>u pacientov s poškoden</w:t>
      </w:r>
      <w:r w:rsidRPr="00B50F60">
        <w:rPr>
          <w:rFonts w:ascii="Times New Roman" w:hAnsi="Times New Roman"/>
          <w:szCs w:val="22"/>
          <w:lang w:val="sk-SK"/>
        </w:rPr>
        <w:t>ou</w:t>
      </w:r>
      <w:r w:rsidR="00E65353" w:rsidRPr="00B50F60">
        <w:rPr>
          <w:rFonts w:ascii="Times New Roman" w:hAnsi="Times New Roman"/>
          <w:szCs w:val="22"/>
          <w:lang w:val="sk-SK"/>
        </w:rPr>
        <w:t xml:space="preserve"> funkcie </w:t>
      </w:r>
      <w:r w:rsidRPr="00B50F60">
        <w:rPr>
          <w:rFonts w:ascii="Times New Roman" w:hAnsi="Times New Roman"/>
          <w:szCs w:val="22"/>
          <w:lang w:val="sk-SK"/>
        </w:rPr>
        <w:t>obličiek</w:t>
      </w:r>
      <w:r w:rsidR="00142CDD" w:rsidRPr="00B50F60">
        <w:rPr>
          <w:rFonts w:ascii="Times New Roman" w:hAnsi="Times New Roman"/>
          <w:szCs w:val="22"/>
          <w:lang w:val="sk-SK"/>
        </w:rPr>
        <w:t>.</w:t>
      </w:r>
    </w:p>
    <w:p w14:paraId="2E820CDF" w14:textId="77777777" w:rsidR="00D07B82" w:rsidRPr="00B50F60" w:rsidRDefault="00D07B82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4E34A39F" w14:textId="77777777" w:rsidR="00D07B82" w:rsidRPr="00B50F60" w:rsidRDefault="00D07B82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 xml:space="preserve">Hoci je </w:t>
      </w:r>
      <w:proofErr w:type="spellStart"/>
      <w:r w:rsidRPr="00B50F60">
        <w:rPr>
          <w:rFonts w:ascii="Times New Roman" w:hAnsi="Times New Roman"/>
          <w:szCs w:val="22"/>
          <w:lang w:val="sk-SK"/>
        </w:rPr>
        <w:t>renálne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vylučovanie menej významnou eliminačnou cestou pre </w:t>
      </w:r>
      <w:proofErr w:type="spellStart"/>
      <w:r w:rsidRPr="00B50F60">
        <w:rPr>
          <w:rFonts w:ascii="Times New Roman" w:hAnsi="Times New Roman"/>
          <w:szCs w:val="22"/>
          <w:lang w:val="sk-SK"/>
        </w:rPr>
        <w:t>doxorubicín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, závažné </w:t>
      </w:r>
      <w:proofErr w:type="spellStart"/>
      <w:r w:rsidRPr="00B50F60">
        <w:rPr>
          <w:rFonts w:ascii="Times New Roman" w:hAnsi="Times New Roman"/>
          <w:szCs w:val="22"/>
          <w:lang w:val="sk-SK"/>
        </w:rPr>
        <w:t>renálne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poškodenie by mohlo ovplyvňovať celkovú elimináciu a</w:t>
      </w:r>
      <w:r w:rsidR="00106C75" w:rsidRPr="00B50F60">
        <w:rPr>
          <w:rFonts w:ascii="Times New Roman" w:hAnsi="Times New Roman"/>
          <w:szCs w:val="22"/>
          <w:lang w:val="sk-SK"/>
        </w:rPr>
        <w:t> </w:t>
      </w:r>
      <w:r w:rsidR="00777A6E" w:rsidRPr="00B50F60">
        <w:rPr>
          <w:rFonts w:ascii="Times New Roman" w:hAnsi="Times New Roman"/>
          <w:szCs w:val="22"/>
          <w:lang w:val="sk-SK"/>
        </w:rPr>
        <w:t>m</w:t>
      </w:r>
      <w:r w:rsidR="00106C75" w:rsidRPr="00B50F60">
        <w:rPr>
          <w:rFonts w:ascii="Times New Roman" w:hAnsi="Times New Roman"/>
          <w:szCs w:val="22"/>
          <w:lang w:val="sk-SK"/>
        </w:rPr>
        <w:t>ôže si</w:t>
      </w:r>
      <w:r w:rsidR="00777A6E" w:rsidRPr="00B50F60">
        <w:rPr>
          <w:rFonts w:ascii="Times New Roman" w:hAnsi="Times New Roman"/>
          <w:szCs w:val="22"/>
          <w:lang w:val="sk-SK"/>
        </w:rPr>
        <w:t xml:space="preserve"> vyžadovať zníženie dávky.</w:t>
      </w:r>
    </w:p>
    <w:p w14:paraId="5475F815" w14:textId="77777777" w:rsidR="00777A6E" w:rsidRPr="00B50F60" w:rsidRDefault="00777A6E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4CBB17FE" w14:textId="77777777" w:rsidR="00777A6E" w:rsidRPr="00B50F60" w:rsidRDefault="00777A6E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 xml:space="preserve">V štúdii u obéznych pacientov (&gt; 130 % ideálnej telesnej hmotnosti) sa </w:t>
      </w:r>
      <w:proofErr w:type="spellStart"/>
      <w:r w:rsidRPr="00B50F60">
        <w:rPr>
          <w:rFonts w:ascii="Times New Roman" w:hAnsi="Times New Roman"/>
          <w:szCs w:val="22"/>
          <w:lang w:val="sk-SK"/>
        </w:rPr>
        <w:t>klírens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B50F60">
        <w:rPr>
          <w:rFonts w:ascii="Times New Roman" w:hAnsi="Times New Roman"/>
          <w:szCs w:val="22"/>
          <w:lang w:val="sk-SK"/>
        </w:rPr>
        <w:t>doxorubicínu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znížil a polčas sa zvýšil v porovnaní s kontrolnou skupinou s normálnou hmotnosťou. U týchto obéznych pacientov bude možno nevyhnutná úprava dávky.</w:t>
      </w:r>
    </w:p>
    <w:p w14:paraId="4094475C" w14:textId="77777777" w:rsidR="00E65353" w:rsidRPr="00B50F60" w:rsidRDefault="00E65353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13827755" w14:textId="77777777" w:rsidR="00B750C4" w:rsidRPr="00B50F60" w:rsidRDefault="00B750C4" w:rsidP="00FC2976">
      <w:pPr>
        <w:tabs>
          <w:tab w:val="left" w:pos="567"/>
        </w:tabs>
        <w:outlineLvl w:val="0"/>
        <w:rPr>
          <w:rFonts w:ascii="Times New Roman" w:hAnsi="Times New Roman"/>
          <w:b/>
          <w:szCs w:val="22"/>
          <w:lang w:val="sk-SK"/>
        </w:rPr>
      </w:pPr>
      <w:r w:rsidRPr="00B50F60">
        <w:rPr>
          <w:rFonts w:ascii="Times New Roman" w:hAnsi="Times New Roman"/>
          <w:b/>
          <w:szCs w:val="22"/>
          <w:lang w:val="sk-SK"/>
        </w:rPr>
        <w:t>5.3</w:t>
      </w:r>
      <w:r w:rsidRPr="00B50F60">
        <w:rPr>
          <w:rFonts w:ascii="Times New Roman" w:hAnsi="Times New Roman"/>
          <w:b/>
          <w:szCs w:val="22"/>
          <w:lang w:val="sk-SK"/>
        </w:rPr>
        <w:tab/>
      </w:r>
      <w:r w:rsidR="00E65353" w:rsidRPr="00B50F60">
        <w:rPr>
          <w:rFonts w:ascii="Times New Roman" w:hAnsi="Times New Roman"/>
          <w:b/>
          <w:szCs w:val="22"/>
          <w:lang w:val="sk-SK"/>
        </w:rPr>
        <w:t>Predklinické údaje o bezpečnosti</w:t>
      </w:r>
    </w:p>
    <w:p w14:paraId="0F28A25E" w14:textId="77777777" w:rsidR="00B750C4" w:rsidRPr="00B50F60" w:rsidRDefault="00B750C4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24E9A340" w14:textId="77777777" w:rsidR="00D07B82" w:rsidRPr="00B50F60" w:rsidRDefault="00D07B82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 xml:space="preserve">Štúdie z literatúry uskutočnené u zvierat preukázali, že </w:t>
      </w:r>
      <w:proofErr w:type="spellStart"/>
      <w:r w:rsidRPr="00B50F60">
        <w:rPr>
          <w:rFonts w:ascii="Times New Roman" w:hAnsi="Times New Roman"/>
          <w:szCs w:val="22"/>
          <w:lang w:val="sk-SK"/>
        </w:rPr>
        <w:t>doxorubicín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ovplyvňuje </w:t>
      </w:r>
      <w:proofErr w:type="spellStart"/>
      <w:r w:rsidRPr="00B50F60">
        <w:rPr>
          <w:rFonts w:ascii="Times New Roman" w:hAnsi="Times New Roman"/>
          <w:szCs w:val="22"/>
          <w:lang w:val="sk-SK"/>
        </w:rPr>
        <w:t>fertilitu</w:t>
      </w:r>
      <w:proofErr w:type="spellEnd"/>
      <w:r w:rsidRPr="00B50F60">
        <w:rPr>
          <w:rFonts w:ascii="Times New Roman" w:hAnsi="Times New Roman"/>
          <w:szCs w:val="22"/>
          <w:lang w:val="sk-SK"/>
        </w:rPr>
        <w:t>, je embryo- a </w:t>
      </w:r>
      <w:proofErr w:type="spellStart"/>
      <w:r w:rsidRPr="00B50F60">
        <w:rPr>
          <w:rFonts w:ascii="Times New Roman" w:hAnsi="Times New Roman"/>
          <w:szCs w:val="22"/>
          <w:lang w:val="sk-SK"/>
        </w:rPr>
        <w:t>fetotoxický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a </w:t>
      </w:r>
      <w:proofErr w:type="spellStart"/>
      <w:r w:rsidRPr="00B50F60">
        <w:rPr>
          <w:rFonts w:ascii="Times New Roman" w:hAnsi="Times New Roman"/>
          <w:szCs w:val="22"/>
          <w:lang w:val="sk-SK"/>
        </w:rPr>
        <w:t>teratogénny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. Iné údaje ukazujú, že </w:t>
      </w:r>
      <w:proofErr w:type="spellStart"/>
      <w:r w:rsidRPr="00B50F60">
        <w:rPr>
          <w:rFonts w:ascii="Times New Roman" w:hAnsi="Times New Roman"/>
          <w:szCs w:val="22"/>
          <w:lang w:val="sk-SK"/>
        </w:rPr>
        <w:t>doxorubicín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je mutagénny.</w:t>
      </w:r>
    </w:p>
    <w:p w14:paraId="3228A372" w14:textId="77777777" w:rsidR="00E35778" w:rsidRPr="00B50F60" w:rsidRDefault="00E35778" w:rsidP="00FC2976">
      <w:pPr>
        <w:tabs>
          <w:tab w:val="left" w:pos="567"/>
        </w:tabs>
        <w:outlineLvl w:val="0"/>
        <w:rPr>
          <w:rFonts w:ascii="Times New Roman" w:hAnsi="Times New Roman"/>
          <w:b/>
          <w:bCs/>
          <w:szCs w:val="22"/>
          <w:lang w:val="sk-SK"/>
        </w:rPr>
      </w:pPr>
    </w:p>
    <w:p w14:paraId="5C13140B" w14:textId="77777777" w:rsidR="00E35778" w:rsidRPr="00B50F60" w:rsidRDefault="00E35778" w:rsidP="00ED7827">
      <w:pPr>
        <w:tabs>
          <w:tab w:val="left" w:pos="567"/>
        </w:tabs>
        <w:rPr>
          <w:rFonts w:ascii="Times New Roman" w:hAnsi="Times New Roman"/>
          <w:b/>
          <w:bCs/>
          <w:szCs w:val="22"/>
          <w:lang w:val="sk-SK"/>
        </w:rPr>
      </w:pPr>
    </w:p>
    <w:p w14:paraId="62F4DCB6" w14:textId="77777777" w:rsidR="00B750C4" w:rsidRPr="00B50F60" w:rsidRDefault="00B750C4" w:rsidP="00ED7827">
      <w:pPr>
        <w:tabs>
          <w:tab w:val="left" w:pos="567"/>
        </w:tabs>
        <w:outlineLvl w:val="0"/>
        <w:rPr>
          <w:rFonts w:ascii="Times New Roman" w:hAnsi="Times New Roman"/>
          <w:b/>
          <w:bCs/>
          <w:szCs w:val="22"/>
          <w:lang w:val="sk-SK"/>
        </w:rPr>
      </w:pPr>
      <w:r w:rsidRPr="00B50F60">
        <w:rPr>
          <w:rFonts w:ascii="Times New Roman" w:hAnsi="Times New Roman"/>
          <w:b/>
          <w:bCs/>
          <w:szCs w:val="22"/>
          <w:lang w:val="sk-SK"/>
        </w:rPr>
        <w:t>6</w:t>
      </w:r>
      <w:r w:rsidR="00B307FA" w:rsidRPr="00B50F60">
        <w:rPr>
          <w:rFonts w:ascii="Times New Roman" w:hAnsi="Times New Roman"/>
          <w:b/>
          <w:bCs/>
          <w:szCs w:val="22"/>
          <w:lang w:val="sk-SK"/>
        </w:rPr>
        <w:t>.</w:t>
      </w:r>
      <w:r w:rsidRPr="00B50F60">
        <w:rPr>
          <w:rFonts w:ascii="Times New Roman" w:hAnsi="Times New Roman"/>
          <w:b/>
          <w:bCs/>
          <w:szCs w:val="22"/>
          <w:lang w:val="sk-SK"/>
        </w:rPr>
        <w:tab/>
      </w:r>
      <w:r w:rsidR="00F766DF" w:rsidRPr="00B50F60">
        <w:rPr>
          <w:rFonts w:ascii="Times New Roman" w:hAnsi="Times New Roman"/>
          <w:b/>
          <w:caps/>
          <w:szCs w:val="22"/>
          <w:lang w:val="sk-SK"/>
        </w:rPr>
        <w:t xml:space="preserve">FARMACEUTICKÉ </w:t>
      </w:r>
      <w:r w:rsidR="002801D0" w:rsidRPr="00B50F60">
        <w:rPr>
          <w:rFonts w:ascii="Times New Roman" w:hAnsi="Times New Roman"/>
          <w:b/>
          <w:caps/>
          <w:szCs w:val="22"/>
          <w:lang w:val="sk-SK"/>
        </w:rPr>
        <w:t>informácie</w:t>
      </w:r>
    </w:p>
    <w:p w14:paraId="66C40F7A" w14:textId="77777777" w:rsidR="00B750C4" w:rsidRPr="00B50F60" w:rsidRDefault="00B750C4" w:rsidP="00ED7827">
      <w:pPr>
        <w:rPr>
          <w:rFonts w:ascii="Times New Roman" w:hAnsi="Times New Roman"/>
          <w:b/>
          <w:szCs w:val="22"/>
          <w:lang w:val="sk-SK"/>
        </w:rPr>
      </w:pPr>
    </w:p>
    <w:p w14:paraId="0A92A19A" w14:textId="77777777" w:rsidR="00B750C4" w:rsidRPr="00B50F60" w:rsidRDefault="00B750C4" w:rsidP="00ED7827">
      <w:pPr>
        <w:tabs>
          <w:tab w:val="left" w:pos="567"/>
        </w:tabs>
        <w:outlineLvl w:val="0"/>
        <w:rPr>
          <w:rFonts w:ascii="Times New Roman" w:hAnsi="Times New Roman"/>
          <w:b/>
          <w:szCs w:val="22"/>
          <w:lang w:val="sk-SK"/>
        </w:rPr>
      </w:pPr>
      <w:r w:rsidRPr="00B50F60">
        <w:rPr>
          <w:rFonts w:ascii="Times New Roman" w:hAnsi="Times New Roman"/>
          <w:b/>
          <w:szCs w:val="22"/>
          <w:lang w:val="sk-SK"/>
        </w:rPr>
        <w:t>6.1</w:t>
      </w:r>
      <w:r w:rsidRPr="00B50F60">
        <w:rPr>
          <w:rFonts w:ascii="Times New Roman" w:hAnsi="Times New Roman"/>
          <w:b/>
          <w:szCs w:val="22"/>
          <w:lang w:val="sk-SK"/>
        </w:rPr>
        <w:tab/>
      </w:r>
      <w:r w:rsidR="00F766DF" w:rsidRPr="00B50F60">
        <w:rPr>
          <w:rFonts w:ascii="Times New Roman" w:hAnsi="Times New Roman"/>
          <w:b/>
          <w:szCs w:val="22"/>
          <w:lang w:val="sk-SK"/>
        </w:rPr>
        <w:t>Zoznam pomocných látok</w:t>
      </w:r>
    </w:p>
    <w:p w14:paraId="364E4219" w14:textId="77777777" w:rsidR="00B750C4" w:rsidRPr="00B50F60" w:rsidRDefault="00B750C4" w:rsidP="00ED7827">
      <w:pPr>
        <w:tabs>
          <w:tab w:val="left" w:pos="284"/>
          <w:tab w:val="left" w:pos="567"/>
          <w:tab w:val="left" w:pos="3828"/>
        </w:tabs>
        <w:rPr>
          <w:rFonts w:ascii="Times New Roman" w:hAnsi="Times New Roman"/>
          <w:szCs w:val="22"/>
          <w:lang w:val="sk-SK"/>
        </w:rPr>
      </w:pPr>
    </w:p>
    <w:p w14:paraId="734A98EA" w14:textId="77777777" w:rsidR="00B750C4" w:rsidRPr="00B50F60" w:rsidRDefault="00F766DF" w:rsidP="00ED7827">
      <w:pPr>
        <w:tabs>
          <w:tab w:val="left" w:pos="3828"/>
        </w:tabs>
        <w:outlineLvl w:val="0"/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>Voda na injekciu</w:t>
      </w:r>
    </w:p>
    <w:p w14:paraId="0FD92F10" w14:textId="77777777" w:rsidR="00B750C4" w:rsidRPr="00B50F60" w:rsidRDefault="00F766DF" w:rsidP="00ED7827">
      <w:pPr>
        <w:tabs>
          <w:tab w:val="left" w:pos="3828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>Chlorid sodný</w:t>
      </w:r>
    </w:p>
    <w:p w14:paraId="19EF3B6D" w14:textId="77777777" w:rsidR="00B750C4" w:rsidRPr="00B50F60" w:rsidRDefault="00F766DF" w:rsidP="00ED7827">
      <w:pPr>
        <w:tabs>
          <w:tab w:val="left" w:pos="3828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>Kyselina chlorovodíková (na úpravu pH)</w:t>
      </w:r>
    </w:p>
    <w:p w14:paraId="09C78A6F" w14:textId="77777777" w:rsidR="00B750C4" w:rsidRPr="00B50F60" w:rsidRDefault="00B750C4" w:rsidP="00ED7827">
      <w:pPr>
        <w:tabs>
          <w:tab w:val="left" w:pos="3828"/>
        </w:tabs>
        <w:rPr>
          <w:rFonts w:ascii="Times New Roman" w:hAnsi="Times New Roman"/>
          <w:szCs w:val="22"/>
          <w:lang w:val="sk-SK"/>
        </w:rPr>
      </w:pPr>
    </w:p>
    <w:p w14:paraId="471682E4" w14:textId="77777777" w:rsidR="00B750C4" w:rsidRPr="00B50F60" w:rsidRDefault="00B750C4" w:rsidP="00FC2976">
      <w:pPr>
        <w:keepNext/>
        <w:keepLines/>
        <w:widowControl/>
        <w:tabs>
          <w:tab w:val="left" w:pos="567"/>
        </w:tabs>
        <w:outlineLvl w:val="0"/>
        <w:rPr>
          <w:rFonts w:ascii="Times New Roman" w:hAnsi="Times New Roman"/>
          <w:b/>
          <w:szCs w:val="22"/>
          <w:lang w:val="sk-SK"/>
        </w:rPr>
      </w:pPr>
      <w:r w:rsidRPr="00B50F60">
        <w:rPr>
          <w:rFonts w:ascii="Times New Roman" w:hAnsi="Times New Roman"/>
          <w:b/>
          <w:szCs w:val="22"/>
          <w:lang w:val="sk-SK"/>
        </w:rPr>
        <w:t>6.2</w:t>
      </w:r>
      <w:r w:rsidRPr="00B50F60">
        <w:rPr>
          <w:rFonts w:ascii="Times New Roman" w:hAnsi="Times New Roman"/>
          <w:b/>
          <w:szCs w:val="22"/>
          <w:lang w:val="sk-SK"/>
        </w:rPr>
        <w:tab/>
      </w:r>
      <w:r w:rsidR="00F766DF" w:rsidRPr="00B50F60">
        <w:rPr>
          <w:rFonts w:ascii="Times New Roman" w:hAnsi="Times New Roman"/>
          <w:b/>
          <w:szCs w:val="22"/>
          <w:lang w:val="sk-SK"/>
        </w:rPr>
        <w:t>Inkompatibility</w:t>
      </w:r>
    </w:p>
    <w:p w14:paraId="45A83201" w14:textId="77777777" w:rsidR="00B750C4" w:rsidRPr="00B50F60" w:rsidRDefault="00B750C4" w:rsidP="00ED7827">
      <w:pPr>
        <w:pStyle w:val="Standardenglisch"/>
        <w:keepNext/>
        <w:keepLines/>
        <w:widowControl/>
        <w:tabs>
          <w:tab w:val="left" w:pos="284"/>
          <w:tab w:val="left" w:pos="567"/>
        </w:tabs>
        <w:jc w:val="both"/>
        <w:rPr>
          <w:rFonts w:ascii="Times New Roman" w:hAnsi="Times New Roman"/>
          <w:szCs w:val="22"/>
          <w:lang w:val="sk-SK"/>
        </w:rPr>
      </w:pPr>
    </w:p>
    <w:p w14:paraId="60932DA6" w14:textId="13912D6C" w:rsidR="00F766DF" w:rsidRPr="00B50F60" w:rsidRDefault="00F766DF" w:rsidP="00ED7827">
      <w:pPr>
        <w:pStyle w:val="Standardenglisch"/>
        <w:keepNext/>
        <w:keepLines/>
        <w:widowControl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  <w:proofErr w:type="spellStart"/>
      <w:r w:rsidRPr="00B50F60">
        <w:rPr>
          <w:rFonts w:ascii="Times New Roman" w:hAnsi="Times New Roman"/>
          <w:szCs w:val="22"/>
          <w:lang w:val="sk-SK"/>
        </w:rPr>
        <w:t>Doxorubicín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sa nemá miešať s </w:t>
      </w:r>
      <w:proofErr w:type="spellStart"/>
      <w:r w:rsidRPr="00B50F60">
        <w:rPr>
          <w:rFonts w:ascii="Times New Roman" w:hAnsi="Times New Roman"/>
          <w:szCs w:val="22"/>
          <w:lang w:val="sk-SK"/>
        </w:rPr>
        <w:t>heparínom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, keďže sa môže vytvoriť </w:t>
      </w:r>
      <w:r w:rsidR="00B03184" w:rsidRPr="00B50F60">
        <w:rPr>
          <w:rFonts w:ascii="Times New Roman" w:hAnsi="Times New Roman"/>
          <w:szCs w:val="22"/>
          <w:lang w:val="sk-SK"/>
        </w:rPr>
        <w:t>zrazenina</w:t>
      </w:r>
      <w:r w:rsidRPr="00B50F60">
        <w:rPr>
          <w:rFonts w:ascii="Times New Roman" w:hAnsi="Times New Roman"/>
          <w:szCs w:val="22"/>
          <w:lang w:val="sk-SK"/>
        </w:rPr>
        <w:t>, a nemá sa miešať s 5-flu</w:t>
      </w:r>
      <w:r w:rsidR="002E712B" w:rsidRPr="00B50F60">
        <w:rPr>
          <w:rFonts w:ascii="Times New Roman" w:hAnsi="Times New Roman"/>
          <w:szCs w:val="22"/>
          <w:lang w:val="sk-SK"/>
        </w:rPr>
        <w:t>ó</w:t>
      </w:r>
      <w:r w:rsidRPr="00B50F60">
        <w:rPr>
          <w:rFonts w:ascii="Times New Roman" w:hAnsi="Times New Roman"/>
          <w:szCs w:val="22"/>
          <w:lang w:val="sk-SK"/>
        </w:rPr>
        <w:t>ruracilom</w:t>
      </w:r>
      <w:r w:rsidR="002A469D" w:rsidRPr="00B50F60">
        <w:rPr>
          <w:rFonts w:ascii="Times New Roman" w:hAnsi="Times New Roman"/>
          <w:szCs w:val="22"/>
          <w:lang w:val="sk-SK"/>
        </w:rPr>
        <w:t xml:space="preserve"> z dôvodu možnej degradácie</w:t>
      </w:r>
      <w:r w:rsidRPr="00B50F60">
        <w:rPr>
          <w:rFonts w:ascii="Times New Roman" w:hAnsi="Times New Roman"/>
          <w:szCs w:val="22"/>
          <w:lang w:val="sk-SK"/>
        </w:rPr>
        <w:t xml:space="preserve">. </w:t>
      </w:r>
      <w:r w:rsidR="00AC7160" w:rsidRPr="00B50F60">
        <w:rPr>
          <w:rFonts w:ascii="Times New Roman" w:hAnsi="Times New Roman"/>
          <w:szCs w:val="22"/>
          <w:lang w:val="sk-SK"/>
        </w:rPr>
        <w:t>Je potrebné sa vyhnúť</w:t>
      </w:r>
      <w:r w:rsidR="00B03184" w:rsidRPr="00B50F60">
        <w:rPr>
          <w:rFonts w:ascii="Times New Roman" w:hAnsi="Times New Roman"/>
          <w:szCs w:val="22"/>
          <w:lang w:val="sk-SK"/>
        </w:rPr>
        <w:t xml:space="preserve"> dlhš</w:t>
      </w:r>
      <w:r w:rsidR="00AC7160" w:rsidRPr="00B50F60">
        <w:rPr>
          <w:rFonts w:ascii="Times New Roman" w:hAnsi="Times New Roman"/>
          <w:szCs w:val="22"/>
          <w:lang w:val="sk-SK"/>
        </w:rPr>
        <w:t>ie</w:t>
      </w:r>
      <w:r w:rsidR="00B03184" w:rsidRPr="00B50F60">
        <w:rPr>
          <w:rFonts w:ascii="Times New Roman" w:hAnsi="Times New Roman"/>
          <w:szCs w:val="22"/>
          <w:lang w:val="sk-SK"/>
        </w:rPr>
        <w:t>m</w:t>
      </w:r>
      <w:r w:rsidR="00AC7160" w:rsidRPr="00B50F60">
        <w:rPr>
          <w:rFonts w:ascii="Times New Roman" w:hAnsi="Times New Roman"/>
          <w:szCs w:val="22"/>
          <w:lang w:val="sk-SK"/>
        </w:rPr>
        <w:t>u</w:t>
      </w:r>
      <w:r w:rsidR="00B03184" w:rsidRPr="00B50F60">
        <w:rPr>
          <w:rFonts w:ascii="Times New Roman" w:hAnsi="Times New Roman"/>
          <w:szCs w:val="22"/>
          <w:lang w:val="sk-SK"/>
        </w:rPr>
        <w:t xml:space="preserve"> kontakt</w:t>
      </w:r>
      <w:r w:rsidR="00AC7160" w:rsidRPr="00B50F60">
        <w:rPr>
          <w:rFonts w:ascii="Times New Roman" w:hAnsi="Times New Roman"/>
          <w:szCs w:val="22"/>
          <w:lang w:val="sk-SK"/>
        </w:rPr>
        <w:t>u</w:t>
      </w:r>
      <w:r w:rsidRPr="00B50F60">
        <w:rPr>
          <w:rFonts w:ascii="Times New Roman" w:hAnsi="Times New Roman"/>
          <w:szCs w:val="22"/>
          <w:lang w:val="sk-SK"/>
        </w:rPr>
        <w:t xml:space="preserve"> s akýmkoľvek roztokom s alkalickým pH</w:t>
      </w:r>
      <w:r w:rsidR="00AC7160" w:rsidRPr="00B50F60">
        <w:rPr>
          <w:rFonts w:ascii="Times New Roman" w:hAnsi="Times New Roman"/>
          <w:szCs w:val="22"/>
          <w:lang w:val="sk-SK"/>
        </w:rPr>
        <w:t>, keďže pri ňom</w:t>
      </w:r>
      <w:r w:rsidR="000F6660" w:rsidRPr="00B50F60">
        <w:rPr>
          <w:rFonts w:ascii="Times New Roman" w:hAnsi="Times New Roman"/>
          <w:szCs w:val="22"/>
          <w:lang w:val="sk-SK"/>
        </w:rPr>
        <w:t xml:space="preserve"> </w:t>
      </w:r>
      <w:r w:rsidR="00B03184" w:rsidRPr="00B50F60">
        <w:rPr>
          <w:rFonts w:ascii="Times New Roman" w:hAnsi="Times New Roman"/>
          <w:szCs w:val="22"/>
          <w:lang w:val="sk-SK"/>
        </w:rPr>
        <w:t>dochádza</w:t>
      </w:r>
      <w:r w:rsidRPr="00B50F60">
        <w:rPr>
          <w:rFonts w:ascii="Times New Roman" w:hAnsi="Times New Roman"/>
          <w:szCs w:val="22"/>
          <w:lang w:val="sk-SK"/>
        </w:rPr>
        <w:t xml:space="preserve"> k hydrolýze </w:t>
      </w:r>
      <w:r w:rsidR="00B03184" w:rsidRPr="00B50F60">
        <w:rPr>
          <w:rFonts w:ascii="Times New Roman" w:hAnsi="Times New Roman"/>
          <w:szCs w:val="22"/>
          <w:lang w:val="sk-SK"/>
        </w:rPr>
        <w:t>lie</w:t>
      </w:r>
      <w:r w:rsidR="00564008" w:rsidRPr="00B50F60">
        <w:rPr>
          <w:rFonts w:ascii="Times New Roman" w:hAnsi="Times New Roman"/>
          <w:szCs w:val="22"/>
          <w:lang w:val="sk-SK"/>
        </w:rPr>
        <w:t>ku</w:t>
      </w:r>
      <w:r w:rsidR="00B03184" w:rsidRPr="00B50F60">
        <w:rPr>
          <w:rFonts w:ascii="Times New Roman" w:hAnsi="Times New Roman"/>
          <w:szCs w:val="22"/>
          <w:lang w:val="sk-SK"/>
        </w:rPr>
        <w:t>.</w:t>
      </w:r>
      <w:r w:rsidRPr="00B50F60">
        <w:rPr>
          <w:rFonts w:ascii="Times New Roman" w:hAnsi="Times New Roman"/>
          <w:szCs w:val="22"/>
          <w:lang w:val="sk-SK"/>
        </w:rPr>
        <w:t xml:space="preserve"> </w:t>
      </w:r>
    </w:p>
    <w:p w14:paraId="094B189E" w14:textId="77777777" w:rsidR="007C2352" w:rsidRPr="00B50F60" w:rsidRDefault="007C2352" w:rsidP="00ED7827">
      <w:pPr>
        <w:pStyle w:val="Standardenglisch"/>
        <w:keepNext/>
        <w:keepLines/>
        <w:widowControl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20FC1AAD" w14:textId="77777777" w:rsidR="00F766DF" w:rsidRPr="00B50F60" w:rsidRDefault="00117D4B" w:rsidP="00ED7827">
      <w:pPr>
        <w:pStyle w:val="Standardenglisch"/>
        <w:keepNext/>
        <w:keepLines/>
        <w:widowControl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 xml:space="preserve">Nevykonali sa štúdie kompatibility, preto </w:t>
      </w:r>
      <w:r w:rsidR="00B03184" w:rsidRPr="00B50F60">
        <w:rPr>
          <w:rFonts w:ascii="Times New Roman" w:hAnsi="Times New Roman"/>
          <w:szCs w:val="22"/>
          <w:lang w:val="sk-SK"/>
        </w:rPr>
        <w:t>sa</w:t>
      </w:r>
      <w:r w:rsidR="00F766DF" w:rsidRPr="00B50F60">
        <w:rPr>
          <w:rFonts w:ascii="Times New Roman" w:hAnsi="Times New Roman"/>
          <w:szCs w:val="22"/>
          <w:lang w:val="sk-SK"/>
        </w:rPr>
        <w:t xml:space="preserve"> </w:t>
      </w:r>
      <w:r w:rsidR="004A4128" w:rsidRPr="00B50F60">
        <w:rPr>
          <w:rFonts w:ascii="Times New Roman" w:hAnsi="Times New Roman"/>
          <w:szCs w:val="22"/>
          <w:lang w:val="sk-SK"/>
        </w:rPr>
        <w:t xml:space="preserve">tento liek </w:t>
      </w:r>
      <w:r w:rsidR="00F766DF" w:rsidRPr="00B50F60">
        <w:rPr>
          <w:rFonts w:ascii="Times New Roman" w:hAnsi="Times New Roman"/>
          <w:szCs w:val="22"/>
          <w:lang w:val="sk-SK"/>
        </w:rPr>
        <w:t xml:space="preserve">nesmie miešať s inými </w:t>
      </w:r>
      <w:r w:rsidR="00063B98" w:rsidRPr="00B50F60">
        <w:rPr>
          <w:rFonts w:ascii="Times New Roman" w:hAnsi="Times New Roman"/>
          <w:szCs w:val="22"/>
          <w:lang w:val="sk-SK"/>
        </w:rPr>
        <w:t>liekmi</w:t>
      </w:r>
      <w:r w:rsidR="00B03184" w:rsidRPr="00B50F60">
        <w:rPr>
          <w:rFonts w:ascii="Times New Roman" w:hAnsi="Times New Roman"/>
          <w:szCs w:val="22"/>
          <w:lang w:val="sk-SK"/>
        </w:rPr>
        <w:t>.</w:t>
      </w:r>
    </w:p>
    <w:p w14:paraId="029817F2" w14:textId="77777777" w:rsidR="00B750C4" w:rsidRPr="00B50F60" w:rsidRDefault="00B750C4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1FDB6221" w14:textId="77777777" w:rsidR="00B750C4" w:rsidRPr="00B50F60" w:rsidRDefault="00B750C4" w:rsidP="00FC2976">
      <w:pPr>
        <w:tabs>
          <w:tab w:val="left" w:pos="567"/>
        </w:tabs>
        <w:outlineLvl w:val="0"/>
        <w:rPr>
          <w:rFonts w:ascii="Times New Roman" w:hAnsi="Times New Roman"/>
          <w:b/>
          <w:szCs w:val="22"/>
          <w:lang w:val="sk-SK"/>
        </w:rPr>
      </w:pPr>
      <w:r w:rsidRPr="00B50F60">
        <w:rPr>
          <w:rFonts w:ascii="Times New Roman" w:hAnsi="Times New Roman"/>
          <w:b/>
          <w:szCs w:val="22"/>
          <w:lang w:val="sk-SK"/>
        </w:rPr>
        <w:t>6.3</w:t>
      </w:r>
      <w:r w:rsidRPr="00B50F60">
        <w:rPr>
          <w:rFonts w:ascii="Times New Roman" w:hAnsi="Times New Roman"/>
          <w:b/>
          <w:szCs w:val="22"/>
          <w:lang w:val="sk-SK"/>
        </w:rPr>
        <w:tab/>
      </w:r>
      <w:r w:rsidR="0073468D" w:rsidRPr="00B50F60">
        <w:rPr>
          <w:rFonts w:ascii="Times New Roman" w:hAnsi="Times New Roman"/>
          <w:b/>
          <w:szCs w:val="22"/>
          <w:lang w:val="sk-SK"/>
        </w:rPr>
        <w:t>Čas</w:t>
      </w:r>
      <w:r w:rsidR="00F766DF" w:rsidRPr="00B50F60">
        <w:rPr>
          <w:rFonts w:ascii="Times New Roman" w:hAnsi="Times New Roman"/>
          <w:b/>
          <w:szCs w:val="22"/>
          <w:lang w:val="sk-SK"/>
        </w:rPr>
        <w:t xml:space="preserve"> použiteľnosti</w:t>
      </w:r>
    </w:p>
    <w:p w14:paraId="3E503CD8" w14:textId="77777777" w:rsidR="00B750C4" w:rsidRPr="00B50F60" w:rsidRDefault="00B750C4" w:rsidP="00ED7827">
      <w:pPr>
        <w:pStyle w:val="Standardenglisch"/>
        <w:jc w:val="both"/>
        <w:rPr>
          <w:rFonts w:ascii="Times New Roman" w:hAnsi="Times New Roman"/>
          <w:szCs w:val="22"/>
          <w:lang w:val="sk-SK"/>
        </w:rPr>
      </w:pPr>
    </w:p>
    <w:p w14:paraId="273B056F" w14:textId="77777777" w:rsidR="00F766DF" w:rsidRPr="00B50F60" w:rsidRDefault="00F766DF" w:rsidP="00ED7827">
      <w:pPr>
        <w:pStyle w:val="Standardenglisch"/>
        <w:jc w:val="both"/>
        <w:outlineLvl w:val="0"/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 xml:space="preserve">Neotvorené </w:t>
      </w:r>
      <w:r w:rsidR="005E42E7" w:rsidRPr="00B50F60">
        <w:rPr>
          <w:rFonts w:ascii="Times New Roman" w:hAnsi="Times New Roman"/>
          <w:szCs w:val="22"/>
          <w:lang w:val="sk-SK"/>
        </w:rPr>
        <w:t xml:space="preserve">injekčné </w:t>
      </w:r>
      <w:r w:rsidRPr="00B50F60">
        <w:rPr>
          <w:rFonts w:ascii="Times New Roman" w:hAnsi="Times New Roman"/>
          <w:szCs w:val="22"/>
          <w:lang w:val="sk-SK"/>
        </w:rPr>
        <w:t>liekovky: 2</w:t>
      </w:r>
      <w:r w:rsidR="00CE22BE" w:rsidRPr="00B50F60">
        <w:rPr>
          <w:rFonts w:ascii="Times New Roman" w:hAnsi="Times New Roman"/>
          <w:szCs w:val="22"/>
          <w:lang w:val="sk-SK"/>
        </w:rPr>
        <w:t> </w:t>
      </w:r>
      <w:r w:rsidRPr="00B50F60">
        <w:rPr>
          <w:rFonts w:ascii="Times New Roman" w:hAnsi="Times New Roman"/>
          <w:szCs w:val="22"/>
          <w:lang w:val="sk-SK"/>
        </w:rPr>
        <w:t>roky</w:t>
      </w:r>
    </w:p>
    <w:p w14:paraId="1E4C3A6F" w14:textId="77777777" w:rsidR="00B750C4" w:rsidRPr="00B50F60" w:rsidRDefault="00B750C4" w:rsidP="00ED7827">
      <w:pPr>
        <w:pStyle w:val="Standardenglisch"/>
        <w:jc w:val="both"/>
        <w:rPr>
          <w:rFonts w:ascii="Times New Roman" w:hAnsi="Times New Roman"/>
          <w:szCs w:val="22"/>
          <w:lang w:val="sk-SK"/>
        </w:rPr>
      </w:pPr>
    </w:p>
    <w:p w14:paraId="6D6A7642" w14:textId="77777777" w:rsidR="007B537A" w:rsidRPr="00B50F60" w:rsidRDefault="00F766DF" w:rsidP="00ED7827">
      <w:pPr>
        <w:pStyle w:val="Standardenglisch"/>
        <w:jc w:val="both"/>
        <w:outlineLvl w:val="0"/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 xml:space="preserve">Otvorené </w:t>
      </w:r>
      <w:r w:rsidR="005E42E7" w:rsidRPr="00B50F60">
        <w:rPr>
          <w:rFonts w:ascii="Times New Roman" w:hAnsi="Times New Roman"/>
          <w:szCs w:val="22"/>
          <w:lang w:val="sk-SK"/>
        </w:rPr>
        <w:t xml:space="preserve">injekčné </w:t>
      </w:r>
      <w:r w:rsidRPr="00B50F60">
        <w:rPr>
          <w:rFonts w:ascii="Times New Roman" w:hAnsi="Times New Roman"/>
          <w:szCs w:val="22"/>
          <w:lang w:val="sk-SK"/>
        </w:rPr>
        <w:t xml:space="preserve">liekovky: </w:t>
      </w:r>
    </w:p>
    <w:p w14:paraId="2847BC30" w14:textId="77777777" w:rsidR="007B537A" w:rsidRPr="00B50F60" w:rsidRDefault="00D907A2" w:rsidP="00ED7827">
      <w:pPr>
        <w:pStyle w:val="Zarkazkladnhotextu"/>
        <w:spacing w:line="240" w:lineRule="auto"/>
        <w:ind w:left="0"/>
        <w:jc w:val="left"/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>Liek sa má použiť ihneď po otvorení liekovky.</w:t>
      </w:r>
    </w:p>
    <w:p w14:paraId="630B3ACD" w14:textId="77777777" w:rsidR="00B7170E" w:rsidRPr="00B50F60" w:rsidRDefault="00B7170E" w:rsidP="00ED7827">
      <w:pPr>
        <w:pStyle w:val="Standardenglisch"/>
        <w:jc w:val="both"/>
        <w:rPr>
          <w:rFonts w:ascii="Times New Roman" w:hAnsi="Times New Roman"/>
          <w:szCs w:val="22"/>
          <w:lang w:val="sk-SK"/>
        </w:rPr>
      </w:pPr>
    </w:p>
    <w:p w14:paraId="40DBC19C" w14:textId="77777777" w:rsidR="004759C9" w:rsidRPr="00B50F60" w:rsidRDefault="00F766DF" w:rsidP="00ED7827">
      <w:pPr>
        <w:pStyle w:val="Standardenglisch"/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 xml:space="preserve">Pripravené </w:t>
      </w:r>
      <w:r w:rsidR="005E42E7" w:rsidRPr="00B50F60">
        <w:rPr>
          <w:rFonts w:ascii="Times New Roman" w:hAnsi="Times New Roman"/>
          <w:szCs w:val="22"/>
          <w:lang w:val="sk-SK"/>
        </w:rPr>
        <w:t xml:space="preserve">infúzne </w:t>
      </w:r>
      <w:r w:rsidRPr="00B50F60">
        <w:rPr>
          <w:rFonts w:ascii="Times New Roman" w:hAnsi="Times New Roman"/>
          <w:szCs w:val="22"/>
          <w:lang w:val="sk-SK"/>
        </w:rPr>
        <w:t>roztoky:</w:t>
      </w:r>
    </w:p>
    <w:p w14:paraId="499F502B" w14:textId="77777777" w:rsidR="00755C21" w:rsidRPr="00B50F60" w:rsidRDefault="007A3614" w:rsidP="00ED7827">
      <w:pPr>
        <w:pStyle w:val="Standardenglisch"/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>Bola dokázaná</w:t>
      </w:r>
      <w:r w:rsidR="00F766DF" w:rsidRPr="00B50F60">
        <w:rPr>
          <w:rFonts w:ascii="Times New Roman" w:hAnsi="Times New Roman"/>
          <w:szCs w:val="22"/>
          <w:lang w:val="sk-SK"/>
        </w:rPr>
        <w:t xml:space="preserve"> chemická a fyzikálna stabilita </w:t>
      </w:r>
      <w:r w:rsidR="00807D81" w:rsidRPr="00B50F60">
        <w:rPr>
          <w:rFonts w:ascii="Times New Roman" w:hAnsi="Times New Roman"/>
          <w:szCs w:val="22"/>
          <w:lang w:val="sk-SK"/>
        </w:rPr>
        <w:t>pri koncentráci</w:t>
      </w:r>
      <w:r w:rsidR="003F7E8A" w:rsidRPr="00B50F60">
        <w:rPr>
          <w:rFonts w:ascii="Times New Roman" w:hAnsi="Times New Roman"/>
          <w:szCs w:val="22"/>
          <w:lang w:val="sk-SK"/>
        </w:rPr>
        <w:t>i</w:t>
      </w:r>
      <w:r w:rsidR="00807D81" w:rsidRPr="00B50F60">
        <w:rPr>
          <w:rFonts w:ascii="Times New Roman" w:hAnsi="Times New Roman"/>
          <w:szCs w:val="22"/>
          <w:lang w:val="sk-SK"/>
        </w:rPr>
        <w:t xml:space="preserve"> 0,5 mg/ml v </w:t>
      </w:r>
      <w:r w:rsidR="00F766DF" w:rsidRPr="00B50F60">
        <w:rPr>
          <w:rFonts w:ascii="Times New Roman" w:hAnsi="Times New Roman"/>
          <w:szCs w:val="22"/>
          <w:lang w:val="sk-SK"/>
        </w:rPr>
        <w:t>0,9</w:t>
      </w:r>
      <w:r w:rsidR="00CE22BE" w:rsidRPr="00B50F60">
        <w:rPr>
          <w:rFonts w:ascii="Times New Roman" w:hAnsi="Times New Roman"/>
          <w:szCs w:val="22"/>
          <w:lang w:val="sk-SK"/>
        </w:rPr>
        <w:t> </w:t>
      </w:r>
      <w:r w:rsidR="00F766DF" w:rsidRPr="00B50F60">
        <w:rPr>
          <w:rFonts w:ascii="Times New Roman" w:hAnsi="Times New Roman"/>
          <w:szCs w:val="22"/>
          <w:lang w:val="sk-SK"/>
        </w:rPr>
        <w:t>% roztoku chloridu sodného a</w:t>
      </w:r>
      <w:r w:rsidR="00CE22BE" w:rsidRPr="00B50F60">
        <w:rPr>
          <w:rFonts w:ascii="Times New Roman" w:hAnsi="Times New Roman"/>
          <w:szCs w:val="22"/>
          <w:lang w:val="sk-SK"/>
        </w:rPr>
        <w:t> </w:t>
      </w:r>
      <w:r w:rsidR="00F766DF" w:rsidRPr="00B50F60">
        <w:rPr>
          <w:rFonts w:ascii="Times New Roman" w:hAnsi="Times New Roman"/>
          <w:szCs w:val="22"/>
          <w:lang w:val="sk-SK"/>
        </w:rPr>
        <w:t>5</w:t>
      </w:r>
      <w:r w:rsidR="00CE22BE" w:rsidRPr="00B50F60">
        <w:rPr>
          <w:rFonts w:ascii="Times New Roman" w:hAnsi="Times New Roman"/>
          <w:szCs w:val="22"/>
          <w:lang w:val="sk-SK"/>
        </w:rPr>
        <w:t> </w:t>
      </w:r>
      <w:r w:rsidR="00F766DF" w:rsidRPr="00B50F60">
        <w:rPr>
          <w:rFonts w:ascii="Times New Roman" w:hAnsi="Times New Roman"/>
          <w:szCs w:val="22"/>
          <w:lang w:val="sk-SK"/>
        </w:rPr>
        <w:t xml:space="preserve">% roztoku glukózy až </w:t>
      </w:r>
      <w:r w:rsidRPr="00B50F60">
        <w:rPr>
          <w:rFonts w:ascii="Times New Roman" w:hAnsi="Times New Roman"/>
          <w:szCs w:val="22"/>
          <w:lang w:val="sk-SK"/>
        </w:rPr>
        <w:t xml:space="preserve">po dobu </w:t>
      </w:r>
      <w:r w:rsidR="00FB1338" w:rsidRPr="00B50F60">
        <w:rPr>
          <w:rFonts w:ascii="Times New Roman" w:hAnsi="Times New Roman"/>
          <w:szCs w:val="22"/>
          <w:lang w:val="sk-SK"/>
        </w:rPr>
        <w:t>7 dní</w:t>
      </w:r>
      <w:r w:rsidR="00074286" w:rsidRPr="00B50F60">
        <w:rPr>
          <w:rFonts w:ascii="Times New Roman" w:hAnsi="Times New Roman"/>
          <w:szCs w:val="22"/>
          <w:lang w:val="sk-SK"/>
        </w:rPr>
        <w:t xml:space="preserve"> </w:t>
      </w:r>
      <w:r w:rsidR="00F766DF" w:rsidRPr="00B50F60">
        <w:rPr>
          <w:rFonts w:ascii="Times New Roman" w:hAnsi="Times New Roman"/>
          <w:szCs w:val="22"/>
          <w:lang w:val="sk-SK"/>
        </w:rPr>
        <w:t>pri 2</w:t>
      </w:r>
      <w:r w:rsidR="00A54873" w:rsidRPr="00B50F60">
        <w:rPr>
          <w:rFonts w:ascii="Times New Roman" w:hAnsi="Times New Roman"/>
          <w:szCs w:val="22"/>
          <w:lang w:val="sk-SK"/>
        </w:rPr>
        <w:t> </w:t>
      </w:r>
      <w:r w:rsidR="00F766DF" w:rsidRPr="00B50F60">
        <w:rPr>
          <w:rFonts w:ascii="Times New Roman" w:hAnsi="Times New Roman"/>
          <w:szCs w:val="22"/>
          <w:lang w:val="sk-SK"/>
        </w:rPr>
        <w:t>– 8</w:t>
      </w:r>
      <w:r w:rsidR="004E44F5" w:rsidRPr="00B50F60">
        <w:rPr>
          <w:rFonts w:ascii="Times New Roman" w:hAnsi="Times New Roman"/>
          <w:szCs w:val="22"/>
          <w:lang w:val="sk-SK"/>
        </w:rPr>
        <w:t> </w:t>
      </w:r>
      <w:r w:rsidR="00F766DF" w:rsidRPr="00B50F60">
        <w:rPr>
          <w:rFonts w:ascii="Times New Roman" w:hAnsi="Times New Roman"/>
          <w:szCs w:val="22"/>
          <w:lang w:val="sk-SK"/>
        </w:rPr>
        <w:t xml:space="preserve">°C </w:t>
      </w:r>
      <w:r w:rsidR="006D66C2" w:rsidRPr="00B50F60">
        <w:rPr>
          <w:rFonts w:ascii="Times New Roman" w:hAnsi="Times New Roman"/>
          <w:szCs w:val="22"/>
          <w:lang w:val="sk-SK"/>
        </w:rPr>
        <w:t>alebo pri izbovej teplote</w:t>
      </w:r>
      <w:r w:rsidR="000F6660" w:rsidRPr="00B50F60">
        <w:rPr>
          <w:rFonts w:ascii="Times New Roman" w:hAnsi="Times New Roman"/>
          <w:szCs w:val="22"/>
          <w:lang w:val="sk-SK"/>
        </w:rPr>
        <w:t xml:space="preserve"> </w:t>
      </w:r>
      <w:r w:rsidR="0051119B" w:rsidRPr="00B50F60">
        <w:rPr>
          <w:rFonts w:ascii="Times New Roman" w:hAnsi="Times New Roman"/>
          <w:szCs w:val="22"/>
          <w:lang w:val="sk-SK"/>
        </w:rPr>
        <w:t>(20</w:t>
      </w:r>
      <w:r w:rsidR="00B16913" w:rsidRPr="00B50F60">
        <w:rPr>
          <w:rFonts w:ascii="Times New Roman" w:hAnsi="Times New Roman"/>
          <w:szCs w:val="22"/>
          <w:lang w:val="sk-SK"/>
        </w:rPr>
        <w:t xml:space="preserve"> </w:t>
      </w:r>
      <w:r w:rsidR="0051119B" w:rsidRPr="00B50F60">
        <w:rPr>
          <w:rFonts w:ascii="Times New Roman" w:hAnsi="Times New Roman"/>
          <w:szCs w:val="22"/>
          <w:lang w:val="sk-SK"/>
        </w:rPr>
        <w:t>°C až 25</w:t>
      </w:r>
      <w:r w:rsidR="004E44F5" w:rsidRPr="00B50F60">
        <w:rPr>
          <w:rFonts w:ascii="Times New Roman" w:hAnsi="Times New Roman"/>
          <w:szCs w:val="22"/>
          <w:lang w:val="sk-SK"/>
        </w:rPr>
        <w:t> </w:t>
      </w:r>
      <w:r w:rsidR="0051119B" w:rsidRPr="00B50F60">
        <w:rPr>
          <w:rFonts w:ascii="Times New Roman" w:hAnsi="Times New Roman"/>
          <w:szCs w:val="22"/>
          <w:lang w:val="sk-SK"/>
        </w:rPr>
        <w:t xml:space="preserve">°C) </w:t>
      </w:r>
      <w:r w:rsidRPr="00B50F60">
        <w:rPr>
          <w:rFonts w:ascii="Times New Roman" w:hAnsi="Times New Roman"/>
          <w:szCs w:val="22"/>
          <w:lang w:val="sk-SK"/>
        </w:rPr>
        <w:t>v prípade, že</w:t>
      </w:r>
      <w:r w:rsidR="00755C21" w:rsidRPr="00B50F60">
        <w:rPr>
          <w:rFonts w:ascii="Times New Roman" w:hAnsi="Times New Roman"/>
          <w:szCs w:val="22"/>
          <w:lang w:val="sk-SK"/>
        </w:rPr>
        <w:t xml:space="preserve"> </w:t>
      </w:r>
      <w:r w:rsidR="00D01C7C" w:rsidRPr="00B50F60">
        <w:rPr>
          <w:rFonts w:ascii="Times New Roman" w:hAnsi="Times New Roman"/>
          <w:szCs w:val="22"/>
          <w:lang w:val="sk-SK"/>
        </w:rPr>
        <w:t xml:space="preserve">bol </w:t>
      </w:r>
      <w:r w:rsidR="005E42E7" w:rsidRPr="00B50F60">
        <w:rPr>
          <w:rFonts w:ascii="Times New Roman" w:hAnsi="Times New Roman"/>
          <w:szCs w:val="22"/>
          <w:lang w:val="sk-SK"/>
        </w:rPr>
        <w:t xml:space="preserve">roztok </w:t>
      </w:r>
      <w:r w:rsidR="00755C21" w:rsidRPr="00B50F60">
        <w:rPr>
          <w:rFonts w:ascii="Times New Roman" w:hAnsi="Times New Roman"/>
          <w:szCs w:val="22"/>
          <w:lang w:val="sk-SK"/>
        </w:rPr>
        <w:t xml:space="preserve">pripravený v </w:t>
      </w:r>
      <w:r w:rsidR="005A57C4" w:rsidRPr="00B50F60">
        <w:rPr>
          <w:rFonts w:ascii="Times New Roman" w:hAnsi="Times New Roman"/>
          <w:szCs w:val="22"/>
          <w:lang w:val="sk-SK"/>
        </w:rPr>
        <w:t xml:space="preserve">PE vakoch </w:t>
      </w:r>
      <w:r w:rsidRPr="00B50F60">
        <w:rPr>
          <w:rFonts w:ascii="Times New Roman" w:hAnsi="Times New Roman"/>
          <w:szCs w:val="22"/>
          <w:lang w:val="sk-SK"/>
        </w:rPr>
        <w:t>a</w:t>
      </w:r>
      <w:r w:rsidR="003335E9" w:rsidRPr="00B50F60">
        <w:rPr>
          <w:rFonts w:ascii="Times New Roman" w:hAnsi="Times New Roman"/>
          <w:szCs w:val="22"/>
          <w:lang w:val="sk-SK"/>
        </w:rPr>
        <w:t> je</w:t>
      </w:r>
      <w:r w:rsidRPr="00B50F60">
        <w:rPr>
          <w:rFonts w:ascii="Times New Roman" w:hAnsi="Times New Roman"/>
          <w:szCs w:val="22"/>
          <w:lang w:val="sk-SK"/>
        </w:rPr>
        <w:t xml:space="preserve"> </w:t>
      </w:r>
      <w:r w:rsidR="00755C21" w:rsidRPr="00B50F60">
        <w:rPr>
          <w:rFonts w:ascii="Times New Roman" w:hAnsi="Times New Roman"/>
          <w:szCs w:val="22"/>
          <w:lang w:val="sk-SK"/>
        </w:rPr>
        <w:t>chránený pred svetlom.</w:t>
      </w:r>
    </w:p>
    <w:p w14:paraId="7FD35AEF" w14:textId="77777777" w:rsidR="00755C21" w:rsidRPr="00B50F60" w:rsidRDefault="00755C21" w:rsidP="00ED7827">
      <w:pPr>
        <w:pStyle w:val="Standardenglisch"/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>Z mikrobiologického hľadiska sa má lie</w:t>
      </w:r>
      <w:r w:rsidR="005E42E7" w:rsidRPr="00B50F60">
        <w:rPr>
          <w:rFonts w:ascii="Times New Roman" w:hAnsi="Times New Roman"/>
          <w:szCs w:val="22"/>
          <w:lang w:val="sk-SK"/>
        </w:rPr>
        <w:t>k</w:t>
      </w:r>
      <w:r w:rsidRPr="00B50F60">
        <w:rPr>
          <w:rFonts w:ascii="Times New Roman" w:hAnsi="Times New Roman"/>
          <w:szCs w:val="22"/>
          <w:lang w:val="sk-SK"/>
        </w:rPr>
        <w:t xml:space="preserve"> použiť ihneď. Ak sa </w:t>
      </w:r>
      <w:r w:rsidR="005E42E7" w:rsidRPr="00B50F60">
        <w:rPr>
          <w:rFonts w:ascii="Times New Roman" w:hAnsi="Times New Roman"/>
          <w:szCs w:val="22"/>
          <w:lang w:val="sk-SK"/>
        </w:rPr>
        <w:t xml:space="preserve">nepoužije </w:t>
      </w:r>
      <w:r w:rsidR="007A3614" w:rsidRPr="00B50F60">
        <w:rPr>
          <w:rFonts w:ascii="Times New Roman" w:hAnsi="Times New Roman"/>
          <w:szCs w:val="22"/>
          <w:lang w:val="sk-SK"/>
        </w:rPr>
        <w:t>i</w:t>
      </w:r>
      <w:r w:rsidR="005E42E7" w:rsidRPr="00B50F60">
        <w:rPr>
          <w:rFonts w:ascii="Times New Roman" w:hAnsi="Times New Roman"/>
          <w:szCs w:val="22"/>
          <w:lang w:val="sk-SK"/>
        </w:rPr>
        <w:t xml:space="preserve">hneď, </w:t>
      </w:r>
      <w:r w:rsidR="00210A2D" w:rsidRPr="00B50F60">
        <w:rPr>
          <w:rFonts w:ascii="Times New Roman" w:hAnsi="Times New Roman"/>
          <w:szCs w:val="22"/>
          <w:lang w:val="sk-SK"/>
        </w:rPr>
        <w:t xml:space="preserve">je </w:t>
      </w:r>
      <w:r w:rsidR="007A3614" w:rsidRPr="00B50F60">
        <w:rPr>
          <w:rFonts w:ascii="Times New Roman" w:hAnsi="Times New Roman"/>
          <w:szCs w:val="22"/>
          <w:lang w:val="sk-SK"/>
        </w:rPr>
        <w:t>za dodržanie podmienok skladovania a doby použiteľnosti zodpovedný používateľ</w:t>
      </w:r>
      <w:r w:rsidR="000F6660" w:rsidRPr="00B50F60">
        <w:rPr>
          <w:rFonts w:ascii="Times New Roman" w:hAnsi="Times New Roman"/>
          <w:szCs w:val="22"/>
          <w:lang w:val="sk-SK"/>
        </w:rPr>
        <w:t xml:space="preserve"> </w:t>
      </w:r>
      <w:r w:rsidR="007A3614" w:rsidRPr="00B50F60">
        <w:rPr>
          <w:rFonts w:ascii="Times New Roman" w:hAnsi="Times New Roman"/>
          <w:szCs w:val="22"/>
          <w:lang w:val="sk-SK"/>
        </w:rPr>
        <w:t>a roztok by nemal byť</w:t>
      </w:r>
      <w:r w:rsidRPr="00B50F60">
        <w:rPr>
          <w:rFonts w:ascii="Times New Roman" w:hAnsi="Times New Roman"/>
          <w:szCs w:val="22"/>
          <w:lang w:val="sk-SK"/>
        </w:rPr>
        <w:t xml:space="preserve"> </w:t>
      </w:r>
      <w:r w:rsidR="007A3614" w:rsidRPr="00B50F60">
        <w:rPr>
          <w:rFonts w:ascii="Times New Roman" w:hAnsi="Times New Roman"/>
          <w:szCs w:val="22"/>
          <w:lang w:val="sk-SK"/>
        </w:rPr>
        <w:t>uchovávaný dlhšie než</w:t>
      </w:r>
      <w:r w:rsidRPr="00B50F60">
        <w:rPr>
          <w:rFonts w:ascii="Times New Roman" w:hAnsi="Times New Roman"/>
          <w:szCs w:val="22"/>
          <w:lang w:val="sk-SK"/>
        </w:rPr>
        <w:t xml:space="preserve"> 24</w:t>
      </w:r>
      <w:r w:rsidR="007D532D" w:rsidRPr="00B50F60">
        <w:rPr>
          <w:rFonts w:ascii="Times New Roman" w:hAnsi="Times New Roman"/>
          <w:szCs w:val="22"/>
          <w:lang w:val="sk-SK"/>
        </w:rPr>
        <w:t> </w:t>
      </w:r>
      <w:r w:rsidRPr="00B50F60">
        <w:rPr>
          <w:rFonts w:ascii="Times New Roman" w:hAnsi="Times New Roman"/>
          <w:szCs w:val="22"/>
          <w:lang w:val="sk-SK"/>
        </w:rPr>
        <w:t>hodín pri 2</w:t>
      </w:r>
      <w:r w:rsidR="004E44F5" w:rsidRPr="00B50F60">
        <w:rPr>
          <w:rFonts w:ascii="Times New Roman" w:hAnsi="Times New Roman"/>
          <w:szCs w:val="22"/>
          <w:u w:val="words"/>
          <w:lang w:val="sk-SK"/>
        </w:rPr>
        <w:t> </w:t>
      </w:r>
      <w:r w:rsidRPr="00B50F60">
        <w:rPr>
          <w:rFonts w:ascii="Times New Roman" w:hAnsi="Times New Roman"/>
          <w:szCs w:val="22"/>
          <w:lang w:val="sk-SK"/>
        </w:rPr>
        <w:t>°C až 8</w:t>
      </w:r>
      <w:r w:rsidR="004E44F5" w:rsidRPr="00B50F60">
        <w:rPr>
          <w:rFonts w:ascii="Times New Roman" w:hAnsi="Times New Roman"/>
          <w:szCs w:val="22"/>
          <w:lang w:val="sk-SK"/>
        </w:rPr>
        <w:t> </w:t>
      </w:r>
      <w:r w:rsidRPr="00B50F60">
        <w:rPr>
          <w:rFonts w:ascii="Times New Roman" w:hAnsi="Times New Roman"/>
          <w:szCs w:val="22"/>
          <w:lang w:val="sk-SK"/>
        </w:rPr>
        <w:t xml:space="preserve">°C, pokiaľ riedenie </w:t>
      </w:r>
      <w:r w:rsidR="00B7170E" w:rsidRPr="00B50F60">
        <w:rPr>
          <w:rFonts w:ascii="Times New Roman" w:hAnsi="Times New Roman"/>
          <w:szCs w:val="22"/>
          <w:lang w:val="sk-SK"/>
        </w:rPr>
        <w:t>nepreb</w:t>
      </w:r>
      <w:r w:rsidR="00B76506" w:rsidRPr="00B50F60">
        <w:rPr>
          <w:rFonts w:ascii="Times New Roman" w:hAnsi="Times New Roman"/>
          <w:szCs w:val="22"/>
          <w:lang w:val="sk-SK"/>
        </w:rPr>
        <w:t>i</w:t>
      </w:r>
      <w:r w:rsidR="00B7170E" w:rsidRPr="00B50F60">
        <w:rPr>
          <w:rFonts w:ascii="Times New Roman" w:hAnsi="Times New Roman"/>
          <w:szCs w:val="22"/>
          <w:lang w:val="sk-SK"/>
        </w:rPr>
        <w:t>ehalo</w:t>
      </w:r>
      <w:r w:rsidRPr="00B50F60">
        <w:rPr>
          <w:rFonts w:ascii="Times New Roman" w:hAnsi="Times New Roman"/>
          <w:szCs w:val="22"/>
          <w:lang w:val="sk-SK"/>
        </w:rPr>
        <w:t xml:space="preserve"> v kontrolovaných a </w:t>
      </w:r>
      <w:r w:rsidR="007A3614" w:rsidRPr="00B50F60">
        <w:rPr>
          <w:rFonts w:ascii="Times New Roman" w:hAnsi="Times New Roman"/>
          <w:szCs w:val="22"/>
          <w:lang w:val="sk-SK"/>
        </w:rPr>
        <w:t xml:space="preserve">validovaných </w:t>
      </w:r>
      <w:r w:rsidRPr="00B50F60">
        <w:rPr>
          <w:rFonts w:ascii="Times New Roman" w:hAnsi="Times New Roman"/>
          <w:szCs w:val="22"/>
          <w:lang w:val="sk-SK"/>
        </w:rPr>
        <w:t>aseptických podmienkach.</w:t>
      </w:r>
    </w:p>
    <w:p w14:paraId="6A547071" w14:textId="77777777" w:rsidR="00755C21" w:rsidRPr="00B50F60" w:rsidRDefault="00755C21" w:rsidP="00ED7827">
      <w:pPr>
        <w:pStyle w:val="Standardenglisch"/>
        <w:rPr>
          <w:rFonts w:ascii="Times New Roman" w:hAnsi="Times New Roman"/>
          <w:b/>
          <w:szCs w:val="22"/>
          <w:lang w:val="sk-SK"/>
        </w:rPr>
      </w:pPr>
    </w:p>
    <w:p w14:paraId="446A955D" w14:textId="77777777" w:rsidR="00B750C4" w:rsidRPr="00B50F60" w:rsidRDefault="00B750C4" w:rsidP="00E0676E">
      <w:pPr>
        <w:pStyle w:val="Standardenglisch"/>
        <w:keepNext/>
        <w:keepLines/>
        <w:widowControl/>
        <w:outlineLvl w:val="0"/>
        <w:rPr>
          <w:rFonts w:ascii="Times New Roman" w:hAnsi="Times New Roman"/>
          <w:b/>
          <w:szCs w:val="22"/>
          <w:lang w:val="sk-SK"/>
        </w:rPr>
      </w:pPr>
      <w:r w:rsidRPr="00B50F60">
        <w:rPr>
          <w:rFonts w:ascii="Times New Roman" w:hAnsi="Times New Roman"/>
          <w:b/>
          <w:szCs w:val="22"/>
          <w:lang w:val="sk-SK"/>
        </w:rPr>
        <w:t>6.4</w:t>
      </w:r>
      <w:r w:rsidRPr="00B50F60">
        <w:rPr>
          <w:rFonts w:ascii="Times New Roman" w:hAnsi="Times New Roman"/>
          <w:b/>
          <w:szCs w:val="22"/>
          <w:lang w:val="sk-SK"/>
        </w:rPr>
        <w:tab/>
      </w:r>
      <w:r w:rsidR="00755C21" w:rsidRPr="00B50F60">
        <w:rPr>
          <w:rFonts w:ascii="Times New Roman" w:hAnsi="Times New Roman"/>
          <w:b/>
          <w:szCs w:val="22"/>
          <w:lang w:val="sk-SK"/>
        </w:rPr>
        <w:t xml:space="preserve">Špeciálne upozornenia </w:t>
      </w:r>
      <w:r w:rsidR="00210A2D" w:rsidRPr="00B50F60">
        <w:rPr>
          <w:rFonts w:ascii="Times New Roman" w:hAnsi="Times New Roman"/>
          <w:b/>
          <w:szCs w:val="22"/>
          <w:lang w:val="sk-SK"/>
        </w:rPr>
        <w:t>na uchovávanie</w:t>
      </w:r>
    </w:p>
    <w:p w14:paraId="47F0E35B" w14:textId="77777777" w:rsidR="00B750C4" w:rsidRPr="00B50F60" w:rsidRDefault="00B750C4" w:rsidP="00E0676E">
      <w:pPr>
        <w:pStyle w:val="Standardenglisch"/>
        <w:keepNext/>
        <w:keepLines/>
        <w:widowControl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7F4EFA57" w14:textId="77777777" w:rsidR="00B750C4" w:rsidRPr="00B50F60" w:rsidRDefault="00755C21" w:rsidP="00E0676E">
      <w:pPr>
        <w:pStyle w:val="Standardenglisch"/>
        <w:keepNext/>
        <w:keepLines/>
        <w:widowControl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>Uchovávajte v chladničke (2</w:t>
      </w:r>
      <w:r w:rsidR="004E44F5" w:rsidRPr="00B50F60">
        <w:rPr>
          <w:rFonts w:ascii="Times New Roman" w:hAnsi="Times New Roman"/>
          <w:szCs w:val="22"/>
          <w:lang w:val="sk-SK"/>
        </w:rPr>
        <w:t> </w:t>
      </w:r>
      <w:r w:rsidRPr="00B50F60">
        <w:rPr>
          <w:rFonts w:ascii="Times New Roman" w:hAnsi="Times New Roman"/>
          <w:szCs w:val="22"/>
          <w:lang w:val="sk-SK"/>
        </w:rPr>
        <w:t>°C</w:t>
      </w:r>
      <w:r w:rsidR="00B9020A" w:rsidRPr="00B50F60">
        <w:rPr>
          <w:rFonts w:ascii="Times New Roman" w:hAnsi="Times New Roman"/>
          <w:szCs w:val="22"/>
          <w:lang w:val="sk-SK"/>
        </w:rPr>
        <w:t> </w:t>
      </w:r>
      <w:r w:rsidR="00DB3581" w:rsidRPr="00B50F60">
        <w:rPr>
          <w:rFonts w:ascii="Times New Roman" w:hAnsi="Times New Roman"/>
          <w:szCs w:val="22"/>
          <w:lang w:val="sk-SK"/>
        </w:rPr>
        <w:t>–</w:t>
      </w:r>
      <w:r w:rsidRPr="00B50F60">
        <w:rPr>
          <w:rFonts w:ascii="Times New Roman" w:hAnsi="Times New Roman"/>
          <w:szCs w:val="22"/>
          <w:lang w:val="sk-SK"/>
        </w:rPr>
        <w:t xml:space="preserve"> 8</w:t>
      </w:r>
      <w:r w:rsidR="004E44F5" w:rsidRPr="00B50F60">
        <w:rPr>
          <w:rFonts w:ascii="Times New Roman" w:hAnsi="Times New Roman"/>
          <w:szCs w:val="22"/>
          <w:lang w:val="sk-SK"/>
        </w:rPr>
        <w:t> </w:t>
      </w:r>
      <w:r w:rsidRPr="00B50F60">
        <w:rPr>
          <w:rFonts w:ascii="Times New Roman" w:hAnsi="Times New Roman"/>
          <w:szCs w:val="22"/>
          <w:lang w:val="sk-SK"/>
        </w:rPr>
        <w:t>°C).</w:t>
      </w:r>
    </w:p>
    <w:p w14:paraId="13E6C51C" w14:textId="77777777" w:rsidR="00017169" w:rsidRPr="00B50F60" w:rsidRDefault="00755C21" w:rsidP="00E0676E">
      <w:pPr>
        <w:pStyle w:val="Standardenglisch"/>
        <w:keepNext/>
        <w:keepLines/>
        <w:widowControl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 xml:space="preserve">Uchovávajte </w:t>
      </w:r>
      <w:r w:rsidR="00210A2D" w:rsidRPr="00B50F60">
        <w:rPr>
          <w:rFonts w:ascii="Times New Roman" w:hAnsi="Times New Roman"/>
          <w:szCs w:val="22"/>
          <w:lang w:val="sk-SK"/>
        </w:rPr>
        <w:t xml:space="preserve">injekčnú </w:t>
      </w:r>
      <w:r w:rsidRPr="00B50F60">
        <w:rPr>
          <w:rFonts w:ascii="Times New Roman" w:hAnsi="Times New Roman"/>
          <w:szCs w:val="22"/>
          <w:lang w:val="sk-SK"/>
        </w:rPr>
        <w:t xml:space="preserve">liekovku vo vonkajšom </w:t>
      </w:r>
      <w:r w:rsidR="0038050D" w:rsidRPr="00B50F60">
        <w:rPr>
          <w:rFonts w:ascii="Times New Roman" w:hAnsi="Times New Roman"/>
          <w:szCs w:val="22"/>
          <w:lang w:val="sk-SK"/>
        </w:rPr>
        <w:t xml:space="preserve">papierovom </w:t>
      </w:r>
      <w:r w:rsidRPr="00B50F60">
        <w:rPr>
          <w:rFonts w:ascii="Times New Roman" w:hAnsi="Times New Roman"/>
          <w:szCs w:val="22"/>
          <w:lang w:val="sk-SK"/>
        </w:rPr>
        <w:t xml:space="preserve">obale </w:t>
      </w:r>
      <w:r w:rsidR="009D0AF9" w:rsidRPr="00B50F60">
        <w:rPr>
          <w:rFonts w:ascii="Times New Roman" w:hAnsi="Times New Roman"/>
          <w:szCs w:val="22"/>
          <w:lang w:val="sk-SK"/>
        </w:rPr>
        <w:t xml:space="preserve">na </w:t>
      </w:r>
      <w:r w:rsidR="0038050D" w:rsidRPr="00B50F60">
        <w:rPr>
          <w:rFonts w:ascii="Times New Roman" w:hAnsi="Times New Roman"/>
          <w:szCs w:val="22"/>
          <w:lang w:val="sk-SK"/>
        </w:rPr>
        <w:t>ochran</w:t>
      </w:r>
      <w:r w:rsidR="009D0AF9" w:rsidRPr="00B50F60">
        <w:rPr>
          <w:rFonts w:ascii="Times New Roman" w:hAnsi="Times New Roman"/>
          <w:szCs w:val="22"/>
          <w:lang w:val="sk-SK"/>
        </w:rPr>
        <w:t>u</w:t>
      </w:r>
      <w:r w:rsidRPr="00B50F60">
        <w:rPr>
          <w:rFonts w:ascii="Times New Roman" w:hAnsi="Times New Roman"/>
          <w:szCs w:val="22"/>
          <w:lang w:val="sk-SK"/>
        </w:rPr>
        <w:t xml:space="preserve"> pred svetlom.</w:t>
      </w:r>
    </w:p>
    <w:p w14:paraId="17246D0F" w14:textId="77777777" w:rsidR="00017169" w:rsidRPr="00B50F60" w:rsidRDefault="00017169" w:rsidP="00E0676E">
      <w:pPr>
        <w:pStyle w:val="Standardenglisch"/>
        <w:keepNext/>
        <w:keepLines/>
        <w:widowControl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6B78A087" w14:textId="77777777" w:rsidR="00755C21" w:rsidRPr="00B50F60" w:rsidRDefault="00755C21" w:rsidP="00E0676E">
      <w:pPr>
        <w:pStyle w:val="Standardenglisch"/>
        <w:keepNext/>
        <w:keepLines/>
        <w:widowControl/>
        <w:tabs>
          <w:tab w:val="left" w:pos="284"/>
          <w:tab w:val="left" w:pos="567"/>
        </w:tabs>
        <w:outlineLvl w:val="0"/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 xml:space="preserve">Podmienky </w:t>
      </w:r>
      <w:r w:rsidR="00210A2D" w:rsidRPr="00B50F60">
        <w:rPr>
          <w:rFonts w:ascii="Times New Roman" w:hAnsi="Times New Roman"/>
          <w:szCs w:val="22"/>
          <w:lang w:val="sk-SK"/>
        </w:rPr>
        <w:t>na uchovávanie</w:t>
      </w:r>
      <w:r w:rsidRPr="00B50F60">
        <w:rPr>
          <w:rFonts w:ascii="Times New Roman" w:hAnsi="Times New Roman"/>
          <w:szCs w:val="22"/>
          <w:lang w:val="sk-SK"/>
        </w:rPr>
        <w:t xml:space="preserve"> </w:t>
      </w:r>
      <w:r w:rsidR="00210A2D" w:rsidRPr="00B50F60">
        <w:rPr>
          <w:rFonts w:ascii="Times New Roman" w:hAnsi="Times New Roman"/>
          <w:szCs w:val="22"/>
          <w:lang w:val="sk-SK"/>
        </w:rPr>
        <w:t>na</w:t>
      </w:r>
      <w:r w:rsidRPr="00B50F60">
        <w:rPr>
          <w:rFonts w:ascii="Times New Roman" w:hAnsi="Times New Roman"/>
          <w:szCs w:val="22"/>
          <w:lang w:val="sk-SK"/>
        </w:rPr>
        <w:t>riedeného lieku, pozri časť</w:t>
      </w:r>
      <w:r w:rsidR="004E44F5" w:rsidRPr="00B50F60">
        <w:rPr>
          <w:rFonts w:ascii="Times New Roman" w:hAnsi="Times New Roman"/>
          <w:szCs w:val="22"/>
          <w:lang w:val="sk-SK"/>
        </w:rPr>
        <w:t> </w:t>
      </w:r>
      <w:r w:rsidRPr="00B50F60">
        <w:rPr>
          <w:rFonts w:ascii="Times New Roman" w:hAnsi="Times New Roman"/>
          <w:szCs w:val="22"/>
          <w:lang w:val="sk-SK"/>
        </w:rPr>
        <w:t>6.3.</w:t>
      </w:r>
    </w:p>
    <w:p w14:paraId="0DB35135" w14:textId="77777777" w:rsidR="00D15AB4" w:rsidRPr="00B50F60" w:rsidRDefault="00D15AB4" w:rsidP="00ED7827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</w:p>
    <w:p w14:paraId="333F22F7" w14:textId="77777777" w:rsidR="00B750C4" w:rsidRPr="00B50F60" w:rsidRDefault="00B750C4" w:rsidP="00253BFF">
      <w:pPr>
        <w:keepNext/>
        <w:keepLines/>
        <w:widowControl/>
        <w:tabs>
          <w:tab w:val="left" w:pos="567"/>
        </w:tabs>
        <w:outlineLvl w:val="0"/>
        <w:rPr>
          <w:rFonts w:ascii="Times New Roman" w:hAnsi="Times New Roman"/>
          <w:b/>
          <w:szCs w:val="22"/>
          <w:lang w:val="sk-SK"/>
        </w:rPr>
      </w:pPr>
      <w:r w:rsidRPr="00B50F60">
        <w:rPr>
          <w:rFonts w:ascii="Times New Roman" w:hAnsi="Times New Roman"/>
          <w:b/>
          <w:szCs w:val="22"/>
          <w:lang w:val="sk-SK"/>
        </w:rPr>
        <w:t>6.5</w:t>
      </w:r>
      <w:r w:rsidRPr="00B50F60">
        <w:rPr>
          <w:rFonts w:ascii="Times New Roman" w:hAnsi="Times New Roman"/>
          <w:b/>
          <w:szCs w:val="22"/>
          <w:lang w:val="sk-SK"/>
        </w:rPr>
        <w:tab/>
      </w:r>
      <w:r w:rsidR="00755C21" w:rsidRPr="00B50F60">
        <w:rPr>
          <w:rFonts w:ascii="Times New Roman" w:hAnsi="Times New Roman"/>
          <w:b/>
          <w:szCs w:val="22"/>
          <w:lang w:val="sk-SK"/>
        </w:rPr>
        <w:t>Druh</w:t>
      </w:r>
      <w:r w:rsidR="008F25BF" w:rsidRPr="00B50F60">
        <w:rPr>
          <w:rFonts w:ascii="Times New Roman" w:hAnsi="Times New Roman"/>
          <w:b/>
          <w:szCs w:val="22"/>
          <w:lang w:val="sk-SK"/>
        </w:rPr>
        <w:t xml:space="preserve"> obalu a obsah </w:t>
      </w:r>
      <w:r w:rsidR="00755C21" w:rsidRPr="00B50F60">
        <w:rPr>
          <w:rFonts w:ascii="Times New Roman" w:hAnsi="Times New Roman"/>
          <w:b/>
          <w:szCs w:val="22"/>
          <w:lang w:val="sk-SK"/>
        </w:rPr>
        <w:t>bal</w:t>
      </w:r>
      <w:r w:rsidR="008F25BF" w:rsidRPr="00B50F60">
        <w:rPr>
          <w:rFonts w:ascii="Times New Roman" w:hAnsi="Times New Roman"/>
          <w:b/>
          <w:szCs w:val="22"/>
          <w:lang w:val="sk-SK"/>
        </w:rPr>
        <w:t>enia</w:t>
      </w:r>
    </w:p>
    <w:p w14:paraId="182D26DD" w14:textId="77777777" w:rsidR="00B750C4" w:rsidRPr="00B50F60" w:rsidRDefault="00B750C4" w:rsidP="00253BFF">
      <w:pPr>
        <w:pStyle w:val="Standardenglisch"/>
        <w:keepNext/>
        <w:keepLines/>
        <w:widowControl/>
        <w:tabs>
          <w:tab w:val="left" w:pos="3969"/>
          <w:tab w:val="left" w:pos="4820"/>
        </w:tabs>
        <w:rPr>
          <w:rFonts w:ascii="Times New Roman" w:hAnsi="Times New Roman"/>
          <w:szCs w:val="22"/>
          <w:lang w:val="sk-SK"/>
        </w:rPr>
      </w:pPr>
    </w:p>
    <w:p w14:paraId="1738AA8E" w14:textId="77777777" w:rsidR="00B750C4" w:rsidRPr="00B50F60" w:rsidRDefault="00755C21" w:rsidP="00253BFF">
      <w:pPr>
        <w:pStyle w:val="Zarkazkladnhotextu"/>
        <w:keepNext/>
        <w:keepLines/>
        <w:tabs>
          <w:tab w:val="left" w:pos="3119"/>
          <w:tab w:val="left" w:pos="6237"/>
          <w:tab w:val="left" w:pos="7371"/>
        </w:tabs>
        <w:spacing w:line="240" w:lineRule="auto"/>
        <w:ind w:left="0"/>
        <w:jc w:val="left"/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 xml:space="preserve">Bezfarebné sklenené </w:t>
      </w:r>
      <w:r w:rsidR="008F25BF" w:rsidRPr="00B50F60">
        <w:rPr>
          <w:rFonts w:ascii="Times New Roman" w:hAnsi="Times New Roman"/>
          <w:szCs w:val="22"/>
          <w:lang w:val="sk-SK"/>
        </w:rPr>
        <w:t xml:space="preserve">injekčné </w:t>
      </w:r>
      <w:r w:rsidRPr="00B50F60">
        <w:rPr>
          <w:rFonts w:ascii="Times New Roman" w:hAnsi="Times New Roman"/>
          <w:szCs w:val="22"/>
          <w:lang w:val="sk-SK"/>
        </w:rPr>
        <w:t>liekovky (sklo typu</w:t>
      </w:r>
      <w:r w:rsidR="004E44F5" w:rsidRPr="00B50F60">
        <w:rPr>
          <w:rFonts w:ascii="Times New Roman" w:hAnsi="Times New Roman"/>
          <w:szCs w:val="22"/>
          <w:lang w:val="sk-SK"/>
        </w:rPr>
        <w:t> </w:t>
      </w:r>
      <w:r w:rsidRPr="00B50F60">
        <w:rPr>
          <w:rFonts w:ascii="Times New Roman" w:hAnsi="Times New Roman"/>
          <w:szCs w:val="22"/>
          <w:lang w:val="sk-SK"/>
        </w:rPr>
        <w:t>I) s nominálnym objemom 5</w:t>
      </w:r>
      <w:r w:rsidR="007D532D" w:rsidRPr="00B50F60">
        <w:rPr>
          <w:rFonts w:ascii="Times New Roman" w:hAnsi="Times New Roman"/>
          <w:szCs w:val="22"/>
          <w:lang w:val="sk-SK"/>
        </w:rPr>
        <w:t> </w:t>
      </w:r>
      <w:r w:rsidRPr="00B50F60">
        <w:rPr>
          <w:rFonts w:ascii="Times New Roman" w:hAnsi="Times New Roman"/>
          <w:szCs w:val="22"/>
          <w:lang w:val="sk-SK"/>
        </w:rPr>
        <w:t>ml,</w:t>
      </w:r>
      <w:r w:rsidR="0038050D" w:rsidRPr="00B50F60">
        <w:rPr>
          <w:rFonts w:ascii="Times New Roman" w:hAnsi="Times New Roman"/>
          <w:szCs w:val="22"/>
          <w:lang w:val="sk-SK"/>
        </w:rPr>
        <w:t xml:space="preserve"> </w:t>
      </w:r>
      <w:r w:rsidRPr="00B50F60">
        <w:rPr>
          <w:rFonts w:ascii="Times New Roman" w:hAnsi="Times New Roman"/>
          <w:szCs w:val="22"/>
          <w:lang w:val="sk-SK"/>
        </w:rPr>
        <w:t>10</w:t>
      </w:r>
      <w:r w:rsidR="007D532D" w:rsidRPr="00B50F60">
        <w:rPr>
          <w:rFonts w:ascii="Times New Roman" w:hAnsi="Times New Roman"/>
          <w:szCs w:val="22"/>
          <w:lang w:val="sk-SK"/>
        </w:rPr>
        <w:t> </w:t>
      </w:r>
      <w:r w:rsidRPr="00B50F60">
        <w:rPr>
          <w:rFonts w:ascii="Times New Roman" w:hAnsi="Times New Roman"/>
          <w:szCs w:val="22"/>
          <w:lang w:val="sk-SK"/>
        </w:rPr>
        <w:t>ml, 25</w:t>
      </w:r>
      <w:r w:rsidR="00BA6438" w:rsidRPr="00B50F60">
        <w:rPr>
          <w:rFonts w:ascii="Times New Roman" w:hAnsi="Times New Roman"/>
          <w:szCs w:val="22"/>
          <w:lang w:val="sk-SK"/>
        </w:rPr>
        <w:t> </w:t>
      </w:r>
      <w:r w:rsidRPr="00B50F60">
        <w:rPr>
          <w:rFonts w:ascii="Times New Roman" w:hAnsi="Times New Roman"/>
          <w:szCs w:val="22"/>
          <w:lang w:val="sk-SK"/>
        </w:rPr>
        <w:t>ml, 75</w:t>
      </w:r>
      <w:r w:rsidR="007D532D" w:rsidRPr="00B50F60">
        <w:rPr>
          <w:rFonts w:ascii="Times New Roman" w:hAnsi="Times New Roman"/>
          <w:szCs w:val="22"/>
          <w:lang w:val="sk-SK"/>
        </w:rPr>
        <w:t> </w:t>
      </w:r>
      <w:r w:rsidRPr="00B50F60">
        <w:rPr>
          <w:rFonts w:ascii="Times New Roman" w:hAnsi="Times New Roman"/>
          <w:szCs w:val="22"/>
          <w:lang w:val="sk-SK"/>
        </w:rPr>
        <w:t>ml a</w:t>
      </w:r>
      <w:r w:rsidR="008F25BF" w:rsidRPr="00B50F60">
        <w:rPr>
          <w:rFonts w:ascii="Times New Roman" w:hAnsi="Times New Roman"/>
          <w:szCs w:val="22"/>
          <w:lang w:val="sk-SK"/>
        </w:rPr>
        <w:t>lebo</w:t>
      </w:r>
      <w:r w:rsidRPr="00B50F60">
        <w:rPr>
          <w:rFonts w:ascii="Times New Roman" w:hAnsi="Times New Roman"/>
          <w:szCs w:val="22"/>
          <w:lang w:val="sk-SK"/>
        </w:rPr>
        <w:t xml:space="preserve"> 100</w:t>
      </w:r>
      <w:r w:rsidR="007D532D" w:rsidRPr="00B50F60">
        <w:rPr>
          <w:rFonts w:ascii="Times New Roman" w:hAnsi="Times New Roman"/>
          <w:szCs w:val="22"/>
          <w:lang w:val="sk-SK"/>
        </w:rPr>
        <w:t> </w:t>
      </w:r>
      <w:r w:rsidRPr="00B50F60">
        <w:rPr>
          <w:rFonts w:ascii="Times New Roman" w:hAnsi="Times New Roman"/>
          <w:szCs w:val="22"/>
          <w:lang w:val="sk-SK"/>
        </w:rPr>
        <w:t xml:space="preserve">ml. </w:t>
      </w:r>
      <w:proofErr w:type="spellStart"/>
      <w:r w:rsidRPr="00B50F60">
        <w:rPr>
          <w:rFonts w:ascii="Times New Roman" w:hAnsi="Times New Roman"/>
          <w:szCs w:val="22"/>
          <w:lang w:val="sk-SK"/>
        </w:rPr>
        <w:t>Chlorobutylové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gumené uzávery s vrstvou ETFE.</w:t>
      </w:r>
    </w:p>
    <w:p w14:paraId="73F3BAE3" w14:textId="77777777" w:rsidR="00755C21" w:rsidRPr="00B50F60" w:rsidRDefault="00755C21" w:rsidP="00ED7827">
      <w:pPr>
        <w:pStyle w:val="Zarkazkladnhotextu"/>
        <w:tabs>
          <w:tab w:val="left" w:pos="3119"/>
          <w:tab w:val="left" w:pos="6237"/>
          <w:tab w:val="left" w:pos="7371"/>
        </w:tabs>
        <w:spacing w:line="240" w:lineRule="auto"/>
        <w:ind w:left="0"/>
        <w:jc w:val="left"/>
        <w:rPr>
          <w:rFonts w:ascii="Times New Roman" w:hAnsi="Times New Roman"/>
          <w:szCs w:val="22"/>
          <w:lang w:val="sk-SK"/>
        </w:rPr>
      </w:pPr>
    </w:p>
    <w:p w14:paraId="6855843C" w14:textId="77777777" w:rsidR="00B750C4" w:rsidRPr="00B50F60" w:rsidRDefault="008A480A" w:rsidP="00ED7827">
      <w:pPr>
        <w:tabs>
          <w:tab w:val="left" w:pos="2835"/>
          <w:tab w:val="left" w:pos="3969"/>
          <w:tab w:val="left" w:pos="6237"/>
          <w:tab w:val="left" w:pos="7371"/>
        </w:tabs>
        <w:outlineLvl w:val="0"/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>Originálne b</w:t>
      </w:r>
      <w:r w:rsidR="00755C21" w:rsidRPr="00B50F60">
        <w:rPr>
          <w:rFonts w:ascii="Times New Roman" w:hAnsi="Times New Roman"/>
          <w:szCs w:val="22"/>
          <w:lang w:val="sk-SK"/>
        </w:rPr>
        <w:t xml:space="preserve">alenie obsahuje 1 alebo 5 </w:t>
      </w:r>
      <w:r w:rsidR="00587645" w:rsidRPr="00B50F60">
        <w:rPr>
          <w:rFonts w:ascii="Times New Roman" w:hAnsi="Times New Roman"/>
          <w:szCs w:val="22"/>
          <w:lang w:val="sk-SK"/>
        </w:rPr>
        <w:t xml:space="preserve">injekčných </w:t>
      </w:r>
      <w:r w:rsidR="00755C21" w:rsidRPr="00B50F60">
        <w:rPr>
          <w:rFonts w:ascii="Times New Roman" w:hAnsi="Times New Roman"/>
          <w:szCs w:val="22"/>
          <w:lang w:val="sk-SK"/>
        </w:rPr>
        <w:t>liekoviek s objemom 5</w:t>
      </w:r>
      <w:r w:rsidR="007D532D" w:rsidRPr="00B50F60">
        <w:rPr>
          <w:rFonts w:ascii="Times New Roman" w:hAnsi="Times New Roman"/>
          <w:szCs w:val="22"/>
          <w:lang w:val="sk-SK"/>
        </w:rPr>
        <w:t> </w:t>
      </w:r>
      <w:r w:rsidR="00755C21" w:rsidRPr="00B50F60">
        <w:rPr>
          <w:rFonts w:ascii="Times New Roman" w:hAnsi="Times New Roman"/>
          <w:szCs w:val="22"/>
          <w:lang w:val="sk-SK"/>
        </w:rPr>
        <w:t>ml</w:t>
      </w:r>
      <w:r w:rsidR="004E44F5" w:rsidRPr="00B50F60">
        <w:rPr>
          <w:rFonts w:ascii="Times New Roman" w:hAnsi="Times New Roman"/>
          <w:szCs w:val="22"/>
          <w:lang w:val="sk-SK"/>
        </w:rPr>
        <w:t> </w:t>
      </w:r>
      <w:r w:rsidR="008F25BF" w:rsidRPr="00B50F60">
        <w:rPr>
          <w:rFonts w:ascii="Times New Roman" w:hAnsi="Times New Roman"/>
          <w:szCs w:val="22"/>
          <w:lang w:val="sk-SK"/>
        </w:rPr>
        <w:t>/ 10</w:t>
      </w:r>
      <w:r w:rsidR="007D532D" w:rsidRPr="00B50F60">
        <w:rPr>
          <w:rFonts w:ascii="Times New Roman" w:hAnsi="Times New Roman"/>
          <w:szCs w:val="22"/>
          <w:lang w:val="sk-SK"/>
        </w:rPr>
        <w:t> </w:t>
      </w:r>
      <w:r w:rsidR="008F25BF" w:rsidRPr="00B50F60">
        <w:rPr>
          <w:rFonts w:ascii="Times New Roman" w:hAnsi="Times New Roman"/>
          <w:szCs w:val="22"/>
          <w:lang w:val="sk-SK"/>
        </w:rPr>
        <w:t>ml</w:t>
      </w:r>
      <w:r w:rsidR="004E44F5" w:rsidRPr="00B50F60">
        <w:rPr>
          <w:rFonts w:ascii="Times New Roman" w:hAnsi="Times New Roman"/>
          <w:szCs w:val="22"/>
          <w:lang w:val="sk-SK"/>
        </w:rPr>
        <w:t> </w:t>
      </w:r>
      <w:r w:rsidR="008F25BF" w:rsidRPr="00B50F60">
        <w:rPr>
          <w:rFonts w:ascii="Times New Roman" w:hAnsi="Times New Roman"/>
          <w:szCs w:val="22"/>
          <w:lang w:val="sk-SK"/>
        </w:rPr>
        <w:t>/ 25</w:t>
      </w:r>
      <w:r w:rsidR="007D532D" w:rsidRPr="00B50F60">
        <w:rPr>
          <w:rFonts w:ascii="Times New Roman" w:hAnsi="Times New Roman"/>
          <w:szCs w:val="22"/>
          <w:lang w:val="sk-SK"/>
        </w:rPr>
        <w:t> </w:t>
      </w:r>
      <w:r w:rsidR="008F25BF" w:rsidRPr="00B50F60">
        <w:rPr>
          <w:rFonts w:ascii="Times New Roman" w:hAnsi="Times New Roman"/>
          <w:szCs w:val="22"/>
          <w:lang w:val="sk-SK"/>
        </w:rPr>
        <w:t>ml</w:t>
      </w:r>
      <w:r w:rsidR="004E44F5" w:rsidRPr="00B50F60">
        <w:rPr>
          <w:rFonts w:ascii="Times New Roman" w:hAnsi="Times New Roman"/>
          <w:szCs w:val="22"/>
          <w:lang w:val="sk-SK"/>
        </w:rPr>
        <w:t> </w:t>
      </w:r>
      <w:r w:rsidR="008F25BF" w:rsidRPr="00B50F60">
        <w:rPr>
          <w:rFonts w:ascii="Times New Roman" w:hAnsi="Times New Roman"/>
          <w:szCs w:val="22"/>
          <w:lang w:val="sk-SK"/>
        </w:rPr>
        <w:t>/ 75</w:t>
      </w:r>
      <w:r w:rsidR="007D532D" w:rsidRPr="00B50F60">
        <w:rPr>
          <w:rFonts w:ascii="Times New Roman" w:hAnsi="Times New Roman"/>
          <w:szCs w:val="22"/>
          <w:lang w:val="sk-SK"/>
        </w:rPr>
        <w:t> </w:t>
      </w:r>
      <w:r w:rsidR="008F25BF" w:rsidRPr="00B50F60">
        <w:rPr>
          <w:rFonts w:ascii="Times New Roman" w:hAnsi="Times New Roman"/>
          <w:szCs w:val="22"/>
          <w:lang w:val="sk-SK"/>
        </w:rPr>
        <w:t>ml</w:t>
      </w:r>
      <w:r w:rsidR="004E44F5" w:rsidRPr="00B50F60">
        <w:rPr>
          <w:rFonts w:ascii="Times New Roman" w:hAnsi="Times New Roman"/>
          <w:szCs w:val="22"/>
          <w:lang w:val="sk-SK"/>
        </w:rPr>
        <w:t> </w:t>
      </w:r>
      <w:r w:rsidR="008F25BF" w:rsidRPr="00B50F60">
        <w:rPr>
          <w:rFonts w:ascii="Times New Roman" w:hAnsi="Times New Roman"/>
          <w:szCs w:val="22"/>
          <w:lang w:val="sk-SK"/>
        </w:rPr>
        <w:t>/ 100</w:t>
      </w:r>
      <w:r w:rsidR="007D532D" w:rsidRPr="00B50F60">
        <w:rPr>
          <w:rFonts w:ascii="Times New Roman" w:hAnsi="Times New Roman"/>
          <w:szCs w:val="22"/>
          <w:lang w:val="sk-SK"/>
        </w:rPr>
        <w:t> </w:t>
      </w:r>
      <w:r w:rsidR="008F25BF" w:rsidRPr="00B50F60">
        <w:rPr>
          <w:rFonts w:ascii="Times New Roman" w:hAnsi="Times New Roman"/>
          <w:szCs w:val="22"/>
          <w:lang w:val="sk-SK"/>
        </w:rPr>
        <w:t>ml</w:t>
      </w:r>
      <w:r w:rsidR="00755C21" w:rsidRPr="00B50F60">
        <w:rPr>
          <w:rFonts w:ascii="Times New Roman" w:hAnsi="Times New Roman"/>
          <w:szCs w:val="22"/>
          <w:lang w:val="sk-SK"/>
        </w:rPr>
        <w:t>.</w:t>
      </w:r>
    </w:p>
    <w:p w14:paraId="33BECFAF" w14:textId="77777777" w:rsidR="00755C21" w:rsidRPr="00B50F60" w:rsidRDefault="00755C21" w:rsidP="00ED7827">
      <w:pPr>
        <w:tabs>
          <w:tab w:val="left" w:pos="2835"/>
          <w:tab w:val="left" w:pos="3969"/>
          <w:tab w:val="left" w:pos="6237"/>
          <w:tab w:val="left" w:pos="7371"/>
        </w:tabs>
        <w:rPr>
          <w:rFonts w:ascii="Times New Roman" w:hAnsi="Times New Roman"/>
          <w:szCs w:val="22"/>
          <w:lang w:val="sk-SK"/>
        </w:rPr>
      </w:pPr>
    </w:p>
    <w:p w14:paraId="3A3236E7" w14:textId="77777777" w:rsidR="00B750C4" w:rsidRPr="00B50F60" w:rsidRDefault="00755C21" w:rsidP="00ED7827">
      <w:pPr>
        <w:tabs>
          <w:tab w:val="left" w:pos="2835"/>
          <w:tab w:val="left" w:pos="3969"/>
          <w:tab w:val="left" w:pos="6237"/>
          <w:tab w:val="left" w:pos="7371"/>
        </w:tabs>
        <w:outlineLvl w:val="0"/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>N</w:t>
      </w:r>
      <w:r w:rsidR="00334B1C" w:rsidRPr="00B50F60">
        <w:rPr>
          <w:rFonts w:ascii="Times New Roman" w:hAnsi="Times New Roman"/>
          <w:szCs w:val="22"/>
          <w:lang w:val="sk-SK"/>
        </w:rPr>
        <w:t>a trh nemusia byť uvedené</w:t>
      </w:r>
      <w:r w:rsidRPr="00B50F60">
        <w:rPr>
          <w:rFonts w:ascii="Times New Roman" w:hAnsi="Times New Roman"/>
          <w:szCs w:val="22"/>
          <w:lang w:val="sk-SK"/>
        </w:rPr>
        <w:t xml:space="preserve"> všetky veľkosti balenia.</w:t>
      </w:r>
    </w:p>
    <w:p w14:paraId="33711CF4" w14:textId="77777777" w:rsidR="0038050D" w:rsidRPr="00B50F60" w:rsidRDefault="0038050D" w:rsidP="00DC57E3">
      <w:pPr>
        <w:tabs>
          <w:tab w:val="left" w:pos="567"/>
        </w:tabs>
        <w:rPr>
          <w:rFonts w:ascii="Times New Roman" w:hAnsi="Times New Roman"/>
          <w:b/>
          <w:szCs w:val="22"/>
          <w:lang w:val="sk-SK"/>
        </w:rPr>
      </w:pPr>
    </w:p>
    <w:p w14:paraId="157078BC" w14:textId="77777777" w:rsidR="00B750C4" w:rsidRPr="00B50F60" w:rsidRDefault="00B750C4" w:rsidP="00DC57E3">
      <w:pPr>
        <w:tabs>
          <w:tab w:val="left" w:pos="567"/>
        </w:tabs>
        <w:outlineLvl w:val="0"/>
        <w:rPr>
          <w:rFonts w:ascii="Times New Roman" w:hAnsi="Times New Roman"/>
          <w:b/>
          <w:szCs w:val="22"/>
          <w:lang w:val="sk-SK"/>
        </w:rPr>
      </w:pPr>
      <w:r w:rsidRPr="00B50F60">
        <w:rPr>
          <w:rFonts w:ascii="Times New Roman" w:hAnsi="Times New Roman"/>
          <w:b/>
          <w:szCs w:val="22"/>
          <w:lang w:val="sk-SK"/>
        </w:rPr>
        <w:t>6.6</w:t>
      </w:r>
      <w:r w:rsidRPr="00B50F60">
        <w:rPr>
          <w:rFonts w:ascii="Times New Roman" w:hAnsi="Times New Roman"/>
          <w:b/>
          <w:szCs w:val="22"/>
          <w:lang w:val="sk-SK"/>
        </w:rPr>
        <w:tab/>
      </w:r>
      <w:r w:rsidR="00C22E20" w:rsidRPr="00B50F60">
        <w:rPr>
          <w:rFonts w:ascii="Times New Roman" w:hAnsi="Times New Roman"/>
          <w:b/>
          <w:szCs w:val="22"/>
          <w:lang w:val="sk-SK"/>
        </w:rPr>
        <w:t>Š</w:t>
      </w:r>
      <w:r w:rsidR="004B0D29" w:rsidRPr="00B50F60">
        <w:rPr>
          <w:rFonts w:ascii="Times New Roman" w:hAnsi="Times New Roman"/>
          <w:b/>
          <w:szCs w:val="22"/>
          <w:lang w:val="sk-SK"/>
        </w:rPr>
        <w:t>peci</w:t>
      </w:r>
      <w:r w:rsidR="00C22E20" w:rsidRPr="00B50F60">
        <w:rPr>
          <w:rFonts w:ascii="Times New Roman" w:hAnsi="Times New Roman"/>
          <w:b/>
          <w:szCs w:val="22"/>
          <w:lang w:val="sk-SK"/>
        </w:rPr>
        <w:t>á</w:t>
      </w:r>
      <w:r w:rsidR="004B0D29" w:rsidRPr="00B50F60">
        <w:rPr>
          <w:rFonts w:ascii="Times New Roman" w:hAnsi="Times New Roman"/>
          <w:b/>
          <w:szCs w:val="22"/>
          <w:lang w:val="sk-SK"/>
        </w:rPr>
        <w:t>l</w:t>
      </w:r>
      <w:r w:rsidR="00C22E20" w:rsidRPr="00B50F60">
        <w:rPr>
          <w:rFonts w:ascii="Times New Roman" w:hAnsi="Times New Roman"/>
          <w:b/>
          <w:szCs w:val="22"/>
          <w:lang w:val="sk-SK"/>
        </w:rPr>
        <w:t>ne opatrenia na likvidáciu a iné zaobchádzanie s liekom</w:t>
      </w:r>
    </w:p>
    <w:p w14:paraId="16D491B3" w14:textId="77777777" w:rsidR="00B750C4" w:rsidRPr="00B50F60" w:rsidRDefault="00B750C4" w:rsidP="00ED7827">
      <w:pPr>
        <w:pStyle w:val="Standardenglisch"/>
        <w:tabs>
          <w:tab w:val="left" w:pos="284"/>
          <w:tab w:val="left" w:pos="567"/>
        </w:tabs>
        <w:ind w:left="567" w:hanging="567"/>
        <w:rPr>
          <w:rFonts w:ascii="Times New Roman" w:hAnsi="Times New Roman"/>
          <w:szCs w:val="22"/>
          <w:lang w:val="sk-SK"/>
        </w:rPr>
      </w:pPr>
    </w:p>
    <w:p w14:paraId="73E64BDA" w14:textId="77777777" w:rsidR="00D15AB4" w:rsidRPr="00B50F60" w:rsidRDefault="00D54D07" w:rsidP="00ED7827">
      <w:pPr>
        <w:pStyle w:val="Standardenglisch"/>
        <w:tabs>
          <w:tab w:val="left" w:pos="284"/>
          <w:tab w:val="left" w:pos="567"/>
        </w:tabs>
        <w:ind w:left="567" w:hanging="567"/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>Len na jednorazové použitie.</w:t>
      </w:r>
    </w:p>
    <w:p w14:paraId="64F8E381" w14:textId="77777777" w:rsidR="00D54D07" w:rsidRPr="00B50F60" w:rsidRDefault="00C22E20" w:rsidP="00432443">
      <w:pPr>
        <w:pStyle w:val="Standardenglisch"/>
        <w:tabs>
          <w:tab w:val="left" w:pos="284"/>
          <w:tab w:val="left" w:pos="567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>Všetky n</w:t>
      </w:r>
      <w:r w:rsidR="00D54D07" w:rsidRPr="00B50F60">
        <w:rPr>
          <w:rFonts w:ascii="Times New Roman" w:hAnsi="Times New Roman"/>
          <w:szCs w:val="22"/>
          <w:lang w:val="sk-SK"/>
        </w:rPr>
        <w:t>epoužit</w:t>
      </w:r>
      <w:r w:rsidRPr="00B50F60">
        <w:rPr>
          <w:rFonts w:ascii="Times New Roman" w:hAnsi="Times New Roman"/>
          <w:szCs w:val="22"/>
          <w:lang w:val="sk-SK"/>
        </w:rPr>
        <w:t>é</w:t>
      </w:r>
      <w:r w:rsidR="00D54D07" w:rsidRPr="00B50F60">
        <w:rPr>
          <w:rFonts w:ascii="Times New Roman" w:hAnsi="Times New Roman"/>
          <w:szCs w:val="22"/>
          <w:lang w:val="sk-SK"/>
        </w:rPr>
        <w:t xml:space="preserve"> lie</w:t>
      </w:r>
      <w:r w:rsidRPr="00B50F60">
        <w:rPr>
          <w:rFonts w:ascii="Times New Roman" w:hAnsi="Times New Roman"/>
          <w:szCs w:val="22"/>
          <w:lang w:val="sk-SK"/>
        </w:rPr>
        <w:t>ky</w:t>
      </w:r>
      <w:r w:rsidR="00D54D07" w:rsidRPr="00B50F60">
        <w:rPr>
          <w:rFonts w:ascii="Times New Roman" w:hAnsi="Times New Roman"/>
          <w:szCs w:val="22"/>
          <w:lang w:val="sk-SK"/>
        </w:rPr>
        <w:t xml:space="preserve"> alebo odpad vznik</w:t>
      </w:r>
      <w:r w:rsidRPr="00B50F60">
        <w:rPr>
          <w:rFonts w:ascii="Times New Roman" w:hAnsi="Times New Roman"/>
          <w:szCs w:val="22"/>
          <w:lang w:val="sk-SK"/>
        </w:rPr>
        <w:t>n</w:t>
      </w:r>
      <w:r w:rsidR="00D54D07" w:rsidRPr="00B50F60">
        <w:rPr>
          <w:rFonts w:ascii="Times New Roman" w:hAnsi="Times New Roman"/>
          <w:szCs w:val="22"/>
          <w:lang w:val="sk-SK"/>
        </w:rPr>
        <w:t xml:space="preserve">utý z liekov </w:t>
      </w:r>
      <w:r w:rsidRPr="00B50F60">
        <w:rPr>
          <w:rFonts w:ascii="Times New Roman" w:hAnsi="Times New Roman"/>
          <w:szCs w:val="22"/>
          <w:lang w:val="sk-SK"/>
        </w:rPr>
        <w:t>majú byť zlikvidované</w:t>
      </w:r>
      <w:r w:rsidR="00D54D07" w:rsidRPr="00B50F60">
        <w:rPr>
          <w:rFonts w:ascii="Times New Roman" w:hAnsi="Times New Roman"/>
          <w:szCs w:val="22"/>
          <w:lang w:val="sk-SK"/>
        </w:rPr>
        <w:t xml:space="preserve"> v súlade s </w:t>
      </w:r>
      <w:r w:rsidR="00503638" w:rsidRPr="00B50F60">
        <w:rPr>
          <w:rFonts w:ascii="Times New Roman" w:hAnsi="Times New Roman"/>
          <w:szCs w:val="22"/>
          <w:lang w:val="sk-SK"/>
        </w:rPr>
        <w:t>národný</w:t>
      </w:r>
      <w:r w:rsidR="00D54D07" w:rsidRPr="00B50F60">
        <w:rPr>
          <w:rFonts w:ascii="Times New Roman" w:hAnsi="Times New Roman"/>
          <w:szCs w:val="22"/>
          <w:lang w:val="sk-SK"/>
        </w:rPr>
        <w:t>mi požiadavkami.</w:t>
      </w:r>
    </w:p>
    <w:p w14:paraId="3B3CA8B3" w14:textId="77777777" w:rsidR="00D54D07" w:rsidRPr="00B50F60" w:rsidRDefault="00D54D07" w:rsidP="00ED7827">
      <w:pPr>
        <w:pStyle w:val="Standardenglisch"/>
        <w:tabs>
          <w:tab w:val="left" w:pos="284"/>
          <w:tab w:val="left" w:pos="567"/>
        </w:tabs>
        <w:ind w:left="567" w:hanging="567"/>
        <w:rPr>
          <w:rFonts w:ascii="Times New Roman" w:hAnsi="Times New Roman"/>
          <w:szCs w:val="22"/>
          <w:lang w:val="sk-SK"/>
        </w:rPr>
      </w:pPr>
    </w:p>
    <w:p w14:paraId="2120B6E4" w14:textId="77777777" w:rsidR="008243FA" w:rsidRPr="00B50F60" w:rsidRDefault="00503638" w:rsidP="00ED7827">
      <w:pPr>
        <w:pStyle w:val="Standardenglisch"/>
        <w:tabs>
          <w:tab w:val="left" w:pos="284"/>
          <w:tab w:val="left" w:pos="567"/>
        </w:tabs>
        <w:ind w:left="567" w:hanging="567"/>
        <w:outlineLvl w:val="0"/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 xml:space="preserve">Dodržujte </w:t>
      </w:r>
      <w:r w:rsidR="00D54D07" w:rsidRPr="00B50F60">
        <w:rPr>
          <w:rFonts w:ascii="Times New Roman" w:hAnsi="Times New Roman"/>
          <w:szCs w:val="22"/>
          <w:lang w:val="sk-SK"/>
        </w:rPr>
        <w:t>pokyny na zaobchádzanie s</w:t>
      </w:r>
      <w:r w:rsidR="008A480A" w:rsidRPr="00B50F60">
        <w:rPr>
          <w:rFonts w:ascii="Times New Roman" w:hAnsi="Times New Roman"/>
          <w:szCs w:val="22"/>
          <w:lang w:val="sk-SK"/>
        </w:rPr>
        <w:t> </w:t>
      </w:r>
      <w:proofErr w:type="spellStart"/>
      <w:r w:rsidR="00D54D07" w:rsidRPr="00B50F60">
        <w:rPr>
          <w:rFonts w:ascii="Times New Roman" w:hAnsi="Times New Roman"/>
          <w:szCs w:val="22"/>
          <w:lang w:val="sk-SK"/>
        </w:rPr>
        <w:t>cyto</w:t>
      </w:r>
      <w:r w:rsidR="008A480A" w:rsidRPr="00B50F60">
        <w:rPr>
          <w:rFonts w:ascii="Times New Roman" w:hAnsi="Times New Roman"/>
          <w:szCs w:val="22"/>
          <w:lang w:val="sk-SK"/>
        </w:rPr>
        <w:t>toxickými</w:t>
      </w:r>
      <w:proofErr w:type="spellEnd"/>
      <w:r w:rsidR="008A480A" w:rsidRPr="00B50F60">
        <w:rPr>
          <w:rFonts w:ascii="Times New Roman" w:hAnsi="Times New Roman"/>
          <w:szCs w:val="22"/>
          <w:lang w:val="sk-SK"/>
        </w:rPr>
        <w:t xml:space="preserve"> liekmi</w:t>
      </w:r>
      <w:r w:rsidR="00D54D07" w:rsidRPr="00B50F60">
        <w:rPr>
          <w:rFonts w:ascii="Times New Roman" w:hAnsi="Times New Roman"/>
          <w:szCs w:val="22"/>
          <w:lang w:val="sk-SK"/>
        </w:rPr>
        <w:t>.</w:t>
      </w:r>
    </w:p>
    <w:p w14:paraId="7F1516D3" w14:textId="77777777" w:rsidR="00D54D07" w:rsidRPr="00B50F60" w:rsidRDefault="00D54D07" w:rsidP="00ED7827">
      <w:pPr>
        <w:pStyle w:val="Standardenglisch"/>
        <w:tabs>
          <w:tab w:val="left" w:pos="284"/>
          <w:tab w:val="left" w:pos="567"/>
        </w:tabs>
        <w:ind w:left="567" w:hanging="567"/>
        <w:rPr>
          <w:rFonts w:ascii="Times New Roman" w:hAnsi="Times New Roman"/>
          <w:szCs w:val="22"/>
          <w:lang w:val="sk-SK"/>
        </w:rPr>
      </w:pPr>
    </w:p>
    <w:p w14:paraId="6719A039" w14:textId="77777777" w:rsidR="008243FA" w:rsidRPr="00B50F60" w:rsidRDefault="00503638" w:rsidP="00ED7827">
      <w:pPr>
        <w:pStyle w:val="Standardenglisch"/>
        <w:tabs>
          <w:tab w:val="left" w:pos="284"/>
          <w:tab w:val="left" w:pos="567"/>
        </w:tabs>
        <w:ind w:left="567" w:hanging="567"/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>Vzhľadom na toxický</w:t>
      </w:r>
      <w:r w:rsidR="00D54D07" w:rsidRPr="00B50F60">
        <w:rPr>
          <w:rFonts w:ascii="Times New Roman" w:hAnsi="Times New Roman"/>
          <w:szCs w:val="22"/>
          <w:lang w:val="sk-SK"/>
        </w:rPr>
        <w:t xml:space="preserve"> účin</w:t>
      </w:r>
      <w:r w:rsidRPr="00B50F60">
        <w:rPr>
          <w:rFonts w:ascii="Times New Roman" w:hAnsi="Times New Roman"/>
          <w:szCs w:val="22"/>
          <w:lang w:val="sk-SK"/>
        </w:rPr>
        <w:t>o</w:t>
      </w:r>
      <w:r w:rsidR="00D54D07" w:rsidRPr="00B50F60">
        <w:rPr>
          <w:rFonts w:ascii="Times New Roman" w:hAnsi="Times New Roman"/>
          <w:szCs w:val="22"/>
          <w:lang w:val="sk-SK"/>
        </w:rPr>
        <w:t>k lieku</w:t>
      </w:r>
      <w:r w:rsidRPr="00B50F60">
        <w:rPr>
          <w:rFonts w:ascii="Times New Roman" w:hAnsi="Times New Roman"/>
          <w:szCs w:val="22"/>
          <w:lang w:val="sk-SK"/>
        </w:rPr>
        <w:t xml:space="preserve"> je potrebné dodržať nasledujúce opatrenia</w:t>
      </w:r>
      <w:r w:rsidR="00D54D07" w:rsidRPr="00B50F60">
        <w:rPr>
          <w:rFonts w:ascii="Times New Roman" w:hAnsi="Times New Roman"/>
          <w:szCs w:val="22"/>
          <w:lang w:val="sk-SK"/>
        </w:rPr>
        <w:t>:</w:t>
      </w:r>
    </w:p>
    <w:p w14:paraId="5D24A969" w14:textId="77777777" w:rsidR="00B750C4" w:rsidRPr="00B50F60" w:rsidRDefault="00BC783C" w:rsidP="00ED7827">
      <w:pPr>
        <w:pStyle w:val="Standardenglisch"/>
        <w:tabs>
          <w:tab w:val="left" w:pos="567"/>
        </w:tabs>
        <w:ind w:left="567" w:hanging="567"/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sym w:font="Symbol" w:char="F0B7"/>
      </w:r>
      <w:r w:rsidRPr="00B50F60">
        <w:rPr>
          <w:rFonts w:ascii="Times New Roman" w:hAnsi="Times New Roman"/>
          <w:szCs w:val="22"/>
          <w:lang w:val="sk-SK"/>
        </w:rPr>
        <w:tab/>
      </w:r>
      <w:r w:rsidR="00D54D07" w:rsidRPr="00B50F60">
        <w:rPr>
          <w:rFonts w:ascii="Times New Roman" w:hAnsi="Times New Roman"/>
          <w:szCs w:val="22"/>
          <w:lang w:val="sk-SK"/>
        </w:rPr>
        <w:t>P</w:t>
      </w:r>
      <w:r w:rsidR="00503638" w:rsidRPr="00B50F60">
        <w:rPr>
          <w:rFonts w:ascii="Times New Roman" w:hAnsi="Times New Roman"/>
          <w:szCs w:val="22"/>
          <w:lang w:val="sk-SK"/>
        </w:rPr>
        <w:t>ersonál má</w:t>
      </w:r>
      <w:r w:rsidR="00D54D07" w:rsidRPr="00B50F60">
        <w:rPr>
          <w:rFonts w:ascii="Times New Roman" w:hAnsi="Times New Roman"/>
          <w:szCs w:val="22"/>
          <w:lang w:val="sk-SK"/>
        </w:rPr>
        <w:t xml:space="preserve"> byť </w:t>
      </w:r>
      <w:r w:rsidR="00503638" w:rsidRPr="00B50F60">
        <w:rPr>
          <w:rFonts w:ascii="Times New Roman" w:hAnsi="Times New Roman"/>
          <w:szCs w:val="22"/>
          <w:lang w:val="sk-SK"/>
        </w:rPr>
        <w:t>poučený o</w:t>
      </w:r>
      <w:r w:rsidR="00D54D07" w:rsidRPr="00B50F60">
        <w:rPr>
          <w:rFonts w:ascii="Times New Roman" w:hAnsi="Times New Roman"/>
          <w:szCs w:val="22"/>
          <w:lang w:val="sk-SK"/>
        </w:rPr>
        <w:t xml:space="preserve"> správn</w:t>
      </w:r>
      <w:r w:rsidR="00503638" w:rsidRPr="00B50F60">
        <w:rPr>
          <w:rFonts w:ascii="Times New Roman" w:hAnsi="Times New Roman"/>
          <w:szCs w:val="22"/>
          <w:lang w:val="sk-SK"/>
        </w:rPr>
        <w:t>ych postupoch pri</w:t>
      </w:r>
      <w:r w:rsidR="00D54D07" w:rsidRPr="00B50F60">
        <w:rPr>
          <w:rFonts w:ascii="Times New Roman" w:hAnsi="Times New Roman"/>
          <w:szCs w:val="22"/>
          <w:lang w:val="sk-SK"/>
        </w:rPr>
        <w:t xml:space="preserve"> zaobchádzan</w:t>
      </w:r>
      <w:r w:rsidR="00503638" w:rsidRPr="00B50F60">
        <w:rPr>
          <w:rFonts w:ascii="Times New Roman" w:hAnsi="Times New Roman"/>
          <w:szCs w:val="22"/>
          <w:lang w:val="sk-SK"/>
        </w:rPr>
        <w:t>í s liekom</w:t>
      </w:r>
      <w:r w:rsidR="00D54D07" w:rsidRPr="00B50F60">
        <w:rPr>
          <w:rFonts w:ascii="Times New Roman" w:hAnsi="Times New Roman"/>
          <w:szCs w:val="22"/>
          <w:lang w:val="sk-SK"/>
        </w:rPr>
        <w:t>.</w:t>
      </w:r>
    </w:p>
    <w:p w14:paraId="628400E7" w14:textId="77777777" w:rsidR="00B750C4" w:rsidRPr="00B50F60" w:rsidRDefault="00BC783C" w:rsidP="00ED7827">
      <w:pPr>
        <w:pStyle w:val="Standardenglisch"/>
        <w:tabs>
          <w:tab w:val="left" w:pos="567"/>
        </w:tabs>
        <w:ind w:left="567" w:hanging="567"/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sym w:font="Symbol" w:char="F0B7"/>
      </w:r>
      <w:r w:rsidRPr="00B50F60">
        <w:rPr>
          <w:rFonts w:ascii="Times New Roman" w:hAnsi="Times New Roman"/>
          <w:szCs w:val="22"/>
          <w:lang w:val="sk-SK"/>
        </w:rPr>
        <w:tab/>
      </w:r>
      <w:r w:rsidR="008A480A" w:rsidRPr="00B50F60">
        <w:rPr>
          <w:rFonts w:ascii="Times New Roman" w:hAnsi="Times New Roman"/>
          <w:szCs w:val="22"/>
          <w:lang w:val="sk-SK"/>
        </w:rPr>
        <w:t>Tehotné ženy</w:t>
      </w:r>
      <w:r w:rsidR="00503638" w:rsidRPr="00B50F60">
        <w:rPr>
          <w:rFonts w:ascii="Times New Roman" w:hAnsi="Times New Roman"/>
          <w:szCs w:val="22"/>
          <w:lang w:val="sk-SK"/>
        </w:rPr>
        <w:t xml:space="preserve"> nesmie s týmto liekom</w:t>
      </w:r>
      <w:r w:rsidR="00D54D07" w:rsidRPr="00B50F60">
        <w:rPr>
          <w:rFonts w:ascii="Times New Roman" w:hAnsi="Times New Roman"/>
          <w:szCs w:val="22"/>
          <w:lang w:val="sk-SK"/>
        </w:rPr>
        <w:t xml:space="preserve"> pr</w:t>
      </w:r>
      <w:r w:rsidR="00503638" w:rsidRPr="00B50F60">
        <w:rPr>
          <w:rFonts w:ascii="Times New Roman" w:hAnsi="Times New Roman"/>
          <w:szCs w:val="22"/>
          <w:lang w:val="sk-SK"/>
        </w:rPr>
        <w:t>a</w:t>
      </w:r>
      <w:r w:rsidR="00D54D07" w:rsidRPr="00B50F60">
        <w:rPr>
          <w:rFonts w:ascii="Times New Roman" w:hAnsi="Times New Roman"/>
          <w:szCs w:val="22"/>
          <w:lang w:val="sk-SK"/>
        </w:rPr>
        <w:t>c</w:t>
      </w:r>
      <w:r w:rsidR="00503638" w:rsidRPr="00B50F60">
        <w:rPr>
          <w:rFonts w:ascii="Times New Roman" w:hAnsi="Times New Roman"/>
          <w:szCs w:val="22"/>
          <w:lang w:val="sk-SK"/>
        </w:rPr>
        <w:t>ovať</w:t>
      </w:r>
      <w:r w:rsidR="00D54D07" w:rsidRPr="00B50F60">
        <w:rPr>
          <w:rFonts w:ascii="Times New Roman" w:hAnsi="Times New Roman"/>
          <w:szCs w:val="22"/>
          <w:lang w:val="sk-SK"/>
        </w:rPr>
        <w:t>.</w:t>
      </w:r>
    </w:p>
    <w:p w14:paraId="7D237D00" w14:textId="77777777" w:rsidR="007C2352" w:rsidRPr="00B50F60" w:rsidRDefault="00BC783C" w:rsidP="00ED7827">
      <w:pPr>
        <w:pStyle w:val="Standardenglisch"/>
        <w:tabs>
          <w:tab w:val="left" w:pos="567"/>
          <w:tab w:val="left" w:pos="993"/>
        </w:tabs>
        <w:ind w:left="567" w:hanging="567"/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sym w:font="Symbol" w:char="F0B7"/>
      </w:r>
      <w:r w:rsidRPr="00B50F60">
        <w:rPr>
          <w:rFonts w:ascii="Times New Roman" w:hAnsi="Times New Roman"/>
          <w:szCs w:val="22"/>
          <w:lang w:val="sk-SK"/>
        </w:rPr>
        <w:tab/>
      </w:r>
      <w:r w:rsidR="00503638" w:rsidRPr="00B50F60">
        <w:rPr>
          <w:rFonts w:ascii="Times New Roman" w:hAnsi="Times New Roman"/>
          <w:szCs w:val="22"/>
          <w:lang w:val="sk-SK"/>
        </w:rPr>
        <w:t>Personál musí pri za</w:t>
      </w:r>
      <w:r w:rsidR="00D54D07" w:rsidRPr="00B50F60">
        <w:rPr>
          <w:rFonts w:ascii="Times New Roman" w:hAnsi="Times New Roman"/>
          <w:szCs w:val="22"/>
          <w:lang w:val="sk-SK"/>
        </w:rPr>
        <w:t>obchádza</w:t>
      </w:r>
      <w:r w:rsidR="00503638" w:rsidRPr="00B50F60">
        <w:rPr>
          <w:rFonts w:ascii="Times New Roman" w:hAnsi="Times New Roman"/>
          <w:szCs w:val="22"/>
          <w:lang w:val="sk-SK"/>
        </w:rPr>
        <w:t>ní</w:t>
      </w:r>
      <w:r w:rsidR="00D54D07" w:rsidRPr="00B50F60">
        <w:rPr>
          <w:rFonts w:ascii="Times New Roman" w:hAnsi="Times New Roman"/>
          <w:szCs w:val="22"/>
          <w:lang w:val="sk-SK"/>
        </w:rPr>
        <w:t xml:space="preserve"> s </w:t>
      </w:r>
      <w:proofErr w:type="spellStart"/>
      <w:r w:rsidR="00D54D07" w:rsidRPr="00B50F60">
        <w:rPr>
          <w:rFonts w:ascii="Times New Roman" w:hAnsi="Times New Roman"/>
          <w:szCs w:val="22"/>
          <w:lang w:val="sk-SK"/>
        </w:rPr>
        <w:t>doxorubicínom</w:t>
      </w:r>
      <w:proofErr w:type="spellEnd"/>
      <w:r w:rsidR="00503638" w:rsidRPr="00B50F60">
        <w:rPr>
          <w:rFonts w:ascii="Times New Roman" w:hAnsi="Times New Roman"/>
          <w:szCs w:val="22"/>
          <w:lang w:val="sk-SK"/>
        </w:rPr>
        <w:t xml:space="preserve"> používať ochranné pomôcky</w:t>
      </w:r>
      <w:r w:rsidR="00D54D07" w:rsidRPr="00B50F60">
        <w:rPr>
          <w:rFonts w:ascii="Times New Roman" w:hAnsi="Times New Roman"/>
          <w:szCs w:val="22"/>
          <w:lang w:val="sk-SK"/>
        </w:rPr>
        <w:t xml:space="preserve">: </w:t>
      </w:r>
      <w:r w:rsidR="00503638" w:rsidRPr="00B50F60">
        <w:rPr>
          <w:rFonts w:ascii="Times New Roman" w:hAnsi="Times New Roman"/>
          <w:szCs w:val="22"/>
          <w:lang w:val="sk-SK"/>
        </w:rPr>
        <w:t>ochranné okuliare, ochranný plášť</w:t>
      </w:r>
      <w:r w:rsidR="00D54D07" w:rsidRPr="00B50F60">
        <w:rPr>
          <w:rFonts w:ascii="Times New Roman" w:hAnsi="Times New Roman"/>
          <w:szCs w:val="22"/>
          <w:lang w:val="sk-SK"/>
        </w:rPr>
        <w:t>, rukavice</w:t>
      </w:r>
      <w:r w:rsidR="00503638" w:rsidRPr="00B50F60">
        <w:rPr>
          <w:rFonts w:ascii="Times New Roman" w:hAnsi="Times New Roman"/>
          <w:szCs w:val="22"/>
          <w:lang w:val="sk-SK"/>
        </w:rPr>
        <w:t xml:space="preserve"> na jedno použitie</w:t>
      </w:r>
      <w:r w:rsidR="00D54D07" w:rsidRPr="00B50F60">
        <w:rPr>
          <w:rFonts w:ascii="Times New Roman" w:hAnsi="Times New Roman"/>
          <w:szCs w:val="22"/>
          <w:lang w:val="sk-SK"/>
        </w:rPr>
        <w:t xml:space="preserve"> a masky.</w:t>
      </w:r>
    </w:p>
    <w:p w14:paraId="557F5618" w14:textId="77777777" w:rsidR="007C2352" w:rsidRPr="00B50F60" w:rsidRDefault="00BC783C" w:rsidP="00ED7827">
      <w:pPr>
        <w:tabs>
          <w:tab w:val="left" w:pos="567"/>
          <w:tab w:val="left" w:pos="993"/>
        </w:tabs>
        <w:ind w:left="567" w:hanging="567"/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sym w:font="Symbol" w:char="F0B7"/>
      </w:r>
      <w:r w:rsidRPr="00B50F60">
        <w:rPr>
          <w:rFonts w:ascii="Times New Roman" w:hAnsi="Times New Roman"/>
          <w:szCs w:val="22"/>
          <w:lang w:val="sk-SK"/>
        </w:rPr>
        <w:tab/>
      </w:r>
      <w:r w:rsidR="00130A6B" w:rsidRPr="00B50F60">
        <w:rPr>
          <w:rFonts w:ascii="Times New Roman" w:hAnsi="Times New Roman"/>
          <w:szCs w:val="22"/>
          <w:lang w:val="sk-SK"/>
        </w:rPr>
        <w:t xml:space="preserve">Liek </w:t>
      </w:r>
      <w:r w:rsidR="0038050D" w:rsidRPr="00B50F60">
        <w:rPr>
          <w:rFonts w:ascii="Times New Roman" w:hAnsi="Times New Roman"/>
          <w:szCs w:val="22"/>
          <w:lang w:val="sk-SK"/>
        </w:rPr>
        <w:t>má byť</w:t>
      </w:r>
      <w:r w:rsidR="00925E28" w:rsidRPr="00B50F60">
        <w:rPr>
          <w:rFonts w:ascii="Times New Roman" w:hAnsi="Times New Roman"/>
          <w:szCs w:val="22"/>
          <w:lang w:val="sk-SK"/>
        </w:rPr>
        <w:t xml:space="preserve"> </w:t>
      </w:r>
      <w:r w:rsidR="0038050D" w:rsidRPr="00B50F60">
        <w:rPr>
          <w:rFonts w:ascii="Times New Roman" w:hAnsi="Times New Roman"/>
          <w:szCs w:val="22"/>
          <w:lang w:val="sk-SK"/>
        </w:rPr>
        <w:t>riedený na mieste k tomu určenom</w:t>
      </w:r>
      <w:r w:rsidR="00D54D07" w:rsidRPr="00B50F60">
        <w:rPr>
          <w:rFonts w:ascii="Times New Roman" w:hAnsi="Times New Roman"/>
          <w:szCs w:val="22"/>
          <w:lang w:val="sk-SK"/>
        </w:rPr>
        <w:t xml:space="preserve"> (</w:t>
      </w:r>
      <w:r w:rsidR="003D0F64" w:rsidRPr="00B50F60">
        <w:rPr>
          <w:rFonts w:ascii="Times New Roman" w:hAnsi="Times New Roman"/>
          <w:szCs w:val="22"/>
          <w:lang w:val="sk-SK"/>
        </w:rPr>
        <w:t>pokiaľ možno</w:t>
      </w:r>
      <w:r w:rsidR="00D54D07" w:rsidRPr="00B50F60">
        <w:rPr>
          <w:rFonts w:ascii="Times New Roman" w:hAnsi="Times New Roman"/>
          <w:szCs w:val="22"/>
          <w:lang w:val="sk-SK"/>
        </w:rPr>
        <w:t xml:space="preserve"> </w:t>
      </w:r>
      <w:r w:rsidR="0038050D" w:rsidRPr="00B50F60">
        <w:rPr>
          <w:rFonts w:ascii="Times New Roman" w:hAnsi="Times New Roman"/>
          <w:szCs w:val="22"/>
          <w:lang w:val="sk-SK"/>
        </w:rPr>
        <w:t>v laminárnom boxe</w:t>
      </w:r>
      <w:r w:rsidR="00D54D07" w:rsidRPr="00B50F60">
        <w:rPr>
          <w:rFonts w:ascii="Times New Roman" w:hAnsi="Times New Roman"/>
          <w:szCs w:val="22"/>
          <w:lang w:val="sk-SK"/>
        </w:rPr>
        <w:t>). Pracovný povrch sa má chrániť</w:t>
      </w:r>
      <w:r w:rsidR="003D0F64" w:rsidRPr="00B50F60">
        <w:rPr>
          <w:rFonts w:ascii="Times New Roman" w:hAnsi="Times New Roman"/>
          <w:szCs w:val="22"/>
          <w:lang w:val="sk-SK"/>
        </w:rPr>
        <w:t xml:space="preserve"> absorbujúcim papierom s plastovým podkladom určeným na </w:t>
      </w:r>
      <w:r w:rsidR="00503638" w:rsidRPr="00B50F60">
        <w:rPr>
          <w:rFonts w:ascii="Times New Roman" w:hAnsi="Times New Roman"/>
          <w:szCs w:val="22"/>
          <w:lang w:val="sk-SK"/>
        </w:rPr>
        <w:t>jedno</w:t>
      </w:r>
      <w:r w:rsidR="003D0F64" w:rsidRPr="00B50F60">
        <w:rPr>
          <w:rFonts w:ascii="Times New Roman" w:hAnsi="Times New Roman"/>
          <w:szCs w:val="22"/>
          <w:lang w:val="sk-SK"/>
        </w:rPr>
        <w:t xml:space="preserve"> </w:t>
      </w:r>
      <w:r w:rsidR="003D0F64" w:rsidRPr="00B50F60">
        <w:rPr>
          <w:rFonts w:ascii="Times New Roman" w:hAnsi="Times New Roman"/>
          <w:szCs w:val="22"/>
          <w:lang w:val="sk-SK"/>
        </w:rPr>
        <w:lastRenderedPageBreak/>
        <w:t>použitie</w:t>
      </w:r>
      <w:r w:rsidR="00D54D07" w:rsidRPr="00B50F60">
        <w:rPr>
          <w:rFonts w:ascii="Times New Roman" w:hAnsi="Times New Roman"/>
          <w:szCs w:val="22"/>
          <w:lang w:val="sk-SK"/>
        </w:rPr>
        <w:t>.</w:t>
      </w:r>
    </w:p>
    <w:p w14:paraId="1116C28B" w14:textId="77777777" w:rsidR="007C2352" w:rsidRPr="00B50F60" w:rsidRDefault="00BC783C" w:rsidP="00ED7827">
      <w:pPr>
        <w:pStyle w:val="Standardenglisch"/>
        <w:tabs>
          <w:tab w:val="left" w:pos="567"/>
          <w:tab w:val="left" w:pos="993"/>
        </w:tabs>
        <w:ind w:left="567" w:hanging="567"/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sym w:font="Symbol" w:char="F0B7"/>
      </w:r>
      <w:r w:rsidRPr="00B50F60">
        <w:rPr>
          <w:rFonts w:ascii="Times New Roman" w:hAnsi="Times New Roman"/>
          <w:szCs w:val="22"/>
          <w:lang w:val="sk-SK"/>
        </w:rPr>
        <w:tab/>
      </w:r>
      <w:r w:rsidR="00F56890" w:rsidRPr="00B50F60">
        <w:rPr>
          <w:rFonts w:ascii="Times New Roman" w:hAnsi="Times New Roman"/>
          <w:szCs w:val="22"/>
          <w:lang w:val="sk-SK"/>
        </w:rPr>
        <w:t>Všetky p</w:t>
      </w:r>
      <w:r w:rsidR="003D0F64" w:rsidRPr="00B50F60">
        <w:rPr>
          <w:rFonts w:ascii="Times New Roman" w:hAnsi="Times New Roman"/>
          <w:szCs w:val="22"/>
          <w:lang w:val="sk-SK"/>
        </w:rPr>
        <w:t>omôc</w:t>
      </w:r>
      <w:r w:rsidR="00F56890" w:rsidRPr="00B50F60">
        <w:rPr>
          <w:rFonts w:ascii="Times New Roman" w:hAnsi="Times New Roman"/>
          <w:szCs w:val="22"/>
          <w:lang w:val="sk-SK"/>
        </w:rPr>
        <w:t>ky použité pr</w:t>
      </w:r>
      <w:r w:rsidR="003D0F64" w:rsidRPr="00B50F60">
        <w:rPr>
          <w:rFonts w:ascii="Times New Roman" w:hAnsi="Times New Roman"/>
          <w:szCs w:val="22"/>
          <w:lang w:val="sk-SK"/>
        </w:rPr>
        <w:t xml:space="preserve">i </w:t>
      </w:r>
      <w:r w:rsidR="008A480A" w:rsidRPr="00B50F60">
        <w:rPr>
          <w:rFonts w:ascii="Times New Roman" w:hAnsi="Times New Roman"/>
          <w:szCs w:val="22"/>
          <w:lang w:val="sk-SK"/>
        </w:rPr>
        <w:t>aplikácii</w:t>
      </w:r>
      <w:r w:rsidR="00F56890" w:rsidRPr="00B50F60">
        <w:rPr>
          <w:rFonts w:ascii="Times New Roman" w:hAnsi="Times New Roman"/>
          <w:szCs w:val="22"/>
          <w:lang w:val="sk-SK"/>
        </w:rPr>
        <w:t xml:space="preserve"> alebo čisten</w:t>
      </w:r>
      <w:r w:rsidR="003D0F64" w:rsidRPr="00B50F60">
        <w:rPr>
          <w:rFonts w:ascii="Times New Roman" w:hAnsi="Times New Roman"/>
          <w:szCs w:val="22"/>
          <w:lang w:val="sk-SK"/>
        </w:rPr>
        <w:t>í</w:t>
      </w:r>
      <w:r w:rsidR="00E377F3" w:rsidRPr="00B50F60">
        <w:rPr>
          <w:rFonts w:ascii="Times New Roman" w:hAnsi="Times New Roman"/>
          <w:szCs w:val="22"/>
          <w:lang w:val="sk-SK"/>
        </w:rPr>
        <w:t>,</w:t>
      </w:r>
      <w:r w:rsidR="00F56890" w:rsidRPr="00B50F60">
        <w:rPr>
          <w:rFonts w:ascii="Times New Roman" w:hAnsi="Times New Roman"/>
          <w:szCs w:val="22"/>
          <w:lang w:val="sk-SK"/>
        </w:rPr>
        <w:t xml:space="preserve"> vrátane rukavíc sa majú </w:t>
      </w:r>
      <w:r w:rsidR="00E377F3" w:rsidRPr="00B50F60">
        <w:rPr>
          <w:rFonts w:ascii="Times New Roman" w:hAnsi="Times New Roman"/>
          <w:szCs w:val="22"/>
          <w:lang w:val="sk-SK"/>
        </w:rPr>
        <w:t>znehodnotiť ako vysokorizikový odpad</w:t>
      </w:r>
      <w:r w:rsidR="00F56890" w:rsidRPr="00B50F60">
        <w:rPr>
          <w:rFonts w:ascii="Times New Roman" w:hAnsi="Times New Roman"/>
          <w:szCs w:val="22"/>
          <w:lang w:val="sk-SK"/>
        </w:rPr>
        <w:t xml:space="preserve"> </w:t>
      </w:r>
      <w:r w:rsidR="000412BB" w:rsidRPr="00B50F60">
        <w:rPr>
          <w:rFonts w:ascii="Times New Roman" w:hAnsi="Times New Roman"/>
          <w:szCs w:val="22"/>
          <w:lang w:val="sk-SK"/>
        </w:rPr>
        <w:t>vysoko</w:t>
      </w:r>
      <w:r w:rsidR="001E1CC2" w:rsidRPr="00B50F60">
        <w:rPr>
          <w:rFonts w:ascii="Times New Roman" w:hAnsi="Times New Roman"/>
          <w:szCs w:val="22"/>
          <w:lang w:val="sk-SK"/>
        </w:rPr>
        <w:t>teplotným</w:t>
      </w:r>
      <w:r w:rsidR="00F56890" w:rsidRPr="00B50F60">
        <w:rPr>
          <w:rFonts w:ascii="Times New Roman" w:hAnsi="Times New Roman"/>
          <w:szCs w:val="22"/>
          <w:lang w:val="sk-SK"/>
        </w:rPr>
        <w:t xml:space="preserve"> (</w:t>
      </w:r>
      <w:smartTag w:uri="urn:schemas-microsoft-com:office:smarttags" w:element="metricconverter">
        <w:smartTagPr>
          <w:attr w:name="ProductID" w:val="700ﾠﾰC"/>
        </w:smartTagPr>
        <w:r w:rsidR="00F56890" w:rsidRPr="00B50F60">
          <w:rPr>
            <w:rFonts w:ascii="Times New Roman" w:hAnsi="Times New Roman"/>
            <w:szCs w:val="22"/>
            <w:lang w:val="sk-SK"/>
          </w:rPr>
          <w:t>700</w:t>
        </w:r>
        <w:r w:rsidR="00960881" w:rsidRPr="00B50F60">
          <w:rPr>
            <w:rFonts w:ascii="Times New Roman" w:hAnsi="Times New Roman"/>
            <w:szCs w:val="22"/>
            <w:lang w:val="sk-SK"/>
          </w:rPr>
          <w:t> </w:t>
        </w:r>
        <w:r w:rsidR="00F56890" w:rsidRPr="00B50F60">
          <w:rPr>
            <w:rFonts w:ascii="Times New Roman" w:hAnsi="Times New Roman"/>
            <w:szCs w:val="22"/>
            <w:lang w:val="sk-SK"/>
          </w:rPr>
          <w:t>°C</w:t>
        </w:r>
      </w:smartTag>
      <w:r w:rsidR="00F56890" w:rsidRPr="00B50F60">
        <w:rPr>
          <w:rFonts w:ascii="Times New Roman" w:hAnsi="Times New Roman"/>
          <w:szCs w:val="22"/>
          <w:lang w:val="sk-SK"/>
        </w:rPr>
        <w:t xml:space="preserve">) </w:t>
      </w:r>
      <w:r w:rsidR="003D0F64" w:rsidRPr="00B50F60">
        <w:rPr>
          <w:rFonts w:ascii="Times New Roman" w:hAnsi="Times New Roman"/>
          <w:szCs w:val="22"/>
          <w:lang w:val="sk-SK"/>
        </w:rPr>
        <w:t>spopolnen</w:t>
      </w:r>
      <w:r w:rsidR="00E377F3" w:rsidRPr="00B50F60">
        <w:rPr>
          <w:rFonts w:ascii="Times New Roman" w:hAnsi="Times New Roman"/>
          <w:szCs w:val="22"/>
          <w:lang w:val="sk-SK"/>
        </w:rPr>
        <w:t>ím.</w:t>
      </w:r>
    </w:p>
    <w:p w14:paraId="31321096" w14:textId="77777777" w:rsidR="007C2352" w:rsidRPr="00B50F60" w:rsidRDefault="00BC783C" w:rsidP="00ED7827">
      <w:pPr>
        <w:tabs>
          <w:tab w:val="left" w:pos="567"/>
        </w:tabs>
        <w:ind w:left="567" w:hanging="567"/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sym w:font="Symbol" w:char="F0B7"/>
      </w:r>
      <w:r w:rsidRPr="00B50F60">
        <w:rPr>
          <w:rFonts w:ascii="Times New Roman" w:hAnsi="Times New Roman"/>
          <w:szCs w:val="22"/>
          <w:lang w:val="sk-SK"/>
        </w:rPr>
        <w:tab/>
      </w:r>
      <w:r w:rsidR="00F56890" w:rsidRPr="00B50F60">
        <w:rPr>
          <w:rFonts w:ascii="Times New Roman" w:hAnsi="Times New Roman"/>
          <w:szCs w:val="22"/>
          <w:lang w:val="sk-SK"/>
        </w:rPr>
        <w:t xml:space="preserve">V prípade kontaktu s pokožkou dôkladne </w:t>
      </w:r>
      <w:r w:rsidR="00E377F3" w:rsidRPr="00B50F60">
        <w:rPr>
          <w:rFonts w:ascii="Times New Roman" w:hAnsi="Times New Roman"/>
          <w:szCs w:val="22"/>
          <w:lang w:val="sk-SK"/>
        </w:rPr>
        <w:t xml:space="preserve">omyte </w:t>
      </w:r>
      <w:r w:rsidR="00F56890" w:rsidRPr="00B50F60">
        <w:rPr>
          <w:rFonts w:ascii="Times New Roman" w:hAnsi="Times New Roman"/>
          <w:szCs w:val="22"/>
          <w:lang w:val="sk-SK"/>
        </w:rPr>
        <w:t xml:space="preserve">postihnuté miesto vodou a mydlom alebo roztokom bikarbonátu sodného. </w:t>
      </w:r>
      <w:r w:rsidR="00E377F3" w:rsidRPr="00B50F60">
        <w:rPr>
          <w:rFonts w:ascii="Times New Roman" w:hAnsi="Times New Roman"/>
          <w:szCs w:val="22"/>
          <w:lang w:val="sk-SK"/>
        </w:rPr>
        <w:t xml:space="preserve">Vyhnite sa </w:t>
      </w:r>
      <w:r w:rsidR="00643D76" w:rsidRPr="00B50F60">
        <w:rPr>
          <w:rFonts w:ascii="Times New Roman" w:hAnsi="Times New Roman"/>
          <w:szCs w:val="22"/>
          <w:lang w:val="sk-SK"/>
        </w:rPr>
        <w:t>poškodeniu pokožky</w:t>
      </w:r>
      <w:r w:rsidR="000F6660" w:rsidRPr="00B50F60">
        <w:rPr>
          <w:rFonts w:ascii="Times New Roman" w:hAnsi="Times New Roman"/>
          <w:szCs w:val="22"/>
          <w:lang w:val="sk-SK"/>
        </w:rPr>
        <w:t xml:space="preserve"> </w:t>
      </w:r>
      <w:r w:rsidR="00E377F3" w:rsidRPr="00B50F60">
        <w:rPr>
          <w:rFonts w:ascii="Times New Roman" w:hAnsi="Times New Roman"/>
          <w:szCs w:val="22"/>
          <w:lang w:val="sk-SK"/>
        </w:rPr>
        <w:t>čistením</w:t>
      </w:r>
      <w:r w:rsidR="003D0F64" w:rsidRPr="00B50F60">
        <w:rPr>
          <w:rFonts w:ascii="Times New Roman" w:hAnsi="Times New Roman"/>
          <w:szCs w:val="22"/>
          <w:lang w:val="sk-SK"/>
        </w:rPr>
        <w:t xml:space="preserve"> h</w:t>
      </w:r>
      <w:r w:rsidR="00F56890" w:rsidRPr="00B50F60">
        <w:rPr>
          <w:rFonts w:ascii="Times New Roman" w:hAnsi="Times New Roman"/>
          <w:szCs w:val="22"/>
          <w:lang w:val="sk-SK"/>
        </w:rPr>
        <w:t>r</w:t>
      </w:r>
      <w:r w:rsidR="003D0F64" w:rsidRPr="00B50F60">
        <w:rPr>
          <w:rFonts w:ascii="Times New Roman" w:hAnsi="Times New Roman"/>
          <w:szCs w:val="22"/>
          <w:lang w:val="sk-SK"/>
        </w:rPr>
        <w:t>ub</w:t>
      </w:r>
      <w:r w:rsidR="00F56890" w:rsidRPr="00B50F60">
        <w:rPr>
          <w:rFonts w:ascii="Times New Roman" w:hAnsi="Times New Roman"/>
          <w:szCs w:val="22"/>
          <w:lang w:val="sk-SK"/>
        </w:rPr>
        <w:t xml:space="preserve">ou kefou. </w:t>
      </w:r>
    </w:p>
    <w:p w14:paraId="68B305E8" w14:textId="77777777" w:rsidR="007C2352" w:rsidRPr="00B50F60" w:rsidRDefault="00BC783C" w:rsidP="00ED7827">
      <w:pPr>
        <w:tabs>
          <w:tab w:val="left" w:pos="567"/>
        </w:tabs>
        <w:ind w:left="567" w:hanging="567"/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sym w:font="Symbol" w:char="F0B7"/>
      </w:r>
      <w:r w:rsidRPr="00B50F60">
        <w:rPr>
          <w:rFonts w:ascii="Times New Roman" w:hAnsi="Times New Roman"/>
          <w:szCs w:val="22"/>
          <w:lang w:val="sk-SK"/>
        </w:rPr>
        <w:tab/>
      </w:r>
      <w:r w:rsidR="00F56890" w:rsidRPr="00B50F60">
        <w:rPr>
          <w:rFonts w:ascii="Times New Roman" w:hAnsi="Times New Roman"/>
          <w:szCs w:val="22"/>
          <w:lang w:val="sk-SK"/>
        </w:rPr>
        <w:t>V prípade kontaktu s očami</w:t>
      </w:r>
      <w:r w:rsidR="000F6660" w:rsidRPr="00B50F60">
        <w:rPr>
          <w:rFonts w:ascii="Times New Roman" w:hAnsi="Times New Roman"/>
          <w:szCs w:val="22"/>
          <w:lang w:val="sk-SK"/>
        </w:rPr>
        <w:t xml:space="preserve"> </w:t>
      </w:r>
      <w:r w:rsidR="00E377F3" w:rsidRPr="00B50F60">
        <w:rPr>
          <w:rFonts w:ascii="Times New Roman" w:hAnsi="Times New Roman"/>
          <w:szCs w:val="22"/>
          <w:lang w:val="sk-SK"/>
        </w:rPr>
        <w:t>vyvráťte</w:t>
      </w:r>
      <w:r w:rsidR="00F56890" w:rsidRPr="00B50F60">
        <w:rPr>
          <w:rFonts w:ascii="Times New Roman" w:hAnsi="Times New Roman"/>
          <w:szCs w:val="22"/>
          <w:lang w:val="sk-SK"/>
        </w:rPr>
        <w:t xml:space="preserve"> očné vie</w:t>
      </w:r>
      <w:r w:rsidR="003D0F64" w:rsidRPr="00B50F60">
        <w:rPr>
          <w:rFonts w:ascii="Times New Roman" w:hAnsi="Times New Roman"/>
          <w:szCs w:val="22"/>
          <w:lang w:val="sk-SK"/>
        </w:rPr>
        <w:t>čk</w:t>
      </w:r>
      <w:r w:rsidR="00E377F3" w:rsidRPr="00B50F60">
        <w:rPr>
          <w:rFonts w:ascii="Times New Roman" w:hAnsi="Times New Roman"/>
          <w:szCs w:val="22"/>
          <w:lang w:val="sk-SK"/>
        </w:rPr>
        <w:t>o</w:t>
      </w:r>
      <w:r w:rsidR="000F6660" w:rsidRPr="00B50F60">
        <w:rPr>
          <w:rFonts w:ascii="Times New Roman" w:hAnsi="Times New Roman"/>
          <w:szCs w:val="22"/>
          <w:lang w:val="sk-SK"/>
        </w:rPr>
        <w:t xml:space="preserve"> </w:t>
      </w:r>
      <w:r w:rsidR="00643D76" w:rsidRPr="00B50F60">
        <w:rPr>
          <w:rFonts w:ascii="Times New Roman" w:hAnsi="Times New Roman"/>
          <w:szCs w:val="22"/>
          <w:lang w:val="sk-SK"/>
        </w:rPr>
        <w:t>naruby</w:t>
      </w:r>
      <w:r w:rsidR="003D0F64" w:rsidRPr="00B50F60">
        <w:rPr>
          <w:rFonts w:ascii="Times New Roman" w:hAnsi="Times New Roman"/>
          <w:szCs w:val="22"/>
          <w:lang w:val="sk-SK"/>
        </w:rPr>
        <w:t xml:space="preserve"> a vypl</w:t>
      </w:r>
      <w:r w:rsidR="000F6660" w:rsidRPr="00B50F60">
        <w:rPr>
          <w:rFonts w:ascii="Times New Roman" w:hAnsi="Times New Roman"/>
          <w:szCs w:val="22"/>
          <w:lang w:val="sk-SK"/>
        </w:rPr>
        <w:t>a</w:t>
      </w:r>
      <w:r w:rsidR="003D0F64" w:rsidRPr="00B50F60">
        <w:rPr>
          <w:rFonts w:ascii="Times New Roman" w:hAnsi="Times New Roman"/>
          <w:szCs w:val="22"/>
          <w:lang w:val="sk-SK"/>
        </w:rPr>
        <w:t>ch</w:t>
      </w:r>
      <w:r w:rsidR="00E377F3" w:rsidRPr="00B50F60">
        <w:rPr>
          <w:rFonts w:ascii="Times New Roman" w:hAnsi="Times New Roman"/>
          <w:szCs w:val="22"/>
          <w:lang w:val="sk-SK"/>
        </w:rPr>
        <w:t>ujte</w:t>
      </w:r>
      <w:r w:rsidR="003D0F64" w:rsidRPr="00B50F60">
        <w:rPr>
          <w:rFonts w:ascii="Times New Roman" w:hAnsi="Times New Roman"/>
          <w:szCs w:val="22"/>
          <w:lang w:val="sk-SK"/>
        </w:rPr>
        <w:t xml:space="preserve"> postihnuté oko výdatným</w:t>
      </w:r>
      <w:r w:rsidR="00F56890" w:rsidRPr="00B50F60">
        <w:rPr>
          <w:rFonts w:ascii="Times New Roman" w:hAnsi="Times New Roman"/>
          <w:szCs w:val="22"/>
          <w:lang w:val="sk-SK"/>
        </w:rPr>
        <w:t xml:space="preserve"> množstvom vody aspoň 15</w:t>
      </w:r>
      <w:r w:rsidR="007D532D" w:rsidRPr="00B50F60">
        <w:rPr>
          <w:rFonts w:ascii="Times New Roman" w:hAnsi="Times New Roman"/>
          <w:szCs w:val="22"/>
          <w:lang w:val="sk-SK"/>
        </w:rPr>
        <w:t> </w:t>
      </w:r>
      <w:r w:rsidR="00F56890" w:rsidRPr="00B50F60">
        <w:rPr>
          <w:rFonts w:ascii="Times New Roman" w:hAnsi="Times New Roman"/>
          <w:szCs w:val="22"/>
          <w:lang w:val="sk-SK"/>
        </w:rPr>
        <w:t xml:space="preserve">minút. </w:t>
      </w:r>
      <w:r w:rsidR="00E377F3" w:rsidRPr="00B50F60">
        <w:rPr>
          <w:rFonts w:ascii="Times New Roman" w:hAnsi="Times New Roman"/>
          <w:szCs w:val="22"/>
          <w:lang w:val="sk-SK"/>
        </w:rPr>
        <w:t xml:space="preserve">Následne </w:t>
      </w:r>
      <w:r w:rsidR="00F56890" w:rsidRPr="00B50F60">
        <w:rPr>
          <w:rFonts w:ascii="Times New Roman" w:hAnsi="Times New Roman"/>
          <w:szCs w:val="22"/>
          <w:lang w:val="sk-SK"/>
        </w:rPr>
        <w:t>vyhľadajte lekársk</w:t>
      </w:r>
      <w:r w:rsidR="0085024B" w:rsidRPr="00B50F60">
        <w:rPr>
          <w:rFonts w:ascii="Times New Roman" w:hAnsi="Times New Roman"/>
          <w:szCs w:val="22"/>
          <w:lang w:val="sk-SK"/>
        </w:rPr>
        <w:t>e ošetrenie</w:t>
      </w:r>
      <w:r w:rsidR="00F56890" w:rsidRPr="00B50F60">
        <w:rPr>
          <w:rFonts w:ascii="Times New Roman" w:hAnsi="Times New Roman"/>
          <w:szCs w:val="22"/>
          <w:lang w:val="sk-SK"/>
        </w:rPr>
        <w:t>.</w:t>
      </w:r>
    </w:p>
    <w:p w14:paraId="36F6970F" w14:textId="77777777" w:rsidR="00B750C4" w:rsidRPr="00B50F60" w:rsidRDefault="00BC783C" w:rsidP="00D72BD2">
      <w:pPr>
        <w:pStyle w:val="Standardenglisch"/>
        <w:tabs>
          <w:tab w:val="left" w:pos="567"/>
        </w:tabs>
        <w:ind w:left="567" w:hanging="567"/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sym w:font="Symbol" w:char="F0B7"/>
      </w:r>
      <w:r w:rsidRPr="00B50F60">
        <w:rPr>
          <w:rFonts w:ascii="Times New Roman" w:hAnsi="Times New Roman"/>
          <w:szCs w:val="22"/>
          <w:lang w:val="sk-SK"/>
        </w:rPr>
        <w:tab/>
      </w:r>
      <w:r w:rsidR="0085024B" w:rsidRPr="00B50F60">
        <w:rPr>
          <w:rFonts w:ascii="Times New Roman" w:hAnsi="Times New Roman"/>
          <w:szCs w:val="22"/>
          <w:lang w:val="sk-SK"/>
        </w:rPr>
        <w:t xml:space="preserve">Pokvapkané alebo poliate predmety a plochy umyte roztokom </w:t>
      </w:r>
      <w:proofErr w:type="spellStart"/>
      <w:r w:rsidR="0085024B" w:rsidRPr="00B50F60">
        <w:rPr>
          <w:rFonts w:ascii="Times New Roman" w:hAnsi="Times New Roman"/>
          <w:szCs w:val="22"/>
          <w:lang w:val="sk-SK"/>
        </w:rPr>
        <w:t>chlórnanu</w:t>
      </w:r>
      <w:proofErr w:type="spellEnd"/>
      <w:r w:rsidR="0085024B" w:rsidRPr="00B50F60">
        <w:rPr>
          <w:rFonts w:ascii="Times New Roman" w:hAnsi="Times New Roman"/>
          <w:szCs w:val="22"/>
          <w:lang w:val="sk-SK"/>
        </w:rPr>
        <w:t xml:space="preserve"> sodného (1</w:t>
      </w:r>
      <w:r w:rsidR="007D532D" w:rsidRPr="00B50F60">
        <w:rPr>
          <w:rFonts w:ascii="Times New Roman" w:hAnsi="Times New Roman"/>
          <w:szCs w:val="22"/>
          <w:lang w:val="sk-SK"/>
        </w:rPr>
        <w:t> </w:t>
      </w:r>
      <w:r w:rsidR="0085024B" w:rsidRPr="00B50F60">
        <w:rPr>
          <w:rFonts w:ascii="Times New Roman" w:hAnsi="Times New Roman"/>
          <w:szCs w:val="22"/>
          <w:lang w:val="sk-SK"/>
        </w:rPr>
        <w:t>% voľného chlóru), pokiaľ je to možné, namočte cez noc a potom opláchnite vodou.</w:t>
      </w:r>
    </w:p>
    <w:p w14:paraId="2D0DE501" w14:textId="77777777" w:rsidR="00B750C4" w:rsidRPr="00B50F60" w:rsidRDefault="00BC783C" w:rsidP="00D72BD2">
      <w:pPr>
        <w:pStyle w:val="Standardenglisch"/>
        <w:tabs>
          <w:tab w:val="left" w:pos="567"/>
        </w:tabs>
        <w:ind w:left="567" w:hanging="567"/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sym w:font="Symbol" w:char="F0B7"/>
      </w:r>
      <w:r w:rsidRPr="00B50F60">
        <w:rPr>
          <w:rFonts w:ascii="Times New Roman" w:hAnsi="Times New Roman"/>
          <w:szCs w:val="22"/>
          <w:lang w:val="sk-SK"/>
        </w:rPr>
        <w:tab/>
      </w:r>
      <w:r w:rsidR="00F56890" w:rsidRPr="00B50F60">
        <w:rPr>
          <w:rFonts w:ascii="Times New Roman" w:hAnsi="Times New Roman"/>
          <w:szCs w:val="22"/>
          <w:lang w:val="sk-SK"/>
        </w:rPr>
        <w:t xml:space="preserve">Všetky čistiace </w:t>
      </w:r>
      <w:r w:rsidR="00E377F3" w:rsidRPr="00B50F60">
        <w:rPr>
          <w:rFonts w:ascii="Times New Roman" w:hAnsi="Times New Roman"/>
          <w:szCs w:val="22"/>
          <w:lang w:val="sk-SK"/>
        </w:rPr>
        <w:t xml:space="preserve">pomôcky </w:t>
      </w:r>
      <w:r w:rsidR="00F56890" w:rsidRPr="00B50F60">
        <w:rPr>
          <w:rFonts w:ascii="Times New Roman" w:hAnsi="Times New Roman"/>
          <w:szCs w:val="22"/>
          <w:lang w:val="sk-SK"/>
        </w:rPr>
        <w:t>sa majú znehodnotiť</w:t>
      </w:r>
      <w:r w:rsidR="0085024B" w:rsidRPr="00B50F60">
        <w:rPr>
          <w:rFonts w:ascii="Times New Roman" w:hAnsi="Times New Roman"/>
          <w:szCs w:val="22"/>
          <w:lang w:val="sk-SK"/>
        </w:rPr>
        <w:t xml:space="preserve"> tak,</w:t>
      </w:r>
      <w:r w:rsidR="00F56890" w:rsidRPr="00B50F60">
        <w:rPr>
          <w:rFonts w:ascii="Times New Roman" w:hAnsi="Times New Roman"/>
          <w:szCs w:val="22"/>
          <w:lang w:val="sk-SK"/>
        </w:rPr>
        <w:t xml:space="preserve"> ako je </w:t>
      </w:r>
      <w:r w:rsidR="00E377F3" w:rsidRPr="00B50F60">
        <w:rPr>
          <w:rFonts w:ascii="Times New Roman" w:hAnsi="Times New Roman"/>
          <w:szCs w:val="22"/>
          <w:lang w:val="sk-SK"/>
        </w:rPr>
        <w:t xml:space="preserve">odporúčané </w:t>
      </w:r>
      <w:r w:rsidR="00F56890" w:rsidRPr="00B50F60">
        <w:rPr>
          <w:rFonts w:ascii="Times New Roman" w:hAnsi="Times New Roman"/>
          <w:szCs w:val="22"/>
          <w:lang w:val="sk-SK"/>
        </w:rPr>
        <w:t>vyššie.</w:t>
      </w:r>
    </w:p>
    <w:p w14:paraId="091726F1" w14:textId="77777777" w:rsidR="007C2352" w:rsidRPr="00B50F60" w:rsidRDefault="00BC783C" w:rsidP="00ED7827">
      <w:pPr>
        <w:tabs>
          <w:tab w:val="left" w:pos="567"/>
        </w:tabs>
        <w:ind w:left="567" w:hanging="567"/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sym w:font="Symbol" w:char="F0B7"/>
      </w:r>
      <w:r w:rsidRPr="00B50F60">
        <w:rPr>
          <w:rFonts w:ascii="Times New Roman" w:hAnsi="Times New Roman"/>
          <w:szCs w:val="22"/>
          <w:lang w:val="sk-SK"/>
        </w:rPr>
        <w:tab/>
      </w:r>
      <w:r w:rsidR="00F56890" w:rsidRPr="00B50F60">
        <w:rPr>
          <w:rFonts w:ascii="Times New Roman" w:hAnsi="Times New Roman"/>
          <w:szCs w:val="22"/>
          <w:lang w:val="sk-SK"/>
        </w:rPr>
        <w:t>Vždy si po odstránení rukavíc umyte ruky.</w:t>
      </w:r>
    </w:p>
    <w:p w14:paraId="583D9B47" w14:textId="77777777" w:rsidR="00B750C4" w:rsidRPr="00B50F60" w:rsidRDefault="00B750C4" w:rsidP="00ED7827">
      <w:pPr>
        <w:pStyle w:val="Standardenglisch"/>
        <w:tabs>
          <w:tab w:val="left" w:pos="284"/>
          <w:tab w:val="left" w:pos="567"/>
        </w:tabs>
        <w:ind w:left="567" w:hanging="567"/>
        <w:rPr>
          <w:rFonts w:ascii="Times New Roman" w:hAnsi="Times New Roman"/>
          <w:szCs w:val="22"/>
          <w:lang w:val="sk-SK"/>
        </w:rPr>
      </w:pPr>
    </w:p>
    <w:p w14:paraId="4E7AE7AE" w14:textId="77777777" w:rsidR="00FD3648" w:rsidRPr="00B50F60" w:rsidRDefault="00FD3648" w:rsidP="00ED7827">
      <w:pPr>
        <w:pStyle w:val="Standardenglisch"/>
        <w:tabs>
          <w:tab w:val="left" w:pos="284"/>
          <w:tab w:val="left" w:pos="567"/>
        </w:tabs>
        <w:ind w:left="567" w:hanging="567"/>
        <w:rPr>
          <w:rFonts w:ascii="Times New Roman" w:hAnsi="Times New Roman"/>
          <w:szCs w:val="22"/>
          <w:lang w:val="sk-SK"/>
        </w:rPr>
      </w:pPr>
    </w:p>
    <w:p w14:paraId="5C16E5D6" w14:textId="77777777" w:rsidR="00B750C4" w:rsidRPr="00B50F60" w:rsidRDefault="00B750C4" w:rsidP="00DC57E3">
      <w:pPr>
        <w:tabs>
          <w:tab w:val="left" w:pos="567"/>
        </w:tabs>
        <w:outlineLvl w:val="0"/>
        <w:rPr>
          <w:rFonts w:ascii="Times New Roman" w:hAnsi="Times New Roman"/>
          <w:b/>
          <w:bCs/>
          <w:szCs w:val="22"/>
          <w:lang w:val="sk-SK"/>
        </w:rPr>
      </w:pPr>
      <w:r w:rsidRPr="00B50F60">
        <w:rPr>
          <w:rFonts w:ascii="Times New Roman" w:hAnsi="Times New Roman"/>
          <w:b/>
          <w:bCs/>
          <w:szCs w:val="22"/>
          <w:lang w:val="sk-SK"/>
        </w:rPr>
        <w:t>7</w:t>
      </w:r>
      <w:r w:rsidR="009533AD" w:rsidRPr="00B50F60">
        <w:rPr>
          <w:rFonts w:ascii="Times New Roman" w:hAnsi="Times New Roman"/>
          <w:b/>
          <w:bCs/>
          <w:szCs w:val="22"/>
          <w:lang w:val="sk-SK"/>
        </w:rPr>
        <w:t>.</w:t>
      </w:r>
      <w:r w:rsidRPr="00B50F60">
        <w:rPr>
          <w:rFonts w:ascii="Times New Roman" w:hAnsi="Times New Roman"/>
          <w:b/>
          <w:bCs/>
          <w:szCs w:val="22"/>
          <w:lang w:val="sk-SK"/>
        </w:rPr>
        <w:tab/>
      </w:r>
      <w:r w:rsidR="00F56890" w:rsidRPr="00B50F60">
        <w:rPr>
          <w:rFonts w:ascii="Times New Roman" w:hAnsi="Times New Roman"/>
          <w:b/>
          <w:caps/>
          <w:szCs w:val="22"/>
          <w:lang w:val="sk-SK"/>
        </w:rPr>
        <w:t>DRŽITEĽ ROZHODNUTIA O REGISTRáCII</w:t>
      </w:r>
    </w:p>
    <w:p w14:paraId="757C2498" w14:textId="77777777" w:rsidR="00B750C4" w:rsidRPr="00B50F60" w:rsidRDefault="00B750C4" w:rsidP="00ED7827">
      <w:pPr>
        <w:pStyle w:val="Hlavika"/>
        <w:tabs>
          <w:tab w:val="clear" w:pos="9072"/>
          <w:tab w:val="left" w:pos="0"/>
          <w:tab w:val="left" w:pos="284"/>
        </w:tabs>
        <w:jc w:val="both"/>
        <w:rPr>
          <w:rFonts w:ascii="Times New Roman" w:hAnsi="Times New Roman"/>
          <w:szCs w:val="22"/>
          <w:lang w:val="sk-SK"/>
        </w:rPr>
      </w:pPr>
    </w:p>
    <w:p w14:paraId="3694E3F7" w14:textId="77777777" w:rsidR="008A480A" w:rsidRPr="00B50F60" w:rsidRDefault="008A480A" w:rsidP="00ED7827">
      <w:pPr>
        <w:tabs>
          <w:tab w:val="left" w:pos="0"/>
        </w:tabs>
        <w:jc w:val="both"/>
        <w:rPr>
          <w:rFonts w:ascii="Times New Roman" w:hAnsi="Times New Roman"/>
          <w:szCs w:val="22"/>
          <w:lang w:val="sk-SK"/>
        </w:rPr>
      </w:pPr>
      <w:proofErr w:type="spellStart"/>
      <w:r w:rsidRPr="00B50F60">
        <w:rPr>
          <w:rFonts w:ascii="Times New Roman" w:hAnsi="Times New Roman"/>
          <w:szCs w:val="22"/>
          <w:lang w:val="sk-SK"/>
        </w:rPr>
        <w:t>m</w:t>
      </w:r>
      <w:r w:rsidR="000D53CE" w:rsidRPr="00B50F60">
        <w:rPr>
          <w:rFonts w:ascii="Times New Roman" w:hAnsi="Times New Roman"/>
          <w:szCs w:val="22"/>
          <w:lang w:val="sk-SK"/>
        </w:rPr>
        <w:t>edac</w:t>
      </w:r>
      <w:proofErr w:type="spellEnd"/>
    </w:p>
    <w:p w14:paraId="08FA413E" w14:textId="77777777" w:rsidR="00D3057D" w:rsidRPr="00B50F60" w:rsidRDefault="000D53CE" w:rsidP="00ED7827">
      <w:pPr>
        <w:tabs>
          <w:tab w:val="left" w:pos="0"/>
        </w:tabs>
        <w:jc w:val="both"/>
        <w:rPr>
          <w:rFonts w:ascii="Times New Roman" w:hAnsi="Times New Roman"/>
          <w:szCs w:val="22"/>
          <w:lang w:val="sk-SK"/>
        </w:rPr>
      </w:pPr>
      <w:proofErr w:type="spellStart"/>
      <w:r w:rsidRPr="00B50F60">
        <w:rPr>
          <w:rFonts w:ascii="Times New Roman" w:hAnsi="Times New Roman"/>
          <w:szCs w:val="22"/>
          <w:lang w:val="sk-SK"/>
        </w:rPr>
        <w:t>Gesellschaft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B50F60">
        <w:rPr>
          <w:rFonts w:ascii="Times New Roman" w:hAnsi="Times New Roman"/>
          <w:szCs w:val="22"/>
          <w:lang w:val="sk-SK"/>
        </w:rPr>
        <w:t>für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B50F60">
        <w:rPr>
          <w:rFonts w:ascii="Times New Roman" w:hAnsi="Times New Roman"/>
          <w:szCs w:val="22"/>
          <w:lang w:val="sk-SK"/>
        </w:rPr>
        <w:t>klinische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B50F60">
        <w:rPr>
          <w:rFonts w:ascii="Times New Roman" w:hAnsi="Times New Roman"/>
          <w:szCs w:val="22"/>
          <w:lang w:val="sk-SK"/>
        </w:rPr>
        <w:t>Spezialpräparate</w:t>
      </w:r>
      <w:proofErr w:type="spellEnd"/>
      <w:r w:rsidRPr="00B50F60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B50F60">
        <w:rPr>
          <w:rFonts w:ascii="Times New Roman" w:hAnsi="Times New Roman"/>
          <w:szCs w:val="22"/>
          <w:lang w:val="sk-SK"/>
        </w:rPr>
        <w:t>mbH</w:t>
      </w:r>
      <w:proofErr w:type="spellEnd"/>
    </w:p>
    <w:p w14:paraId="03A59815" w14:textId="77777777" w:rsidR="00CE7332" w:rsidRPr="00B50F60" w:rsidRDefault="00CE7332" w:rsidP="00CE7332">
      <w:pPr>
        <w:pStyle w:val="Default"/>
        <w:rPr>
          <w:sz w:val="22"/>
          <w:szCs w:val="22"/>
          <w:lang w:val="sk-SK"/>
        </w:rPr>
      </w:pPr>
      <w:proofErr w:type="spellStart"/>
      <w:r w:rsidRPr="00B50F60">
        <w:rPr>
          <w:sz w:val="22"/>
          <w:szCs w:val="22"/>
          <w:lang w:val="sk-SK"/>
        </w:rPr>
        <w:t>Theaterstr</w:t>
      </w:r>
      <w:proofErr w:type="spellEnd"/>
      <w:r w:rsidRPr="00B50F60">
        <w:rPr>
          <w:sz w:val="22"/>
          <w:szCs w:val="22"/>
          <w:lang w:val="sk-SK"/>
        </w:rPr>
        <w:t xml:space="preserve">. 6 </w:t>
      </w:r>
    </w:p>
    <w:p w14:paraId="02C805B8" w14:textId="77777777" w:rsidR="00CE7332" w:rsidRPr="00B50F60" w:rsidRDefault="00CE7332" w:rsidP="00CE7332">
      <w:pPr>
        <w:pStyle w:val="Default"/>
        <w:rPr>
          <w:sz w:val="22"/>
          <w:szCs w:val="22"/>
          <w:lang w:val="sk-SK"/>
        </w:rPr>
      </w:pPr>
      <w:r w:rsidRPr="00B50F60">
        <w:rPr>
          <w:sz w:val="22"/>
          <w:szCs w:val="22"/>
          <w:lang w:val="sk-SK"/>
        </w:rPr>
        <w:t xml:space="preserve">22880 </w:t>
      </w:r>
      <w:proofErr w:type="spellStart"/>
      <w:r w:rsidRPr="00B50F60">
        <w:rPr>
          <w:sz w:val="22"/>
          <w:szCs w:val="22"/>
          <w:lang w:val="sk-SK"/>
        </w:rPr>
        <w:t>Wedel</w:t>
      </w:r>
      <w:proofErr w:type="spellEnd"/>
    </w:p>
    <w:p w14:paraId="4E901E23" w14:textId="77777777" w:rsidR="00B750C4" w:rsidRPr="00B50F60" w:rsidRDefault="00F56890" w:rsidP="00ED7827">
      <w:pPr>
        <w:pStyle w:val="Hlavika"/>
        <w:tabs>
          <w:tab w:val="clear" w:pos="9072"/>
          <w:tab w:val="left" w:pos="0"/>
          <w:tab w:val="left" w:pos="284"/>
        </w:tabs>
        <w:jc w:val="both"/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>Nemecko</w:t>
      </w:r>
    </w:p>
    <w:p w14:paraId="09E10AB3" w14:textId="77777777" w:rsidR="008243FA" w:rsidRPr="00B50F60" w:rsidRDefault="008243FA" w:rsidP="00ED7827">
      <w:pPr>
        <w:pStyle w:val="Hlavika"/>
        <w:tabs>
          <w:tab w:val="clear" w:pos="9072"/>
          <w:tab w:val="left" w:pos="0"/>
          <w:tab w:val="left" w:pos="284"/>
        </w:tabs>
        <w:jc w:val="both"/>
        <w:rPr>
          <w:rFonts w:ascii="Times New Roman" w:hAnsi="Times New Roman"/>
          <w:szCs w:val="22"/>
          <w:lang w:val="sk-SK"/>
        </w:rPr>
      </w:pPr>
    </w:p>
    <w:p w14:paraId="19642150" w14:textId="77777777" w:rsidR="00FD3648" w:rsidRPr="00B50F60" w:rsidRDefault="00FD3648" w:rsidP="00ED7827">
      <w:pPr>
        <w:pStyle w:val="Hlavika"/>
        <w:tabs>
          <w:tab w:val="clear" w:pos="9072"/>
          <w:tab w:val="left" w:pos="0"/>
          <w:tab w:val="left" w:pos="284"/>
        </w:tabs>
        <w:jc w:val="both"/>
        <w:rPr>
          <w:rFonts w:ascii="Times New Roman" w:hAnsi="Times New Roman"/>
          <w:szCs w:val="22"/>
          <w:lang w:val="sk-SK"/>
        </w:rPr>
      </w:pPr>
    </w:p>
    <w:p w14:paraId="315EBAF4" w14:textId="77777777" w:rsidR="00B750C4" w:rsidRPr="00B50F60" w:rsidRDefault="00B750C4" w:rsidP="0089752D">
      <w:pPr>
        <w:keepNext/>
        <w:keepLines/>
        <w:widowControl/>
        <w:ind w:left="567" w:hanging="567"/>
        <w:outlineLvl w:val="0"/>
        <w:rPr>
          <w:rFonts w:ascii="Times New Roman" w:hAnsi="Times New Roman"/>
          <w:b/>
          <w:szCs w:val="22"/>
          <w:lang w:val="sk-SK"/>
        </w:rPr>
      </w:pPr>
      <w:r w:rsidRPr="00B50F60">
        <w:rPr>
          <w:rFonts w:ascii="Times New Roman" w:hAnsi="Times New Roman"/>
          <w:b/>
          <w:szCs w:val="22"/>
          <w:lang w:val="sk-SK"/>
        </w:rPr>
        <w:t>8</w:t>
      </w:r>
      <w:r w:rsidR="009533AD" w:rsidRPr="00B50F60">
        <w:rPr>
          <w:rFonts w:ascii="Times New Roman" w:hAnsi="Times New Roman"/>
          <w:b/>
          <w:szCs w:val="22"/>
          <w:lang w:val="sk-SK"/>
        </w:rPr>
        <w:t>.</w:t>
      </w:r>
      <w:r w:rsidRPr="00B50F60">
        <w:rPr>
          <w:rFonts w:ascii="Times New Roman" w:hAnsi="Times New Roman"/>
          <w:b/>
          <w:szCs w:val="22"/>
          <w:lang w:val="sk-SK"/>
        </w:rPr>
        <w:tab/>
      </w:r>
      <w:r w:rsidR="00F56890" w:rsidRPr="00B50F60">
        <w:rPr>
          <w:rFonts w:ascii="Times New Roman" w:hAnsi="Times New Roman"/>
          <w:b/>
          <w:caps/>
          <w:szCs w:val="22"/>
          <w:lang w:val="sk-SK"/>
        </w:rPr>
        <w:t>REGISTRAČNÉ ČÍSLO</w:t>
      </w:r>
    </w:p>
    <w:p w14:paraId="1A36E1A8" w14:textId="77777777" w:rsidR="00B750C4" w:rsidRPr="00B50F60" w:rsidRDefault="00B750C4" w:rsidP="00E0676E">
      <w:pPr>
        <w:keepNext/>
        <w:keepLines/>
        <w:widowControl/>
        <w:tabs>
          <w:tab w:val="left" w:pos="0"/>
          <w:tab w:val="left" w:pos="284"/>
        </w:tabs>
        <w:rPr>
          <w:rFonts w:ascii="Times New Roman" w:hAnsi="Times New Roman"/>
          <w:szCs w:val="22"/>
          <w:lang w:val="sk-SK"/>
        </w:rPr>
      </w:pPr>
    </w:p>
    <w:p w14:paraId="467BBAA7" w14:textId="77777777" w:rsidR="00BA4FDA" w:rsidRPr="00B50F60" w:rsidRDefault="00BA4FDA" w:rsidP="00E0676E">
      <w:pPr>
        <w:keepNext/>
        <w:keepLines/>
        <w:widowControl/>
        <w:tabs>
          <w:tab w:val="left" w:pos="0"/>
          <w:tab w:val="left" w:pos="284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>44/0122/10-S</w:t>
      </w:r>
    </w:p>
    <w:p w14:paraId="13B48398" w14:textId="77777777" w:rsidR="008243FA" w:rsidRPr="00B50F60" w:rsidRDefault="008243FA" w:rsidP="00ED7827">
      <w:pPr>
        <w:tabs>
          <w:tab w:val="left" w:pos="0"/>
          <w:tab w:val="left" w:pos="284"/>
        </w:tabs>
        <w:rPr>
          <w:rFonts w:ascii="Times New Roman" w:hAnsi="Times New Roman"/>
          <w:szCs w:val="22"/>
          <w:lang w:val="sk-SK"/>
        </w:rPr>
      </w:pPr>
    </w:p>
    <w:p w14:paraId="0F29196A" w14:textId="77777777" w:rsidR="00563829" w:rsidRPr="00B50F60" w:rsidRDefault="00563829" w:rsidP="00ED7827">
      <w:pPr>
        <w:tabs>
          <w:tab w:val="left" w:pos="0"/>
          <w:tab w:val="left" w:pos="284"/>
        </w:tabs>
        <w:rPr>
          <w:rFonts w:ascii="Times New Roman" w:hAnsi="Times New Roman"/>
          <w:szCs w:val="22"/>
          <w:lang w:val="sk-SK"/>
        </w:rPr>
      </w:pPr>
    </w:p>
    <w:p w14:paraId="36C0BE04" w14:textId="77777777" w:rsidR="00B750C4" w:rsidRPr="00B50F60" w:rsidRDefault="00B750C4" w:rsidP="0089752D">
      <w:pPr>
        <w:tabs>
          <w:tab w:val="left" w:pos="567"/>
        </w:tabs>
        <w:ind w:left="567" w:hanging="567"/>
        <w:outlineLvl w:val="0"/>
        <w:rPr>
          <w:rFonts w:ascii="Times New Roman" w:hAnsi="Times New Roman"/>
          <w:b/>
          <w:szCs w:val="22"/>
          <w:lang w:val="sk-SK"/>
        </w:rPr>
      </w:pPr>
      <w:r w:rsidRPr="00B50F60">
        <w:rPr>
          <w:rFonts w:ascii="Times New Roman" w:hAnsi="Times New Roman"/>
          <w:b/>
          <w:szCs w:val="22"/>
          <w:lang w:val="sk-SK"/>
        </w:rPr>
        <w:t>9</w:t>
      </w:r>
      <w:r w:rsidR="009533AD" w:rsidRPr="00B50F60">
        <w:rPr>
          <w:rFonts w:ascii="Times New Roman" w:hAnsi="Times New Roman"/>
          <w:b/>
          <w:szCs w:val="22"/>
          <w:lang w:val="sk-SK"/>
        </w:rPr>
        <w:t>.</w:t>
      </w:r>
      <w:r w:rsidRPr="00B50F60">
        <w:rPr>
          <w:rFonts w:ascii="Times New Roman" w:hAnsi="Times New Roman"/>
          <w:b/>
          <w:szCs w:val="22"/>
          <w:lang w:val="sk-SK"/>
        </w:rPr>
        <w:tab/>
      </w:r>
      <w:r w:rsidR="00F56890" w:rsidRPr="00B50F60">
        <w:rPr>
          <w:rFonts w:ascii="Times New Roman" w:hAnsi="Times New Roman"/>
          <w:b/>
          <w:caps/>
          <w:szCs w:val="22"/>
          <w:lang w:val="sk-SK"/>
        </w:rPr>
        <w:t>DÁTUM PRVEJ REGISTRÁCIE/PREDĹŽENIA REGISTRÁCIE</w:t>
      </w:r>
    </w:p>
    <w:p w14:paraId="1B46765F" w14:textId="77777777" w:rsidR="00B750C4" w:rsidRPr="00B50F60" w:rsidRDefault="00B750C4" w:rsidP="00ED7827">
      <w:pPr>
        <w:tabs>
          <w:tab w:val="left" w:pos="0"/>
          <w:tab w:val="left" w:pos="284"/>
        </w:tabs>
        <w:rPr>
          <w:rFonts w:ascii="Times New Roman" w:hAnsi="Times New Roman"/>
          <w:szCs w:val="22"/>
          <w:lang w:val="sk-SK"/>
        </w:rPr>
      </w:pPr>
    </w:p>
    <w:p w14:paraId="7937E8F5" w14:textId="5BBDEE6B" w:rsidR="00BA4FDA" w:rsidRPr="00B50F60" w:rsidRDefault="0049189B" w:rsidP="00ED7827">
      <w:pPr>
        <w:tabs>
          <w:tab w:val="left" w:pos="0"/>
          <w:tab w:val="left" w:pos="284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 xml:space="preserve">Dátum prvej registrácie: </w:t>
      </w:r>
      <w:r w:rsidR="00D37687" w:rsidRPr="00B50F60">
        <w:rPr>
          <w:rFonts w:ascii="Times New Roman" w:hAnsi="Times New Roman"/>
          <w:szCs w:val="22"/>
          <w:lang w:val="sk-SK"/>
        </w:rPr>
        <w:t>23. marec</w:t>
      </w:r>
      <w:r w:rsidR="00E6198C" w:rsidRPr="00B50F60">
        <w:rPr>
          <w:rFonts w:ascii="Times New Roman" w:hAnsi="Times New Roman"/>
          <w:szCs w:val="22"/>
          <w:lang w:val="sk-SK"/>
        </w:rPr>
        <w:t xml:space="preserve"> </w:t>
      </w:r>
      <w:r w:rsidR="00BA4FDA" w:rsidRPr="00B50F60">
        <w:rPr>
          <w:rFonts w:ascii="Times New Roman" w:hAnsi="Times New Roman"/>
          <w:szCs w:val="22"/>
          <w:lang w:val="sk-SK"/>
        </w:rPr>
        <w:t>2010</w:t>
      </w:r>
    </w:p>
    <w:p w14:paraId="70F10606" w14:textId="4DF0254E" w:rsidR="00E83091" w:rsidRPr="00B50F60" w:rsidRDefault="0049189B" w:rsidP="00ED7827">
      <w:pPr>
        <w:tabs>
          <w:tab w:val="left" w:pos="0"/>
          <w:tab w:val="left" w:pos="284"/>
        </w:tabs>
        <w:rPr>
          <w:rFonts w:ascii="Times New Roman" w:hAnsi="Times New Roman"/>
          <w:szCs w:val="22"/>
          <w:lang w:val="sk-SK"/>
        </w:rPr>
      </w:pPr>
      <w:r w:rsidRPr="00B50F60">
        <w:rPr>
          <w:rFonts w:ascii="Times New Roman" w:hAnsi="Times New Roman"/>
          <w:szCs w:val="22"/>
          <w:lang w:val="sk-SK"/>
        </w:rPr>
        <w:t>Dátum posledného predĺženia registrácie:</w:t>
      </w:r>
      <w:r w:rsidR="00EB7F2E" w:rsidRPr="00B50F60">
        <w:rPr>
          <w:rFonts w:ascii="Times New Roman" w:hAnsi="Times New Roman"/>
          <w:szCs w:val="22"/>
          <w:lang w:val="sk-SK"/>
        </w:rPr>
        <w:t xml:space="preserve"> </w:t>
      </w:r>
      <w:r w:rsidR="0065287C" w:rsidRPr="00B50F60">
        <w:rPr>
          <w:rFonts w:ascii="Times New Roman" w:hAnsi="Times New Roman"/>
          <w:szCs w:val="22"/>
          <w:lang w:val="sk-SK"/>
        </w:rPr>
        <w:t>07. júna 2018</w:t>
      </w:r>
    </w:p>
    <w:p w14:paraId="531601F5" w14:textId="77777777" w:rsidR="00D37687" w:rsidRPr="00B50F60" w:rsidRDefault="00D37687" w:rsidP="00ED7827">
      <w:pPr>
        <w:tabs>
          <w:tab w:val="left" w:pos="0"/>
          <w:tab w:val="left" w:pos="284"/>
        </w:tabs>
        <w:rPr>
          <w:rFonts w:ascii="Times New Roman" w:hAnsi="Times New Roman"/>
          <w:szCs w:val="22"/>
          <w:lang w:val="sk-SK"/>
        </w:rPr>
      </w:pPr>
    </w:p>
    <w:p w14:paraId="0E55F471" w14:textId="77777777" w:rsidR="00D37687" w:rsidRPr="00B50F60" w:rsidRDefault="00D37687" w:rsidP="00ED7827">
      <w:pPr>
        <w:tabs>
          <w:tab w:val="left" w:pos="0"/>
          <w:tab w:val="left" w:pos="284"/>
        </w:tabs>
        <w:rPr>
          <w:rFonts w:ascii="Times New Roman" w:hAnsi="Times New Roman"/>
          <w:szCs w:val="22"/>
          <w:lang w:val="sk-SK"/>
        </w:rPr>
      </w:pPr>
    </w:p>
    <w:p w14:paraId="128F3DC3" w14:textId="77777777" w:rsidR="00F329C0" w:rsidRPr="00B50F60" w:rsidRDefault="00B750C4" w:rsidP="0089752D">
      <w:pPr>
        <w:ind w:left="567" w:hanging="567"/>
        <w:outlineLvl w:val="0"/>
        <w:rPr>
          <w:rFonts w:ascii="Times New Roman" w:hAnsi="Times New Roman"/>
          <w:b/>
          <w:caps/>
          <w:szCs w:val="22"/>
          <w:lang w:val="sk-SK"/>
        </w:rPr>
      </w:pPr>
      <w:r w:rsidRPr="00B50F60">
        <w:rPr>
          <w:rFonts w:ascii="Times New Roman" w:hAnsi="Times New Roman"/>
          <w:b/>
          <w:szCs w:val="22"/>
          <w:lang w:val="sk-SK"/>
        </w:rPr>
        <w:t>10</w:t>
      </w:r>
      <w:r w:rsidR="009533AD" w:rsidRPr="00B50F60">
        <w:rPr>
          <w:rFonts w:ascii="Times New Roman" w:hAnsi="Times New Roman"/>
          <w:b/>
          <w:szCs w:val="22"/>
          <w:lang w:val="sk-SK"/>
        </w:rPr>
        <w:t>.</w:t>
      </w:r>
      <w:r w:rsidRPr="00B50F60">
        <w:rPr>
          <w:rFonts w:ascii="Times New Roman" w:hAnsi="Times New Roman"/>
          <w:b/>
          <w:szCs w:val="22"/>
          <w:lang w:val="sk-SK"/>
        </w:rPr>
        <w:tab/>
      </w:r>
      <w:r w:rsidR="00F56890" w:rsidRPr="00B50F60">
        <w:rPr>
          <w:rFonts w:ascii="Times New Roman" w:hAnsi="Times New Roman"/>
          <w:b/>
          <w:caps/>
          <w:szCs w:val="22"/>
          <w:lang w:val="sk-SK"/>
        </w:rPr>
        <w:t>DÁTUM REVÍZIE TEXTU</w:t>
      </w:r>
    </w:p>
    <w:p w14:paraId="1C4129D9" w14:textId="77777777" w:rsidR="00BA4FDA" w:rsidRPr="00B50F60" w:rsidRDefault="00BA4FDA" w:rsidP="00ED7827">
      <w:pPr>
        <w:tabs>
          <w:tab w:val="left" w:pos="0"/>
          <w:tab w:val="left" w:pos="284"/>
        </w:tabs>
        <w:rPr>
          <w:rFonts w:ascii="Times New Roman" w:hAnsi="Times New Roman"/>
          <w:szCs w:val="22"/>
          <w:lang w:val="sk-SK"/>
        </w:rPr>
      </w:pPr>
    </w:p>
    <w:p w14:paraId="0AEF32AA" w14:textId="2C946A8F" w:rsidR="00BA4FDA" w:rsidRPr="00B50F60" w:rsidRDefault="00D37687" w:rsidP="00557449">
      <w:pPr>
        <w:tabs>
          <w:tab w:val="left" w:pos="0"/>
          <w:tab w:val="left" w:pos="284"/>
        </w:tabs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>0</w:t>
      </w:r>
      <w:r w:rsidR="00C77CAE">
        <w:rPr>
          <w:rFonts w:ascii="Times New Roman" w:hAnsi="Times New Roman"/>
          <w:szCs w:val="22"/>
          <w:lang w:val="sk-SK"/>
        </w:rPr>
        <w:t>9</w:t>
      </w:r>
      <w:r>
        <w:rPr>
          <w:rFonts w:ascii="Times New Roman" w:hAnsi="Times New Roman"/>
          <w:szCs w:val="22"/>
          <w:lang w:val="sk-SK"/>
        </w:rPr>
        <w:t>/20</w:t>
      </w:r>
      <w:r w:rsidR="0025312F">
        <w:rPr>
          <w:rFonts w:ascii="Times New Roman" w:hAnsi="Times New Roman"/>
          <w:szCs w:val="22"/>
          <w:lang w:val="sk-SK"/>
        </w:rPr>
        <w:t>20</w:t>
      </w:r>
    </w:p>
    <w:sectPr w:rsidR="00BA4FDA" w:rsidRPr="00B50F60" w:rsidSect="00DC57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E114B1" w14:textId="77777777" w:rsidR="00C239D1" w:rsidRDefault="00C239D1">
      <w:r>
        <w:separator/>
      </w:r>
    </w:p>
  </w:endnote>
  <w:endnote w:type="continuationSeparator" w:id="0">
    <w:p w14:paraId="6B2207F6" w14:textId="77777777" w:rsidR="00C239D1" w:rsidRDefault="00C239D1">
      <w:r>
        <w:continuationSeparator/>
      </w:r>
    </w:p>
  </w:endnote>
  <w:endnote w:type="continuationNotice" w:id="1">
    <w:p w14:paraId="53BAB6CB" w14:textId="77777777" w:rsidR="00C239D1" w:rsidRDefault="00C239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FD049" w14:textId="77777777" w:rsidR="00975097" w:rsidRDefault="0097509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A6410" w14:textId="13562E51" w:rsidR="0056336D" w:rsidRPr="00E42BFF" w:rsidRDefault="0056336D" w:rsidP="00E42BFF">
    <w:pPr>
      <w:pStyle w:val="Pta"/>
      <w:pBdr>
        <w:top w:val="single" w:sz="4" w:space="1" w:color="auto"/>
      </w:pBdr>
      <w:rPr>
        <w:rFonts w:ascii="Times New Roman" w:hAnsi="Times New Roman"/>
        <w:sz w:val="20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B311C" w14:textId="77777777" w:rsidR="00975097" w:rsidRDefault="0097509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EF1B55" w14:textId="77777777" w:rsidR="00C239D1" w:rsidRDefault="00C239D1">
      <w:r>
        <w:separator/>
      </w:r>
    </w:p>
  </w:footnote>
  <w:footnote w:type="continuationSeparator" w:id="0">
    <w:p w14:paraId="6877349C" w14:textId="77777777" w:rsidR="00C239D1" w:rsidRDefault="00C239D1">
      <w:r>
        <w:continuationSeparator/>
      </w:r>
    </w:p>
  </w:footnote>
  <w:footnote w:type="continuationNotice" w:id="1">
    <w:p w14:paraId="2C3D299D" w14:textId="77777777" w:rsidR="00C239D1" w:rsidRDefault="00C239D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45B74" w14:textId="77777777" w:rsidR="00975097" w:rsidRDefault="0097509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EA773" w14:textId="77777777" w:rsidR="00C77CAE" w:rsidRDefault="00C77CAE" w:rsidP="00C77CAE">
    <w:pPr>
      <w:pStyle w:val="Hlavika"/>
      <w:rPr>
        <w:rFonts w:ascii="Times New Roman" w:hAnsi="Times New Roman"/>
        <w:snapToGrid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Schválený text k rozhodnutiu o zmene, ev. č.: 2019/07180-ZME</w:t>
    </w:r>
  </w:p>
  <w:p w14:paraId="392200FB" w14:textId="77777777" w:rsidR="0056336D" w:rsidRPr="00437B78" w:rsidRDefault="0056336D">
    <w:pPr>
      <w:pStyle w:val="Hlavika"/>
      <w:rPr>
        <w:rFonts w:ascii="Times New Roman" w:hAnsi="Times New Roman"/>
        <w:sz w:val="18"/>
        <w:lang w:val="sk-S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CA93B" w14:textId="77777777" w:rsidR="00975097" w:rsidRDefault="0097509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01BCCB94"/>
    <w:lvl w:ilvl="0">
      <w:start w:val="1"/>
      <w:numFmt w:val="decimal"/>
      <w:pStyle w:val="Nadpis1"/>
      <w:lvlText w:val="%1"/>
      <w:legacy w:legacy="1" w:legacySpace="144" w:legacyIndent="0"/>
      <w:lvlJc w:val="left"/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6BF55B6"/>
    <w:multiLevelType w:val="hybridMultilevel"/>
    <w:tmpl w:val="A2BC804E"/>
    <w:lvl w:ilvl="0" w:tplc="85B8587A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14E6F6E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" w15:restartNumberingAfterBreak="0">
    <w:nsid w:val="26070C6D"/>
    <w:multiLevelType w:val="hybridMultilevel"/>
    <w:tmpl w:val="C568C0D4"/>
    <w:lvl w:ilvl="0" w:tplc="DD0A45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AE8618F"/>
    <w:multiLevelType w:val="hybridMultilevel"/>
    <w:tmpl w:val="ED28B47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850AFD"/>
    <w:multiLevelType w:val="hybridMultilevel"/>
    <w:tmpl w:val="A184D86A"/>
    <w:lvl w:ilvl="0" w:tplc="85B8587A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8BF245A"/>
    <w:multiLevelType w:val="hybridMultilevel"/>
    <w:tmpl w:val="B3404426"/>
    <w:lvl w:ilvl="0" w:tplc="85B8587A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99835CC"/>
    <w:multiLevelType w:val="hybridMultilevel"/>
    <w:tmpl w:val="0E20375A"/>
    <w:lvl w:ilvl="0" w:tplc="DD0A454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de-DE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65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0C4"/>
    <w:rsid w:val="00002F59"/>
    <w:rsid w:val="00007432"/>
    <w:rsid w:val="00007DAC"/>
    <w:rsid w:val="00013907"/>
    <w:rsid w:val="00016A3E"/>
    <w:rsid w:val="00017169"/>
    <w:rsid w:val="000227D2"/>
    <w:rsid w:val="00023C85"/>
    <w:rsid w:val="0002543F"/>
    <w:rsid w:val="00032937"/>
    <w:rsid w:val="000341A3"/>
    <w:rsid w:val="00034287"/>
    <w:rsid w:val="0003597E"/>
    <w:rsid w:val="000412BB"/>
    <w:rsid w:val="0004616F"/>
    <w:rsid w:val="0005010A"/>
    <w:rsid w:val="000512AE"/>
    <w:rsid w:val="00051838"/>
    <w:rsid w:val="000549A7"/>
    <w:rsid w:val="00056B0F"/>
    <w:rsid w:val="000606D4"/>
    <w:rsid w:val="00063B98"/>
    <w:rsid w:val="000704B2"/>
    <w:rsid w:val="00074286"/>
    <w:rsid w:val="000742EE"/>
    <w:rsid w:val="00074F8A"/>
    <w:rsid w:val="00077576"/>
    <w:rsid w:val="0008389C"/>
    <w:rsid w:val="00085EF2"/>
    <w:rsid w:val="00091A04"/>
    <w:rsid w:val="0009501C"/>
    <w:rsid w:val="000955C8"/>
    <w:rsid w:val="00097E69"/>
    <w:rsid w:val="000A37F5"/>
    <w:rsid w:val="000A668A"/>
    <w:rsid w:val="000B1E57"/>
    <w:rsid w:val="000B42E6"/>
    <w:rsid w:val="000B69A8"/>
    <w:rsid w:val="000C09E7"/>
    <w:rsid w:val="000C190B"/>
    <w:rsid w:val="000C4389"/>
    <w:rsid w:val="000C5E44"/>
    <w:rsid w:val="000C6DC4"/>
    <w:rsid w:val="000D3C41"/>
    <w:rsid w:val="000D4B85"/>
    <w:rsid w:val="000D53CE"/>
    <w:rsid w:val="000D615A"/>
    <w:rsid w:val="000D7828"/>
    <w:rsid w:val="000D7BBC"/>
    <w:rsid w:val="000E0746"/>
    <w:rsid w:val="000E3A0F"/>
    <w:rsid w:val="000E5AE0"/>
    <w:rsid w:val="000E69DD"/>
    <w:rsid w:val="000F247E"/>
    <w:rsid w:val="000F6660"/>
    <w:rsid w:val="00105650"/>
    <w:rsid w:val="001062EB"/>
    <w:rsid w:val="00106C75"/>
    <w:rsid w:val="00107863"/>
    <w:rsid w:val="0011193E"/>
    <w:rsid w:val="001123D4"/>
    <w:rsid w:val="00112A07"/>
    <w:rsid w:val="00113A1B"/>
    <w:rsid w:val="0011538F"/>
    <w:rsid w:val="001178B8"/>
    <w:rsid w:val="00117D4B"/>
    <w:rsid w:val="0012798A"/>
    <w:rsid w:val="00130A6B"/>
    <w:rsid w:val="0013515C"/>
    <w:rsid w:val="001353A7"/>
    <w:rsid w:val="00135EDE"/>
    <w:rsid w:val="001373B5"/>
    <w:rsid w:val="001376CC"/>
    <w:rsid w:val="0014100C"/>
    <w:rsid w:val="00142CDD"/>
    <w:rsid w:val="00144B23"/>
    <w:rsid w:val="00153C86"/>
    <w:rsid w:val="00155890"/>
    <w:rsid w:val="0015608D"/>
    <w:rsid w:val="0016042B"/>
    <w:rsid w:val="00162654"/>
    <w:rsid w:val="00163237"/>
    <w:rsid w:val="00164FA1"/>
    <w:rsid w:val="00166618"/>
    <w:rsid w:val="00170DB8"/>
    <w:rsid w:val="00171A3C"/>
    <w:rsid w:val="00173A45"/>
    <w:rsid w:val="00174F76"/>
    <w:rsid w:val="00175221"/>
    <w:rsid w:val="001765BC"/>
    <w:rsid w:val="00181F06"/>
    <w:rsid w:val="001832E1"/>
    <w:rsid w:val="00183C9C"/>
    <w:rsid w:val="00184105"/>
    <w:rsid w:val="00186EA1"/>
    <w:rsid w:val="00187AAD"/>
    <w:rsid w:val="0019162D"/>
    <w:rsid w:val="00192660"/>
    <w:rsid w:val="00197742"/>
    <w:rsid w:val="001A1959"/>
    <w:rsid w:val="001A4868"/>
    <w:rsid w:val="001A538D"/>
    <w:rsid w:val="001A71FA"/>
    <w:rsid w:val="001B7CC9"/>
    <w:rsid w:val="001C4730"/>
    <w:rsid w:val="001C4E34"/>
    <w:rsid w:val="001C67D5"/>
    <w:rsid w:val="001C7580"/>
    <w:rsid w:val="001D34A9"/>
    <w:rsid w:val="001D7FC4"/>
    <w:rsid w:val="001E1CC2"/>
    <w:rsid w:val="001E72F4"/>
    <w:rsid w:val="001F2B8E"/>
    <w:rsid w:val="001F32CC"/>
    <w:rsid w:val="001F66BE"/>
    <w:rsid w:val="00200623"/>
    <w:rsid w:val="00205BB7"/>
    <w:rsid w:val="00205CAF"/>
    <w:rsid w:val="00206951"/>
    <w:rsid w:val="00206E09"/>
    <w:rsid w:val="00210A2D"/>
    <w:rsid w:val="00211033"/>
    <w:rsid w:val="00212662"/>
    <w:rsid w:val="002127C6"/>
    <w:rsid w:val="00213082"/>
    <w:rsid w:val="00214540"/>
    <w:rsid w:val="002155EA"/>
    <w:rsid w:val="00216874"/>
    <w:rsid w:val="002233AA"/>
    <w:rsid w:val="00226279"/>
    <w:rsid w:val="0022636E"/>
    <w:rsid w:val="0022789B"/>
    <w:rsid w:val="002308F7"/>
    <w:rsid w:val="00232BFC"/>
    <w:rsid w:val="0023413F"/>
    <w:rsid w:val="00235435"/>
    <w:rsid w:val="002458CF"/>
    <w:rsid w:val="00247986"/>
    <w:rsid w:val="00250F76"/>
    <w:rsid w:val="00251B18"/>
    <w:rsid w:val="002521A2"/>
    <w:rsid w:val="0025312F"/>
    <w:rsid w:val="00253BFF"/>
    <w:rsid w:val="00262A2A"/>
    <w:rsid w:val="00262C38"/>
    <w:rsid w:val="002632F3"/>
    <w:rsid w:val="002633DB"/>
    <w:rsid w:val="002662F5"/>
    <w:rsid w:val="002704B0"/>
    <w:rsid w:val="00270754"/>
    <w:rsid w:val="002801D0"/>
    <w:rsid w:val="002803BB"/>
    <w:rsid w:val="00284E0F"/>
    <w:rsid w:val="00291A13"/>
    <w:rsid w:val="0029665F"/>
    <w:rsid w:val="002A095E"/>
    <w:rsid w:val="002A0EBF"/>
    <w:rsid w:val="002A469D"/>
    <w:rsid w:val="002A57AC"/>
    <w:rsid w:val="002A764A"/>
    <w:rsid w:val="002B6655"/>
    <w:rsid w:val="002C092F"/>
    <w:rsid w:val="002C5756"/>
    <w:rsid w:val="002D415B"/>
    <w:rsid w:val="002E0D62"/>
    <w:rsid w:val="002E1AEF"/>
    <w:rsid w:val="002E712B"/>
    <w:rsid w:val="002F3D69"/>
    <w:rsid w:val="002F533E"/>
    <w:rsid w:val="00301AF9"/>
    <w:rsid w:val="0030361E"/>
    <w:rsid w:val="003039B2"/>
    <w:rsid w:val="00304816"/>
    <w:rsid w:val="00305065"/>
    <w:rsid w:val="003117F4"/>
    <w:rsid w:val="00314F48"/>
    <w:rsid w:val="00315252"/>
    <w:rsid w:val="003236D8"/>
    <w:rsid w:val="00323B84"/>
    <w:rsid w:val="00326A81"/>
    <w:rsid w:val="003270D5"/>
    <w:rsid w:val="00327318"/>
    <w:rsid w:val="003335E9"/>
    <w:rsid w:val="00334B1C"/>
    <w:rsid w:val="00342D8C"/>
    <w:rsid w:val="003452E7"/>
    <w:rsid w:val="0034669F"/>
    <w:rsid w:val="00353238"/>
    <w:rsid w:val="00354AA4"/>
    <w:rsid w:val="0035628F"/>
    <w:rsid w:val="0036363B"/>
    <w:rsid w:val="00371938"/>
    <w:rsid w:val="00372742"/>
    <w:rsid w:val="00374AED"/>
    <w:rsid w:val="00375F31"/>
    <w:rsid w:val="0038050D"/>
    <w:rsid w:val="00383CF4"/>
    <w:rsid w:val="003853B9"/>
    <w:rsid w:val="0039355A"/>
    <w:rsid w:val="00396A02"/>
    <w:rsid w:val="003A02AC"/>
    <w:rsid w:val="003A0A6E"/>
    <w:rsid w:val="003A4592"/>
    <w:rsid w:val="003A46FB"/>
    <w:rsid w:val="003A52B5"/>
    <w:rsid w:val="003A56F5"/>
    <w:rsid w:val="003A5FA1"/>
    <w:rsid w:val="003A6153"/>
    <w:rsid w:val="003B692D"/>
    <w:rsid w:val="003B7247"/>
    <w:rsid w:val="003C2A0D"/>
    <w:rsid w:val="003C7779"/>
    <w:rsid w:val="003D0F64"/>
    <w:rsid w:val="003D277B"/>
    <w:rsid w:val="003D31A4"/>
    <w:rsid w:val="003D4436"/>
    <w:rsid w:val="003E0478"/>
    <w:rsid w:val="003E0E17"/>
    <w:rsid w:val="003E703E"/>
    <w:rsid w:val="003E7F7E"/>
    <w:rsid w:val="003F1138"/>
    <w:rsid w:val="003F37DC"/>
    <w:rsid w:val="003F754A"/>
    <w:rsid w:val="003F7E8A"/>
    <w:rsid w:val="00400CD4"/>
    <w:rsid w:val="00401178"/>
    <w:rsid w:val="004053C8"/>
    <w:rsid w:val="00406097"/>
    <w:rsid w:val="00406A67"/>
    <w:rsid w:val="00406E30"/>
    <w:rsid w:val="0041581F"/>
    <w:rsid w:val="004173B4"/>
    <w:rsid w:val="00420EAF"/>
    <w:rsid w:val="00430704"/>
    <w:rsid w:val="00432443"/>
    <w:rsid w:val="0043247A"/>
    <w:rsid w:val="00432919"/>
    <w:rsid w:val="00436312"/>
    <w:rsid w:val="00437B78"/>
    <w:rsid w:val="00441A6C"/>
    <w:rsid w:val="00442504"/>
    <w:rsid w:val="00442722"/>
    <w:rsid w:val="004427F7"/>
    <w:rsid w:val="004432B6"/>
    <w:rsid w:val="004446AF"/>
    <w:rsid w:val="00444952"/>
    <w:rsid w:val="00446280"/>
    <w:rsid w:val="0044654C"/>
    <w:rsid w:val="00446E31"/>
    <w:rsid w:val="004504D2"/>
    <w:rsid w:val="0045146B"/>
    <w:rsid w:val="004631A4"/>
    <w:rsid w:val="0046784D"/>
    <w:rsid w:val="004722E6"/>
    <w:rsid w:val="00473BCE"/>
    <w:rsid w:val="004759C9"/>
    <w:rsid w:val="0048449E"/>
    <w:rsid w:val="004849D1"/>
    <w:rsid w:val="00485369"/>
    <w:rsid w:val="004861C6"/>
    <w:rsid w:val="0049189B"/>
    <w:rsid w:val="00491C10"/>
    <w:rsid w:val="00491E9D"/>
    <w:rsid w:val="00492532"/>
    <w:rsid w:val="00493E47"/>
    <w:rsid w:val="004950D7"/>
    <w:rsid w:val="004A1C0F"/>
    <w:rsid w:val="004A4128"/>
    <w:rsid w:val="004B0D29"/>
    <w:rsid w:val="004B262D"/>
    <w:rsid w:val="004B39E3"/>
    <w:rsid w:val="004B3D01"/>
    <w:rsid w:val="004B4E00"/>
    <w:rsid w:val="004B5888"/>
    <w:rsid w:val="004C1784"/>
    <w:rsid w:val="004C238E"/>
    <w:rsid w:val="004C4FDA"/>
    <w:rsid w:val="004C6E5A"/>
    <w:rsid w:val="004D4149"/>
    <w:rsid w:val="004D6584"/>
    <w:rsid w:val="004E44F5"/>
    <w:rsid w:val="004E753D"/>
    <w:rsid w:val="004F2A2F"/>
    <w:rsid w:val="004F5887"/>
    <w:rsid w:val="004F7C3C"/>
    <w:rsid w:val="004F7D01"/>
    <w:rsid w:val="00503638"/>
    <w:rsid w:val="00503864"/>
    <w:rsid w:val="00510A3B"/>
    <w:rsid w:val="0051119B"/>
    <w:rsid w:val="00511A6C"/>
    <w:rsid w:val="00514E7C"/>
    <w:rsid w:val="005156E5"/>
    <w:rsid w:val="00520129"/>
    <w:rsid w:val="005211FA"/>
    <w:rsid w:val="00522E5A"/>
    <w:rsid w:val="00535F75"/>
    <w:rsid w:val="00537C28"/>
    <w:rsid w:val="00540402"/>
    <w:rsid w:val="005418DA"/>
    <w:rsid w:val="0054422F"/>
    <w:rsid w:val="0054683C"/>
    <w:rsid w:val="005501BD"/>
    <w:rsid w:val="0055189A"/>
    <w:rsid w:val="005521D6"/>
    <w:rsid w:val="0055647F"/>
    <w:rsid w:val="005569CC"/>
    <w:rsid w:val="00557449"/>
    <w:rsid w:val="0056336D"/>
    <w:rsid w:val="00563829"/>
    <w:rsid w:val="00564008"/>
    <w:rsid w:val="0056435B"/>
    <w:rsid w:val="00565FD9"/>
    <w:rsid w:val="005673FC"/>
    <w:rsid w:val="00571515"/>
    <w:rsid w:val="005737D1"/>
    <w:rsid w:val="00575CAE"/>
    <w:rsid w:val="00580FBD"/>
    <w:rsid w:val="00582842"/>
    <w:rsid w:val="00587645"/>
    <w:rsid w:val="005968AB"/>
    <w:rsid w:val="0059768B"/>
    <w:rsid w:val="005A0048"/>
    <w:rsid w:val="005A054A"/>
    <w:rsid w:val="005A28B1"/>
    <w:rsid w:val="005A4E3B"/>
    <w:rsid w:val="005A57C4"/>
    <w:rsid w:val="005B2AA5"/>
    <w:rsid w:val="005B2C04"/>
    <w:rsid w:val="005B50F4"/>
    <w:rsid w:val="005B52B5"/>
    <w:rsid w:val="005C048F"/>
    <w:rsid w:val="005C1912"/>
    <w:rsid w:val="005C1CEA"/>
    <w:rsid w:val="005C30A3"/>
    <w:rsid w:val="005C4629"/>
    <w:rsid w:val="005D3C22"/>
    <w:rsid w:val="005D7FF1"/>
    <w:rsid w:val="005E1EFB"/>
    <w:rsid w:val="005E3151"/>
    <w:rsid w:val="005E42E7"/>
    <w:rsid w:val="005E7031"/>
    <w:rsid w:val="005F182A"/>
    <w:rsid w:val="005F7046"/>
    <w:rsid w:val="00601933"/>
    <w:rsid w:val="00606D91"/>
    <w:rsid w:val="00610008"/>
    <w:rsid w:val="006102A6"/>
    <w:rsid w:val="006108C0"/>
    <w:rsid w:val="00612A15"/>
    <w:rsid w:val="0061377B"/>
    <w:rsid w:val="00622227"/>
    <w:rsid w:val="00622903"/>
    <w:rsid w:val="006230A9"/>
    <w:rsid w:val="00632971"/>
    <w:rsid w:val="00634684"/>
    <w:rsid w:val="00634E54"/>
    <w:rsid w:val="00643D76"/>
    <w:rsid w:val="00643F4C"/>
    <w:rsid w:val="00647748"/>
    <w:rsid w:val="006502A6"/>
    <w:rsid w:val="00650407"/>
    <w:rsid w:val="0065287C"/>
    <w:rsid w:val="00657599"/>
    <w:rsid w:val="00660DF5"/>
    <w:rsid w:val="0066152F"/>
    <w:rsid w:val="00662203"/>
    <w:rsid w:val="006626BB"/>
    <w:rsid w:val="00663F86"/>
    <w:rsid w:val="00664510"/>
    <w:rsid w:val="00670863"/>
    <w:rsid w:val="00673A4F"/>
    <w:rsid w:val="0067575D"/>
    <w:rsid w:val="0067580B"/>
    <w:rsid w:val="0068575E"/>
    <w:rsid w:val="00694D14"/>
    <w:rsid w:val="006953A6"/>
    <w:rsid w:val="006953FD"/>
    <w:rsid w:val="006956BC"/>
    <w:rsid w:val="006A0232"/>
    <w:rsid w:val="006A10F5"/>
    <w:rsid w:val="006A2F9A"/>
    <w:rsid w:val="006A4058"/>
    <w:rsid w:val="006A41C8"/>
    <w:rsid w:val="006A71DC"/>
    <w:rsid w:val="006A724F"/>
    <w:rsid w:val="006B7E39"/>
    <w:rsid w:val="006C4C02"/>
    <w:rsid w:val="006C5656"/>
    <w:rsid w:val="006D06F2"/>
    <w:rsid w:val="006D08B8"/>
    <w:rsid w:val="006D1AC3"/>
    <w:rsid w:val="006D66C2"/>
    <w:rsid w:val="006E4C6E"/>
    <w:rsid w:val="006F0EC3"/>
    <w:rsid w:val="006F1971"/>
    <w:rsid w:val="006F1CA1"/>
    <w:rsid w:val="006F221C"/>
    <w:rsid w:val="006F493A"/>
    <w:rsid w:val="006F726B"/>
    <w:rsid w:val="006F7568"/>
    <w:rsid w:val="00701F3A"/>
    <w:rsid w:val="00702486"/>
    <w:rsid w:val="00703005"/>
    <w:rsid w:val="00705FE3"/>
    <w:rsid w:val="00713807"/>
    <w:rsid w:val="00723CDF"/>
    <w:rsid w:val="0072460A"/>
    <w:rsid w:val="00726C22"/>
    <w:rsid w:val="0073468D"/>
    <w:rsid w:val="007369DA"/>
    <w:rsid w:val="00743F38"/>
    <w:rsid w:val="00755C21"/>
    <w:rsid w:val="0075703F"/>
    <w:rsid w:val="0076342F"/>
    <w:rsid w:val="007639C4"/>
    <w:rsid w:val="007643EE"/>
    <w:rsid w:val="00767CB6"/>
    <w:rsid w:val="007764D9"/>
    <w:rsid w:val="00777A6E"/>
    <w:rsid w:val="007821B3"/>
    <w:rsid w:val="00784491"/>
    <w:rsid w:val="00784F96"/>
    <w:rsid w:val="00794040"/>
    <w:rsid w:val="00794940"/>
    <w:rsid w:val="00795247"/>
    <w:rsid w:val="007A1E52"/>
    <w:rsid w:val="007A3614"/>
    <w:rsid w:val="007B1673"/>
    <w:rsid w:val="007B537A"/>
    <w:rsid w:val="007B5AE0"/>
    <w:rsid w:val="007B6ABE"/>
    <w:rsid w:val="007C027B"/>
    <w:rsid w:val="007C09BA"/>
    <w:rsid w:val="007C2352"/>
    <w:rsid w:val="007C2876"/>
    <w:rsid w:val="007C7B3F"/>
    <w:rsid w:val="007D505B"/>
    <w:rsid w:val="007D532D"/>
    <w:rsid w:val="007D5616"/>
    <w:rsid w:val="007D611B"/>
    <w:rsid w:val="007E0B8A"/>
    <w:rsid w:val="007E18E3"/>
    <w:rsid w:val="007E6810"/>
    <w:rsid w:val="007E6C72"/>
    <w:rsid w:val="007F253C"/>
    <w:rsid w:val="007F51CD"/>
    <w:rsid w:val="007F6ECE"/>
    <w:rsid w:val="00800357"/>
    <w:rsid w:val="00802D95"/>
    <w:rsid w:val="00807D81"/>
    <w:rsid w:val="00813097"/>
    <w:rsid w:val="0081366F"/>
    <w:rsid w:val="00813E5A"/>
    <w:rsid w:val="00816B83"/>
    <w:rsid w:val="00817301"/>
    <w:rsid w:val="00817779"/>
    <w:rsid w:val="008243FA"/>
    <w:rsid w:val="008273E4"/>
    <w:rsid w:val="008300C1"/>
    <w:rsid w:val="008320D0"/>
    <w:rsid w:val="00832BE0"/>
    <w:rsid w:val="00834963"/>
    <w:rsid w:val="008357E0"/>
    <w:rsid w:val="008368C9"/>
    <w:rsid w:val="00842759"/>
    <w:rsid w:val="00844A7B"/>
    <w:rsid w:val="008460BC"/>
    <w:rsid w:val="008466A1"/>
    <w:rsid w:val="0085024B"/>
    <w:rsid w:val="00851147"/>
    <w:rsid w:val="008523E6"/>
    <w:rsid w:val="00854966"/>
    <w:rsid w:val="008660AE"/>
    <w:rsid w:val="00874D76"/>
    <w:rsid w:val="00884E86"/>
    <w:rsid w:val="00884EFD"/>
    <w:rsid w:val="0088532C"/>
    <w:rsid w:val="00886417"/>
    <w:rsid w:val="0088687B"/>
    <w:rsid w:val="00886B4D"/>
    <w:rsid w:val="00891456"/>
    <w:rsid w:val="00893F60"/>
    <w:rsid w:val="00895469"/>
    <w:rsid w:val="0089752D"/>
    <w:rsid w:val="008A480A"/>
    <w:rsid w:val="008A7248"/>
    <w:rsid w:val="008B1B80"/>
    <w:rsid w:val="008B6A33"/>
    <w:rsid w:val="008C19EF"/>
    <w:rsid w:val="008D14E8"/>
    <w:rsid w:val="008D185B"/>
    <w:rsid w:val="008D2A1A"/>
    <w:rsid w:val="008D4546"/>
    <w:rsid w:val="008D7B62"/>
    <w:rsid w:val="008E07F6"/>
    <w:rsid w:val="008E0CD3"/>
    <w:rsid w:val="008E333F"/>
    <w:rsid w:val="008E602C"/>
    <w:rsid w:val="008E63FE"/>
    <w:rsid w:val="008E6CCE"/>
    <w:rsid w:val="008E7274"/>
    <w:rsid w:val="008F1E22"/>
    <w:rsid w:val="008F25BF"/>
    <w:rsid w:val="008F266B"/>
    <w:rsid w:val="008F3859"/>
    <w:rsid w:val="00902CB8"/>
    <w:rsid w:val="00903A52"/>
    <w:rsid w:val="009042B2"/>
    <w:rsid w:val="00906708"/>
    <w:rsid w:val="0091151D"/>
    <w:rsid w:val="009115B9"/>
    <w:rsid w:val="00914271"/>
    <w:rsid w:val="0092080F"/>
    <w:rsid w:val="00921CBD"/>
    <w:rsid w:val="00925E28"/>
    <w:rsid w:val="00926025"/>
    <w:rsid w:val="00932F2F"/>
    <w:rsid w:val="00935B63"/>
    <w:rsid w:val="009360C0"/>
    <w:rsid w:val="00936872"/>
    <w:rsid w:val="00942AF2"/>
    <w:rsid w:val="00946A86"/>
    <w:rsid w:val="00950C10"/>
    <w:rsid w:val="0095154C"/>
    <w:rsid w:val="009533AD"/>
    <w:rsid w:val="00957D96"/>
    <w:rsid w:val="009601A4"/>
    <w:rsid w:val="00960881"/>
    <w:rsid w:val="00966457"/>
    <w:rsid w:val="00971C2B"/>
    <w:rsid w:val="009733A0"/>
    <w:rsid w:val="00975097"/>
    <w:rsid w:val="00975DC1"/>
    <w:rsid w:val="00976796"/>
    <w:rsid w:val="009804E3"/>
    <w:rsid w:val="00981A3F"/>
    <w:rsid w:val="00987752"/>
    <w:rsid w:val="00987D96"/>
    <w:rsid w:val="009900D9"/>
    <w:rsid w:val="00994A8D"/>
    <w:rsid w:val="0099643C"/>
    <w:rsid w:val="00996593"/>
    <w:rsid w:val="00996F77"/>
    <w:rsid w:val="009A01CB"/>
    <w:rsid w:val="009A0ACF"/>
    <w:rsid w:val="009A30F2"/>
    <w:rsid w:val="009A33D6"/>
    <w:rsid w:val="009B68B2"/>
    <w:rsid w:val="009C0CDF"/>
    <w:rsid w:val="009C3D5E"/>
    <w:rsid w:val="009C7534"/>
    <w:rsid w:val="009C7E7D"/>
    <w:rsid w:val="009D0AF9"/>
    <w:rsid w:val="009D2B94"/>
    <w:rsid w:val="009D6510"/>
    <w:rsid w:val="009E2A28"/>
    <w:rsid w:val="009E3A8B"/>
    <w:rsid w:val="009E64F2"/>
    <w:rsid w:val="009F694F"/>
    <w:rsid w:val="00A00517"/>
    <w:rsid w:val="00A00973"/>
    <w:rsid w:val="00A02778"/>
    <w:rsid w:val="00A10955"/>
    <w:rsid w:val="00A10E7E"/>
    <w:rsid w:val="00A15220"/>
    <w:rsid w:val="00A16623"/>
    <w:rsid w:val="00A178EE"/>
    <w:rsid w:val="00A2166C"/>
    <w:rsid w:val="00A2196C"/>
    <w:rsid w:val="00A21A13"/>
    <w:rsid w:val="00A21C3A"/>
    <w:rsid w:val="00A224C5"/>
    <w:rsid w:val="00A30BF3"/>
    <w:rsid w:val="00A30D4A"/>
    <w:rsid w:val="00A3786A"/>
    <w:rsid w:val="00A37E13"/>
    <w:rsid w:val="00A4074A"/>
    <w:rsid w:val="00A40931"/>
    <w:rsid w:val="00A43BE8"/>
    <w:rsid w:val="00A4514B"/>
    <w:rsid w:val="00A54873"/>
    <w:rsid w:val="00A55905"/>
    <w:rsid w:val="00A55FC0"/>
    <w:rsid w:val="00A56A4D"/>
    <w:rsid w:val="00A61396"/>
    <w:rsid w:val="00A614DD"/>
    <w:rsid w:val="00A62FDF"/>
    <w:rsid w:val="00A6682E"/>
    <w:rsid w:val="00A67C91"/>
    <w:rsid w:val="00A70AE6"/>
    <w:rsid w:val="00A70B1E"/>
    <w:rsid w:val="00A76830"/>
    <w:rsid w:val="00A900AC"/>
    <w:rsid w:val="00A90D76"/>
    <w:rsid w:val="00A916D5"/>
    <w:rsid w:val="00AA6CD8"/>
    <w:rsid w:val="00AB2735"/>
    <w:rsid w:val="00AB5965"/>
    <w:rsid w:val="00AC1069"/>
    <w:rsid w:val="00AC66FB"/>
    <w:rsid w:val="00AC6749"/>
    <w:rsid w:val="00AC7160"/>
    <w:rsid w:val="00AD3245"/>
    <w:rsid w:val="00AD36A6"/>
    <w:rsid w:val="00AE1717"/>
    <w:rsid w:val="00AE3C49"/>
    <w:rsid w:val="00AE444C"/>
    <w:rsid w:val="00AE6F63"/>
    <w:rsid w:val="00AF2EFE"/>
    <w:rsid w:val="00B0297A"/>
    <w:rsid w:val="00B03095"/>
    <w:rsid w:val="00B03184"/>
    <w:rsid w:val="00B03349"/>
    <w:rsid w:val="00B04068"/>
    <w:rsid w:val="00B047D1"/>
    <w:rsid w:val="00B102D2"/>
    <w:rsid w:val="00B1220C"/>
    <w:rsid w:val="00B14B14"/>
    <w:rsid w:val="00B16913"/>
    <w:rsid w:val="00B172F0"/>
    <w:rsid w:val="00B178C9"/>
    <w:rsid w:val="00B26243"/>
    <w:rsid w:val="00B26AD2"/>
    <w:rsid w:val="00B307FA"/>
    <w:rsid w:val="00B30C55"/>
    <w:rsid w:val="00B3429C"/>
    <w:rsid w:val="00B34330"/>
    <w:rsid w:val="00B40EAC"/>
    <w:rsid w:val="00B41596"/>
    <w:rsid w:val="00B41C2C"/>
    <w:rsid w:val="00B42DF1"/>
    <w:rsid w:val="00B430D4"/>
    <w:rsid w:val="00B4363B"/>
    <w:rsid w:val="00B45A33"/>
    <w:rsid w:val="00B50F60"/>
    <w:rsid w:val="00B51591"/>
    <w:rsid w:val="00B51CD3"/>
    <w:rsid w:val="00B6283B"/>
    <w:rsid w:val="00B63D39"/>
    <w:rsid w:val="00B64780"/>
    <w:rsid w:val="00B648C0"/>
    <w:rsid w:val="00B648CE"/>
    <w:rsid w:val="00B66D8D"/>
    <w:rsid w:val="00B7170E"/>
    <w:rsid w:val="00B71A89"/>
    <w:rsid w:val="00B7408B"/>
    <w:rsid w:val="00B750C4"/>
    <w:rsid w:val="00B75C43"/>
    <w:rsid w:val="00B76506"/>
    <w:rsid w:val="00B7709F"/>
    <w:rsid w:val="00B7781D"/>
    <w:rsid w:val="00B8048D"/>
    <w:rsid w:val="00B811AF"/>
    <w:rsid w:val="00B823B8"/>
    <w:rsid w:val="00B82DF5"/>
    <w:rsid w:val="00B83D73"/>
    <w:rsid w:val="00B86ED7"/>
    <w:rsid w:val="00B9020A"/>
    <w:rsid w:val="00B91E71"/>
    <w:rsid w:val="00B95FA6"/>
    <w:rsid w:val="00B96D2C"/>
    <w:rsid w:val="00BA0A38"/>
    <w:rsid w:val="00BA153F"/>
    <w:rsid w:val="00BA1CF4"/>
    <w:rsid w:val="00BA3BA2"/>
    <w:rsid w:val="00BA4FDA"/>
    <w:rsid w:val="00BA6438"/>
    <w:rsid w:val="00BB200C"/>
    <w:rsid w:val="00BB63D2"/>
    <w:rsid w:val="00BB6E39"/>
    <w:rsid w:val="00BB77B1"/>
    <w:rsid w:val="00BC044B"/>
    <w:rsid w:val="00BC783C"/>
    <w:rsid w:val="00BD2AC4"/>
    <w:rsid w:val="00BD66C3"/>
    <w:rsid w:val="00BE10F1"/>
    <w:rsid w:val="00BE3F2F"/>
    <w:rsid w:val="00BE4A12"/>
    <w:rsid w:val="00BE5D90"/>
    <w:rsid w:val="00BE6A34"/>
    <w:rsid w:val="00BF0145"/>
    <w:rsid w:val="00BF0EFE"/>
    <w:rsid w:val="00BF2326"/>
    <w:rsid w:val="00C01D67"/>
    <w:rsid w:val="00C03BC2"/>
    <w:rsid w:val="00C05049"/>
    <w:rsid w:val="00C05896"/>
    <w:rsid w:val="00C06285"/>
    <w:rsid w:val="00C10C92"/>
    <w:rsid w:val="00C16DF5"/>
    <w:rsid w:val="00C22E20"/>
    <w:rsid w:val="00C22EF8"/>
    <w:rsid w:val="00C239D1"/>
    <w:rsid w:val="00C24B76"/>
    <w:rsid w:val="00C24EE1"/>
    <w:rsid w:val="00C276C4"/>
    <w:rsid w:val="00C35555"/>
    <w:rsid w:val="00C367DE"/>
    <w:rsid w:val="00C426C9"/>
    <w:rsid w:val="00C473C2"/>
    <w:rsid w:val="00C5004D"/>
    <w:rsid w:val="00C5511F"/>
    <w:rsid w:val="00C5718E"/>
    <w:rsid w:val="00C620E0"/>
    <w:rsid w:val="00C639EA"/>
    <w:rsid w:val="00C679E5"/>
    <w:rsid w:val="00C67A1D"/>
    <w:rsid w:val="00C70BEA"/>
    <w:rsid w:val="00C70FA7"/>
    <w:rsid w:val="00C770E5"/>
    <w:rsid w:val="00C77CAE"/>
    <w:rsid w:val="00C811F7"/>
    <w:rsid w:val="00C81B4B"/>
    <w:rsid w:val="00C844B6"/>
    <w:rsid w:val="00C85D2C"/>
    <w:rsid w:val="00C862D5"/>
    <w:rsid w:val="00C906D8"/>
    <w:rsid w:val="00CA1635"/>
    <w:rsid w:val="00CB0D3E"/>
    <w:rsid w:val="00CB38A9"/>
    <w:rsid w:val="00CB59BB"/>
    <w:rsid w:val="00CB65C9"/>
    <w:rsid w:val="00CB6CBE"/>
    <w:rsid w:val="00CC196C"/>
    <w:rsid w:val="00CC346D"/>
    <w:rsid w:val="00CC3A38"/>
    <w:rsid w:val="00CC3FDC"/>
    <w:rsid w:val="00CC6558"/>
    <w:rsid w:val="00CC6FA4"/>
    <w:rsid w:val="00CD1231"/>
    <w:rsid w:val="00CD2179"/>
    <w:rsid w:val="00CD55DD"/>
    <w:rsid w:val="00CE22BE"/>
    <w:rsid w:val="00CE33C8"/>
    <w:rsid w:val="00CE34EF"/>
    <w:rsid w:val="00CE5462"/>
    <w:rsid w:val="00CE7332"/>
    <w:rsid w:val="00CF133B"/>
    <w:rsid w:val="00CF3F85"/>
    <w:rsid w:val="00CF43F3"/>
    <w:rsid w:val="00CF443E"/>
    <w:rsid w:val="00CF6DAE"/>
    <w:rsid w:val="00CF6E84"/>
    <w:rsid w:val="00D01C7C"/>
    <w:rsid w:val="00D02A96"/>
    <w:rsid w:val="00D03304"/>
    <w:rsid w:val="00D0545F"/>
    <w:rsid w:val="00D075FA"/>
    <w:rsid w:val="00D07A86"/>
    <w:rsid w:val="00D07B82"/>
    <w:rsid w:val="00D12E3D"/>
    <w:rsid w:val="00D14B63"/>
    <w:rsid w:val="00D15AB4"/>
    <w:rsid w:val="00D3057D"/>
    <w:rsid w:val="00D3271F"/>
    <w:rsid w:val="00D37199"/>
    <w:rsid w:val="00D37687"/>
    <w:rsid w:val="00D37BFA"/>
    <w:rsid w:val="00D412FB"/>
    <w:rsid w:val="00D54D07"/>
    <w:rsid w:val="00D56469"/>
    <w:rsid w:val="00D60775"/>
    <w:rsid w:val="00D60952"/>
    <w:rsid w:val="00D64B2C"/>
    <w:rsid w:val="00D72853"/>
    <w:rsid w:val="00D72BD2"/>
    <w:rsid w:val="00D73C91"/>
    <w:rsid w:val="00D760C9"/>
    <w:rsid w:val="00D7630A"/>
    <w:rsid w:val="00D80489"/>
    <w:rsid w:val="00D82E60"/>
    <w:rsid w:val="00D84F03"/>
    <w:rsid w:val="00D907A2"/>
    <w:rsid w:val="00D92472"/>
    <w:rsid w:val="00D924CC"/>
    <w:rsid w:val="00D937C6"/>
    <w:rsid w:val="00D938BA"/>
    <w:rsid w:val="00DA0557"/>
    <w:rsid w:val="00DB0F71"/>
    <w:rsid w:val="00DB3581"/>
    <w:rsid w:val="00DB448A"/>
    <w:rsid w:val="00DC57E3"/>
    <w:rsid w:val="00DD59BE"/>
    <w:rsid w:val="00DE1EAA"/>
    <w:rsid w:val="00DE34D5"/>
    <w:rsid w:val="00DE6463"/>
    <w:rsid w:val="00DF0119"/>
    <w:rsid w:val="00DF1B37"/>
    <w:rsid w:val="00DF4DE0"/>
    <w:rsid w:val="00DF5CE8"/>
    <w:rsid w:val="00E05B81"/>
    <w:rsid w:val="00E05C30"/>
    <w:rsid w:val="00E05C45"/>
    <w:rsid w:val="00E0663B"/>
    <w:rsid w:val="00E0676E"/>
    <w:rsid w:val="00E10ECD"/>
    <w:rsid w:val="00E14976"/>
    <w:rsid w:val="00E166D8"/>
    <w:rsid w:val="00E176B1"/>
    <w:rsid w:val="00E17BF0"/>
    <w:rsid w:val="00E23B5F"/>
    <w:rsid w:val="00E27B13"/>
    <w:rsid w:val="00E308B6"/>
    <w:rsid w:val="00E30A0F"/>
    <w:rsid w:val="00E31D7A"/>
    <w:rsid w:val="00E34736"/>
    <w:rsid w:val="00E34DA0"/>
    <w:rsid w:val="00E35286"/>
    <w:rsid w:val="00E35778"/>
    <w:rsid w:val="00E35A79"/>
    <w:rsid w:val="00E377F3"/>
    <w:rsid w:val="00E40963"/>
    <w:rsid w:val="00E42BFF"/>
    <w:rsid w:val="00E43219"/>
    <w:rsid w:val="00E435EC"/>
    <w:rsid w:val="00E451FE"/>
    <w:rsid w:val="00E46C88"/>
    <w:rsid w:val="00E5030C"/>
    <w:rsid w:val="00E51C28"/>
    <w:rsid w:val="00E5312C"/>
    <w:rsid w:val="00E56C14"/>
    <w:rsid w:val="00E612E5"/>
    <w:rsid w:val="00E6198C"/>
    <w:rsid w:val="00E63456"/>
    <w:rsid w:val="00E64BFF"/>
    <w:rsid w:val="00E65353"/>
    <w:rsid w:val="00E7067F"/>
    <w:rsid w:val="00E70D9A"/>
    <w:rsid w:val="00E7282A"/>
    <w:rsid w:val="00E76484"/>
    <w:rsid w:val="00E7694C"/>
    <w:rsid w:val="00E76E2E"/>
    <w:rsid w:val="00E770B5"/>
    <w:rsid w:val="00E81CC8"/>
    <w:rsid w:val="00E83091"/>
    <w:rsid w:val="00E83768"/>
    <w:rsid w:val="00E9634D"/>
    <w:rsid w:val="00EA2368"/>
    <w:rsid w:val="00EA6206"/>
    <w:rsid w:val="00EA68A2"/>
    <w:rsid w:val="00EB6664"/>
    <w:rsid w:val="00EB6913"/>
    <w:rsid w:val="00EB7F2E"/>
    <w:rsid w:val="00EC3CFD"/>
    <w:rsid w:val="00EC410E"/>
    <w:rsid w:val="00EC4156"/>
    <w:rsid w:val="00EC6105"/>
    <w:rsid w:val="00EC6270"/>
    <w:rsid w:val="00ED3A08"/>
    <w:rsid w:val="00ED7827"/>
    <w:rsid w:val="00EE08DF"/>
    <w:rsid w:val="00EE12C9"/>
    <w:rsid w:val="00EE1733"/>
    <w:rsid w:val="00EF0368"/>
    <w:rsid w:val="00EF408D"/>
    <w:rsid w:val="00F0113B"/>
    <w:rsid w:val="00F01EA1"/>
    <w:rsid w:val="00F046FA"/>
    <w:rsid w:val="00F06A57"/>
    <w:rsid w:val="00F07064"/>
    <w:rsid w:val="00F071E1"/>
    <w:rsid w:val="00F117D3"/>
    <w:rsid w:val="00F167BC"/>
    <w:rsid w:val="00F31628"/>
    <w:rsid w:val="00F329C0"/>
    <w:rsid w:val="00F32F49"/>
    <w:rsid w:val="00F37D29"/>
    <w:rsid w:val="00F405EF"/>
    <w:rsid w:val="00F45BCE"/>
    <w:rsid w:val="00F51D38"/>
    <w:rsid w:val="00F53E72"/>
    <w:rsid w:val="00F56890"/>
    <w:rsid w:val="00F5781E"/>
    <w:rsid w:val="00F64214"/>
    <w:rsid w:val="00F66B41"/>
    <w:rsid w:val="00F70057"/>
    <w:rsid w:val="00F702A2"/>
    <w:rsid w:val="00F72DA7"/>
    <w:rsid w:val="00F766DF"/>
    <w:rsid w:val="00F82D25"/>
    <w:rsid w:val="00F83C13"/>
    <w:rsid w:val="00F847DD"/>
    <w:rsid w:val="00F90E2F"/>
    <w:rsid w:val="00F91C12"/>
    <w:rsid w:val="00F92697"/>
    <w:rsid w:val="00F97DD8"/>
    <w:rsid w:val="00FA035C"/>
    <w:rsid w:val="00FA73F1"/>
    <w:rsid w:val="00FB1338"/>
    <w:rsid w:val="00FB6759"/>
    <w:rsid w:val="00FC177C"/>
    <w:rsid w:val="00FC2976"/>
    <w:rsid w:val="00FC370C"/>
    <w:rsid w:val="00FC458A"/>
    <w:rsid w:val="00FC45B4"/>
    <w:rsid w:val="00FC6092"/>
    <w:rsid w:val="00FD0DA2"/>
    <w:rsid w:val="00FD11AD"/>
    <w:rsid w:val="00FD3648"/>
    <w:rsid w:val="00FD37D7"/>
    <w:rsid w:val="00FD6C77"/>
    <w:rsid w:val="00FD7117"/>
    <w:rsid w:val="00FE1BFB"/>
    <w:rsid w:val="00FE24FE"/>
    <w:rsid w:val="00FE3E79"/>
    <w:rsid w:val="00FE4330"/>
    <w:rsid w:val="00FE5608"/>
    <w:rsid w:val="00FF38D8"/>
    <w:rsid w:val="00F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7DEE873"/>
  <w15:docId w15:val="{2EE388D2-40B8-406C-B693-8A7B2413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</w:pPr>
    <w:rPr>
      <w:rFonts w:ascii="Arial" w:hAnsi="Arial"/>
      <w:snapToGrid w:val="0"/>
      <w:sz w:val="22"/>
      <w:lang w:val="en-GB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spacing w:before="240" w:after="60"/>
      <w:outlineLvl w:val="1"/>
    </w:pPr>
    <w:rPr>
      <w:b/>
      <w:i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Nadpis5">
    <w:name w:val="heading 5"/>
    <w:basedOn w:val="Normlny"/>
    <w:next w:val="Normlny"/>
    <w:qFormat/>
    <w:pPr>
      <w:numPr>
        <w:ilvl w:val="4"/>
        <w:numId w:val="1"/>
      </w:numPr>
      <w:spacing w:before="240" w:after="60"/>
      <w:outlineLvl w:val="4"/>
    </w:pPr>
  </w:style>
  <w:style w:type="paragraph" w:styleId="Nadpis6">
    <w:name w:val="heading 6"/>
    <w:basedOn w:val="Normlny"/>
    <w:next w:val="Normlny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englisch">
    <w:name w:val="Standard englisch"/>
    <w:basedOn w:val="Normlny"/>
  </w:style>
  <w:style w:type="paragraph" w:styleId="Textvysvetlivky">
    <w:name w:val="endnote text"/>
    <w:basedOn w:val="Normlny"/>
    <w:semiHidden/>
  </w:style>
  <w:style w:type="paragraph" w:styleId="Normlnysozarkami">
    <w:name w:val="Normal Indent"/>
    <w:basedOn w:val="Normlny"/>
    <w:pPr>
      <w:ind w:left="709"/>
    </w:pPr>
  </w:style>
  <w:style w:type="paragraph" w:styleId="Zoznamobrzkov">
    <w:name w:val="table of figures"/>
    <w:basedOn w:val="Normlny"/>
    <w:next w:val="Normlny"/>
    <w:semiHidden/>
    <w:pPr>
      <w:ind w:left="480" w:hanging="480"/>
    </w:pPr>
  </w:style>
  <w:style w:type="paragraph" w:styleId="Popis">
    <w:name w:val="caption"/>
    <w:basedOn w:val="Normlny"/>
    <w:next w:val="Normlny"/>
    <w:qFormat/>
    <w:pPr>
      <w:spacing w:before="120" w:after="120"/>
    </w:pPr>
    <w:rPr>
      <w:b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/>
    </w:rPr>
  </w:style>
  <w:style w:type="character" w:styleId="Odkaznavysvetlivku">
    <w:name w:val="endnote reference"/>
    <w:semiHidden/>
    <w:rPr>
      <w:sz w:val="24"/>
      <w:vertAlign w:val="superscript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b/>
      <w:sz w:val="28"/>
      <w:u w:val="single"/>
    </w:rPr>
  </w:style>
  <w:style w:type="paragraph" w:styleId="Obsah1">
    <w:name w:val="toc 1"/>
    <w:basedOn w:val="Normlny"/>
    <w:next w:val="Normlny"/>
    <w:autoRedefine/>
    <w:semiHidden/>
    <w:pPr>
      <w:tabs>
        <w:tab w:val="right" w:leader="dot" w:pos="9071"/>
      </w:tabs>
      <w:spacing w:before="120" w:after="120"/>
    </w:pPr>
    <w:rPr>
      <w:rFonts w:ascii="Times New Roman" w:hAnsi="Times New Roman"/>
      <w:b/>
      <w:caps/>
      <w:sz w:val="20"/>
    </w:rPr>
  </w:style>
  <w:style w:type="paragraph" w:styleId="Obsah2">
    <w:name w:val="toc 2"/>
    <w:basedOn w:val="Normlny"/>
    <w:next w:val="Normlny"/>
    <w:autoRedefine/>
    <w:semiHidden/>
    <w:pPr>
      <w:tabs>
        <w:tab w:val="right" w:leader="dot" w:pos="9071"/>
      </w:tabs>
    </w:pPr>
    <w:rPr>
      <w:rFonts w:ascii="Times New Roman" w:hAnsi="Times New Roman"/>
      <w:smallCaps/>
      <w:sz w:val="20"/>
    </w:rPr>
  </w:style>
  <w:style w:type="paragraph" w:styleId="Obsah3">
    <w:name w:val="toc 3"/>
    <w:basedOn w:val="Normlny"/>
    <w:next w:val="Normlny"/>
    <w:autoRedefine/>
    <w:semiHidden/>
    <w:pPr>
      <w:tabs>
        <w:tab w:val="right" w:leader="dot" w:pos="9071"/>
      </w:tabs>
      <w:ind w:left="240"/>
    </w:pPr>
    <w:rPr>
      <w:rFonts w:ascii="Times New Roman" w:hAnsi="Times New Roman"/>
      <w:i/>
      <w:sz w:val="20"/>
    </w:rPr>
  </w:style>
  <w:style w:type="paragraph" w:styleId="Obsah4">
    <w:name w:val="toc 4"/>
    <w:basedOn w:val="Normlny"/>
    <w:next w:val="Normlny"/>
    <w:autoRedefine/>
    <w:semiHidden/>
    <w:pPr>
      <w:tabs>
        <w:tab w:val="right" w:leader="dot" w:pos="9071"/>
      </w:tabs>
      <w:ind w:left="480"/>
    </w:pPr>
    <w:rPr>
      <w:rFonts w:ascii="Times New Roman" w:hAnsi="Times New Roman"/>
      <w:sz w:val="18"/>
    </w:rPr>
  </w:style>
  <w:style w:type="paragraph" w:styleId="Obsah5">
    <w:name w:val="toc 5"/>
    <w:basedOn w:val="Normlny"/>
    <w:next w:val="Normlny"/>
    <w:autoRedefine/>
    <w:semiHidden/>
    <w:pPr>
      <w:tabs>
        <w:tab w:val="right" w:leader="dot" w:pos="9071"/>
      </w:tabs>
      <w:ind w:left="720"/>
    </w:pPr>
    <w:rPr>
      <w:rFonts w:ascii="Times New Roman" w:hAnsi="Times New Roman"/>
      <w:sz w:val="18"/>
    </w:rPr>
  </w:style>
  <w:style w:type="paragraph" w:styleId="Obsah6">
    <w:name w:val="toc 6"/>
    <w:basedOn w:val="Normlny"/>
    <w:next w:val="Normlny"/>
    <w:autoRedefine/>
    <w:semiHidden/>
    <w:pPr>
      <w:tabs>
        <w:tab w:val="right" w:leader="dot" w:pos="9071"/>
      </w:tabs>
      <w:ind w:left="960"/>
    </w:pPr>
    <w:rPr>
      <w:rFonts w:ascii="Times New Roman" w:hAnsi="Times New Roman"/>
      <w:sz w:val="18"/>
    </w:rPr>
  </w:style>
  <w:style w:type="paragraph" w:styleId="Obsah7">
    <w:name w:val="toc 7"/>
    <w:basedOn w:val="Normlny"/>
    <w:next w:val="Normlny"/>
    <w:autoRedefine/>
    <w:semiHidden/>
    <w:pPr>
      <w:tabs>
        <w:tab w:val="right" w:leader="dot" w:pos="9071"/>
      </w:tabs>
      <w:ind w:left="1200"/>
    </w:pPr>
    <w:rPr>
      <w:rFonts w:ascii="Times New Roman" w:hAnsi="Times New Roman"/>
      <w:sz w:val="18"/>
    </w:rPr>
  </w:style>
  <w:style w:type="paragraph" w:styleId="Obsah8">
    <w:name w:val="toc 8"/>
    <w:basedOn w:val="Normlny"/>
    <w:next w:val="Normlny"/>
    <w:autoRedefine/>
    <w:semiHidden/>
    <w:pPr>
      <w:tabs>
        <w:tab w:val="right" w:leader="dot" w:pos="9071"/>
      </w:tabs>
      <w:ind w:left="1440"/>
    </w:pPr>
    <w:rPr>
      <w:rFonts w:ascii="Times New Roman" w:hAnsi="Times New Roman"/>
      <w:sz w:val="18"/>
    </w:rPr>
  </w:style>
  <w:style w:type="paragraph" w:styleId="Obsah9">
    <w:name w:val="toc 9"/>
    <w:basedOn w:val="Normlny"/>
    <w:next w:val="Normlny"/>
    <w:autoRedefine/>
    <w:semiHidden/>
    <w:pPr>
      <w:tabs>
        <w:tab w:val="right" w:leader="dot" w:pos="9071"/>
      </w:tabs>
      <w:ind w:left="1680"/>
    </w:pPr>
    <w:rPr>
      <w:rFonts w:ascii="Times New Roman" w:hAnsi="Times New Roman"/>
      <w:sz w:val="18"/>
    </w:rPr>
  </w:style>
  <w:style w:type="paragraph" w:styleId="Zkladntext">
    <w:name w:val="Body Text"/>
    <w:basedOn w:val="Normlny"/>
    <w:pPr>
      <w:widowControl/>
      <w:tabs>
        <w:tab w:val="left" w:pos="5670"/>
      </w:tabs>
    </w:pPr>
    <w:rPr>
      <w:snapToGrid/>
      <w:lang w:val="de-DE"/>
    </w:rPr>
  </w:style>
  <w:style w:type="paragraph" w:styleId="Zarkazkladnhotextu">
    <w:name w:val="Body Text Indent"/>
    <w:basedOn w:val="Normlny"/>
    <w:pPr>
      <w:widowControl/>
      <w:spacing w:line="240" w:lineRule="atLeast"/>
      <w:ind w:left="426"/>
      <w:jc w:val="both"/>
    </w:pPr>
    <w:rPr>
      <w:snapToGrid/>
    </w:rPr>
  </w:style>
  <w:style w:type="paragraph" w:styleId="Zarkazkladnhotextu2">
    <w:name w:val="Body Text Indent 2"/>
    <w:basedOn w:val="Normlny"/>
    <w:pPr>
      <w:tabs>
        <w:tab w:val="left" w:pos="6237"/>
        <w:tab w:val="left" w:pos="7088"/>
      </w:tabs>
      <w:ind w:left="709"/>
    </w:pPr>
  </w:style>
  <w:style w:type="paragraph" w:customStyle="1" w:styleId="knZulassung02">
    <w:name w:val="knZulassung02"/>
    <w:basedOn w:val="Normlny"/>
    <w:rsid w:val="00B750C4"/>
    <w:pPr>
      <w:widowControl/>
      <w:autoSpaceDE w:val="0"/>
      <w:autoSpaceDN w:val="0"/>
      <w:ind w:left="1843" w:right="284"/>
    </w:pPr>
    <w:rPr>
      <w:rFonts w:ascii="Courier" w:hAnsi="Courier"/>
      <w:snapToGrid/>
      <w:sz w:val="20"/>
      <w:szCs w:val="24"/>
    </w:rPr>
  </w:style>
  <w:style w:type="paragraph" w:customStyle="1" w:styleId="Text">
    <w:name w:val="Text"/>
    <w:basedOn w:val="Normlny"/>
    <w:rsid w:val="004C4FDA"/>
    <w:pPr>
      <w:widowControl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napToGrid/>
    </w:rPr>
  </w:style>
  <w:style w:type="paragraph" w:styleId="Obyajntext">
    <w:name w:val="Plain Text"/>
    <w:basedOn w:val="Normlny"/>
    <w:rsid w:val="00C05896"/>
    <w:pPr>
      <w:widowControl/>
    </w:pPr>
    <w:rPr>
      <w:rFonts w:ascii="Courier New" w:hAnsi="Courier New"/>
      <w:snapToGrid/>
      <w:sz w:val="20"/>
      <w:lang w:val="de-DE"/>
    </w:rPr>
  </w:style>
  <w:style w:type="paragraph" w:styleId="Textbubliny">
    <w:name w:val="Balloon Text"/>
    <w:basedOn w:val="Normlny"/>
    <w:semiHidden/>
    <w:rsid w:val="007A1E52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D37BF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37BFA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rsid w:val="00D37BFA"/>
    <w:rPr>
      <w:rFonts w:ascii="Arial" w:hAnsi="Arial"/>
      <w:snapToGrid w:val="0"/>
      <w:lang w:val="en-GB" w:eastAsia="de-D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37BF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D37BFA"/>
    <w:rPr>
      <w:rFonts w:ascii="Arial" w:hAnsi="Arial"/>
      <w:b/>
      <w:bCs/>
      <w:snapToGrid w:val="0"/>
      <w:lang w:val="en-GB" w:eastAsia="de-DE"/>
    </w:rPr>
  </w:style>
  <w:style w:type="table" w:styleId="Mriekatabuky">
    <w:name w:val="Table Grid"/>
    <w:basedOn w:val="Normlnatabuka"/>
    <w:uiPriority w:val="59"/>
    <w:rsid w:val="009733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prepojenie">
    <w:name w:val="Hyperlink"/>
    <w:rsid w:val="00D92472"/>
    <w:rPr>
      <w:rFonts w:cs="Times New Roman"/>
      <w:color w:val="0000FF"/>
      <w:u w:val="single"/>
    </w:rPr>
  </w:style>
  <w:style w:type="character" w:styleId="Zvraznenie">
    <w:name w:val="Emphasis"/>
    <w:qFormat/>
    <w:rsid w:val="005968AB"/>
    <w:rPr>
      <w:i/>
      <w:iCs/>
    </w:rPr>
  </w:style>
  <w:style w:type="paragraph" w:styleId="Revzia">
    <w:name w:val="Revision"/>
    <w:hidden/>
    <w:uiPriority w:val="99"/>
    <w:semiHidden/>
    <w:rsid w:val="00A30D4A"/>
    <w:rPr>
      <w:rFonts w:ascii="Arial" w:hAnsi="Arial"/>
      <w:snapToGrid w:val="0"/>
      <w:sz w:val="22"/>
      <w:lang w:val="en-GB"/>
    </w:rPr>
  </w:style>
  <w:style w:type="paragraph" w:customStyle="1" w:styleId="Default">
    <w:name w:val="Default"/>
    <w:rsid w:val="00CE733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5418DA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  <w:lang w:val="de-DE"/>
    </w:rPr>
  </w:style>
  <w:style w:type="character" w:customStyle="1" w:styleId="HlavikaChar">
    <w:name w:val="Hlavička Char"/>
    <w:basedOn w:val="Predvolenpsmoodseku"/>
    <w:link w:val="Hlavika"/>
    <w:rsid w:val="00C77CAE"/>
    <w:rPr>
      <w:rFonts w:ascii="Arial" w:hAnsi="Arial"/>
      <w:snapToGrid w:val="0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9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5927</Words>
  <Characters>33786</Characters>
  <Application>Microsoft Office Word</Application>
  <DocSecurity>0</DocSecurity>
  <Lines>281</Lines>
  <Paragraphs>79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4" baseType="lpstr">
      <vt:lpstr/>
      <vt:lpstr>Dox</vt:lpstr>
      <vt:lpstr>Dox</vt:lpstr>
      <vt:lpstr>Dox</vt:lpstr>
    </vt:vector>
  </TitlesOfParts>
  <Company>medax</Company>
  <LinksUpToDate>false</LinksUpToDate>
  <CharactersWithSpaces>39634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KC/skr</dc:creator>
  <dc:description/>
  <cp:lastModifiedBy>Bolebruchová Monika</cp:lastModifiedBy>
  <cp:revision>4</cp:revision>
  <cp:lastPrinted>2018-05-14T08:49:00Z</cp:lastPrinted>
  <dcterms:created xsi:type="dcterms:W3CDTF">2020-09-08T10:16:00Z</dcterms:created>
  <dcterms:modified xsi:type="dcterms:W3CDTF">2020-09-08T10:22:00Z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6/25/2018 1:27:51 PM</vt:lpwstr>
  </property>
  <property fmtid="{D5CDD505-2E9C-101B-9397-08002B2CF9AE}" pid="3" name="OS_LastOpenUser">
    <vt:lpwstr>NEUMANNS</vt:lpwstr>
  </property>
</Properties>
</file>