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47CF80" w14:textId="77777777" w:rsidR="00434612" w:rsidRPr="00526A54" w:rsidRDefault="00434612" w:rsidP="00526A54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SÚHRN CHARAKTERISTICKÝCH VLASTNOSTÍ LIEKU</w:t>
      </w:r>
    </w:p>
    <w:p w14:paraId="72F027DB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235EBE8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69A7D3C2" w14:textId="3C5A167A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1.</w:t>
      </w:r>
      <w:r w:rsidR="00C46C1A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NÁZOV LIEKU</w:t>
      </w:r>
    </w:p>
    <w:p w14:paraId="6673A752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FA7ED94" w14:textId="2D39993B" w:rsidR="00434612" w:rsidRPr="00526A54" w:rsidRDefault="00434612" w:rsidP="00526A54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526A54">
        <w:rPr>
          <w:sz w:val="22"/>
          <w:szCs w:val="22"/>
        </w:rPr>
        <w:t>Gado</w:t>
      </w:r>
      <w:r w:rsidR="006A1C3D" w:rsidRPr="00526A54">
        <w:rPr>
          <w:sz w:val="22"/>
          <w:szCs w:val="22"/>
        </w:rPr>
        <w:t>graf</w:t>
      </w:r>
      <w:r w:rsidRPr="00526A54">
        <w:rPr>
          <w:sz w:val="22"/>
          <w:szCs w:val="22"/>
        </w:rPr>
        <w:t xml:space="preserve"> 1,0</w:t>
      </w:r>
      <w:r w:rsidR="006A1C3D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mmol/ml </w:t>
      </w:r>
      <w:r w:rsidR="00D14C96" w:rsidRPr="00526A54">
        <w:rPr>
          <w:bCs/>
          <w:sz w:val="22"/>
          <w:szCs w:val="22"/>
        </w:rPr>
        <w:t>injekčný roztok</w:t>
      </w:r>
    </w:p>
    <w:p w14:paraId="085206D5" w14:textId="77777777" w:rsidR="00434612" w:rsidRPr="00526A54" w:rsidRDefault="00434612" w:rsidP="00526A54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DDCD878" w14:textId="77777777" w:rsidR="004C5113" w:rsidRPr="00526A54" w:rsidRDefault="004C5113" w:rsidP="00526A54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C694B30" w14:textId="671D1BE3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2.</w:t>
      </w:r>
      <w:r w:rsidR="00C46C1A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KVALITATÍVNE A KVANTITATÍVNE ZLOŽENIE</w:t>
      </w:r>
    </w:p>
    <w:p w14:paraId="5E7630E0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773DE34E" w14:textId="689D0638" w:rsidR="00434612" w:rsidRPr="00526A54" w:rsidRDefault="000C0198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1</w:t>
      </w:r>
      <w:r w:rsidR="006A1C3D" w:rsidRPr="00526A54">
        <w:rPr>
          <w:sz w:val="22"/>
          <w:szCs w:val="22"/>
        </w:rPr>
        <w:t> </w:t>
      </w:r>
      <w:r w:rsidR="00434612" w:rsidRPr="00526A54">
        <w:rPr>
          <w:sz w:val="22"/>
          <w:szCs w:val="22"/>
        </w:rPr>
        <w:t xml:space="preserve">ml </w:t>
      </w:r>
      <w:r w:rsidR="005476E7" w:rsidRPr="00526A54">
        <w:rPr>
          <w:sz w:val="22"/>
          <w:szCs w:val="22"/>
        </w:rPr>
        <w:t xml:space="preserve">injekčného roztoku </w:t>
      </w:r>
      <w:r w:rsidR="00434612" w:rsidRPr="00526A54">
        <w:rPr>
          <w:sz w:val="22"/>
          <w:szCs w:val="22"/>
        </w:rPr>
        <w:t>obsahuje 604,72</w:t>
      </w:r>
      <w:r w:rsidR="003300C4" w:rsidRPr="00526A54">
        <w:rPr>
          <w:sz w:val="22"/>
          <w:szCs w:val="22"/>
        </w:rPr>
        <w:t> </w:t>
      </w:r>
      <w:r w:rsidR="00434612" w:rsidRPr="00526A54">
        <w:rPr>
          <w:sz w:val="22"/>
          <w:szCs w:val="22"/>
        </w:rPr>
        <w:t>mg gadobutrolu (</w:t>
      </w:r>
      <w:r w:rsidR="00956D58" w:rsidRPr="00526A54">
        <w:rPr>
          <w:sz w:val="22"/>
          <w:szCs w:val="22"/>
        </w:rPr>
        <w:t xml:space="preserve">čo </w:t>
      </w:r>
      <w:r w:rsidR="00434612" w:rsidRPr="00526A54">
        <w:rPr>
          <w:sz w:val="22"/>
          <w:szCs w:val="22"/>
        </w:rPr>
        <w:t>zodpovedá 1,0</w:t>
      </w:r>
      <w:r w:rsidR="003300C4" w:rsidRPr="00526A54">
        <w:rPr>
          <w:sz w:val="22"/>
          <w:szCs w:val="22"/>
        </w:rPr>
        <w:t> </w:t>
      </w:r>
      <w:r w:rsidR="00434612" w:rsidRPr="00526A54">
        <w:rPr>
          <w:sz w:val="22"/>
          <w:szCs w:val="22"/>
        </w:rPr>
        <w:t>mmol gadobutrolu s</w:t>
      </w:r>
      <w:r w:rsidR="008331A9">
        <w:rPr>
          <w:sz w:val="22"/>
          <w:szCs w:val="22"/>
        </w:rPr>
        <w:t> </w:t>
      </w:r>
      <w:r w:rsidR="00434612" w:rsidRPr="00526A54">
        <w:rPr>
          <w:sz w:val="22"/>
          <w:szCs w:val="22"/>
        </w:rPr>
        <w:t>obsahom 157,25</w:t>
      </w:r>
      <w:r w:rsidR="003300C4" w:rsidRPr="00526A54">
        <w:rPr>
          <w:sz w:val="22"/>
          <w:szCs w:val="22"/>
        </w:rPr>
        <w:t> </w:t>
      </w:r>
      <w:r w:rsidR="00434612" w:rsidRPr="00526A54">
        <w:rPr>
          <w:sz w:val="22"/>
          <w:szCs w:val="22"/>
        </w:rPr>
        <w:t>mg</w:t>
      </w:r>
      <w:r w:rsidR="005476E7" w:rsidRPr="00526A54">
        <w:rPr>
          <w:sz w:val="22"/>
          <w:szCs w:val="22"/>
        </w:rPr>
        <w:t xml:space="preserve"> </w:t>
      </w:r>
      <w:r w:rsidR="00434612" w:rsidRPr="00526A54">
        <w:rPr>
          <w:sz w:val="22"/>
          <w:szCs w:val="22"/>
        </w:rPr>
        <w:t>gadolínia).</w:t>
      </w:r>
    </w:p>
    <w:p w14:paraId="1C4610B0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24321151" w14:textId="4615CEB5" w:rsidR="00AF798C" w:rsidRPr="00526A54" w:rsidRDefault="00AF798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1</w:t>
      </w:r>
      <w:r w:rsidR="006A1C3D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injekčná liekovka so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7,5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 obsahuje 4</w:t>
      </w:r>
      <w:r w:rsidR="009C03D6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535,4 mg gadobutrolu</w:t>
      </w:r>
      <w:r w:rsidR="006A1C3D" w:rsidRPr="00526A54">
        <w:rPr>
          <w:sz w:val="22"/>
          <w:szCs w:val="22"/>
        </w:rPr>
        <w:t>,</w:t>
      </w:r>
    </w:p>
    <w:p w14:paraId="2FCF173C" w14:textId="3807E095" w:rsidR="00AF798C" w:rsidRPr="00526A54" w:rsidRDefault="00AF798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1</w:t>
      </w:r>
      <w:r w:rsidR="006A1C3D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injekčná liekovka s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15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 obsahuje 9</w:t>
      </w:r>
      <w:r w:rsidR="009C03D6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070,8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mg gadobutrolu</w:t>
      </w:r>
      <w:r w:rsidR="006A1C3D" w:rsidRPr="00526A54">
        <w:rPr>
          <w:sz w:val="22"/>
          <w:szCs w:val="22"/>
        </w:rPr>
        <w:t>,</w:t>
      </w:r>
    </w:p>
    <w:p w14:paraId="36BB253A" w14:textId="4DA7C39B" w:rsidR="00AF798C" w:rsidRPr="00526A54" w:rsidRDefault="00AF798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1</w:t>
      </w:r>
      <w:r w:rsidR="006A1C3D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injekčná liekovka s 30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 obsahuje 18</w:t>
      </w:r>
      <w:r w:rsidR="009C03D6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141,6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mg gadobutrolu</w:t>
      </w:r>
      <w:r w:rsidR="006A1C3D" w:rsidRPr="00526A54">
        <w:rPr>
          <w:sz w:val="22"/>
          <w:szCs w:val="22"/>
        </w:rPr>
        <w:t>.</w:t>
      </w:r>
    </w:p>
    <w:p w14:paraId="448FE009" w14:textId="77777777" w:rsidR="00E8321C" w:rsidRPr="00526A54" w:rsidRDefault="00E8321C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E929B6D" w14:textId="008AF8A4" w:rsidR="00AF798C" w:rsidRPr="00526A54" w:rsidRDefault="00AF798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1</w:t>
      </w:r>
      <w:r w:rsidR="006A1C3D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 fľaša so 65</w:t>
      </w:r>
      <w:r w:rsidR="006A1C3D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obsahuje 39</w:t>
      </w:r>
      <w:r w:rsidR="009C03D6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306,8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mg gadobutrolu</w:t>
      </w:r>
      <w:r w:rsidR="006A1C3D" w:rsidRPr="00526A54">
        <w:rPr>
          <w:sz w:val="22"/>
          <w:szCs w:val="22"/>
        </w:rPr>
        <w:t>.</w:t>
      </w:r>
    </w:p>
    <w:p w14:paraId="39617C7D" w14:textId="77777777" w:rsidR="00E8321C" w:rsidRPr="00526A54" w:rsidRDefault="00E8321C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33FD63F6" w14:textId="0F3B838C" w:rsidR="00983DCC" w:rsidRPr="00526A54" w:rsidRDefault="00BD5EC7" w:rsidP="00526A54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526A54">
        <w:rPr>
          <w:sz w:val="22"/>
          <w:szCs w:val="22"/>
        </w:rPr>
        <w:t>Pomocn</w:t>
      </w:r>
      <w:r w:rsidR="009C03D6" w:rsidRPr="00526A54">
        <w:rPr>
          <w:sz w:val="22"/>
          <w:szCs w:val="22"/>
        </w:rPr>
        <w:t>á</w:t>
      </w:r>
      <w:r w:rsidRPr="00526A54">
        <w:rPr>
          <w:sz w:val="22"/>
          <w:szCs w:val="22"/>
        </w:rPr>
        <w:t xml:space="preserve"> látk</w:t>
      </w:r>
      <w:r w:rsidR="009C03D6" w:rsidRPr="00526A54">
        <w:rPr>
          <w:sz w:val="22"/>
          <w:szCs w:val="22"/>
        </w:rPr>
        <w:t>a</w:t>
      </w:r>
      <w:r w:rsidRPr="00526A54">
        <w:rPr>
          <w:sz w:val="22"/>
          <w:szCs w:val="22"/>
        </w:rPr>
        <w:t xml:space="preserve"> so známym účinkom</w:t>
      </w:r>
      <w:r w:rsidR="00893282" w:rsidRPr="00526A54">
        <w:rPr>
          <w:sz w:val="22"/>
          <w:szCs w:val="22"/>
        </w:rPr>
        <w:t xml:space="preserve">: </w:t>
      </w:r>
      <w:r w:rsidR="000C0198" w:rsidRPr="00526A54">
        <w:rPr>
          <w:sz w:val="22"/>
          <w:szCs w:val="22"/>
        </w:rPr>
        <w:t>1</w:t>
      </w:r>
      <w:r w:rsidR="008360A7" w:rsidRPr="00526A54">
        <w:rPr>
          <w:sz w:val="22"/>
          <w:szCs w:val="22"/>
        </w:rPr>
        <w:t> </w:t>
      </w:r>
      <w:r w:rsidR="00983DCC" w:rsidRPr="00526A54">
        <w:rPr>
          <w:sz w:val="22"/>
          <w:szCs w:val="22"/>
        </w:rPr>
        <w:t xml:space="preserve">ml obsahuje </w:t>
      </w:r>
      <w:r w:rsidR="00983DCC" w:rsidRPr="00526A54">
        <w:rPr>
          <w:sz w:val="22"/>
          <w:szCs w:val="22"/>
          <w:lang w:eastAsia="en-US"/>
        </w:rPr>
        <w:t>0,00056</w:t>
      </w:r>
      <w:r w:rsidR="003300C4" w:rsidRPr="00526A54">
        <w:rPr>
          <w:sz w:val="22"/>
          <w:szCs w:val="22"/>
        </w:rPr>
        <w:t> </w:t>
      </w:r>
      <w:r w:rsidR="00983DCC" w:rsidRPr="00526A54">
        <w:rPr>
          <w:sz w:val="22"/>
          <w:szCs w:val="22"/>
          <w:lang w:eastAsia="en-US"/>
        </w:rPr>
        <w:t>mmol (</w:t>
      </w:r>
      <w:r w:rsidR="009C03D6" w:rsidRPr="00526A54">
        <w:rPr>
          <w:sz w:val="22"/>
          <w:szCs w:val="22"/>
          <w:lang w:eastAsia="en-US"/>
        </w:rPr>
        <w:t xml:space="preserve">čo </w:t>
      </w:r>
      <w:r w:rsidR="00983DCC" w:rsidRPr="00526A54">
        <w:rPr>
          <w:sz w:val="22"/>
          <w:szCs w:val="22"/>
        </w:rPr>
        <w:t>zodpovedá</w:t>
      </w:r>
      <w:r w:rsidR="00983DCC" w:rsidRPr="00526A54">
        <w:rPr>
          <w:sz w:val="22"/>
          <w:szCs w:val="22"/>
          <w:lang w:eastAsia="en-US"/>
        </w:rPr>
        <w:t xml:space="preserve"> 0,013</w:t>
      </w:r>
      <w:r w:rsidR="003300C4" w:rsidRPr="00526A54">
        <w:rPr>
          <w:sz w:val="22"/>
          <w:szCs w:val="22"/>
        </w:rPr>
        <w:t> </w:t>
      </w:r>
      <w:r w:rsidR="00983DCC" w:rsidRPr="00526A54">
        <w:rPr>
          <w:sz w:val="22"/>
          <w:szCs w:val="22"/>
          <w:lang w:eastAsia="en-US"/>
        </w:rPr>
        <w:t>mg) sodíka (pozri časť 4.4).</w:t>
      </w:r>
    </w:p>
    <w:p w14:paraId="1AF0B51A" w14:textId="77777777" w:rsidR="00983DCC" w:rsidRPr="00526A54" w:rsidRDefault="00983DCC" w:rsidP="00526A54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F606D08" w14:textId="77777777" w:rsidR="00434612" w:rsidRPr="00526A54" w:rsidRDefault="00434612" w:rsidP="00526A54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>Úplný zoznam pomocných látok, pozri časť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6.1.</w:t>
      </w:r>
    </w:p>
    <w:p w14:paraId="5143836D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615DD4B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D740EB" w14:textId="529507B5" w:rsidR="00434612" w:rsidRPr="00526A54" w:rsidRDefault="006A1C3D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3.</w:t>
      </w:r>
      <w:r w:rsidR="00C46C1A" w:rsidRPr="00526A54">
        <w:rPr>
          <w:b/>
          <w:bCs/>
          <w:sz w:val="22"/>
          <w:szCs w:val="22"/>
        </w:rPr>
        <w:tab/>
      </w:r>
      <w:r w:rsidR="00434612" w:rsidRPr="00526A54">
        <w:rPr>
          <w:b/>
          <w:bCs/>
          <w:sz w:val="22"/>
          <w:szCs w:val="22"/>
        </w:rPr>
        <w:t>LIEKOVÁ FORMA</w:t>
      </w:r>
    </w:p>
    <w:p w14:paraId="6FE23376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3DD29A1" w14:textId="77777777" w:rsidR="00434612" w:rsidRPr="00526A54" w:rsidRDefault="00434612" w:rsidP="00526A54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>Injekčný roztok</w:t>
      </w:r>
    </w:p>
    <w:p w14:paraId="3A558B90" w14:textId="77777777" w:rsidR="006A1C3D" w:rsidRPr="00526A54" w:rsidRDefault="006A1C3D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6692F7C0" w14:textId="79323DD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Číra</w:t>
      </w:r>
      <w:r w:rsidR="009C03D6" w:rsidRPr="00526A54">
        <w:rPr>
          <w:sz w:val="22"/>
          <w:szCs w:val="22"/>
        </w:rPr>
        <w:t>,</w:t>
      </w:r>
      <w:r w:rsidRPr="00526A54">
        <w:rPr>
          <w:sz w:val="22"/>
          <w:szCs w:val="22"/>
        </w:rPr>
        <w:t xml:space="preserve"> bezfarebná až bledožltá </w:t>
      </w:r>
      <w:r w:rsidR="009C03D6" w:rsidRPr="00526A54">
        <w:rPr>
          <w:sz w:val="22"/>
          <w:szCs w:val="22"/>
        </w:rPr>
        <w:t>kvapalina</w:t>
      </w:r>
      <w:r w:rsidRPr="00526A54">
        <w:rPr>
          <w:sz w:val="22"/>
          <w:szCs w:val="22"/>
        </w:rPr>
        <w:t>.</w:t>
      </w:r>
    </w:p>
    <w:p w14:paraId="2F378107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5DC22E" w14:textId="77777777" w:rsidR="00983DCC" w:rsidRPr="00526A54" w:rsidRDefault="00983DC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Fyzikálno-chemické vlastnosti:</w:t>
      </w:r>
    </w:p>
    <w:p w14:paraId="4AEF5A58" w14:textId="7EC9330D" w:rsidR="00983DCC" w:rsidRPr="00526A54" w:rsidRDefault="00983DC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Osmolalita pri 37</w:t>
      </w:r>
      <w:r w:rsidR="006A1C3D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°C: </w:t>
      </w:r>
      <w:r w:rsidRPr="00526A54">
        <w:rPr>
          <w:sz w:val="22"/>
          <w:szCs w:val="22"/>
        </w:rPr>
        <w:tab/>
        <w:t>1</w:t>
      </w:r>
      <w:r w:rsidR="009C03D6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603</w:t>
      </w:r>
      <w:r w:rsidR="008360A7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mOsm/kg H</w:t>
      </w:r>
      <w:r w:rsidRPr="00526A54">
        <w:rPr>
          <w:sz w:val="22"/>
          <w:szCs w:val="22"/>
          <w:vertAlign w:val="subscript"/>
        </w:rPr>
        <w:t>2</w:t>
      </w:r>
      <w:r w:rsidRPr="00526A54">
        <w:rPr>
          <w:sz w:val="22"/>
          <w:szCs w:val="22"/>
        </w:rPr>
        <w:t>O</w:t>
      </w:r>
    </w:p>
    <w:p w14:paraId="5B69B0B8" w14:textId="177B52D9" w:rsidR="00983DCC" w:rsidRPr="00526A54" w:rsidRDefault="00983DC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Viskozita pri 37</w:t>
      </w:r>
      <w:r w:rsidR="006A1C3D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°C: </w:t>
      </w:r>
      <w:r w:rsidRPr="00526A54">
        <w:rPr>
          <w:sz w:val="22"/>
          <w:szCs w:val="22"/>
        </w:rPr>
        <w:tab/>
        <w:t>4,96</w:t>
      </w:r>
      <w:r w:rsidR="008360A7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mPa</w:t>
      </w:r>
      <w:r w:rsidR="009C03D6" w:rsidRPr="00526A54">
        <w:rPr>
          <w:sz w:val="22"/>
          <w:szCs w:val="22"/>
        </w:rPr>
        <w:t>.</w:t>
      </w:r>
      <w:r w:rsidRPr="00526A54">
        <w:rPr>
          <w:sz w:val="22"/>
          <w:szCs w:val="22"/>
        </w:rPr>
        <w:t>s</w:t>
      </w:r>
    </w:p>
    <w:p w14:paraId="00AD5904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3C9D96" w14:textId="77777777" w:rsidR="00983DCC" w:rsidRPr="00526A54" w:rsidRDefault="00983DCC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17640A2" w14:textId="4DA476F4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4.</w:t>
      </w:r>
      <w:r w:rsidR="00C46C1A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KLINICKÉ ÚDAJE</w:t>
      </w:r>
    </w:p>
    <w:p w14:paraId="409A7496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7765AE" w14:textId="39745EA9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4.1</w:t>
      </w:r>
      <w:r w:rsidR="00C46C1A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Terapeutické indikácie</w:t>
      </w:r>
    </w:p>
    <w:p w14:paraId="7F8466C0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566C9D7" w14:textId="44C62FEF" w:rsidR="00434612" w:rsidRPr="00526A54" w:rsidRDefault="00434612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 xml:space="preserve">Tento liek je </w:t>
      </w:r>
      <w:r w:rsidR="00191C72" w:rsidRPr="00526A54">
        <w:rPr>
          <w:sz w:val="22"/>
          <w:szCs w:val="22"/>
        </w:rPr>
        <w:t xml:space="preserve">určený </w:t>
      </w:r>
      <w:r w:rsidRPr="00526A54">
        <w:rPr>
          <w:sz w:val="22"/>
          <w:szCs w:val="22"/>
        </w:rPr>
        <w:t>len na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diagnostické použitie. </w:t>
      </w:r>
      <w:r w:rsidR="006A1C3D" w:rsidRPr="00526A54">
        <w:rPr>
          <w:sz w:val="22"/>
          <w:szCs w:val="22"/>
        </w:rPr>
        <w:t>Gadograf</w:t>
      </w:r>
      <w:r w:rsidRPr="00526A54">
        <w:rPr>
          <w:sz w:val="22"/>
          <w:szCs w:val="22"/>
        </w:rPr>
        <w:t xml:space="preserve"> je indikovaný dospelý</w:t>
      </w:r>
      <w:r w:rsidR="006A1C3D" w:rsidRPr="00526A54">
        <w:rPr>
          <w:sz w:val="22"/>
          <w:szCs w:val="22"/>
        </w:rPr>
        <w:t>m</w:t>
      </w:r>
      <w:r w:rsidRPr="00526A54">
        <w:rPr>
          <w:sz w:val="22"/>
          <w:szCs w:val="22"/>
        </w:rPr>
        <w:t xml:space="preserve"> a</w:t>
      </w:r>
      <w:r w:rsidR="006A1C3D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de</w:t>
      </w:r>
      <w:r w:rsidR="006A1C3D" w:rsidRPr="00526A54">
        <w:rPr>
          <w:sz w:val="22"/>
          <w:szCs w:val="22"/>
        </w:rPr>
        <w:t>ťom</w:t>
      </w:r>
      <w:r w:rsidR="00E45888" w:rsidRPr="00526A54">
        <w:rPr>
          <w:sz w:val="22"/>
          <w:szCs w:val="22"/>
        </w:rPr>
        <w:t xml:space="preserve"> každého veku</w:t>
      </w:r>
      <w:r w:rsidRPr="00526A54">
        <w:rPr>
          <w:sz w:val="22"/>
          <w:szCs w:val="22"/>
        </w:rPr>
        <w:t xml:space="preserve"> </w:t>
      </w:r>
      <w:r w:rsidR="00D66ED5" w:rsidRPr="00526A54">
        <w:rPr>
          <w:sz w:val="22"/>
          <w:szCs w:val="22"/>
        </w:rPr>
        <w:t xml:space="preserve">(vrátane </w:t>
      </w:r>
      <w:r w:rsidR="00E45888" w:rsidRPr="00526A54">
        <w:rPr>
          <w:sz w:val="22"/>
          <w:szCs w:val="22"/>
        </w:rPr>
        <w:t xml:space="preserve">donosených </w:t>
      </w:r>
      <w:r w:rsidR="00D66ED5" w:rsidRPr="00526A54">
        <w:rPr>
          <w:sz w:val="22"/>
          <w:szCs w:val="22"/>
        </w:rPr>
        <w:t xml:space="preserve">novorodencov) </w:t>
      </w:r>
      <w:r w:rsidRPr="00526A54">
        <w:rPr>
          <w:sz w:val="22"/>
          <w:szCs w:val="22"/>
        </w:rPr>
        <w:t xml:space="preserve">na: </w:t>
      </w:r>
    </w:p>
    <w:p w14:paraId="235A0650" w14:textId="77777777" w:rsidR="00434612" w:rsidRPr="00526A54" w:rsidRDefault="00434612" w:rsidP="00526A54">
      <w:pPr>
        <w:rPr>
          <w:sz w:val="22"/>
          <w:szCs w:val="22"/>
        </w:rPr>
      </w:pPr>
    </w:p>
    <w:p w14:paraId="4FB0F04C" w14:textId="5E6C31BE" w:rsidR="00434612" w:rsidRPr="00526A54" w:rsidRDefault="008360A7" w:rsidP="00526A54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526A54">
        <w:rPr>
          <w:sz w:val="22"/>
          <w:szCs w:val="22"/>
        </w:rPr>
        <w:t>z</w:t>
      </w:r>
      <w:r w:rsidR="00434612" w:rsidRPr="00526A54">
        <w:rPr>
          <w:sz w:val="22"/>
          <w:szCs w:val="22"/>
        </w:rPr>
        <w:t>výšenie kontrastu pri</w:t>
      </w:r>
      <w:r w:rsidR="003300C4" w:rsidRPr="00526A54">
        <w:rPr>
          <w:sz w:val="22"/>
          <w:szCs w:val="22"/>
        </w:rPr>
        <w:t> </w:t>
      </w:r>
      <w:r w:rsidR="00434612" w:rsidRPr="00526A54">
        <w:rPr>
          <w:sz w:val="22"/>
          <w:szCs w:val="22"/>
        </w:rPr>
        <w:t>zobrazovaní leb</w:t>
      </w:r>
      <w:r w:rsidR="0017622D" w:rsidRPr="00526A54">
        <w:rPr>
          <w:sz w:val="22"/>
          <w:szCs w:val="22"/>
        </w:rPr>
        <w:t>kovej</w:t>
      </w:r>
      <w:r w:rsidR="00434612" w:rsidRPr="00526A54">
        <w:rPr>
          <w:sz w:val="22"/>
          <w:szCs w:val="22"/>
        </w:rPr>
        <w:t xml:space="preserve"> dutiny a</w:t>
      </w:r>
      <w:r w:rsidR="003300C4" w:rsidRPr="00526A54">
        <w:rPr>
          <w:sz w:val="22"/>
          <w:szCs w:val="22"/>
        </w:rPr>
        <w:t> </w:t>
      </w:r>
      <w:r w:rsidR="00434612" w:rsidRPr="00526A54">
        <w:rPr>
          <w:sz w:val="22"/>
          <w:szCs w:val="22"/>
        </w:rPr>
        <w:t>miechy pomocou magnetick</w:t>
      </w:r>
      <w:r w:rsidR="0063432D" w:rsidRPr="00526A54">
        <w:rPr>
          <w:sz w:val="22"/>
          <w:szCs w:val="22"/>
        </w:rPr>
        <w:t>ej</w:t>
      </w:r>
      <w:r w:rsidRPr="00526A54">
        <w:rPr>
          <w:sz w:val="22"/>
          <w:szCs w:val="22"/>
        </w:rPr>
        <w:t xml:space="preserve"> rezo</w:t>
      </w:r>
      <w:r w:rsidR="00434612" w:rsidRPr="00526A54">
        <w:rPr>
          <w:sz w:val="22"/>
          <w:szCs w:val="22"/>
        </w:rPr>
        <w:t>nanci</w:t>
      </w:r>
      <w:r w:rsidR="0063432D" w:rsidRPr="00526A54">
        <w:rPr>
          <w:sz w:val="22"/>
          <w:szCs w:val="22"/>
        </w:rPr>
        <w:t>e</w:t>
      </w:r>
      <w:r w:rsidR="00434612" w:rsidRPr="00526A54">
        <w:rPr>
          <w:sz w:val="22"/>
          <w:szCs w:val="22"/>
        </w:rPr>
        <w:t xml:space="preserve"> (MR</w:t>
      </w:r>
      <w:r w:rsidR="00C01556" w:rsidRPr="00526A54">
        <w:rPr>
          <w:sz w:val="22"/>
          <w:szCs w:val="22"/>
        </w:rPr>
        <w:t>I</w:t>
      </w:r>
      <w:r w:rsidR="00434612" w:rsidRPr="00526A54">
        <w:rPr>
          <w:sz w:val="22"/>
          <w:szCs w:val="22"/>
        </w:rPr>
        <w:t>)</w:t>
      </w:r>
      <w:r w:rsidRPr="00526A54">
        <w:rPr>
          <w:sz w:val="22"/>
          <w:szCs w:val="22"/>
        </w:rPr>
        <w:t>,</w:t>
      </w:r>
    </w:p>
    <w:p w14:paraId="51FF6727" w14:textId="0E2DB6D2" w:rsidR="008D44BE" w:rsidRPr="00526A54" w:rsidRDefault="008360A7" w:rsidP="00526A54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526A54">
        <w:rPr>
          <w:sz w:val="22"/>
          <w:szCs w:val="22"/>
        </w:rPr>
        <w:t>z</w:t>
      </w:r>
      <w:r w:rsidR="00BD5EC7" w:rsidRPr="00526A54">
        <w:rPr>
          <w:sz w:val="22"/>
          <w:szCs w:val="22"/>
        </w:rPr>
        <w:t xml:space="preserve">výšenie kontrastu </w:t>
      </w:r>
      <w:r w:rsidR="008D44BE" w:rsidRPr="00526A54">
        <w:rPr>
          <w:sz w:val="22"/>
          <w:szCs w:val="22"/>
        </w:rPr>
        <w:t xml:space="preserve">pri zobrazovaní </w:t>
      </w:r>
      <w:r w:rsidR="00BD5EC7" w:rsidRPr="00526A54">
        <w:rPr>
          <w:sz w:val="22"/>
          <w:szCs w:val="22"/>
        </w:rPr>
        <w:t>pečene a</w:t>
      </w:r>
      <w:r w:rsidR="00191C72" w:rsidRPr="00526A54">
        <w:rPr>
          <w:sz w:val="22"/>
          <w:szCs w:val="22"/>
        </w:rPr>
        <w:t>lebo</w:t>
      </w:r>
      <w:r w:rsidR="00BD5EC7" w:rsidRPr="00526A54">
        <w:rPr>
          <w:sz w:val="22"/>
          <w:szCs w:val="22"/>
        </w:rPr>
        <w:t xml:space="preserve"> obličiek </w:t>
      </w:r>
      <w:r w:rsidR="008D44BE" w:rsidRPr="00526A54">
        <w:rPr>
          <w:sz w:val="22"/>
          <w:szCs w:val="22"/>
        </w:rPr>
        <w:t>pomocou MR</w:t>
      </w:r>
      <w:r w:rsidR="00C01556" w:rsidRPr="00526A54">
        <w:rPr>
          <w:sz w:val="22"/>
          <w:szCs w:val="22"/>
        </w:rPr>
        <w:t>I</w:t>
      </w:r>
      <w:r w:rsidR="008D44BE" w:rsidRPr="00526A54" w:rsidDel="00BD5EC7">
        <w:rPr>
          <w:sz w:val="22"/>
          <w:szCs w:val="22"/>
        </w:rPr>
        <w:t xml:space="preserve"> </w:t>
      </w:r>
      <w:r w:rsidR="008D44BE" w:rsidRPr="00526A54">
        <w:rPr>
          <w:sz w:val="22"/>
          <w:szCs w:val="22"/>
        </w:rPr>
        <w:t xml:space="preserve">na odlíšenie malígnych a benígnych lézií </w:t>
      </w:r>
      <w:r w:rsidR="00BD5EC7" w:rsidRPr="00526A54">
        <w:rPr>
          <w:sz w:val="22"/>
          <w:szCs w:val="22"/>
        </w:rPr>
        <w:t>u pacientov so silným podozrením na výskyt fokálnych lézií alebo ich výskytom</w:t>
      </w:r>
      <w:r w:rsidRPr="00526A54">
        <w:rPr>
          <w:sz w:val="22"/>
          <w:szCs w:val="22"/>
        </w:rPr>
        <w:t>,</w:t>
      </w:r>
    </w:p>
    <w:p w14:paraId="4E253150" w14:textId="0ACB462C" w:rsidR="00434612" w:rsidRPr="00526A54" w:rsidRDefault="008360A7" w:rsidP="00526A54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526A54">
        <w:rPr>
          <w:sz w:val="22"/>
          <w:szCs w:val="22"/>
        </w:rPr>
        <w:t>z</w:t>
      </w:r>
      <w:r w:rsidR="00434612" w:rsidRPr="00526A54">
        <w:rPr>
          <w:sz w:val="22"/>
          <w:szCs w:val="22"/>
        </w:rPr>
        <w:t>výšenie kontrastu pri</w:t>
      </w:r>
      <w:r w:rsidR="003300C4" w:rsidRPr="00526A54">
        <w:rPr>
          <w:sz w:val="22"/>
          <w:szCs w:val="22"/>
        </w:rPr>
        <w:t> </w:t>
      </w:r>
      <w:r w:rsidR="00434612" w:rsidRPr="00526A54">
        <w:rPr>
          <w:sz w:val="22"/>
          <w:szCs w:val="22"/>
        </w:rPr>
        <w:t>magnetickej rezonančnej angiografii (CE-MRA)</w:t>
      </w:r>
      <w:r w:rsidR="003300C4" w:rsidRPr="00526A54">
        <w:rPr>
          <w:sz w:val="22"/>
          <w:szCs w:val="22"/>
        </w:rPr>
        <w:t>.</w:t>
      </w:r>
    </w:p>
    <w:p w14:paraId="03E1A45B" w14:textId="77777777" w:rsidR="008D44BE" w:rsidRPr="00526A54" w:rsidRDefault="008D44BE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26AE5D1" w14:textId="05F04737" w:rsidR="00E8321C" w:rsidRPr="00526A54" w:rsidRDefault="008D44BE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lastRenderedPageBreak/>
        <w:t>Gado</w:t>
      </w:r>
      <w:r w:rsidR="0063432D" w:rsidRPr="00526A54">
        <w:rPr>
          <w:sz w:val="22"/>
          <w:szCs w:val="22"/>
        </w:rPr>
        <w:t>graf</w:t>
      </w:r>
      <w:r w:rsidRPr="00526A54">
        <w:rPr>
          <w:sz w:val="22"/>
          <w:szCs w:val="22"/>
        </w:rPr>
        <w:t xml:space="preserve"> sa tiež môže použiť celotelovo na MR</w:t>
      </w:r>
      <w:r w:rsidR="00C01556" w:rsidRPr="00526A54">
        <w:rPr>
          <w:sz w:val="22"/>
          <w:szCs w:val="22"/>
        </w:rPr>
        <w:t>I</w:t>
      </w:r>
      <w:r w:rsidRPr="00526A54">
        <w:rPr>
          <w:sz w:val="22"/>
          <w:szCs w:val="22"/>
        </w:rPr>
        <w:t xml:space="preserve"> </w:t>
      </w:r>
      <w:r w:rsidR="004C3872" w:rsidRPr="00526A54">
        <w:rPr>
          <w:sz w:val="22"/>
          <w:szCs w:val="22"/>
        </w:rPr>
        <w:t>zobrazovanie</w:t>
      </w:r>
      <w:r w:rsidRPr="00526A54">
        <w:rPr>
          <w:sz w:val="22"/>
          <w:szCs w:val="22"/>
        </w:rPr>
        <w:t xml:space="preserve"> patologických zmien.</w:t>
      </w:r>
    </w:p>
    <w:p w14:paraId="59FF4396" w14:textId="0B185403" w:rsidR="008D44BE" w:rsidRPr="00526A54" w:rsidRDefault="00236506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U</w:t>
      </w:r>
      <w:r w:rsidR="008D44BE" w:rsidRPr="00526A54">
        <w:rPr>
          <w:sz w:val="22"/>
          <w:szCs w:val="22"/>
        </w:rPr>
        <w:t>ľahčuje vizualizáciu abnormálnych štruktúr alebo lézií a pomáha pri diferenciácii medzi zdravým a patologickým tkanivom.</w:t>
      </w:r>
    </w:p>
    <w:p w14:paraId="30D0C855" w14:textId="77777777" w:rsidR="003300C4" w:rsidRPr="00526A54" w:rsidRDefault="003300C4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58B5C95" w14:textId="453FD2FD" w:rsidR="00C01556" w:rsidRPr="00526A54" w:rsidRDefault="00C01556" w:rsidP="00526A54">
      <w:pPr>
        <w:autoSpaceDE w:val="0"/>
        <w:autoSpaceDN w:val="0"/>
        <w:adjustRightInd w:val="0"/>
        <w:rPr>
          <w:rFonts w:eastAsia="Times New Roman"/>
          <w:bCs/>
          <w:iCs/>
          <w:sz w:val="22"/>
          <w:szCs w:val="22"/>
          <w:lang w:eastAsia="en-GB"/>
        </w:rPr>
      </w:pPr>
      <w:r w:rsidRPr="00526A54">
        <w:rPr>
          <w:bCs/>
          <w:iCs/>
          <w:sz w:val="22"/>
          <w:szCs w:val="22"/>
          <w:lang w:eastAsia="en-GB"/>
        </w:rPr>
        <w:t>Gado</w:t>
      </w:r>
      <w:r w:rsidR="0063432D" w:rsidRPr="00526A54">
        <w:rPr>
          <w:bCs/>
          <w:iCs/>
          <w:sz w:val="22"/>
          <w:szCs w:val="22"/>
          <w:lang w:eastAsia="en-GB"/>
        </w:rPr>
        <w:t>graf</w:t>
      </w:r>
      <w:r w:rsidRPr="00526A54">
        <w:rPr>
          <w:bCs/>
          <w:iCs/>
          <w:sz w:val="22"/>
          <w:szCs w:val="22"/>
          <w:lang w:eastAsia="en-GB"/>
        </w:rPr>
        <w:t xml:space="preserve"> sa má použiť, len ak sú diagnostické informácie nevyhnutné a nie je možné ich získať </w:t>
      </w:r>
      <w:r w:rsidRPr="00526A54">
        <w:rPr>
          <w:rFonts w:eastAsia="Times New Roman"/>
          <w:bCs/>
          <w:iCs/>
          <w:sz w:val="22"/>
          <w:szCs w:val="22"/>
          <w:lang w:eastAsia="en-GB"/>
        </w:rPr>
        <w:t>vyšetrením magnetickou rezonanciou (MRI) bez zvýšenia kontrastu.</w:t>
      </w:r>
    </w:p>
    <w:p w14:paraId="4E6B7B06" w14:textId="77777777" w:rsidR="00C01556" w:rsidRPr="00526A54" w:rsidRDefault="00C01556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4A23281" w14:textId="40604213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4.2</w:t>
      </w:r>
      <w:r w:rsidR="00C46C1A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Dávkovanie a spôsob podávania</w:t>
      </w:r>
    </w:p>
    <w:p w14:paraId="6D785F98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3DF8372A" w14:textId="76E56156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Gado</w:t>
      </w:r>
      <w:r w:rsidR="002A0873" w:rsidRPr="00526A54">
        <w:rPr>
          <w:b/>
          <w:bCs/>
          <w:sz w:val="22"/>
          <w:szCs w:val="22"/>
        </w:rPr>
        <w:t>graf</w:t>
      </w:r>
      <w:r w:rsidRPr="00526A54">
        <w:rPr>
          <w:b/>
          <w:bCs/>
          <w:sz w:val="22"/>
          <w:szCs w:val="22"/>
        </w:rPr>
        <w:t xml:space="preserve"> </w:t>
      </w:r>
      <w:r w:rsidR="005231C6" w:rsidRPr="00526A54">
        <w:rPr>
          <w:b/>
          <w:bCs/>
          <w:sz w:val="22"/>
          <w:szCs w:val="22"/>
        </w:rPr>
        <w:t>môžu</w:t>
      </w:r>
      <w:r w:rsidR="00864BCC" w:rsidRPr="00526A54">
        <w:rPr>
          <w:b/>
          <w:bCs/>
          <w:sz w:val="22"/>
          <w:szCs w:val="22"/>
        </w:rPr>
        <w:t xml:space="preserve"> </w:t>
      </w:r>
      <w:r w:rsidRPr="00526A54">
        <w:rPr>
          <w:b/>
          <w:bCs/>
          <w:sz w:val="22"/>
          <w:szCs w:val="22"/>
        </w:rPr>
        <w:t xml:space="preserve">podávať iba </w:t>
      </w:r>
      <w:r w:rsidR="000C0198" w:rsidRPr="00526A54">
        <w:rPr>
          <w:b/>
          <w:bCs/>
          <w:sz w:val="22"/>
          <w:szCs w:val="22"/>
        </w:rPr>
        <w:t>zdravotníck</w:t>
      </w:r>
      <w:r w:rsidR="005231C6" w:rsidRPr="00526A54">
        <w:rPr>
          <w:b/>
          <w:bCs/>
          <w:sz w:val="22"/>
          <w:szCs w:val="22"/>
        </w:rPr>
        <w:t>i</w:t>
      </w:r>
      <w:r w:rsidR="000C0198" w:rsidRPr="00526A54">
        <w:rPr>
          <w:b/>
          <w:bCs/>
          <w:sz w:val="22"/>
          <w:szCs w:val="22"/>
        </w:rPr>
        <w:t xml:space="preserve"> pracovní</w:t>
      </w:r>
      <w:r w:rsidR="005231C6" w:rsidRPr="00526A54">
        <w:rPr>
          <w:b/>
          <w:bCs/>
          <w:sz w:val="22"/>
          <w:szCs w:val="22"/>
        </w:rPr>
        <w:t>ci</w:t>
      </w:r>
      <w:r w:rsidR="000C0198" w:rsidRPr="00526A54">
        <w:rPr>
          <w:b/>
          <w:bCs/>
          <w:sz w:val="22"/>
          <w:szCs w:val="22"/>
        </w:rPr>
        <w:t xml:space="preserve"> </w:t>
      </w:r>
      <w:r w:rsidRPr="00526A54">
        <w:rPr>
          <w:b/>
          <w:bCs/>
          <w:sz w:val="22"/>
          <w:szCs w:val="22"/>
        </w:rPr>
        <w:t>so</w:t>
      </w:r>
      <w:r w:rsidR="003300C4" w:rsidRPr="00526A54">
        <w:rPr>
          <w:sz w:val="22"/>
          <w:szCs w:val="22"/>
        </w:rPr>
        <w:t> </w:t>
      </w:r>
      <w:r w:rsidRPr="00526A54">
        <w:rPr>
          <w:b/>
          <w:bCs/>
          <w:sz w:val="22"/>
          <w:szCs w:val="22"/>
        </w:rPr>
        <w:t>skúsenosťami v oblasti klinickej MR</w:t>
      </w:r>
      <w:r w:rsidR="0016796B" w:rsidRPr="00526A54">
        <w:rPr>
          <w:b/>
          <w:bCs/>
          <w:sz w:val="22"/>
          <w:szCs w:val="22"/>
        </w:rPr>
        <w:t>I</w:t>
      </w:r>
      <w:r w:rsidRPr="00526A54">
        <w:rPr>
          <w:b/>
          <w:bCs/>
          <w:sz w:val="22"/>
          <w:szCs w:val="22"/>
        </w:rPr>
        <w:t>.</w:t>
      </w:r>
    </w:p>
    <w:p w14:paraId="7669244A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3AA22983" w14:textId="77777777" w:rsidR="00C46C1A" w:rsidRPr="00526A54" w:rsidRDefault="00C46C1A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Spôsob pod</w:t>
      </w:r>
      <w:r w:rsidR="0063663C" w:rsidRPr="00526A54">
        <w:rPr>
          <w:sz w:val="22"/>
          <w:szCs w:val="22"/>
          <w:u w:val="single"/>
        </w:rPr>
        <w:t>áv</w:t>
      </w:r>
      <w:r w:rsidRPr="00526A54">
        <w:rPr>
          <w:sz w:val="22"/>
          <w:szCs w:val="22"/>
          <w:u w:val="single"/>
        </w:rPr>
        <w:t>ani</w:t>
      </w:r>
      <w:r w:rsidR="007073E3" w:rsidRPr="00526A54">
        <w:rPr>
          <w:sz w:val="22"/>
          <w:szCs w:val="22"/>
          <w:u w:val="single"/>
        </w:rPr>
        <w:t>a</w:t>
      </w:r>
    </w:p>
    <w:p w14:paraId="7A1F5F87" w14:textId="77777777" w:rsidR="00C46C1A" w:rsidRPr="00526A54" w:rsidRDefault="00C46C1A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20A0AF30" w14:textId="77777777" w:rsidR="00C46C1A" w:rsidRPr="00526A54" w:rsidRDefault="00C46C1A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Tento liek je len na intravenózne podanie.</w:t>
      </w:r>
    </w:p>
    <w:p w14:paraId="4F6D82B4" w14:textId="6E24C9CC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Požadovaná dávka sa podáva intravenózne ako bolusová injekcia. MR</w:t>
      </w:r>
      <w:r w:rsidR="0016796B" w:rsidRPr="00526A54">
        <w:rPr>
          <w:sz w:val="22"/>
          <w:szCs w:val="22"/>
        </w:rPr>
        <w:t>I</w:t>
      </w:r>
      <w:r w:rsidR="001215FC" w:rsidRPr="00526A54">
        <w:rPr>
          <w:sz w:val="22"/>
          <w:szCs w:val="22"/>
        </w:rPr>
        <w:t xml:space="preserve"> s použitím kontrastnej látky</w:t>
      </w:r>
      <w:r w:rsidRPr="00526A54">
        <w:rPr>
          <w:sz w:val="22"/>
          <w:szCs w:val="22"/>
        </w:rPr>
        <w:t xml:space="preserve"> sa môže vykonávať okamžite po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podaní (krátko po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injekčnom podaní v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závislosti od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použitých impulzných sekvencií a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protokolu vyšetrenia).</w:t>
      </w:r>
    </w:p>
    <w:p w14:paraId="373C0B0F" w14:textId="77777777" w:rsidR="00133892" w:rsidRPr="00526A54" w:rsidRDefault="0013389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58105DC" w14:textId="71BD2E8E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Optimáln</w:t>
      </w:r>
      <w:r w:rsidR="00410C43" w:rsidRPr="00526A54">
        <w:rPr>
          <w:sz w:val="22"/>
          <w:szCs w:val="22"/>
        </w:rPr>
        <w:t xml:space="preserve">e zosilnenie signálu </w:t>
      </w:r>
      <w:r w:rsidR="007073E3" w:rsidRPr="00526A54">
        <w:rPr>
          <w:sz w:val="22"/>
          <w:szCs w:val="22"/>
        </w:rPr>
        <w:t>pri</w:t>
      </w:r>
      <w:r w:rsidR="003300C4" w:rsidRPr="00526A54">
        <w:rPr>
          <w:sz w:val="22"/>
          <w:szCs w:val="22"/>
        </w:rPr>
        <w:t> </w:t>
      </w:r>
      <w:r w:rsidR="007073E3" w:rsidRPr="00526A54">
        <w:rPr>
          <w:sz w:val="22"/>
          <w:szCs w:val="22"/>
        </w:rPr>
        <w:t xml:space="preserve">CE-MRA </w:t>
      </w:r>
      <w:r w:rsidRPr="00526A54">
        <w:rPr>
          <w:sz w:val="22"/>
          <w:szCs w:val="22"/>
        </w:rPr>
        <w:t>sa pozoruje počas prv</w:t>
      </w:r>
      <w:r w:rsidR="00DA0D77" w:rsidRPr="00526A54">
        <w:rPr>
          <w:sz w:val="22"/>
          <w:szCs w:val="22"/>
        </w:rPr>
        <w:t>ej pasáže</w:t>
      </w:r>
      <w:r w:rsidRPr="00526A54">
        <w:rPr>
          <w:sz w:val="22"/>
          <w:szCs w:val="22"/>
        </w:rPr>
        <w:t xml:space="preserve"> art</w:t>
      </w:r>
      <w:r w:rsidR="00DA0D77" w:rsidRPr="00526A54">
        <w:rPr>
          <w:sz w:val="22"/>
          <w:szCs w:val="22"/>
        </w:rPr>
        <w:t>ériami</w:t>
      </w:r>
      <w:r w:rsidRPr="00526A54">
        <w:rPr>
          <w:sz w:val="22"/>
          <w:szCs w:val="22"/>
        </w:rPr>
        <w:t xml:space="preserve"> a</w:t>
      </w:r>
      <w:r w:rsidR="007073E3" w:rsidRPr="00526A54">
        <w:rPr>
          <w:sz w:val="22"/>
          <w:szCs w:val="22"/>
        </w:rPr>
        <w:t xml:space="preserve"> pri</w:t>
      </w:r>
      <w:r w:rsidR="003300C4" w:rsidRPr="00526A54">
        <w:rPr>
          <w:sz w:val="22"/>
          <w:szCs w:val="22"/>
        </w:rPr>
        <w:t> </w:t>
      </w:r>
      <w:r w:rsidR="00E81B6F" w:rsidRPr="00526A54">
        <w:rPr>
          <w:sz w:val="22"/>
          <w:szCs w:val="22"/>
        </w:rPr>
        <w:t>vyšetrení</w:t>
      </w:r>
      <w:r w:rsidR="007073E3" w:rsidRPr="00526A54">
        <w:rPr>
          <w:sz w:val="22"/>
          <w:szCs w:val="22"/>
        </w:rPr>
        <w:t xml:space="preserve"> CNS</w:t>
      </w:r>
      <w:r w:rsidRPr="00526A54">
        <w:rPr>
          <w:sz w:val="22"/>
          <w:szCs w:val="22"/>
        </w:rPr>
        <w:t xml:space="preserve"> do približne</w:t>
      </w:r>
      <w:r w:rsidR="00410C43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15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minút po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injekcii Gado</w:t>
      </w:r>
      <w:r w:rsidR="00340B8D" w:rsidRPr="00526A54">
        <w:rPr>
          <w:sz w:val="22"/>
          <w:szCs w:val="22"/>
        </w:rPr>
        <w:t>grafu</w:t>
      </w:r>
      <w:r w:rsidRPr="00526A54">
        <w:rPr>
          <w:sz w:val="22"/>
          <w:szCs w:val="22"/>
        </w:rPr>
        <w:t xml:space="preserve"> (čas závisí od typu lézie/tkaniva). </w:t>
      </w:r>
    </w:p>
    <w:p w14:paraId="11CA805F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20AB7FE0" w14:textId="7274C51A" w:rsidR="00434612" w:rsidRPr="00526A54" w:rsidRDefault="00434612" w:rsidP="00526A54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>Na vyšetrenia s</w:t>
      </w:r>
      <w:r w:rsidR="003300C4" w:rsidRPr="00526A54">
        <w:rPr>
          <w:sz w:val="22"/>
          <w:szCs w:val="22"/>
        </w:rPr>
        <w:t> </w:t>
      </w:r>
      <w:r w:rsidR="001215FC" w:rsidRPr="00526A54">
        <w:rPr>
          <w:sz w:val="22"/>
          <w:szCs w:val="22"/>
        </w:rPr>
        <w:t>použitím kontrastnej</w:t>
      </w:r>
      <w:r w:rsidRPr="00526A54">
        <w:rPr>
          <w:sz w:val="22"/>
          <w:szCs w:val="22"/>
        </w:rPr>
        <w:t xml:space="preserve"> </w:t>
      </w:r>
      <w:r w:rsidR="001215FC" w:rsidRPr="00526A54">
        <w:rPr>
          <w:sz w:val="22"/>
          <w:szCs w:val="22"/>
        </w:rPr>
        <w:t xml:space="preserve">látky </w:t>
      </w:r>
      <w:r w:rsidRPr="00526A54">
        <w:rPr>
          <w:sz w:val="22"/>
          <w:szCs w:val="22"/>
        </w:rPr>
        <w:t>sú obzvlášť vhodné T</w:t>
      </w:r>
      <w:r w:rsidRPr="00526A54">
        <w:rPr>
          <w:sz w:val="22"/>
          <w:szCs w:val="22"/>
          <w:vertAlign w:val="subscript"/>
        </w:rPr>
        <w:t>1</w:t>
      </w:r>
      <w:r w:rsidRPr="00526A54">
        <w:rPr>
          <w:sz w:val="22"/>
          <w:szCs w:val="22"/>
        </w:rPr>
        <w:t>-vážené skenovacie sekvencie.</w:t>
      </w:r>
    </w:p>
    <w:p w14:paraId="6E55732A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F2FF456" w14:textId="52FEF6FF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Intravaskulárne podávanie kontrastn</w:t>
      </w:r>
      <w:r w:rsidR="00305726" w:rsidRPr="00526A54">
        <w:rPr>
          <w:sz w:val="22"/>
          <w:szCs w:val="22"/>
        </w:rPr>
        <w:t>ej</w:t>
      </w:r>
      <w:r w:rsidRPr="00526A54">
        <w:rPr>
          <w:sz w:val="22"/>
          <w:szCs w:val="22"/>
        </w:rPr>
        <w:t xml:space="preserve"> </w:t>
      </w:r>
      <w:r w:rsidR="00305726" w:rsidRPr="00526A54">
        <w:rPr>
          <w:sz w:val="22"/>
          <w:szCs w:val="22"/>
        </w:rPr>
        <w:t>látky</w:t>
      </w:r>
      <w:r w:rsidRPr="00526A54">
        <w:rPr>
          <w:sz w:val="22"/>
          <w:szCs w:val="22"/>
        </w:rPr>
        <w:t xml:space="preserve"> sa má vykonávať podľa možnosti ležiacemu pacientovi.</w:t>
      </w:r>
    </w:p>
    <w:p w14:paraId="4DBD7E9A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Pacient sa má po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podaní pozorovať aspoň pol hodiny, pretože podľa skúseností sa väčšina nežiaducich</w:t>
      </w:r>
      <w:r w:rsidR="00A21831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 xml:space="preserve">účinkov vyskytuje </w:t>
      </w:r>
      <w:r w:rsidR="00133892" w:rsidRPr="00526A54">
        <w:rPr>
          <w:sz w:val="22"/>
          <w:szCs w:val="22"/>
        </w:rPr>
        <w:t>v tejto dobe</w:t>
      </w:r>
      <w:r w:rsidR="004E6917" w:rsidRPr="00526A54">
        <w:rPr>
          <w:sz w:val="22"/>
          <w:szCs w:val="22"/>
        </w:rPr>
        <w:t xml:space="preserve"> (pozri časť 4.4)</w:t>
      </w:r>
      <w:r w:rsidRPr="00526A54">
        <w:rPr>
          <w:sz w:val="22"/>
          <w:szCs w:val="22"/>
        </w:rPr>
        <w:t>.</w:t>
      </w:r>
    </w:p>
    <w:p w14:paraId="79AEC158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403C4049" w14:textId="77777777" w:rsidR="000C0198" w:rsidRPr="00526A54" w:rsidRDefault="000C0198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Návod na použitie:</w:t>
      </w:r>
    </w:p>
    <w:p w14:paraId="627AF8F9" w14:textId="77777777" w:rsidR="000C0198" w:rsidRPr="00526A54" w:rsidRDefault="000C0198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22AE5B19" w14:textId="77777777" w:rsidR="001502C8" w:rsidRPr="00526A54" w:rsidRDefault="001502C8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Tento liek je určený len na jednorazové použitie.</w:t>
      </w:r>
    </w:p>
    <w:p w14:paraId="15E9A47A" w14:textId="77777777" w:rsidR="000C0198" w:rsidRPr="00526A54" w:rsidRDefault="000C0198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Tento liek sa musí pred použitím vizuálne skontrolovať.</w:t>
      </w:r>
    </w:p>
    <w:p w14:paraId="3F57A05B" w14:textId="01AFE032" w:rsidR="000C0198" w:rsidRPr="00526A54" w:rsidRDefault="000C0198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Gado</w:t>
      </w:r>
      <w:r w:rsidR="00217CFD" w:rsidRPr="00526A54">
        <w:rPr>
          <w:sz w:val="22"/>
          <w:szCs w:val="22"/>
        </w:rPr>
        <w:t>graf</w:t>
      </w:r>
      <w:r w:rsidRPr="00526A54">
        <w:rPr>
          <w:sz w:val="22"/>
          <w:szCs w:val="22"/>
        </w:rPr>
        <w:t xml:space="preserve"> sa nesmie použ</w:t>
      </w:r>
      <w:r w:rsidR="00453AED" w:rsidRPr="00526A54">
        <w:rPr>
          <w:sz w:val="22"/>
          <w:szCs w:val="22"/>
        </w:rPr>
        <w:t>i</w:t>
      </w:r>
      <w:r w:rsidRPr="00526A54">
        <w:rPr>
          <w:sz w:val="22"/>
          <w:szCs w:val="22"/>
        </w:rPr>
        <w:t xml:space="preserve">ť v prípade </w:t>
      </w:r>
      <w:r w:rsidR="001502C8" w:rsidRPr="00526A54">
        <w:rPr>
          <w:sz w:val="22"/>
          <w:szCs w:val="22"/>
        </w:rPr>
        <w:t>závažnej</w:t>
      </w:r>
      <w:r w:rsidRPr="00526A54">
        <w:rPr>
          <w:sz w:val="22"/>
          <w:szCs w:val="22"/>
        </w:rPr>
        <w:t xml:space="preserve"> zmeny </w:t>
      </w:r>
      <w:r w:rsidR="001502C8" w:rsidRPr="00526A54">
        <w:rPr>
          <w:sz w:val="22"/>
          <w:szCs w:val="22"/>
        </w:rPr>
        <w:t>s</w:t>
      </w:r>
      <w:r w:rsidRPr="00526A54">
        <w:rPr>
          <w:sz w:val="22"/>
          <w:szCs w:val="22"/>
        </w:rPr>
        <w:t xml:space="preserve">farbenia, výskytu </w:t>
      </w:r>
      <w:r w:rsidR="00DA0D77" w:rsidRPr="00526A54">
        <w:rPr>
          <w:sz w:val="22"/>
          <w:szCs w:val="22"/>
        </w:rPr>
        <w:t>častíc</w:t>
      </w:r>
      <w:r w:rsidRPr="00526A54">
        <w:rPr>
          <w:sz w:val="22"/>
          <w:szCs w:val="22"/>
        </w:rPr>
        <w:t xml:space="preserve"> alebo poškodenia obalu.</w:t>
      </w:r>
      <w:r w:rsidR="001502C8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 xml:space="preserve">Kontrastná látka, ktorá sa nepoužila pri </w:t>
      </w:r>
      <w:r w:rsidR="001502C8" w:rsidRPr="00526A54">
        <w:rPr>
          <w:sz w:val="22"/>
          <w:szCs w:val="22"/>
        </w:rPr>
        <w:t xml:space="preserve">jednom </w:t>
      </w:r>
      <w:r w:rsidRPr="00526A54">
        <w:rPr>
          <w:sz w:val="22"/>
          <w:szCs w:val="22"/>
        </w:rPr>
        <w:t>vyšetrení, sa musí zlikvidovať.</w:t>
      </w:r>
    </w:p>
    <w:p w14:paraId="1FAF9A34" w14:textId="77777777" w:rsidR="000C0198" w:rsidRPr="00526A54" w:rsidRDefault="000C0198" w:rsidP="00526A54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93FA765" w14:textId="57365E08" w:rsidR="000C0198" w:rsidRPr="00526A54" w:rsidRDefault="000C0198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Gado</w:t>
      </w:r>
      <w:r w:rsidR="00217CFD" w:rsidRPr="00526A54">
        <w:rPr>
          <w:sz w:val="22"/>
          <w:szCs w:val="22"/>
        </w:rPr>
        <w:t>graf</w:t>
      </w:r>
      <w:r w:rsidRPr="00526A54">
        <w:rPr>
          <w:sz w:val="22"/>
          <w:szCs w:val="22"/>
        </w:rPr>
        <w:t xml:space="preserve"> sa musí odoberať do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injekčnej striekačky z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injekčnej liekovky </w:t>
      </w:r>
      <w:r w:rsidR="001502C8" w:rsidRPr="00526A54">
        <w:rPr>
          <w:sz w:val="22"/>
          <w:szCs w:val="22"/>
        </w:rPr>
        <w:t>bezprostredne</w:t>
      </w:r>
      <w:r w:rsidRPr="00526A54">
        <w:rPr>
          <w:sz w:val="22"/>
          <w:szCs w:val="22"/>
        </w:rPr>
        <w:t xml:space="preserve"> pred použitím. Gumová zátka sa nikdy nesmie prepichnúť viac ako jedenkrát.</w:t>
      </w:r>
    </w:p>
    <w:p w14:paraId="4A05B4CB" w14:textId="77777777" w:rsidR="000D0E8D" w:rsidRPr="00526A54" w:rsidRDefault="000D0E8D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61BB54E" w14:textId="77777777" w:rsidR="0003190D" w:rsidRPr="00526A54" w:rsidRDefault="0003190D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  <w:lang w:eastAsia="de-DE"/>
        </w:rPr>
        <w:t xml:space="preserve">Ak sa tento liek plánuje podať pomocou </w:t>
      </w:r>
      <w:r w:rsidRPr="00526A54">
        <w:rPr>
          <w:sz w:val="22"/>
          <w:szCs w:val="22"/>
        </w:rPr>
        <w:t>automatického injektora</w:t>
      </w:r>
      <w:r w:rsidR="00187F3C" w:rsidRPr="00526A54">
        <w:rPr>
          <w:sz w:val="22"/>
          <w:szCs w:val="22"/>
          <w:lang w:eastAsia="de-DE"/>
        </w:rPr>
        <w:t xml:space="preserve">, </w:t>
      </w:r>
      <w:r w:rsidRPr="00526A54">
        <w:rPr>
          <w:sz w:val="22"/>
          <w:szCs w:val="22"/>
          <w:lang w:eastAsia="de-DE"/>
        </w:rPr>
        <w:t xml:space="preserve">vhodnosť </w:t>
      </w:r>
      <w:r w:rsidR="005307ED" w:rsidRPr="00526A54">
        <w:rPr>
          <w:sz w:val="22"/>
          <w:szCs w:val="22"/>
          <w:lang w:eastAsia="de-DE"/>
        </w:rPr>
        <w:t>jeho</w:t>
      </w:r>
      <w:r w:rsidR="004266C9" w:rsidRPr="00526A54">
        <w:rPr>
          <w:sz w:val="22"/>
          <w:szCs w:val="22"/>
          <w:lang w:eastAsia="de-DE"/>
        </w:rPr>
        <w:t xml:space="preserve"> </w:t>
      </w:r>
      <w:r w:rsidRPr="00526A54">
        <w:rPr>
          <w:sz w:val="22"/>
          <w:szCs w:val="22"/>
          <w:lang w:eastAsia="de-DE"/>
        </w:rPr>
        <w:t>plánované</w:t>
      </w:r>
      <w:r w:rsidR="005307ED" w:rsidRPr="00526A54">
        <w:rPr>
          <w:sz w:val="22"/>
          <w:szCs w:val="22"/>
          <w:lang w:eastAsia="de-DE"/>
        </w:rPr>
        <w:t>ho</w:t>
      </w:r>
      <w:r w:rsidRPr="00526A54">
        <w:rPr>
          <w:sz w:val="22"/>
          <w:szCs w:val="22"/>
          <w:lang w:eastAsia="de-DE"/>
        </w:rPr>
        <w:t xml:space="preserve"> použiti</w:t>
      </w:r>
      <w:r w:rsidR="004266C9" w:rsidRPr="00526A54">
        <w:rPr>
          <w:sz w:val="22"/>
          <w:szCs w:val="22"/>
          <w:lang w:eastAsia="de-DE"/>
        </w:rPr>
        <w:t>a</w:t>
      </w:r>
      <w:r w:rsidRPr="00526A54">
        <w:rPr>
          <w:sz w:val="22"/>
          <w:szCs w:val="22"/>
          <w:lang w:eastAsia="de-DE"/>
        </w:rPr>
        <w:t xml:space="preserve"> musí byť potvrdená výrobcom zdravotníckej pomôcky</w:t>
      </w:r>
      <w:r w:rsidR="00187F3C" w:rsidRPr="00526A54">
        <w:rPr>
          <w:sz w:val="22"/>
          <w:szCs w:val="22"/>
          <w:lang w:eastAsia="de-DE"/>
        </w:rPr>
        <w:t>.</w:t>
      </w:r>
      <w:r w:rsidR="003300C4" w:rsidRPr="00526A54">
        <w:rPr>
          <w:sz w:val="22"/>
          <w:szCs w:val="22"/>
          <w:lang w:eastAsia="de-DE"/>
        </w:rPr>
        <w:t xml:space="preserve"> </w:t>
      </w:r>
      <w:r w:rsidRPr="00526A54">
        <w:rPr>
          <w:sz w:val="22"/>
          <w:szCs w:val="22"/>
        </w:rPr>
        <w:t>Striktne sa musia dodržiavať aj všetky ďalšie pokyny výrobcu príslušného zariadenia.</w:t>
      </w:r>
    </w:p>
    <w:p w14:paraId="70073525" w14:textId="77777777" w:rsidR="000C0198" w:rsidRPr="00526A54" w:rsidRDefault="000C0198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CF072F4" w14:textId="77777777" w:rsidR="00434612" w:rsidRPr="00526A54" w:rsidRDefault="00434612" w:rsidP="00526A54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Dávkovanie</w:t>
      </w:r>
    </w:p>
    <w:p w14:paraId="4F76CEAB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23DB99B4" w14:textId="77777777" w:rsidR="005769AC" w:rsidRPr="00526A54" w:rsidRDefault="005769A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3AA456C6" w14:textId="77777777" w:rsidR="005769AC" w:rsidRPr="00526A54" w:rsidRDefault="005769AC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BE36761" w14:textId="77777777" w:rsidR="00434612" w:rsidRPr="00526A54" w:rsidRDefault="00434612" w:rsidP="00526A54">
      <w:pPr>
        <w:autoSpaceDE w:val="0"/>
        <w:autoSpaceDN w:val="0"/>
        <w:adjustRightInd w:val="0"/>
        <w:rPr>
          <w:i/>
          <w:sz w:val="22"/>
          <w:szCs w:val="22"/>
        </w:rPr>
      </w:pPr>
      <w:r w:rsidRPr="00526A54">
        <w:rPr>
          <w:i/>
          <w:sz w:val="22"/>
          <w:szCs w:val="22"/>
        </w:rPr>
        <w:t>Dospelí</w:t>
      </w:r>
    </w:p>
    <w:p w14:paraId="7E01A995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0D3C5EC" w14:textId="77777777" w:rsidR="00434612" w:rsidRPr="00526A54" w:rsidRDefault="00434612" w:rsidP="00526A54">
      <w:pPr>
        <w:keepNext/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Indikácie pre CNS</w:t>
      </w:r>
    </w:p>
    <w:p w14:paraId="775CADE5" w14:textId="53389323" w:rsidR="00434612" w:rsidRPr="00526A54" w:rsidRDefault="00434612" w:rsidP="00526A54">
      <w:pPr>
        <w:keepNext/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lastRenderedPageBreak/>
        <w:t>Odporúčaná dávka pre dospelých je 0,1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mmol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na</w:t>
      </w:r>
      <w:r w:rsidR="003300C4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kilogram telesnej hmotnosti (mmol/kg</w:t>
      </w:r>
      <w:r w:rsidR="00A21831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telesnej</w:t>
      </w:r>
      <w:r w:rsidR="00A21831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hmotnosti). To zodpovedá 0,1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</w:t>
      </w:r>
      <w:r w:rsidR="00E81B6F" w:rsidRPr="00526A54">
        <w:rPr>
          <w:sz w:val="22"/>
          <w:szCs w:val="22"/>
        </w:rPr>
        <w:t xml:space="preserve"> 1,0</w:t>
      </w:r>
      <w:r w:rsidR="003661C9" w:rsidRPr="00526A54">
        <w:rPr>
          <w:sz w:val="22"/>
          <w:szCs w:val="22"/>
        </w:rPr>
        <w:t> </w:t>
      </w:r>
      <w:r w:rsidR="00D86D94" w:rsidRPr="00526A54">
        <w:rPr>
          <w:sz w:val="22"/>
          <w:szCs w:val="22"/>
        </w:rPr>
        <w:t>M</w:t>
      </w:r>
      <w:r w:rsidR="00E81B6F" w:rsidRPr="00526A54">
        <w:rPr>
          <w:sz w:val="22"/>
          <w:szCs w:val="22"/>
        </w:rPr>
        <w:t xml:space="preserve"> roztoku</w:t>
      </w:r>
      <w:r w:rsidR="005307ED" w:rsidRPr="00526A54">
        <w:rPr>
          <w:sz w:val="22"/>
          <w:szCs w:val="22"/>
        </w:rPr>
        <w:t xml:space="preserve"> na </w:t>
      </w:r>
      <w:r w:rsidRPr="00526A54">
        <w:rPr>
          <w:sz w:val="22"/>
          <w:szCs w:val="22"/>
        </w:rPr>
        <w:t>kg telesnej hmotnosti.</w:t>
      </w:r>
    </w:p>
    <w:p w14:paraId="39882F1D" w14:textId="05426CDC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Ak pretrváva výrazné klinické podozrenie na lézie napriek normálnemu výsledku MR</w:t>
      </w:r>
      <w:r w:rsidR="0016796B" w:rsidRPr="00526A54">
        <w:rPr>
          <w:sz w:val="22"/>
          <w:szCs w:val="22"/>
        </w:rPr>
        <w:t>I</w:t>
      </w:r>
      <w:r w:rsidRPr="00526A54">
        <w:rPr>
          <w:sz w:val="22"/>
          <w:szCs w:val="22"/>
        </w:rPr>
        <w:t xml:space="preserve"> alebo ak by</w:t>
      </w:r>
      <w:r w:rsidR="003661C9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presnejšie informácie mohli ovplyvniť liečbu pacienta, môže sa do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30 minút od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prvej injekcie podať ďalšia injekcia až do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0,2</w:t>
      </w:r>
      <w:r w:rsidR="003661C9" w:rsidRPr="00526A54">
        <w:rPr>
          <w:sz w:val="22"/>
          <w:szCs w:val="22"/>
        </w:rPr>
        <w:t> </w:t>
      </w:r>
      <w:r w:rsidR="00D368D2" w:rsidRPr="00526A54">
        <w:rPr>
          <w:sz w:val="22"/>
          <w:szCs w:val="22"/>
        </w:rPr>
        <w:t>ml</w:t>
      </w:r>
      <w:r w:rsidRPr="00526A54">
        <w:rPr>
          <w:sz w:val="22"/>
          <w:szCs w:val="22"/>
        </w:rPr>
        <w:t>/kg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telesnej hmotnosti.</w:t>
      </w:r>
    </w:p>
    <w:p w14:paraId="38844E5E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46BF3607" w14:textId="4213A4BA" w:rsidR="00B27441" w:rsidRPr="00526A54" w:rsidRDefault="00B27441" w:rsidP="008331A9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Zobrazovanie celého tela pomocou MR</w:t>
      </w:r>
      <w:r w:rsidR="0016796B" w:rsidRPr="00526A54">
        <w:rPr>
          <w:sz w:val="22"/>
          <w:szCs w:val="22"/>
          <w:u w:val="single"/>
        </w:rPr>
        <w:t>I</w:t>
      </w:r>
      <w:r w:rsidRPr="00526A54">
        <w:rPr>
          <w:sz w:val="22"/>
          <w:szCs w:val="22"/>
          <w:u w:val="single"/>
        </w:rPr>
        <w:t xml:space="preserve"> (okrem MRA)</w:t>
      </w:r>
    </w:p>
    <w:p w14:paraId="30888821" w14:textId="48490FA8" w:rsidR="00B27441" w:rsidRPr="00526A54" w:rsidRDefault="00B27441" w:rsidP="008331A9">
      <w:pPr>
        <w:keepNext/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Na zodpovedanie klinickej otázky je vo všeobecnosti postačujúce podanie</w:t>
      </w:r>
      <w:r w:rsidR="003661C9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0,1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Gado</w:t>
      </w:r>
      <w:r w:rsidR="00787BDB" w:rsidRPr="00526A54">
        <w:rPr>
          <w:sz w:val="22"/>
          <w:szCs w:val="22"/>
        </w:rPr>
        <w:t>grafu</w:t>
      </w:r>
      <w:r w:rsidRPr="00526A54">
        <w:rPr>
          <w:sz w:val="22"/>
          <w:szCs w:val="22"/>
        </w:rPr>
        <w:t xml:space="preserve"> na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kilogram telesnej hmotnosti. </w:t>
      </w:r>
    </w:p>
    <w:p w14:paraId="00DB2ED0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739F8659" w14:textId="06A33F2E" w:rsidR="00434612" w:rsidRPr="00526A54" w:rsidRDefault="00434612" w:rsidP="00526A54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CE-MRA</w:t>
      </w:r>
    </w:p>
    <w:p w14:paraId="49F20BA7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Zobrazenie 1 zorného poľa (FOV): 7,5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pre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telesnú hmotnosť do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75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kg, 10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 pre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telesnú hmotnosť 75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kg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a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viac (čo zodpovedá 0,1</w:t>
      </w:r>
      <w:r w:rsidR="008360A7" w:rsidRPr="00526A54">
        <w:rPr>
          <w:sz w:val="22"/>
          <w:szCs w:val="22"/>
        </w:rPr>
        <w:noBreakHyphen/>
      </w:r>
      <w:r w:rsidRPr="00526A54">
        <w:rPr>
          <w:sz w:val="22"/>
          <w:szCs w:val="22"/>
        </w:rPr>
        <w:t>0,15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mmol/kg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telesnej hmotnosti).</w:t>
      </w:r>
    </w:p>
    <w:p w14:paraId="65B5ECB1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Zobrazenie &gt;1 zorného poľa (FOV): 15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 pre telesnú hmotnosť do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75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kg, 20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 pre telesnú hmotnosť 75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kg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a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viac (čo zodpovedá 0,2</w:t>
      </w:r>
      <w:r w:rsidR="008360A7" w:rsidRPr="00526A54">
        <w:rPr>
          <w:sz w:val="22"/>
          <w:szCs w:val="22"/>
        </w:rPr>
        <w:noBreakHyphen/>
      </w:r>
      <w:r w:rsidRPr="00526A54">
        <w:rPr>
          <w:sz w:val="22"/>
          <w:szCs w:val="22"/>
        </w:rPr>
        <w:t>0,3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mmol/kg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telesnej hmotnosti).</w:t>
      </w:r>
    </w:p>
    <w:p w14:paraId="0F463924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40AD0B4" w14:textId="2D6000C2" w:rsidR="006E2E65" w:rsidRPr="00526A54" w:rsidRDefault="00787BDB" w:rsidP="00526A54">
      <w:pPr>
        <w:autoSpaceDE w:val="0"/>
        <w:autoSpaceDN w:val="0"/>
        <w:adjustRightInd w:val="0"/>
        <w:outlineLvl w:val="0"/>
        <w:rPr>
          <w:i/>
          <w:sz w:val="22"/>
          <w:szCs w:val="22"/>
        </w:rPr>
      </w:pPr>
      <w:r w:rsidRPr="00526A54">
        <w:rPr>
          <w:i/>
          <w:sz w:val="22"/>
          <w:szCs w:val="22"/>
        </w:rPr>
        <w:t xml:space="preserve">Osobitné </w:t>
      </w:r>
      <w:r w:rsidR="006E2E65" w:rsidRPr="00526A54">
        <w:rPr>
          <w:i/>
          <w:sz w:val="22"/>
          <w:szCs w:val="22"/>
        </w:rPr>
        <w:t>skupiny pacientov</w:t>
      </w:r>
    </w:p>
    <w:p w14:paraId="7DF54CD3" w14:textId="77777777" w:rsidR="006E2E65" w:rsidRPr="00526A54" w:rsidRDefault="006E2E65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469126C6" w14:textId="77777777" w:rsidR="006E2E65" w:rsidRPr="00526A54" w:rsidRDefault="00446725" w:rsidP="00526A54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526A54">
        <w:rPr>
          <w:b/>
          <w:sz w:val="22"/>
          <w:szCs w:val="22"/>
        </w:rPr>
        <w:t>Pacienti s </w:t>
      </w:r>
      <w:r w:rsidR="006F06CD" w:rsidRPr="00526A54">
        <w:rPr>
          <w:b/>
          <w:sz w:val="22"/>
          <w:szCs w:val="22"/>
        </w:rPr>
        <w:t xml:space="preserve">poruchou </w:t>
      </w:r>
      <w:r w:rsidRPr="00526A54">
        <w:rPr>
          <w:b/>
          <w:sz w:val="22"/>
          <w:szCs w:val="22"/>
        </w:rPr>
        <w:t>funkcie obličiek</w:t>
      </w:r>
    </w:p>
    <w:p w14:paraId="498957F7" w14:textId="7D9E0179" w:rsidR="006E2E65" w:rsidRPr="00526A54" w:rsidRDefault="006E2E65" w:rsidP="00526A54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>Gado</w:t>
      </w:r>
      <w:r w:rsidR="00787BDB" w:rsidRPr="00526A54">
        <w:rPr>
          <w:sz w:val="22"/>
          <w:szCs w:val="22"/>
        </w:rPr>
        <w:t>graf</w:t>
      </w:r>
      <w:r w:rsidRPr="00526A54">
        <w:rPr>
          <w:sz w:val="22"/>
          <w:szCs w:val="22"/>
        </w:rPr>
        <w:t xml:space="preserve"> sa má </w:t>
      </w:r>
      <w:r w:rsidR="00E24169" w:rsidRPr="00526A54">
        <w:rPr>
          <w:sz w:val="22"/>
          <w:szCs w:val="22"/>
        </w:rPr>
        <w:t xml:space="preserve">použiť </w:t>
      </w:r>
      <w:r w:rsidRPr="00526A54">
        <w:rPr>
          <w:sz w:val="22"/>
          <w:szCs w:val="22"/>
        </w:rPr>
        <w:t>u pacientov s</w:t>
      </w:r>
      <w:r w:rsidR="00892D09" w:rsidRPr="00526A54">
        <w:rPr>
          <w:sz w:val="22"/>
          <w:szCs w:val="22"/>
        </w:rPr>
        <w:t>o</w:t>
      </w:r>
      <w:r w:rsidR="003661C9" w:rsidRPr="00526A54">
        <w:rPr>
          <w:sz w:val="22"/>
          <w:szCs w:val="22"/>
        </w:rPr>
        <w:t> </w:t>
      </w:r>
      <w:r w:rsidR="00892D09" w:rsidRPr="00526A54">
        <w:rPr>
          <w:sz w:val="22"/>
          <w:szCs w:val="22"/>
        </w:rPr>
        <w:t xml:space="preserve">závažnou </w:t>
      </w:r>
      <w:r w:rsidRPr="00526A54">
        <w:rPr>
          <w:sz w:val="22"/>
          <w:szCs w:val="22"/>
        </w:rPr>
        <w:t>po</w:t>
      </w:r>
      <w:r w:rsidR="00F96D89" w:rsidRPr="00526A54">
        <w:rPr>
          <w:sz w:val="22"/>
          <w:szCs w:val="22"/>
        </w:rPr>
        <w:t>ruchou</w:t>
      </w:r>
      <w:r w:rsidRPr="00526A54">
        <w:rPr>
          <w:sz w:val="22"/>
          <w:szCs w:val="22"/>
        </w:rPr>
        <w:t xml:space="preserve"> funkcie obličiek (GFR</w:t>
      </w:r>
      <w:r w:rsidR="003661C9" w:rsidRPr="00526A54">
        <w:rPr>
          <w:sz w:val="22"/>
          <w:szCs w:val="22"/>
        </w:rPr>
        <w:t> &lt;</w:t>
      </w:r>
      <w:r w:rsidRPr="00526A54">
        <w:rPr>
          <w:sz w:val="22"/>
          <w:szCs w:val="22"/>
        </w:rPr>
        <w:t>30 ml/min/1,73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</w:t>
      </w:r>
      <w:r w:rsidRPr="00526A54">
        <w:rPr>
          <w:sz w:val="22"/>
          <w:szCs w:val="22"/>
          <w:vertAlign w:val="superscript"/>
        </w:rPr>
        <w:t>2</w:t>
      </w:r>
      <w:r w:rsidRPr="00526A54">
        <w:rPr>
          <w:sz w:val="22"/>
          <w:szCs w:val="22"/>
        </w:rPr>
        <w:t>) a u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pacientov v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perioperačnom období transplantácie pečene </w:t>
      </w:r>
      <w:r w:rsidR="00E24169" w:rsidRPr="00526A54">
        <w:rPr>
          <w:sz w:val="22"/>
          <w:szCs w:val="22"/>
        </w:rPr>
        <w:t>len po</w:t>
      </w:r>
      <w:r w:rsidR="003661C9" w:rsidRPr="00526A54">
        <w:rPr>
          <w:sz w:val="22"/>
          <w:szCs w:val="22"/>
        </w:rPr>
        <w:t> </w:t>
      </w:r>
      <w:r w:rsidR="00E24169" w:rsidRPr="00526A54">
        <w:rPr>
          <w:sz w:val="22"/>
          <w:szCs w:val="22"/>
        </w:rPr>
        <w:t xml:space="preserve">starostlivom </w:t>
      </w:r>
      <w:r w:rsidR="00D90F5F" w:rsidRPr="00526A54">
        <w:rPr>
          <w:sz w:val="22"/>
          <w:szCs w:val="22"/>
        </w:rPr>
        <w:t>vyhodnotení</w:t>
      </w:r>
      <w:r w:rsidR="00E24169" w:rsidRPr="00526A54">
        <w:rPr>
          <w:sz w:val="22"/>
          <w:szCs w:val="22"/>
        </w:rPr>
        <w:t xml:space="preserve"> pomeru rizika </w:t>
      </w:r>
      <w:r w:rsidR="00CD7E6C" w:rsidRPr="00526A54">
        <w:rPr>
          <w:sz w:val="22"/>
          <w:szCs w:val="22"/>
        </w:rPr>
        <w:t>a</w:t>
      </w:r>
      <w:r w:rsidR="00892D09" w:rsidRPr="00526A54">
        <w:rPr>
          <w:sz w:val="22"/>
          <w:szCs w:val="22"/>
        </w:rPr>
        <w:t> </w:t>
      </w:r>
      <w:r w:rsidR="002453C8" w:rsidRPr="00526A54">
        <w:rPr>
          <w:sz w:val="22"/>
          <w:szCs w:val="22"/>
        </w:rPr>
        <w:t>prínos</w:t>
      </w:r>
      <w:r w:rsidR="00CD7E6C" w:rsidRPr="00526A54">
        <w:rPr>
          <w:sz w:val="22"/>
          <w:szCs w:val="22"/>
        </w:rPr>
        <w:t>u</w:t>
      </w:r>
      <w:r w:rsidR="00892D09" w:rsidRPr="00526A54">
        <w:rPr>
          <w:sz w:val="22"/>
          <w:szCs w:val="22"/>
        </w:rPr>
        <w:t>,</w:t>
      </w:r>
      <w:r w:rsidR="00E24169" w:rsidRPr="00526A54">
        <w:rPr>
          <w:sz w:val="22"/>
          <w:szCs w:val="22"/>
        </w:rPr>
        <w:t xml:space="preserve"> </w:t>
      </w:r>
      <w:r w:rsidR="00D90F5F" w:rsidRPr="00526A54">
        <w:rPr>
          <w:sz w:val="22"/>
          <w:szCs w:val="22"/>
        </w:rPr>
        <w:t xml:space="preserve">a ak </w:t>
      </w:r>
      <w:r w:rsidRPr="00526A54">
        <w:rPr>
          <w:sz w:val="22"/>
          <w:szCs w:val="22"/>
        </w:rPr>
        <w:t>je</w:t>
      </w:r>
      <w:r w:rsidR="00D90F5F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diagnostická informácia nevyhnutná a nedá sa získať</w:t>
      </w:r>
      <w:r w:rsidR="00787BDB" w:rsidRPr="00526A54">
        <w:rPr>
          <w:sz w:val="22"/>
          <w:szCs w:val="22"/>
        </w:rPr>
        <w:t xml:space="preserve"> pomocou MRI bez zvýšenia kontrastu</w:t>
      </w:r>
      <w:r w:rsidRPr="00526A54">
        <w:rPr>
          <w:sz w:val="22"/>
          <w:szCs w:val="22"/>
        </w:rPr>
        <w:t xml:space="preserve"> (MR</w:t>
      </w:r>
      <w:r w:rsidR="0016796B" w:rsidRPr="00526A54">
        <w:rPr>
          <w:sz w:val="22"/>
          <w:szCs w:val="22"/>
        </w:rPr>
        <w:t>I</w:t>
      </w:r>
      <w:r w:rsidRPr="00526A54">
        <w:rPr>
          <w:sz w:val="22"/>
          <w:szCs w:val="22"/>
        </w:rPr>
        <w:t>) (pozri časť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4.4). Ak </w:t>
      </w:r>
      <w:r w:rsidR="00787BDB" w:rsidRPr="00526A54">
        <w:rPr>
          <w:sz w:val="22"/>
          <w:szCs w:val="22"/>
        </w:rPr>
        <w:t>je potrebné použiť</w:t>
      </w:r>
      <w:r w:rsidRPr="00526A54">
        <w:rPr>
          <w:sz w:val="22"/>
          <w:szCs w:val="22"/>
        </w:rPr>
        <w:t xml:space="preserve"> Gado</w:t>
      </w:r>
      <w:r w:rsidR="00787BDB" w:rsidRPr="00526A54">
        <w:rPr>
          <w:sz w:val="22"/>
          <w:szCs w:val="22"/>
        </w:rPr>
        <w:t>graf</w:t>
      </w:r>
      <w:r w:rsidRPr="00526A54">
        <w:rPr>
          <w:sz w:val="22"/>
          <w:szCs w:val="22"/>
        </w:rPr>
        <w:t>, dávka</w:t>
      </w:r>
      <w:r w:rsidR="00D90F5F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nesmie prekročiť 0,1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mmol/kg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telesnej hmotnosti. Počas vyšetrenia </w:t>
      </w:r>
      <w:r w:rsidR="00D90F5F" w:rsidRPr="00526A54">
        <w:rPr>
          <w:sz w:val="22"/>
          <w:szCs w:val="22"/>
        </w:rPr>
        <w:t>s</w:t>
      </w:r>
      <w:r w:rsidRPr="00526A54">
        <w:rPr>
          <w:sz w:val="22"/>
          <w:szCs w:val="22"/>
        </w:rPr>
        <w:t>a nesmie použiť viac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ako jedna</w:t>
      </w:r>
      <w:r w:rsidR="00D90F5F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dávka. Z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dôvodu chýbajúcich informácií o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opakovanom podávaní sa injekcie Gado</w:t>
      </w:r>
      <w:r w:rsidR="00787BDB" w:rsidRPr="00526A54">
        <w:rPr>
          <w:sz w:val="22"/>
          <w:szCs w:val="22"/>
        </w:rPr>
        <w:t>grafu</w:t>
      </w:r>
      <w:r w:rsidRPr="00526A54">
        <w:rPr>
          <w:sz w:val="22"/>
          <w:szCs w:val="22"/>
        </w:rPr>
        <w:t xml:space="preserve"> nesmú opakovať pokiaľ nie je interval medzi injekciami minimálne 7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dní.</w:t>
      </w:r>
    </w:p>
    <w:p w14:paraId="350076FF" w14:textId="77777777" w:rsidR="00E30D17" w:rsidRPr="00526A54" w:rsidRDefault="00E30D17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6DE1ED6D" w14:textId="77777777" w:rsidR="00434612" w:rsidRPr="00526A54" w:rsidRDefault="00434612" w:rsidP="00526A54">
      <w:pPr>
        <w:autoSpaceDE w:val="0"/>
        <w:autoSpaceDN w:val="0"/>
        <w:adjustRightInd w:val="0"/>
        <w:rPr>
          <w:b/>
          <w:sz w:val="22"/>
          <w:szCs w:val="22"/>
        </w:rPr>
      </w:pPr>
      <w:r w:rsidRPr="00526A54">
        <w:rPr>
          <w:b/>
          <w:sz w:val="22"/>
          <w:szCs w:val="22"/>
        </w:rPr>
        <w:t>Pediatrick</w:t>
      </w:r>
      <w:r w:rsidR="006E2E65" w:rsidRPr="00526A54">
        <w:rPr>
          <w:b/>
          <w:sz w:val="22"/>
          <w:szCs w:val="22"/>
        </w:rPr>
        <w:t xml:space="preserve">á </w:t>
      </w:r>
      <w:r w:rsidR="007E28E1" w:rsidRPr="00526A54">
        <w:rPr>
          <w:b/>
          <w:sz w:val="22"/>
          <w:szCs w:val="22"/>
        </w:rPr>
        <w:t>populácia</w:t>
      </w:r>
      <w:r w:rsidR="006E2E65" w:rsidRPr="00526A54">
        <w:rPr>
          <w:b/>
          <w:sz w:val="22"/>
          <w:szCs w:val="22"/>
        </w:rPr>
        <w:t xml:space="preserve"> </w:t>
      </w:r>
    </w:p>
    <w:p w14:paraId="0F5E51CE" w14:textId="22892CEC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Pre deti </w:t>
      </w:r>
      <w:r w:rsidR="00133574" w:rsidRPr="00526A54">
        <w:rPr>
          <w:sz w:val="22"/>
          <w:szCs w:val="22"/>
        </w:rPr>
        <w:t xml:space="preserve">každého veku (vrátane </w:t>
      </w:r>
      <w:r w:rsidR="00E45888" w:rsidRPr="00526A54">
        <w:rPr>
          <w:sz w:val="22"/>
          <w:szCs w:val="22"/>
        </w:rPr>
        <w:t xml:space="preserve">donosených </w:t>
      </w:r>
      <w:r w:rsidR="00133574" w:rsidRPr="00526A54">
        <w:rPr>
          <w:sz w:val="22"/>
          <w:szCs w:val="22"/>
        </w:rPr>
        <w:t>novorodencov)</w:t>
      </w:r>
      <w:r w:rsidR="00D90F5F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sa pre všetky indikácie (pozri časť 4.1) odporúča dávka 0,1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mmol</w:t>
      </w:r>
      <w:r w:rsidR="003661C9" w:rsidRPr="00526A54">
        <w:rPr>
          <w:sz w:val="22"/>
          <w:szCs w:val="22"/>
        </w:rPr>
        <w:t> </w:t>
      </w:r>
      <w:r w:rsidR="00133574" w:rsidRPr="00526A54">
        <w:rPr>
          <w:sz w:val="22"/>
          <w:szCs w:val="22"/>
        </w:rPr>
        <w:t>gadobutrolu</w:t>
      </w:r>
      <w:r w:rsidRPr="00526A54">
        <w:rPr>
          <w:sz w:val="22"/>
          <w:szCs w:val="22"/>
        </w:rPr>
        <w:t xml:space="preserve"> na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kilogram telesnej hmotnosti (zodpovedá 0,1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ml Gado</w:t>
      </w:r>
      <w:r w:rsidR="00787BDB" w:rsidRPr="00526A54">
        <w:rPr>
          <w:sz w:val="22"/>
          <w:szCs w:val="22"/>
        </w:rPr>
        <w:t>grafu</w:t>
      </w:r>
      <w:r w:rsidRPr="00526A54">
        <w:rPr>
          <w:sz w:val="22"/>
          <w:szCs w:val="22"/>
        </w:rPr>
        <w:t xml:space="preserve"> na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kilogram telesnej hmotnosti).</w:t>
      </w:r>
    </w:p>
    <w:p w14:paraId="30751232" w14:textId="77777777" w:rsidR="00434612" w:rsidRPr="00526A54" w:rsidRDefault="00434612" w:rsidP="00526A54">
      <w:pPr>
        <w:ind w:right="44"/>
        <w:rPr>
          <w:sz w:val="22"/>
          <w:szCs w:val="22"/>
        </w:rPr>
      </w:pPr>
    </w:p>
    <w:p w14:paraId="1647D126" w14:textId="77777777" w:rsidR="00133574" w:rsidRPr="00526A54" w:rsidRDefault="00133574" w:rsidP="00526A54">
      <w:pPr>
        <w:autoSpaceDE w:val="0"/>
        <w:autoSpaceDN w:val="0"/>
        <w:adjustRightInd w:val="0"/>
        <w:rPr>
          <w:b/>
          <w:sz w:val="22"/>
          <w:szCs w:val="22"/>
        </w:rPr>
      </w:pPr>
      <w:r w:rsidRPr="00526A54">
        <w:rPr>
          <w:b/>
          <w:sz w:val="22"/>
          <w:szCs w:val="22"/>
        </w:rPr>
        <w:t>Novorodenci do 4.týždňa veku a dojčatá do 1 roku</w:t>
      </w:r>
    </w:p>
    <w:p w14:paraId="5C2F4F22" w14:textId="0EBD485F" w:rsidR="00133574" w:rsidRPr="00526A54" w:rsidRDefault="00133574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Z dôvodu nezrelej funkcie obličiek u novorodencov do 4.týždňa veku a dojčiat do 1 roku, sa má Gado</w:t>
      </w:r>
      <w:r w:rsidR="00787BDB" w:rsidRPr="00526A54">
        <w:rPr>
          <w:sz w:val="22"/>
          <w:szCs w:val="22"/>
        </w:rPr>
        <w:t xml:space="preserve">graf </w:t>
      </w:r>
      <w:r w:rsidRPr="00526A54">
        <w:rPr>
          <w:sz w:val="22"/>
          <w:szCs w:val="22"/>
        </w:rPr>
        <w:t>použiť u týchto pacientov iba po starostlivom zvážení a dávka nesmie prekročiť 0,1 mmol/kg telesnej hmotnosti. Počas vyšetrenia sa nesmie použiť viac ako jedna dávka. Z dôvodu chýbajúcich informácií o opakovanom podávaní sa injekcie Gado</w:t>
      </w:r>
      <w:r w:rsidR="00787BDB" w:rsidRPr="00526A54">
        <w:rPr>
          <w:sz w:val="22"/>
          <w:szCs w:val="22"/>
        </w:rPr>
        <w:t>grafu</w:t>
      </w:r>
      <w:r w:rsidRPr="00526A54">
        <w:rPr>
          <w:sz w:val="22"/>
          <w:szCs w:val="22"/>
        </w:rPr>
        <w:t xml:space="preserve"> nesmú opakovať pokiaľ nie je interval medzi injekciami minimálne 7 dní.</w:t>
      </w:r>
    </w:p>
    <w:p w14:paraId="1DFBAB43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E5EFFF" w14:textId="41CCB323" w:rsidR="00ED2F57" w:rsidRPr="00526A54" w:rsidRDefault="00ED2F57" w:rsidP="00526A54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526A54">
        <w:rPr>
          <w:b/>
          <w:sz w:val="22"/>
          <w:szCs w:val="22"/>
        </w:rPr>
        <w:t>Starší pacienti (vo veku 65</w:t>
      </w:r>
      <w:r w:rsidR="00787BDB" w:rsidRPr="00526A54">
        <w:rPr>
          <w:b/>
          <w:bCs/>
          <w:sz w:val="22"/>
          <w:szCs w:val="22"/>
        </w:rPr>
        <w:t> </w:t>
      </w:r>
      <w:r w:rsidRPr="00526A54">
        <w:rPr>
          <w:b/>
          <w:sz w:val="22"/>
          <w:szCs w:val="22"/>
        </w:rPr>
        <w:t>rokov a starší)</w:t>
      </w:r>
    </w:p>
    <w:p w14:paraId="4234EE7E" w14:textId="7586BAE2" w:rsidR="00ED2F57" w:rsidRPr="00526A54" w:rsidRDefault="00ED2F57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Úprava dávky </w:t>
      </w:r>
      <w:r w:rsidR="00787BDB" w:rsidRPr="00526A54">
        <w:rPr>
          <w:sz w:val="22"/>
          <w:szCs w:val="22"/>
        </w:rPr>
        <w:t>nie je potrebná</w:t>
      </w:r>
      <w:r w:rsidRPr="00526A54">
        <w:rPr>
          <w:sz w:val="22"/>
          <w:szCs w:val="22"/>
        </w:rPr>
        <w:t>. U starších pacientov sa vyžaduje opatrnosť (pozri časť</w:t>
      </w:r>
      <w:r w:rsidR="003661C9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4.4).</w:t>
      </w:r>
    </w:p>
    <w:p w14:paraId="03AE1DFC" w14:textId="77777777" w:rsidR="006E2E65" w:rsidRPr="00526A54" w:rsidRDefault="006E2E65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C10797" w14:textId="76E1C7E9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4.3</w:t>
      </w:r>
      <w:r w:rsidR="00723447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Kontraindikácie</w:t>
      </w:r>
    </w:p>
    <w:p w14:paraId="0D4D0ACB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FA3C68A" w14:textId="77777777" w:rsidR="00D90F5F" w:rsidRPr="00526A54" w:rsidRDefault="00D90F5F" w:rsidP="00526A54">
      <w:pPr>
        <w:pStyle w:val="Zkladntext"/>
        <w:outlineLvl w:val="0"/>
        <w:rPr>
          <w:noProof/>
          <w:szCs w:val="22"/>
        </w:rPr>
      </w:pPr>
      <w:r w:rsidRPr="00526A54">
        <w:rPr>
          <w:noProof/>
          <w:szCs w:val="22"/>
        </w:rPr>
        <w:t>Precitlivenosť na liečivo alebo na ktorúkoľvek z pomocných látok uvedených v časti 6.1.</w:t>
      </w:r>
    </w:p>
    <w:p w14:paraId="29049033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1CB5DE" w14:textId="4EBF1B3F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4.4</w:t>
      </w:r>
      <w:r w:rsidR="00723447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Osobitné upozornenia a opatrenia pri používaní</w:t>
      </w:r>
    </w:p>
    <w:p w14:paraId="7B79C81B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9FEB86F" w14:textId="2A0162A2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Počas injekčného podávania Gado</w:t>
      </w:r>
      <w:r w:rsidR="005F1D33" w:rsidRPr="00526A54">
        <w:rPr>
          <w:sz w:val="22"/>
          <w:szCs w:val="22"/>
        </w:rPr>
        <w:t>grafu</w:t>
      </w:r>
      <w:r w:rsidRPr="00526A54">
        <w:rPr>
          <w:sz w:val="22"/>
          <w:szCs w:val="22"/>
        </w:rPr>
        <w:t xml:space="preserve"> do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žíl s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malým priesvitom existuje možnosť nežiaducich účinkov,</w:t>
      </w:r>
      <w:r w:rsidR="003661C9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ako napríklad sčerven</w:t>
      </w:r>
      <w:r w:rsidR="002453C8" w:rsidRPr="00526A54">
        <w:rPr>
          <w:sz w:val="22"/>
          <w:szCs w:val="22"/>
        </w:rPr>
        <w:t>a</w:t>
      </w:r>
      <w:r w:rsidRPr="00526A54">
        <w:rPr>
          <w:sz w:val="22"/>
          <w:szCs w:val="22"/>
        </w:rPr>
        <w:t>nie a opuch.</w:t>
      </w:r>
    </w:p>
    <w:p w14:paraId="0BF64149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1334186" w14:textId="31AB8215" w:rsidR="00434612" w:rsidRPr="00526A54" w:rsidRDefault="005F1D33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Aj pri používaní Gadografu platia o</w:t>
      </w:r>
      <w:r w:rsidR="00434612" w:rsidRPr="00526A54">
        <w:rPr>
          <w:sz w:val="22"/>
          <w:szCs w:val="22"/>
        </w:rPr>
        <w:t xml:space="preserve">bvyklé bezpečnostné </w:t>
      </w:r>
      <w:r w:rsidRPr="00526A54">
        <w:rPr>
          <w:sz w:val="22"/>
          <w:szCs w:val="22"/>
        </w:rPr>
        <w:t>opatrenia</w:t>
      </w:r>
      <w:r w:rsidR="00434612" w:rsidRPr="00526A54">
        <w:rPr>
          <w:sz w:val="22"/>
          <w:szCs w:val="22"/>
        </w:rPr>
        <w:t xml:space="preserve"> </w:t>
      </w:r>
      <w:r w:rsidR="00892D09" w:rsidRPr="00526A54">
        <w:rPr>
          <w:sz w:val="22"/>
          <w:szCs w:val="22"/>
        </w:rPr>
        <w:t>na</w:t>
      </w:r>
      <w:r w:rsidR="003661C9" w:rsidRPr="00526A54">
        <w:rPr>
          <w:sz w:val="22"/>
          <w:szCs w:val="22"/>
        </w:rPr>
        <w:t> </w:t>
      </w:r>
      <w:r w:rsidR="00434612" w:rsidRPr="00526A54">
        <w:rPr>
          <w:sz w:val="22"/>
          <w:szCs w:val="22"/>
        </w:rPr>
        <w:t>zobrazovanie magnetickou rezonanciou, najmä vylúčenie</w:t>
      </w:r>
      <w:r w:rsidR="003661C9" w:rsidRPr="00526A54">
        <w:rPr>
          <w:sz w:val="22"/>
          <w:szCs w:val="22"/>
        </w:rPr>
        <w:t xml:space="preserve"> </w:t>
      </w:r>
      <w:r w:rsidR="00434612" w:rsidRPr="00526A54">
        <w:rPr>
          <w:sz w:val="22"/>
          <w:szCs w:val="22"/>
        </w:rPr>
        <w:t>feromagnetických materiálov.</w:t>
      </w:r>
    </w:p>
    <w:p w14:paraId="26656768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B3CBD54" w14:textId="77777777" w:rsidR="00434612" w:rsidRPr="00526A54" w:rsidRDefault="001F6E78" w:rsidP="00526A54">
      <w:pPr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Hypersenzitívne r</w:t>
      </w:r>
      <w:r w:rsidR="00E64767" w:rsidRPr="00526A54">
        <w:rPr>
          <w:sz w:val="22"/>
          <w:szCs w:val="22"/>
          <w:u w:val="single"/>
        </w:rPr>
        <w:t>eakcie</w:t>
      </w:r>
    </w:p>
    <w:p w14:paraId="71D2179C" w14:textId="6BB38A8A" w:rsidR="00B71AD7" w:rsidRPr="00526A54" w:rsidRDefault="00D26FA1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Rovnako ako </w:t>
      </w:r>
      <w:r w:rsidR="00892D09" w:rsidRPr="00526A54">
        <w:rPr>
          <w:sz w:val="22"/>
          <w:szCs w:val="22"/>
        </w:rPr>
        <w:t>pri</w:t>
      </w:r>
      <w:r w:rsidRPr="00526A54">
        <w:rPr>
          <w:sz w:val="22"/>
          <w:szCs w:val="22"/>
        </w:rPr>
        <w:t> ostatných intravenóznych kontrastných lát</w:t>
      </w:r>
      <w:r w:rsidR="00892D09" w:rsidRPr="00526A54">
        <w:rPr>
          <w:sz w:val="22"/>
          <w:szCs w:val="22"/>
        </w:rPr>
        <w:t>kach</w:t>
      </w:r>
      <w:r w:rsidRPr="00526A54">
        <w:rPr>
          <w:sz w:val="22"/>
          <w:szCs w:val="22"/>
        </w:rPr>
        <w:t>, aj p</w:t>
      </w:r>
      <w:r w:rsidR="003108DE" w:rsidRPr="00526A54">
        <w:rPr>
          <w:sz w:val="22"/>
          <w:szCs w:val="22"/>
        </w:rPr>
        <w:t>odanie Gado</w:t>
      </w:r>
      <w:r w:rsidR="005F1D33" w:rsidRPr="00526A54">
        <w:rPr>
          <w:sz w:val="22"/>
          <w:szCs w:val="22"/>
        </w:rPr>
        <w:t>grafu</w:t>
      </w:r>
      <w:r w:rsidR="003108DE" w:rsidRPr="00526A54">
        <w:rPr>
          <w:sz w:val="22"/>
          <w:szCs w:val="22"/>
        </w:rPr>
        <w:t xml:space="preserve"> môže </w:t>
      </w:r>
      <w:r w:rsidRPr="00526A54">
        <w:rPr>
          <w:sz w:val="22"/>
          <w:szCs w:val="22"/>
        </w:rPr>
        <w:t xml:space="preserve">byť </w:t>
      </w:r>
      <w:r w:rsidR="003108DE" w:rsidRPr="00526A54">
        <w:rPr>
          <w:sz w:val="22"/>
          <w:szCs w:val="22"/>
        </w:rPr>
        <w:t>spojené s anafylaktoidnými/</w:t>
      </w:r>
      <w:r w:rsidR="000D50D0" w:rsidRPr="00526A54">
        <w:rPr>
          <w:sz w:val="22"/>
          <w:szCs w:val="22"/>
        </w:rPr>
        <w:t xml:space="preserve">hypersenzitívnymi </w:t>
      </w:r>
      <w:r w:rsidR="003108DE" w:rsidRPr="00526A54">
        <w:rPr>
          <w:sz w:val="22"/>
          <w:szCs w:val="22"/>
        </w:rPr>
        <w:t>reakciami</w:t>
      </w:r>
      <w:r w:rsidR="00434612" w:rsidRPr="00526A54">
        <w:rPr>
          <w:sz w:val="22"/>
          <w:szCs w:val="22"/>
        </w:rPr>
        <w:t xml:space="preserve">, </w:t>
      </w:r>
      <w:r w:rsidR="003108DE" w:rsidRPr="00526A54">
        <w:rPr>
          <w:sz w:val="22"/>
          <w:szCs w:val="22"/>
        </w:rPr>
        <w:t xml:space="preserve">alebo ďalšími idiosynkratickými </w:t>
      </w:r>
      <w:r w:rsidR="00E64767" w:rsidRPr="00526A54">
        <w:rPr>
          <w:sz w:val="22"/>
          <w:szCs w:val="22"/>
        </w:rPr>
        <w:t>reakci</w:t>
      </w:r>
      <w:r w:rsidR="003108DE" w:rsidRPr="00526A54">
        <w:rPr>
          <w:sz w:val="22"/>
          <w:szCs w:val="22"/>
        </w:rPr>
        <w:t>ami</w:t>
      </w:r>
      <w:r w:rsidR="00B71AD7" w:rsidRPr="00526A54">
        <w:rPr>
          <w:sz w:val="22"/>
          <w:szCs w:val="22"/>
        </w:rPr>
        <w:t>, ktoré sú charakterizované kardiovaskulárnymi, respiračnými alebo kožnými prejavmi v rozsahu až po závažné reakcie vrátane šoku</w:t>
      </w:r>
      <w:r w:rsidR="002453C8" w:rsidRPr="00526A54">
        <w:rPr>
          <w:sz w:val="22"/>
          <w:szCs w:val="22"/>
        </w:rPr>
        <w:t>.</w:t>
      </w:r>
      <w:r w:rsidR="00E64767" w:rsidRPr="00526A54">
        <w:rPr>
          <w:sz w:val="22"/>
          <w:szCs w:val="22"/>
        </w:rPr>
        <w:t xml:space="preserve"> </w:t>
      </w:r>
      <w:r w:rsidR="00B71AD7" w:rsidRPr="00526A54">
        <w:rPr>
          <w:sz w:val="22"/>
          <w:szCs w:val="22"/>
        </w:rPr>
        <w:t>Pacienti s kardiovaskulárnymi ochoreniami sú vo všeobecnosti náchyln</w:t>
      </w:r>
      <w:r w:rsidR="009B6094" w:rsidRPr="00526A54">
        <w:rPr>
          <w:sz w:val="22"/>
          <w:szCs w:val="22"/>
        </w:rPr>
        <w:t>ejší</w:t>
      </w:r>
      <w:r w:rsidR="00B71AD7" w:rsidRPr="00526A54">
        <w:rPr>
          <w:sz w:val="22"/>
          <w:szCs w:val="22"/>
        </w:rPr>
        <w:t xml:space="preserve"> na závažné alebo </w:t>
      </w:r>
      <w:r w:rsidR="00016F7F" w:rsidRPr="00526A54">
        <w:rPr>
          <w:sz w:val="22"/>
          <w:szCs w:val="22"/>
        </w:rPr>
        <w:t>až</w:t>
      </w:r>
      <w:r w:rsidR="00B71AD7" w:rsidRPr="00526A54">
        <w:rPr>
          <w:sz w:val="22"/>
          <w:szCs w:val="22"/>
        </w:rPr>
        <w:t xml:space="preserve"> fatálne dôsledky závažných </w:t>
      </w:r>
      <w:r w:rsidR="009B6094" w:rsidRPr="00526A54">
        <w:rPr>
          <w:sz w:val="22"/>
          <w:szCs w:val="22"/>
        </w:rPr>
        <w:t xml:space="preserve">hypersenzitívnych </w:t>
      </w:r>
      <w:r w:rsidR="00B71AD7" w:rsidRPr="00526A54">
        <w:rPr>
          <w:sz w:val="22"/>
          <w:szCs w:val="22"/>
        </w:rPr>
        <w:t>reakcií.</w:t>
      </w:r>
    </w:p>
    <w:p w14:paraId="23E0B7A5" w14:textId="77777777" w:rsidR="00B71AD7" w:rsidRPr="00526A54" w:rsidRDefault="00B71AD7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7EF1E976" w14:textId="77777777" w:rsidR="00B71AD7" w:rsidRPr="00526A54" w:rsidRDefault="00B71AD7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Riziko </w:t>
      </w:r>
      <w:r w:rsidR="009B6094" w:rsidRPr="00526A54">
        <w:rPr>
          <w:sz w:val="22"/>
          <w:szCs w:val="22"/>
        </w:rPr>
        <w:t xml:space="preserve">hypersenzitívnych </w:t>
      </w:r>
      <w:r w:rsidRPr="00526A54">
        <w:rPr>
          <w:sz w:val="22"/>
          <w:szCs w:val="22"/>
        </w:rPr>
        <w:t>reakcií môže byť vyššie v prípade:</w:t>
      </w:r>
    </w:p>
    <w:p w14:paraId="219660BC" w14:textId="499D374C" w:rsidR="00B71AD7" w:rsidRPr="00526A54" w:rsidRDefault="00B71AD7" w:rsidP="00526A54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26A54">
        <w:rPr>
          <w:sz w:val="22"/>
          <w:szCs w:val="22"/>
        </w:rPr>
        <w:t>predošl</w:t>
      </w:r>
      <w:r w:rsidR="005F1D33" w:rsidRPr="00526A54">
        <w:rPr>
          <w:sz w:val="22"/>
          <w:szCs w:val="22"/>
        </w:rPr>
        <w:t>ej</w:t>
      </w:r>
      <w:r w:rsidRPr="00526A54">
        <w:rPr>
          <w:sz w:val="22"/>
          <w:szCs w:val="22"/>
        </w:rPr>
        <w:t xml:space="preserve"> reakci</w:t>
      </w:r>
      <w:r w:rsidR="005F1D33" w:rsidRPr="00526A54">
        <w:rPr>
          <w:sz w:val="22"/>
          <w:szCs w:val="22"/>
        </w:rPr>
        <w:t>e na kontrastnú</w:t>
      </w:r>
      <w:r w:rsidRPr="00526A54">
        <w:rPr>
          <w:sz w:val="22"/>
          <w:szCs w:val="22"/>
        </w:rPr>
        <w:t xml:space="preserve"> látk</w:t>
      </w:r>
      <w:r w:rsidR="005F1D33" w:rsidRPr="00526A54">
        <w:rPr>
          <w:sz w:val="22"/>
          <w:szCs w:val="22"/>
        </w:rPr>
        <w:t>u</w:t>
      </w:r>
      <w:r w:rsidR="003661C9" w:rsidRPr="00526A54">
        <w:rPr>
          <w:sz w:val="22"/>
          <w:szCs w:val="22"/>
        </w:rPr>
        <w:t>,</w:t>
      </w:r>
    </w:p>
    <w:p w14:paraId="2109D25B" w14:textId="77777777" w:rsidR="00B71AD7" w:rsidRPr="00526A54" w:rsidRDefault="00B71AD7" w:rsidP="00526A54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26A54">
        <w:rPr>
          <w:sz w:val="22"/>
          <w:szCs w:val="22"/>
        </w:rPr>
        <w:t>bronchiálnej astmy v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anamnéze</w:t>
      </w:r>
      <w:r w:rsidR="003661C9" w:rsidRPr="00526A54">
        <w:rPr>
          <w:sz w:val="22"/>
          <w:szCs w:val="22"/>
        </w:rPr>
        <w:t>,</w:t>
      </w:r>
    </w:p>
    <w:p w14:paraId="10D7C088" w14:textId="77777777" w:rsidR="00B71AD7" w:rsidRPr="00526A54" w:rsidRDefault="00B71AD7" w:rsidP="00526A54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26A54">
        <w:rPr>
          <w:sz w:val="22"/>
          <w:szCs w:val="22"/>
        </w:rPr>
        <w:t>alergických stavov v</w:t>
      </w:r>
      <w:r w:rsidR="003661C9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anamnéze</w:t>
      </w:r>
      <w:r w:rsidR="003661C9" w:rsidRPr="00526A54">
        <w:rPr>
          <w:sz w:val="22"/>
          <w:szCs w:val="22"/>
        </w:rPr>
        <w:t>.</w:t>
      </w:r>
    </w:p>
    <w:p w14:paraId="4001E238" w14:textId="77777777" w:rsidR="00B71AD7" w:rsidRPr="00526A54" w:rsidRDefault="00B71AD7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23505CC1" w14:textId="1DD8B3C8" w:rsidR="007D4EF4" w:rsidRPr="00526A54" w:rsidRDefault="007D4EF4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Rozhodnutiu o použití Gado</w:t>
      </w:r>
      <w:r w:rsidR="005F1D33" w:rsidRPr="00526A54">
        <w:rPr>
          <w:sz w:val="22"/>
          <w:szCs w:val="22"/>
        </w:rPr>
        <w:t>grafu</w:t>
      </w:r>
      <w:r w:rsidRPr="00526A54">
        <w:rPr>
          <w:sz w:val="22"/>
          <w:szCs w:val="22"/>
        </w:rPr>
        <w:t xml:space="preserve"> u pacientov s alergickou predispozíciou musí predchádzať veľmi dôkladné posúdenie pomeru </w:t>
      </w:r>
      <w:r w:rsidR="005C2BD3" w:rsidRPr="00526A54">
        <w:rPr>
          <w:sz w:val="22"/>
          <w:szCs w:val="22"/>
        </w:rPr>
        <w:t xml:space="preserve">rizika </w:t>
      </w:r>
      <w:r w:rsidR="00D26FA1" w:rsidRPr="00526A54">
        <w:rPr>
          <w:sz w:val="22"/>
          <w:szCs w:val="22"/>
        </w:rPr>
        <w:t>a</w:t>
      </w:r>
      <w:r w:rsidR="005C2BD3" w:rsidRPr="00526A54">
        <w:rPr>
          <w:sz w:val="22"/>
          <w:szCs w:val="22"/>
        </w:rPr>
        <w:t xml:space="preserve"> prínos</w:t>
      </w:r>
      <w:r w:rsidR="00A519FB" w:rsidRPr="00526A54">
        <w:rPr>
          <w:sz w:val="22"/>
          <w:szCs w:val="22"/>
        </w:rPr>
        <w:t>u</w:t>
      </w:r>
      <w:r w:rsidRPr="00526A54">
        <w:rPr>
          <w:sz w:val="22"/>
          <w:szCs w:val="22"/>
        </w:rPr>
        <w:t>.</w:t>
      </w:r>
    </w:p>
    <w:p w14:paraId="5D032CDB" w14:textId="77777777" w:rsidR="007D4EF4" w:rsidRPr="00526A54" w:rsidRDefault="007D4EF4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Väčšina týchto reakcií sa objaví do pol hodiny po podaní lieku. Preto sa po podaní odporúča sledovanie pacienta.</w:t>
      </w:r>
    </w:p>
    <w:p w14:paraId="5DDCB81B" w14:textId="5E77B91E" w:rsidR="007D4EF4" w:rsidRPr="00526A54" w:rsidRDefault="005F1D33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P</w:t>
      </w:r>
      <w:r w:rsidR="007D4EF4" w:rsidRPr="00526A54">
        <w:rPr>
          <w:sz w:val="22"/>
          <w:szCs w:val="22"/>
        </w:rPr>
        <w:t>otrebn</w:t>
      </w:r>
      <w:r w:rsidRPr="00526A54">
        <w:rPr>
          <w:sz w:val="22"/>
          <w:szCs w:val="22"/>
        </w:rPr>
        <w:t>é</w:t>
      </w:r>
      <w:r w:rsidR="007D4EF4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sú</w:t>
      </w:r>
      <w:r w:rsidR="007D4EF4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lieky na zvládnutie</w:t>
      </w:r>
      <w:r w:rsidR="007D4EF4" w:rsidRPr="00526A54">
        <w:rPr>
          <w:sz w:val="22"/>
          <w:szCs w:val="22"/>
        </w:rPr>
        <w:t xml:space="preserve"> </w:t>
      </w:r>
      <w:r w:rsidR="00CD7E6C" w:rsidRPr="00526A54">
        <w:rPr>
          <w:sz w:val="22"/>
          <w:szCs w:val="22"/>
        </w:rPr>
        <w:t xml:space="preserve">hypersenzitívnych </w:t>
      </w:r>
      <w:r w:rsidR="007D4EF4" w:rsidRPr="00526A54">
        <w:rPr>
          <w:sz w:val="22"/>
          <w:szCs w:val="22"/>
        </w:rPr>
        <w:t xml:space="preserve">reakcií ako aj pripravenosť na zavedenie </w:t>
      </w:r>
      <w:r w:rsidRPr="00526A54">
        <w:rPr>
          <w:sz w:val="22"/>
          <w:szCs w:val="22"/>
        </w:rPr>
        <w:t xml:space="preserve">urgentných </w:t>
      </w:r>
      <w:r w:rsidR="006F6F53" w:rsidRPr="00526A54">
        <w:rPr>
          <w:sz w:val="22"/>
          <w:szCs w:val="22"/>
        </w:rPr>
        <w:t>opatrení</w:t>
      </w:r>
      <w:r w:rsidR="00D920E8" w:rsidRPr="00526A54">
        <w:rPr>
          <w:sz w:val="22"/>
          <w:szCs w:val="22"/>
        </w:rPr>
        <w:t xml:space="preserve"> </w:t>
      </w:r>
      <w:r w:rsidR="007D4EF4" w:rsidRPr="00526A54">
        <w:rPr>
          <w:sz w:val="22"/>
          <w:szCs w:val="22"/>
        </w:rPr>
        <w:t>(pozri časť 4.2).</w:t>
      </w:r>
    </w:p>
    <w:p w14:paraId="778FC8E2" w14:textId="77777777" w:rsidR="006C32CD" w:rsidRPr="00526A54" w:rsidRDefault="006C32CD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Zriedkavo sa vyskytli oneskorené reakcie (po hodinách až </w:t>
      </w:r>
      <w:r w:rsidR="00CD7E6C" w:rsidRPr="00526A54">
        <w:rPr>
          <w:sz w:val="22"/>
          <w:szCs w:val="22"/>
        </w:rPr>
        <w:t xml:space="preserve">niekoľkých </w:t>
      </w:r>
      <w:r w:rsidRPr="00526A54">
        <w:rPr>
          <w:sz w:val="22"/>
          <w:szCs w:val="22"/>
        </w:rPr>
        <w:t>dňoch)</w:t>
      </w:r>
      <w:r w:rsidR="00C429CF" w:rsidRPr="00526A54">
        <w:rPr>
          <w:sz w:val="22"/>
          <w:szCs w:val="22"/>
        </w:rPr>
        <w:t>, pozri časť 4.8</w:t>
      </w:r>
      <w:r w:rsidRPr="00526A54">
        <w:rPr>
          <w:sz w:val="22"/>
          <w:szCs w:val="22"/>
        </w:rPr>
        <w:t>.</w:t>
      </w:r>
    </w:p>
    <w:p w14:paraId="621A8793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2ED00DD0" w14:textId="77777777" w:rsidR="00434612" w:rsidRPr="00526A54" w:rsidRDefault="00446725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P</w:t>
      </w:r>
      <w:r w:rsidR="00CD7E6C" w:rsidRPr="00526A54">
        <w:rPr>
          <w:sz w:val="22"/>
          <w:szCs w:val="22"/>
          <w:u w:val="single"/>
        </w:rPr>
        <w:t>orucha</w:t>
      </w:r>
      <w:r w:rsidRPr="00526A54">
        <w:rPr>
          <w:sz w:val="22"/>
          <w:szCs w:val="22"/>
          <w:u w:val="single"/>
        </w:rPr>
        <w:t xml:space="preserve"> funkci</w:t>
      </w:r>
      <w:r w:rsidR="00CD7E6C" w:rsidRPr="00526A54">
        <w:rPr>
          <w:sz w:val="22"/>
          <w:szCs w:val="22"/>
          <w:u w:val="single"/>
        </w:rPr>
        <w:t>e</w:t>
      </w:r>
      <w:r w:rsidRPr="00526A54">
        <w:rPr>
          <w:sz w:val="22"/>
          <w:szCs w:val="22"/>
          <w:u w:val="single"/>
        </w:rPr>
        <w:t xml:space="preserve"> obličiek</w:t>
      </w:r>
    </w:p>
    <w:p w14:paraId="0BFA1E93" w14:textId="657ADA69" w:rsidR="009D1034" w:rsidRPr="00526A54" w:rsidRDefault="009D1034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Pred podaním Gado</w:t>
      </w:r>
      <w:r w:rsidR="005F1D33" w:rsidRPr="00526A54">
        <w:rPr>
          <w:b/>
          <w:bCs/>
          <w:sz w:val="22"/>
          <w:szCs w:val="22"/>
        </w:rPr>
        <w:t xml:space="preserve">grafu </w:t>
      </w:r>
      <w:r w:rsidRPr="00526A54">
        <w:rPr>
          <w:b/>
          <w:bCs/>
          <w:sz w:val="22"/>
          <w:szCs w:val="22"/>
        </w:rPr>
        <w:t>sa odporúča, aby sa všetci pacienti podrobili skríningu dysfunkcie obličiek pomocou laboratórnych vyšetrení.</w:t>
      </w:r>
    </w:p>
    <w:p w14:paraId="1573A3BA" w14:textId="77777777" w:rsidR="009D1034" w:rsidRPr="00526A54" w:rsidRDefault="009D1034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05CE480" w14:textId="1D73E87D" w:rsidR="009D55E6" w:rsidRPr="00526A54" w:rsidRDefault="009D55E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526A54">
        <w:rPr>
          <w:rFonts w:eastAsia="Times New Roman"/>
          <w:sz w:val="22"/>
          <w:szCs w:val="22"/>
          <w:lang w:eastAsia="en-US"/>
        </w:rPr>
        <w:t>U pacientov s akútn</w:t>
      </w:r>
      <w:r w:rsidR="00CD7E6C" w:rsidRPr="00526A54">
        <w:rPr>
          <w:rFonts w:eastAsia="Times New Roman"/>
          <w:sz w:val="22"/>
          <w:szCs w:val="22"/>
          <w:lang w:eastAsia="en-US"/>
        </w:rPr>
        <w:t>ou</w:t>
      </w:r>
      <w:r w:rsidRPr="00526A54">
        <w:rPr>
          <w:rFonts w:eastAsia="Times New Roman"/>
          <w:sz w:val="22"/>
          <w:szCs w:val="22"/>
          <w:lang w:eastAsia="en-US"/>
        </w:rPr>
        <w:t xml:space="preserve"> alebo chronick</w:t>
      </w:r>
      <w:r w:rsidR="00CD7E6C" w:rsidRPr="00526A54">
        <w:rPr>
          <w:rFonts w:eastAsia="Times New Roman"/>
          <w:sz w:val="22"/>
          <w:szCs w:val="22"/>
          <w:lang w:eastAsia="en-US"/>
        </w:rPr>
        <w:t>ou</w:t>
      </w:r>
      <w:r w:rsidRPr="00526A54">
        <w:rPr>
          <w:rFonts w:eastAsia="Times New Roman"/>
          <w:sz w:val="22"/>
          <w:szCs w:val="22"/>
          <w:lang w:eastAsia="en-US"/>
        </w:rPr>
        <w:t xml:space="preserve"> </w:t>
      </w:r>
      <w:r w:rsidR="00A011CD" w:rsidRPr="00526A54">
        <w:rPr>
          <w:rFonts w:eastAsia="Times New Roman"/>
          <w:sz w:val="22"/>
          <w:szCs w:val="22"/>
          <w:lang w:eastAsia="en-US"/>
        </w:rPr>
        <w:t>závažnou</w:t>
      </w:r>
      <w:r w:rsidRPr="00526A54">
        <w:rPr>
          <w:rFonts w:eastAsia="Times New Roman"/>
          <w:sz w:val="22"/>
          <w:szCs w:val="22"/>
          <w:lang w:eastAsia="en-US"/>
        </w:rPr>
        <w:t xml:space="preserve"> po</w:t>
      </w:r>
      <w:r w:rsidR="00CD7E6C" w:rsidRPr="00526A54">
        <w:rPr>
          <w:rFonts w:eastAsia="Times New Roman"/>
          <w:sz w:val="22"/>
          <w:szCs w:val="22"/>
          <w:lang w:eastAsia="en-US"/>
        </w:rPr>
        <w:t>ruchou</w:t>
      </w:r>
      <w:r w:rsidRPr="00526A54">
        <w:rPr>
          <w:rFonts w:eastAsia="Times New Roman"/>
          <w:sz w:val="22"/>
          <w:szCs w:val="22"/>
          <w:lang w:eastAsia="en-US"/>
        </w:rPr>
        <w:t xml:space="preserve"> funkcie obličiek (GFR</w:t>
      </w:r>
      <w:r w:rsidR="00A575A8" w:rsidRPr="00526A54">
        <w:rPr>
          <w:iCs/>
          <w:sz w:val="22"/>
          <w:szCs w:val="22"/>
        </w:rPr>
        <w:t> &lt; </w:t>
      </w:r>
      <w:r w:rsidRPr="00526A54">
        <w:rPr>
          <w:rFonts w:eastAsia="Times New Roman"/>
          <w:sz w:val="22"/>
          <w:szCs w:val="22"/>
          <w:lang w:eastAsia="en-US"/>
        </w:rPr>
        <w:t>30 ml/min/1,73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m</w:t>
      </w:r>
      <w:r w:rsidRPr="00526A54">
        <w:rPr>
          <w:rFonts w:eastAsia="Times New Roman"/>
          <w:sz w:val="22"/>
          <w:szCs w:val="22"/>
          <w:vertAlign w:val="superscript"/>
          <w:lang w:eastAsia="en-US"/>
        </w:rPr>
        <w:t>2</w:t>
      </w:r>
      <w:r w:rsidRPr="00526A54">
        <w:rPr>
          <w:rFonts w:eastAsia="Times New Roman"/>
          <w:sz w:val="22"/>
          <w:szCs w:val="22"/>
          <w:lang w:eastAsia="en-US"/>
        </w:rPr>
        <w:t xml:space="preserve">) </w:t>
      </w:r>
      <w:r w:rsidR="00A011CD" w:rsidRPr="00526A54">
        <w:rPr>
          <w:rFonts w:eastAsia="Times New Roman"/>
          <w:sz w:val="22"/>
          <w:szCs w:val="22"/>
          <w:lang w:eastAsia="en-US"/>
        </w:rPr>
        <w:t>boli hlásené prípady nefrogénnej systémovej fibrózy</w:t>
      </w:r>
      <w:r w:rsidRPr="00526A54">
        <w:rPr>
          <w:rFonts w:eastAsia="Times New Roman"/>
          <w:sz w:val="22"/>
          <w:szCs w:val="22"/>
          <w:lang w:eastAsia="en-US"/>
        </w:rPr>
        <w:t xml:space="preserve"> (NSF) spojen</w:t>
      </w:r>
      <w:r w:rsidR="00A011CD" w:rsidRPr="00526A54">
        <w:rPr>
          <w:rFonts w:eastAsia="Times New Roman"/>
          <w:sz w:val="22"/>
          <w:szCs w:val="22"/>
          <w:lang w:eastAsia="en-US"/>
        </w:rPr>
        <w:t xml:space="preserve">é </w:t>
      </w:r>
      <w:r w:rsidRPr="00526A54">
        <w:rPr>
          <w:rFonts w:eastAsia="Times New Roman"/>
          <w:sz w:val="22"/>
          <w:szCs w:val="22"/>
          <w:lang w:eastAsia="en-US"/>
        </w:rPr>
        <w:t>s používaním niektorých kontrastných látok obsahujúcich gadolínium. Pacienti, ktorí podstupujú transplantáciu pečene sú vystavení osobitnému riziku, pretože výskyt akútneho renálneho zlyhania je v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 xml:space="preserve">tejto skupine vysoký. </w:t>
      </w:r>
    </w:p>
    <w:p w14:paraId="56B6B261" w14:textId="77777777" w:rsidR="009D55E6" w:rsidRPr="00526A54" w:rsidRDefault="009D55E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39E60FB3" w14:textId="70B672C0" w:rsidR="009D55E6" w:rsidRPr="00526A54" w:rsidRDefault="009D55E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526A54">
        <w:rPr>
          <w:rFonts w:eastAsia="Times New Roman"/>
          <w:sz w:val="22"/>
          <w:szCs w:val="22"/>
          <w:lang w:eastAsia="en-US"/>
        </w:rPr>
        <w:t>Keďže pri používaní Gado</w:t>
      </w:r>
      <w:r w:rsidR="00A011CD" w:rsidRPr="00526A54">
        <w:rPr>
          <w:rFonts w:eastAsia="Times New Roman"/>
          <w:sz w:val="22"/>
          <w:szCs w:val="22"/>
          <w:lang w:eastAsia="en-US"/>
        </w:rPr>
        <w:t>grafu</w:t>
      </w:r>
      <w:r w:rsidRPr="00526A54">
        <w:rPr>
          <w:rFonts w:eastAsia="Times New Roman"/>
          <w:sz w:val="22"/>
          <w:szCs w:val="22"/>
          <w:lang w:eastAsia="en-US"/>
        </w:rPr>
        <w:t xml:space="preserve"> existuje možnosť výskytu NSF, u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pacientov s</w:t>
      </w:r>
      <w:r w:rsidR="00294CB2" w:rsidRPr="00526A54">
        <w:rPr>
          <w:rFonts w:eastAsia="Times New Roman"/>
          <w:sz w:val="22"/>
          <w:szCs w:val="22"/>
          <w:lang w:eastAsia="en-US"/>
        </w:rPr>
        <w:t>o</w:t>
      </w:r>
      <w:r w:rsidR="00A575A8" w:rsidRPr="00526A54">
        <w:rPr>
          <w:iCs/>
          <w:sz w:val="22"/>
          <w:szCs w:val="22"/>
        </w:rPr>
        <w:t> </w:t>
      </w:r>
      <w:r w:rsidR="00294CB2" w:rsidRPr="00526A54">
        <w:rPr>
          <w:rFonts w:eastAsia="Times New Roman"/>
          <w:sz w:val="22"/>
          <w:szCs w:val="22"/>
          <w:lang w:eastAsia="en-US"/>
        </w:rPr>
        <w:t>závažnou</w:t>
      </w:r>
      <w:r w:rsidRPr="00526A54">
        <w:rPr>
          <w:rFonts w:eastAsia="Times New Roman"/>
          <w:sz w:val="22"/>
          <w:szCs w:val="22"/>
          <w:lang w:eastAsia="en-US"/>
        </w:rPr>
        <w:t xml:space="preserve"> po</w:t>
      </w:r>
      <w:r w:rsidR="00CD7E6C" w:rsidRPr="00526A54">
        <w:rPr>
          <w:rFonts w:eastAsia="Times New Roman"/>
          <w:sz w:val="22"/>
          <w:szCs w:val="22"/>
          <w:lang w:eastAsia="en-US"/>
        </w:rPr>
        <w:t>ruchou</w:t>
      </w:r>
      <w:r w:rsidRPr="00526A54">
        <w:rPr>
          <w:rFonts w:eastAsia="Times New Roman"/>
          <w:sz w:val="22"/>
          <w:szCs w:val="22"/>
          <w:lang w:eastAsia="en-US"/>
        </w:rPr>
        <w:t xml:space="preserve"> funkcie obličiek a u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pacientov v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perioperačnom období transplantácie pečene sa má preto používať iba po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 xml:space="preserve">starostlivom zhodnotení pomeru rizika </w:t>
      </w:r>
      <w:r w:rsidR="00B5613C" w:rsidRPr="00526A54">
        <w:rPr>
          <w:rFonts w:eastAsia="Times New Roman"/>
          <w:sz w:val="22"/>
          <w:szCs w:val="22"/>
          <w:lang w:eastAsia="en-US"/>
        </w:rPr>
        <w:t>a</w:t>
      </w:r>
      <w:r w:rsidR="00980D0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prínosu</w:t>
      </w:r>
      <w:r w:rsidR="00980D08" w:rsidRPr="00526A54">
        <w:rPr>
          <w:rFonts w:eastAsia="Times New Roman"/>
          <w:sz w:val="22"/>
          <w:szCs w:val="22"/>
          <w:lang w:eastAsia="en-US"/>
        </w:rPr>
        <w:t>,</w:t>
      </w:r>
      <w:r w:rsidRPr="00526A54">
        <w:rPr>
          <w:rFonts w:eastAsia="Times New Roman"/>
          <w:sz w:val="22"/>
          <w:szCs w:val="22"/>
          <w:lang w:eastAsia="en-US"/>
        </w:rPr>
        <w:t xml:space="preserve"> a ak je diagnostická informácia nevyhnutná a nedá sa získať </w:t>
      </w:r>
      <w:r w:rsidR="00FB44E4" w:rsidRPr="00526A54">
        <w:rPr>
          <w:rFonts w:eastAsia="Times New Roman"/>
          <w:sz w:val="22"/>
          <w:szCs w:val="22"/>
          <w:lang w:eastAsia="en-US"/>
        </w:rPr>
        <w:t xml:space="preserve">pomocou </w:t>
      </w:r>
      <w:r w:rsidRPr="00526A54">
        <w:rPr>
          <w:rFonts w:eastAsia="Times New Roman"/>
          <w:sz w:val="22"/>
          <w:szCs w:val="22"/>
          <w:lang w:eastAsia="en-US"/>
        </w:rPr>
        <w:t>MR</w:t>
      </w:r>
      <w:r w:rsidR="0016796B" w:rsidRPr="00526A54">
        <w:rPr>
          <w:rFonts w:eastAsia="Times New Roman"/>
          <w:sz w:val="22"/>
          <w:szCs w:val="22"/>
          <w:lang w:eastAsia="en-US"/>
        </w:rPr>
        <w:t>I</w:t>
      </w:r>
      <w:r w:rsidR="00FB44E4" w:rsidRPr="00526A54">
        <w:rPr>
          <w:rFonts w:eastAsia="Times New Roman"/>
          <w:sz w:val="22"/>
          <w:szCs w:val="22"/>
          <w:lang w:eastAsia="en-US"/>
        </w:rPr>
        <w:t xml:space="preserve"> bez zvýšenia kontrastu</w:t>
      </w:r>
      <w:r w:rsidRPr="00526A54">
        <w:rPr>
          <w:rFonts w:eastAsia="Times New Roman"/>
          <w:sz w:val="22"/>
          <w:szCs w:val="22"/>
          <w:lang w:eastAsia="en-US"/>
        </w:rPr>
        <w:t xml:space="preserve">. </w:t>
      </w:r>
    </w:p>
    <w:p w14:paraId="49F52569" w14:textId="77777777" w:rsidR="009D55E6" w:rsidRPr="00526A54" w:rsidRDefault="009D55E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5CA90FC0" w14:textId="013EC37B" w:rsidR="009D55E6" w:rsidRPr="00526A54" w:rsidRDefault="009D55E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526A54">
        <w:rPr>
          <w:rFonts w:eastAsia="Times New Roman"/>
          <w:sz w:val="22"/>
          <w:szCs w:val="22"/>
          <w:lang w:eastAsia="en-US"/>
        </w:rPr>
        <w:t>Hemodialýza krátko po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podaní Gado</w:t>
      </w:r>
      <w:r w:rsidR="00294CB2" w:rsidRPr="00526A54">
        <w:rPr>
          <w:rFonts w:eastAsia="Times New Roman"/>
          <w:sz w:val="22"/>
          <w:szCs w:val="22"/>
          <w:lang w:eastAsia="en-US"/>
        </w:rPr>
        <w:t>grafu</w:t>
      </w:r>
      <w:r w:rsidRPr="00526A54">
        <w:rPr>
          <w:rFonts w:eastAsia="Times New Roman"/>
          <w:sz w:val="22"/>
          <w:szCs w:val="22"/>
          <w:lang w:eastAsia="en-US"/>
        </w:rPr>
        <w:t xml:space="preserve"> môže byť prospešná na odstránenie Gado</w:t>
      </w:r>
      <w:r w:rsidR="00294CB2" w:rsidRPr="00526A54">
        <w:rPr>
          <w:rFonts w:eastAsia="Times New Roman"/>
          <w:sz w:val="22"/>
          <w:szCs w:val="22"/>
          <w:lang w:eastAsia="en-US"/>
        </w:rPr>
        <w:t>grafu</w:t>
      </w:r>
      <w:r w:rsidRPr="00526A54">
        <w:rPr>
          <w:rFonts w:eastAsia="Times New Roman"/>
          <w:sz w:val="22"/>
          <w:szCs w:val="22"/>
          <w:lang w:eastAsia="en-US"/>
        </w:rPr>
        <w:t xml:space="preserve"> z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pacientov, u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ktorých sa doposiaľ hemodialýza nevykonávala.</w:t>
      </w:r>
    </w:p>
    <w:p w14:paraId="5CCE1416" w14:textId="77777777" w:rsidR="00434612" w:rsidRPr="00526A54" w:rsidRDefault="00434612" w:rsidP="00526A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68E579F0" w14:textId="77777777" w:rsidR="00832F5D" w:rsidRPr="00526A54" w:rsidRDefault="00832F5D" w:rsidP="00526A54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Novorodenci a dojčatá</w:t>
      </w:r>
    </w:p>
    <w:p w14:paraId="4D24D49B" w14:textId="4665A655" w:rsidR="00832F5D" w:rsidRPr="00526A54" w:rsidRDefault="00832F5D" w:rsidP="00526A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526A54">
        <w:rPr>
          <w:sz w:val="22"/>
          <w:szCs w:val="22"/>
        </w:rPr>
        <w:t>Z dôvodu nezrelej funkcie obličiek u novorodencov do 4. týždňa veku a u dojčiat do 1 roku sa má Gado</w:t>
      </w:r>
      <w:r w:rsidR="00294CB2" w:rsidRPr="00526A54">
        <w:rPr>
          <w:sz w:val="22"/>
          <w:szCs w:val="22"/>
        </w:rPr>
        <w:t>graf</w:t>
      </w:r>
      <w:r w:rsidRPr="00526A54">
        <w:rPr>
          <w:sz w:val="22"/>
          <w:szCs w:val="22"/>
        </w:rPr>
        <w:t xml:space="preserve"> u týchto pacientov používať iba po starostlivom zvážení.</w:t>
      </w:r>
    </w:p>
    <w:p w14:paraId="18FD105C" w14:textId="77777777" w:rsidR="00832F5D" w:rsidRPr="00526A54" w:rsidRDefault="00832F5D" w:rsidP="00526A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3F6948ED" w14:textId="77777777" w:rsidR="009D55E6" w:rsidRPr="00526A54" w:rsidRDefault="009D55E6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Starší pacienti</w:t>
      </w:r>
    </w:p>
    <w:p w14:paraId="664DCF41" w14:textId="7AF9B323" w:rsidR="009D55E6" w:rsidRPr="00526A54" w:rsidRDefault="009D55E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526A54">
        <w:rPr>
          <w:rFonts w:eastAsia="Times New Roman"/>
          <w:sz w:val="22"/>
          <w:szCs w:val="22"/>
          <w:lang w:eastAsia="en-US"/>
        </w:rPr>
        <w:t xml:space="preserve">Keďže u starších pacientov môže byť renálny klírens gadobutrolu </w:t>
      </w:r>
      <w:r w:rsidR="00294CB2" w:rsidRPr="00526A54">
        <w:rPr>
          <w:rFonts w:eastAsia="Times New Roman"/>
          <w:sz w:val="22"/>
          <w:szCs w:val="22"/>
          <w:lang w:eastAsia="en-US"/>
        </w:rPr>
        <w:t>zhoršený</w:t>
      </w:r>
      <w:r w:rsidRPr="00526A54">
        <w:rPr>
          <w:rFonts w:eastAsia="Times New Roman"/>
          <w:sz w:val="22"/>
          <w:szCs w:val="22"/>
          <w:lang w:eastAsia="en-US"/>
        </w:rPr>
        <w:t>, je osobitne dôležité</w:t>
      </w:r>
      <w:r w:rsidR="0008155D" w:rsidRPr="00526A54">
        <w:rPr>
          <w:rFonts w:eastAsia="Times New Roman"/>
          <w:sz w:val="22"/>
          <w:szCs w:val="22"/>
          <w:lang w:eastAsia="en-US"/>
        </w:rPr>
        <w:t xml:space="preserve"> </w:t>
      </w:r>
      <w:r w:rsidRPr="00526A54">
        <w:rPr>
          <w:rFonts w:eastAsia="Times New Roman"/>
          <w:sz w:val="22"/>
          <w:szCs w:val="22"/>
          <w:lang w:eastAsia="en-US"/>
        </w:rPr>
        <w:t>pacientov vo veku 65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rokov a starších podrobiť skríningu dysfunkcie obličiek.</w:t>
      </w:r>
    </w:p>
    <w:p w14:paraId="5214D158" w14:textId="77777777" w:rsidR="009D55E6" w:rsidRPr="00526A54" w:rsidRDefault="009D55E6" w:rsidP="00526A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03B009EB" w14:textId="54803F0C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Záchvaty</w:t>
      </w:r>
    </w:p>
    <w:p w14:paraId="2BC8A286" w14:textId="67986B48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Tak ako </w:t>
      </w:r>
      <w:r w:rsidR="00707E34" w:rsidRPr="00526A54">
        <w:rPr>
          <w:sz w:val="22"/>
          <w:szCs w:val="22"/>
        </w:rPr>
        <w:t>pri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iných kontrastných lát</w:t>
      </w:r>
      <w:r w:rsidR="00707E34" w:rsidRPr="00526A54">
        <w:rPr>
          <w:sz w:val="22"/>
          <w:szCs w:val="22"/>
        </w:rPr>
        <w:t>kach</w:t>
      </w:r>
      <w:r w:rsidRPr="00526A54">
        <w:rPr>
          <w:sz w:val="22"/>
          <w:szCs w:val="22"/>
        </w:rPr>
        <w:t xml:space="preserve"> obsahujúcich gadolínium, aj tu je potrebná </w:t>
      </w:r>
      <w:r w:rsidR="00D61965" w:rsidRPr="00526A54">
        <w:rPr>
          <w:sz w:val="22"/>
          <w:szCs w:val="22"/>
        </w:rPr>
        <w:t xml:space="preserve">mimoriadna </w:t>
      </w:r>
      <w:r w:rsidRPr="00526A54">
        <w:rPr>
          <w:sz w:val="22"/>
          <w:szCs w:val="22"/>
        </w:rPr>
        <w:t>opatrnosť</w:t>
      </w:r>
      <w:r w:rsidR="00A575A8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u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pacientov s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nízkym prahom vznik</w:t>
      </w:r>
      <w:r w:rsidR="00707E34" w:rsidRPr="00526A54">
        <w:rPr>
          <w:sz w:val="22"/>
          <w:szCs w:val="22"/>
        </w:rPr>
        <w:t>u</w:t>
      </w:r>
      <w:r w:rsidRPr="00526A54">
        <w:rPr>
          <w:sz w:val="22"/>
          <w:szCs w:val="22"/>
        </w:rPr>
        <w:t xml:space="preserve"> záchvatov.</w:t>
      </w:r>
    </w:p>
    <w:p w14:paraId="4B0FA959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2E09DCA" w14:textId="77777777" w:rsidR="00FB0A01" w:rsidRPr="00526A54" w:rsidRDefault="00FB0A01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Pomocné látky</w:t>
      </w:r>
    </w:p>
    <w:p w14:paraId="47C0B9D9" w14:textId="51B3B98A" w:rsidR="00DB09AD" w:rsidRPr="00526A54" w:rsidRDefault="0010472A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Tento liek obsahuje menej ako 1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mmol sodíka (23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mg) </w:t>
      </w:r>
      <w:r w:rsidR="00D61965" w:rsidRPr="00526A54">
        <w:rPr>
          <w:sz w:val="22"/>
          <w:szCs w:val="22"/>
        </w:rPr>
        <w:t>v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dávk</w:t>
      </w:r>
      <w:r w:rsidR="00D61965" w:rsidRPr="00526A54">
        <w:rPr>
          <w:sz w:val="22"/>
          <w:szCs w:val="22"/>
        </w:rPr>
        <w:t>e</w:t>
      </w:r>
      <w:r w:rsidRPr="00526A54">
        <w:rPr>
          <w:sz w:val="22"/>
          <w:szCs w:val="22"/>
        </w:rPr>
        <w:t xml:space="preserve"> (na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základe priemerného množstva podávaného osobám s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hmotnosťou 70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kg), </w:t>
      </w:r>
      <w:r w:rsidR="00D61965" w:rsidRPr="00526A54">
        <w:rPr>
          <w:sz w:val="22"/>
          <w:szCs w:val="22"/>
        </w:rPr>
        <w:t>t.j.</w:t>
      </w:r>
      <w:r w:rsidRPr="00526A54">
        <w:rPr>
          <w:sz w:val="22"/>
          <w:szCs w:val="22"/>
        </w:rPr>
        <w:t xml:space="preserve"> v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podstate </w:t>
      </w:r>
      <w:r w:rsidR="00D61965" w:rsidRPr="00526A54">
        <w:rPr>
          <w:sz w:val="22"/>
          <w:szCs w:val="22"/>
        </w:rPr>
        <w:t>zanedbateľné množstvo sodíka</w:t>
      </w:r>
      <w:r w:rsidRPr="00526A54">
        <w:rPr>
          <w:sz w:val="22"/>
          <w:szCs w:val="22"/>
        </w:rPr>
        <w:t>.</w:t>
      </w:r>
    </w:p>
    <w:p w14:paraId="47A68CC7" w14:textId="77777777" w:rsidR="00DB09AD" w:rsidRPr="00526A54" w:rsidRDefault="00DB09AD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B738B0E" w14:textId="1485256B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4.5</w:t>
      </w:r>
      <w:r w:rsidR="0010472A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Liekové a iné interakcie</w:t>
      </w:r>
    </w:p>
    <w:p w14:paraId="7AAA6CFA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7723AB4D" w14:textId="77777777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sz w:val="22"/>
          <w:szCs w:val="22"/>
        </w:rPr>
        <w:t>Neuskutočnili sa žiadne štúdie interakcií.</w:t>
      </w:r>
    </w:p>
    <w:p w14:paraId="2E6FAC2C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2CEFED" w14:textId="52F93211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4.6</w:t>
      </w:r>
      <w:r w:rsidR="0010472A" w:rsidRPr="00526A54">
        <w:rPr>
          <w:b/>
          <w:bCs/>
          <w:sz w:val="22"/>
          <w:szCs w:val="22"/>
        </w:rPr>
        <w:tab/>
      </w:r>
      <w:r w:rsidR="00DB09AD" w:rsidRPr="00526A54">
        <w:rPr>
          <w:b/>
          <w:bCs/>
          <w:sz w:val="22"/>
          <w:szCs w:val="22"/>
        </w:rPr>
        <w:t>Fertilita, g</w:t>
      </w:r>
      <w:r w:rsidRPr="00526A54">
        <w:rPr>
          <w:b/>
          <w:bCs/>
          <w:sz w:val="22"/>
          <w:szCs w:val="22"/>
        </w:rPr>
        <w:t>ravidita a laktácia</w:t>
      </w:r>
    </w:p>
    <w:p w14:paraId="0FFD05B5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78D0A37A" w14:textId="77777777" w:rsidR="009D55E6" w:rsidRPr="00526A54" w:rsidRDefault="009D55E6" w:rsidP="00526A54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u w:val="single"/>
          <w:lang w:eastAsia="en-US"/>
        </w:rPr>
      </w:pPr>
      <w:r w:rsidRPr="00526A54">
        <w:rPr>
          <w:rFonts w:eastAsia="Times New Roman"/>
          <w:bCs/>
          <w:sz w:val="22"/>
          <w:szCs w:val="22"/>
          <w:u w:val="single"/>
          <w:lang w:eastAsia="en-US"/>
        </w:rPr>
        <w:t>Gravidita</w:t>
      </w:r>
    </w:p>
    <w:p w14:paraId="1B29EB4B" w14:textId="77777777" w:rsidR="009D55E6" w:rsidRPr="00526A54" w:rsidRDefault="009D55E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526A54">
        <w:rPr>
          <w:rFonts w:eastAsia="Times New Roman"/>
          <w:sz w:val="22"/>
          <w:szCs w:val="22"/>
          <w:lang w:eastAsia="en-US"/>
        </w:rPr>
        <w:t>O používaní gadobutrolu u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gravidných žien nie sú k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dispozícii žiadne údaje. Štúdie na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zvieratách preukázali reprodukčnú toxicitu po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opakovaných vysokých dávkach (pozri časť 5.3).</w:t>
      </w:r>
    </w:p>
    <w:p w14:paraId="323466CD" w14:textId="3BF34651" w:rsidR="009D55E6" w:rsidRPr="00526A54" w:rsidRDefault="009D55E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526A54">
        <w:rPr>
          <w:rFonts w:eastAsia="Times New Roman"/>
          <w:sz w:val="22"/>
          <w:szCs w:val="22"/>
          <w:lang w:eastAsia="en-US"/>
        </w:rPr>
        <w:t>Gado</w:t>
      </w:r>
      <w:r w:rsidR="00FF0059" w:rsidRPr="00526A54">
        <w:rPr>
          <w:rFonts w:eastAsia="Times New Roman"/>
          <w:sz w:val="22"/>
          <w:szCs w:val="22"/>
          <w:lang w:eastAsia="en-US"/>
        </w:rPr>
        <w:t>graf</w:t>
      </w:r>
      <w:r w:rsidRPr="00526A54">
        <w:rPr>
          <w:rFonts w:eastAsia="Times New Roman"/>
          <w:sz w:val="22"/>
          <w:szCs w:val="22"/>
          <w:lang w:eastAsia="en-US"/>
        </w:rPr>
        <w:t xml:space="preserve"> sa nemá používať počas gravidity pokiaľ si klinický stav ženy nevyžaduje použitie gadobutr</w:t>
      </w:r>
      <w:r w:rsidR="00D23656" w:rsidRPr="00526A54">
        <w:rPr>
          <w:rFonts w:eastAsia="Times New Roman"/>
          <w:sz w:val="22"/>
          <w:szCs w:val="22"/>
          <w:lang w:eastAsia="en-US"/>
        </w:rPr>
        <w:t>o</w:t>
      </w:r>
      <w:r w:rsidRPr="00526A54">
        <w:rPr>
          <w:rFonts w:eastAsia="Times New Roman"/>
          <w:sz w:val="22"/>
          <w:szCs w:val="22"/>
          <w:lang w:eastAsia="en-US"/>
        </w:rPr>
        <w:t>lu.</w:t>
      </w:r>
    </w:p>
    <w:p w14:paraId="1F58960C" w14:textId="77777777" w:rsidR="009D55E6" w:rsidRPr="00526A54" w:rsidRDefault="009D55E6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24812074" w14:textId="77777777" w:rsidR="009D55E6" w:rsidRPr="00526A54" w:rsidRDefault="00BD67BE" w:rsidP="00526A54">
      <w:pPr>
        <w:autoSpaceDE w:val="0"/>
        <w:autoSpaceDN w:val="0"/>
        <w:adjustRightInd w:val="0"/>
        <w:outlineLvl w:val="0"/>
        <w:rPr>
          <w:rFonts w:eastAsia="Times New Roman"/>
          <w:bCs/>
          <w:sz w:val="22"/>
          <w:szCs w:val="22"/>
          <w:u w:val="single"/>
          <w:lang w:eastAsia="en-US"/>
        </w:rPr>
      </w:pPr>
      <w:r w:rsidRPr="00526A54">
        <w:rPr>
          <w:rFonts w:eastAsia="Times New Roman"/>
          <w:bCs/>
          <w:sz w:val="22"/>
          <w:szCs w:val="22"/>
          <w:u w:val="single"/>
          <w:lang w:eastAsia="en-US"/>
        </w:rPr>
        <w:t>Dojčenie</w:t>
      </w:r>
    </w:p>
    <w:p w14:paraId="4E3FF162" w14:textId="3B08514D" w:rsidR="009D55E6" w:rsidRPr="00526A54" w:rsidRDefault="009D55E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526A54">
        <w:rPr>
          <w:rFonts w:eastAsia="Times New Roman"/>
          <w:sz w:val="22"/>
          <w:szCs w:val="22"/>
          <w:lang w:eastAsia="en-US"/>
        </w:rPr>
        <w:t>Kontrastné látky obsahujúce gadolínium sa vylučujú do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materského mlieka vo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veľmi malých množstvách (pozri časť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5.3). Pri klinických dávkach sa neočakávajú žiadne účinky na dojča vzhľadom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na malé množstvo vylúčené do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materského mlieka a nízku absorpciu z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čreva. Pokračovanie v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dojčení alebo prerušenie dojčenia na obdobie 24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hodín po podaní Gado</w:t>
      </w:r>
      <w:r w:rsidR="00877FDD" w:rsidRPr="00526A54">
        <w:rPr>
          <w:rFonts w:eastAsia="Times New Roman"/>
          <w:sz w:val="22"/>
          <w:szCs w:val="22"/>
          <w:lang w:eastAsia="en-US"/>
        </w:rPr>
        <w:t>grafu</w:t>
      </w:r>
      <w:r w:rsidRPr="00526A54">
        <w:rPr>
          <w:rFonts w:eastAsia="Times New Roman"/>
          <w:sz w:val="22"/>
          <w:szCs w:val="22"/>
          <w:lang w:eastAsia="en-US"/>
        </w:rPr>
        <w:t xml:space="preserve"> má byť na</w:t>
      </w:r>
      <w:r w:rsidR="00A575A8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uvážení lekára a dojčiacej matky.</w:t>
      </w:r>
    </w:p>
    <w:p w14:paraId="061C1E76" w14:textId="77777777" w:rsidR="00F62ED6" w:rsidRPr="00526A54" w:rsidRDefault="00F62ED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7FC950E2" w14:textId="77777777" w:rsidR="00F62ED6" w:rsidRPr="00526A54" w:rsidRDefault="00F62ED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u w:val="single"/>
          <w:lang w:eastAsia="en-US"/>
        </w:rPr>
      </w:pPr>
      <w:r w:rsidRPr="00526A54">
        <w:rPr>
          <w:rFonts w:eastAsia="Times New Roman"/>
          <w:sz w:val="22"/>
          <w:szCs w:val="22"/>
          <w:u w:val="single"/>
          <w:lang w:eastAsia="en-US"/>
        </w:rPr>
        <w:t>Fertilita</w:t>
      </w:r>
    </w:p>
    <w:p w14:paraId="124A7982" w14:textId="77777777" w:rsidR="00F62ED6" w:rsidRPr="00526A54" w:rsidRDefault="00F62ED6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526A54">
        <w:rPr>
          <w:rFonts w:eastAsia="Times New Roman"/>
          <w:sz w:val="22"/>
          <w:szCs w:val="22"/>
          <w:lang w:eastAsia="en-US"/>
        </w:rPr>
        <w:t>Štúdie na zvieratách</w:t>
      </w:r>
      <w:r w:rsidR="000F0701" w:rsidRPr="00526A54">
        <w:rPr>
          <w:rFonts w:eastAsia="Times New Roman"/>
          <w:sz w:val="22"/>
          <w:szCs w:val="22"/>
          <w:lang w:eastAsia="en-US"/>
        </w:rPr>
        <w:t xml:space="preserve"> nenaznačujú poruchy plodnosti.</w:t>
      </w:r>
    </w:p>
    <w:p w14:paraId="4E241C6F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63AE9B" w14:textId="0698B8AA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4.7</w:t>
      </w:r>
      <w:r w:rsidR="00D23656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Ovplyvnenie schopnosti viesť vozidlá a obsluhovať stroje</w:t>
      </w:r>
    </w:p>
    <w:p w14:paraId="3D2E59CF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36382A73" w14:textId="77777777" w:rsidR="00434612" w:rsidRPr="00526A54" w:rsidRDefault="00434612" w:rsidP="00526A54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>Netýka sa.</w:t>
      </w:r>
    </w:p>
    <w:p w14:paraId="23C145DC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8A1D8B8" w14:textId="2BF11605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4.8</w:t>
      </w:r>
      <w:r w:rsidR="00D23656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Nežiaduce účinky</w:t>
      </w:r>
    </w:p>
    <w:p w14:paraId="0403F5D8" w14:textId="77777777" w:rsidR="00D23656" w:rsidRPr="00526A54" w:rsidRDefault="00D23656" w:rsidP="00526A54">
      <w:pPr>
        <w:rPr>
          <w:snapToGrid w:val="0"/>
          <w:sz w:val="22"/>
          <w:szCs w:val="22"/>
        </w:rPr>
      </w:pPr>
    </w:p>
    <w:p w14:paraId="26FB21A2" w14:textId="04F17935" w:rsidR="00D23656" w:rsidRPr="00526A54" w:rsidRDefault="00D23656" w:rsidP="00526A54">
      <w:pPr>
        <w:rPr>
          <w:b/>
          <w:bCs/>
          <w:sz w:val="22"/>
          <w:szCs w:val="22"/>
        </w:rPr>
      </w:pPr>
      <w:r w:rsidRPr="00526A54">
        <w:rPr>
          <w:snapToGrid w:val="0"/>
          <w:sz w:val="22"/>
          <w:szCs w:val="22"/>
        </w:rPr>
        <w:t>Celkový profil bezpečnosti Gado</w:t>
      </w:r>
      <w:r w:rsidR="00E25657" w:rsidRPr="00526A54">
        <w:rPr>
          <w:snapToGrid w:val="0"/>
          <w:sz w:val="22"/>
          <w:szCs w:val="22"/>
        </w:rPr>
        <w:t>grafu</w:t>
      </w:r>
      <w:r w:rsidRPr="00526A54">
        <w:rPr>
          <w:snapToGrid w:val="0"/>
          <w:sz w:val="22"/>
          <w:szCs w:val="22"/>
        </w:rPr>
        <w:t xml:space="preserve"> s</w:t>
      </w:r>
      <w:r w:rsidR="00E82293" w:rsidRPr="00526A54">
        <w:rPr>
          <w:snapToGrid w:val="0"/>
          <w:sz w:val="22"/>
          <w:szCs w:val="22"/>
        </w:rPr>
        <w:t>a</w:t>
      </w:r>
      <w:r w:rsidRPr="00526A54">
        <w:rPr>
          <w:snapToGrid w:val="0"/>
          <w:sz w:val="22"/>
          <w:szCs w:val="22"/>
        </w:rPr>
        <w:t xml:space="preserve"> zakladá na údajoch s viac ako </w:t>
      </w:r>
      <w:r w:rsidR="003A562D" w:rsidRPr="00526A54">
        <w:rPr>
          <w:snapToGrid w:val="0"/>
          <w:sz w:val="22"/>
          <w:szCs w:val="22"/>
        </w:rPr>
        <w:t>6 300</w:t>
      </w:r>
      <w:r w:rsidR="008360A7" w:rsidRPr="00526A54">
        <w:rPr>
          <w:snapToGrid w:val="0"/>
          <w:sz w:val="22"/>
          <w:szCs w:val="22"/>
        </w:rPr>
        <w:t> </w:t>
      </w:r>
      <w:r w:rsidRPr="00526A54">
        <w:rPr>
          <w:snapToGrid w:val="0"/>
          <w:sz w:val="22"/>
          <w:szCs w:val="22"/>
        </w:rPr>
        <w:t>pacientmi v klinických skúšaniach a zo skúseností po uvedení lieku na trh.</w:t>
      </w:r>
    </w:p>
    <w:p w14:paraId="0B46063E" w14:textId="77777777" w:rsidR="00D23656" w:rsidRPr="00526A54" w:rsidRDefault="00D23656" w:rsidP="00526A54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86A2974" w14:textId="5D58888A" w:rsidR="00D23656" w:rsidRPr="00526A54" w:rsidRDefault="00D23656" w:rsidP="00526A54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526A54">
        <w:rPr>
          <w:rFonts w:ascii="Times New Roman" w:hAnsi="Times New Roman"/>
          <w:szCs w:val="22"/>
          <w:lang w:val="sk-SK"/>
        </w:rPr>
        <w:t xml:space="preserve">Najčastejšie pozorované nežiaduce reakcie </w:t>
      </w:r>
      <w:r w:rsidR="00EA0337" w:rsidRPr="00526A54">
        <w:rPr>
          <w:rFonts w:ascii="Times New Roman" w:hAnsi="Times New Roman"/>
          <w:szCs w:val="22"/>
          <w:lang w:val="sk-SK"/>
        </w:rPr>
        <w:t xml:space="preserve">na </w:t>
      </w:r>
      <w:r w:rsidRPr="00526A54">
        <w:rPr>
          <w:rFonts w:ascii="Times New Roman" w:hAnsi="Times New Roman"/>
          <w:szCs w:val="22"/>
          <w:lang w:val="sk-SK"/>
        </w:rPr>
        <w:t>liek (</w:t>
      </w:r>
      <w:r w:rsidRPr="00526A54">
        <w:rPr>
          <w:rFonts w:ascii="Times New Roman" w:hAnsi="Times New Roman"/>
          <w:szCs w:val="22"/>
          <w:lang w:val="sk-SK"/>
        </w:rPr>
        <w:sym w:font="Symbol" w:char="00B3"/>
      </w:r>
      <w:r w:rsidRPr="00526A54">
        <w:rPr>
          <w:rFonts w:ascii="Times New Roman" w:hAnsi="Times New Roman"/>
          <w:szCs w:val="22"/>
          <w:lang w:val="sk-SK"/>
        </w:rPr>
        <w:t>0,5</w:t>
      </w:r>
      <w:r w:rsidR="00A575A8" w:rsidRPr="00526A54">
        <w:rPr>
          <w:rFonts w:ascii="Times New Roman" w:hAnsi="Times New Roman"/>
          <w:iCs/>
          <w:szCs w:val="22"/>
          <w:lang w:val="sk-SK"/>
        </w:rPr>
        <w:t> </w:t>
      </w:r>
      <w:r w:rsidRPr="00526A54">
        <w:rPr>
          <w:rFonts w:ascii="Times New Roman" w:hAnsi="Times New Roman"/>
          <w:szCs w:val="22"/>
          <w:lang w:val="sk-SK"/>
        </w:rPr>
        <w:t>%) u pacientov, ktorým sa podal Gado</w:t>
      </w:r>
      <w:r w:rsidR="00E25657" w:rsidRPr="00526A54">
        <w:rPr>
          <w:rFonts w:ascii="Times New Roman" w:hAnsi="Times New Roman"/>
          <w:szCs w:val="22"/>
          <w:lang w:val="sk-SK"/>
        </w:rPr>
        <w:t>graf</w:t>
      </w:r>
      <w:r w:rsidRPr="00526A54">
        <w:rPr>
          <w:rFonts w:ascii="Times New Roman" w:hAnsi="Times New Roman"/>
          <w:szCs w:val="22"/>
          <w:lang w:val="sk-SK"/>
        </w:rPr>
        <w:t xml:space="preserve"> sú bolesť hlavy, nauzea a </w:t>
      </w:r>
      <w:r w:rsidR="00F37E42" w:rsidRPr="00526A54">
        <w:rPr>
          <w:rFonts w:ascii="Times New Roman" w:hAnsi="Times New Roman"/>
          <w:szCs w:val="22"/>
          <w:lang w:val="sk-SK"/>
        </w:rPr>
        <w:t>závrat</w:t>
      </w:r>
      <w:r w:rsidRPr="00526A54">
        <w:rPr>
          <w:rFonts w:ascii="Times New Roman" w:hAnsi="Times New Roman"/>
          <w:szCs w:val="22"/>
          <w:lang w:val="sk-SK"/>
        </w:rPr>
        <w:t>.</w:t>
      </w:r>
    </w:p>
    <w:p w14:paraId="3BC51212" w14:textId="77777777" w:rsidR="00D23656" w:rsidRPr="00526A54" w:rsidRDefault="00D23656" w:rsidP="00526A54">
      <w:pPr>
        <w:pStyle w:val="Para0s"/>
        <w:spacing w:after="0"/>
        <w:rPr>
          <w:rFonts w:ascii="Times New Roman" w:hAnsi="Times New Roman"/>
          <w:color w:val="000000"/>
          <w:szCs w:val="22"/>
          <w:lang w:val="sk-SK"/>
        </w:rPr>
      </w:pPr>
    </w:p>
    <w:p w14:paraId="12530898" w14:textId="09BA764B" w:rsidR="008B1BEC" w:rsidRPr="00526A54" w:rsidRDefault="008B1BEC" w:rsidP="00526A54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526A54">
        <w:rPr>
          <w:rFonts w:ascii="Times New Roman" w:hAnsi="Times New Roman"/>
          <w:szCs w:val="22"/>
          <w:lang w:val="sk-SK"/>
        </w:rPr>
        <w:t>Najzávažnejšie nežiaduce reakcie u pacientov, ktorým sa podal Gado</w:t>
      </w:r>
      <w:r w:rsidR="00E25657" w:rsidRPr="00526A54">
        <w:rPr>
          <w:rFonts w:ascii="Times New Roman" w:hAnsi="Times New Roman"/>
          <w:szCs w:val="22"/>
          <w:lang w:val="sk-SK"/>
        </w:rPr>
        <w:t>graf</w:t>
      </w:r>
      <w:r w:rsidRPr="00526A54">
        <w:rPr>
          <w:rFonts w:ascii="Times New Roman" w:hAnsi="Times New Roman"/>
          <w:szCs w:val="22"/>
          <w:lang w:val="sk-SK"/>
        </w:rPr>
        <w:t xml:space="preserve"> sú z</w:t>
      </w:r>
      <w:r w:rsidR="00CF223A" w:rsidRPr="00526A54">
        <w:rPr>
          <w:rFonts w:ascii="Times New Roman" w:hAnsi="Times New Roman"/>
          <w:szCs w:val="22"/>
          <w:lang w:val="sk-SK"/>
        </w:rPr>
        <w:t xml:space="preserve">astavenie </w:t>
      </w:r>
      <w:r w:rsidRPr="00526A54">
        <w:rPr>
          <w:rFonts w:ascii="Times New Roman" w:hAnsi="Times New Roman"/>
          <w:szCs w:val="22"/>
          <w:lang w:val="sk-SK"/>
        </w:rPr>
        <w:t>srdca a</w:t>
      </w:r>
      <w:r w:rsidR="00F37E42" w:rsidRPr="00526A54">
        <w:rPr>
          <w:rFonts w:ascii="Times New Roman" w:hAnsi="Times New Roman"/>
          <w:szCs w:val="22"/>
          <w:lang w:val="sk-SK"/>
        </w:rPr>
        <w:t xml:space="preserve"> závažné </w:t>
      </w:r>
      <w:r w:rsidRPr="00526A54">
        <w:rPr>
          <w:rFonts w:ascii="Times New Roman" w:hAnsi="Times New Roman"/>
          <w:szCs w:val="22"/>
          <w:lang w:val="sk-SK"/>
        </w:rPr>
        <w:t>anafylaktoidn</w:t>
      </w:r>
      <w:r w:rsidR="00F37E42" w:rsidRPr="00526A54">
        <w:rPr>
          <w:rFonts w:ascii="Times New Roman" w:hAnsi="Times New Roman"/>
          <w:szCs w:val="22"/>
          <w:lang w:val="sk-SK"/>
        </w:rPr>
        <w:t>é reakcie (vrátane</w:t>
      </w:r>
      <w:r w:rsidRPr="00526A54">
        <w:rPr>
          <w:rFonts w:ascii="Times New Roman" w:hAnsi="Times New Roman"/>
          <w:szCs w:val="22"/>
          <w:lang w:val="sk-SK"/>
        </w:rPr>
        <w:t xml:space="preserve"> </w:t>
      </w:r>
      <w:r w:rsidR="00F37E42" w:rsidRPr="00526A54">
        <w:rPr>
          <w:rFonts w:ascii="Times New Roman" w:hAnsi="Times New Roman"/>
          <w:szCs w:val="22"/>
          <w:lang w:val="sk-SK"/>
        </w:rPr>
        <w:t>zastavenia dýchania a</w:t>
      </w:r>
      <w:r w:rsidR="00A575A8" w:rsidRPr="00526A54">
        <w:rPr>
          <w:rFonts w:ascii="Times New Roman" w:hAnsi="Times New Roman"/>
          <w:iCs/>
          <w:szCs w:val="22"/>
          <w:lang w:val="sk-SK"/>
        </w:rPr>
        <w:t> </w:t>
      </w:r>
      <w:r w:rsidR="00F37E42" w:rsidRPr="00526A54">
        <w:rPr>
          <w:rFonts w:ascii="Times New Roman" w:hAnsi="Times New Roman"/>
          <w:szCs w:val="22"/>
          <w:lang w:val="sk-SK"/>
        </w:rPr>
        <w:t xml:space="preserve">anafylaktického </w:t>
      </w:r>
      <w:r w:rsidRPr="00526A54">
        <w:rPr>
          <w:rFonts w:ascii="Times New Roman" w:hAnsi="Times New Roman"/>
          <w:szCs w:val="22"/>
          <w:lang w:val="sk-SK"/>
        </w:rPr>
        <w:t>šok</w:t>
      </w:r>
      <w:r w:rsidR="00F37E42" w:rsidRPr="00526A54">
        <w:rPr>
          <w:rFonts w:ascii="Times New Roman" w:hAnsi="Times New Roman"/>
          <w:szCs w:val="22"/>
          <w:lang w:val="sk-SK"/>
        </w:rPr>
        <w:t>u)</w:t>
      </w:r>
      <w:r w:rsidRPr="00526A54">
        <w:rPr>
          <w:rFonts w:ascii="Times New Roman" w:hAnsi="Times New Roman"/>
          <w:szCs w:val="22"/>
          <w:lang w:val="sk-SK"/>
        </w:rPr>
        <w:t>.</w:t>
      </w:r>
    </w:p>
    <w:p w14:paraId="167D70B5" w14:textId="77777777" w:rsidR="000E0373" w:rsidRPr="00526A54" w:rsidRDefault="000E0373" w:rsidP="00526A54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6559A026" w14:textId="77777777" w:rsidR="00F91970" w:rsidRPr="00526A54" w:rsidRDefault="00773048" w:rsidP="00526A54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526A54">
        <w:rPr>
          <w:rFonts w:ascii="Times New Roman" w:hAnsi="Times New Roman"/>
          <w:szCs w:val="22"/>
          <w:lang w:val="sk-SK"/>
        </w:rPr>
        <w:t>Z</w:t>
      </w:r>
      <w:r w:rsidR="00F91970" w:rsidRPr="00526A54">
        <w:rPr>
          <w:rFonts w:ascii="Times New Roman" w:hAnsi="Times New Roman"/>
          <w:szCs w:val="22"/>
          <w:lang w:val="sk-SK"/>
        </w:rPr>
        <w:t>riedkav</w:t>
      </w:r>
      <w:r w:rsidRPr="00526A54">
        <w:rPr>
          <w:rFonts w:ascii="Times New Roman" w:hAnsi="Times New Roman"/>
          <w:szCs w:val="22"/>
          <w:lang w:val="sk-SK"/>
        </w:rPr>
        <w:t xml:space="preserve">o </w:t>
      </w:r>
      <w:r w:rsidR="00F91970" w:rsidRPr="00526A54">
        <w:rPr>
          <w:rFonts w:ascii="Times New Roman" w:hAnsi="Times New Roman"/>
          <w:szCs w:val="22"/>
          <w:lang w:val="sk-SK"/>
        </w:rPr>
        <w:t>sa pozorovali oneskorené anafylaktoidné reakcie (po hodinách až niekoľkých dňoch)</w:t>
      </w:r>
      <w:r w:rsidR="00E477A5" w:rsidRPr="00526A54">
        <w:rPr>
          <w:rFonts w:ascii="Times New Roman" w:hAnsi="Times New Roman"/>
          <w:szCs w:val="22"/>
          <w:lang w:val="sk-SK"/>
        </w:rPr>
        <w:t xml:space="preserve"> (pozri časť</w:t>
      </w:r>
      <w:r w:rsidR="00A575A8" w:rsidRPr="00526A54">
        <w:rPr>
          <w:rFonts w:ascii="Times New Roman" w:hAnsi="Times New Roman"/>
          <w:iCs/>
          <w:szCs w:val="22"/>
          <w:lang w:val="sk-SK"/>
        </w:rPr>
        <w:t> </w:t>
      </w:r>
      <w:r w:rsidR="00E477A5" w:rsidRPr="00526A54">
        <w:rPr>
          <w:rFonts w:ascii="Times New Roman" w:hAnsi="Times New Roman"/>
          <w:szCs w:val="22"/>
          <w:lang w:val="sk-SK"/>
        </w:rPr>
        <w:t>4.4)</w:t>
      </w:r>
      <w:r w:rsidR="00F91970" w:rsidRPr="00526A54">
        <w:rPr>
          <w:rFonts w:ascii="Times New Roman" w:hAnsi="Times New Roman"/>
          <w:szCs w:val="22"/>
          <w:lang w:val="sk-SK"/>
        </w:rPr>
        <w:t>.</w:t>
      </w:r>
    </w:p>
    <w:p w14:paraId="3A61CE30" w14:textId="77777777" w:rsidR="00F91970" w:rsidRPr="00526A54" w:rsidRDefault="00F91970" w:rsidP="00526A54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552FCEFE" w14:textId="77777777" w:rsidR="00D23656" w:rsidRPr="00526A54" w:rsidRDefault="00897A49" w:rsidP="00526A54">
      <w:pPr>
        <w:pStyle w:val="Para0s"/>
        <w:spacing w:after="0"/>
        <w:outlineLvl w:val="0"/>
        <w:rPr>
          <w:rFonts w:ascii="Times New Roman" w:hAnsi="Times New Roman"/>
          <w:snapToGrid w:val="0"/>
          <w:szCs w:val="22"/>
          <w:lang w:val="sk-SK"/>
        </w:rPr>
      </w:pPr>
      <w:r w:rsidRPr="00526A54">
        <w:rPr>
          <w:rFonts w:ascii="Times New Roman" w:hAnsi="Times New Roman"/>
          <w:snapToGrid w:val="0"/>
          <w:szCs w:val="22"/>
          <w:lang w:val="sk-SK"/>
        </w:rPr>
        <w:t>Väčšina nežiaducich účinkov bol</w:t>
      </w:r>
      <w:r w:rsidR="00B5613C" w:rsidRPr="00526A54">
        <w:rPr>
          <w:rFonts w:ascii="Times New Roman" w:hAnsi="Times New Roman"/>
          <w:snapToGrid w:val="0"/>
          <w:szCs w:val="22"/>
          <w:lang w:val="sk-SK"/>
        </w:rPr>
        <w:t>a</w:t>
      </w:r>
      <w:r w:rsidRPr="00526A54">
        <w:rPr>
          <w:rFonts w:ascii="Times New Roman" w:hAnsi="Times New Roman"/>
          <w:snapToGrid w:val="0"/>
          <w:szCs w:val="22"/>
          <w:lang w:val="sk-SK"/>
        </w:rPr>
        <w:t xml:space="preserve"> miernej až</w:t>
      </w:r>
      <w:r w:rsidR="00A575A8" w:rsidRPr="00526A54">
        <w:rPr>
          <w:rFonts w:ascii="Times New Roman" w:hAnsi="Times New Roman"/>
          <w:iCs/>
          <w:szCs w:val="22"/>
          <w:lang w:val="sk-SK"/>
        </w:rPr>
        <w:t> </w:t>
      </w:r>
      <w:r w:rsidRPr="00526A54">
        <w:rPr>
          <w:rFonts w:ascii="Times New Roman" w:hAnsi="Times New Roman"/>
          <w:snapToGrid w:val="0"/>
          <w:szCs w:val="22"/>
          <w:lang w:val="sk-SK"/>
        </w:rPr>
        <w:t>stredne závažnej intenzity</w:t>
      </w:r>
      <w:r w:rsidR="00D23656" w:rsidRPr="00526A54">
        <w:rPr>
          <w:rFonts w:ascii="Times New Roman" w:hAnsi="Times New Roman"/>
          <w:snapToGrid w:val="0"/>
          <w:szCs w:val="22"/>
          <w:lang w:val="sk-SK"/>
        </w:rPr>
        <w:t>.</w:t>
      </w:r>
    </w:p>
    <w:p w14:paraId="2624D206" w14:textId="77777777" w:rsidR="0035656C" w:rsidRPr="00526A54" w:rsidRDefault="0035656C" w:rsidP="00526A54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</w:p>
    <w:p w14:paraId="6D99EB4C" w14:textId="26577256" w:rsidR="00F91027" w:rsidRPr="00526A54" w:rsidRDefault="001C3E57" w:rsidP="00526A54">
      <w:pPr>
        <w:pStyle w:val="Smalltext120"/>
        <w:tabs>
          <w:tab w:val="left" w:pos="567"/>
        </w:tabs>
        <w:rPr>
          <w:noProof/>
          <w:snapToGrid w:val="0"/>
          <w:color w:val="000000"/>
          <w:sz w:val="22"/>
          <w:szCs w:val="22"/>
          <w:lang w:val="sk-SK"/>
        </w:rPr>
      </w:pPr>
      <w:r w:rsidRPr="00526A54">
        <w:rPr>
          <w:sz w:val="22"/>
          <w:szCs w:val="22"/>
          <w:lang w:val="sk-SK"/>
        </w:rPr>
        <w:t xml:space="preserve">V </w:t>
      </w:r>
      <w:r w:rsidR="005E0EE1" w:rsidRPr="00526A54">
        <w:rPr>
          <w:sz w:val="22"/>
          <w:szCs w:val="22"/>
          <w:lang w:val="sk-SK"/>
        </w:rPr>
        <w:t xml:space="preserve">tabuľke </w:t>
      </w:r>
      <w:r w:rsidRPr="00526A54">
        <w:rPr>
          <w:sz w:val="22"/>
          <w:szCs w:val="22"/>
          <w:lang w:val="sk-SK"/>
        </w:rPr>
        <w:t xml:space="preserve">nižšie </w:t>
      </w:r>
      <w:r w:rsidR="005E0EE1" w:rsidRPr="00526A54">
        <w:rPr>
          <w:sz w:val="22"/>
          <w:szCs w:val="22"/>
          <w:lang w:val="sk-SK"/>
        </w:rPr>
        <w:t xml:space="preserve">sú </w:t>
      </w:r>
      <w:r w:rsidRPr="00526A54">
        <w:rPr>
          <w:sz w:val="22"/>
          <w:szCs w:val="22"/>
          <w:lang w:val="sk-SK"/>
        </w:rPr>
        <w:t>uveden</w:t>
      </w:r>
      <w:r w:rsidR="005E0EE1" w:rsidRPr="00526A54">
        <w:rPr>
          <w:sz w:val="22"/>
          <w:szCs w:val="22"/>
          <w:lang w:val="sk-SK"/>
        </w:rPr>
        <w:t xml:space="preserve">é </w:t>
      </w:r>
      <w:r w:rsidRPr="00526A54">
        <w:rPr>
          <w:sz w:val="22"/>
          <w:szCs w:val="22"/>
          <w:lang w:val="sk-SK"/>
        </w:rPr>
        <w:t xml:space="preserve">nežiaduce </w:t>
      </w:r>
      <w:r w:rsidR="001E078C" w:rsidRPr="00526A54">
        <w:rPr>
          <w:sz w:val="22"/>
          <w:szCs w:val="22"/>
          <w:lang w:val="sk-SK"/>
        </w:rPr>
        <w:t xml:space="preserve">účinky </w:t>
      </w:r>
      <w:r w:rsidR="00B5613C" w:rsidRPr="00526A54">
        <w:rPr>
          <w:sz w:val="22"/>
          <w:szCs w:val="22"/>
          <w:lang w:val="sk-SK"/>
        </w:rPr>
        <w:t xml:space="preserve">pozorované </w:t>
      </w:r>
      <w:r w:rsidR="005E0EE1" w:rsidRPr="00526A54">
        <w:rPr>
          <w:sz w:val="22"/>
          <w:szCs w:val="22"/>
          <w:lang w:val="sk-SK"/>
        </w:rPr>
        <w:t>po</w:t>
      </w:r>
      <w:r w:rsidR="00A575A8" w:rsidRPr="00526A54">
        <w:rPr>
          <w:iCs/>
          <w:sz w:val="22"/>
          <w:szCs w:val="22"/>
          <w:lang w:val="sk-SK"/>
        </w:rPr>
        <w:t> </w:t>
      </w:r>
      <w:r w:rsidR="005E0EE1" w:rsidRPr="00526A54">
        <w:rPr>
          <w:sz w:val="22"/>
          <w:szCs w:val="22"/>
          <w:lang w:val="sk-SK"/>
        </w:rPr>
        <w:t>podaní Gado</w:t>
      </w:r>
      <w:r w:rsidR="00E25657" w:rsidRPr="00526A54">
        <w:rPr>
          <w:sz w:val="22"/>
          <w:szCs w:val="22"/>
          <w:lang w:val="sk-SK"/>
        </w:rPr>
        <w:t>grafu</w:t>
      </w:r>
      <w:r w:rsidR="005E0EE1" w:rsidRPr="00526A54">
        <w:rPr>
          <w:sz w:val="22"/>
          <w:szCs w:val="22"/>
          <w:lang w:val="sk-SK"/>
        </w:rPr>
        <w:t>. Sú</w:t>
      </w:r>
      <w:r w:rsidR="00A575A8" w:rsidRPr="00526A54">
        <w:rPr>
          <w:iCs/>
          <w:sz w:val="22"/>
          <w:szCs w:val="22"/>
          <w:lang w:val="sk-SK"/>
        </w:rPr>
        <w:t> </w:t>
      </w:r>
      <w:r w:rsidR="005E0EE1" w:rsidRPr="00526A54">
        <w:rPr>
          <w:sz w:val="22"/>
          <w:szCs w:val="22"/>
          <w:lang w:val="sk-SK"/>
        </w:rPr>
        <w:t xml:space="preserve">klasifikované </w:t>
      </w:r>
      <w:r w:rsidRPr="00526A54">
        <w:rPr>
          <w:sz w:val="22"/>
          <w:szCs w:val="22"/>
          <w:lang w:val="sk-SK"/>
        </w:rPr>
        <w:t>podľa tried orgánových systémov</w:t>
      </w:r>
      <w:r w:rsidR="00E477A5" w:rsidRPr="00526A54">
        <w:rPr>
          <w:sz w:val="22"/>
          <w:szCs w:val="22"/>
          <w:lang w:val="sk-SK"/>
        </w:rPr>
        <w:t xml:space="preserve"> (</w:t>
      </w:r>
      <w:r w:rsidR="00E477A5" w:rsidRPr="00526A54">
        <w:rPr>
          <w:noProof/>
          <w:snapToGrid w:val="0"/>
          <w:color w:val="000000"/>
          <w:sz w:val="22"/>
          <w:szCs w:val="22"/>
          <w:lang w:val="sk-SK"/>
        </w:rPr>
        <w:t>MedDRA)</w:t>
      </w:r>
      <w:r w:rsidR="005E0EE1" w:rsidRPr="00526A54">
        <w:rPr>
          <w:sz w:val="22"/>
          <w:szCs w:val="22"/>
          <w:lang w:val="sk-SK"/>
        </w:rPr>
        <w:t xml:space="preserve">. </w:t>
      </w:r>
      <w:r w:rsidR="00F91027" w:rsidRPr="00526A54">
        <w:rPr>
          <w:noProof/>
          <w:snapToGrid w:val="0"/>
          <w:color w:val="000000"/>
          <w:sz w:val="22"/>
          <w:szCs w:val="22"/>
          <w:lang w:val="sk-SK"/>
        </w:rPr>
        <w:t>Na</w:t>
      </w:r>
      <w:r w:rsidR="00A575A8" w:rsidRPr="00526A54">
        <w:rPr>
          <w:iCs/>
          <w:sz w:val="22"/>
          <w:szCs w:val="22"/>
          <w:lang w:val="sk-SK"/>
        </w:rPr>
        <w:t> </w:t>
      </w:r>
      <w:r w:rsidR="00F91027" w:rsidRPr="00526A54">
        <w:rPr>
          <w:noProof/>
          <w:snapToGrid w:val="0"/>
          <w:color w:val="000000"/>
          <w:sz w:val="22"/>
          <w:szCs w:val="22"/>
          <w:lang w:val="sk-SK"/>
        </w:rPr>
        <w:t>popis určitej reakcie, jej synoným a súvisiacich stavov je uvedený najvhodnejší pojem podľa klasifikácie</w:t>
      </w:r>
      <w:r w:rsidR="00E477A5" w:rsidRPr="00526A54">
        <w:rPr>
          <w:noProof/>
          <w:snapToGrid w:val="0"/>
          <w:color w:val="000000"/>
          <w:sz w:val="22"/>
          <w:szCs w:val="22"/>
          <w:lang w:val="sk-SK"/>
        </w:rPr>
        <w:t xml:space="preserve"> MedDRA</w:t>
      </w:r>
      <w:r w:rsidR="00F91027" w:rsidRPr="00526A54">
        <w:rPr>
          <w:noProof/>
          <w:snapToGrid w:val="0"/>
          <w:color w:val="000000"/>
          <w:sz w:val="22"/>
          <w:szCs w:val="22"/>
          <w:lang w:val="sk-SK"/>
        </w:rPr>
        <w:t>.</w:t>
      </w:r>
    </w:p>
    <w:p w14:paraId="44E4A883" w14:textId="77777777" w:rsidR="001C3E57" w:rsidRPr="00526A54" w:rsidRDefault="001C3E57" w:rsidP="00526A54">
      <w:pPr>
        <w:rPr>
          <w:sz w:val="22"/>
          <w:szCs w:val="22"/>
        </w:rPr>
      </w:pPr>
    </w:p>
    <w:p w14:paraId="132184A1" w14:textId="77777777" w:rsidR="00F91027" w:rsidRPr="00526A54" w:rsidRDefault="00F91027" w:rsidP="00526A54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  <w:r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Nežiaduce </w:t>
      </w:r>
      <w:r w:rsidR="001E078C"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účinky </w:t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z klinických skúšaní </w:t>
      </w:r>
      <w:r w:rsidR="00140861"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sú klasifikované podľa ich frekvencií. Skupiny frekvencií sú definované podľa nasledovnej konvencie: </w:t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t>časté</w:t>
      </w:r>
      <w:r w:rsidR="00F37E42"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 ≥1/100</w:t>
      </w:r>
      <w:r w:rsidR="00F37E42" w:rsidRPr="00526A54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526A54">
        <w:rPr>
          <w:rFonts w:ascii="Times New Roman" w:hAnsi="Times New Roman"/>
          <w:noProof/>
          <w:color w:val="000000"/>
          <w:szCs w:val="22"/>
          <w:lang w:val="sk-SK"/>
        </w:rPr>
        <w:t>až</w:t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t>1/10, menej časté</w:t>
      </w:r>
      <w:r w:rsidR="00F37E42"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 ≥1/1 000</w:t>
      </w:r>
      <w:r w:rsidR="00F37E42" w:rsidRPr="00526A54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t>1/100), zriedkavé</w:t>
      </w:r>
      <w:r w:rsidR="00F37E42" w:rsidRPr="00526A54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 ≥1/10 000</w:t>
      </w:r>
      <w:r w:rsidR="00F37E42" w:rsidRPr="00526A54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526A54">
        <w:rPr>
          <w:rFonts w:ascii="Times New Roman" w:hAnsi="Times New Roman"/>
          <w:noProof/>
          <w:color w:val="000000"/>
          <w:szCs w:val="22"/>
          <w:lang w:val="sk-SK"/>
        </w:rPr>
        <w:t>1/1 000.</w:t>
      </w:r>
      <w:r w:rsidR="00140861"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 Nežiaduce účinky identifikované iba po uvedení lieku na trh, a pre ktoré nemožno odhadnúť frekvenciu sú uvedené </w:t>
      </w:r>
      <w:r w:rsidR="00E82293" w:rsidRPr="00526A54">
        <w:rPr>
          <w:rFonts w:ascii="Times New Roman" w:hAnsi="Times New Roman"/>
          <w:noProof/>
          <w:color w:val="000000"/>
          <w:szCs w:val="22"/>
          <w:lang w:val="sk-SK"/>
        </w:rPr>
        <w:t>ako</w:t>
      </w:r>
      <w:r w:rsidR="00140861" w:rsidRPr="00526A54">
        <w:rPr>
          <w:rFonts w:ascii="Times New Roman" w:hAnsi="Times New Roman"/>
          <w:noProof/>
          <w:color w:val="000000"/>
          <w:szCs w:val="22"/>
          <w:lang w:val="sk-SK"/>
        </w:rPr>
        <w:t xml:space="preserve"> „neznáme“.</w:t>
      </w:r>
    </w:p>
    <w:p w14:paraId="07E9E291" w14:textId="77777777" w:rsidR="00F91027" w:rsidRPr="00526A54" w:rsidRDefault="00F91027" w:rsidP="00526A54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</w:p>
    <w:p w14:paraId="32A5927E" w14:textId="77777777" w:rsidR="00140861" w:rsidRPr="00526A54" w:rsidRDefault="00140861" w:rsidP="00526A54">
      <w:pPr>
        <w:outlineLvl w:val="0"/>
        <w:rPr>
          <w:sz w:val="22"/>
          <w:szCs w:val="22"/>
        </w:rPr>
      </w:pPr>
      <w:r w:rsidRPr="00526A54">
        <w:rPr>
          <w:noProof/>
          <w:sz w:val="22"/>
          <w:szCs w:val="22"/>
        </w:rPr>
        <w:t>V rámci jednotlivých skupín frekvencií sú nežiaduce účinky usporiadané v poradí klesajúcej závažnosti.</w:t>
      </w:r>
    </w:p>
    <w:p w14:paraId="14F1BFFF" w14:textId="77777777" w:rsidR="00140861" w:rsidRPr="00526A54" w:rsidRDefault="00140861" w:rsidP="00526A54">
      <w:pPr>
        <w:rPr>
          <w:bCs/>
          <w:iCs/>
          <w:color w:val="000000"/>
          <w:sz w:val="22"/>
          <w:szCs w:val="22"/>
        </w:rPr>
      </w:pPr>
    </w:p>
    <w:p w14:paraId="790F9857" w14:textId="1A90F312" w:rsidR="008A4EAE" w:rsidRPr="00526A54" w:rsidRDefault="00D23656" w:rsidP="008331A9">
      <w:pPr>
        <w:pStyle w:val="Zkladntext"/>
        <w:keepNext/>
        <w:rPr>
          <w:b/>
          <w:szCs w:val="22"/>
        </w:rPr>
      </w:pPr>
      <w:bookmarkStart w:id="0" w:name="_GoBack"/>
      <w:r w:rsidRPr="00526A54">
        <w:rPr>
          <w:b/>
          <w:snapToGrid w:val="0"/>
          <w:szCs w:val="22"/>
        </w:rPr>
        <w:t>Tab</w:t>
      </w:r>
      <w:r w:rsidR="00140861" w:rsidRPr="00526A54">
        <w:rPr>
          <w:b/>
          <w:snapToGrid w:val="0"/>
          <w:szCs w:val="22"/>
        </w:rPr>
        <w:t xml:space="preserve">uľka </w:t>
      </w:r>
      <w:r w:rsidRPr="00526A54">
        <w:rPr>
          <w:b/>
          <w:snapToGrid w:val="0"/>
          <w:szCs w:val="22"/>
        </w:rPr>
        <w:t xml:space="preserve">1: </w:t>
      </w:r>
      <w:r w:rsidR="00140861" w:rsidRPr="00526A54">
        <w:rPr>
          <w:b/>
          <w:snapToGrid w:val="0"/>
          <w:szCs w:val="22"/>
        </w:rPr>
        <w:t xml:space="preserve">Nežiaduce reakcie hlásené v klinických skúšaniach alebo po uvedení lieku na trh u pacientov, ktorým sa podal </w:t>
      </w:r>
      <w:r w:rsidRPr="00526A54">
        <w:rPr>
          <w:b/>
          <w:szCs w:val="22"/>
        </w:rPr>
        <w:t>Gado</w:t>
      </w:r>
      <w:r w:rsidR="00E25657" w:rsidRPr="00526A54">
        <w:rPr>
          <w:b/>
          <w:szCs w:val="22"/>
        </w:rPr>
        <w:t>graf</w:t>
      </w:r>
    </w:p>
    <w:p w14:paraId="45C9AF90" w14:textId="77777777" w:rsidR="00E25657" w:rsidRPr="00526A54" w:rsidRDefault="00E25657" w:rsidP="008331A9">
      <w:pPr>
        <w:pStyle w:val="Zkladntext"/>
        <w:keepNext/>
        <w:rPr>
          <w:b/>
          <w:bCs/>
          <w:szCs w:val="2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40"/>
        <w:gridCol w:w="1800"/>
        <w:gridCol w:w="2040"/>
        <w:gridCol w:w="1560"/>
      </w:tblGrid>
      <w:tr w:rsidR="00624253" w:rsidRPr="00526A54" w14:paraId="26F57D42" w14:textId="77777777" w:rsidTr="00BB7848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075" w14:textId="77777777" w:rsidR="00624253" w:rsidRPr="00526A54" w:rsidRDefault="00624253" w:rsidP="008331A9">
            <w:pPr>
              <w:pStyle w:val="Smalltext90"/>
              <w:keepNext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646" w14:textId="77777777" w:rsidR="00624253" w:rsidRPr="00526A54" w:rsidRDefault="00624253" w:rsidP="008331A9">
            <w:pPr>
              <w:pStyle w:val="Smalltext90"/>
              <w:keepNext/>
              <w:jc w:val="center"/>
              <w:rPr>
                <w:b/>
                <w:sz w:val="22"/>
                <w:szCs w:val="22"/>
                <w:lang w:val="sk-SK"/>
              </w:rPr>
            </w:pPr>
          </w:p>
          <w:p w14:paraId="4612793D" w14:textId="77777777" w:rsidR="00624253" w:rsidRPr="00526A54" w:rsidRDefault="00624253" w:rsidP="008331A9">
            <w:pPr>
              <w:pStyle w:val="Smalltext90"/>
              <w:keepNext/>
              <w:jc w:val="center"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>Frekvencia</w:t>
            </w:r>
          </w:p>
          <w:p w14:paraId="4DC202E2" w14:textId="77777777" w:rsidR="00624253" w:rsidRPr="00526A54" w:rsidRDefault="00624253" w:rsidP="008331A9">
            <w:pPr>
              <w:pStyle w:val="Smalltext90"/>
              <w:keepNext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D23656" w:rsidRPr="00526A54" w14:paraId="193499BD" w14:textId="77777777" w:rsidTr="009A24DC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8B2" w14:textId="77777777" w:rsidR="00D23656" w:rsidRPr="00526A54" w:rsidRDefault="006D31E7" w:rsidP="008331A9">
            <w:pPr>
              <w:pStyle w:val="Smalltext90"/>
              <w:keepNext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 xml:space="preserve">Trieda orgánového systému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596" w14:textId="77777777" w:rsidR="00D23656" w:rsidRPr="00526A54" w:rsidRDefault="006D31E7" w:rsidP="008331A9">
            <w:pPr>
              <w:pStyle w:val="Smalltext90"/>
              <w:keepNext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BEE" w14:textId="77777777" w:rsidR="00D23656" w:rsidRPr="00526A54" w:rsidRDefault="006D31E7" w:rsidP="008331A9">
            <w:pPr>
              <w:pStyle w:val="Smalltext90"/>
              <w:keepNext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42B" w14:textId="77777777" w:rsidR="00D23656" w:rsidRPr="00526A54" w:rsidRDefault="006D31E7" w:rsidP="008331A9">
            <w:pPr>
              <w:pStyle w:val="Smalltext90"/>
              <w:keepNext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 xml:space="preserve">Zriedkavé </w:t>
            </w:r>
          </w:p>
          <w:p w14:paraId="0562E3FF" w14:textId="77777777" w:rsidR="00D23656" w:rsidRPr="00526A54" w:rsidRDefault="00D23656" w:rsidP="008331A9">
            <w:pPr>
              <w:pStyle w:val="Smalltext90"/>
              <w:keepNext/>
              <w:rPr>
                <w:b/>
                <w:sz w:val="22"/>
                <w:szCs w:val="22"/>
                <w:lang w:val="sk-SK"/>
              </w:rPr>
            </w:pPr>
          </w:p>
          <w:p w14:paraId="3DD15B91" w14:textId="77777777" w:rsidR="00D23656" w:rsidRPr="00526A54" w:rsidRDefault="00D23656" w:rsidP="008331A9">
            <w:pPr>
              <w:pStyle w:val="Smalltext90"/>
              <w:keepNext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0C7" w14:textId="77777777" w:rsidR="00D23656" w:rsidRPr="00526A54" w:rsidRDefault="00D23656" w:rsidP="008331A9">
            <w:pPr>
              <w:pStyle w:val="Smalltext90"/>
              <w:keepNext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>N</w:t>
            </w:r>
            <w:r w:rsidR="006D31E7" w:rsidRPr="00526A54">
              <w:rPr>
                <w:b/>
                <w:sz w:val="22"/>
                <w:szCs w:val="22"/>
                <w:lang w:val="sk-SK"/>
              </w:rPr>
              <w:t xml:space="preserve">eznáme </w:t>
            </w:r>
          </w:p>
        </w:tc>
      </w:tr>
      <w:bookmarkEnd w:id="0"/>
      <w:tr w:rsidR="00D23656" w:rsidRPr="00526A54" w14:paraId="33E3E2A0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A2A" w14:textId="77777777" w:rsidR="00D23656" w:rsidRPr="00526A54" w:rsidRDefault="001429A3" w:rsidP="00526A54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111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1C6" w14:textId="287AF8BD" w:rsidR="00D23656" w:rsidRPr="00526A54" w:rsidRDefault="00F2184C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Hypersenzitivita</w:t>
            </w:r>
            <w:r w:rsidR="00C37B9D" w:rsidRPr="00526A54">
              <w:rPr>
                <w:sz w:val="22"/>
                <w:szCs w:val="22"/>
                <w:lang w:val="sk-SK"/>
              </w:rPr>
              <w:t>/ anafylaktoidná reakcia</w:t>
            </w:r>
            <w:r w:rsidR="00CB1204" w:rsidRPr="00526A54">
              <w:rPr>
                <w:sz w:val="22"/>
                <w:szCs w:val="22"/>
                <w:lang w:val="sk-SK"/>
              </w:rPr>
              <w:t>*</w:t>
            </w:r>
            <w:r w:rsidR="00CB1204" w:rsidRPr="00526A54">
              <w:rPr>
                <w:sz w:val="22"/>
                <w:szCs w:val="22"/>
                <w:vertAlign w:val="superscript"/>
                <w:lang w:val="sk-SK"/>
              </w:rPr>
              <w:t>#</w:t>
            </w:r>
            <w:r w:rsidR="00C37B9D" w:rsidRPr="00526A54">
              <w:rPr>
                <w:sz w:val="22"/>
                <w:szCs w:val="22"/>
                <w:lang w:val="sk-SK"/>
              </w:rPr>
              <w:t xml:space="preserve"> (napr.  anafylaktoidný šok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*, zlyhanie krvného obehu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*, zastavenie dýchania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 xml:space="preserve">*, </w:t>
            </w:r>
            <w:r w:rsidR="00CB1204" w:rsidRPr="00526A54">
              <w:rPr>
                <w:sz w:val="22"/>
                <w:szCs w:val="22"/>
                <w:lang w:val="sk-SK"/>
              </w:rPr>
              <w:t>pľúcny edém</w:t>
            </w:r>
            <w:r w:rsidR="00CB1204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B1204" w:rsidRPr="00526A54">
              <w:rPr>
                <w:sz w:val="22"/>
                <w:szCs w:val="22"/>
                <w:lang w:val="sk-SK"/>
              </w:rPr>
              <w:t xml:space="preserve">*, </w:t>
            </w:r>
            <w:r w:rsidR="00C37B9D" w:rsidRPr="00526A54">
              <w:rPr>
                <w:sz w:val="22"/>
                <w:szCs w:val="22"/>
                <w:lang w:val="sk-SK"/>
              </w:rPr>
              <w:t>bronchospazmus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, cyanóza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, orofaryngeálny opuch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*,</w:t>
            </w:r>
            <w:r w:rsidR="00C37B9D" w:rsidRPr="00526A54">
              <w:rPr>
                <w:sz w:val="22"/>
                <w:szCs w:val="22"/>
                <w:lang w:val="sk-SK"/>
              </w:rPr>
              <w:br/>
              <w:t>laryngeálny edém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, hypotenzia*, zvýšený tlak krvi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, bolesť na hrudi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 xml:space="preserve">, žihľavka, </w:t>
            </w:r>
            <w:r w:rsidR="00C37B9D" w:rsidRPr="00526A54">
              <w:rPr>
                <w:sz w:val="22"/>
                <w:szCs w:val="22"/>
                <w:lang w:val="sk-SK"/>
              </w:rPr>
              <w:br/>
              <w:t>edém tváre, angioedém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, konjunktivitída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, edém očných viečok, nával horúčavy, hyperhidróza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, kašeľ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, kýchanie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, pocit pálenia</w:t>
            </w:r>
            <w:r w:rsidR="00C37B9D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, bledosť</w:t>
            </w:r>
            <w:r w:rsidR="00CB1204" w:rsidRPr="00526A54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26A54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8A6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B7B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526A54" w14:paraId="4FDA09BA" w14:textId="77777777" w:rsidTr="009A24DC">
        <w:trPr>
          <w:trHeight w:val="129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CA8" w14:textId="77777777" w:rsidR="00D23656" w:rsidRPr="00526A54" w:rsidRDefault="001429A3" w:rsidP="00526A54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  <w:p w14:paraId="0612EC48" w14:textId="77777777" w:rsidR="00D23656" w:rsidRPr="00526A54" w:rsidRDefault="00D23656" w:rsidP="00526A54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211" w14:textId="60502F29" w:rsidR="00D23656" w:rsidRPr="00526A54" w:rsidRDefault="001429A3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A96" w14:textId="77777777" w:rsidR="00D23656" w:rsidRPr="00526A54" w:rsidRDefault="001429A3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 xml:space="preserve">Závrat </w:t>
            </w:r>
          </w:p>
          <w:p w14:paraId="41DBA01D" w14:textId="77777777" w:rsidR="00D23656" w:rsidRPr="00526A54" w:rsidRDefault="00D23656" w:rsidP="00526A54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Dysge</w:t>
            </w:r>
            <w:r w:rsidR="00B4103C" w:rsidRPr="00526A54">
              <w:rPr>
                <w:sz w:val="22"/>
                <w:szCs w:val="22"/>
                <w:lang w:val="sk-SK"/>
              </w:rPr>
              <w:t>úzia</w:t>
            </w:r>
            <w:r w:rsidRPr="00526A54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219A4749" w14:textId="10A54600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Parest</w:t>
            </w:r>
            <w:r w:rsidR="00B4103C" w:rsidRPr="00526A54">
              <w:rPr>
                <w:sz w:val="22"/>
                <w:szCs w:val="22"/>
                <w:lang w:val="sk-SK"/>
              </w:rPr>
              <w:t>ézi</w:t>
            </w:r>
            <w:r w:rsidR="00EA0337" w:rsidRPr="00526A5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1B0" w14:textId="7F2E2297" w:rsidR="00D23656" w:rsidRPr="00526A54" w:rsidRDefault="00B4103C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Strata vedomia</w:t>
            </w:r>
            <w:r w:rsidR="001D661D" w:rsidRPr="00526A54">
              <w:rPr>
                <w:sz w:val="22"/>
                <w:szCs w:val="22"/>
              </w:rPr>
              <w:t>*</w:t>
            </w:r>
          </w:p>
          <w:p w14:paraId="3BBAE26E" w14:textId="371B3AC0" w:rsidR="00D23656" w:rsidRPr="00526A54" w:rsidRDefault="00B4103C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Záchvaty</w:t>
            </w:r>
          </w:p>
          <w:p w14:paraId="0B8D7978" w14:textId="2F7B3196" w:rsidR="00D23656" w:rsidRPr="00526A54" w:rsidRDefault="00B4103C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Paro</w:t>
            </w:r>
            <w:r w:rsidR="00EA0337" w:rsidRPr="00526A54">
              <w:rPr>
                <w:sz w:val="22"/>
                <w:szCs w:val="22"/>
                <w:lang w:val="sk-SK"/>
              </w:rPr>
              <w:t>s</w:t>
            </w:r>
            <w:r w:rsidRPr="00526A54">
              <w:rPr>
                <w:sz w:val="22"/>
                <w:szCs w:val="22"/>
                <w:lang w:val="sk-SK"/>
              </w:rPr>
              <w:t>mia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C76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526A54" w14:paraId="076D80E3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C2" w14:textId="77777777" w:rsidR="00D23656" w:rsidRPr="00526A54" w:rsidRDefault="00B4103C" w:rsidP="00526A54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 xml:space="preserve">Poruchy srdca a srdcovej činnosti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6A9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8B8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731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Tachy</w:t>
            </w:r>
            <w:r w:rsidR="00B4103C" w:rsidRPr="00526A54">
              <w:rPr>
                <w:sz w:val="22"/>
                <w:szCs w:val="22"/>
                <w:lang w:val="sk-SK"/>
              </w:rPr>
              <w:t>k</w:t>
            </w:r>
            <w:r w:rsidRPr="00526A54">
              <w:rPr>
                <w:sz w:val="22"/>
                <w:szCs w:val="22"/>
                <w:lang w:val="sk-SK"/>
              </w:rPr>
              <w:t>ardia</w:t>
            </w:r>
          </w:p>
          <w:p w14:paraId="0070BF75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Palpit</w:t>
            </w:r>
            <w:r w:rsidR="00B4103C" w:rsidRPr="00526A54">
              <w:rPr>
                <w:sz w:val="22"/>
                <w:szCs w:val="22"/>
                <w:lang w:val="sk-SK"/>
              </w:rPr>
              <w:t xml:space="preserve">ácie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804" w14:textId="5EFD8E34" w:rsidR="00D23656" w:rsidRPr="00526A54" w:rsidRDefault="00B4103C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Z</w:t>
            </w:r>
            <w:r w:rsidR="00CF223A" w:rsidRPr="00526A54">
              <w:rPr>
                <w:sz w:val="22"/>
                <w:szCs w:val="22"/>
                <w:lang w:val="sk-SK"/>
              </w:rPr>
              <w:t xml:space="preserve">astavenie </w:t>
            </w:r>
            <w:r w:rsidRPr="00526A54">
              <w:rPr>
                <w:sz w:val="22"/>
                <w:szCs w:val="22"/>
                <w:lang w:val="sk-SK"/>
              </w:rPr>
              <w:t>srdca</w:t>
            </w:r>
            <w:r w:rsidR="00D23656" w:rsidRPr="00526A54">
              <w:rPr>
                <w:sz w:val="22"/>
                <w:szCs w:val="22"/>
                <w:lang w:val="sk-SK"/>
              </w:rPr>
              <w:t>*</w:t>
            </w:r>
          </w:p>
        </w:tc>
      </w:tr>
      <w:tr w:rsidR="00D23656" w:rsidRPr="00526A54" w14:paraId="29A543E7" w14:textId="77777777" w:rsidTr="009A24DC">
        <w:trPr>
          <w:trHeight w:val="113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29E" w14:textId="77777777" w:rsidR="00D23656" w:rsidRPr="00526A54" w:rsidRDefault="00027291" w:rsidP="00526A54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0CE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3B32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Dyspn</w:t>
            </w:r>
            <w:r w:rsidR="00B4103C" w:rsidRPr="00526A54">
              <w:rPr>
                <w:sz w:val="22"/>
                <w:szCs w:val="22"/>
                <w:lang w:val="sk-SK"/>
              </w:rPr>
              <w:t>oe</w:t>
            </w:r>
            <w:r w:rsidRPr="00526A5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505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212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526A54" w14:paraId="580C18B2" w14:textId="77777777" w:rsidTr="009A24DC">
        <w:trPr>
          <w:trHeight w:val="47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608" w14:textId="77777777" w:rsidR="00D23656" w:rsidRPr="00526A54" w:rsidRDefault="00027291" w:rsidP="00526A54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4D4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Nau</w:t>
            </w:r>
            <w:r w:rsidR="00027291" w:rsidRPr="00526A54">
              <w:rPr>
                <w:sz w:val="22"/>
                <w:szCs w:val="22"/>
                <w:lang w:val="sk-SK"/>
              </w:rPr>
              <w:t>zea</w:t>
            </w:r>
          </w:p>
          <w:p w14:paraId="5C0F9D46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27A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V</w:t>
            </w:r>
            <w:r w:rsidR="00027291" w:rsidRPr="00526A54">
              <w:rPr>
                <w:sz w:val="22"/>
                <w:szCs w:val="22"/>
                <w:lang w:val="sk-SK"/>
              </w:rPr>
              <w:t xml:space="preserve">racanie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94F" w14:textId="3B5DE46F" w:rsidR="00D23656" w:rsidRPr="00526A54" w:rsidRDefault="00E25657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Sucho v ústach</w:t>
            </w:r>
          </w:p>
          <w:p w14:paraId="5EDD977B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638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526A54" w14:paraId="5FF65811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34C" w14:textId="77777777" w:rsidR="00D23656" w:rsidRPr="00526A54" w:rsidRDefault="00BC6E08" w:rsidP="00526A54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 xml:space="preserve">Poruchy kože a podkožného tkaniva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442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62A" w14:textId="1C114454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Eryt</w:t>
            </w:r>
            <w:r w:rsidR="00BC6E08" w:rsidRPr="00526A54">
              <w:rPr>
                <w:sz w:val="22"/>
                <w:szCs w:val="22"/>
                <w:lang w:val="sk-SK"/>
              </w:rPr>
              <w:t>ém</w:t>
            </w:r>
          </w:p>
          <w:p w14:paraId="39F64919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Pruritus (</w:t>
            </w:r>
            <w:r w:rsidR="00BC6E08" w:rsidRPr="00526A54">
              <w:rPr>
                <w:sz w:val="22"/>
                <w:szCs w:val="22"/>
                <w:lang w:val="sk-SK"/>
              </w:rPr>
              <w:t>vrátane celkového svrbenia</w:t>
            </w:r>
            <w:r w:rsidRPr="00526A54">
              <w:rPr>
                <w:sz w:val="22"/>
                <w:szCs w:val="22"/>
                <w:lang w:val="sk-SK"/>
              </w:rPr>
              <w:t>)</w:t>
            </w:r>
          </w:p>
          <w:p w14:paraId="385F14A1" w14:textId="77777777" w:rsidR="00D23656" w:rsidRPr="00526A54" w:rsidRDefault="00BC6E08" w:rsidP="00526A54">
            <w:pPr>
              <w:rPr>
                <w:sz w:val="22"/>
                <w:szCs w:val="22"/>
              </w:rPr>
            </w:pPr>
            <w:r w:rsidRPr="00526A54">
              <w:rPr>
                <w:sz w:val="22"/>
                <w:szCs w:val="22"/>
              </w:rPr>
              <w:t xml:space="preserve">Vyrážka </w:t>
            </w:r>
            <w:r w:rsidR="00D23656" w:rsidRPr="00526A54">
              <w:rPr>
                <w:sz w:val="22"/>
                <w:szCs w:val="22"/>
              </w:rPr>
              <w:t>(</w:t>
            </w:r>
            <w:r w:rsidRPr="00526A54">
              <w:rPr>
                <w:sz w:val="22"/>
                <w:szCs w:val="22"/>
              </w:rPr>
              <w:t>vrátane celkovej, makulárnej, papulárnej,  svrbivej vyrážky</w:t>
            </w:r>
            <w:r w:rsidR="00D23656" w:rsidRPr="00526A54">
              <w:rPr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872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CBA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Ne</w:t>
            </w:r>
            <w:r w:rsidR="00BC6E08" w:rsidRPr="00526A54">
              <w:rPr>
                <w:sz w:val="22"/>
                <w:szCs w:val="22"/>
                <w:lang w:val="sk-SK"/>
              </w:rPr>
              <w:t>f</w:t>
            </w:r>
            <w:r w:rsidRPr="00526A54">
              <w:rPr>
                <w:sz w:val="22"/>
                <w:szCs w:val="22"/>
                <w:lang w:val="sk-SK"/>
              </w:rPr>
              <w:t>rog</w:t>
            </w:r>
            <w:r w:rsidR="00BC6E08" w:rsidRPr="00526A54">
              <w:rPr>
                <w:sz w:val="22"/>
                <w:szCs w:val="22"/>
                <w:lang w:val="sk-SK"/>
              </w:rPr>
              <w:t xml:space="preserve">énna systémová fibróza </w:t>
            </w:r>
            <w:r w:rsidRPr="00526A54">
              <w:rPr>
                <w:sz w:val="22"/>
                <w:szCs w:val="22"/>
                <w:lang w:val="sk-SK"/>
              </w:rPr>
              <w:t xml:space="preserve">(NSF) </w:t>
            </w:r>
          </w:p>
        </w:tc>
      </w:tr>
      <w:tr w:rsidR="00D23656" w:rsidRPr="00526A54" w14:paraId="1D59871F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E9E" w14:textId="77777777" w:rsidR="00D23656" w:rsidRPr="00526A54" w:rsidRDefault="00BC6E08" w:rsidP="00526A54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26A54">
              <w:rPr>
                <w:b/>
                <w:sz w:val="22"/>
                <w:szCs w:val="22"/>
                <w:lang w:val="sk-SK"/>
              </w:rPr>
              <w:t xml:space="preserve">Celkové poruchy a reakcie v mieste podania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018" w14:textId="77777777" w:rsidR="00D23656" w:rsidRPr="00526A54" w:rsidDel="0066569B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123" w14:textId="77777777" w:rsidR="00BC6E08" w:rsidRPr="00526A54" w:rsidRDefault="00BC6E08" w:rsidP="00526A54">
            <w:pPr>
              <w:rPr>
                <w:sz w:val="22"/>
                <w:szCs w:val="22"/>
              </w:rPr>
            </w:pPr>
            <w:r w:rsidRPr="00526A54">
              <w:rPr>
                <w:sz w:val="22"/>
                <w:szCs w:val="22"/>
              </w:rPr>
              <w:t>Reakcie v mieste vpichu</w:t>
            </w:r>
            <w:r w:rsidRPr="00526A54">
              <w:rPr>
                <w:sz w:val="22"/>
                <w:szCs w:val="22"/>
                <w:vertAlign w:val="superscript"/>
              </w:rPr>
              <w:t>0</w:t>
            </w:r>
          </w:p>
          <w:p w14:paraId="3A61B34D" w14:textId="77777777" w:rsidR="00D23656" w:rsidRPr="00526A54" w:rsidRDefault="00BC6E08" w:rsidP="00526A54">
            <w:pPr>
              <w:rPr>
                <w:bCs/>
                <w:iCs/>
                <w:sz w:val="22"/>
                <w:szCs w:val="22"/>
              </w:rPr>
            </w:pPr>
            <w:r w:rsidRPr="00526A54">
              <w:rPr>
                <w:sz w:val="22"/>
                <w:szCs w:val="22"/>
              </w:rPr>
              <w:t>Pocit horúčavy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6EA" w14:textId="242A1B30" w:rsidR="00D23656" w:rsidRPr="00526A54" w:rsidRDefault="00EA0337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>Celkový pocit choroby</w:t>
            </w:r>
          </w:p>
          <w:p w14:paraId="160105F6" w14:textId="77777777" w:rsidR="00D23656" w:rsidRPr="00526A54" w:rsidRDefault="00BC6E08" w:rsidP="00526A54">
            <w:pPr>
              <w:pStyle w:val="Smalltext90"/>
              <w:rPr>
                <w:sz w:val="22"/>
                <w:szCs w:val="22"/>
                <w:lang w:val="sk-SK"/>
              </w:rPr>
            </w:pPr>
            <w:r w:rsidRPr="00526A54">
              <w:rPr>
                <w:sz w:val="22"/>
                <w:szCs w:val="22"/>
                <w:lang w:val="sk-SK"/>
              </w:rPr>
              <w:t xml:space="preserve">Pocit </w:t>
            </w:r>
            <w:r w:rsidR="003A562D" w:rsidRPr="00526A54">
              <w:rPr>
                <w:sz w:val="22"/>
                <w:szCs w:val="22"/>
                <w:lang w:val="sk-SK"/>
              </w:rPr>
              <w:t xml:space="preserve">chladu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7DF" w14:textId="77777777" w:rsidR="00D23656" w:rsidRPr="00526A54" w:rsidRDefault="00D23656" w:rsidP="00526A54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</w:tbl>
    <w:p w14:paraId="0EA17353" w14:textId="77777777" w:rsidR="006C4B31" w:rsidRPr="00526A54" w:rsidRDefault="006C4B31" w:rsidP="00526A54">
      <w:pPr>
        <w:autoSpaceDE w:val="0"/>
        <w:autoSpaceDN w:val="0"/>
        <w:adjustRightInd w:val="0"/>
        <w:ind w:hanging="120"/>
        <w:rPr>
          <w:b/>
          <w:sz w:val="20"/>
          <w:szCs w:val="20"/>
          <w:vertAlign w:val="superscript"/>
        </w:rPr>
      </w:pPr>
    </w:p>
    <w:p w14:paraId="62D2006E" w14:textId="5D77015D" w:rsidR="00BC6E08" w:rsidRPr="00526A54" w:rsidRDefault="00D23656" w:rsidP="00526A54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526A54">
        <w:rPr>
          <w:sz w:val="20"/>
          <w:szCs w:val="20"/>
        </w:rPr>
        <w:t xml:space="preserve">* </w:t>
      </w:r>
      <w:r w:rsidR="00BC6E08" w:rsidRPr="00526A54">
        <w:rPr>
          <w:sz w:val="20"/>
          <w:szCs w:val="20"/>
        </w:rPr>
        <w:t xml:space="preserve">Hlásili sa život ohrozujúce a/alebo smrteľné </w:t>
      </w:r>
      <w:r w:rsidR="00A16DA6" w:rsidRPr="00526A54">
        <w:rPr>
          <w:sz w:val="20"/>
          <w:szCs w:val="20"/>
        </w:rPr>
        <w:t>následky týchto nežiaducich reakcií</w:t>
      </w:r>
    </w:p>
    <w:p w14:paraId="2D676E87" w14:textId="0A618E95" w:rsidR="00A16DA6" w:rsidRPr="00526A54" w:rsidRDefault="00A16DA6" w:rsidP="00526A54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526A54">
        <w:rPr>
          <w:sz w:val="20"/>
          <w:szCs w:val="20"/>
          <w:vertAlign w:val="superscript"/>
        </w:rPr>
        <w:t xml:space="preserve"># </w:t>
      </w:r>
      <w:r w:rsidRPr="00526A54">
        <w:rPr>
          <w:sz w:val="20"/>
          <w:szCs w:val="20"/>
        </w:rPr>
        <w:t xml:space="preserve">Žiaden z jednotlivých symptómov nežiaducich reakcií </w:t>
      </w:r>
      <w:r w:rsidR="005F0640" w:rsidRPr="00526A54">
        <w:rPr>
          <w:sz w:val="20"/>
          <w:szCs w:val="20"/>
        </w:rPr>
        <w:t xml:space="preserve">z klinických skúšaní, </w:t>
      </w:r>
      <w:r w:rsidRPr="00526A54">
        <w:rPr>
          <w:sz w:val="20"/>
          <w:szCs w:val="20"/>
        </w:rPr>
        <w:t xml:space="preserve">uvedených pri termíne </w:t>
      </w:r>
      <w:r w:rsidR="005F0640" w:rsidRPr="00526A54">
        <w:rPr>
          <w:sz w:val="20"/>
          <w:szCs w:val="20"/>
        </w:rPr>
        <w:t>„</w:t>
      </w:r>
      <w:r w:rsidR="00A917A3" w:rsidRPr="00526A54">
        <w:rPr>
          <w:sz w:val="20"/>
          <w:szCs w:val="20"/>
        </w:rPr>
        <w:t>Hypersenzitivita</w:t>
      </w:r>
      <w:r w:rsidRPr="00526A54">
        <w:rPr>
          <w:sz w:val="20"/>
          <w:szCs w:val="20"/>
        </w:rPr>
        <w:t>/anafylaktoidná reakcia</w:t>
      </w:r>
      <w:r w:rsidR="005F0640" w:rsidRPr="00526A54">
        <w:rPr>
          <w:sz w:val="20"/>
          <w:szCs w:val="20"/>
        </w:rPr>
        <w:t>“ nedosahuje frekvenciu výskytu vyššiu ako „zriedkav</w:t>
      </w:r>
      <w:r w:rsidR="002445B5" w:rsidRPr="00526A54">
        <w:rPr>
          <w:sz w:val="20"/>
          <w:szCs w:val="20"/>
        </w:rPr>
        <w:t>á</w:t>
      </w:r>
      <w:r w:rsidR="005F0640" w:rsidRPr="00526A54">
        <w:rPr>
          <w:sz w:val="20"/>
          <w:szCs w:val="20"/>
        </w:rPr>
        <w:t>“ (okrem žihľavky)</w:t>
      </w:r>
    </w:p>
    <w:p w14:paraId="74080077" w14:textId="43223842" w:rsidR="005F0640" w:rsidRPr="00526A54" w:rsidRDefault="005F0640" w:rsidP="00526A54">
      <w:pPr>
        <w:autoSpaceDE w:val="0"/>
        <w:autoSpaceDN w:val="0"/>
        <w:adjustRightInd w:val="0"/>
        <w:ind w:hanging="120"/>
        <w:rPr>
          <w:iCs/>
          <w:sz w:val="20"/>
          <w:szCs w:val="20"/>
        </w:rPr>
      </w:pPr>
      <w:r w:rsidRPr="00526A54">
        <w:rPr>
          <w:b/>
          <w:sz w:val="20"/>
          <w:szCs w:val="20"/>
          <w:vertAlign w:val="superscript"/>
        </w:rPr>
        <w:t>§</w:t>
      </w:r>
      <w:r w:rsidRPr="00526A54">
        <w:rPr>
          <w:iCs/>
          <w:sz w:val="20"/>
          <w:szCs w:val="20"/>
        </w:rPr>
        <w:t xml:space="preserve"> </w:t>
      </w:r>
      <w:r w:rsidR="00A917A3" w:rsidRPr="00526A54">
        <w:rPr>
          <w:sz w:val="20"/>
          <w:szCs w:val="20"/>
        </w:rPr>
        <w:t>Hypersenzitivita</w:t>
      </w:r>
      <w:r w:rsidRPr="00526A54">
        <w:rPr>
          <w:sz w:val="20"/>
          <w:szCs w:val="20"/>
        </w:rPr>
        <w:t>/anafylaktoidn</w:t>
      </w:r>
      <w:r w:rsidR="006C4B31" w:rsidRPr="00526A54">
        <w:rPr>
          <w:sz w:val="20"/>
          <w:szCs w:val="20"/>
        </w:rPr>
        <w:t>é</w:t>
      </w:r>
      <w:r w:rsidRPr="00526A54">
        <w:rPr>
          <w:sz w:val="20"/>
          <w:szCs w:val="20"/>
        </w:rPr>
        <w:t xml:space="preserve"> reakcie identifikované iba po</w:t>
      </w:r>
      <w:r w:rsidR="008B3951" w:rsidRPr="00526A54">
        <w:rPr>
          <w:iCs/>
          <w:sz w:val="20"/>
          <w:szCs w:val="20"/>
        </w:rPr>
        <w:t> </w:t>
      </w:r>
      <w:r w:rsidRPr="00526A54">
        <w:rPr>
          <w:sz w:val="20"/>
          <w:szCs w:val="20"/>
        </w:rPr>
        <w:t xml:space="preserve">uvedení lieku na trh </w:t>
      </w:r>
      <w:r w:rsidRPr="00526A54">
        <w:rPr>
          <w:iCs/>
          <w:sz w:val="20"/>
          <w:szCs w:val="20"/>
        </w:rPr>
        <w:t>(frekvencia neznáma)</w:t>
      </w:r>
    </w:p>
    <w:p w14:paraId="7206C3BF" w14:textId="397C2520" w:rsidR="00D23656" w:rsidRPr="00526A54" w:rsidRDefault="00D23656" w:rsidP="00526A54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526A54">
        <w:rPr>
          <w:sz w:val="20"/>
          <w:szCs w:val="20"/>
          <w:vertAlign w:val="superscript"/>
        </w:rPr>
        <w:t xml:space="preserve">0 </w:t>
      </w:r>
      <w:r w:rsidR="00BC6E08" w:rsidRPr="00526A54">
        <w:rPr>
          <w:sz w:val="20"/>
          <w:szCs w:val="20"/>
        </w:rPr>
        <w:t>Reakcie v mieste vpichu</w:t>
      </w:r>
      <w:r w:rsidR="00624253" w:rsidRPr="00526A54">
        <w:rPr>
          <w:sz w:val="20"/>
          <w:szCs w:val="20"/>
        </w:rPr>
        <w:t xml:space="preserve"> </w:t>
      </w:r>
      <w:r w:rsidR="00BC6E08" w:rsidRPr="00526A54">
        <w:rPr>
          <w:sz w:val="20"/>
          <w:szCs w:val="20"/>
          <w:vertAlign w:val="superscript"/>
        </w:rPr>
        <w:t xml:space="preserve"> </w:t>
      </w:r>
      <w:r w:rsidRPr="00526A54">
        <w:rPr>
          <w:sz w:val="20"/>
          <w:szCs w:val="20"/>
        </w:rPr>
        <w:t>(</w:t>
      </w:r>
      <w:r w:rsidR="00BC6E08" w:rsidRPr="00526A54">
        <w:rPr>
          <w:sz w:val="20"/>
          <w:szCs w:val="20"/>
        </w:rPr>
        <w:t>rôzne druhy</w:t>
      </w:r>
      <w:r w:rsidRPr="00526A54">
        <w:rPr>
          <w:sz w:val="20"/>
          <w:szCs w:val="20"/>
        </w:rPr>
        <w:t xml:space="preserve">) </w:t>
      </w:r>
      <w:r w:rsidR="00B76532" w:rsidRPr="00526A54">
        <w:rPr>
          <w:sz w:val="20"/>
          <w:szCs w:val="20"/>
        </w:rPr>
        <w:t>zahŕňa</w:t>
      </w:r>
      <w:r w:rsidR="00385EC4" w:rsidRPr="00526A54">
        <w:rPr>
          <w:sz w:val="20"/>
          <w:szCs w:val="20"/>
        </w:rPr>
        <w:t>jú</w:t>
      </w:r>
      <w:r w:rsidR="00B76532" w:rsidRPr="00526A54">
        <w:rPr>
          <w:sz w:val="20"/>
          <w:szCs w:val="20"/>
        </w:rPr>
        <w:t xml:space="preserve"> nasledovné termíny</w:t>
      </w:r>
      <w:r w:rsidRPr="00526A54">
        <w:rPr>
          <w:sz w:val="20"/>
          <w:szCs w:val="20"/>
        </w:rPr>
        <w:t xml:space="preserve">: </w:t>
      </w:r>
      <w:r w:rsidR="00E07E40" w:rsidRPr="00526A54">
        <w:rPr>
          <w:sz w:val="20"/>
          <w:szCs w:val="20"/>
        </w:rPr>
        <w:t>extravazácia</w:t>
      </w:r>
      <w:r w:rsidR="00E82293" w:rsidRPr="00526A54">
        <w:rPr>
          <w:sz w:val="20"/>
          <w:szCs w:val="20"/>
        </w:rPr>
        <w:t xml:space="preserve"> </w:t>
      </w:r>
      <w:r w:rsidR="00B76532" w:rsidRPr="00526A54">
        <w:rPr>
          <w:sz w:val="20"/>
          <w:szCs w:val="20"/>
        </w:rPr>
        <w:t>v mieste podania injekcie</w:t>
      </w:r>
      <w:r w:rsidRPr="00526A54">
        <w:rPr>
          <w:sz w:val="20"/>
          <w:szCs w:val="20"/>
        </w:rPr>
        <w:t xml:space="preserve">, </w:t>
      </w:r>
      <w:r w:rsidR="00B76532" w:rsidRPr="00526A54">
        <w:rPr>
          <w:sz w:val="20"/>
          <w:szCs w:val="20"/>
        </w:rPr>
        <w:t>pálenie v mieste podania injekcie</w:t>
      </w:r>
      <w:r w:rsidRPr="00526A54">
        <w:rPr>
          <w:sz w:val="20"/>
          <w:szCs w:val="20"/>
        </w:rPr>
        <w:t xml:space="preserve">, </w:t>
      </w:r>
      <w:r w:rsidR="00B76532" w:rsidRPr="00526A54">
        <w:rPr>
          <w:sz w:val="20"/>
          <w:szCs w:val="20"/>
        </w:rPr>
        <w:t>chlad v mieste podania injekcie</w:t>
      </w:r>
      <w:r w:rsidRPr="00526A54">
        <w:rPr>
          <w:sz w:val="20"/>
          <w:szCs w:val="20"/>
        </w:rPr>
        <w:t xml:space="preserve">, </w:t>
      </w:r>
      <w:r w:rsidR="00B76532" w:rsidRPr="00526A54">
        <w:rPr>
          <w:sz w:val="20"/>
          <w:szCs w:val="20"/>
        </w:rPr>
        <w:t>teplo v mieste podania injekcie</w:t>
      </w:r>
      <w:r w:rsidRPr="00526A54">
        <w:rPr>
          <w:sz w:val="20"/>
          <w:szCs w:val="20"/>
        </w:rPr>
        <w:t xml:space="preserve">, </w:t>
      </w:r>
      <w:r w:rsidR="00B76532" w:rsidRPr="00526A54">
        <w:rPr>
          <w:sz w:val="20"/>
          <w:szCs w:val="20"/>
        </w:rPr>
        <w:t>erytém alebo vyrážka v mieste podanie injekcie</w:t>
      </w:r>
      <w:r w:rsidRPr="00526A54">
        <w:rPr>
          <w:sz w:val="20"/>
          <w:szCs w:val="20"/>
        </w:rPr>
        <w:t xml:space="preserve">, </w:t>
      </w:r>
      <w:r w:rsidR="00B76532" w:rsidRPr="00526A54">
        <w:rPr>
          <w:sz w:val="20"/>
          <w:szCs w:val="20"/>
        </w:rPr>
        <w:t>bolesť v mieste podania injekcie</w:t>
      </w:r>
      <w:r w:rsidRPr="00526A54">
        <w:rPr>
          <w:sz w:val="20"/>
          <w:szCs w:val="20"/>
        </w:rPr>
        <w:t xml:space="preserve">, </w:t>
      </w:r>
      <w:r w:rsidR="00B76532" w:rsidRPr="00526A54">
        <w:rPr>
          <w:sz w:val="20"/>
          <w:szCs w:val="20"/>
        </w:rPr>
        <w:t>hematóm v mieste podania injekcie</w:t>
      </w:r>
    </w:p>
    <w:p w14:paraId="08907398" w14:textId="77777777" w:rsidR="00624253" w:rsidRPr="00526A54" w:rsidRDefault="00624253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28AF55C7" w14:textId="77777777" w:rsidR="00434612" w:rsidRPr="00526A54" w:rsidRDefault="00434612" w:rsidP="00526A54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>Pacienti s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alergickou predispozíciou majú </w:t>
      </w:r>
      <w:r w:rsidR="00A917A3" w:rsidRPr="00526A54">
        <w:rPr>
          <w:sz w:val="22"/>
          <w:szCs w:val="22"/>
        </w:rPr>
        <w:t xml:space="preserve">hypersenzitívne </w:t>
      </w:r>
      <w:r w:rsidRPr="00526A54">
        <w:rPr>
          <w:sz w:val="22"/>
          <w:szCs w:val="22"/>
        </w:rPr>
        <w:t>reakcie častejšie než iní pacienti.</w:t>
      </w:r>
    </w:p>
    <w:p w14:paraId="697A78AD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A746655" w14:textId="191ACB2C" w:rsidR="009D55E6" w:rsidRPr="00526A54" w:rsidRDefault="009D55E6" w:rsidP="00526A54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lang w:eastAsia="en-US"/>
        </w:rPr>
      </w:pPr>
      <w:r w:rsidRPr="00526A54">
        <w:rPr>
          <w:rFonts w:eastAsia="Times New Roman"/>
          <w:sz w:val="22"/>
          <w:szCs w:val="22"/>
          <w:lang w:eastAsia="en-US"/>
        </w:rPr>
        <w:t xml:space="preserve">Po podaní </w:t>
      </w:r>
      <w:r w:rsidR="00A36D56" w:rsidRPr="00526A54">
        <w:rPr>
          <w:rFonts w:eastAsia="Times New Roman"/>
          <w:sz w:val="22"/>
          <w:szCs w:val="22"/>
          <w:lang w:eastAsia="en-US"/>
        </w:rPr>
        <w:t>Gado</w:t>
      </w:r>
      <w:r w:rsidR="00FF05F4" w:rsidRPr="00526A54">
        <w:rPr>
          <w:rFonts w:eastAsia="Times New Roman"/>
          <w:sz w:val="22"/>
          <w:szCs w:val="22"/>
          <w:lang w:eastAsia="en-US"/>
        </w:rPr>
        <w:t>grafu</w:t>
      </w:r>
      <w:r w:rsidR="00A36D56" w:rsidRPr="00526A54">
        <w:rPr>
          <w:rFonts w:eastAsia="Times New Roman"/>
          <w:sz w:val="22"/>
          <w:szCs w:val="22"/>
          <w:lang w:eastAsia="en-US"/>
        </w:rPr>
        <w:t xml:space="preserve"> </w:t>
      </w:r>
      <w:r w:rsidRPr="00526A54">
        <w:rPr>
          <w:rFonts w:eastAsia="Times New Roman"/>
          <w:sz w:val="22"/>
          <w:szCs w:val="22"/>
          <w:lang w:eastAsia="en-US"/>
        </w:rPr>
        <w:t>sa hlásili ojedinelé prípady nefrogénnej systémovej fibrózy (NSF) (pozri časť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4.4)</w:t>
      </w:r>
    </w:p>
    <w:p w14:paraId="7E868A6A" w14:textId="77777777" w:rsidR="009D55E6" w:rsidRPr="00526A54" w:rsidRDefault="009D55E6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A7905EA" w14:textId="7AF8CC20" w:rsidR="003A562D" w:rsidRPr="00526A54" w:rsidRDefault="003A562D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Po podaní Gado</w:t>
      </w:r>
      <w:r w:rsidR="00FF05F4" w:rsidRPr="00526A54">
        <w:rPr>
          <w:sz w:val="22"/>
          <w:szCs w:val="22"/>
        </w:rPr>
        <w:t>grafu</w:t>
      </w:r>
      <w:r w:rsidRPr="00526A54">
        <w:rPr>
          <w:sz w:val="22"/>
          <w:szCs w:val="22"/>
        </w:rPr>
        <w:t xml:space="preserve"> sa pozorovali výkyvy ukazovateľov renálnej funkcie, vrátane vzostupu hladiny </w:t>
      </w:r>
      <w:r w:rsidR="00950CD2" w:rsidRPr="00526A54">
        <w:rPr>
          <w:sz w:val="22"/>
          <w:szCs w:val="22"/>
        </w:rPr>
        <w:t>kreatin</w:t>
      </w:r>
      <w:r w:rsidRPr="00526A54">
        <w:rPr>
          <w:sz w:val="22"/>
          <w:szCs w:val="22"/>
        </w:rPr>
        <w:t>ínu v sére.</w:t>
      </w:r>
    </w:p>
    <w:p w14:paraId="5FE489CB" w14:textId="77777777" w:rsidR="003A562D" w:rsidRPr="00526A54" w:rsidRDefault="003A562D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D871BE4" w14:textId="77777777" w:rsidR="006C4B31" w:rsidRPr="00526A54" w:rsidRDefault="006C4B31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Pediatrická populácia</w:t>
      </w:r>
    </w:p>
    <w:p w14:paraId="2345F04B" w14:textId="14DB1A5E" w:rsidR="006C4B31" w:rsidRPr="00526A54" w:rsidRDefault="00C21923" w:rsidP="00526A54">
      <w:pPr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Na základe </w:t>
      </w:r>
      <w:r w:rsidR="00F077D4" w:rsidRPr="00526A54">
        <w:rPr>
          <w:sz w:val="22"/>
          <w:szCs w:val="22"/>
        </w:rPr>
        <w:t>dvoch štúdií</w:t>
      </w:r>
      <w:r w:rsidRPr="00526A54">
        <w:rPr>
          <w:sz w:val="22"/>
          <w:szCs w:val="22"/>
        </w:rPr>
        <w:t xml:space="preserve"> </w:t>
      </w:r>
      <w:r w:rsidR="00BA1229" w:rsidRPr="00526A54">
        <w:rPr>
          <w:sz w:val="22"/>
          <w:szCs w:val="22"/>
        </w:rPr>
        <w:t>fázy</w:t>
      </w:r>
      <w:r w:rsidRPr="00526A54">
        <w:rPr>
          <w:sz w:val="22"/>
          <w:szCs w:val="22"/>
        </w:rPr>
        <w:t xml:space="preserve"> I/III </w:t>
      </w:r>
      <w:r w:rsidR="00BA1229" w:rsidRPr="00526A54">
        <w:rPr>
          <w:sz w:val="22"/>
          <w:szCs w:val="22"/>
        </w:rPr>
        <w:t>s</w:t>
      </w:r>
      <w:r w:rsidR="00B46441" w:rsidRPr="00526A54">
        <w:rPr>
          <w:sz w:val="22"/>
          <w:szCs w:val="22"/>
        </w:rPr>
        <w:t> </w:t>
      </w:r>
      <w:r w:rsidR="00BA1229" w:rsidRPr="00526A54">
        <w:rPr>
          <w:sz w:val="22"/>
          <w:szCs w:val="22"/>
        </w:rPr>
        <w:t>jednorazov</w:t>
      </w:r>
      <w:r w:rsidR="00B46441" w:rsidRPr="00526A54">
        <w:rPr>
          <w:sz w:val="22"/>
          <w:szCs w:val="22"/>
        </w:rPr>
        <w:t>ou dávkou</w:t>
      </w:r>
      <w:r w:rsidR="00BA1229" w:rsidRPr="00526A54">
        <w:rPr>
          <w:sz w:val="22"/>
          <w:szCs w:val="22"/>
        </w:rPr>
        <w:t xml:space="preserve"> </w:t>
      </w:r>
      <w:r w:rsidR="00F077D4" w:rsidRPr="00526A54">
        <w:rPr>
          <w:sz w:val="22"/>
          <w:szCs w:val="22"/>
        </w:rPr>
        <w:t>u 138</w:t>
      </w:r>
      <w:r w:rsidR="00FF05F4" w:rsidRPr="00526A54">
        <w:rPr>
          <w:iCs/>
          <w:sz w:val="22"/>
          <w:szCs w:val="22"/>
          <w:lang w:val="nl-NL"/>
        </w:rPr>
        <w:t> </w:t>
      </w:r>
      <w:r w:rsidR="00B001FC" w:rsidRPr="00526A54">
        <w:rPr>
          <w:sz w:val="22"/>
          <w:szCs w:val="22"/>
        </w:rPr>
        <w:t xml:space="preserve">osôb </w:t>
      </w:r>
      <w:r w:rsidR="00F077D4" w:rsidRPr="00526A54">
        <w:rPr>
          <w:sz w:val="22"/>
          <w:szCs w:val="22"/>
        </w:rPr>
        <w:t>vo veku 2-17</w:t>
      </w:r>
      <w:r w:rsidR="00FF05F4" w:rsidRPr="00526A54">
        <w:rPr>
          <w:iCs/>
          <w:sz w:val="22"/>
          <w:szCs w:val="22"/>
          <w:lang w:val="nl-NL"/>
        </w:rPr>
        <w:t> </w:t>
      </w:r>
      <w:r w:rsidR="00F077D4" w:rsidRPr="00526A54">
        <w:rPr>
          <w:sz w:val="22"/>
          <w:szCs w:val="22"/>
        </w:rPr>
        <w:t>rokov a u 44</w:t>
      </w:r>
      <w:r w:rsidR="00FF05F4" w:rsidRPr="00526A54">
        <w:rPr>
          <w:iCs/>
          <w:sz w:val="22"/>
          <w:szCs w:val="22"/>
          <w:lang w:val="nl-NL"/>
        </w:rPr>
        <w:t> </w:t>
      </w:r>
      <w:r w:rsidR="00B001FC" w:rsidRPr="00526A54">
        <w:rPr>
          <w:sz w:val="22"/>
          <w:szCs w:val="22"/>
        </w:rPr>
        <w:t xml:space="preserve">osôb </w:t>
      </w:r>
      <w:r w:rsidR="00F077D4" w:rsidRPr="00526A54">
        <w:rPr>
          <w:sz w:val="22"/>
          <w:szCs w:val="22"/>
        </w:rPr>
        <w:t>vo veku 0-&lt;2</w:t>
      </w:r>
      <w:r w:rsidR="00FF05F4" w:rsidRPr="00526A54">
        <w:rPr>
          <w:iCs/>
          <w:sz w:val="22"/>
          <w:szCs w:val="22"/>
          <w:lang w:val="nl-NL"/>
        </w:rPr>
        <w:t> </w:t>
      </w:r>
      <w:r w:rsidR="00F077D4" w:rsidRPr="00526A54">
        <w:rPr>
          <w:sz w:val="22"/>
          <w:szCs w:val="22"/>
        </w:rPr>
        <w:t>roky</w:t>
      </w:r>
      <w:r w:rsidRPr="00526A54">
        <w:rPr>
          <w:sz w:val="22"/>
          <w:szCs w:val="22"/>
        </w:rPr>
        <w:t xml:space="preserve"> (pozri časť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5.1) </w:t>
      </w:r>
      <w:r w:rsidR="006651E2" w:rsidRPr="00526A54">
        <w:rPr>
          <w:sz w:val="22"/>
          <w:szCs w:val="22"/>
        </w:rPr>
        <w:t xml:space="preserve">sa </w:t>
      </w:r>
      <w:r w:rsidR="00F077D4" w:rsidRPr="00526A54">
        <w:rPr>
          <w:sz w:val="22"/>
          <w:szCs w:val="22"/>
        </w:rPr>
        <w:t>preukázalo</w:t>
      </w:r>
      <w:r w:rsidRPr="00526A54">
        <w:rPr>
          <w:sz w:val="22"/>
          <w:szCs w:val="22"/>
        </w:rPr>
        <w:t xml:space="preserve">, že frekvencia, typ a závažnosť nežiaducich reakcií u detí </w:t>
      </w:r>
      <w:r w:rsidR="00F077D4" w:rsidRPr="00526A54">
        <w:rPr>
          <w:sz w:val="22"/>
          <w:szCs w:val="22"/>
        </w:rPr>
        <w:t xml:space="preserve">každého veku (vrátane </w:t>
      </w:r>
      <w:r w:rsidR="00950CD2" w:rsidRPr="00526A54">
        <w:rPr>
          <w:sz w:val="22"/>
          <w:szCs w:val="22"/>
        </w:rPr>
        <w:t xml:space="preserve">donosených </w:t>
      </w:r>
      <w:r w:rsidR="00F077D4" w:rsidRPr="00526A54">
        <w:rPr>
          <w:sz w:val="22"/>
          <w:szCs w:val="22"/>
        </w:rPr>
        <w:t>novorodencov)</w:t>
      </w:r>
      <w:r w:rsidRPr="00526A54">
        <w:rPr>
          <w:sz w:val="22"/>
          <w:szCs w:val="22"/>
        </w:rPr>
        <w:t xml:space="preserve"> </w:t>
      </w:r>
      <w:r w:rsidR="00F077D4" w:rsidRPr="00526A54">
        <w:rPr>
          <w:sz w:val="22"/>
          <w:szCs w:val="22"/>
        </w:rPr>
        <w:t>sa zhoduje</w:t>
      </w:r>
      <w:r w:rsidRPr="00526A54">
        <w:rPr>
          <w:sz w:val="22"/>
          <w:szCs w:val="22"/>
        </w:rPr>
        <w:t xml:space="preserve"> s profilom nežiaducich </w:t>
      </w:r>
      <w:r w:rsidR="00F077D4" w:rsidRPr="00526A54">
        <w:rPr>
          <w:sz w:val="22"/>
          <w:szCs w:val="22"/>
        </w:rPr>
        <w:t>účinkov liečiva</w:t>
      </w:r>
      <w:r w:rsidRPr="00526A54">
        <w:rPr>
          <w:sz w:val="22"/>
          <w:szCs w:val="22"/>
        </w:rPr>
        <w:t xml:space="preserve"> známym u</w:t>
      </w:r>
      <w:r w:rsidR="00A21831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dospelých</w:t>
      </w:r>
      <w:r w:rsidR="00A21831" w:rsidRPr="00526A54">
        <w:rPr>
          <w:sz w:val="22"/>
          <w:szCs w:val="22"/>
        </w:rPr>
        <w:t>.</w:t>
      </w:r>
      <w:r w:rsidR="00EF06E2" w:rsidRPr="00526A54">
        <w:rPr>
          <w:sz w:val="22"/>
          <w:szCs w:val="22"/>
        </w:rPr>
        <w:t xml:space="preserve"> Údaje sa potvrdili štúdiou fázy IV, ktorá zahŕňala viac ako 1 100 pediatrických pacientov a sledovaním po uvedení na trh.</w:t>
      </w:r>
    </w:p>
    <w:p w14:paraId="4D202764" w14:textId="77777777" w:rsidR="006C4B31" w:rsidRPr="00526A54" w:rsidRDefault="006C4B31" w:rsidP="00526A54">
      <w:pPr>
        <w:outlineLvl w:val="0"/>
        <w:rPr>
          <w:sz w:val="22"/>
          <w:szCs w:val="22"/>
          <w:u w:val="single"/>
        </w:rPr>
      </w:pPr>
    </w:p>
    <w:p w14:paraId="6593FF5E" w14:textId="77777777" w:rsidR="00C1085C" w:rsidRPr="00526A54" w:rsidRDefault="00C1085C" w:rsidP="00526A54">
      <w:pPr>
        <w:outlineLvl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Hlásenie podozrení na nežiaduce reakcie</w:t>
      </w:r>
    </w:p>
    <w:p w14:paraId="5A39299E" w14:textId="4FB2C1A3" w:rsidR="00705AF6" w:rsidRPr="00526A54" w:rsidRDefault="00C1085C" w:rsidP="00526A54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26A54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BD67BE" w:rsidRPr="00526A54">
        <w:rPr>
          <w:sz w:val="22"/>
          <w:szCs w:val="22"/>
        </w:rPr>
        <w:t xml:space="preserve">na </w:t>
      </w:r>
      <w:r w:rsidR="00FF05F4" w:rsidRPr="00526A54">
        <w:rPr>
          <w:noProof/>
          <w:sz w:val="22"/>
          <w:szCs w:val="22"/>
          <w:highlight w:val="lightGray"/>
        </w:rPr>
        <w:t>národné centrum hlásenia uvedené v </w:t>
      </w:r>
      <w:hyperlink r:id="rId11" w:history="1">
        <w:r w:rsidR="00FF05F4" w:rsidRPr="00526A54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="00FF05F4" w:rsidRPr="00526A54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="00FF05F4" w:rsidRPr="00526A54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="00FF05F4" w:rsidRPr="00526A54">
        <w:rPr>
          <w:noProof/>
          <w:sz w:val="22"/>
          <w:szCs w:val="22"/>
        </w:rPr>
        <w:t>.</w:t>
      </w:r>
    </w:p>
    <w:p w14:paraId="17BB7571" w14:textId="77777777" w:rsidR="00FF05F4" w:rsidRPr="00526A54" w:rsidRDefault="00FF05F4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E4454A7" w14:textId="637B79A6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4.9</w:t>
      </w:r>
      <w:r w:rsidR="00B76532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Predávkovanie</w:t>
      </w:r>
    </w:p>
    <w:p w14:paraId="3E703ED2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7326C1F2" w14:textId="49730EF1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Maximálna jednorazová denná dávka testovaná u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ľudí predstavuje 1,5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mmol gadobutrolu/kg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telesnej</w:t>
      </w:r>
      <w:r w:rsidR="008B3951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hmotnosti.</w:t>
      </w:r>
    </w:p>
    <w:p w14:paraId="30EB61F1" w14:textId="348F545A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Doteraz sa počas klinického používania ne</w:t>
      </w:r>
      <w:r w:rsidR="00E4019A" w:rsidRPr="00526A54">
        <w:rPr>
          <w:sz w:val="22"/>
          <w:szCs w:val="22"/>
        </w:rPr>
        <w:t xml:space="preserve">hlásili </w:t>
      </w:r>
      <w:r w:rsidRPr="00526A54">
        <w:rPr>
          <w:sz w:val="22"/>
          <w:szCs w:val="22"/>
        </w:rPr>
        <w:t xml:space="preserve">žiadne </w:t>
      </w:r>
      <w:r w:rsidR="00030285" w:rsidRPr="00526A54">
        <w:rPr>
          <w:sz w:val="22"/>
          <w:szCs w:val="22"/>
        </w:rPr>
        <w:t xml:space="preserve">prejavy </w:t>
      </w:r>
      <w:r w:rsidRPr="00526A54">
        <w:rPr>
          <w:sz w:val="22"/>
          <w:szCs w:val="22"/>
        </w:rPr>
        <w:t>intoxikácie z predávkovania.</w:t>
      </w:r>
    </w:p>
    <w:p w14:paraId="51192C4C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4DC53FF7" w14:textId="77777777" w:rsidR="00434612" w:rsidRPr="00526A54" w:rsidRDefault="003D699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V prípade neúmyselného predávkovania sa z</w:t>
      </w:r>
      <w:r w:rsidR="008B3951" w:rsidRPr="00526A54">
        <w:rPr>
          <w:iCs/>
          <w:sz w:val="22"/>
          <w:szCs w:val="22"/>
        </w:rPr>
        <w:t> </w:t>
      </w:r>
      <w:r w:rsidR="00434612" w:rsidRPr="00526A54">
        <w:rPr>
          <w:sz w:val="22"/>
          <w:szCs w:val="22"/>
        </w:rPr>
        <w:t>preventívnych dôvodov odporúča monitorovanie</w:t>
      </w:r>
      <w:r w:rsidRPr="00526A54">
        <w:rPr>
          <w:sz w:val="22"/>
          <w:szCs w:val="22"/>
        </w:rPr>
        <w:t xml:space="preserve"> </w:t>
      </w:r>
      <w:r w:rsidR="00434612" w:rsidRPr="00526A54">
        <w:rPr>
          <w:sz w:val="22"/>
          <w:szCs w:val="22"/>
        </w:rPr>
        <w:t>kardiovaskulárneho systému (vrátane EKG) a kontrola funkcie obličiek.</w:t>
      </w:r>
    </w:p>
    <w:p w14:paraId="2333D733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6D38BA8" w14:textId="48FB17A0" w:rsidR="005E6E30" w:rsidRPr="00526A54" w:rsidRDefault="0086280D" w:rsidP="00526A54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526A54">
        <w:rPr>
          <w:rFonts w:eastAsia="Times New Roman"/>
          <w:sz w:val="22"/>
          <w:szCs w:val="22"/>
          <w:lang w:eastAsia="en-US"/>
        </w:rPr>
        <w:t xml:space="preserve">U pacientov s insuficienciou obličiek možno v prípade predávkovania </w:t>
      </w:r>
      <w:r w:rsidR="005E6E30" w:rsidRPr="00526A54">
        <w:rPr>
          <w:rFonts w:eastAsia="Times New Roman"/>
          <w:sz w:val="22"/>
          <w:szCs w:val="22"/>
          <w:lang w:eastAsia="en-US"/>
        </w:rPr>
        <w:t>Gado</w:t>
      </w:r>
      <w:r w:rsidR="00281E80" w:rsidRPr="00526A54">
        <w:rPr>
          <w:rFonts w:eastAsia="Times New Roman"/>
          <w:sz w:val="22"/>
          <w:szCs w:val="22"/>
          <w:lang w:eastAsia="en-US"/>
        </w:rPr>
        <w:t>graf</w:t>
      </w:r>
      <w:r w:rsidR="005E6E30" w:rsidRPr="00526A54">
        <w:rPr>
          <w:rFonts w:eastAsia="Times New Roman"/>
          <w:sz w:val="22"/>
          <w:szCs w:val="22"/>
          <w:lang w:eastAsia="en-US"/>
        </w:rPr>
        <w:t xml:space="preserve"> odstrániť hemodialýzou. </w:t>
      </w:r>
      <w:r w:rsidRPr="00526A54">
        <w:rPr>
          <w:rFonts w:eastAsia="Times New Roman"/>
          <w:sz w:val="22"/>
          <w:szCs w:val="22"/>
          <w:lang w:eastAsia="en-US"/>
        </w:rPr>
        <w:t>Po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3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hemodialýzach sa z organizmu odstráni približne 98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%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 xml:space="preserve">látky. </w:t>
      </w:r>
      <w:r w:rsidR="005E6E30" w:rsidRPr="00526A54">
        <w:rPr>
          <w:rFonts w:eastAsia="Times New Roman"/>
          <w:sz w:val="22"/>
          <w:szCs w:val="22"/>
          <w:lang w:eastAsia="en-US"/>
        </w:rPr>
        <w:t>Neexistujú však dôkazy, že hemodialýza je vhodná na prevenciu nefrogénnej systémovej fibrózy (NSF).</w:t>
      </w:r>
    </w:p>
    <w:p w14:paraId="4CA1747D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FEABAF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0D5555" w14:textId="2C87740A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5.</w:t>
      </w:r>
      <w:r w:rsidR="00B76532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FARMAKOLOGICKÉ VLASTNOSTI</w:t>
      </w:r>
    </w:p>
    <w:p w14:paraId="538F61EA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AC2526" w14:textId="18C72FF4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5.1</w:t>
      </w:r>
      <w:r w:rsidR="00B76532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Farmakodynamické vlastnosti</w:t>
      </w:r>
    </w:p>
    <w:p w14:paraId="6D1A0628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A6B2731" w14:textId="0FA661C9" w:rsidR="009341F7" w:rsidRPr="00526A54" w:rsidRDefault="00EB080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Farmakoterapeutická skupina: </w:t>
      </w:r>
      <w:r w:rsidR="00281E80" w:rsidRPr="00526A54">
        <w:rPr>
          <w:sz w:val="22"/>
          <w:szCs w:val="22"/>
        </w:rPr>
        <w:t>P</w:t>
      </w:r>
      <w:r w:rsidR="009341F7" w:rsidRPr="00526A54">
        <w:rPr>
          <w:sz w:val="22"/>
          <w:szCs w:val="22"/>
        </w:rPr>
        <w:t>aramagnetické kontrastné látky</w:t>
      </w:r>
      <w:r w:rsidR="00386D31" w:rsidRPr="00526A54">
        <w:rPr>
          <w:sz w:val="22"/>
          <w:szCs w:val="22"/>
        </w:rPr>
        <w:t>,</w:t>
      </w:r>
      <w:r w:rsidR="00ED5562" w:rsidRPr="00526A54">
        <w:rPr>
          <w:sz w:val="22"/>
          <w:szCs w:val="22"/>
        </w:rPr>
        <w:t xml:space="preserve"> </w:t>
      </w:r>
      <w:r w:rsidR="009341F7" w:rsidRPr="00526A54">
        <w:rPr>
          <w:sz w:val="22"/>
          <w:szCs w:val="22"/>
        </w:rPr>
        <w:t>ATC</w:t>
      </w:r>
      <w:r w:rsidRPr="00526A54">
        <w:rPr>
          <w:sz w:val="22"/>
          <w:szCs w:val="22"/>
        </w:rPr>
        <w:t xml:space="preserve"> kód : V08C</w:t>
      </w:r>
      <w:r w:rsidR="009341F7" w:rsidRPr="00526A54">
        <w:rPr>
          <w:sz w:val="22"/>
          <w:szCs w:val="22"/>
        </w:rPr>
        <w:t>A09</w:t>
      </w:r>
    </w:p>
    <w:p w14:paraId="1BCB439E" w14:textId="77777777" w:rsidR="009341F7" w:rsidRPr="00526A54" w:rsidRDefault="009341F7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FEDBC71" w14:textId="77777777" w:rsidR="00B46441" w:rsidRPr="00526A54" w:rsidRDefault="00B46441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Mechanizmus účinku</w:t>
      </w:r>
    </w:p>
    <w:p w14:paraId="3E633629" w14:textId="1C73FD6C" w:rsidR="00434612" w:rsidRPr="00526A54" w:rsidRDefault="00281E80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Zvýšenie kontrastu umožňuje </w:t>
      </w:r>
      <w:r w:rsidR="00434612" w:rsidRPr="00526A54">
        <w:rPr>
          <w:sz w:val="22"/>
          <w:szCs w:val="22"/>
        </w:rPr>
        <w:t xml:space="preserve">gadobutrol, neiónový komplex obsahujúci </w:t>
      </w:r>
      <w:r w:rsidR="00C726D3" w:rsidRPr="00526A54">
        <w:rPr>
          <w:sz w:val="22"/>
          <w:szCs w:val="22"/>
        </w:rPr>
        <w:t xml:space="preserve">trojmocné </w:t>
      </w:r>
      <w:r w:rsidR="00434612" w:rsidRPr="00526A54">
        <w:rPr>
          <w:sz w:val="22"/>
          <w:szCs w:val="22"/>
        </w:rPr>
        <w:t>gadolínium</w:t>
      </w:r>
      <w:r w:rsidR="00C726D3" w:rsidRPr="00526A54">
        <w:rPr>
          <w:sz w:val="22"/>
          <w:szCs w:val="22"/>
        </w:rPr>
        <w:t xml:space="preserve"> </w:t>
      </w:r>
      <w:r w:rsidR="00434612" w:rsidRPr="00526A54">
        <w:rPr>
          <w:sz w:val="22"/>
          <w:szCs w:val="22"/>
        </w:rPr>
        <w:t>(III)</w:t>
      </w:r>
      <w:r w:rsidR="00A21831" w:rsidRPr="00526A54">
        <w:rPr>
          <w:sz w:val="22"/>
          <w:szCs w:val="22"/>
        </w:rPr>
        <w:t xml:space="preserve"> </w:t>
      </w:r>
      <w:r w:rsidR="00434612" w:rsidRPr="00526A54">
        <w:rPr>
          <w:sz w:val="22"/>
          <w:szCs w:val="22"/>
        </w:rPr>
        <w:t>a makrocyklický ligand</w:t>
      </w:r>
      <w:r w:rsidR="00436D3F" w:rsidRPr="00526A54">
        <w:rPr>
          <w:sz w:val="22"/>
          <w:szCs w:val="22"/>
        </w:rPr>
        <w:t>,</w:t>
      </w:r>
      <w:r w:rsidR="00434612" w:rsidRPr="00526A54">
        <w:rPr>
          <w:sz w:val="22"/>
          <w:szCs w:val="22"/>
        </w:rPr>
        <w:t xml:space="preserve"> kyselin</w:t>
      </w:r>
      <w:r w:rsidR="008870AA" w:rsidRPr="00526A54">
        <w:rPr>
          <w:sz w:val="22"/>
          <w:szCs w:val="22"/>
        </w:rPr>
        <w:t>u</w:t>
      </w:r>
      <w:r w:rsidR="00434612" w:rsidRPr="00526A54">
        <w:rPr>
          <w:sz w:val="22"/>
          <w:szCs w:val="22"/>
        </w:rPr>
        <w:t xml:space="preserve"> dihydroxy-hydroxymetylpropyl-tetraazacyklododekán-trioctov</w:t>
      </w:r>
      <w:r w:rsidR="008870AA" w:rsidRPr="00526A54">
        <w:rPr>
          <w:sz w:val="22"/>
          <w:szCs w:val="22"/>
        </w:rPr>
        <w:t>ú</w:t>
      </w:r>
      <w:r w:rsidR="00434612" w:rsidRPr="00526A54">
        <w:rPr>
          <w:sz w:val="22"/>
          <w:szCs w:val="22"/>
        </w:rPr>
        <w:t xml:space="preserve"> (butrol).</w:t>
      </w:r>
    </w:p>
    <w:p w14:paraId="7F218713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4447EF58" w14:textId="77777777" w:rsidR="00B46441" w:rsidRPr="00526A54" w:rsidRDefault="00B46441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 xml:space="preserve">Farmakodynamické </w:t>
      </w:r>
      <w:r w:rsidR="00DC6C9F" w:rsidRPr="00526A54">
        <w:rPr>
          <w:sz w:val="22"/>
          <w:szCs w:val="22"/>
          <w:u w:val="single"/>
        </w:rPr>
        <w:t>účinky</w:t>
      </w:r>
    </w:p>
    <w:p w14:paraId="75B3B7B8" w14:textId="77777777" w:rsidR="002240B3" w:rsidRPr="00526A54" w:rsidRDefault="002240B3" w:rsidP="00526A54">
      <w:pPr>
        <w:autoSpaceDE w:val="0"/>
        <w:autoSpaceDN w:val="0"/>
        <w:adjustRightInd w:val="0"/>
        <w:rPr>
          <w:sz w:val="22"/>
          <w:szCs w:val="22"/>
        </w:rPr>
      </w:pPr>
      <w:bookmarkStart w:id="1" w:name="_Hlk47458431"/>
      <w:bookmarkStart w:id="2" w:name="_Hlk47459148"/>
      <w:r w:rsidRPr="00526A54">
        <w:rPr>
          <w:sz w:val="22"/>
          <w:szCs w:val="22"/>
        </w:rPr>
        <w:t xml:space="preserve">Relaxivita gadobutrolu, meraná </w:t>
      </w:r>
      <w:r w:rsidRPr="00526A54">
        <w:rPr>
          <w:i/>
          <w:sz w:val="22"/>
          <w:szCs w:val="22"/>
        </w:rPr>
        <w:t>in vitro</w:t>
      </w:r>
      <w:r w:rsidRPr="00526A54">
        <w:rPr>
          <w:sz w:val="22"/>
          <w:szCs w:val="22"/>
        </w:rPr>
        <w:t xml:space="preserve"> v ľudskej krvi/plazme za fyziologických podmienok a pri klinicky relevantných intenzitách magnetického poľa (1,5 a 3,0 T), je v rozsahu 3,47 – 4,97 l/mmol/s.</w:t>
      </w:r>
      <w:bookmarkEnd w:id="1"/>
    </w:p>
    <w:bookmarkEnd w:id="2"/>
    <w:p w14:paraId="7908306E" w14:textId="1DCF5FE0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Pri klinických dávkach </w:t>
      </w:r>
      <w:bookmarkStart w:id="3" w:name="_Hlk47459155"/>
      <w:r w:rsidR="002240B3" w:rsidRPr="00526A54">
        <w:rPr>
          <w:sz w:val="22"/>
          <w:szCs w:val="22"/>
        </w:rPr>
        <w:t xml:space="preserve">vyššie uvedená relaxivita </w:t>
      </w:r>
      <w:bookmarkEnd w:id="3"/>
      <w:r w:rsidRPr="00526A54">
        <w:rPr>
          <w:sz w:val="22"/>
          <w:szCs w:val="22"/>
        </w:rPr>
        <w:t>gadobutrol</w:t>
      </w:r>
      <w:r w:rsidR="002240B3" w:rsidRPr="00526A54">
        <w:rPr>
          <w:sz w:val="22"/>
          <w:szCs w:val="22"/>
        </w:rPr>
        <w:t>u</w:t>
      </w:r>
      <w:r w:rsidRPr="00526A54">
        <w:rPr>
          <w:sz w:val="22"/>
          <w:szCs w:val="22"/>
        </w:rPr>
        <w:t xml:space="preserve"> spôsobuje skracovanie relaxačných časov protónov v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tkanivovej vode. </w:t>
      </w:r>
    </w:p>
    <w:p w14:paraId="4A36E74B" w14:textId="6C47863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bookmarkStart w:id="4" w:name="_Hlk47459177"/>
    </w:p>
    <w:p w14:paraId="0EF4D75B" w14:textId="6249EBE1" w:rsidR="002240B3" w:rsidRPr="00526A54" w:rsidRDefault="002240B3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Stabilita komplexu gadobutrolu sa skúmala </w:t>
      </w:r>
      <w:r w:rsidRPr="00526A54">
        <w:rPr>
          <w:i/>
          <w:sz w:val="22"/>
          <w:szCs w:val="22"/>
        </w:rPr>
        <w:t>in vitro</w:t>
      </w:r>
      <w:r w:rsidRPr="00526A54">
        <w:rPr>
          <w:sz w:val="22"/>
          <w:szCs w:val="22"/>
        </w:rPr>
        <w:t xml:space="preserve"> za fyziologických podmienok (v natívnom ľudskom sére pri pH 7,4 a 37°C) počas 15 dní. Množstvo iónov gadolínia uvoľnených z gadobutrolu bolo pod kvantifikačným limitom 0,1 mol% celkového gadolínia, čo dokazuje vysokú stabilitu komplexu gadobutrolu za testovaných podmienok.</w:t>
      </w:r>
    </w:p>
    <w:bookmarkEnd w:id="4"/>
    <w:p w14:paraId="48EB0DF3" w14:textId="77777777" w:rsidR="002240B3" w:rsidRPr="00526A54" w:rsidRDefault="002240B3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3754017D" w14:textId="77777777" w:rsidR="00B46441" w:rsidRPr="00526A54" w:rsidRDefault="00B46441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Klinická účinnosť</w:t>
      </w:r>
    </w:p>
    <w:p w14:paraId="568B1F05" w14:textId="0F7B2A22" w:rsidR="00434612" w:rsidRPr="00526A54" w:rsidRDefault="0083638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V</w:t>
      </w:r>
      <w:r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pivotnej štúdii </w:t>
      </w:r>
      <w:r w:rsidR="00705609" w:rsidRPr="00526A54">
        <w:rPr>
          <w:sz w:val="22"/>
          <w:szCs w:val="22"/>
        </w:rPr>
        <w:t xml:space="preserve">zobrazovania </w:t>
      </w:r>
      <w:r w:rsidRPr="00526A54">
        <w:rPr>
          <w:sz w:val="22"/>
          <w:szCs w:val="22"/>
        </w:rPr>
        <w:t>pečene fázy III dosahovala p</w:t>
      </w:r>
      <w:r w:rsidR="00434612" w:rsidRPr="00526A54">
        <w:rPr>
          <w:sz w:val="22"/>
          <w:szCs w:val="22"/>
        </w:rPr>
        <w:t>riemerná citlivosť v</w:t>
      </w:r>
      <w:r w:rsidR="008B3951" w:rsidRPr="00526A54">
        <w:rPr>
          <w:iCs/>
          <w:sz w:val="22"/>
          <w:szCs w:val="22"/>
        </w:rPr>
        <w:t> </w:t>
      </w:r>
      <w:r w:rsidR="00434612" w:rsidRPr="00526A54">
        <w:rPr>
          <w:sz w:val="22"/>
          <w:szCs w:val="22"/>
        </w:rPr>
        <w:t>kombinovanej pred- a postkontrastnej MR</w:t>
      </w:r>
      <w:r w:rsidR="0016796B" w:rsidRPr="00526A54">
        <w:rPr>
          <w:sz w:val="22"/>
          <w:szCs w:val="22"/>
        </w:rPr>
        <w:t>I</w:t>
      </w:r>
      <w:r w:rsidR="00434612" w:rsidRPr="00526A54">
        <w:rPr>
          <w:sz w:val="22"/>
          <w:szCs w:val="22"/>
        </w:rPr>
        <w:t xml:space="preserve"> u</w:t>
      </w:r>
      <w:r w:rsidR="008B3951" w:rsidRPr="00526A54">
        <w:rPr>
          <w:iCs/>
          <w:sz w:val="22"/>
          <w:szCs w:val="22"/>
        </w:rPr>
        <w:t> </w:t>
      </w:r>
      <w:r w:rsidR="00434612" w:rsidRPr="00526A54">
        <w:rPr>
          <w:sz w:val="22"/>
          <w:szCs w:val="22"/>
        </w:rPr>
        <w:t>pacientov, ktorým sa podával Gado</w:t>
      </w:r>
      <w:r w:rsidRPr="00526A54">
        <w:rPr>
          <w:sz w:val="22"/>
          <w:szCs w:val="22"/>
        </w:rPr>
        <w:t>graf</w:t>
      </w:r>
      <w:r w:rsidR="00434612" w:rsidRPr="00526A54">
        <w:rPr>
          <w:sz w:val="22"/>
          <w:szCs w:val="22"/>
        </w:rPr>
        <w:t xml:space="preserve"> hodnotu 79</w:t>
      </w:r>
      <w:r w:rsidR="008B3951" w:rsidRPr="00526A54">
        <w:rPr>
          <w:iCs/>
          <w:sz w:val="22"/>
          <w:szCs w:val="22"/>
        </w:rPr>
        <w:t> </w:t>
      </w:r>
      <w:r w:rsidR="00434612" w:rsidRPr="00526A54">
        <w:rPr>
          <w:sz w:val="22"/>
          <w:szCs w:val="22"/>
        </w:rPr>
        <w:t>% a špecifi</w:t>
      </w:r>
      <w:r w:rsidR="00DC6C9F" w:rsidRPr="00526A54">
        <w:rPr>
          <w:sz w:val="22"/>
          <w:szCs w:val="22"/>
        </w:rPr>
        <w:t>ck</w:t>
      </w:r>
      <w:r w:rsidR="00434612" w:rsidRPr="00526A54">
        <w:rPr>
          <w:sz w:val="22"/>
          <w:szCs w:val="22"/>
        </w:rPr>
        <w:t>osť dosahovala hodnotu 81</w:t>
      </w:r>
      <w:r w:rsidR="008B3951" w:rsidRPr="00526A54">
        <w:rPr>
          <w:iCs/>
          <w:sz w:val="22"/>
          <w:szCs w:val="22"/>
        </w:rPr>
        <w:t> </w:t>
      </w:r>
      <w:r w:rsidR="00434612" w:rsidRPr="00526A54">
        <w:rPr>
          <w:sz w:val="22"/>
          <w:szCs w:val="22"/>
        </w:rPr>
        <w:t>% pre</w:t>
      </w:r>
      <w:r w:rsidR="008B3951" w:rsidRPr="00526A54">
        <w:rPr>
          <w:iCs/>
          <w:sz w:val="22"/>
          <w:szCs w:val="22"/>
        </w:rPr>
        <w:t> </w:t>
      </w:r>
      <w:r w:rsidR="00434612" w:rsidRPr="00526A54">
        <w:rPr>
          <w:sz w:val="22"/>
          <w:szCs w:val="22"/>
        </w:rPr>
        <w:t xml:space="preserve">detekciu lézií a klasifikáciu </w:t>
      </w:r>
      <w:r w:rsidRPr="00526A54">
        <w:rPr>
          <w:sz w:val="22"/>
          <w:szCs w:val="22"/>
        </w:rPr>
        <w:t>suspektných</w:t>
      </w:r>
      <w:r w:rsidR="008B3951" w:rsidRPr="00526A54">
        <w:rPr>
          <w:iCs/>
          <w:sz w:val="22"/>
          <w:szCs w:val="22"/>
        </w:rPr>
        <w:t> </w:t>
      </w:r>
      <w:r w:rsidR="00434612" w:rsidRPr="00526A54">
        <w:rPr>
          <w:sz w:val="22"/>
          <w:szCs w:val="22"/>
        </w:rPr>
        <w:t>malígn</w:t>
      </w:r>
      <w:r w:rsidRPr="00526A54">
        <w:rPr>
          <w:sz w:val="22"/>
          <w:szCs w:val="22"/>
        </w:rPr>
        <w:t>ych</w:t>
      </w:r>
      <w:r w:rsidR="00434612" w:rsidRPr="00526A54">
        <w:rPr>
          <w:sz w:val="22"/>
          <w:szCs w:val="22"/>
        </w:rPr>
        <w:t xml:space="preserve"> lézi</w:t>
      </w:r>
      <w:r w:rsidRPr="00526A54">
        <w:rPr>
          <w:sz w:val="22"/>
          <w:szCs w:val="22"/>
        </w:rPr>
        <w:t>í pečene</w:t>
      </w:r>
      <w:r w:rsidR="00434612" w:rsidRPr="00526A54">
        <w:rPr>
          <w:sz w:val="22"/>
          <w:szCs w:val="22"/>
        </w:rPr>
        <w:t xml:space="preserve"> (analýza založená na</w:t>
      </w:r>
      <w:r w:rsidR="008B3951" w:rsidRPr="00526A54">
        <w:rPr>
          <w:iCs/>
          <w:sz w:val="22"/>
          <w:szCs w:val="22"/>
        </w:rPr>
        <w:t> </w:t>
      </w:r>
      <w:r w:rsidR="00434612" w:rsidRPr="00526A54">
        <w:rPr>
          <w:sz w:val="22"/>
          <w:szCs w:val="22"/>
        </w:rPr>
        <w:t>údajoch</w:t>
      </w:r>
      <w:r w:rsidR="00400926" w:rsidRPr="00526A54">
        <w:rPr>
          <w:sz w:val="22"/>
          <w:szCs w:val="22"/>
        </w:rPr>
        <w:t xml:space="preserve"> </w:t>
      </w:r>
      <w:r w:rsidR="00434612" w:rsidRPr="00526A54">
        <w:rPr>
          <w:sz w:val="22"/>
          <w:szCs w:val="22"/>
        </w:rPr>
        <w:t>o pacientoch).</w:t>
      </w:r>
    </w:p>
    <w:p w14:paraId="3231F469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56BF420" w14:textId="030C170C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V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pivotnej štúdii </w:t>
      </w:r>
      <w:r w:rsidR="00BD5B28" w:rsidRPr="00526A54">
        <w:rPr>
          <w:sz w:val="22"/>
          <w:szCs w:val="22"/>
        </w:rPr>
        <w:t xml:space="preserve">zobrazovania </w:t>
      </w:r>
      <w:r w:rsidRPr="00526A54">
        <w:rPr>
          <w:sz w:val="22"/>
          <w:szCs w:val="22"/>
        </w:rPr>
        <w:t>obličiek fázy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III dosahovala priemerná citlivosť hodnotu 91% (analýza založená na</w:t>
      </w:r>
      <w:r w:rsidR="00A21831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údajoch o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pacientoch) a</w:t>
      </w:r>
      <w:r w:rsidR="00BD42C3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85</w:t>
      </w:r>
      <w:r w:rsidR="00BD42C3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% (analýza založená na údajoch o léziách) pre klasifikáciu malígnych a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benígnych lézií obličiek. Priemerná špecifi</w:t>
      </w:r>
      <w:r w:rsidR="00DC6C9F" w:rsidRPr="00526A54">
        <w:rPr>
          <w:sz w:val="22"/>
          <w:szCs w:val="22"/>
        </w:rPr>
        <w:t>ck</w:t>
      </w:r>
      <w:r w:rsidRPr="00526A54">
        <w:rPr>
          <w:sz w:val="22"/>
          <w:szCs w:val="22"/>
        </w:rPr>
        <w:t>osť v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analýze založenej na údajoch o pacientoch bola 52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%</w:t>
      </w:r>
      <w:r w:rsidR="00400926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a v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analýze založenej na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údajoch o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léziách 82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%.</w:t>
      </w:r>
    </w:p>
    <w:p w14:paraId="19811B29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8FBBBD4" w14:textId="643C10F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Zvýšenie citlivosti z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predkontrastnej fázy pre kombinovanú pred- a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postkontrastnú MR</w:t>
      </w:r>
      <w:r w:rsidR="0016796B" w:rsidRPr="00526A54">
        <w:rPr>
          <w:sz w:val="22"/>
          <w:szCs w:val="22"/>
        </w:rPr>
        <w:t>I</w:t>
      </w:r>
      <w:r w:rsidRPr="00526A54">
        <w:rPr>
          <w:sz w:val="22"/>
          <w:szCs w:val="22"/>
        </w:rPr>
        <w:t xml:space="preserve"> pre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pacientov</w:t>
      </w:r>
      <w:r w:rsidR="00A21831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liečených Gado</w:t>
      </w:r>
      <w:r w:rsidR="00306955" w:rsidRPr="00526A54">
        <w:rPr>
          <w:sz w:val="22"/>
          <w:szCs w:val="22"/>
        </w:rPr>
        <w:t>grafom</w:t>
      </w:r>
      <w:r w:rsidRPr="00526A54">
        <w:rPr>
          <w:sz w:val="22"/>
          <w:szCs w:val="22"/>
        </w:rPr>
        <w:t xml:space="preserve"> dosahovalo hodnotu 33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%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v</w:t>
      </w:r>
      <w:r w:rsidR="00A46684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štúdii</w:t>
      </w:r>
      <w:r w:rsidR="00A46684" w:rsidRPr="00526A54">
        <w:rPr>
          <w:sz w:val="22"/>
          <w:szCs w:val="22"/>
        </w:rPr>
        <w:t xml:space="preserve"> </w:t>
      </w:r>
      <w:bookmarkStart w:id="5" w:name="_Hlk47539569"/>
      <w:r w:rsidR="00A46684" w:rsidRPr="00526A54">
        <w:rPr>
          <w:sz w:val="22"/>
          <w:szCs w:val="22"/>
        </w:rPr>
        <w:t>zobraz</w:t>
      </w:r>
      <w:r w:rsidR="00FC08DE" w:rsidRPr="00526A54">
        <w:rPr>
          <w:sz w:val="22"/>
          <w:szCs w:val="22"/>
        </w:rPr>
        <w:t>ova</w:t>
      </w:r>
      <w:r w:rsidR="00A46684" w:rsidRPr="00526A54">
        <w:rPr>
          <w:sz w:val="22"/>
          <w:szCs w:val="22"/>
        </w:rPr>
        <w:t>nia</w:t>
      </w:r>
      <w:r w:rsidRPr="00526A54">
        <w:rPr>
          <w:sz w:val="22"/>
          <w:szCs w:val="22"/>
        </w:rPr>
        <w:t xml:space="preserve"> </w:t>
      </w:r>
      <w:bookmarkEnd w:id="5"/>
      <w:r w:rsidRPr="00526A54">
        <w:rPr>
          <w:sz w:val="22"/>
          <w:szCs w:val="22"/>
        </w:rPr>
        <w:t>pečene (analýza založená na údajoch o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pacientoch) a</w:t>
      </w:r>
      <w:r w:rsidR="00BD42C3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18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% v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štúdii </w:t>
      </w:r>
      <w:r w:rsidR="00A46684" w:rsidRPr="00526A54">
        <w:rPr>
          <w:sz w:val="22"/>
          <w:szCs w:val="22"/>
        </w:rPr>
        <w:t>zobraz</w:t>
      </w:r>
      <w:r w:rsidR="00FC08DE" w:rsidRPr="00526A54">
        <w:rPr>
          <w:sz w:val="22"/>
          <w:szCs w:val="22"/>
        </w:rPr>
        <w:t>ova</w:t>
      </w:r>
      <w:r w:rsidR="00A46684" w:rsidRPr="00526A54">
        <w:rPr>
          <w:sz w:val="22"/>
          <w:szCs w:val="22"/>
        </w:rPr>
        <w:t xml:space="preserve">nia </w:t>
      </w:r>
      <w:r w:rsidRPr="00526A54">
        <w:rPr>
          <w:sz w:val="22"/>
          <w:szCs w:val="22"/>
        </w:rPr>
        <w:t>obličiek (analýza založená na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údajoch o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pacientoch ako aj analýza založená na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údajoch</w:t>
      </w:r>
      <w:r w:rsidR="008B3951" w:rsidRPr="00526A54">
        <w:rPr>
          <w:iCs/>
          <w:sz w:val="22"/>
          <w:szCs w:val="22"/>
        </w:rPr>
        <w:t xml:space="preserve"> </w:t>
      </w:r>
      <w:r w:rsidRPr="00526A54">
        <w:rPr>
          <w:sz w:val="22"/>
          <w:szCs w:val="22"/>
        </w:rPr>
        <w:t>o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léziách). Zvýšenie špecifi</w:t>
      </w:r>
      <w:r w:rsidR="00DC6C9F" w:rsidRPr="00526A54">
        <w:rPr>
          <w:sz w:val="22"/>
          <w:szCs w:val="22"/>
        </w:rPr>
        <w:t>ck</w:t>
      </w:r>
      <w:r w:rsidRPr="00526A54">
        <w:rPr>
          <w:sz w:val="22"/>
          <w:szCs w:val="22"/>
        </w:rPr>
        <w:t>osti z predkontrastnej fázy pre kombinovan</w:t>
      </w:r>
      <w:r w:rsidR="00BD42C3" w:rsidRPr="00526A54">
        <w:rPr>
          <w:sz w:val="22"/>
          <w:szCs w:val="22"/>
        </w:rPr>
        <w:t xml:space="preserve">ú </w:t>
      </w:r>
      <w:r w:rsidRPr="00526A54">
        <w:rPr>
          <w:sz w:val="22"/>
          <w:szCs w:val="22"/>
        </w:rPr>
        <w:t>pred- a</w:t>
      </w:r>
      <w:r w:rsidR="00BD42C3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postkontrastn</w:t>
      </w:r>
      <w:r w:rsidR="00BD42C3" w:rsidRPr="00526A54">
        <w:rPr>
          <w:sz w:val="22"/>
          <w:szCs w:val="22"/>
        </w:rPr>
        <w:t xml:space="preserve">ú </w:t>
      </w:r>
      <w:r w:rsidRPr="00526A54">
        <w:rPr>
          <w:sz w:val="22"/>
          <w:szCs w:val="22"/>
        </w:rPr>
        <w:t>MR</w:t>
      </w:r>
      <w:r w:rsidR="0016796B" w:rsidRPr="00526A54">
        <w:rPr>
          <w:sz w:val="22"/>
          <w:szCs w:val="22"/>
        </w:rPr>
        <w:t>I</w:t>
      </w:r>
      <w:r w:rsidRPr="00526A54">
        <w:rPr>
          <w:sz w:val="22"/>
          <w:szCs w:val="22"/>
        </w:rPr>
        <w:t xml:space="preserve"> v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štúdii </w:t>
      </w:r>
      <w:bookmarkStart w:id="6" w:name="_Hlk26276676"/>
      <w:r w:rsidR="00BD5B28" w:rsidRPr="00526A54">
        <w:rPr>
          <w:sz w:val="22"/>
          <w:szCs w:val="22"/>
        </w:rPr>
        <w:t xml:space="preserve">zobrazovania </w:t>
      </w:r>
      <w:bookmarkEnd w:id="6"/>
      <w:r w:rsidRPr="00526A54">
        <w:rPr>
          <w:sz w:val="22"/>
          <w:szCs w:val="22"/>
        </w:rPr>
        <w:t>pečene (analýza založená na údajoch o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pacientoch) dosahovalo hodnotu 9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%, pričom v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štúdii</w:t>
      </w:r>
      <w:r w:rsidR="00BD42C3" w:rsidRPr="00526A54">
        <w:rPr>
          <w:sz w:val="22"/>
          <w:szCs w:val="22"/>
        </w:rPr>
        <w:t xml:space="preserve"> </w:t>
      </w:r>
      <w:r w:rsidR="00BD5B28" w:rsidRPr="00526A54">
        <w:rPr>
          <w:sz w:val="22"/>
          <w:szCs w:val="22"/>
        </w:rPr>
        <w:t xml:space="preserve">zobrazovania </w:t>
      </w:r>
      <w:r w:rsidRPr="00526A54">
        <w:rPr>
          <w:sz w:val="22"/>
          <w:szCs w:val="22"/>
        </w:rPr>
        <w:t>obličiek nedošlo k žiadnemu zvýšeniu špecifi</w:t>
      </w:r>
      <w:r w:rsidR="00DC6C9F" w:rsidRPr="00526A54">
        <w:rPr>
          <w:sz w:val="22"/>
          <w:szCs w:val="22"/>
        </w:rPr>
        <w:t>ck</w:t>
      </w:r>
      <w:r w:rsidRPr="00526A54">
        <w:rPr>
          <w:sz w:val="22"/>
          <w:szCs w:val="22"/>
        </w:rPr>
        <w:t>osti (analýza založená na údajoch o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pacientoch aj analýza</w:t>
      </w:r>
      <w:r w:rsidR="00AF66E5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založená na údajoch o</w:t>
      </w:r>
      <w:r w:rsidR="008B3951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léziách). Všetky výsledky predstavujú priemerné výsledky získané v štúdiách</w:t>
      </w:r>
      <w:r w:rsidR="00144E4B" w:rsidRPr="00526A54">
        <w:rPr>
          <w:sz w:val="22"/>
          <w:szCs w:val="22"/>
        </w:rPr>
        <w:t xml:space="preserve"> s</w:t>
      </w:r>
      <w:r w:rsidR="00400926" w:rsidRPr="00526A54">
        <w:rPr>
          <w:sz w:val="22"/>
          <w:szCs w:val="22"/>
        </w:rPr>
        <w:t xml:space="preserve"> </w:t>
      </w:r>
      <w:r w:rsidR="00144E4B" w:rsidRPr="00526A54">
        <w:rPr>
          <w:sz w:val="22"/>
          <w:szCs w:val="22"/>
        </w:rPr>
        <w:t>hodnotiteľmi</w:t>
      </w:r>
      <w:r w:rsidR="00687FC9" w:rsidRPr="00526A54">
        <w:rPr>
          <w:sz w:val="22"/>
          <w:szCs w:val="22"/>
        </w:rPr>
        <w:t xml:space="preserve"> </w:t>
      </w:r>
      <w:bookmarkStart w:id="7" w:name="_Hlk26276722"/>
      <w:r w:rsidR="00687FC9" w:rsidRPr="00526A54">
        <w:rPr>
          <w:sz w:val="22"/>
          <w:szCs w:val="22"/>
        </w:rPr>
        <w:t>v podmienkach zaslepenia</w:t>
      </w:r>
      <w:bookmarkEnd w:id="7"/>
      <w:r w:rsidRPr="00526A54">
        <w:rPr>
          <w:sz w:val="22"/>
          <w:szCs w:val="22"/>
        </w:rPr>
        <w:t>.</w:t>
      </w:r>
    </w:p>
    <w:p w14:paraId="3C6175E1" w14:textId="77777777" w:rsidR="00B46441" w:rsidRPr="00526A54" w:rsidRDefault="00B46441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1F4059E" w14:textId="5E9C6946" w:rsidR="00B46441" w:rsidRPr="00526A54" w:rsidRDefault="00B46441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V štúdii </w:t>
      </w:r>
      <w:r w:rsidR="007A742B" w:rsidRPr="00526A54">
        <w:rPr>
          <w:sz w:val="22"/>
          <w:szCs w:val="22"/>
        </w:rPr>
        <w:t>dizajnovanej</w:t>
      </w:r>
      <w:r w:rsidRPr="00526A54">
        <w:rPr>
          <w:sz w:val="22"/>
          <w:szCs w:val="22"/>
        </w:rPr>
        <w:t xml:space="preserve"> ako intraindividuálne </w:t>
      </w:r>
      <w:bookmarkStart w:id="8" w:name="_Hlk47539700"/>
      <w:r w:rsidR="00A46684" w:rsidRPr="00526A54">
        <w:rPr>
          <w:sz w:val="22"/>
          <w:szCs w:val="22"/>
        </w:rPr>
        <w:t xml:space="preserve">prekrížené </w:t>
      </w:r>
      <w:bookmarkEnd w:id="8"/>
      <w:r w:rsidR="00A46684" w:rsidRPr="00526A54">
        <w:rPr>
          <w:sz w:val="22"/>
          <w:szCs w:val="22"/>
        </w:rPr>
        <w:t>(</w:t>
      </w:r>
      <w:r w:rsidRPr="00526A54">
        <w:rPr>
          <w:sz w:val="22"/>
          <w:szCs w:val="22"/>
        </w:rPr>
        <w:t>crossover</w:t>
      </w:r>
      <w:r w:rsidR="00A46684" w:rsidRPr="00526A54">
        <w:rPr>
          <w:sz w:val="22"/>
          <w:szCs w:val="22"/>
        </w:rPr>
        <w:t>)</w:t>
      </w:r>
      <w:r w:rsidRPr="00526A54">
        <w:rPr>
          <w:sz w:val="22"/>
          <w:szCs w:val="22"/>
        </w:rPr>
        <w:t xml:space="preserve"> porovnanie sa Gado</w:t>
      </w:r>
      <w:r w:rsidR="0064131C" w:rsidRPr="00526A54">
        <w:rPr>
          <w:sz w:val="22"/>
          <w:szCs w:val="22"/>
        </w:rPr>
        <w:t xml:space="preserve">graf </w:t>
      </w:r>
      <w:r w:rsidRPr="00526A54">
        <w:rPr>
          <w:sz w:val="22"/>
          <w:szCs w:val="22"/>
        </w:rPr>
        <w:t>porovnával s</w:t>
      </w:r>
      <w:r w:rsidR="0064131C" w:rsidRPr="00526A54">
        <w:rPr>
          <w:sz w:val="22"/>
          <w:szCs w:val="22"/>
        </w:rPr>
        <w:t> </w:t>
      </w:r>
      <w:r w:rsidR="00B17248" w:rsidRPr="00526A54">
        <w:rPr>
          <w:sz w:val="22"/>
          <w:szCs w:val="22"/>
        </w:rPr>
        <w:t xml:space="preserve">meglumínium-gadoterátom </w:t>
      </w:r>
      <w:r w:rsidR="00863E25" w:rsidRPr="00526A54">
        <w:rPr>
          <w:sz w:val="22"/>
          <w:szCs w:val="22"/>
        </w:rPr>
        <w:t>(</w:t>
      </w:r>
      <w:bookmarkStart w:id="9" w:name="_Hlk47539744"/>
      <w:r w:rsidR="0064131C" w:rsidRPr="00526A54">
        <w:rPr>
          <w:sz w:val="22"/>
          <w:szCs w:val="22"/>
        </w:rPr>
        <w:t>oba v dávke</w:t>
      </w:r>
      <w:r w:rsidR="00863E25" w:rsidRPr="00526A54">
        <w:rPr>
          <w:sz w:val="22"/>
          <w:szCs w:val="22"/>
        </w:rPr>
        <w:t xml:space="preserve"> </w:t>
      </w:r>
      <w:bookmarkEnd w:id="9"/>
      <w:r w:rsidR="00863E25" w:rsidRPr="00526A54">
        <w:rPr>
          <w:sz w:val="22"/>
          <w:szCs w:val="22"/>
        </w:rPr>
        <w:t xml:space="preserve">0,1 mmol/kg) u 132 pacientov </w:t>
      </w:r>
      <w:r w:rsidR="00AA5EFF" w:rsidRPr="00526A54">
        <w:rPr>
          <w:sz w:val="22"/>
          <w:szCs w:val="22"/>
        </w:rPr>
        <w:t>pri</w:t>
      </w:r>
      <w:r w:rsidR="00863E25" w:rsidRPr="00526A54">
        <w:rPr>
          <w:sz w:val="22"/>
          <w:szCs w:val="22"/>
        </w:rPr>
        <w:t xml:space="preserve"> </w:t>
      </w:r>
      <w:r w:rsidR="00AA5EFF" w:rsidRPr="00526A54">
        <w:rPr>
          <w:sz w:val="22"/>
          <w:szCs w:val="22"/>
        </w:rPr>
        <w:t>vizualizácii</w:t>
      </w:r>
      <w:r w:rsidR="00863E25" w:rsidRPr="00526A54">
        <w:rPr>
          <w:sz w:val="22"/>
          <w:szCs w:val="22"/>
        </w:rPr>
        <w:t xml:space="preserve"> </w:t>
      </w:r>
      <w:r w:rsidR="007A742B" w:rsidRPr="00526A54">
        <w:rPr>
          <w:sz w:val="22"/>
          <w:szCs w:val="22"/>
        </w:rPr>
        <w:t xml:space="preserve">zvýraznených </w:t>
      </w:r>
      <w:r w:rsidR="00863E25" w:rsidRPr="00526A54">
        <w:rPr>
          <w:sz w:val="22"/>
          <w:szCs w:val="22"/>
        </w:rPr>
        <w:t>cerebrálnych neoplastických lézií.</w:t>
      </w:r>
    </w:p>
    <w:p w14:paraId="09883FD1" w14:textId="03920C2E" w:rsidR="00863E25" w:rsidRPr="00526A54" w:rsidRDefault="005B74F6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Primárnym </w:t>
      </w:r>
      <w:bookmarkStart w:id="10" w:name="_Hlk47539767"/>
      <w:r w:rsidR="00A46684" w:rsidRPr="00526A54">
        <w:rPr>
          <w:sz w:val="22"/>
          <w:szCs w:val="22"/>
        </w:rPr>
        <w:t>cieľovým</w:t>
      </w:r>
      <w:r w:rsidR="00863E25" w:rsidRPr="00526A54">
        <w:rPr>
          <w:sz w:val="22"/>
          <w:szCs w:val="22"/>
        </w:rPr>
        <w:t xml:space="preserve"> </w:t>
      </w:r>
      <w:bookmarkEnd w:id="10"/>
      <w:r w:rsidR="00863E25" w:rsidRPr="00526A54">
        <w:rPr>
          <w:sz w:val="22"/>
          <w:szCs w:val="22"/>
        </w:rPr>
        <w:t>ukazovateľ</w:t>
      </w:r>
      <w:r w:rsidR="00932521" w:rsidRPr="00526A54">
        <w:rPr>
          <w:sz w:val="22"/>
          <w:szCs w:val="22"/>
        </w:rPr>
        <w:t>om</w:t>
      </w:r>
      <w:r w:rsidR="00863E25" w:rsidRPr="00526A54">
        <w:rPr>
          <w:sz w:val="22"/>
          <w:szCs w:val="22"/>
        </w:rPr>
        <w:t xml:space="preserve"> účinnosti </w:t>
      </w:r>
      <w:r w:rsidR="00932521" w:rsidRPr="00526A54">
        <w:rPr>
          <w:sz w:val="22"/>
          <w:szCs w:val="22"/>
        </w:rPr>
        <w:t xml:space="preserve">bola celková preferencia </w:t>
      </w:r>
      <w:r w:rsidR="003A311A" w:rsidRPr="00526A54">
        <w:rPr>
          <w:sz w:val="22"/>
          <w:szCs w:val="22"/>
        </w:rPr>
        <w:t xml:space="preserve">buď </w:t>
      </w:r>
      <w:r w:rsidR="007079B5" w:rsidRPr="00526A54">
        <w:rPr>
          <w:sz w:val="22"/>
          <w:szCs w:val="22"/>
        </w:rPr>
        <w:t>Gadografu</w:t>
      </w:r>
      <w:r w:rsidR="003A311A" w:rsidRPr="00526A54">
        <w:rPr>
          <w:sz w:val="22"/>
          <w:szCs w:val="22"/>
        </w:rPr>
        <w:t xml:space="preserve"> alebo </w:t>
      </w:r>
      <w:r w:rsidR="00B17248" w:rsidRPr="00526A54">
        <w:rPr>
          <w:sz w:val="22"/>
          <w:szCs w:val="22"/>
        </w:rPr>
        <w:t xml:space="preserve">meglumínium-gadoterátu </w:t>
      </w:r>
      <w:r w:rsidR="00DB3553" w:rsidRPr="00526A54">
        <w:rPr>
          <w:sz w:val="22"/>
          <w:szCs w:val="22"/>
        </w:rPr>
        <w:t>mediánom</w:t>
      </w:r>
      <w:r w:rsidR="00C05F26" w:rsidRPr="00526A54">
        <w:rPr>
          <w:sz w:val="22"/>
          <w:szCs w:val="22"/>
        </w:rPr>
        <w:t xml:space="preserve"> hodnotiteľov</w:t>
      </w:r>
      <w:r w:rsidR="00A46684" w:rsidRPr="00526A54">
        <w:rPr>
          <w:sz w:val="22"/>
          <w:szCs w:val="22"/>
        </w:rPr>
        <w:t xml:space="preserve"> </w:t>
      </w:r>
      <w:bookmarkStart w:id="11" w:name="_Hlk47539806"/>
      <w:r w:rsidR="00A46684" w:rsidRPr="00526A54">
        <w:rPr>
          <w:sz w:val="22"/>
          <w:szCs w:val="22"/>
        </w:rPr>
        <w:t>v podmienkach zaslepenia</w:t>
      </w:r>
      <w:bookmarkEnd w:id="11"/>
      <w:r w:rsidR="003A311A" w:rsidRPr="00526A54">
        <w:rPr>
          <w:sz w:val="22"/>
          <w:szCs w:val="22"/>
        </w:rPr>
        <w:t>. Superioritu Gado</w:t>
      </w:r>
      <w:r w:rsidR="007079B5" w:rsidRPr="00526A54">
        <w:rPr>
          <w:sz w:val="22"/>
          <w:szCs w:val="22"/>
        </w:rPr>
        <w:t>grafu</w:t>
      </w:r>
      <w:r w:rsidR="003A311A" w:rsidRPr="00526A54">
        <w:rPr>
          <w:sz w:val="22"/>
          <w:szCs w:val="22"/>
        </w:rPr>
        <w:t xml:space="preserve"> demonštrovala hodnota p=0,0004. Preferencia </w:t>
      </w:r>
      <w:r w:rsidR="00D365F2" w:rsidRPr="00526A54">
        <w:rPr>
          <w:sz w:val="22"/>
          <w:szCs w:val="22"/>
        </w:rPr>
        <w:t>Gado</w:t>
      </w:r>
      <w:r w:rsidR="007079B5" w:rsidRPr="00526A54">
        <w:rPr>
          <w:sz w:val="22"/>
          <w:szCs w:val="22"/>
        </w:rPr>
        <w:t>grafu</w:t>
      </w:r>
      <w:r w:rsidR="00D365F2" w:rsidRPr="00526A54">
        <w:rPr>
          <w:sz w:val="22"/>
          <w:szCs w:val="22"/>
        </w:rPr>
        <w:t xml:space="preserve"> </w:t>
      </w:r>
      <w:r w:rsidR="002D359D" w:rsidRPr="00526A54">
        <w:rPr>
          <w:sz w:val="22"/>
          <w:szCs w:val="22"/>
        </w:rPr>
        <w:t xml:space="preserve">bola </w:t>
      </w:r>
      <w:r w:rsidR="00E51A1C" w:rsidRPr="00526A54">
        <w:rPr>
          <w:sz w:val="22"/>
          <w:szCs w:val="22"/>
        </w:rPr>
        <w:t>stanovená</w:t>
      </w:r>
      <w:r w:rsidR="003A311A" w:rsidRPr="00526A54">
        <w:rPr>
          <w:sz w:val="22"/>
          <w:szCs w:val="22"/>
        </w:rPr>
        <w:t xml:space="preserve"> u 42 pacientov (32%) v porovnaní s celkovou preferenciou pre </w:t>
      </w:r>
      <w:r w:rsidR="00B17248" w:rsidRPr="00526A54">
        <w:rPr>
          <w:sz w:val="22"/>
          <w:szCs w:val="22"/>
        </w:rPr>
        <w:t xml:space="preserve">meglumínium-gadoterát </w:t>
      </w:r>
      <w:r w:rsidR="003A311A" w:rsidRPr="00526A54">
        <w:rPr>
          <w:sz w:val="22"/>
          <w:szCs w:val="22"/>
        </w:rPr>
        <w:t xml:space="preserve">u 16 pacientov (12%). U 74 pacientov </w:t>
      </w:r>
      <w:r w:rsidR="00E51A1C" w:rsidRPr="00526A54">
        <w:rPr>
          <w:sz w:val="22"/>
          <w:szCs w:val="22"/>
        </w:rPr>
        <w:t xml:space="preserve">(56 %) </w:t>
      </w:r>
      <w:r w:rsidR="003A311A" w:rsidRPr="00526A54">
        <w:rPr>
          <w:sz w:val="22"/>
          <w:szCs w:val="22"/>
        </w:rPr>
        <w:t>sa nestanovila preferencia pre žiadnu z uvedených kontrastných látok.</w:t>
      </w:r>
    </w:p>
    <w:p w14:paraId="4B04D7FF" w14:textId="6DD6AC48" w:rsidR="003A311A" w:rsidRPr="00526A54" w:rsidRDefault="00CA7FB7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V</w:t>
      </w:r>
      <w:r w:rsidR="007079B5" w:rsidRPr="00526A54">
        <w:rPr>
          <w:sz w:val="22"/>
          <w:szCs w:val="22"/>
        </w:rPr>
        <w:t> </w:t>
      </w:r>
      <w:r w:rsidR="00917E61" w:rsidRPr="00526A54">
        <w:rPr>
          <w:sz w:val="22"/>
          <w:szCs w:val="22"/>
        </w:rPr>
        <w:t>sekundárnych</w:t>
      </w:r>
      <w:r w:rsidR="007079B5" w:rsidRPr="00526A54">
        <w:rPr>
          <w:sz w:val="22"/>
          <w:szCs w:val="22"/>
        </w:rPr>
        <w:t xml:space="preserve"> </w:t>
      </w:r>
      <w:r w:rsidR="00917E61" w:rsidRPr="00526A54">
        <w:rPr>
          <w:sz w:val="22"/>
          <w:szCs w:val="22"/>
        </w:rPr>
        <w:t>premenných</w:t>
      </w:r>
      <w:r w:rsidRPr="00526A54">
        <w:rPr>
          <w:sz w:val="22"/>
          <w:szCs w:val="22"/>
        </w:rPr>
        <w:t xml:space="preserve"> sa </w:t>
      </w:r>
      <w:r w:rsidR="00144E4B" w:rsidRPr="00526A54">
        <w:rPr>
          <w:sz w:val="22"/>
          <w:szCs w:val="22"/>
        </w:rPr>
        <w:t>podiel</w:t>
      </w:r>
      <w:r w:rsidRPr="00526A54">
        <w:rPr>
          <w:sz w:val="22"/>
          <w:szCs w:val="22"/>
        </w:rPr>
        <w:t xml:space="preserve"> mozgových lézií </w:t>
      </w:r>
      <w:r w:rsidR="00283ED1" w:rsidRPr="00526A54">
        <w:rPr>
          <w:sz w:val="22"/>
          <w:szCs w:val="22"/>
        </w:rPr>
        <w:t>zistil</w:t>
      </w:r>
      <w:r w:rsidR="00917E61" w:rsidRPr="00526A54">
        <w:rPr>
          <w:sz w:val="22"/>
          <w:szCs w:val="22"/>
        </w:rPr>
        <w:t xml:space="preserve"> štatisticky vyšš</w:t>
      </w:r>
      <w:r w:rsidR="00144E4B" w:rsidRPr="00526A54">
        <w:rPr>
          <w:sz w:val="22"/>
          <w:szCs w:val="22"/>
        </w:rPr>
        <w:t>í</w:t>
      </w:r>
      <w:r w:rsidR="00857671" w:rsidRPr="00526A54">
        <w:rPr>
          <w:sz w:val="22"/>
          <w:szCs w:val="22"/>
        </w:rPr>
        <w:t xml:space="preserve"> pre Gado</w:t>
      </w:r>
      <w:r w:rsidR="007079B5" w:rsidRPr="00526A54">
        <w:rPr>
          <w:sz w:val="22"/>
          <w:szCs w:val="22"/>
        </w:rPr>
        <w:t>graf</w:t>
      </w:r>
      <w:r w:rsidR="00857671" w:rsidRPr="00526A54">
        <w:rPr>
          <w:sz w:val="22"/>
          <w:szCs w:val="22"/>
        </w:rPr>
        <w:t xml:space="preserve"> (p &lt; 0,0003). </w:t>
      </w:r>
      <w:r w:rsidR="00917E61" w:rsidRPr="00526A54">
        <w:rPr>
          <w:sz w:val="22"/>
          <w:szCs w:val="22"/>
        </w:rPr>
        <w:t xml:space="preserve">Zvýšenie kontrastu bolo </w:t>
      </w:r>
      <w:r w:rsidR="00BF1D49" w:rsidRPr="00526A54">
        <w:rPr>
          <w:sz w:val="22"/>
          <w:szCs w:val="22"/>
        </w:rPr>
        <w:t>u Gado</w:t>
      </w:r>
      <w:r w:rsidR="007079B5" w:rsidRPr="00526A54">
        <w:rPr>
          <w:sz w:val="22"/>
          <w:szCs w:val="22"/>
        </w:rPr>
        <w:t>grafu</w:t>
      </w:r>
      <w:r w:rsidR="00BF1D49" w:rsidRPr="00526A54">
        <w:rPr>
          <w:sz w:val="22"/>
          <w:szCs w:val="22"/>
        </w:rPr>
        <w:t xml:space="preserve"> v porovnaní s</w:t>
      </w:r>
      <w:r w:rsidR="007079B5" w:rsidRPr="00526A54">
        <w:rPr>
          <w:sz w:val="22"/>
          <w:szCs w:val="22"/>
        </w:rPr>
        <w:t> </w:t>
      </w:r>
      <w:r w:rsidR="00B17248" w:rsidRPr="00526A54">
        <w:rPr>
          <w:sz w:val="22"/>
          <w:szCs w:val="22"/>
        </w:rPr>
        <w:t xml:space="preserve">meglumínium-gadoterátom </w:t>
      </w:r>
      <w:r w:rsidR="00917E61" w:rsidRPr="00526A54">
        <w:rPr>
          <w:sz w:val="22"/>
          <w:szCs w:val="22"/>
        </w:rPr>
        <w:t>percentuálne vyššie</w:t>
      </w:r>
      <w:r w:rsidR="00BF1D49" w:rsidRPr="00526A54">
        <w:rPr>
          <w:sz w:val="22"/>
          <w:szCs w:val="22"/>
        </w:rPr>
        <w:t xml:space="preserve">, so štatisticky významným rozdielom </w:t>
      </w:r>
      <w:r w:rsidR="009C2849" w:rsidRPr="00526A54">
        <w:rPr>
          <w:sz w:val="22"/>
          <w:szCs w:val="22"/>
        </w:rPr>
        <w:t>u </w:t>
      </w:r>
      <w:r w:rsidR="00DB3553" w:rsidRPr="00526A54">
        <w:rPr>
          <w:sz w:val="22"/>
          <w:szCs w:val="22"/>
        </w:rPr>
        <w:t>hodnoti</w:t>
      </w:r>
      <w:r w:rsidR="00EF06EC" w:rsidRPr="00526A54">
        <w:rPr>
          <w:sz w:val="22"/>
          <w:szCs w:val="22"/>
        </w:rPr>
        <w:t>teľov</w:t>
      </w:r>
      <w:r w:rsidR="009C2849" w:rsidRPr="00526A54">
        <w:rPr>
          <w:sz w:val="22"/>
          <w:szCs w:val="22"/>
        </w:rPr>
        <w:t xml:space="preserve"> </w:t>
      </w:r>
      <w:bookmarkStart w:id="12" w:name="_Hlk47539908"/>
      <w:r w:rsidR="009C2849" w:rsidRPr="00526A54">
        <w:rPr>
          <w:sz w:val="22"/>
          <w:szCs w:val="22"/>
        </w:rPr>
        <w:t>v podmienkach zaslepenia</w:t>
      </w:r>
      <w:r w:rsidR="00BF1D49" w:rsidRPr="00526A54">
        <w:rPr>
          <w:sz w:val="22"/>
          <w:szCs w:val="22"/>
        </w:rPr>
        <w:t xml:space="preserve"> </w:t>
      </w:r>
      <w:bookmarkEnd w:id="12"/>
      <w:r w:rsidR="00BF1D49" w:rsidRPr="00526A54">
        <w:rPr>
          <w:sz w:val="22"/>
          <w:szCs w:val="22"/>
        </w:rPr>
        <w:t xml:space="preserve">(p &lt; 0,0003). </w:t>
      </w:r>
      <w:r w:rsidR="00857671" w:rsidRPr="00526A54">
        <w:rPr>
          <w:sz w:val="22"/>
          <w:szCs w:val="22"/>
        </w:rPr>
        <w:t xml:space="preserve">Pomer kontrastu k šumu </w:t>
      </w:r>
      <w:r w:rsidR="00386D31" w:rsidRPr="00526A54">
        <w:rPr>
          <w:sz w:val="22"/>
          <w:szCs w:val="22"/>
        </w:rPr>
        <w:t>nepre</w:t>
      </w:r>
      <w:r w:rsidR="00857671" w:rsidRPr="00526A54">
        <w:rPr>
          <w:sz w:val="22"/>
          <w:szCs w:val="22"/>
        </w:rPr>
        <w:t xml:space="preserve">ukázal </w:t>
      </w:r>
      <w:r w:rsidR="00386D31" w:rsidRPr="00526A54">
        <w:rPr>
          <w:sz w:val="22"/>
          <w:szCs w:val="22"/>
        </w:rPr>
        <w:t xml:space="preserve">štatisticky významný rozdiel medzi </w:t>
      </w:r>
      <w:r w:rsidR="00857671" w:rsidRPr="00526A54">
        <w:rPr>
          <w:sz w:val="22"/>
          <w:szCs w:val="22"/>
        </w:rPr>
        <w:t>Gado</w:t>
      </w:r>
      <w:r w:rsidR="007079B5" w:rsidRPr="00526A54">
        <w:rPr>
          <w:sz w:val="22"/>
          <w:szCs w:val="22"/>
        </w:rPr>
        <w:t>graf</w:t>
      </w:r>
      <w:r w:rsidR="00386D31" w:rsidRPr="00526A54">
        <w:rPr>
          <w:sz w:val="22"/>
          <w:szCs w:val="22"/>
        </w:rPr>
        <w:t>om</w:t>
      </w:r>
      <w:r w:rsidR="00857671" w:rsidRPr="00526A54">
        <w:rPr>
          <w:sz w:val="22"/>
          <w:szCs w:val="22"/>
        </w:rPr>
        <w:t xml:space="preserve"> (129</w:t>
      </w:r>
      <w:r w:rsidR="00386D31" w:rsidRPr="00526A54">
        <w:rPr>
          <w:sz w:val="22"/>
          <w:szCs w:val="22"/>
        </w:rPr>
        <w:t>) a</w:t>
      </w:r>
      <w:r w:rsidR="007079B5" w:rsidRPr="00526A54">
        <w:rPr>
          <w:sz w:val="22"/>
          <w:szCs w:val="22"/>
        </w:rPr>
        <w:t> </w:t>
      </w:r>
      <w:r w:rsidR="00B17248" w:rsidRPr="00526A54">
        <w:rPr>
          <w:sz w:val="22"/>
          <w:szCs w:val="22"/>
        </w:rPr>
        <w:t xml:space="preserve">meglumínium-gadoterátom </w:t>
      </w:r>
      <w:r w:rsidR="00857671" w:rsidRPr="00526A54">
        <w:rPr>
          <w:sz w:val="22"/>
          <w:szCs w:val="22"/>
        </w:rPr>
        <w:t>(98).</w:t>
      </w:r>
    </w:p>
    <w:p w14:paraId="13DF1C69" w14:textId="77777777" w:rsidR="00434612" w:rsidRPr="00526A54" w:rsidRDefault="00434612" w:rsidP="00526A54">
      <w:pPr>
        <w:jc w:val="both"/>
        <w:rPr>
          <w:sz w:val="22"/>
          <w:szCs w:val="22"/>
        </w:rPr>
      </w:pPr>
    </w:p>
    <w:p w14:paraId="715196F9" w14:textId="77777777" w:rsidR="00B46441" w:rsidRPr="00526A54" w:rsidRDefault="00B46441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Pediatrická populácia</w:t>
      </w:r>
    </w:p>
    <w:p w14:paraId="6219BC73" w14:textId="7C82FCBD" w:rsidR="00FC60ED" w:rsidRPr="00526A54" w:rsidRDefault="00B84151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Vykonal</w:t>
      </w:r>
      <w:r w:rsidR="006651E2" w:rsidRPr="00526A54">
        <w:rPr>
          <w:sz w:val="22"/>
          <w:szCs w:val="22"/>
        </w:rPr>
        <w:t>i</w:t>
      </w:r>
      <w:r w:rsidRPr="00526A54">
        <w:rPr>
          <w:sz w:val="22"/>
          <w:szCs w:val="22"/>
        </w:rPr>
        <w:t xml:space="preserve"> sa </w:t>
      </w:r>
      <w:r w:rsidR="006651E2" w:rsidRPr="00526A54">
        <w:rPr>
          <w:sz w:val="22"/>
          <w:szCs w:val="22"/>
        </w:rPr>
        <w:t xml:space="preserve">dve </w:t>
      </w:r>
      <w:r w:rsidRPr="00526A54">
        <w:rPr>
          <w:sz w:val="22"/>
          <w:szCs w:val="22"/>
        </w:rPr>
        <w:t>š</w:t>
      </w:r>
      <w:r w:rsidR="00FC60ED" w:rsidRPr="00526A54">
        <w:rPr>
          <w:sz w:val="22"/>
          <w:szCs w:val="22"/>
        </w:rPr>
        <w:t>túdi</w:t>
      </w:r>
      <w:r w:rsidR="006651E2" w:rsidRPr="00526A54">
        <w:rPr>
          <w:sz w:val="22"/>
          <w:szCs w:val="22"/>
        </w:rPr>
        <w:t>e</w:t>
      </w:r>
      <w:r w:rsidR="00FC60ED" w:rsidRPr="00526A54">
        <w:rPr>
          <w:sz w:val="22"/>
          <w:szCs w:val="22"/>
        </w:rPr>
        <w:t xml:space="preserve"> fázy I/III s jednorazovou dávkou</w:t>
      </w:r>
      <w:r w:rsidR="007079B5" w:rsidRPr="00526A54">
        <w:rPr>
          <w:sz w:val="22"/>
          <w:szCs w:val="22"/>
        </w:rPr>
        <w:t>,</w:t>
      </w:r>
      <w:r w:rsidR="00FC60ED" w:rsidRPr="00526A54">
        <w:rPr>
          <w:sz w:val="22"/>
          <w:szCs w:val="22"/>
        </w:rPr>
        <w:t xml:space="preserve"> so 1</w:t>
      </w:r>
      <w:r w:rsidR="006651E2" w:rsidRPr="00526A54">
        <w:rPr>
          <w:sz w:val="22"/>
          <w:szCs w:val="22"/>
        </w:rPr>
        <w:t>38</w:t>
      </w:r>
      <w:r w:rsidR="00C1729C" w:rsidRPr="00526A54">
        <w:rPr>
          <w:iCs/>
          <w:sz w:val="22"/>
          <w:szCs w:val="22"/>
        </w:rPr>
        <w:t> </w:t>
      </w:r>
      <w:r w:rsidR="00FC60ED" w:rsidRPr="00526A54">
        <w:rPr>
          <w:sz w:val="22"/>
          <w:szCs w:val="22"/>
        </w:rPr>
        <w:t xml:space="preserve">pediatrickými pacientmi </w:t>
      </w:r>
      <w:r w:rsidRPr="00526A54">
        <w:rPr>
          <w:sz w:val="22"/>
          <w:szCs w:val="22"/>
        </w:rPr>
        <w:t xml:space="preserve">na vyšetrenie CNS, pečene a obličiek s použitím </w:t>
      </w:r>
      <w:r w:rsidR="00FC60ED" w:rsidRPr="00526A54">
        <w:rPr>
          <w:sz w:val="22"/>
          <w:szCs w:val="22"/>
        </w:rPr>
        <w:t>CE-</w:t>
      </w:r>
      <w:r w:rsidR="00EF3754" w:rsidRPr="00526A54">
        <w:rPr>
          <w:sz w:val="22"/>
          <w:szCs w:val="22"/>
        </w:rPr>
        <w:t>MR</w:t>
      </w:r>
      <w:r w:rsidR="0016796B" w:rsidRPr="00526A54">
        <w:rPr>
          <w:sz w:val="22"/>
          <w:szCs w:val="22"/>
        </w:rPr>
        <w:t>I</w:t>
      </w:r>
      <w:r w:rsidR="00EF3754" w:rsidRPr="00526A54">
        <w:rPr>
          <w:sz w:val="22"/>
          <w:szCs w:val="22"/>
        </w:rPr>
        <w:t xml:space="preserve"> </w:t>
      </w:r>
      <w:r w:rsidR="00FC60ED" w:rsidRPr="00526A54">
        <w:rPr>
          <w:sz w:val="22"/>
          <w:szCs w:val="22"/>
        </w:rPr>
        <w:t xml:space="preserve">alebo </w:t>
      </w:r>
      <w:r w:rsidRPr="00526A54">
        <w:rPr>
          <w:sz w:val="22"/>
          <w:szCs w:val="22"/>
        </w:rPr>
        <w:t xml:space="preserve">vyšetrenie s použitím </w:t>
      </w:r>
      <w:r w:rsidR="00FC60ED" w:rsidRPr="00526A54">
        <w:rPr>
          <w:sz w:val="22"/>
          <w:szCs w:val="22"/>
        </w:rPr>
        <w:t>CE-</w:t>
      </w:r>
      <w:r w:rsidRPr="00526A54">
        <w:rPr>
          <w:sz w:val="22"/>
          <w:szCs w:val="22"/>
        </w:rPr>
        <w:t>MRA</w:t>
      </w:r>
      <w:r w:rsidR="006651E2" w:rsidRPr="00526A54">
        <w:rPr>
          <w:sz w:val="22"/>
          <w:szCs w:val="22"/>
        </w:rPr>
        <w:t xml:space="preserve"> a so 44 pacientmi vo veku 0-&lt;2 roky (vrátane </w:t>
      </w:r>
      <w:r w:rsidR="00EF06E2" w:rsidRPr="00526A54">
        <w:rPr>
          <w:sz w:val="22"/>
          <w:szCs w:val="22"/>
        </w:rPr>
        <w:t xml:space="preserve">donosených </w:t>
      </w:r>
      <w:r w:rsidR="006651E2" w:rsidRPr="00526A54">
        <w:rPr>
          <w:sz w:val="22"/>
          <w:szCs w:val="22"/>
        </w:rPr>
        <w:t>novorodencov) na rutinné vyšetrenie ktorejkoľvek časti tela s použitím CE-MR</w:t>
      </w:r>
      <w:r w:rsidR="0016796B" w:rsidRPr="00526A54">
        <w:rPr>
          <w:sz w:val="22"/>
          <w:szCs w:val="22"/>
        </w:rPr>
        <w:t>I</w:t>
      </w:r>
      <w:r w:rsidR="00FC60ED" w:rsidRPr="00526A54">
        <w:rPr>
          <w:sz w:val="22"/>
          <w:szCs w:val="22"/>
        </w:rPr>
        <w:t>. Diagnostická účinnosť a zvýšen</w:t>
      </w:r>
      <w:r w:rsidR="007079B5" w:rsidRPr="00526A54">
        <w:rPr>
          <w:sz w:val="22"/>
          <w:szCs w:val="22"/>
        </w:rPr>
        <w:t>ie</w:t>
      </w:r>
      <w:r w:rsidR="00FC60ED" w:rsidRPr="00526A54">
        <w:rPr>
          <w:sz w:val="22"/>
          <w:szCs w:val="22"/>
        </w:rPr>
        <w:t xml:space="preserve"> diagnostick</w:t>
      </w:r>
      <w:r w:rsidR="007079B5" w:rsidRPr="00526A54">
        <w:rPr>
          <w:sz w:val="22"/>
          <w:szCs w:val="22"/>
        </w:rPr>
        <w:t xml:space="preserve">ej spoľahlivosti </w:t>
      </w:r>
      <w:r w:rsidR="00FC60ED" w:rsidRPr="00526A54">
        <w:rPr>
          <w:sz w:val="22"/>
          <w:szCs w:val="22"/>
        </w:rPr>
        <w:t xml:space="preserve">sa </w:t>
      </w:r>
      <w:r w:rsidR="007079B5" w:rsidRPr="00526A54">
        <w:rPr>
          <w:sz w:val="22"/>
          <w:szCs w:val="22"/>
        </w:rPr>
        <w:t>pre</w:t>
      </w:r>
      <w:r w:rsidR="00FC60ED" w:rsidRPr="00526A54">
        <w:rPr>
          <w:sz w:val="22"/>
          <w:szCs w:val="22"/>
        </w:rPr>
        <w:t>ukázal</w:t>
      </w:r>
      <w:r w:rsidR="007079B5" w:rsidRPr="00526A54">
        <w:rPr>
          <w:sz w:val="22"/>
          <w:szCs w:val="22"/>
        </w:rPr>
        <w:t>i</w:t>
      </w:r>
      <w:r w:rsidR="00FC60ED" w:rsidRPr="00526A54">
        <w:rPr>
          <w:sz w:val="22"/>
          <w:szCs w:val="22"/>
        </w:rPr>
        <w:t xml:space="preserve"> vo všetkých parametroch </w:t>
      </w:r>
      <w:r w:rsidR="007079B5" w:rsidRPr="00526A54">
        <w:rPr>
          <w:sz w:val="22"/>
          <w:szCs w:val="22"/>
        </w:rPr>
        <w:t xml:space="preserve">hodnotených v </w:t>
      </w:r>
      <w:r w:rsidR="00FC60ED" w:rsidRPr="00526A54">
        <w:rPr>
          <w:sz w:val="22"/>
          <w:szCs w:val="22"/>
        </w:rPr>
        <w:t>štúdi</w:t>
      </w:r>
      <w:r w:rsidR="007079B5" w:rsidRPr="00526A54">
        <w:rPr>
          <w:sz w:val="22"/>
          <w:szCs w:val="22"/>
        </w:rPr>
        <w:t>ách</w:t>
      </w:r>
      <w:r w:rsidR="00FC60ED" w:rsidRPr="00526A54">
        <w:rPr>
          <w:sz w:val="22"/>
          <w:szCs w:val="22"/>
        </w:rPr>
        <w:t xml:space="preserve"> a medzi </w:t>
      </w:r>
      <w:r w:rsidR="006651E2" w:rsidRPr="00526A54">
        <w:rPr>
          <w:sz w:val="22"/>
          <w:szCs w:val="22"/>
        </w:rPr>
        <w:t xml:space="preserve">pediatrickými </w:t>
      </w:r>
      <w:r w:rsidR="00FC60ED" w:rsidRPr="00526A54">
        <w:rPr>
          <w:sz w:val="22"/>
          <w:szCs w:val="22"/>
        </w:rPr>
        <w:t xml:space="preserve">vekovými skupinami </w:t>
      </w:r>
      <w:r w:rsidR="006651E2" w:rsidRPr="00526A54">
        <w:rPr>
          <w:sz w:val="22"/>
          <w:szCs w:val="22"/>
        </w:rPr>
        <w:t xml:space="preserve">a dospelými </w:t>
      </w:r>
      <w:r w:rsidR="00FC60ED" w:rsidRPr="00526A54">
        <w:rPr>
          <w:sz w:val="22"/>
          <w:szCs w:val="22"/>
        </w:rPr>
        <w:t>sa nepozorovali rozdiely. Gado</w:t>
      </w:r>
      <w:r w:rsidR="007079B5" w:rsidRPr="00526A54">
        <w:rPr>
          <w:sz w:val="22"/>
          <w:szCs w:val="22"/>
        </w:rPr>
        <w:t xml:space="preserve">graf </w:t>
      </w:r>
      <w:r w:rsidR="00FC60ED" w:rsidRPr="00526A54">
        <w:rPr>
          <w:sz w:val="22"/>
          <w:szCs w:val="22"/>
        </w:rPr>
        <w:t>bol v</w:t>
      </w:r>
      <w:r w:rsidR="00AE3EFE" w:rsidRPr="00526A54">
        <w:rPr>
          <w:sz w:val="22"/>
          <w:szCs w:val="22"/>
        </w:rPr>
        <w:t xml:space="preserve"> týchto </w:t>
      </w:r>
      <w:r w:rsidR="00FC60ED" w:rsidRPr="00526A54">
        <w:rPr>
          <w:sz w:val="22"/>
          <w:szCs w:val="22"/>
        </w:rPr>
        <w:t>štúdi</w:t>
      </w:r>
      <w:r w:rsidR="00AE3EFE" w:rsidRPr="00526A54">
        <w:rPr>
          <w:sz w:val="22"/>
          <w:szCs w:val="22"/>
        </w:rPr>
        <w:t>ách</w:t>
      </w:r>
      <w:r w:rsidR="00FC60ED" w:rsidRPr="00526A54">
        <w:rPr>
          <w:sz w:val="22"/>
          <w:szCs w:val="22"/>
        </w:rPr>
        <w:t xml:space="preserve"> dobre tolerovaný s rovnakým bezpečnostným profilom gadobutrolu ako u dospelých.</w:t>
      </w:r>
    </w:p>
    <w:p w14:paraId="4826DA37" w14:textId="158E5E0E" w:rsidR="002240B3" w:rsidRPr="00526A54" w:rsidRDefault="002240B3" w:rsidP="00526A54">
      <w:pPr>
        <w:rPr>
          <w:sz w:val="22"/>
          <w:szCs w:val="22"/>
        </w:rPr>
      </w:pPr>
      <w:bookmarkStart w:id="13" w:name="_Hlk47459214"/>
    </w:p>
    <w:p w14:paraId="7BEE9CF4" w14:textId="77777777" w:rsidR="002240B3" w:rsidRPr="00526A54" w:rsidRDefault="002240B3" w:rsidP="00526A54">
      <w:pPr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Klinická bezpečnosť</w:t>
      </w:r>
    </w:p>
    <w:p w14:paraId="0C0832BB" w14:textId="287358FC" w:rsidR="002240B3" w:rsidRPr="00526A54" w:rsidRDefault="002240B3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V rozsiahl</w:t>
      </w:r>
      <w:r w:rsidR="006515A0" w:rsidRPr="00526A54">
        <w:rPr>
          <w:sz w:val="22"/>
          <w:szCs w:val="22"/>
        </w:rPr>
        <w:t>om</w:t>
      </w:r>
      <w:r w:rsidRPr="00526A54">
        <w:rPr>
          <w:sz w:val="22"/>
          <w:szCs w:val="22"/>
        </w:rPr>
        <w:t xml:space="preserve"> medzinárodn</w:t>
      </w:r>
      <w:r w:rsidR="006515A0" w:rsidRPr="00526A54">
        <w:rPr>
          <w:sz w:val="22"/>
          <w:szCs w:val="22"/>
        </w:rPr>
        <w:t>om</w:t>
      </w:r>
      <w:r w:rsidRPr="00526A54">
        <w:rPr>
          <w:sz w:val="22"/>
          <w:szCs w:val="22"/>
        </w:rPr>
        <w:t xml:space="preserve"> prospektívn</w:t>
      </w:r>
      <w:r w:rsidR="006515A0" w:rsidRPr="00526A54">
        <w:rPr>
          <w:sz w:val="22"/>
          <w:szCs w:val="22"/>
        </w:rPr>
        <w:t>om</w:t>
      </w:r>
      <w:r w:rsidRPr="00526A54">
        <w:rPr>
          <w:sz w:val="22"/>
          <w:szCs w:val="22"/>
        </w:rPr>
        <w:t xml:space="preserve"> neintervenčn</w:t>
      </w:r>
      <w:r w:rsidR="006515A0" w:rsidRPr="00526A54">
        <w:rPr>
          <w:sz w:val="22"/>
          <w:szCs w:val="22"/>
        </w:rPr>
        <w:t>om</w:t>
      </w:r>
      <w:r w:rsidRPr="00526A54">
        <w:rPr>
          <w:sz w:val="22"/>
          <w:szCs w:val="22"/>
        </w:rPr>
        <w:t xml:space="preserve"> </w:t>
      </w:r>
      <w:r w:rsidR="006515A0" w:rsidRPr="00526A54">
        <w:rPr>
          <w:sz w:val="22"/>
          <w:szCs w:val="22"/>
        </w:rPr>
        <w:t>skúšaní</w:t>
      </w:r>
      <w:r w:rsidRPr="00526A54">
        <w:rPr>
          <w:sz w:val="22"/>
          <w:szCs w:val="22"/>
        </w:rPr>
        <w:t xml:space="preserve"> (GARDIAN) sa hodnotili druh a frekvencia nežiaducich reakcií po podaní Gadovistu v rôznych indikáciách. Populácia pre hodnotenie bezpečnosti zahŕňala 23 708 pacientov všetkých vekových skupín vrátane detí (n = 1 142; 4,8 %) a starších osôb (n = 4 330; 18,3 % vo veku od 65 do &lt;80 rokov a n = 526; 2,2 % vo veku ≥ 80 rokov). Medián veku bol 51,9 rokov.</w:t>
      </w:r>
    </w:p>
    <w:p w14:paraId="318EED9A" w14:textId="77777777" w:rsidR="002240B3" w:rsidRPr="00526A54" w:rsidRDefault="002240B3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 xml:space="preserve">202 pacientov (0,9 %) hlásilo celkom 251 nežiaducich udalostí (AE, </w:t>
      </w:r>
      <w:r w:rsidRPr="00526A54">
        <w:rPr>
          <w:i/>
          <w:sz w:val="22"/>
          <w:szCs w:val="22"/>
        </w:rPr>
        <w:t>adverse event</w:t>
      </w:r>
      <w:r w:rsidRPr="00526A54">
        <w:rPr>
          <w:sz w:val="22"/>
          <w:szCs w:val="22"/>
        </w:rPr>
        <w:t xml:space="preserve">) a 170 pacientov (0,7 %) hlásilo 215 udalostí klasifikovaných ako nežiaduce reakcie (ADR, </w:t>
      </w:r>
      <w:r w:rsidRPr="00526A54">
        <w:rPr>
          <w:i/>
          <w:sz w:val="22"/>
          <w:szCs w:val="22"/>
        </w:rPr>
        <w:t>adverse drug reaction</w:t>
      </w:r>
      <w:r w:rsidRPr="00526A54">
        <w:rPr>
          <w:sz w:val="22"/>
          <w:szCs w:val="22"/>
        </w:rPr>
        <w:t>), z ktorých väčšina (97,7 %) mala miernu až stredne silnú intenzitu.</w:t>
      </w:r>
    </w:p>
    <w:p w14:paraId="533DF33A" w14:textId="77777777" w:rsidR="002240B3" w:rsidRPr="00526A54" w:rsidRDefault="002240B3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Najčastejšie dokumentovanými ADR boli nauzea (0,3 %), zvracanie (0,1 %) a závraty (0,1 %). Miera ADR bola 0,9 % u žien a 0,6 % u mužov. Neboli zistené žiadne rozdiely v miere ADR vo vzťahu k dávke gadobutrolu. Štyria zo 170 pacientov s ADR (0,02 %) mali závažnú nežiaducu udalosť, pričom jedna udalosť (anafylaktický šok) skončila fatálne.</w:t>
      </w:r>
    </w:p>
    <w:p w14:paraId="0AA8E073" w14:textId="77777777" w:rsidR="002240B3" w:rsidRPr="00526A54" w:rsidRDefault="002240B3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V pediatrickej populácii boli AE hlásené u 8 z 1 142 (0,7 %) detí. U šiestich detí boli tieto AE klasifikované ako nežiaduce reakcie (0,5 %).</w:t>
      </w:r>
    </w:p>
    <w:p w14:paraId="0BB7503B" w14:textId="77777777" w:rsidR="002240B3" w:rsidRPr="00526A54" w:rsidRDefault="002240B3" w:rsidP="00526A54">
      <w:pPr>
        <w:rPr>
          <w:sz w:val="22"/>
          <w:szCs w:val="22"/>
        </w:rPr>
      </w:pPr>
    </w:p>
    <w:p w14:paraId="128DA09B" w14:textId="77777777" w:rsidR="002240B3" w:rsidRPr="00526A54" w:rsidRDefault="002240B3" w:rsidP="00526A54">
      <w:pPr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Porucha funkcie obličiek</w:t>
      </w:r>
    </w:p>
    <w:p w14:paraId="5E57247C" w14:textId="77777777" w:rsidR="002240B3" w:rsidRPr="00526A54" w:rsidRDefault="002240B3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V prospektívnej farmakoepidemiologickej štúdii (GRIP) na vyhodnotenie rozsahu potenciálneho rizika rozvoja NSF u pacientov s poruchou funkcie obličiek dostalo Gadovist v štandardnej dávke schválenej pre CE-MRI 908 pacientov s rôznym stupňom poruchy funkcie obličiek.</w:t>
      </w:r>
    </w:p>
    <w:p w14:paraId="501FA281" w14:textId="45C3F549" w:rsidR="002240B3" w:rsidRPr="00526A54" w:rsidRDefault="002240B3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Všetci pacienti, vrátane 234 s</w:t>
      </w:r>
      <w:r w:rsidR="006515A0" w:rsidRPr="00526A54">
        <w:rPr>
          <w:sz w:val="22"/>
          <w:szCs w:val="22"/>
        </w:rPr>
        <w:t>o závažnou</w:t>
      </w:r>
      <w:r w:rsidRPr="00526A54">
        <w:rPr>
          <w:sz w:val="22"/>
          <w:szCs w:val="22"/>
        </w:rPr>
        <w:t xml:space="preserve"> poruchou funkcie obličiek (eGFR &lt;30 ml/min/1,73 m</w:t>
      </w:r>
      <w:r w:rsidRPr="00526A54">
        <w:rPr>
          <w:sz w:val="22"/>
          <w:szCs w:val="22"/>
          <w:vertAlign w:val="superscript"/>
        </w:rPr>
        <w:t>2</w:t>
      </w:r>
      <w:r w:rsidRPr="00526A54">
        <w:rPr>
          <w:sz w:val="22"/>
          <w:szCs w:val="22"/>
        </w:rPr>
        <w:t>), ktorí nedostávali iné GBCA, boli v priebehu dvoch rokov sledovaní kvôli prejavom a príznakom NSF. U žiadneho pacienta zaradeného do štúdie sa NSF nerozvinula.</w:t>
      </w:r>
    </w:p>
    <w:bookmarkEnd w:id="13"/>
    <w:p w14:paraId="105F7A7F" w14:textId="705F72E2" w:rsidR="00434612" w:rsidRPr="00526A54" w:rsidRDefault="00434612" w:rsidP="00526A54">
      <w:pPr>
        <w:rPr>
          <w:b/>
          <w:bCs/>
          <w:sz w:val="22"/>
          <w:szCs w:val="22"/>
        </w:rPr>
      </w:pPr>
    </w:p>
    <w:p w14:paraId="39EB1123" w14:textId="32548AD9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5.2</w:t>
      </w:r>
      <w:r w:rsidR="00AF66E5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Farmakokinetické vlastnosti</w:t>
      </w:r>
    </w:p>
    <w:p w14:paraId="09FD2BA2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07F9701" w14:textId="77777777" w:rsidR="00EF3754" w:rsidRPr="00526A54" w:rsidRDefault="00EF3754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Distribúcia</w:t>
      </w:r>
    </w:p>
    <w:p w14:paraId="49D0E132" w14:textId="6F8C78B3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Po intravenóznom podaní sa gadobutrol rýchlo distribuuje v mimobunkovom priestore. Väzba na</w:t>
      </w:r>
      <w:r w:rsidR="00C1729C" w:rsidRPr="00526A54">
        <w:rPr>
          <w:iCs/>
          <w:sz w:val="22"/>
          <w:szCs w:val="22"/>
        </w:rPr>
        <w:t> </w:t>
      </w:r>
      <w:r w:rsidR="00F55C22" w:rsidRPr="00526A54">
        <w:rPr>
          <w:iCs/>
          <w:sz w:val="22"/>
          <w:szCs w:val="22"/>
        </w:rPr>
        <w:t xml:space="preserve">plazmatické </w:t>
      </w:r>
      <w:r w:rsidRPr="00526A54">
        <w:rPr>
          <w:sz w:val="22"/>
          <w:szCs w:val="22"/>
        </w:rPr>
        <w:t>bielkoviny je zanedbateľná.</w:t>
      </w:r>
      <w:r w:rsidR="00C1729C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Farmakokinetika gadobutrolu u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ľudí je závislá od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dávky. </w:t>
      </w:r>
      <w:r w:rsidR="0086280D" w:rsidRPr="00526A54">
        <w:rPr>
          <w:sz w:val="22"/>
          <w:szCs w:val="22"/>
        </w:rPr>
        <w:t>Po</w:t>
      </w:r>
      <w:r w:rsidR="00C1729C" w:rsidRPr="00526A54">
        <w:rPr>
          <w:iCs/>
          <w:sz w:val="22"/>
          <w:szCs w:val="22"/>
        </w:rPr>
        <w:t> </w:t>
      </w:r>
      <w:r w:rsidR="0086280D" w:rsidRPr="00526A54">
        <w:rPr>
          <w:sz w:val="22"/>
          <w:szCs w:val="22"/>
        </w:rPr>
        <w:t xml:space="preserve">dávkach </w:t>
      </w:r>
      <w:r w:rsidR="00EF3754" w:rsidRPr="00526A54">
        <w:rPr>
          <w:sz w:val="22"/>
          <w:szCs w:val="22"/>
        </w:rPr>
        <w:t>do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0,4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mmol gadobutrolu/kg telesnej</w:t>
      </w:r>
      <w:r w:rsidR="0086280D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hmotnosti hladina v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 xml:space="preserve">plazme </w:t>
      </w:r>
      <w:r w:rsidR="0061101B" w:rsidRPr="00526A54">
        <w:rPr>
          <w:sz w:val="22"/>
          <w:szCs w:val="22"/>
        </w:rPr>
        <w:t>klesá v dvoch fázach.</w:t>
      </w:r>
      <w:r w:rsidRPr="00526A54">
        <w:rPr>
          <w:sz w:val="22"/>
          <w:szCs w:val="22"/>
        </w:rPr>
        <w:t xml:space="preserve"> Pri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dávke 0,1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mmol</w:t>
      </w:r>
      <w:r w:rsidR="0086280D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gadobutrolu/kg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telesnej hmotnosti bola 2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minúty po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injekčnej aplikácii zmeraná priemerná hodnota</w:t>
      </w:r>
      <w:r w:rsidR="0086280D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0,59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mmol gadobutrolu/l plazmy a 60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minút po injekčnej aplikácii hodnota 0,3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mmol gadobutrolu/l</w:t>
      </w:r>
      <w:r w:rsidR="0086280D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 xml:space="preserve">plazmy. </w:t>
      </w:r>
    </w:p>
    <w:p w14:paraId="6D5C2137" w14:textId="77777777" w:rsidR="00C1729C" w:rsidRPr="00526A54" w:rsidRDefault="00C1729C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27323F6" w14:textId="77777777" w:rsidR="0061101B" w:rsidRPr="00526A54" w:rsidRDefault="0061101B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Biotransformácia</w:t>
      </w:r>
    </w:p>
    <w:p w14:paraId="163733EA" w14:textId="77777777" w:rsidR="0061101B" w:rsidRPr="00526A54" w:rsidRDefault="0061101B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V plazme ani moči sa nenašli žiadne metabolity.</w:t>
      </w:r>
    </w:p>
    <w:p w14:paraId="5ECF5D8B" w14:textId="77777777" w:rsidR="00155604" w:rsidRPr="00526A54" w:rsidRDefault="00155604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4447D8E" w14:textId="77777777" w:rsidR="00155604" w:rsidRPr="00526A54" w:rsidRDefault="00155604" w:rsidP="00526A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26A54">
        <w:rPr>
          <w:sz w:val="22"/>
          <w:szCs w:val="22"/>
          <w:u w:val="single"/>
        </w:rPr>
        <w:t>Eliminácia</w:t>
      </w:r>
    </w:p>
    <w:p w14:paraId="6291852E" w14:textId="05CF2CB7" w:rsidR="00155604" w:rsidRPr="00526A54" w:rsidRDefault="00155604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Do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dvoch hodín sa vylúčilo močom viac než 50</w:t>
      </w:r>
      <w:r w:rsidR="008360A7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% a do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12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hodín viac než 90</w:t>
      </w:r>
      <w:r w:rsidR="008360A7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 xml:space="preserve">% podanej dávky s priemerným </w:t>
      </w:r>
      <w:r w:rsidR="00734FB0" w:rsidRPr="00526A54">
        <w:rPr>
          <w:sz w:val="22"/>
          <w:szCs w:val="22"/>
        </w:rPr>
        <w:t>terminálnym</w:t>
      </w:r>
      <w:r w:rsidRPr="00526A54">
        <w:rPr>
          <w:sz w:val="22"/>
          <w:szCs w:val="22"/>
        </w:rPr>
        <w:t xml:space="preserve"> polčasom 1,8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hodiny (1,3</w:t>
      </w:r>
      <w:r w:rsidR="008360A7" w:rsidRPr="00526A54">
        <w:rPr>
          <w:sz w:val="22"/>
          <w:szCs w:val="22"/>
        </w:rPr>
        <w:noBreakHyphen/>
      </w:r>
      <w:r w:rsidRPr="00526A54">
        <w:rPr>
          <w:sz w:val="22"/>
          <w:szCs w:val="22"/>
        </w:rPr>
        <w:t xml:space="preserve">2,1 hodiny), čo </w:t>
      </w:r>
      <w:r w:rsidR="00887396" w:rsidRPr="00526A54">
        <w:rPr>
          <w:sz w:val="22"/>
          <w:szCs w:val="22"/>
        </w:rPr>
        <w:t>korešponduje s rýchlosťou vylučovania v obličkách</w:t>
      </w:r>
      <w:r w:rsidRPr="00526A54">
        <w:rPr>
          <w:sz w:val="22"/>
          <w:szCs w:val="22"/>
        </w:rPr>
        <w:t>. Pri dávke 0,1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mmol gadobutrolu/kg telesnej hmotnosti sa do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72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hodín po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podaní vylúčilo priemerne 100,3±2,6</w:t>
      </w:r>
      <w:r w:rsidR="008360A7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% dávky. U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zdravých osôb je obličkový klírens gadobutrolu 1,1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až 1,7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ml</w:t>
      </w:r>
      <w:r w:rsidR="006B65A1" w:rsidRPr="00526A54">
        <w:rPr>
          <w:sz w:val="22"/>
          <w:szCs w:val="22"/>
        </w:rPr>
        <w:t>.</w:t>
      </w:r>
      <w:r w:rsidRPr="00526A54">
        <w:rPr>
          <w:sz w:val="22"/>
          <w:szCs w:val="22"/>
        </w:rPr>
        <w:t>min</w:t>
      </w:r>
      <w:r w:rsidRPr="00526A54">
        <w:rPr>
          <w:sz w:val="22"/>
          <w:szCs w:val="22"/>
          <w:vertAlign w:val="superscript"/>
        </w:rPr>
        <w:t>-1</w:t>
      </w:r>
      <w:r w:rsidR="006B65A1" w:rsidRPr="00526A54">
        <w:rPr>
          <w:sz w:val="22"/>
          <w:szCs w:val="22"/>
        </w:rPr>
        <w:t>.</w:t>
      </w:r>
      <w:r w:rsidRPr="00526A54">
        <w:rPr>
          <w:sz w:val="22"/>
          <w:szCs w:val="22"/>
        </w:rPr>
        <w:t>kg</w:t>
      </w:r>
      <w:r w:rsidRPr="00526A54">
        <w:rPr>
          <w:sz w:val="22"/>
          <w:szCs w:val="22"/>
          <w:vertAlign w:val="superscript"/>
        </w:rPr>
        <w:t>-1</w:t>
      </w:r>
      <w:r w:rsidRPr="00526A54">
        <w:rPr>
          <w:sz w:val="22"/>
          <w:szCs w:val="22"/>
        </w:rPr>
        <w:t>, takže je porovnateľný s obličkovým klírensom inulínu, čo naznačuje fakt, že gadobutrol sa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vylučuje hlavne prostredníctvom glomerulárnej filtrácie. Menej ako 0,1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%</w:t>
      </w:r>
      <w:r w:rsidR="008360A7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dávky sa</w:t>
      </w:r>
      <w:r w:rsidR="00C1729C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vylučuje stolicou.</w:t>
      </w:r>
    </w:p>
    <w:p w14:paraId="03AF1254" w14:textId="77777777" w:rsidR="0061101B" w:rsidRPr="00526A54" w:rsidRDefault="0061101B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6E5EC11B" w14:textId="1303213A" w:rsidR="008A622B" w:rsidRPr="00526A54" w:rsidRDefault="008A622B" w:rsidP="00526A54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526A54">
        <w:rPr>
          <w:b/>
          <w:sz w:val="22"/>
          <w:szCs w:val="22"/>
        </w:rPr>
        <w:t xml:space="preserve">Charakteristiky </w:t>
      </w:r>
      <w:r w:rsidR="007079B5" w:rsidRPr="00526A54">
        <w:rPr>
          <w:b/>
          <w:sz w:val="22"/>
          <w:szCs w:val="22"/>
        </w:rPr>
        <w:t>u</w:t>
      </w:r>
      <w:r w:rsidRPr="00526A54">
        <w:rPr>
          <w:b/>
          <w:sz w:val="22"/>
          <w:szCs w:val="22"/>
        </w:rPr>
        <w:t> osobitných skup</w:t>
      </w:r>
      <w:r w:rsidR="007079B5" w:rsidRPr="00526A54">
        <w:rPr>
          <w:b/>
          <w:sz w:val="22"/>
          <w:szCs w:val="22"/>
        </w:rPr>
        <w:t>í</w:t>
      </w:r>
      <w:r w:rsidRPr="00526A54">
        <w:rPr>
          <w:b/>
          <w:sz w:val="22"/>
          <w:szCs w:val="22"/>
        </w:rPr>
        <w:t xml:space="preserve">n pacientov </w:t>
      </w:r>
    </w:p>
    <w:p w14:paraId="44232989" w14:textId="77777777" w:rsidR="008A622B" w:rsidRPr="00526A54" w:rsidRDefault="008A622B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3FD4902" w14:textId="77777777" w:rsidR="008A622B" w:rsidRPr="00526A54" w:rsidRDefault="001C34CC" w:rsidP="00526A54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526A54">
        <w:rPr>
          <w:i/>
          <w:sz w:val="22"/>
          <w:szCs w:val="22"/>
          <w:u w:val="single"/>
        </w:rPr>
        <w:t>Pediatrická populácia</w:t>
      </w:r>
    </w:p>
    <w:p w14:paraId="76E69C34" w14:textId="77777777" w:rsidR="00AE3EFE" w:rsidRPr="00526A54" w:rsidRDefault="00AE3EFE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Farmakokinetika gadobutrolu je u pediatrickej populácie do 18 rokov a u dospelých podobná (pozri časť 4.2).</w:t>
      </w:r>
    </w:p>
    <w:p w14:paraId="080365DD" w14:textId="77777777" w:rsidR="00AE3EFE" w:rsidRPr="00526A54" w:rsidRDefault="00B84151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Vykonal</w:t>
      </w:r>
      <w:r w:rsidR="00AE3EFE" w:rsidRPr="00526A54">
        <w:rPr>
          <w:sz w:val="22"/>
          <w:szCs w:val="22"/>
        </w:rPr>
        <w:t>i</w:t>
      </w:r>
      <w:r w:rsidRPr="00526A54">
        <w:rPr>
          <w:sz w:val="22"/>
          <w:szCs w:val="22"/>
        </w:rPr>
        <w:t xml:space="preserve"> sa </w:t>
      </w:r>
      <w:r w:rsidR="00AE3EFE" w:rsidRPr="00526A54">
        <w:rPr>
          <w:sz w:val="22"/>
          <w:szCs w:val="22"/>
        </w:rPr>
        <w:t xml:space="preserve">dve </w:t>
      </w:r>
      <w:r w:rsidRPr="00526A54">
        <w:rPr>
          <w:sz w:val="22"/>
          <w:szCs w:val="22"/>
        </w:rPr>
        <w:t>štúdi</w:t>
      </w:r>
      <w:r w:rsidR="00AE3EFE" w:rsidRPr="00526A54">
        <w:rPr>
          <w:sz w:val="22"/>
          <w:szCs w:val="22"/>
        </w:rPr>
        <w:t>e</w:t>
      </w:r>
      <w:r w:rsidRPr="00526A54">
        <w:rPr>
          <w:sz w:val="22"/>
          <w:szCs w:val="22"/>
        </w:rPr>
        <w:t xml:space="preserve"> fázy I/III s jednorazovou dávkou </w:t>
      </w:r>
      <w:r w:rsidR="00AE3EFE" w:rsidRPr="00526A54">
        <w:rPr>
          <w:sz w:val="22"/>
          <w:szCs w:val="22"/>
        </w:rPr>
        <w:t>u</w:t>
      </w:r>
      <w:r w:rsidR="004D612B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pediatrický</w:t>
      </w:r>
      <w:r w:rsidR="00AE3EFE" w:rsidRPr="00526A54">
        <w:rPr>
          <w:sz w:val="22"/>
          <w:szCs w:val="22"/>
        </w:rPr>
        <w:t>ch</w:t>
      </w:r>
      <w:r w:rsidRPr="00526A54">
        <w:rPr>
          <w:sz w:val="22"/>
          <w:szCs w:val="22"/>
        </w:rPr>
        <w:t xml:space="preserve"> pacient</w:t>
      </w:r>
      <w:r w:rsidR="00AE3EFE" w:rsidRPr="00526A54">
        <w:rPr>
          <w:sz w:val="22"/>
          <w:szCs w:val="22"/>
        </w:rPr>
        <w:t xml:space="preserve">ov </w:t>
      </w:r>
      <w:r w:rsidRPr="00526A54">
        <w:rPr>
          <w:sz w:val="22"/>
          <w:szCs w:val="22"/>
        </w:rPr>
        <w:t xml:space="preserve">vo veku </w:t>
      </w:r>
      <w:r w:rsidR="00AE3EFE" w:rsidRPr="00526A54">
        <w:rPr>
          <w:iCs/>
          <w:sz w:val="22"/>
          <w:szCs w:val="22"/>
        </w:rPr>
        <w:t xml:space="preserve">do 18 </w:t>
      </w:r>
      <w:r w:rsidRPr="00526A54">
        <w:rPr>
          <w:sz w:val="22"/>
          <w:szCs w:val="22"/>
        </w:rPr>
        <w:t xml:space="preserve">rokov. </w:t>
      </w:r>
      <w:r w:rsidR="00AE3EFE" w:rsidRPr="00526A54">
        <w:rPr>
          <w:sz w:val="22"/>
          <w:szCs w:val="22"/>
        </w:rPr>
        <w:t xml:space="preserve">Farmakokinetika sa vyhodnotila u 130 pediatrických pacientov vo veku 2-&lt;18 rokov a u 43 pediatrických pacientov do 2 rokov (vrátane donosených novorodencov). </w:t>
      </w:r>
    </w:p>
    <w:p w14:paraId="05678337" w14:textId="7AFF5845" w:rsidR="00FC60ED" w:rsidRPr="00526A54" w:rsidRDefault="00FC60ED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 xml:space="preserve">Ukázalo sa, že farmakokinetický profil (PK) gadobutrolu u detí </w:t>
      </w:r>
      <w:r w:rsidR="00AE3EFE" w:rsidRPr="00526A54">
        <w:rPr>
          <w:sz w:val="22"/>
          <w:szCs w:val="22"/>
        </w:rPr>
        <w:t xml:space="preserve">každého veku </w:t>
      </w:r>
      <w:r w:rsidRPr="00526A54">
        <w:rPr>
          <w:sz w:val="22"/>
          <w:szCs w:val="22"/>
        </w:rPr>
        <w:t>je podobný ako u</w:t>
      </w:r>
      <w:r w:rsidR="00AE3EFE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dospelých</w:t>
      </w:r>
      <w:r w:rsidR="00AE3EFE" w:rsidRPr="00526A54">
        <w:rPr>
          <w:sz w:val="22"/>
          <w:szCs w:val="22"/>
        </w:rPr>
        <w:t xml:space="preserve">, čo má za následok </w:t>
      </w:r>
      <w:r w:rsidR="001215FC" w:rsidRPr="00526A54">
        <w:rPr>
          <w:sz w:val="22"/>
          <w:szCs w:val="22"/>
        </w:rPr>
        <w:t xml:space="preserve">podobné </w:t>
      </w:r>
      <w:r w:rsidR="00AE3EFE" w:rsidRPr="00526A54">
        <w:rPr>
          <w:sz w:val="22"/>
          <w:szCs w:val="22"/>
        </w:rPr>
        <w:t xml:space="preserve">hodnoty pre plochu pod krivkou (AUC), plazmatický klírens </w:t>
      </w:r>
      <w:r w:rsidR="001A62B6" w:rsidRPr="00526A54">
        <w:rPr>
          <w:sz w:val="22"/>
          <w:szCs w:val="22"/>
        </w:rPr>
        <w:t>normalizovaný</w:t>
      </w:r>
      <w:r w:rsidR="00AE3EFE" w:rsidRPr="00526A54">
        <w:rPr>
          <w:sz w:val="22"/>
          <w:szCs w:val="22"/>
        </w:rPr>
        <w:t xml:space="preserve"> na telesnú hmotnosť (CL</w:t>
      </w:r>
      <w:r w:rsidR="00AE3EFE" w:rsidRPr="00526A54">
        <w:rPr>
          <w:sz w:val="22"/>
          <w:szCs w:val="22"/>
          <w:vertAlign w:val="subscript"/>
        </w:rPr>
        <w:t>tot</w:t>
      </w:r>
      <w:r w:rsidR="00AE3EFE" w:rsidRPr="00526A54">
        <w:rPr>
          <w:sz w:val="22"/>
          <w:szCs w:val="22"/>
        </w:rPr>
        <w:t xml:space="preserve">) a distribučný objem (Vss) ako aj </w:t>
      </w:r>
      <w:r w:rsidR="00F55C22" w:rsidRPr="00526A54">
        <w:rPr>
          <w:sz w:val="22"/>
          <w:szCs w:val="22"/>
        </w:rPr>
        <w:t xml:space="preserve">eliminačný </w:t>
      </w:r>
      <w:r w:rsidR="00AE3EFE" w:rsidRPr="00526A54">
        <w:rPr>
          <w:sz w:val="22"/>
          <w:szCs w:val="22"/>
        </w:rPr>
        <w:t>polčas a rýchlosť vylučovania</w:t>
      </w:r>
      <w:r w:rsidRPr="00526A54">
        <w:rPr>
          <w:sz w:val="22"/>
          <w:szCs w:val="22"/>
        </w:rPr>
        <w:t xml:space="preserve">. </w:t>
      </w:r>
    </w:p>
    <w:p w14:paraId="6F2183BC" w14:textId="77777777" w:rsidR="001A62B6" w:rsidRPr="00526A54" w:rsidRDefault="001A62B6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Približne 99% (medián) dávky sa v</w:t>
      </w:r>
      <w:r w:rsidR="00A71127" w:rsidRPr="00526A54">
        <w:rPr>
          <w:sz w:val="22"/>
          <w:szCs w:val="22"/>
        </w:rPr>
        <w:t>y</w:t>
      </w:r>
      <w:r w:rsidRPr="00526A54">
        <w:rPr>
          <w:sz w:val="22"/>
          <w:szCs w:val="22"/>
        </w:rPr>
        <w:t>lúčilo močom do 6 hodín (v skupine pacientov vo veku 2-18 rokov).</w:t>
      </w:r>
    </w:p>
    <w:p w14:paraId="73C7AA52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4DDE02B3" w14:textId="77777777" w:rsidR="008A622B" w:rsidRPr="00526A54" w:rsidRDefault="00446725" w:rsidP="00526A54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526A54">
        <w:rPr>
          <w:i/>
          <w:sz w:val="22"/>
          <w:szCs w:val="22"/>
          <w:u w:val="single"/>
        </w:rPr>
        <w:t>Starší pacienti</w:t>
      </w:r>
      <w:r w:rsidR="00F551E1" w:rsidRPr="00526A54">
        <w:rPr>
          <w:i/>
          <w:sz w:val="22"/>
          <w:szCs w:val="22"/>
          <w:u w:val="single"/>
        </w:rPr>
        <w:t xml:space="preserve"> </w:t>
      </w:r>
      <w:r w:rsidR="008A622B" w:rsidRPr="00526A54">
        <w:rPr>
          <w:i/>
          <w:sz w:val="22"/>
          <w:szCs w:val="22"/>
          <w:u w:val="single"/>
        </w:rPr>
        <w:t>(</w:t>
      </w:r>
      <w:r w:rsidR="00F551E1" w:rsidRPr="00526A54">
        <w:rPr>
          <w:i/>
          <w:sz w:val="22"/>
          <w:szCs w:val="22"/>
          <w:u w:val="single"/>
        </w:rPr>
        <w:t xml:space="preserve">vo veku </w:t>
      </w:r>
      <w:r w:rsidR="008A622B" w:rsidRPr="00526A54">
        <w:rPr>
          <w:i/>
          <w:sz w:val="22"/>
          <w:szCs w:val="22"/>
          <w:u w:val="single"/>
        </w:rPr>
        <w:t>65</w:t>
      </w:r>
      <w:r w:rsidR="008360A7" w:rsidRPr="00526A54">
        <w:rPr>
          <w:i/>
          <w:sz w:val="22"/>
          <w:szCs w:val="22"/>
          <w:u w:val="single"/>
        </w:rPr>
        <w:t> </w:t>
      </w:r>
      <w:r w:rsidR="00F551E1" w:rsidRPr="00526A54">
        <w:rPr>
          <w:i/>
          <w:sz w:val="22"/>
          <w:szCs w:val="22"/>
          <w:u w:val="single"/>
        </w:rPr>
        <w:t xml:space="preserve">rokov </w:t>
      </w:r>
      <w:r w:rsidR="008A622B" w:rsidRPr="00526A54">
        <w:rPr>
          <w:i/>
          <w:sz w:val="22"/>
          <w:szCs w:val="22"/>
          <w:u w:val="single"/>
        </w:rPr>
        <w:t>a</w:t>
      </w:r>
      <w:r w:rsidR="00F551E1" w:rsidRPr="00526A54">
        <w:rPr>
          <w:i/>
          <w:sz w:val="22"/>
          <w:szCs w:val="22"/>
          <w:u w:val="single"/>
        </w:rPr>
        <w:t xml:space="preserve"> starší</w:t>
      </w:r>
      <w:r w:rsidR="008A622B" w:rsidRPr="00526A54">
        <w:rPr>
          <w:i/>
          <w:sz w:val="22"/>
          <w:szCs w:val="22"/>
          <w:u w:val="single"/>
        </w:rPr>
        <w:t>)</w:t>
      </w:r>
    </w:p>
    <w:p w14:paraId="591A710E" w14:textId="77777777" w:rsidR="008A622B" w:rsidRPr="00526A54" w:rsidRDefault="00F551E1" w:rsidP="00526A54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526A54">
        <w:rPr>
          <w:rFonts w:ascii="Times New Roman" w:hAnsi="Times New Roman"/>
          <w:szCs w:val="22"/>
          <w:lang w:val="sk-SK"/>
        </w:rPr>
        <w:t xml:space="preserve">Z dôvodu vekom podmienených fyziologických zmien funkcie obličiek sa u starších zdravých dobrovoľníkov </w:t>
      </w:r>
      <w:r w:rsidR="008A622B" w:rsidRPr="00526A54">
        <w:rPr>
          <w:rFonts w:ascii="Times New Roman" w:hAnsi="Times New Roman"/>
          <w:szCs w:val="22"/>
          <w:lang w:val="sk-SK"/>
        </w:rPr>
        <w:t>(</w:t>
      </w:r>
      <w:r w:rsidRPr="00526A54">
        <w:rPr>
          <w:rFonts w:ascii="Times New Roman" w:hAnsi="Times New Roman"/>
          <w:szCs w:val="22"/>
          <w:lang w:val="sk-SK"/>
        </w:rPr>
        <w:t xml:space="preserve">vo veku </w:t>
      </w:r>
      <w:r w:rsidR="008A622B" w:rsidRPr="00526A54">
        <w:rPr>
          <w:rFonts w:ascii="Times New Roman" w:hAnsi="Times New Roman"/>
          <w:szCs w:val="22"/>
          <w:lang w:val="sk-SK"/>
        </w:rPr>
        <w:t>65</w:t>
      </w:r>
      <w:r w:rsidR="008360A7" w:rsidRPr="00526A54">
        <w:rPr>
          <w:rFonts w:ascii="Times New Roman" w:hAnsi="Times New Roman"/>
          <w:szCs w:val="22"/>
          <w:lang w:val="sk-SK"/>
        </w:rPr>
        <w:t> </w:t>
      </w:r>
      <w:r w:rsidRPr="00526A54">
        <w:rPr>
          <w:rFonts w:ascii="Times New Roman" w:hAnsi="Times New Roman"/>
          <w:szCs w:val="22"/>
          <w:lang w:val="sk-SK"/>
        </w:rPr>
        <w:t>rokov a starších</w:t>
      </w:r>
      <w:r w:rsidR="008A622B" w:rsidRPr="00526A54">
        <w:rPr>
          <w:rFonts w:ascii="Times New Roman" w:hAnsi="Times New Roman"/>
          <w:szCs w:val="22"/>
          <w:lang w:val="sk-SK"/>
        </w:rPr>
        <w:t xml:space="preserve">) </w:t>
      </w:r>
      <w:r w:rsidRPr="00526A54">
        <w:rPr>
          <w:rFonts w:ascii="Times New Roman" w:hAnsi="Times New Roman"/>
          <w:szCs w:val="22"/>
          <w:lang w:val="sk-SK"/>
        </w:rPr>
        <w:t xml:space="preserve">zvýšila systémová expozícia o približne </w:t>
      </w:r>
      <w:r w:rsidR="008A622B" w:rsidRPr="00526A54">
        <w:rPr>
          <w:rFonts w:ascii="Times New Roman" w:hAnsi="Times New Roman"/>
          <w:szCs w:val="22"/>
          <w:lang w:val="sk-SK"/>
        </w:rPr>
        <w:t>33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% (</w:t>
      </w:r>
      <w:r w:rsidRPr="00526A54">
        <w:rPr>
          <w:rFonts w:ascii="Times New Roman" w:hAnsi="Times New Roman"/>
          <w:szCs w:val="22"/>
          <w:lang w:val="sk-SK"/>
        </w:rPr>
        <w:t>muži</w:t>
      </w:r>
      <w:r w:rsidR="008A622B" w:rsidRPr="00526A54">
        <w:rPr>
          <w:rFonts w:ascii="Times New Roman" w:hAnsi="Times New Roman"/>
          <w:szCs w:val="22"/>
          <w:lang w:val="sk-SK"/>
        </w:rPr>
        <w:t>) a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54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% (</w:t>
      </w:r>
      <w:r w:rsidRPr="00526A54">
        <w:rPr>
          <w:rFonts w:ascii="Times New Roman" w:hAnsi="Times New Roman"/>
          <w:szCs w:val="22"/>
          <w:lang w:val="sk-SK"/>
        </w:rPr>
        <w:t>ženy</w:t>
      </w:r>
      <w:r w:rsidR="008A622B" w:rsidRPr="00526A54">
        <w:rPr>
          <w:rFonts w:ascii="Times New Roman" w:hAnsi="Times New Roman"/>
          <w:szCs w:val="22"/>
          <w:lang w:val="sk-SK"/>
        </w:rPr>
        <w:t>) a</w:t>
      </w:r>
      <w:r w:rsidRPr="00526A54">
        <w:rPr>
          <w:rFonts w:ascii="Times New Roman" w:hAnsi="Times New Roman"/>
          <w:szCs w:val="22"/>
          <w:lang w:val="sk-SK"/>
        </w:rPr>
        <w:t xml:space="preserve"> terminálny polčas o približne </w:t>
      </w:r>
      <w:r w:rsidR="008A622B" w:rsidRPr="00526A54">
        <w:rPr>
          <w:rFonts w:ascii="Times New Roman" w:hAnsi="Times New Roman"/>
          <w:szCs w:val="22"/>
          <w:lang w:val="sk-SK"/>
        </w:rPr>
        <w:t>33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% (</w:t>
      </w:r>
      <w:r w:rsidRPr="00526A54">
        <w:rPr>
          <w:rFonts w:ascii="Times New Roman" w:hAnsi="Times New Roman"/>
          <w:szCs w:val="22"/>
          <w:lang w:val="sk-SK"/>
        </w:rPr>
        <w:t>muži</w:t>
      </w:r>
      <w:r w:rsidR="008A622B" w:rsidRPr="00526A54">
        <w:rPr>
          <w:rFonts w:ascii="Times New Roman" w:hAnsi="Times New Roman"/>
          <w:szCs w:val="22"/>
          <w:lang w:val="sk-SK"/>
        </w:rPr>
        <w:t>) a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58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% (</w:t>
      </w:r>
      <w:r w:rsidRPr="00526A54">
        <w:rPr>
          <w:rFonts w:ascii="Times New Roman" w:hAnsi="Times New Roman"/>
          <w:szCs w:val="22"/>
          <w:lang w:val="sk-SK"/>
        </w:rPr>
        <w:t>ženy</w:t>
      </w:r>
      <w:r w:rsidR="008A622B" w:rsidRPr="00526A54">
        <w:rPr>
          <w:rFonts w:ascii="Times New Roman" w:hAnsi="Times New Roman"/>
          <w:szCs w:val="22"/>
          <w:lang w:val="sk-SK"/>
        </w:rPr>
        <w:t xml:space="preserve">). </w:t>
      </w:r>
      <w:r w:rsidRPr="00526A54">
        <w:rPr>
          <w:rFonts w:ascii="Times New Roman" w:hAnsi="Times New Roman"/>
          <w:szCs w:val="22"/>
          <w:lang w:val="sk-SK"/>
        </w:rPr>
        <w:t xml:space="preserve">Plazmatický klírens sa znížil o približne </w:t>
      </w:r>
      <w:r w:rsidR="008A622B" w:rsidRPr="00526A54">
        <w:rPr>
          <w:rFonts w:ascii="Times New Roman" w:hAnsi="Times New Roman"/>
          <w:szCs w:val="22"/>
          <w:lang w:val="sk-SK"/>
        </w:rPr>
        <w:t>25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% (</w:t>
      </w:r>
      <w:r w:rsidRPr="00526A54">
        <w:rPr>
          <w:rFonts w:ascii="Times New Roman" w:hAnsi="Times New Roman"/>
          <w:szCs w:val="22"/>
          <w:lang w:val="sk-SK"/>
        </w:rPr>
        <w:t>muži</w:t>
      </w:r>
      <w:r w:rsidR="008A622B" w:rsidRPr="00526A54">
        <w:rPr>
          <w:rFonts w:ascii="Times New Roman" w:hAnsi="Times New Roman"/>
          <w:szCs w:val="22"/>
          <w:lang w:val="sk-SK"/>
        </w:rPr>
        <w:t xml:space="preserve">) </w:t>
      </w:r>
      <w:r w:rsidR="00095076" w:rsidRPr="00526A54">
        <w:rPr>
          <w:rFonts w:ascii="Times New Roman" w:hAnsi="Times New Roman"/>
          <w:szCs w:val="22"/>
          <w:lang w:val="sk-SK"/>
        </w:rPr>
        <w:t xml:space="preserve">respektíve o </w:t>
      </w:r>
      <w:r w:rsidR="008A622B" w:rsidRPr="00526A54">
        <w:rPr>
          <w:rFonts w:ascii="Times New Roman" w:hAnsi="Times New Roman"/>
          <w:szCs w:val="22"/>
          <w:lang w:val="sk-SK"/>
        </w:rPr>
        <w:t>35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% (</w:t>
      </w:r>
      <w:r w:rsidRPr="00526A54">
        <w:rPr>
          <w:rFonts w:ascii="Times New Roman" w:hAnsi="Times New Roman"/>
          <w:szCs w:val="22"/>
          <w:lang w:val="sk-SK"/>
        </w:rPr>
        <w:t>ženy</w:t>
      </w:r>
      <w:r w:rsidR="008A622B" w:rsidRPr="00526A54">
        <w:rPr>
          <w:rFonts w:ascii="Times New Roman" w:hAnsi="Times New Roman"/>
          <w:szCs w:val="22"/>
          <w:lang w:val="sk-SK"/>
        </w:rPr>
        <w:t xml:space="preserve">). </w:t>
      </w:r>
      <w:r w:rsidRPr="00526A54">
        <w:rPr>
          <w:rFonts w:ascii="Times New Roman" w:hAnsi="Times New Roman"/>
          <w:szCs w:val="22"/>
          <w:lang w:val="sk-SK"/>
        </w:rPr>
        <w:t xml:space="preserve">Vylúčenie podanej dávky močom bolo </w:t>
      </w:r>
      <w:r w:rsidR="00095076" w:rsidRPr="00526A54">
        <w:rPr>
          <w:rFonts w:ascii="Times New Roman" w:hAnsi="Times New Roman"/>
          <w:szCs w:val="22"/>
          <w:lang w:val="sk-SK"/>
        </w:rPr>
        <w:t>u všetkých dobrovoľníkov ukončené</w:t>
      </w:r>
      <w:r w:rsidRPr="00526A54">
        <w:rPr>
          <w:rFonts w:ascii="Times New Roman" w:hAnsi="Times New Roman"/>
          <w:szCs w:val="22"/>
          <w:lang w:val="sk-SK"/>
        </w:rPr>
        <w:t xml:space="preserve"> po </w:t>
      </w:r>
      <w:r w:rsidR="008A622B" w:rsidRPr="00526A54">
        <w:rPr>
          <w:rFonts w:ascii="Times New Roman" w:hAnsi="Times New Roman"/>
          <w:szCs w:val="22"/>
          <w:lang w:val="sk-SK"/>
        </w:rPr>
        <w:t>24</w:t>
      </w:r>
      <w:r w:rsidR="008360A7"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h</w:t>
      </w:r>
      <w:r w:rsidRPr="00526A54">
        <w:rPr>
          <w:rFonts w:ascii="Times New Roman" w:hAnsi="Times New Roman"/>
          <w:szCs w:val="22"/>
          <w:lang w:val="sk-SK"/>
        </w:rPr>
        <w:t xml:space="preserve">odinách </w:t>
      </w:r>
      <w:r w:rsidR="008A622B" w:rsidRPr="00526A54">
        <w:rPr>
          <w:rFonts w:ascii="Times New Roman" w:hAnsi="Times New Roman"/>
          <w:szCs w:val="22"/>
          <w:lang w:val="sk-SK"/>
        </w:rPr>
        <w:t>a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095076" w:rsidRPr="00526A54">
        <w:rPr>
          <w:rFonts w:ascii="Times New Roman" w:hAnsi="Times New Roman"/>
          <w:szCs w:val="22"/>
          <w:lang w:val="sk-SK"/>
        </w:rPr>
        <w:t xml:space="preserve">medzi staršími a mladšími zdravými dobrovoľníkmi </w:t>
      </w:r>
      <w:r w:rsidRPr="00526A54">
        <w:rPr>
          <w:rFonts w:ascii="Times New Roman" w:hAnsi="Times New Roman"/>
          <w:szCs w:val="22"/>
          <w:lang w:val="sk-SK"/>
        </w:rPr>
        <w:t>ne</w:t>
      </w:r>
      <w:r w:rsidR="00095076" w:rsidRPr="00526A54">
        <w:rPr>
          <w:rFonts w:ascii="Times New Roman" w:hAnsi="Times New Roman"/>
          <w:szCs w:val="22"/>
          <w:lang w:val="sk-SK"/>
        </w:rPr>
        <w:t xml:space="preserve">boli </w:t>
      </w:r>
      <w:r w:rsidRPr="00526A54">
        <w:rPr>
          <w:rFonts w:ascii="Times New Roman" w:hAnsi="Times New Roman"/>
          <w:szCs w:val="22"/>
          <w:lang w:val="sk-SK"/>
        </w:rPr>
        <w:t>žiadne rozdiely</w:t>
      </w:r>
      <w:r w:rsidR="008A622B" w:rsidRPr="00526A54">
        <w:rPr>
          <w:rFonts w:ascii="Times New Roman" w:hAnsi="Times New Roman"/>
          <w:szCs w:val="22"/>
          <w:lang w:val="sk-SK"/>
        </w:rPr>
        <w:t>.</w:t>
      </w:r>
    </w:p>
    <w:p w14:paraId="667012BB" w14:textId="77777777" w:rsidR="008A622B" w:rsidRPr="00526A54" w:rsidRDefault="008A622B" w:rsidP="00526A54">
      <w:pPr>
        <w:jc w:val="both"/>
        <w:rPr>
          <w:sz w:val="22"/>
          <w:szCs w:val="22"/>
        </w:rPr>
      </w:pPr>
    </w:p>
    <w:p w14:paraId="748B784E" w14:textId="77777777" w:rsidR="008A622B" w:rsidRPr="00526A54" w:rsidRDefault="001C34CC" w:rsidP="00526A54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526A54">
        <w:rPr>
          <w:i/>
          <w:sz w:val="22"/>
          <w:szCs w:val="22"/>
          <w:u w:val="single"/>
        </w:rPr>
        <w:t>P</w:t>
      </w:r>
      <w:r w:rsidR="00446725" w:rsidRPr="00526A54">
        <w:rPr>
          <w:i/>
          <w:sz w:val="22"/>
          <w:szCs w:val="22"/>
          <w:u w:val="single"/>
        </w:rPr>
        <w:t>o</w:t>
      </w:r>
      <w:r w:rsidR="00302780" w:rsidRPr="00526A54">
        <w:rPr>
          <w:i/>
          <w:sz w:val="22"/>
          <w:szCs w:val="22"/>
          <w:u w:val="single"/>
        </w:rPr>
        <w:t>rucha</w:t>
      </w:r>
      <w:r w:rsidR="00446725" w:rsidRPr="00526A54">
        <w:rPr>
          <w:i/>
          <w:sz w:val="22"/>
          <w:szCs w:val="22"/>
          <w:u w:val="single"/>
        </w:rPr>
        <w:t xml:space="preserve"> funkci</w:t>
      </w:r>
      <w:r w:rsidR="00302780" w:rsidRPr="00526A54">
        <w:rPr>
          <w:i/>
          <w:sz w:val="22"/>
          <w:szCs w:val="22"/>
          <w:u w:val="single"/>
        </w:rPr>
        <w:t>e</w:t>
      </w:r>
      <w:r w:rsidR="00446725" w:rsidRPr="00526A54">
        <w:rPr>
          <w:i/>
          <w:sz w:val="22"/>
          <w:szCs w:val="22"/>
          <w:u w:val="single"/>
        </w:rPr>
        <w:t xml:space="preserve"> obličiek</w:t>
      </w:r>
    </w:p>
    <w:p w14:paraId="25934984" w14:textId="072B4FB3" w:rsidR="008A622B" w:rsidRPr="00526A54" w:rsidRDefault="00095076" w:rsidP="00526A54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  <w:r w:rsidRPr="00526A54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E21368" w:rsidRPr="00526A54">
        <w:rPr>
          <w:rFonts w:ascii="Times New Roman" w:hAnsi="Times New Roman"/>
          <w:snapToGrid w:val="0"/>
          <w:szCs w:val="22"/>
          <w:lang w:val="sk-SK"/>
        </w:rPr>
        <w:t> </w:t>
      </w:r>
      <w:r w:rsidRPr="00526A54">
        <w:rPr>
          <w:rFonts w:ascii="Times New Roman" w:hAnsi="Times New Roman"/>
          <w:snapToGrid w:val="0"/>
          <w:szCs w:val="22"/>
          <w:lang w:val="sk-SK"/>
        </w:rPr>
        <w:t>po</w:t>
      </w:r>
      <w:r w:rsidR="00302780" w:rsidRPr="00526A54">
        <w:rPr>
          <w:rFonts w:ascii="Times New Roman" w:hAnsi="Times New Roman"/>
          <w:snapToGrid w:val="0"/>
          <w:szCs w:val="22"/>
          <w:lang w:val="sk-SK"/>
        </w:rPr>
        <w:t>ruchou</w:t>
      </w:r>
      <w:r w:rsidR="00E21368" w:rsidRPr="00526A54">
        <w:rPr>
          <w:rFonts w:ascii="Times New Roman" w:hAnsi="Times New Roman"/>
          <w:snapToGrid w:val="0"/>
          <w:szCs w:val="22"/>
          <w:lang w:val="sk-SK"/>
        </w:rPr>
        <w:t xml:space="preserve"> </w:t>
      </w:r>
      <w:r w:rsidRPr="00526A54">
        <w:rPr>
          <w:rFonts w:ascii="Times New Roman" w:hAnsi="Times New Roman"/>
          <w:snapToGrid w:val="0"/>
          <w:szCs w:val="22"/>
          <w:lang w:val="sk-SK"/>
        </w:rPr>
        <w:t>funkci</w:t>
      </w:r>
      <w:r w:rsidR="00E21368" w:rsidRPr="00526A54">
        <w:rPr>
          <w:rFonts w:ascii="Times New Roman" w:hAnsi="Times New Roman"/>
          <w:snapToGrid w:val="0"/>
          <w:szCs w:val="22"/>
          <w:lang w:val="sk-SK"/>
        </w:rPr>
        <w:t xml:space="preserve">e </w:t>
      </w:r>
      <w:r w:rsidRPr="00526A54">
        <w:rPr>
          <w:rFonts w:ascii="Times New Roman" w:hAnsi="Times New Roman"/>
          <w:snapToGrid w:val="0"/>
          <w:szCs w:val="22"/>
          <w:lang w:val="sk-SK"/>
        </w:rPr>
        <w:t xml:space="preserve">obličiek je </w:t>
      </w:r>
      <w:r w:rsidR="00E21368" w:rsidRPr="00526A54">
        <w:rPr>
          <w:rFonts w:ascii="Times New Roman" w:hAnsi="Times New Roman"/>
          <w:snapToGrid w:val="0"/>
          <w:szCs w:val="22"/>
          <w:lang w:val="sk-SK"/>
        </w:rPr>
        <w:t xml:space="preserve">z dôvodu zníženej glomerulárnej filtrácie </w:t>
      </w:r>
      <w:r w:rsidRPr="00526A54">
        <w:rPr>
          <w:rFonts w:ascii="Times New Roman" w:hAnsi="Times New Roman"/>
          <w:snapToGrid w:val="0"/>
          <w:szCs w:val="22"/>
          <w:lang w:val="sk-SK"/>
        </w:rPr>
        <w:t xml:space="preserve">predĺžený polčas </w:t>
      </w:r>
      <w:r w:rsidR="008A622B" w:rsidRPr="00526A54">
        <w:rPr>
          <w:rFonts w:ascii="Times New Roman" w:hAnsi="Times New Roman"/>
          <w:snapToGrid w:val="0"/>
          <w:szCs w:val="22"/>
          <w:lang w:val="sk-SK"/>
        </w:rPr>
        <w:t>gadobutrol</w:t>
      </w:r>
      <w:r w:rsidRPr="00526A54">
        <w:rPr>
          <w:rFonts w:ascii="Times New Roman" w:hAnsi="Times New Roman"/>
          <w:snapToGrid w:val="0"/>
          <w:szCs w:val="22"/>
          <w:lang w:val="sk-SK"/>
        </w:rPr>
        <w:t>u v sére</w:t>
      </w:r>
      <w:r w:rsidR="008A622B" w:rsidRPr="00526A54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="00E21368" w:rsidRPr="00526A54">
        <w:rPr>
          <w:rFonts w:ascii="Times New Roman" w:hAnsi="Times New Roman"/>
          <w:snapToGrid w:val="0"/>
          <w:szCs w:val="22"/>
          <w:lang w:val="sk-SK"/>
        </w:rPr>
        <w:t xml:space="preserve">U </w:t>
      </w:r>
      <w:r w:rsidR="00E21368" w:rsidRPr="00526A54">
        <w:rPr>
          <w:rFonts w:ascii="Times New Roman" w:hAnsi="Times New Roman"/>
          <w:szCs w:val="22"/>
          <w:lang w:val="sk-SK"/>
        </w:rPr>
        <w:t xml:space="preserve">pacientov so stredne </w:t>
      </w:r>
      <w:r w:rsidR="00003E7A" w:rsidRPr="00526A54">
        <w:rPr>
          <w:rFonts w:ascii="Times New Roman" w:hAnsi="Times New Roman"/>
          <w:szCs w:val="22"/>
          <w:lang w:val="sk-SK"/>
        </w:rPr>
        <w:t>závažnou</w:t>
      </w:r>
      <w:r w:rsidR="00E21368" w:rsidRPr="00526A54">
        <w:rPr>
          <w:rFonts w:ascii="Times New Roman" w:hAnsi="Times New Roman"/>
          <w:szCs w:val="22"/>
          <w:lang w:val="sk-SK"/>
        </w:rPr>
        <w:t xml:space="preserve"> po</w:t>
      </w:r>
      <w:r w:rsidR="00241F25" w:rsidRPr="00526A54">
        <w:rPr>
          <w:rFonts w:ascii="Times New Roman" w:hAnsi="Times New Roman"/>
          <w:szCs w:val="22"/>
          <w:lang w:val="sk-SK"/>
        </w:rPr>
        <w:t>ruchou</w:t>
      </w:r>
      <w:r w:rsidR="00E21368" w:rsidRPr="00526A54">
        <w:rPr>
          <w:rFonts w:ascii="Times New Roman" w:hAnsi="Times New Roman"/>
          <w:szCs w:val="22"/>
          <w:lang w:val="sk-SK"/>
        </w:rPr>
        <w:t xml:space="preserve"> (80&gt;C</w:t>
      </w:r>
      <w:r w:rsidR="009E7300" w:rsidRPr="00526A54">
        <w:rPr>
          <w:rFonts w:ascii="Times New Roman" w:hAnsi="Times New Roman"/>
          <w:szCs w:val="22"/>
          <w:lang w:val="sk-SK"/>
        </w:rPr>
        <w:t>L</w:t>
      </w:r>
      <w:r w:rsidR="00E21368" w:rsidRPr="00526A54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526A54">
        <w:rPr>
          <w:rFonts w:ascii="Times New Roman" w:hAnsi="Times New Roman"/>
          <w:szCs w:val="22"/>
          <w:lang w:val="sk-SK"/>
        </w:rPr>
        <w:t>&gt;30</w:t>
      </w:r>
      <w:r w:rsidR="008360A7" w:rsidRPr="00526A54">
        <w:rPr>
          <w:rFonts w:ascii="Times New Roman" w:hAnsi="Times New Roman"/>
          <w:szCs w:val="22"/>
          <w:lang w:val="sk-SK"/>
        </w:rPr>
        <w:t> </w:t>
      </w:r>
      <w:r w:rsidR="00E21368" w:rsidRPr="00526A54">
        <w:rPr>
          <w:rFonts w:ascii="Times New Roman" w:hAnsi="Times New Roman"/>
          <w:szCs w:val="22"/>
          <w:lang w:val="sk-SK"/>
        </w:rPr>
        <w:t xml:space="preserve">ml/min) </w:t>
      </w:r>
      <w:r w:rsidR="00E21368" w:rsidRPr="00526A54">
        <w:rPr>
          <w:rFonts w:ascii="Times New Roman" w:hAnsi="Times New Roman"/>
          <w:snapToGrid w:val="0"/>
          <w:szCs w:val="22"/>
          <w:lang w:val="sk-SK"/>
        </w:rPr>
        <w:t>bol p</w:t>
      </w:r>
      <w:r w:rsidRPr="00526A54">
        <w:rPr>
          <w:rFonts w:ascii="Times New Roman" w:hAnsi="Times New Roman"/>
          <w:snapToGrid w:val="0"/>
          <w:szCs w:val="22"/>
          <w:lang w:val="sk-SK"/>
        </w:rPr>
        <w:t xml:space="preserve">riemerný terminálny polčas predĺžený </w:t>
      </w:r>
      <w:r w:rsidR="00241F25" w:rsidRPr="00526A54">
        <w:rPr>
          <w:rFonts w:ascii="Times New Roman" w:hAnsi="Times New Roman"/>
          <w:snapToGrid w:val="0"/>
          <w:szCs w:val="22"/>
          <w:lang w:val="sk-SK"/>
        </w:rPr>
        <w:t>na </w:t>
      </w:r>
      <w:r w:rsidR="008A622B" w:rsidRPr="00526A54">
        <w:rPr>
          <w:rFonts w:ascii="Times New Roman" w:hAnsi="Times New Roman"/>
          <w:szCs w:val="22"/>
          <w:lang w:val="sk-SK"/>
        </w:rPr>
        <w:t>5</w:t>
      </w:r>
      <w:r w:rsidRPr="00526A54">
        <w:rPr>
          <w:rFonts w:ascii="Times New Roman" w:hAnsi="Times New Roman"/>
          <w:szCs w:val="22"/>
          <w:lang w:val="sk-SK"/>
        </w:rPr>
        <w:t>,</w:t>
      </w:r>
      <w:r w:rsidR="008A622B" w:rsidRPr="00526A54">
        <w:rPr>
          <w:rFonts w:ascii="Times New Roman" w:hAnsi="Times New Roman"/>
          <w:szCs w:val="22"/>
          <w:lang w:val="sk-SK"/>
        </w:rPr>
        <w:t>8</w:t>
      </w:r>
      <w:r w:rsidR="008360A7"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ho</w:t>
      </w:r>
      <w:r w:rsidRPr="00526A54">
        <w:rPr>
          <w:rFonts w:ascii="Times New Roman" w:hAnsi="Times New Roman"/>
          <w:szCs w:val="22"/>
          <w:lang w:val="sk-SK"/>
        </w:rPr>
        <w:t xml:space="preserve">diny </w:t>
      </w:r>
      <w:r w:rsidR="008A622B" w:rsidRPr="00526A54">
        <w:rPr>
          <w:rFonts w:ascii="Times New Roman" w:hAnsi="Times New Roman"/>
          <w:szCs w:val="22"/>
          <w:lang w:val="sk-SK"/>
        </w:rPr>
        <w:t>a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E21368" w:rsidRPr="00526A54">
        <w:rPr>
          <w:rFonts w:ascii="Times New Roman" w:hAnsi="Times New Roman"/>
          <w:szCs w:val="22"/>
          <w:lang w:val="sk-SK"/>
        </w:rPr>
        <w:t>u pacientov s</w:t>
      </w:r>
      <w:r w:rsidR="00003E7A" w:rsidRPr="00526A54">
        <w:rPr>
          <w:rFonts w:ascii="Times New Roman" w:hAnsi="Times New Roman"/>
          <w:szCs w:val="22"/>
          <w:lang w:val="sk-SK"/>
        </w:rPr>
        <w:t>o</w:t>
      </w:r>
      <w:r w:rsidR="00E21368" w:rsidRPr="00526A54">
        <w:rPr>
          <w:rFonts w:ascii="Times New Roman" w:hAnsi="Times New Roman"/>
          <w:szCs w:val="22"/>
          <w:lang w:val="sk-SK"/>
        </w:rPr>
        <w:t> </w:t>
      </w:r>
      <w:r w:rsidR="00003E7A" w:rsidRPr="00526A54">
        <w:rPr>
          <w:rFonts w:ascii="Times New Roman" w:hAnsi="Times New Roman"/>
          <w:szCs w:val="22"/>
          <w:lang w:val="sk-SK"/>
        </w:rPr>
        <w:t>závažnou</w:t>
      </w:r>
      <w:r w:rsidR="00E21368" w:rsidRPr="00526A54">
        <w:rPr>
          <w:rFonts w:ascii="Times New Roman" w:hAnsi="Times New Roman"/>
          <w:szCs w:val="22"/>
          <w:lang w:val="sk-SK"/>
        </w:rPr>
        <w:t xml:space="preserve"> po</w:t>
      </w:r>
      <w:r w:rsidR="00241F25" w:rsidRPr="00526A54">
        <w:rPr>
          <w:rFonts w:ascii="Times New Roman" w:hAnsi="Times New Roman"/>
          <w:szCs w:val="22"/>
          <w:lang w:val="sk-SK"/>
        </w:rPr>
        <w:t>ruchou</w:t>
      </w:r>
      <w:r w:rsidR="00E21368" w:rsidRPr="00526A54">
        <w:rPr>
          <w:rFonts w:ascii="Times New Roman" w:hAnsi="Times New Roman"/>
          <w:szCs w:val="22"/>
          <w:lang w:val="sk-SK"/>
        </w:rPr>
        <w:t xml:space="preserve"> bez dialýzy (C</w:t>
      </w:r>
      <w:r w:rsidR="009E7300" w:rsidRPr="00526A54">
        <w:rPr>
          <w:rFonts w:ascii="Times New Roman" w:hAnsi="Times New Roman"/>
          <w:szCs w:val="22"/>
          <w:lang w:val="sk-SK"/>
        </w:rPr>
        <w:t>L</w:t>
      </w:r>
      <w:r w:rsidR="00E21368" w:rsidRPr="00526A54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526A54">
        <w:rPr>
          <w:rFonts w:ascii="Times New Roman" w:hAnsi="Times New Roman"/>
          <w:szCs w:val="22"/>
          <w:lang w:val="sk-SK"/>
        </w:rPr>
        <w:sym w:font="Symbol" w:char="F03C"/>
      </w:r>
      <w:r w:rsidR="00E21368" w:rsidRPr="00526A54">
        <w:rPr>
          <w:rFonts w:ascii="Times New Roman" w:hAnsi="Times New Roman"/>
          <w:szCs w:val="22"/>
          <w:lang w:val="sk-SK"/>
        </w:rPr>
        <w:t>30</w:t>
      </w:r>
      <w:r w:rsidR="008360A7" w:rsidRPr="00526A54">
        <w:rPr>
          <w:rFonts w:ascii="Times New Roman" w:hAnsi="Times New Roman"/>
          <w:szCs w:val="22"/>
          <w:lang w:val="sk-SK"/>
        </w:rPr>
        <w:t> </w:t>
      </w:r>
      <w:r w:rsidR="00E21368" w:rsidRPr="00526A54">
        <w:rPr>
          <w:rFonts w:ascii="Times New Roman" w:hAnsi="Times New Roman"/>
          <w:szCs w:val="22"/>
          <w:lang w:val="sk-SK"/>
        </w:rPr>
        <w:t xml:space="preserve">ml/min) </w:t>
      </w:r>
      <w:r w:rsidRPr="00526A54">
        <w:rPr>
          <w:rFonts w:ascii="Times New Roman" w:hAnsi="Times New Roman"/>
          <w:szCs w:val="22"/>
          <w:lang w:val="sk-SK"/>
        </w:rPr>
        <w:t xml:space="preserve">predĺžený </w:t>
      </w:r>
      <w:r w:rsidR="00241F25" w:rsidRPr="00526A54">
        <w:rPr>
          <w:rFonts w:ascii="Times New Roman" w:hAnsi="Times New Roman"/>
          <w:szCs w:val="22"/>
          <w:lang w:val="sk-SK"/>
        </w:rPr>
        <w:t>na </w:t>
      </w:r>
      <w:r w:rsidR="008A622B" w:rsidRPr="00526A54">
        <w:rPr>
          <w:rFonts w:ascii="Times New Roman" w:hAnsi="Times New Roman"/>
          <w:szCs w:val="22"/>
          <w:lang w:val="sk-SK"/>
        </w:rPr>
        <w:t>17</w:t>
      </w:r>
      <w:r w:rsidRPr="00526A54">
        <w:rPr>
          <w:rFonts w:ascii="Times New Roman" w:hAnsi="Times New Roman"/>
          <w:szCs w:val="22"/>
          <w:lang w:val="sk-SK"/>
        </w:rPr>
        <w:t>,</w:t>
      </w:r>
      <w:r w:rsidR="008A622B" w:rsidRPr="00526A54">
        <w:rPr>
          <w:rFonts w:ascii="Times New Roman" w:hAnsi="Times New Roman"/>
          <w:szCs w:val="22"/>
          <w:lang w:val="sk-SK"/>
        </w:rPr>
        <w:t>6</w:t>
      </w:r>
      <w:r w:rsidR="008360A7"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ho</w:t>
      </w:r>
      <w:r w:rsidRPr="00526A54">
        <w:rPr>
          <w:rFonts w:ascii="Times New Roman" w:hAnsi="Times New Roman"/>
          <w:szCs w:val="22"/>
          <w:lang w:val="sk-SK"/>
        </w:rPr>
        <w:t>diny</w:t>
      </w:r>
      <w:r w:rsidR="008A622B" w:rsidRPr="00526A54">
        <w:rPr>
          <w:rFonts w:ascii="Times New Roman" w:hAnsi="Times New Roman"/>
          <w:szCs w:val="22"/>
          <w:lang w:val="sk-SK"/>
        </w:rPr>
        <w:t xml:space="preserve">. </w:t>
      </w:r>
      <w:r w:rsidRPr="00526A54">
        <w:rPr>
          <w:rFonts w:ascii="Times New Roman" w:hAnsi="Times New Roman"/>
          <w:szCs w:val="22"/>
          <w:lang w:val="sk-SK"/>
        </w:rPr>
        <w:t xml:space="preserve">Priemerný sérový klírens sa znížil </w:t>
      </w:r>
      <w:r w:rsidR="00414D63" w:rsidRPr="00526A54">
        <w:rPr>
          <w:rFonts w:ascii="Times New Roman" w:hAnsi="Times New Roman"/>
          <w:szCs w:val="22"/>
          <w:lang w:val="sk-SK"/>
        </w:rPr>
        <w:t>na </w:t>
      </w:r>
      <w:r w:rsidR="008A622B" w:rsidRPr="00526A54">
        <w:rPr>
          <w:rFonts w:ascii="Times New Roman" w:hAnsi="Times New Roman"/>
          <w:szCs w:val="22"/>
          <w:lang w:val="sk-SK"/>
        </w:rPr>
        <w:t>0</w:t>
      </w:r>
      <w:r w:rsidRPr="00526A54">
        <w:rPr>
          <w:rFonts w:ascii="Times New Roman" w:hAnsi="Times New Roman"/>
          <w:szCs w:val="22"/>
          <w:lang w:val="sk-SK"/>
        </w:rPr>
        <w:t>,</w:t>
      </w:r>
      <w:r w:rsidR="008A622B" w:rsidRPr="00526A54">
        <w:rPr>
          <w:rFonts w:ascii="Times New Roman" w:hAnsi="Times New Roman"/>
          <w:szCs w:val="22"/>
          <w:lang w:val="sk-SK"/>
        </w:rPr>
        <w:t>49</w:t>
      </w:r>
      <w:r w:rsidR="008360A7"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 xml:space="preserve">ml/min/kg </w:t>
      </w:r>
      <w:r w:rsidRPr="00526A54">
        <w:rPr>
          <w:rFonts w:ascii="Times New Roman" w:hAnsi="Times New Roman"/>
          <w:szCs w:val="22"/>
          <w:lang w:val="sk-SK"/>
        </w:rPr>
        <w:t>u pacientov s miern</w:t>
      </w:r>
      <w:r w:rsidR="00241F25" w:rsidRPr="00526A54">
        <w:rPr>
          <w:rFonts w:ascii="Times New Roman" w:hAnsi="Times New Roman"/>
          <w:szCs w:val="22"/>
          <w:lang w:val="sk-SK"/>
        </w:rPr>
        <w:t>ou</w:t>
      </w:r>
      <w:r w:rsidRPr="00526A54">
        <w:rPr>
          <w:rFonts w:ascii="Times New Roman" w:hAnsi="Times New Roman"/>
          <w:szCs w:val="22"/>
          <w:lang w:val="sk-SK"/>
        </w:rPr>
        <w:t xml:space="preserve"> až stredne </w:t>
      </w:r>
      <w:r w:rsidR="00003E7A" w:rsidRPr="00526A54">
        <w:rPr>
          <w:rFonts w:ascii="Times New Roman" w:hAnsi="Times New Roman"/>
          <w:szCs w:val="22"/>
          <w:lang w:val="sk-SK"/>
        </w:rPr>
        <w:t>závažnou</w:t>
      </w:r>
      <w:r w:rsidRPr="00526A54">
        <w:rPr>
          <w:rFonts w:ascii="Times New Roman" w:hAnsi="Times New Roman"/>
          <w:szCs w:val="22"/>
          <w:lang w:val="sk-SK"/>
        </w:rPr>
        <w:t xml:space="preserve"> po</w:t>
      </w:r>
      <w:r w:rsidR="00241F25" w:rsidRPr="00526A54">
        <w:rPr>
          <w:rFonts w:ascii="Times New Roman" w:hAnsi="Times New Roman"/>
          <w:szCs w:val="22"/>
          <w:lang w:val="sk-SK"/>
        </w:rPr>
        <w:t>ruchou</w:t>
      </w:r>
      <w:r w:rsidRPr="00526A54">
        <w:rPr>
          <w:rFonts w:ascii="Times New Roman" w:hAnsi="Times New Roman"/>
          <w:szCs w:val="22"/>
          <w:lang w:val="sk-SK"/>
        </w:rPr>
        <w:t xml:space="preserve"> </w:t>
      </w:r>
      <w:r w:rsidR="008A622B" w:rsidRPr="00526A54">
        <w:rPr>
          <w:rFonts w:ascii="Times New Roman" w:hAnsi="Times New Roman"/>
          <w:szCs w:val="22"/>
          <w:lang w:val="sk-SK"/>
        </w:rPr>
        <w:t>(80&gt;C</w:t>
      </w:r>
      <w:r w:rsidRPr="00526A54">
        <w:rPr>
          <w:rFonts w:ascii="Times New Roman" w:hAnsi="Times New Roman"/>
          <w:szCs w:val="22"/>
          <w:lang w:val="sk-SK"/>
        </w:rPr>
        <w:t>l</w:t>
      </w:r>
      <w:r w:rsidR="008A622B" w:rsidRPr="00526A54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526A54">
        <w:rPr>
          <w:rFonts w:ascii="Times New Roman" w:hAnsi="Times New Roman"/>
          <w:szCs w:val="22"/>
          <w:lang w:val="sk-SK"/>
        </w:rPr>
        <w:t>&gt;30</w:t>
      </w:r>
      <w:r w:rsidR="008360A7"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ml/min) a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414D63" w:rsidRPr="00526A54">
        <w:rPr>
          <w:rFonts w:ascii="Times New Roman" w:hAnsi="Times New Roman"/>
          <w:szCs w:val="22"/>
          <w:lang w:val="sk-SK"/>
        </w:rPr>
        <w:t>na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0</w:t>
      </w:r>
      <w:r w:rsidRPr="00526A54">
        <w:rPr>
          <w:rFonts w:ascii="Times New Roman" w:hAnsi="Times New Roman"/>
          <w:szCs w:val="22"/>
          <w:lang w:val="sk-SK"/>
        </w:rPr>
        <w:t>,</w:t>
      </w:r>
      <w:r w:rsidR="008A622B" w:rsidRPr="00526A54">
        <w:rPr>
          <w:rFonts w:ascii="Times New Roman" w:hAnsi="Times New Roman"/>
          <w:szCs w:val="22"/>
          <w:lang w:val="sk-SK"/>
        </w:rPr>
        <w:t>16</w:t>
      </w:r>
      <w:r w:rsidR="008360A7"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ml/min/kg</w:t>
      </w:r>
      <w:r w:rsidR="008A622B" w:rsidRPr="00526A54">
        <w:rPr>
          <w:rFonts w:ascii="Times New Roman" w:hAnsi="Times New Roman"/>
          <w:szCs w:val="22"/>
          <w:vertAlign w:val="superscript"/>
          <w:lang w:val="sk-SK"/>
        </w:rPr>
        <w:t xml:space="preserve"> </w:t>
      </w:r>
      <w:r w:rsidRPr="00526A54">
        <w:rPr>
          <w:rFonts w:ascii="Times New Roman" w:hAnsi="Times New Roman"/>
          <w:szCs w:val="22"/>
          <w:lang w:val="sk-SK"/>
        </w:rPr>
        <w:t>u pacientov s</w:t>
      </w:r>
      <w:r w:rsidR="00003E7A" w:rsidRPr="00526A54">
        <w:rPr>
          <w:rFonts w:ascii="Times New Roman" w:hAnsi="Times New Roman"/>
          <w:szCs w:val="22"/>
          <w:lang w:val="sk-SK"/>
        </w:rPr>
        <w:t>o</w:t>
      </w:r>
      <w:r w:rsidRPr="00526A54">
        <w:rPr>
          <w:rFonts w:ascii="Times New Roman" w:hAnsi="Times New Roman"/>
          <w:szCs w:val="22"/>
          <w:lang w:val="sk-SK"/>
        </w:rPr>
        <w:t> </w:t>
      </w:r>
      <w:r w:rsidR="00003E7A" w:rsidRPr="00526A54">
        <w:rPr>
          <w:rFonts w:ascii="Times New Roman" w:hAnsi="Times New Roman"/>
          <w:szCs w:val="22"/>
          <w:lang w:val="sk-SK"/>
        </w:rPr>
        <w:t>závažnou</w:t>
      </w:r>
      <w:r w:rsidRPr="00526A54">
        <w:rPr>
          <w:rFonts w:ascii="Times New Roman" w:hAnsi="Times New Roman"/>
          <w:szCs w:val="22"/>
          <w:lang w:val="sk-SK"/>
        </w:rPr>
        <w:t xml:space="preserve"> po</w:t>
      </w:r>
      <w:r w:rsidR="00241F25" w:rsidRPr="00526A54">
        <w:rPr>
          <w:rFonts w:ascii="Times New Roman" w:hAnsi="Times New Roman"/>
          <w:szCs w:val="22"/>
          <w:lang w:val="sk-SK"/>
        </w:rPr>
        <w:t>ruchou</w:t>
      </w:r>
      <w:r w:rsidRPr="00526A54">
        <w:rPr>
          <w:rFonts w:ascii="Times New Roman" w:hAnsi="Times New Roman"/>
          <w:szCs w:val="22"/>
          <w:lang w:val="sk-SK"/>
        </w:rPr>
        <w:t xml:space="preserve"> bez dialýzy </w:t>
      </w:r>
      <w:r w:rsidR="008A622B" w:rsidRPr="00526A54">
        <w:rPr>
          <w:rFonts w:ascii="Times New Roman" w:hAnsi="Times New Roman"/>
          <w:szCs w:val="22"/>
          <w:lang w:val="sk-SK"/>
        </w:rPr>
        <w:t>(CL</w:t>
      </w:r>
      <w:r w:rsidR="008A622B" w:rsidRPr="00526A54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526A54">
        <w:rPr>
          <w:rFonts w:ascii="Times New Roman" w:hAnsi="Times New Roman"/>
          <w:szCs w:val="22"/>
          <w:lang w:val="sk-SK"/>
        </w:rPr>
        <w:sym w:font="Symbol" w:char="F03C"/>
      </w:r>
      <w:r w:rsidR="008A622B" w:rsidRPr="00526A54">
        <w:rPr>
          <w:rFonts w:ascii="Times New Roman" w:hAnsi="Times New Roman"/>
          <w:szCs w:val="22"/>
          <w:lang w:val="sk-SK"/>
        </w:rPr>
        <w:t>30</w:t>
      </w:r>
      <w:r w:rsidR="008360A7" w:rsidRPr="00526A54">
        <w:rPr>
          <w:rFonts w:ascii="Times New Roman" w:hAnsi="Times New Roman"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 xml:space="preserve">ml/min). </w:t>
      </w:r>
      <w:r w:rsidR="00E21368" w:rsidRPr="00526A54">
        <w:rPr>
          <w:rFonts w:ascii="Times New Roman" w:hAnsi="Times New Roman"/>
          <w:szCs w:val="22"/>
          <w:lang w:val="sk-SK"/>
        </w:rPr>
        <w:t>U pacientov s miern</w:t>
      </w:r>
      <w:r w:rsidR="00241F25" w:rsidRPr="00526A54">
        <w:rPr>
          <w:rFonts w:ascii="Times New Roman" w:hAnsi="Times New Roman"/>
          <w:szCs w:val="22"/>
          <w:lang w:val="sk-SK"/>
        </w:rPr>
        <w:t>ou</w:t>
      </w:r>
      <w:r w:rsidR="00E21368" w:rsidRPr="00526A54">
        <w:rPr>
          <w:rFonts w:ascii="Times New Roman" w:hAnsi="Times New Roman"/>
          <w:szCs w:val="22"/>
          <w:lang w:val="sk-SK"/>
        </w:rPr>
        <w:t xml:space="preserve"> alebo stredne </w:t>
      </w:r>
      <w:r w:rsidR="00003E7A" w:rsidRPr="00526A54">
        <w:rPr>
          <w:rFonts w:ascii="Times New Roman" w:hAnsi="Times New Roman"/>
          <w:szCs w:val="22"/>
          <w:lang w:val="sk-SK"/>
        </w:rPr>
        <w:t>závažnou</w:t>
      </w:r>
      <w:r w:rsidR="00E21368" w:rsidRPr="00526A54">
        <w:rPr>
          <w:rFonts w:ascii="Times New Roman" w:hAnsi="Times New Roman"/>
          <w:szCs w:val="22"/>
          <w:lang w:val="sk-SK"/>
        </w:rPr>
        <w:t xml:space="preserve"> po</w:t>
      </w:r>
      <w:r w:rsidR="00241F25" w:rsidRPr="00526A54">
        <w:rPr>
          <w:rFonts w:ascii="Times New Roman" w:hAnsi="Times New Roman"/>
          <w:szCs w:val="22"/>
          <w:lang w:val="sk-SK"/>
        </w:rPr>
        <w:t>ruchou</w:t>
      </w:r>
      <w:r w:rsidR="00E21368" w:rsidRPr="00526A54">
        <w:rPr>
          <w:rFonts w:ascii="Times New Roman" w:hAnsi="Times New Roman"/>
          <w:szCs w:val="22"/>
          <w:lang w:val="sk-SK"/>
        </w:rPr>
        <w:t xml:space="preserve"> funkcie obličiek sa </w:t>
      </w:r>
      <w:r w:rsidR="006D5622" w:rsidRPr="00526A54">
        <w:rPr>
          <w:rFonts w:ascii="Times New Roman" w:hAnsi="Times New Roman"/>
          <w:szCs w:val="22"/>
          <w:lang w:val="sk-SK"/>
        </w:rPr>
        <w:t xml:space="preserve">pozorovalo </w:t>
      </w:r>
      <w:r w:rsidR="00E21368" w:rsidRPr="00526A54">
        <w:rPr>
          <w:rFonts w:ascii="Times New Roman" w:hAnsi="Times New Roman"/>
          <w:szCs w:val="22"/>
          <w:lang w:val="sk-SK"/>
        </w:rPr>
        <w:t>ú</w:t>
      </w:r>
      <w:r w:rsidRPr="00526A54">
        <w:rPr>
          <w:rFonts w:ascii="Times New Roman" w:hAnsi="Times New Roman"/>
          <w:szCs w:val="22"/>
          <w:lang w:val="sk-SK"/>
        </w:rPr>
        <w:t xml:space="preserve">plné vylúčenie látky močom v priebehu </w:t>
      </w:r>
      <w:r w:rsidR="008A622B" w:rsidRPr="00526A54">
        <w:rPr>
          <w:rFonts w:ascii="Times New Roman" w:hAnsi="Times New Roman"/>
          <w:snapToGrid w:val="0"/>
          <w:szCs w:val="22"/>
          <w:lang w:val="sk-SK"/>
        </w:rPr>
        <w:t>72</w:t>
      </w:r>
      <w:r w:rsidR="004D612B" w:rsidRPr="00526A54">
        <w:rPr>
          <w:rFonts w:ascii="Times New Roman" w:hAnsi="Times New Roman"/>
          <w:iCs/>
          <w:szCs w:val="22"/>
          <w:lang w:val="sk-SK"/>
        </w:rPr>
        <w:t> </w:t>
      </w:r>
      <w:r w:rsidR="008A622B" w:rsidRPr="00526A54">
        <w:rPr>
          <w:rFonts w:ascii="Times New Roman" w:hAnsi="Times New Roman"/>
          <w:snapToGrid w:val="0"/>
          <w:szCs w:val="22"/>
          <w:lang w:val="sk-SK"/>
        </w:rPr>
        <w:t>ho</w:t>
      </w:r>
      <w:r w:rsidRPr="00526A54">
        <w:rPr>
          <w:rFonts w:ascii="Times New Roman" w:hAnsi="Times New Roman"/>
          <w:snapToGrid w:val="0"/>
          <w:szCs w:val="22"/>
          <w:lang w:val="sk-SK"/>
        </w:rPr>
        <w:t>dín</w:t>
      </w:r>
      <w:r w:rsidR="008A622B" w:rsidRPr="00526A54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Pr="00526A54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003E7A" w:rsidRPr="00526A54">
        <w:rPr>
          <w:rFonts w:ascii="Times New Roman" w:hAnsi="Times New Roman"/>
          <w:snapToGrid w:val="0"/>
          <w:szCs w:val="22"/>
          <w:lang w:val="sk-SK"/>
        </w:rPr>
        <w:t>o</w:t>
      </w:r>
      <w:r w:rsidRPr="00526A54">
        <w:rPr>
          <w:rFonts w:ascii="Times New Roman" w:hAnsi="Times New Roman"/>
          <w:snapToGrid w:val="0"/>
          <w:szCs w:val="22"/>
          <w:lang w:val="sk-SK"/>
        </w:rPr>
        <w:t> </w:t>
      </w:r>
      <w:r w:rsidR="00003E7A" w:rsidRPr="00526A54">
        <w:rPr>
          <w:rFonts w:ascii="Times New Roman" w:hAnsi="Times New Roman"/>
          <w:snapToGrid w:val="0"/>
          <w:szCs w:val="22"/>
          <w:lang w:val="sk-SK"/>
        </w:rPr>
        <w:t>závažnou</w:t>
      </w:r>
      <w:r w:rsidRPr="00526A54">
        <w:rPr>
          <w:rFonts w:ascii="Times New Roman" w:hAnsi="Times New Roman"/>
          <w:snapToGrid w:val="0"/>
          <w:szCs w:val="22"/>
          <w:lang w:val="sk-SK"/>
        </w:rPr>
        <w:t xml:space="preserve"> po</w:t>
      </w:r>
      <w:r w:rsidR="00241F25" w:rsidRPr="00526A54">
        <w:rPr>
          <w:rFonts w:ascii="Times New Roman" w:hAnsi="Times New Roman"/>
          <w:snapToGrid w:val="0"/>
          <w:szCs w:val="22"/>
          <w:lang w:val="sk-SK"/>
        </w:rPr>
        <w:t>ruchou</w:t>
      </w:r>
      <w:r w:rsidRPr="00526A54">
        <w:rPr>
          <w:rFonts w:ascii="Times New Roman" w:hAnsi="Times New Roman"/>
          <w:snapToGrid w:val="0"/>
          <w:szCs w:val="22"/>
          <w:lang w:val="sk-SK"/>
        </w:rPr>
        <w:t xml:space="preserve"> funkcie obličiek sa asi </w:t>
      </w:r>
      <w:r w:rsidR="008A622B" w:rsidRPr="00526A54">
        <w:rPr>
          <w:rFonts w:ascii="Times New Roman" w:hAnsi="Times New Roman"/>
          <w:snapToGrid w:val="0"/>
          <w:szCs w:val="22"/>
          <w:lang w:val="sk-SK"/>
        </w:rPr>
        <w:t>80</w:t>
      </w:r>
      <w:r w:rsidR="004D612B" w:rsidRPr="00526A54">
        <w:rPr>
          <w:rFonts w:ascii="Times New Roman" w:hAnsi="Times New Roman"/>
          <w:iCs/>
          <w:szCs w:val="22"/>
          <w:lang w:val="sk-SK"/>
        </w:rPr>
        <w:t> </w:t>
      </w:r>
      <w:r w:rsidR="008A622B" w:rsidRPr="00526A54">
        <w:rPr>
          <w:rFonts w:ascii="Times New Roman" w:hAnsi="Times New Roman"/>
          <w:snapToGrid w:val="0"/>
          <w:szCs w:val="22"/>
          <w:lang w:val="sk-SK"/>
        </w:rPr>
        <w:t xml:space="preserve">% </w:t>
      </w:r>
      <w:r w:rsidRPr="00526A54">
        <w:rPr>
          <w:rFonts w:ascii="Times New Roman" w:hAnsi="Times New Roman"/>
          <w:snapToGrid w:val="0"/>
          <w:szCs w:val="22"/>
          <w:lang w:val="sk-SK"/>
        </w:rPr>
        <w:t>podanej dávky vylúčilo močom v priebehu 5 dní</w:t>
      </w:r>
      <w:r w:rsidR="008A622B" w:rsidRPr="00526A54">
        <w:rPr>
          <w:rFonts w:ascii="Times New Roman" w:hAnsi="Times New Roman"/>
          <w:snapToGrid w:val="0"/>
          <w:szCs w:val="22"/>
          <w:lang w:val="sk-SK"/>
        </w:rPr>
        <w:t xml:space="preserve"> (</w:t>
      </w:r>
      <w:r w:rsidRPr="00526A54">
        <w:rPr>
          <w:rFonts w:ascii="Times New Roman" w:hAnsi="Times New Roman"/>
          <w:snapToGrid w:val="0"/>
          <w:szCs w:val="22"/>
          <w:lang w:val="sk-SK"/>
        </w:rPr>
        <w:t>pozri tiež čas</w:t>
      </w:r>
      <w:r w:rsidR="00241F25" w:rsidRPr="00526A54">
        <w:rPr>
          <w:rFonts w:ascii="Times New Roman" w:hAnsi="Times New Roman"/>
          <w:snapToGrid w:val="0"/>
          <w:szCs w:val="22"/>
          <w:lang w:val="sk-SK"/>
        </w:rPr>
        <w:t>ti</w:t>
      </w:r>
      <w:r w:rsidR="004D612B" w:rsidRPr="00526A54">
        <w:rPr>
          <w:rFonts w:ascii="Times New Roman" w:hAnsi="Times New Roman"/>
          <w:iCs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4.2 a</w:t>
      </w:r>
      <w:r w:rsidR="004D612B" w:rsidRPr="00526A54">
        <w:rPr>
          <w:rFonts w:ascii="Times New Roman" w:hAnsi="Times New Roman"/>
          <w:iCs/>
          <w:szCs w:val="22"/>
          <w:lang w:val="sk-SK"/>
        </w:rPr>
        <w:t> </w:t>
      </w:r>
      <w:r w:rsidR="008A622B" w:rsidRPr="00526A54">
        <w:rPr>
          <w:rFonts w:ascii="Times New Roman" w:hAnsi="Times New Roman"/>
          <w:szCs w:val="22"/>
          <w:lang w:val="sk-SK"/>
        </w:rPr>
        <w:t>4.4).</w:t>
      </w:r>
    </w:p>
    <w:p w14:paraId="1E780620" w14:textId="77777777" w:rsidR="008A622B" w:rsidRPr="00526A54" w:rsidRDefault="00095076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U</w:t>
      </w:r>
      <w:r w:rsidR="006D5622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pacientov</w:t>
      </w:r>
      <w:r w:rsidR="006D5622" w:rsidRPr="00526A54">
        <w:rPr>
          <w:sz w:val="22"/>
          <w:szCs w:val="22"/>
        </w:rPr>
        <w:t>,</w:t>
      </w:r>
      <w:r w:rsidRPr="00526A54">
        <w:rPr>
          <w:sz w:val="22"/>
          <w:szCs w:val="22"/>
        </w:rPr>
        <w:t xml:space="preserve"> u ktorých sa vyžaduje dialýza </w:t>
      </w:r>
      <w:r w:rsidR="005A021D" w:rsidRPr="00526A54">
        <w:rPr>
          <w:sz w:val="22"/>
          <w:szCs w:val="22"/>
        </w:rPr>
        <w:t>sa g</w:t>
      </w:r>
      <w:r w:rsidR="008A622B" w:rsidRPr="00526A54">
        <w:rPr>
          <w:sz w:val="22"/>
          <w:szCs w:val="22"/>
        </w:rPr>
        <w:t xml:space="preserve">adobutrol </w:t>
      </w:r>
      <w:r w:rsidR="005A021D" w:rsidRPr="00526A54">
        <w:rPr>
          <w:sz w:val="22"/>
          <w:szCs w:val="22"/>
        </w:rPr>
        <w:t xml:space="preserve">takmer úplne </w:t>
      </w:r>
      <w:r w:rsidR="006D5622" w:rsidRPr="00526A54">
        <w:rPr>
          <w:sz w:val="22"/>
          <w:szCs w:val="22"/>
        </w:rPr>
        <w:t>vylúčil</w:t>
      </w:r>
      <w:r w:rsidR="005A021D" w:rsidRPr="00526A54">
        <w:rPr>
          <w:sz w:val="22"/>
          <w:szCs w:val="22"/>
        </w:rPr>
        <w:t xml:space="preserve"> zo séra po troch dialýzach</w:t>
      </w:r>
      <w:r w:rsidR="008A622B" w:rsidRPr="00526A54">
        <w:rPr>
          <w:sz w:val="22"/>
          <w:szCs w:val="22"/>
        </w:rPr>
        <w:t>.</w:t>
      </w:r>
    </w:p>
    <w:p w14:paraId="7D8FC3CD" w14:textId="77777777" w:rsidR="00446725" w:rsidRPr="00526A54" w:rsidRDefault="00446725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5788EF" w14:textId="16E38AE7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5.3</w:t>
      </w:r>
      <w:r w:rsidR="00AF66E5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Predklinické údaje o bezpečnosti</w:t>
      </w:r>
    </w:p>
    <w:p w14:paraId="2C2CFD3C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4FBBA6A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Predklinické údaje na základe obvyklých štúdií farmakologickej bezpečnosti, toxicity po</w:t>
      </w:r>
      <w:r w:rsidR="004D612B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opakovanom</w:t>
      </w:r>
      <w:r w:rsidR="004D612B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podávaní a genotoxicity neodhalili žiadne osobitné riziko pre ľudí.</w:t>
      </w:r>
    </w:p>
    <w:p w14:paraId="582B699F" w14:textId="77777777" w:rsidR="0051259C" w:rsidRPr="00526A54" w:rsidRDefault="0051259C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47FCEEF" w14:textId="30EA48FA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Opakované </w:t>
      </w:r>
      <w:r w:rsidR="006D5622" w:rsidRPr="00526A54">
        <w:rPr>
          <w:sz w:val="22"/>
          <w:szCs w:val="22"/>
        </w:rPr>
        <w:t xml:space="preserve">intravenózne </w:t>
      </w:r>
      <w:r w:rsidRPr="00526A54">
        <w:rPr>
          <w:sz w:val="22"/>
          <w:szCs w:val="22"/>
        </w:rPr>
        <w:t>podávanie v</w:t>
      </w:r>
      <w:r w:rsidR="004D612B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štúdiách reprodukčnej toxicity spôsobilo spomalenie embryonálneho výv</w:t>
      </w:r>
      <w:r w:rsidR="00F55C22" w:rsidRPr="00526A54">
        <w:rPr>
          <w:sz w:val="22"/>
          <w:szCs w:val="22"/>
        </w:rPr>
        <w:t>inu</w:t>
      </w:r>
      <w:r w:rsidR="006D5622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u</w:t>
      </w:r>
      <w:r w:rsidR="006D5622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potkanov</w:t>
      </w:r>
      <w:r w:rsidR="006D5622" w:rsidRPr="00526A54">
        <w:rPr>
          <w:sz w:val="22"/>
          <w:szCs w:val="22"/>
        </w:rPr>
        <w:t xml:space="preserve"> a králikov</w:t>
      </w:r>
      <w:r w:rsidRPr="00526A54">
        <w:rPr>
          <w:sz w:val="22"/>
          <w:szCs w:val="22"/>
        </w:rPr>
        <w:t xml:space="preserve"> a zvýšenú embryonálnu úmrtnosť u</w:t>
      </w:r>
      <w:r w:rsidR="006D5622" w:rsidRPr="00526A54">
        <w:rPr>
          <w:sz w:val="22"/>
          <w:szCs w:val="22"/>
        </w:rPr>
        <w:t xml:space="preserve"> potkanov, králikov a </w:t>
      </w:r>
      <w:r w:rsidRPr="00526A54">
        <w:rPr>
          <w:sz w:val="22"/>
          <w:szCs w:val="22"/>
        </w:rPr>
        <w:t>opíc pri</w:t>
      </w:r>
      <w:r w:rsidR="004D612B" w:rsidRPr="00526A54">
        <w:rPr>
          <w:iCs/>
          <w:sz w:val="22"/>
          <w:szCs w:val="22"/>
        </w:rPr>
        <w:t> </w:t>
      </w:r>
      <w:r w:rsidR="006D5622" w:rsidRPr="00526A54">
        <w:rPr>
          <w:sz w:val="22"/>
          <w:szCs w:val="22"/>
        </w:rPr>
        <w:t xml:space="preserve">hladinách dávok </w:t>
      </w:r>
      <w:r w:rsidRPr="00526A54">
        <w:rPr>
          <w:sz w:val="22"/>
          <w:szCs w:val="22"/>
        </w:rPr>
        <w:t>8 až</w:t>
      </w:r>
      <w:r w:rsidR="006D5622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1</w:t>
      </w:r>
      <w:r w:rsidR="006D5622" w:rsidRPr="00526A54">
        <w:rPr>
          <w:sz w:val="22"/>
          <w:szCs w:val="22"/>
        </w:rPr>
        <w:t>6</w:t>
      </w:r>
      <w:r w:rsidR="008360A7" w:rsidRPr="00526A54">
        <w:rPr>
          <w:sz w:val="22"/>
          <w:szCs w:val="22"/>
        </w:rPr>
        <w:t>-</w:t>
      </w:r>
      <w:r w:rsidRPr="00526A54">
        <w:rPr>
          <w:sz w:val="22"/>
          <w:szCs w:val="22"/>
        </w:rPr>
        <w:t>násob</w:t>
      </w:r>
      <w:r w:rsidR="006A230F" w:rsidRPr="00526A54">
        <w:rPr>
          <w:sz w:val="22"/>
          <w:szCs w:val="22"/>
        </w:rPr>
        <w:t xml:space="preserve">ne </w:t>
      </w:r>
      <w:r w:rsidR="000E1D5B" w:rsidRPr="00526A54">
        <w:rPr>
          <w:sz w:val="22"/>
          <w:szCs w:val="22"/>
        </w:rPr>
        <w:t xml:space="preserve">prevyšujúcich </w:t>
      </w:r>
      <w:r w:rsidR="006D5622" w:rsidRPr="00526A54">
        <w:rPr>
          <w:sz w:val="22"/>
          <w:szCs w:val="22"/>
        </w:rPr>
        <w:t>(na základe plochy telesného povrchu)</w:t>
      </w:r>
      <w:r w:rsidRPr="00526A54">
        <w:rPr>
          <w:sz w:val="22"/>
          <w:szCs w:val="22"/>
        </w:rPr>
        <w:t xml:space="preserve"> </w:t>
      </w:r>
      <w:r w:rsidR="006D5622" w:rsidRPr="00526A54">
        <w:rPr>
          <w:sz w:val="22"/>
          <w:szCs w:val="22"/>
        </w:rPr>
        <w:t>alebo 25</w:t>
      </w:r>
      <w:r w:rsidR="00F55C22" w:rsidRPr="00526A54">
        <w:rPr>
          <w:sz w:val="22"/>
          <w:szCs w:val="22"/>
        </w:rPr>
        <w:t>-</w:t>
      </w:r>
      <w:r w:rsidR="004D612B" w:rsidRPr="00526A54">
        <w:rPr>
          <w:iCs/>
          <w:sz w:val="22"/>
          <w:szCs w:val="22"/>
        </w:rPr>
        <w:t> </w:t>
      </w:r>
      <w:r w:rsidR="006D5622" w:rsidRPr="00526A54">
        <w:rPr>
          <w:sz w:val="22"/>
          <w:szCs w:val="22"/>
        </w:rPr>
        <w:t>až</w:t>
      </w:r>
      <w:r w:rsidR="004D612B" w:rsidRPr="00526A54">
        <w:rPr>
          <w:iCs/>
          <w:sz w:val="22"/>
          <w:szCs w:val="22"/>
        </w:rPr>
        <w:t> </w:t>
      </w:r>
      <w:r w:rsidR="006D5622" w:rsidRPr="00526A54">
        <w:rPr>
          <w:sz w:val="22"/>
          <w:szCs w:val="22"/>
        </w:rPr>
        <w:t>50-násob</w:t>
      </w:r>
      <w:r w:rsidR="006A230F" w:rsidRPr="00526A54">
        <w:rPr>
          <w:sz w:val="22"/>
          <w:szCs w:val="22"/>
        </w:rPr>
        <w:t xml:space="preserve">ne </w:t>
      </w:r>
      <w:r w:rsidR="000E1D5B" w:rsidRPr="00526A54">
        <w:rPr>
          <w:sz w:val="22"/>
          <w:szCs w:val="22"/>
        </w:rPr>
        <w:t xml:space="preserve">prevyšujúcich </w:t>
      </w:r>
      <w:r w:rsidR="006D5622" w:rsidRPr="00526A54">
        <w:rPr>
          <w:sz w:val="22"/>
          <w:szCs w:val="22"/>
        </w:rPr>
        <w:t xml:space="preserve">(na základe telesnej hmotnosti) </w:t>
      </w:r>
      <w:r w:rsidRPr="00526A54">
        <w:rPr>
          <w:sz w:val="22"/>
          <w:szCs w:val="22"/>
        </w:rPr>
        <w:t>diagnostick</w:t>
      </w:r>
      <w:r w:rsidR="000E1D5B" w:rsidRPr="00526A54">
        <w:rPr>
          <w:sz w:val="22"/>
          <w:szCs w:val="22"/>
        </w:rPr>
        <w:t xml:space="preserve">ú </w:t>
      </w:r>
      <w:r w:rsidRPr="00526A54">
        <w:rPr>
          <w:sz w:val="22"/>
          <w:szCs w:val="22"/>
        </w:rPr>
        <w:t>dávk</w:t>
      </w:r>
      <w:r w:rsidR="006D5622" w:rsidRPr="00526A54">
        <w:rPr>
          <w:sz w:val="22"/>
          <w:szCs w:val="22"/>
        </w:rPr>
        <w:t>u u</w:t>
      </w:r>
      <w:r w:rsidR="004D612B" w:rsidRPr="00526A54">
        <w:rPr>
          <w:iCs/>
          <w:sz w:val="22"/>
          <w:szCs w:val="22"/>
        </w:rPr>
        <w:t> </w:t>
      </w:r>
      <w:r w:rsidR="006D5622" w:rsidRPr="00526A54">
        <w:rPr>
          <w:sz w:val="22"/>
          <w:szCs w:val="22"/>
        </w:rPr>
        <w:t>ľudí</w:t>
      </w:r>
      <w:r w:rsidRPr="00526A54">
        <w:rPr>
          <w:sz w:val="22"/>
          <w:szCs w:val="22"/>
        </w:rPr>
        <w:t>. Nie je známe, či tieto účinky môžu byť vyvolané aj jednorazovým</w:t>
      </w:r>
      <w:r w:rsidR="006D5622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podaním.</w:t>
      </w:r>
      <w:r w:rsidR="001A62B6" w:rsidRPr="00526A54">
        <w:rPr>
          <w:sz w:val="22"/>
          <w:szCs w:val="22"/>
        </w:rPr>
        <w:t xml:space="preserve"> Štúdie toxicity s jednorazovými a opakovanými dávkami </w:t>
      </w:r>
      <w:r w:rsidR="00233686" w:rsidRPr="00526A54">
        <w:rPr>
          <w:sz w:val="22"/>
          <w:szCs w:val="22"/>
        </w:rPr>
        <w:t>u</w:t>
      </w:r>
      <w:r w:rsidR="001A62B6" w:rsidRPr="00526A54">
        <w:rPr>
          <w:sz w:val="22"/>
          <w:szCs w:val="22"/>
        </w:rPr>
        <w:t> novonarodených a nedospelých potkan</w:t>
      </w:r>
      <w:r w:rsidR="00233686" w:rsidRPr="00526A54">
        <w:rPr>
          <w:sz w:val="22"/>
          <w:szCs w:val="22"/>
        </w:rPr>
        <w:t>ov</w:t>
      </w:r>
      <w:r w:rsidR="001A62B6" w:rsidRPr="00526A54">
        <w:rPr>
          <w:sz w:val="22"/>
          <w:szCs w:val="22"/>
        </w:rPr>
        <w:t xml:space="preserve"> neodhalili osobitné riziko pre </w:t>
      </w:r>
      <w:r w:rsidR="00233686" w:rsidRPr="00526A54">
        <w:rPr>
          <w:sz w:val="22"/>
          <w:szCs w:val="22"/>
        </w:rPr>
        <w:t>použitie u detí každého veku</w:t>
      </w:r>
      <w:r w:rsidR="001A62B6" w:rsidRPr="00526A54">
        <w:rPr>
          <w:sz w:val="22"/>
          <w:szCs w:val="22"/>
        </w:rPr>
        <w:t xml:space="preserve">, vrátane </w:t>
      </w:r>
      <w:r w:rsidR="00A71127" w:rsidRPr="00526A54">
        <w:rPr>
          <w:sz w:val="22"/>
          <w:szCs w:val="22"/>
        </w:rPr>
        <w:t xml:space="preserve">donosených </w:t>
      </w:r>
      <w:r w:rsidR="001A62B6" w:rsidRPr="00526A54">
        <w:rPr>
          <w:sz w:val="22"/>
          <w:szCs w:val="22"/>
        </w:rPr>
        <w:t>novorodencov a dojčiat.</w:t>
      </w:r>
    </w:p>
    <w:p w14:paraId="063255F5" w14:textId="77777777" w:rsidR="00414D63" w:rsidRPr="00526A54" w:rsidRDefault="00414D63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4185525" w14:textId="26FE66AE" w:rsidR="00414D63" w:rsidRPr="00526A54" w:rsidRDefault="00A97EC0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Izotopom</w:t>
      </w:r>
      <w:r w:rsidR="00414D63" w:rsidRPr="00526A54">
        <w:rPr>
          <w:sz w:val="22"/>
          <w:szCs w:val="22"/>
        </w:rPr>
        <w:t xml:space="preserve"> značený gadobutrol, podaný intravenózne </w:t>
      </w:r>
      <w:r w:rsidR="000246BE" w:rsidRPr="00526A54">
        <w:rPr>
          <w:sz w:val="22"/>
          <w:szCs w:val="22"/>
        </w:rPr>
        <w:t>samiciam potkanov</w:t>
      </w:r>
      <w:r w:rsidR="00414D63" w:rsidRPr="00526A54">
        <w:rPr>
          <w:sz w:val="22"/>
          <w:szCs w:val="22"/>
        </w:rPr>
        <w:t>, prechádzal mliekom do novorodencov v </w:t>
      </w:r>
      <w:r w:rsidR="00BE710C" w:rsidRPr="00526A54">
        <w:rPr>
          <w:sz w:val="22"/>
          <w:szCs w:val="22"/>
        </w:rPr>
        <w:t>množstve</w:t>
      </w:r>
      <w:r w:rsidR="00414D63" w:rsidRPr="00526A54">
        <w:rPr>
          <w:sz w:val="22"/>
          <w:szCs w:val="22"/>
        </w:rPr>
        <w:t xml:space="preserve"> nižš</w:t>
      </w:r>
      <w:r w:rsidR="00BE710C" w:rsidRPr="00526A54">
        <w:rPr>
          <w:sz w:val="22"/>
          <w:szCs w:val="22"/>
        </w:rPr>
        <w:t>om</w:t>
      </w:r>
      <w:r w:rsidR="00414D63" w:rsidRPr="00526A54">
        <w:rPr>
          <w:sz w:val="22"/>
          <w:szCs w:val="22"/>
        </w:rPr>
        <w:t xml:space="preserve"> ako </w:t>
      </w:r>
      <w:r w:rsidR="00BE710C" w:rsidRPr="00526A54">
        <w:rPr>
          <w:sz w:val="22"/>
          <w:szCs w:val="22"/>
        </w:rPr>
        <w:t>0,1 % podanej dávky.</w:t>
      </w:r>
    </w:p>
    <w:p w14:paraId="44874EAC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15E1FB59" w14:textId="77777777" w:rsidR="00705306" w:rsidRPr="00526A54" w:rsidRDefault="00705306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U potkanov sa zistila veľmi nízka absorpcia po</w:t>
      </w:r>
      <w:r w:rsidR="004D612B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perorálnom podaní a </w:t>
      </w:r>
      <w:r w:rsidR="009C00A4" w:rsidRPr="00526A54">
        <w:rPr>
          <w:sz w:val="22"/>
          <w:szCs w:val="22"/>
        </w:rPr>
        <w:t xml:space="preserve">na základe frakcie </w:t>
      </w:r>
      <w:r w:rsidR="00BE710C" w:rsidRPr="00526A54">
        <w:rPr>
          <w:sz w:val="22"/>
          <w:szCs w:val="22"/>
        </w:rPr>
        <w:t xml:space="preserve">dávky </w:t>
      </w:r>
      <w:r w:rsidR="009C00A4" w:rsidRPr="00526A54">
        <w:rPr>
          <w:sz w:val="22"/>
          <w:szCs w:val="22"/>
        </w:rPr>
        <w:t>vylúčenej močom predstavuje</w:t>
      </w:r>
      <w:r w:rsidRPr="00526A54">
        <w:rPr>
          <w:sz w:val="22"/>
          <w:szCs w:val="22"/>
        </w:rPr>
        <w:t xml:space="preserve"> asi 5</w:t>
      </w:r>
      <w:r w:rsidR="008360A7" w:rsidRPr="00526A54">
        <w:rPr>
          <w:sz w:val="22"/>
          <w:szCs w:val="22"/>
        </w:rPr>
        <w:t> </w:t>
      </w:r>
      <w:r w:rsidRPr="00526A54">
        <w:rPr>
          <w:sz w:val="22"/>
          <w:szCs w:val="22"/>
        </w:rPr>
        <w:t>%.</w:t>
      </w:r>
    </w:p>
    <w:p w14:paraId="19743729" w14:textId="77777777" w:rsidR="000246BE" w:rsidRPr="00526A54" w:rsidRDefault="000246BE" w:rsidP="00526A54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A74F1B8" w14:textId="1EDE34FD" w:rsidR="00705306" w:rsidRPr="00526A54" w:rsidRDefault="005B5CEE" w:rsidP="00526A54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526A54">
        <w:rPr>
          <w:rFonts w:ascii="Times New Roman" w:hAnsi="Times New Roman"/>
          <w:szCs w:val="22"/>
          <w:lang w:val="sk-SK"/>
        </w:rPr>
        <w:t xml:space="preserve">V predklinických </w:t>
      </w:r>
      <w:r w:rsidR="00003E7A" w:rsidRPr="00526A54">
        <w:rPr>
          <w:rFonts w:ascii="Times New Roman" w:hAnsi="Times New Roman"/>
          <w:szCs w:val="22"/>
          <w:lang w:val="sk-SK"/>
        </w:rPr>
        <w:t xml:space="preserve">farmakologických </w:t>
      </w:r>
      <w:r w:rsidRPr="00526A54">
        <w:rPr>
          <w:rFonts w:ascii="Times New Roman" w:hAnsi="Times New Roman"/>
          <w:szCs w:val="22"/>
          <w:lang w:val="sk-SK"/>
        </w:rPr>
        <w:t xml:space="preserve">štúdiách kardiovaskulárnej bezpečnosti  sa pozorovalo v závislosti od podanej dávky prechodné zvýšenie krvného tlaku </w:t>
      </w:r>
      <w:r w:rsidR="00705306" w:rsidRPr="00526A54">
        <w:rPr>
          <w:rFonts w:ascii="Times New Roman" w:hAnsi="Times New Roman"/>
          <w:szCs w:val="22"/>
          <w:lang w:val="sk-SK"/>
        </w:rPr>
        <w:t>a</w:t>
      </w:r>
      <w:r w:rsidRPr="00526A54">
        <w:rPr>
          <w:rFonts w:ascii="Times New Roman" w:hAnsi="Times New Roman"/>
          <w:szCs w:val="22"/>
          <w:lang w:val="sk-SK"/>
        </w:rPr>
        <w:t xml:space="preserve"> kont</w:t>
      </w:r>
      <w:r w:rsidR="00016FCB" w:rsidRPr="00526A54">
        <w:rPr>
          <w:rFonts w:ascii="Times New Roman" w:hAnsi="Times New Roman"/>
          <w:szCs w:val="22"/>
          <w:lang w:val="sk-SK"/>
        </w:rPr>
        <w:t>ra</w:t>
      </w:r>
      <w:r w:rsidRPr="00526A54">
        <w:rPr>
          <w:rFonts w:ascii="Times New Roman" w:hAnsi="Times New Roman"/>
          <w:szCs w:val="22"/>
          <w:lang w:val="sk-SK"/>
        </w:rPr>
        <w:t>ktility myokardu</w:t>
      </w:r>
      <w:r w:rsidR="00705306" w:rsidRPr="00526A54">
        <w:rPr>
          <w:rFonts w:ascii="Times New Roman" w:hAnsi="Times New Roman"/>
          <w:szCs w:val="22"/>
          <w:lang w:val="sk-SK"/>
        </w:rPr>
        <w:t xml:space="preserve">. </w:t>
      </w:r>
      <w:r w:rsidR="00705306" w:rsidRPr="00526A54">
        <w:rPr>
          <w:rFonts w:ascii="Times New Roman" w:hAnsi="Times New Roman"/>
          <w:snapToGrid w:val="0"/>
          <w:szCs w:val="22"/>
          <w:lang w:val="sk-SK"/>
        </w:rPr>
        <w:t>T</w:t>
      </w:r>
      <w:r w:rsidRPr="00526A54">
        <w:rPr>
          <w:rFonts w:ascii="Times New Roman" w:hAnsi="Times New Roman"/>
          <w:snapToGrid w:val="0"/>
          <w:szCs w:val="22"/>
          <w:lang w:val="sk-SK"/>
        </w:rPr>
        <w:t>ieto účinky sa u ľudí nepozo</w:t>
      </w:r>
      <w:r w:rsidR="0069551F" w:rsidRPr="00526A54">
        <w:rPr>
          <w:rFonts w:ascii="Times New Roman" w:hAnsi="Times New Roman"/>
          <w:snapToGrid w:val="0"/>
          <w:szCs w:val="22"/>
          <w:lang w:val="sk-SK"/>
        </w:rPr>
        <w:t>rovali</w:t>
      </w:r>
      <w:r w:rsidR="00705306" w:rsidRPr="00526A54">
        <w:rPr>
          <w:rFonts w:ascii="Times New Roman" w:hAnsi="Times New Roman"/>
          <w:snapToGrid w:val="0"/>
          <w:szCs w:val="22"/>
          <w:lang w:val="sk-SK"/>
        </w:rPr>
        <w:t>.</w:t>
      </w:r>
    </w:p>
    <w:p w14:paraId="1369E0CF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FE22B2E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29F7695" w14:textId="4DA3904C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6.</w:t>
      </w:r>
      <w:r w:rsidR="00846006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FARMACEUTICKÉ INFORMÁCIE</w:t>
      </w:r>
    </w:p>
    <w:p w14:paraId="3A94D0B3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A174110" w14:textId="12F6C33A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6.1</w:t>
      </w:r>
      <w:r w:rsidR="00846006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Zoznam pomocných látok</w:t>
      </w:r>
    </w:p>
    <w:p w14:paraId="6927F214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3C7EDF6E" w14:textId="77777777" w:rsidR="00434612" w:rsidRPr="00526A54" w:rsidRDefault="00BD67BE" w:rsidP="00526A54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>s</w:t>
      </w:r>
      <w:r w:rsidR="00434612" w:rsidRPr="00526A54">
        <w:rPr>
          <w:sz w:val="22"/>
          <w:szCs w:val="22"/>
        </w:rPr>
        <w:t>odná soľ kalkobutrolu</w:t>
      </w:r>
    </w:p>
    <w:p w14:paraId="6A4E4398" w14:textId="77777777" w:rsidR="00434612" w:rsidRPr="00526A54" w:rsidRDefault="00BD67BE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t</w:t>
      </w:r>
      <w:r w:rsidR="00434612" w:rsidRPr="00526A54">
        <w:rPr>
          <w:sz w:val="22"/>
          <w:szCs w:val="22"/>
        </w:rPr>
        <w:t>rometamol</w:t>
      </w:r>
    </w:p>
    <w:p w14:paraId="578406BE" w14:textId="77777777" w:rsidR="00434612" w:rsidRPr="00526A54" w:rsidRDefault="00BD67BE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k</w:t>
      </w:r>
      <w:r w:rsidR="00434612" w:rsidRPr="00526A54">
        <w:rPr>
          <w:sz w:val="22"/>
          <w:szCs w:val="22"/>
        </w:rPr>
        <w:t>yselina chlorovodíková</w:t>
      </w:r>
      <w:r w:rsidR="00846006" w:rsidRPr="00526A54">
        <w:rPr>
          <w:sz w:val="22"/>
          <w:szCs w:val="22"/>
        </w:rPr>
        <w:t xml:space="preserve"> 1 N</w:t>
      </w:r>
      <w:r w:rsidR="00016FCB" w:rsidRPr="00526A54">
        <w:rPr>
          <w:sz w:val="22"/>
          <w:szCs w:val="22"/>
        </w:rPr>
        <w:t xml:space="preserve"> (na úpravu pH)</w:t>
      </w:r>
    </w:p>
    <w:p w14:paraId="7F038FC5" w14:textId="08B5DC1C" w:rsidR="00434612" w:rsidRPr="00526A54" w:rsidRDefault="00BD67BE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v</w:t>
      </w:r>
      <w:r w:rsidR="00434612" w:rsidRPr="00526A54">
        <w:rPr>
          <w:sz w:val="22"/>
          <w:szCs w:val="22"/>
        </w:rPr>
        <w:t>oda na injekci</w:t>
      </w:r>
      <w:r w:rsidR="001F1F3B" w:rsidRPr="00526A54">
        <w:rPr>
          <w:sz w:val="22"/>
          <w:szCs w:val="22"/>
        </w:rPr>
        <w:t>e</w:t>
      </w:r>
    </w:p>
    <w:p w14:paraId="46AF7639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45733B6" w14:textId="1FAC4D75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6.2</w:t>
      </w:r>
      <w:r w:rsidR="00846006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Inkompatibility</w:t>
      </w:r>
    </w:p>
    <w:p w14:paraId="3067A024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2774273" w14:textId="77777777" w:rsidR="00434612" w:rsidRPr="00526A54" w:rsidRDefault="00434612" w:rsidP="00526A54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>Nevykonali sa štúdie kompatibility, preto sa tento liek nesmie miešať s</w:t>
      </w:r>
      <w:r w:rsidR="004D612B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inými liekmi.</w:t>
      </w:r>
    </w:p>
    <w:p w14:paraId="043CE031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7163EF" w14:textId="30243CA0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6.3</w:t>
      </w:r>
      <w:r w:rsidR="00846006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Čas použiteľnosti</w:t>
      </w:r>
    </w:p>
    <w:p w14:paraId="4F13A123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3F19A956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3 roky</w:t>
      </w:r>
    </w:p>
    <w:p w14:paraId="5682181D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7E40280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Čas použiteľnosti po</w:t>
      </w:r>
      <w:r w:rsidR="004D612B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prvom otvorení obalu:</w:t>
      </w:r>
    </w:p>
    <w:p w14:paraId="6140CCE7" w14:textId="43C9C8CE" w:rsidR="00434612" w:rsidRPr="00526A54" w:rsidRDefault="00B54F8C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Všetok i</w:t>
      </w:r>
      <w:r w:rsidR="00434612" w:rsidRPr="00526A54">
        <w:rPr>
          <w:sz w:val="22"/>
          <w:szCs w:val="22"/>
        </w:rPr>
        <w:t xml:space="preserve">njekčný roztok, ktorý sa nepoužil pri </w:t>
      </w:r>
      <w:r w:rsidR="003172AE" w:rsidRPr="00526A54">
        <w:rPr>
          <w:sz w:val="22"/>
          <w:szCs w:val="22"/>
        </w:rPr>
        <w:t xml:space="preserve">jednom </w:t>
      </w:r>
      <w:r w:rsidR="00434612" w:rsidRPr="00526A54">
        <w:rPr>
          <w:sz w:val="22"/>
          <w:szCs w:val="22"/>
        </w:rPr>
        <w:t>vyšetrení, sa musí zlikvidovať. Chemická</w:t>
      </w:r>
      <w:r w:rsidR="00B46628" w:rsidRPr="00526A54">
        <w:rPr>
          <w:sz w:val="22"/>
          <w:szCs w:val="22"/>
        </w:rPr>
        <w:t>, </w:t>
      </w:r>
      <w:r w:rsidR="00434612" w:rsidRPr="00526A54">
        <w:rPr>
          <w:sz w:val="22"/>
          <w:szCs w:val="22"/>
        </w:rPr>
        <w:t>fyzikálna</w:t>
      </w:r>
      <w:r w:rsidR="00B46628" w:rsidRPr="00526A54">
        <w:rPr>
          <w:sz w:val="22"/>
          <w:szCs w:val="22"/>
        </w:rPr>
        <w:t xml:space="preserve"> a mikrobiologická</w:t>
      </w:r>
      <w:r w:rsidR="00434612" w:rsidRPr="00526A54">
        <w:rPr>
          <w:sz w:val="22"/>
          <w:szCs w:val="22"/>
        </w:rPr>
        <w:t xml:space="preserve"> stabilita pri používaní bola preukázaná po dobu 24 hodín </w:t>
      </w:r>
      <w:r w:rsidR="00B46628" w:rsidRPr="00526A54">
        <w:rPr>
          <w:sz w:val="22"/>
          <w:szCs w:val="22"/>
        </w:rPr>
        <w:t xml:space="preserve">pri </w:t>
      </w:r>
      <w:r w:rsidR="00170AD4" w:rsidRPr="00526A54">
        <w:rPr>
          <w:sz w:val="22"/>
          <w:szCs w:val="22"/>
        </w:rPr>
        <w:t xml:space="preserve">teplote </w:t>
      </w:r>
      <w:r w:rsidR="00B46628" w:rsidRPr="00526A54">
        <w:rPr>
          <w:sz w:val="22"/>
          <w:szCs w:val="22"/>
        </w:rPr>
        <w:t>20 – 25</w:t>
      </w:r>
      <w:r w:rsidR="001B3229" w:rsidRPr="00526A54">
        <w:rPr>
          <w:sz w:val="22"/>
          <w:szCs w:val="22"/>
        </w:rPr>
        <w:t xml:space="preserve"> </w:t>
      </w:r>
      <w:r w:rsidR="00B46628" w:rsidRPr="00526A54">
        <w:rPr>
          <w:sz w:val="22"/>
          <w:szCs w:val="22"/>
        </w:rPr>
        <w:t>°C</w:t>
      </w:r>
      <w:r w:rsidR="00434612" w:rsidRPr="00526A54">
        <w:rPr>
          <w:sz w:val="22"/>
          <w:szCs w:val="22"/>
        </w:rPr>
        <w:t>. Z</w:t>
      </w:r>
      <w:r w:rsidR="004D612B" w:rsidRPr="00526A54">
        <w:rPr>
          <w:iCs/>
          <w:sz w:val="22"/>
          <w:szCs w:val="22"/>
        </w:rPr>
        <w:t> </w:t>
      </w:r>
      <w:r w:rsidR="00434612" w:rsidRPr="00526A54">
        <w:rPr>
          <w:sz w:val="22"/>
          <w:szCs w:val="22"/>
        </w:rPr>
        <w:t xml:space="preserve">mikrobiologického hľadiska sa má </w:t>
      </w:r>
      <w:r w:rsidR="00BD42C3" w:rsidRPr="00526A54">
        <w:rPr>
          <w:sz w:val="22"/>
          <w:szCs w:val="22"/>
        </w:rPr>
        <w:t>liek</w:t>
      </w:r>
      <w:r w:rsidR="00434612" w:rsidRPr="00526A54">
        <w:rPr>
          <w:sz w:val="22"/>
          <w:szCs w:val="22"/>
        </w:rPr>
        <w:t xml:space="preserve"> použiť okamžite. Ak nie je možné okamžité použitie, za dobu uskladnenia a podmienky skladovania zodpovedá používateľ.</w:t>
      </w:r>
    </w:p>
    <w:p w14:paraId="0E01A30C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6FD8B0C3" w14:textId="793685A9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6.4</w:t>
      </w:r>
      <w:r w:rsidR="00846006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Špeciálne upozornenia na uchovávanie</w:t>
      </w:r>
    </w:p>
    <w:p w14:paraId="67022BE3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95A97D4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Tento liek nevyžaduje žiadne zvláštne podmienky na uchovávanie.</w:t>
      </w:r>
    </w:p>
    <w:p w14:paraId="037F7D3B" w14:textId="77777777" w:rsidR="00434612" w:rsidRPr="00526A54" w:rsidRDefault="00016FCB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Podmienky </w:t>
      </w:r>
      <w:r w:rsidR="008B0F34" w:rsidRPr="00526A54">
        <w:rPr>
          <w:sz w:val="22"/>
          <w:szCs w:val="22"/>
        </w:rPr>
        <w:t xml:space="preserve">na </w:t>
      </w:r>
      <w:r w:rsidR="00434612" w:rsidRPr="00526A54">
        <w:rPr>
          <w:sz w:val="22"/>
          <w:szCs w:val="22"/>
        </w:rPr>
        <w:t>uchovávani</w:t>
      </w:r>
      <w:r w:rsidR="008B0F34" w:rsidRPr="00526A54">
        <w:rPr>
          <w:sz w:val="22"/>
          <w:szCs w:val="22"/>
        </w:rPr>
        <w:t>e</w:t>
      </w:r>
      <w:r w:rsidR="00434612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>po</w:t>
      </w:r>
      <w:r w:rsidR="004D612B" w:rsidRPr="00526A54">
        <w:rPr>
          <w:iCs/>
          <w:sz w:val="22"/>
          <w:szCs w:val="22"/>
        </w:rPr>
        <w:t> </w:t>
      </w:r>
      <w:r w:rsidRPr="00526A54">
        <w:rPr>
          <w:sz w:val="22"/>
          <w:szCs w:val="22"/>
        </w:rPr>
        <w:t>prvom otvorení lieku</w:t>
      </w:r>
      <w:r w:rsidR="00434612" w:rsidRPr="00526A54">
        <w:rPr>
          <w:sz w:val="22"/>
          <w:szCs w:val="22"/>
        </w:rPr>
        <w:t xml:space="preserve">, </w:t>
      </w:r>
      <w:r w:rsidR="008B0F34" w:rsidRPr="00526A54">
        <w:rPr>
          <w:sz w:val="22"/>
          <w:szCs w:val="22"/>
        </w:rPr>
        <w:t>pozri</w:t>
      </w:r>
      <w:r w:rsidR="00434612" w:rsidRPr="00526A54">
        <w:rPr>
          <w:sz w:val="22"/>
          <w:szCs w:val="22"/>
        </w:rPr>
        <w:t xml:space="preserve"> čas</w:t>
      </w:r>
      <w:r w:rsidR="008B0F34" w:rsidRPr="00526A54">
        <w:rPr>
          <w:sz w:val="22"/>
          <w:szCs w:val="22"/>
        </w:rPr>
        <w:t>ť</w:t>
      </w:r>
      <w:r w:rsidR="004D612B" w:rsidRPr="00526A54">
        <w:rPr>
          <w:iCs/>
          <w:sz w:val="22"/>
          <w:szCs w:val="22"/>
        </w:rPr>
        <w:t> </w:t>
      </w:r>
      <w:r w:rsidR="00434612" w:rsidRPr="00526A54">
        <w:rPr>
          <w:sz w:val="22"/>
          <w:szCs w:val="22"/>
        </w:rPr>
        <w:t>6.3.</w:t>
      </w:r>
    </w:p>
    <w:p w14:paraId="4CF3F269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A785E7" w14:textId="09BFC4CF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6.5</w:t>
      </w:r>
      <w:r w:rsidR="00846006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Druh obalu a obsah balenia</w:t>
      </w:r>
    </w:p>
    <w:p w14:paraId="46C8CE00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FB05B8A" w14:textId="497602A2" w:rsidR="00434612" w:rsidRPr="00526A54" w:rsidRDefault="0033524B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Jedna i</w:t>
      </w:r>
      <w:r w:rsidR="00434612" w:rsidRPr="00526A54">
        <w:rPr>
          <w:sz w:val="22"/>
          <w:szCs w:val="22"/>
        </w:rPr>
        <w:t>njekčná liekovka z</w:t>
      </w:r>
      <w:r w:rsidR="003D332E" w:rsidRPr="00526A54">
        <w:rPr>
          <w:sz w:val="22"/>
          <w:szCs w:val="22"/>
        </w:rPr>
        <w:t>o</w:t>
      </w:r>
      <w:r w:rsidR="00434612" w:rsidRPr="00526A54">
        <w:rPr>
          <w:sz w:val="22"/>
          <w:szCs w:val="22"/>
        </w:rPr>
        <w:t> skla typu I</w:t>
      </w:r>
      <w:r w:rsidRPr="00526A54">
        <w:rPr>
          <w:sz w:val="22"/>
          <w:szCs w:val="22"/>
        </w:rPr>
        <w:t xml:space="preserve"> s</w:t>
      </w:r>
      <w:r w:rsidR="00434612" w:rsidRPr="00526A54">
        <w:rPr>
          <w:sz w:val="22"/>
          <w:szCs w:val="22"/>
        </w:rPr>
        <w:t xml:space="preserve"> chlórbutylkaučukov</w:t>
      </w:r>
      <w:r w:rsidRPr="00526A54">
        <w:rPr>
          <w:sz w:val="22"/>
          <w:szCs w:val="22"/>
        </w:rPr>
        <w:t>ou</w:t>
      </w:r>
      <w:r w:rsidR="00434612" w:rsidRPr="00526A54">
        <w:rPr>
          <w:sz w:val="22"/>
          <w:szCs w:val="22"/>
        </w:rPr>
        <w:t xml:space="preserve"> zátk</w:t>
      </w:r>
      <w:r w:rsidRPr="00526A54">
        <w:rPr>
          <w:sz w:val="22"/>
          <w:szCs w:val="22"/>
        </w:rPr>
        <w:t>ou</w:t>
      </w:r>
      <w:r w:rsidR="00434612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 xml:space="preserve">a </w:t>
      </w:r>
      <w:r w:rsidR="00434612" w:rsidRPr="00526A54">
        <w:rPr>
          <w:sz w:val="22"/>
          <w:szCs w:val="22"/>
        </w:rPr>
        <w:t>zvnútra i zvonku lakovan</w:t>
      </w:r>
      <w:r w:rsidRPr="00526A54">
        <w:rPr>
          <w:sz w:val="22"/>
          <w:szCs w:val="22"/>
        </w:rPr>
        <w:t>ým</w:t>
      </w:r>
      <w:r w:rsidR="00434612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 xml:space="preserve">viečkom s </w:t>
      </w:r>
      <w:r w:rsidR="00434612" w:rsidRPr="00526A54">
        <w:rPr>
          <w:sz w:val="22"/>
          <w:szCs w:val="22"/>
        </w:rPr>
        <w:t>hliníkov</w:t>
      </w:r>
      <w:r w:rsidRPr="00526A54">
        <w:rPr>
          <w:sz w:val="22"/>
          <w:szCs w:val="22"/>
        </w:rPr>
        <w:t>ou</w:t>
      </w:r>
      <w:r w:rsidR="00434612" w:rsidRPr="00526A54">
        <w:rPr>
          <w:sz w:val="22"/>
          <w:szCs w:val="22"/>
        </w:rPr>
        <w:t xml:space="preserve"> obrub</w:t>
      </w:r>
      <w:r w:rsidRPr="00526A54">
        <w:rPr>
          <w:sz w:val="22"/>
          <w:szCs w:val="22"/>
        </w:rPr>
        <w:t>ou</w:t>
      </w:r>
      <w:r w:rsidR="00434612" w:rsidRPr="00526A54">
        <w:rPr>
          <w:sz w:val="22"/>
          <w:szCs w:val="22"/>
        </w:rPr>
        <w:t xml:space="preserve">, </w:t>
      </w:r>
      <w:r w:rsidR="003B27B8" w:rsidRPr="00526A54">
        <w:rPr>
          <w:sz w:val="22"/>
          <w:szCs w:val="22"/>
        </w:rPr>
        <w:t>obsahujúca 7,5</w:t>
      </w:r>
      <w:r w:rsidR="004D612B" w:rsidRPr="00526A54">
        <w:rPr>
          <w:iCs/>
          <w:sz w:val="22"/>
          <w:szCs w:val="22"/>
        </w:rPr>
        <w:t> </w:t>
      </w:r>
      <w:r w:rsidR="003B27B8" w:rsidRPr="00526A54">
        <w:rPr>
          <w:sz w:val="22"/>
          <w:szCs w:val="22"/>
        </w:rPr>
        <w:t>ml, 15</w:t>
      </w:r>
      <w:r w:rsidR="004D612B" w:rsidRPr="00526A54">
        <w:rPr>
          <w:iCs/>
          <w:sz w:val="22"/>
          <w:szCs w:val="22"/>
        </w:rPr>
        <w:t> </w:t>
      </w:r>
      <w:r w:rsidR="003B27B8" w:rsidRPr="00526A54">
        <w:rPr>
          <w:sz w:val="22"/>
          <w:szCs w:val="22"/>
        </w:rPr>
        <w:t>ml alebo 30</w:t>
      </w:r>
      <w:r w:rsidR="004D612B" w:rsidRPr="00526A54">
        <w:rPr>
          <w:iCs/>
          <w:sz w:val="22"/>
          <w:szCs w:val="22"/>
        </w:rPr>
        <w:t> </w:t>
      </w:r>
      <w:r w:rsidR="003B27B8" w:rsidRPr="00526A54">
        <w:rPr>
          <w:sz w:val="22"/>
          <w:szCs w:val="22"/>
        </w:rPr>
        <w:t xml:space="preserve">ml </w:t>
      </w:r>
      <w:r w:rsidR="00D92932" w:rsidRPr="00526A54">
        <w:rPr>
          <w:sz w:val="22"/>
          <w:szCs w:val="22"/>
        </w:rPr>
        <w:t>injekčného roztoku</w:t>
      </w:r>
      <w:r w:rsidR="003B27B8" w:rsidRPr="00526A54">
        <w:rPr>
          <w:sz w:val="22"/>
          <w:szCs w:val="22"/>
        </w:rPr>
        <w:t>.</w:t>
      </w:r>
    </w:p>
    <w:p w14:paraId="0BB4A596" w14:textId="77777777" w:rsidR="003D332E" w:rsidRPr="00526A54" w:rsidRDefault="003D332E" w:rsidP="00526A54">
      <w:pPr>
        <w:outlineLvl w:val="0"/>
        <w:rPr>
          <w:sz w:val="22"/>
          <w:szCs w:val="22"/>
        </w:rPr>
      </w:pPr>
    </w:p>
    <w:p w14:paraId="5A7E940E" w14:textId="4D140A26" w:rsidR="003D332E" w:rsidRPr="00526A54" w:rsidRDefault="0033524B" w:rsidP="00526A54">
      <w:pPr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>Jedna f</w:t>
      </w:r>
      <w:r w:rsidR="003D332E" w:rsidRPr="00526A54">
        <w:rPr>
          <w:sz w:val="22"/>
          <w:szCs w:val="22"/>
        </w:rPr>
        <w:t>ľaša zo skla typu II s</w:t>
      </w:r>
      <w:r w:rsidRPr="00526A54">
        <w:rPr>
          <w:sz w:val="22"/>
          <w:szCs w:val="22"/>
        </w:rPr>
        <w:t> </w:t>
      </w:r>
      <w:r w:rsidR="003D332E" w:rsidRPr="00526A54">
        <w:rPr>
          <w:sz w:val="22"/>
          <w:szCs w:val="22"/>
        </w:rPr>
        <w:t>chlórbutylkaučuk</w:t>
      </w:r>
      <w:r w:rsidRPr="00526A54">
        <w:rPr>
          <w:sz w:val="22"/>
          <w:szCs w:val="22"/>
        </w:rPr>
        <w:t>ovou zátkou a</w:t>
      </w:r>
      <w:r w:rsidR="00AD3116" w:rsidRPr="00526A54">
        <w:rPr>
          <w:sz w:val="22"/>
          <w:szCs w:val="22"/>
        </w:rPr>
        <w:t xml:space="preserve"> </w:t>
      </w:r>
      <w:r w:rsidR="003D332E" w:rsidRPr="00526A54">
        <w:rPr>
          <w:sz w:val="22"/>
          <w:szCs w:val="22"/>
        </w:rPr>
        <w:t>zvnútra i zvonku lakovan</w:t>
      </w:r>
      <w:r w:rsidRPr="00526A54">
        <w:rPr>
          <w:sz w:val="22"/>
          <w:szCs w:val="22"/>
        </w:rPr>
        <w:t>ým viečkom s</w:t>
      </w:r>
      <w:r w:rsidR="003D332E" w:rsidRPr="00526A54">
        <w:rPr>
          <w:sz w:val="22"/>
          <w:szCs w:val="22"/>
        </w:rPr>
        <w:t xml:space="preserve"> hliníkov</w:t>
      </w:r>
      <w:r w:rsidRPr="00526A54">
        <w:rPr>
          <w:sz w:val="22"/>
          <w:szCs w:val="22"/>
        </w:rPr>
        <w:t>ou</w:t>
      </w:r>
      <w:r w:rsidR="003D332E" w:rsidRPr="00526A54">
        <w:rPr>
          <w:sz w:val="22"/>
          <w:szCs w:val="22"/>
        </w:rPr>
        <w:t xml:space="preserve"> obrub</w:t>
      </w:r>
      <w:r w:rsidRPr="00526A54">
        <w:rPr>
          <w:sz w:val="22"/>
          <w:szCs w:val="22"/>
        </w:rPr>
        <w:t>ou</w:t>
      </w:r>
      <w:r w:rsidR="003D332E" w:rsidRPr="00526A54">
        <w:rPr>
          <w:sz w:val="22"/>
          <w:szCs w:val="22"/>
        </w:rPr>
        <w:t>, obsahujúca 65</w:t>
      </w:r>
      <w:r w:rsidR="004D612B" w:rsidRPr="00526A54">
        <w:rPr>
          <w:iCs/>
          <w:sz w:val="22"/>
          <w:szCs w:val="22"/>
        </w:rPr>
        <w:t> </w:t>
      </w:r>
      <w:r w:rsidR="003D332E" w:rsidRPr="00526A54">
        <w:rPr>
          <w:sz w:val="22"/>
          <w:szCs w:val="22"/>
        </w:rPr>
        <w:t xml:space="preserve">ml </w:t>
      </w:r>
      <w:r w:rsidR="00D92932" w:rsidRPr="00526A54">
        <w:rPr>
          <w:sz w:val="22"/>
          <w:szCs w:val="22"/>
        </w:rPr>
        <w:t>injekčného roztoku</w:t>
      </w:r>
      <w:r w:rsidR="003D332E" w:rsidRPr="00526A54">
        <w:rPr>
          <w:sz w:val="22"/>
          <w:szCs w:val="22"/>
        </w:rPr>
        <w:t>.</w:t>
      </w:r>
    </w:p>
    <w:p w14:paraId="4502CE01" w14:textId="77777777" w:rsidR="003D332E" w:rsidRPr="00526A54" w:rsidRDefault="003D332E" w:rsidP="00526A54">
      <w:pPr>
        <w:outlineLvl w:val="0"/>
        <w:rPr>
          <w:sz w:val="22"/>
          <w:szCs w:val="22"/>
        </w:rPr>
      </w:pPr>
    </w:p>
    <w:p w14:paraId="13F85E2B" w14:textId="14D63C7C" w:rsidR="00434612" w:rsidRPr="00526A54" w:rsidRDefault="00434612" w:rsidP="00526A54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526A54">
        <w:rPr>
          <w:sz w:val="22"/>
          <w:szCs w:val="22"/>
          <w:lang w:val="sk-SK"/>
        </w:rPr>
        <w:t>Veľkosť balenia</w:t>
      </w:r>
      <w:r w:rsidR="00BD0AB9" w:rsidRPr="00526A54">
        <w:rPr>
          <w:sz w:val="22"/>
          <w:szCs w:val="22"/>
          <w:lang w:val="sk-SK"/>
        </w:rPr>
        <w:t>:</w:t>
      </w:r>
    </w:p>
    <w:p w14:paraId="746F60D2" w14:textId="79DB0B01" w:rsidR="008F0126" w:rsidRPr="00526A54" w:rsidRDefault="008F0126" w:rsidP="00526A54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526A54">
        <w:rPr>
          <w:sz w:val="22"/>
          <w:szCs w:val="22"/>
          <w:lang w:val="sk-SK"/>
        </w:rPr>
        <w:t>1 a 10 injekčných liekoviek so 7,5</w:t>
      </w:r>
      <w:r w:rsidR="00CE692B" w:rsidRPr="00526A54">
        <w:rPr>
          <w:sz w:val="22"/>
          <w:szCs w:val="22"/>
          <w:lang w:val="sk-SK"/>
        </w:rPr>
        <w:t>;</w:t>
      </w:r>
      <w:r w:rsidRPr="00526A54">
        <w:rPr>
          <w:sz w:val="22"/>
          <w:szCs w:val="22"/>
          <w:lang w:val="sk-SK"/>
        </w:rPr>
        <w:t xml:space="preserve"> 15 alebo 30</w:t>
      </w:r>
      <w:r w:rsidR="004D612B" w:rsidRPr="00526A54">
        <w:rPr>
          <w:iCs/>
          <w:sz w:val="22"/>
          <w:szCs w:val="22"/>
          <w:lang w:val="sk-SK"/>
        </w:rPr>
        <w:t> </w:t>
      </w:r>
      <w:r w:rsidRPr="00526A54">
        <w:rPr>
          <w:sz w:val="22"/>
          <w:szCs w:val="22"/>
          <w:lang w:val="sk-SK"/>
        </w:rPr>
        <w:t xml:space="preserve">ml </w:t>
      </w:r>
      <w:r w:rsidR="00D92932" w:rsidRPr="00526A54">
        <w:rPr>
          <w:sz w:val="22"/>
          <w:szCs w:val="22"/>
          <w:lang w:val="sk-SK"/>
        </w:rPr>
        <w:t>injekčného roztoku</w:t>
      </w:r>
    </w:p>
    <w:p w14:paraId="6FE25EEF" w14:textId="77777777" w:rsidR="008F0126" w:rsidRPr="00526A54" w:rsidRDefault="008F0126" w:rsidP="00526A54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526A54">
        <w:rPr>
          <w:sz w:val="22"/>
          <w:szCs w:val="22"/>
          <w:lang w:val="sk-SK"/>
        </w:rPr>
        <w:t>1 a 10 fliaš so 65</w:t>
      </w:r>
      <w:r w:rsidR="004D612B" w:rsidRPr="00526A54">
        <w:rPr>
          <w:iCs/>
          <w:sz w:val="22"/>
          <w:szCs w:val="22"/>
          <w:lang w:val="sk-SK"/>
        </w:rPr>
        <w:t> </w:t>
      </w:r>
      <w:r w:rsidRPr="00526A54">
        <w:rPr>
          <w:sz w:val="22"/>
          <w:szCs w:val="22"/>
          <w:lang w:val="sk-SK"/>
        </w:rPr>
        <w:t xml:space="preserve">ml </w:t>
      </w:r>
      <w:r w:rsidR="00D92932" w:rsidRPr="00526A54">
        <w:rPr>
          <w:sz w:val="22"/>
          <w:szCs w:val="22"/>
          <w:lang w:val="sk-SK"/>
        </w:rPr>
        <w:t>injekčného roztoku</w:t>
      </w:r>
    </w:p>
    <w:p w14:paraId="5A60E066" w14:textId="77777777" w:rsidR="00994492" w:rsidRPr="00526A54" w:rsidRDefault="00994492" w:rsidP="00526A54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</w:p>
    <w:p w14:paraId="5D5B9DCE" w14:textId="77777777" w:rsidR="00434612" w:rsidRPr="00526A54" w:rsidRDefault="00434612" w:rsidP="00526A54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>N</w:t>
      </w:r>
      <w:r w:rsidR="00D40ABE" w:rsidRPr="00526A54">
        <w:rPr>
          <w:sz w:val="22"/>
          <w:szCs w:val="22"/>
        </w:rPr>
        <w:t>a</w:t>
      </w:r>
      <w:r w:rsidRPr="00526A54">
        <w:rPr>
          <w:sz w:val="22"/>
          <w:szCs w:val="22"/>
        </w:rPr>
        <w:t xml:space="preserve"> </w:t>
      </w:r>
      <w:r w:rsidR="00D40ABE" w:rsidRPr="00526A54">
        <w:rPr>
          <w:sz w:val="22"/>
          <w:szCs w:val="22"/>
        </w:rPr>
        <w:t xml:space="preserve">trh nemusia byť uvedené </w:t>
      </w:r>
      <w:r w:rsidRPr="00526A54">
        <w:rPr>
          <w:sz w:val="22"/>
          <w:szCs w:val="22"/>
        </w:rPr>
        <w:t>všetky veľkosti balenia.</w:t>
      </w:r>
    </w:p>
    <w:p w14:paraId="1EC1C952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0B550E55" w14:textId="5466945D" w:rsidR="00434612" w:rsidRPr="00526A54" w:rsidRDefault="00434612" w:rsidP="00526A54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26A54">
        <w:rPr>
          <w:b/>
          <w:bCs/>
          <w:sz w:val="22"/>
          <w:szCs w:val="22"/>
        </w:rPr>
        <w:t>6.6</w:t>
      </w:r>
      <w:r w:rsidR="00846006" w:rsidRPr="00526A54">
        <w:rPr>
          <w:b/>
          <w:bCs/>
          <w:sz w:val="22"/>
          <w:szCs w:val="22"/>
        </w:rPr>
        <w:tab/>
      </w:r>
      <w:r w:rsidRPr="00526A54">
        <w:rPr>
          <w:b/>
          <w:bCs/>
          <w:sz w:val="22"/>
          <w:szCs w:val="22"/>
        </w:rPr>
        <w:t>Špeciálne opatrenia na likvidáciu a iné zaobchádzanie s liekom</w:t>
      </w:r>
    </w:p>
    <w:p w14:paraId="5913878D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</w:p>
    <w:p w14:paraId="5D4420A9" w14:textId="77777777" w:rsidR="00434612" w:rsidRPr="00526A54" w:rsidRDefault="00434612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sz w:val="22"/>
          <w:szCs w:val="22"/>
        </w:rPr>
        <w:t>Kontrastná</w:t>
      </w:r>
      <w:r w:rsidR="005476E7" w:rsidRPr="00526A54">
        <w:rPr>
          <w:sz w:val="22"/>
          <w:szCs w:val="22"/>
        </w:rPr>
        <w:t xml:space="preserve"> </w:t>
      </w:r>
      <w:r w:rsidRPr="00526A54">
        <w:rPr>
          <w:sz w:val="22"/>
          <w:szCs w:val="22"/>
        </w:rPr>
        <w:t xml:space="preserve">látka, ktorá sa nepoužila pri </w:t>
      </w:r>
      <w:r w:rsidR="00181FA2" w:rsidRPr="00526A54">
        <w:rPr>
          <w:sz w:val="22"/>
          <w:szCs w:val="22"/>
        </w:rPr>
        <w:t xml:space="preserve">jednom </w:t>
      </w:r>
      <w:r w:rsidRPr="00526A54">
        <w:rPr>
          <w:sz w:val="22"/>
          <w:szCs w:val="22"/>
        </w:rPr>
        <w:t>vyšetrení, sa musí zlikvidovať.</w:t>
      </w:r>
    </w:p>
    <w:p w14:paraId="0A4BF6A0" w14:textId="37A173F0" w:rsidR="00434612" w:rsidRPr="00526A54" w:rsidRDefault="00BD0AB9" w:rsidP="00526A54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26A54">
        <w:rPr>
          <w:noProof/>
          <w:sz w:val="22"/>
          <w:szCs w:val="22"/>
        </w:rPr>
        <w:t xml:space="preserve">Všetok nepoužitý liek alebo odpad vzniknutý z lieku </w:t>
      </w:r>
      <w:bookmarkStart w:id="14" w:name="_Hlk47616775"/>
      <w:r w:rsidRPr="00526A54">
        <w:rPr>
          <w:noProof/>
          <w:sz w:val="22"/>
          <w:szCs w:val="22"/>
        </w:rPr>
        <w:t>sa má zlikvidovať v súlade s národnými požiadavkami</w:t>
      </w:r>
      <w:bookmarkEnd w:id="14"/>
      <w:r w:rsidRPr="00526A54">
        <w:rPr>
          <w:noProof/>
          <w:sz w:val="22"/>
          <w:szCs w:val="22"/>
        </w:rPr>
        <w:t>.</w:t>
      </w:r>
    </w:p>
    <w:p w14:paraId="47E98525" w14:textId="77777777" w:rsidR="00BD0AB9" w:rsidRPr="00526A54" w:rsidRDefault="00BD0AB9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E5859C2" w14:textId="6DC9E976" w:rsidR="00DC1ACA" w:rsidRPr="00526A54" w:rsidRDefault="005E6E30" w:rsidP="00526A54">
      <w:pPr>
        <w:autoSpaceDE w:val="0"/>
        <w:autoSpaceDN w:val="0"/>
        <w:adjustRightInd w:val="0"/>
        <w:rPr>
          <w:sz w:val="22"/>
          <w:szCs w:val="22"/>
        </w:rPr>
      </w:pPr>
      <w:r w:rsidRPr="00526A54">
        <w:rPr>
          <w:rFonts w:eastAsia="Times New Roman"/>
          <w:sz w:val="22"/>
          <w:szCs w:val="22"/>
          <w:lang w:eastAsia="en-US"/>
        </w:rPr>
        <w:t>Na záznam z</w:t>
      </w:r>
      <w:r w:rsidR="004D612B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vyšetrenia pacienta sa má nalepiť odlepovací označovací štítok z</w:t>
      </w:r>
      <w:r w:rsidR="004D612B" w:rsidRPr="00526A54">
        <w:rPr>
          <w:iCs/>
          <w:sz w:val="22"/>
          <w:szCs w:val="22"/>
        </w:rPr>
        <w:t> </w:t>
      </w:r>
      <w:r w:rsidRPr="00526A54">
        <w:rPr>
          <w:rFonts w:eastAsia="Times New Roman"/>
          <w:sz w:val="22"/>
          <w:szCs w:val="22"/>
          <w:lang w:eastAsia="en-US"/>
        </w:rPr>
        <w:t>injekčných liekoviek/fliaš, aby bolo možné presne zaznamenať, ktorá kontrastná látka obsahujúca gadolínium sa použila. Má sa zaznamenať aj použitá dávka.</w:t>
      </w:r>
      <w:r w:rsidR="00BD0AB9" w:rsidRPr="00526A54">
        <w:rPr>
          <w:rFonts w:eastAsia="Times New Roman"/>
          <w:sz w:val="22"/>
          <w:szCs w:val="22"/>
          <w:lang w:eastAsia="en-US"/>
        </w:rPr>
        <w:t xml:space="preserve"> </w:t>
      </w:r>
      <w:r w:rsidR="00DC1ACA" w:rsidRPr="00526A54">
        <w:rPr>
          <w:sz w:val="22"/>
          <w:szCs w:val="22"/>
        </w:rPr>
        <w:t xml:space="preserve">Ak sa používa elektronická zdravotná dokumentácia, má sa do záznamu z vyšetrenia pacienta </w:t>
      </w:r>
      <w:r w:rsidR="008B3103" w:rsidRPr="00526A54">
        <w:rPr>
          <w:sz w:val="22"/>
          <w:szCs w:val="22"/>
        </w:rPr>
        <w:t xml:space="preserve">zaznamenať </w:t>
      </w:r>
      <w:r w:rsidR="00DC1ACA" w:rsidRPr="00526A54">
        <w:rPr>
          <w:sz w:val="22"/>
          <w:szCs w:val="22"/>
        </w:rPr>
        <w:t>názov lieku, číslo šarže a použitá dávka.</w:t>
      </w:r>
    </w:p>
    <w:p w14:paraId="3E78199B" w14:textId="77777777" w:rsidR="00434612" w:rsidRPr="00526A54" w:rsidRDefault="00434612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07B16A5" w14:textId="77777777" w:rsidR="005E6E30" w:rsidRPr="00526A54" w:rsidRDefault="005E6E30" w:rsidP="00526A5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D20686C" w14:textId="1BD94973" w:rsidR="00434612" w:rsidRPr="00526A54" w:rsidRDefault="00434612" w:rsidP="00526A54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526A54">
        <w:rPr>
          <w:b/>
          <w:sz w:val="22"/>
          <w:szCs w:val="22"/>
        </w:rPr>
        <w:t>7.</w:t>
      </w:r>
      <w:r w:rsidR="00846006" w:rsidRPr="00526A54">
        <w:rPr>
          <w:b/>
          <w:sz w:val="22"/>
          <w:szCs w:val="22"/>
        </w:rPr>
        <w:tab/>
      </w:r>
      <w:r w:rsidRPr="00526A54">
        <w:rPr>
          <w:b/>
          <w:sz w:val="22"/>
          <w:szCs w:val="22"/>
        </w:rPr>
        <w:t>DRŽITEĽ ROZHODNUTIA O REGISTRÁCII</w:t>
      </w:r>
    </w:p>
    <w:p w14:paraId="4F52BEB7" w14:textId="77777777" w:rsidR="00434612" w:rsidRPr="00526A54" w:rsidRDefault="00434612" w:rsidP="00526A54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346B5743" w14:textId="77777777" w:rsidR="00434612" w:rsidRPr="00526A54" w:rsidRDefault="00434612" w:rsidP="00526A54">
      <w:pPr>
        <w:tabs>
          <w:tab w:val="left" w:pos="8789"/>
        </w:tabs>
        <w:ind w:right="-1"/>
        <w:outlineLvl w:val="0"/>
        <w:rPr>
          <w:sz w:val="22"/>
          <w:szCs w:val="22"/>
        </w:rPr>
      </w:pPr>
      <w:r w:rsidRPr="00526A54">
        <w:rPr>
          <w:sz w:val="22"/>
          <w:szCs w:val="22"/>
        </w:rPr>
        <w:t xml:space="preserve">Bayer AG </w:t>
      </w:r>
    </w:p>
    <w:p w14:paraId="14FF6495" w14:textId="77777777" w:rsidR="00B50CC2" w:rsidRPr="00526A54" w:rsidRDefault="00BD67BE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Kaiser-Wilhelm-Allee 1</w:t>
      </w:r>
    </w:p>
    <w:p w14:paraId="24C2674C" w14:textId="77777777" w:rsidR="00434612" w:rsidRPr="00526A54" w:rsidRDefault="00BD67BE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>513 73 Leverkusen</w:t>
      </w:r>
    </w:p>
    <w:p w14:paraId="510186CE" w14:textId="77777777" w:rsidR="00434612" w:rsidRPr="00526A54" w:rsidRDefault="00434612" w:rsidP="00526A54">
      <w:pPr>
        <w:rPr>
          <w:sz w:val="22"/>
          <w:szCs w:val="22"/>
        </w:rPr>
      </w:pPr>
      <w:r w:rsidRPr="00526A54">
        <w:rPr>
          <w:sz w:val="22"/>
          <w:szCs w:val="22"/>
        </w:rPr>
        <w:t xml:space="preserve">Nemecko </w:t>
      </w:r>
    </w:p>
    <w:p w14:paraId="429D6F84" w14:textId="77777777" w:rsidR="00434612" w:rsidRPr="00526A54" w:rsidRDefault="00434612" w:rsidP="00526A54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CCBFD43" w14:textId="77777777" w:rsidR="00434612" w:rsidRPr="00526A54" w:rsidRDefault="00434612" w:rsidP="00526A54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8BFB2CE" w14:textId="295F4BB7" w:rsidR="00434612" w:rsidRPr="00526A54" w:rsidRDefault="00434612" w:rsidP="00526A54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526A54">
        <w:rPr>
          <w:b/>
          <w:sz w:val="22"/>
          <w:szCs w:val="22"/>
        </w:rPr>
        <w:t>8.</w:t>
      </w:r>
      <w:r w:rsidR="00846006" w:rsidRPr="00526A54">
        <w:rPr>
          <w:b/>
          <w:sz w:val="22"/>
          <w:szCs w:val="22"/>
        </w:rPr>
        <w:tab/>
      </w:r>
      <w:r w:rsidRPr="00526A54">
        <w:rPr>
          <w:b/>
          <w:sz w:val="22"/>
          <w:szCs w:val="22"/>
        </w:rPr>
        <w:t>REGISTRAČNÉ  ČÍSLO</w:t>
      </w:r>
    </w:p>
    <w:p w14:paraId="5D3B5CE7" w14:textId="77777777" w:rsidR="00434612" w:rsidRPr="00526A54" w:rsidRDefault="00434612" w:rsidP="00526A54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3633E620" w14:textId="599616B8" w:rsidR="00434612" w:rsidRPr="00526A54" w:rsidRDefault="00D21C32" w:rsidP="00526A54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r w:rsidRPr="00526A54">
        <w:rPr>
          <w:sz w:val="22"/>
          <w:szCs w:val="22"/>
        </w:rPr>
        <w:t>48/0383/19-S</w:t>
      </w:r>
    </w:p>
    <w:p w14:paraId="6DF270C0" w14:textId="77777777" w:rsidR="00D21C32" w:rsidRPr="00526A54" w:rsidRDefault="00D21C32" w:rsidP="00526A54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0010315F" w14:textId="77777777" w:rsidR="00434612" w:rsidRPr="00526A54" w:rsidRDefault="00434612" w:rsidP="00526A54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0842B187" w14:textId="53ADCDAD" w:rsidR="00434612" w:rsidRPr="00526A54" w:rsidRDefault="00BD0AB9" w:rsidP="00526A54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526A54">
        <w:rPr>
          <w:b/>
          <w:sz w:val="22"/>
          <w:szCs w:val="22"/>
        </w:rPr>
        <w:t>9.</w:t>
      </w:r>
      <w:r w:rsidR="00846006" w:rsidRPr="00526A54">
        <w:rPr>
          <w:b/>
          <w:sz w:val="22"/>
          <w:szCs w:val="22"/>
        </w:rPr>
        <w:tab/>
      </w:r>
      <w:r w:rsidR="00434612" w:rsidRPr="00526A54">
        <w:rPr>
          <w:b/>
          <w:sz w:val="22"/>
          <w:szCs w:val="22"/>
        </w:rPr>
        <w:t xml:space="preserve">DÁTUM </w:t>
      </w:r>
      <w:r w:rsidR="002453C8" w:rsidRPr="00526A54">
        <w:rPr>
          <w:b/>
          <w:sz w:val="22"/>
          <w:szCs w:val="22"/>
        </w:rPr>
        <w:t xml:space="preserve">PRVEJ </w:t>
      </w:r>
      <w:r w:rsidR="009341F7" w:rsidRPr="00526A54">
        <w:rPr>
          <w:b/>
          <w:sz w:val="22"/>
          <w:szCs w:val="22"/>
        </w:rPr>
        <w:t xml:space="preserve">REGISTRÁCIE/ </w:t>
      </w:r>
      <w:r w:rsidR="00434612" w:rsidRPr="00526A54">
        <w:rPr>
          <w:b/>
          <w:sz w:val="22"/>
          <w:szCs w:val="22"/>
        </w:rPr>
        <w:t>PREDĹŽENIA REGISTRÁCIE</w:t>
      </w:r>
    </w:p>
    <w:p w14:paraId="01A13B60" w14:textId="77777777" w:rsidR="00434612" w:rsidRPr="00526A54" w:rsidRDefault="00434612" w:rsidP="00526A54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216F7CE8" w14:textId="4D7F876E" w:rsidR="00434612" w:rsidRPr="00526A54" w:rsidRDefault="002453C8" w:rsidP="00526A54">
      <w:pPr>
        <w:pStyle w:val="Pta"/>
        <w:tabs>
          <w:tab w:val="clear" w:pos="4536"/>
          <w:tab w:val="clear" w:pos="9072"/>
        </w:tabs>
        <w:outlineLvl w:val="0"/>
        <w:rPr>
          <w:bCs/>
          <w:sz w:val="22"/>
          <w:szCs w:val="22"/>
          <w:lang w:val="sk-SK"/>
        </w:rPr>
      </w:pPr>
      <w:r w:rsidRPr="00526A54">
        <w:rPr>
          <w:bCs/>
          <w:sz w:val="22"/>
          <w:szCs w:val="22"/>
        </w:rPr>
        <w:t xml:space="preserve">Dátum prvej registrácie: </w:t>
      </w:r>
      <w:r w:rsidR="0059713A" w:rsidRPr="00526A54">
        <w:rPr>
          <w:bCs/>
          <w:sz w:val="22"/>
          <w:szCs w:val="22"/>
          <w:lang w:val="sk-SK"/>
        </w:rPr>
        <w:t>17. decembra 2019</w:t>
      </w:r>
    </w:p>
    <w:p w14:paraId="1A7A9ADA" w14:textId="77777777" w:rsidR="002453C8" w:rsidRPr="00526A54" w:rsidRDefault="002453C8" w:rsidP="00526A54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6C9357A3" w14:textId="77777777" w:rsidR="00434612" w:rsidRPr="00526A54" w:rsidRDefault="00434612" w:rsidP="00526A54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6B95FC20" w14:textId="1B401061" w:rsidR="00434612" w:rsidRPr="00526A54" w:rsidRDefault="00434612" w:rsidP="00526A54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526A54">
        <w:rPr>
          <w:b/>
          <w:sz w:val="22"/>
          <w:szCs w:val="22"/>
        </w:rPr>
        <w:t>10.</w:t>
      </w:r>
      <w:r w:rsidR="00846006" w:rsidRPr="00526A54">
        <w:rPr>
          <w:b/>
          <w:sz w:val="22"/>
          <w:szCs w:val="22"/>
        </w:rPr>
        <w:tab/>
      </w:r>
      <w:r w:rsidRPr="00526A54">
        <w:rPr>
          <w:b/>
          <w:sz w:val="22"/>
          <w:szCs w:val="22"/>
        </w:rPr>
        <w:t>DÁTUM REVÍZIE</w:t>
      </w:r>
      <w:r w:rsidR="00BD67BE" w:rsidRPr="00526A54">
        <w:rPr>
          <w:b/>
          <w:sz w:val="22"/>
          <w:szCs w:val="22"/>
          <w:lang w:val="sk-SK"/>
        </w:rPr>
        <w:t xml:space="preserve"> TEXTU</w:t>
      </w:r>
    </w:p>
    <w:p w14:paraId="73F657D3" w14:textId="44E4546A" w:rsidR="00434612" w:rsidRPr="00526A54" w:rsidRDefault="00434612" w:rsidP="00526A54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068743A6" w14:textId="77F326F8" w:rsidR="0066357E" w:rsidRPr="00526A54" w:rsidRDefault="0059713A" w:rsidP="00526A54">
      <w:pPr>
        <w:pStyle w:val="Pta"/>
        <w:tabs>
          <w:tab w:val="clear" w:pos="4536"/>
          <w:tab w:val="clear" w:pos="9072"/>
        </w:tabs>
        <w:rPr>
          <w:bCs/>
          <w:sz w:val="22"/>
          <w:szCs w:val="22"/>
          <w:lang w:val="sk-SK"/>
        </w:rPr>
      </w:pPr>
      <w:r w:rsidRPr="00526A54">
        <w:rPr>
          <w:bCs/>
          <w:sz w:val="22"/>
          <w:szCs w:val="22"/>
          <w:lang w:val="sk-SK"/>
        </w:rPr>
        <w:t>09/2020</w:t>
      </w:r>
    </w:p>
    <w:sectPr w:rsidR="0066357E" w:rsidRPr="00526A54" w:rsidSect="00526A54">
      <w:headerReference w:type="default" r:id="rId12"/>
      <w:footerReference w:type="default" r:id="rId13"/>
      <w:headerReference w:type="first" r:id="rId14"/>
      <w:pgSz w:w="12240" w:h="15840" w:code="1"/>
      <w:pgMar w:top="1134" w:right="1418" w:bottom="1134" w:left="1418" w:header="737" w:footer="737" w:gutter="0"/>
      <w:cols w:space="72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BB1E1D" w16cid:durableId="22D560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75D2" w14:textId="77777777" w:rsidR="00526A54" w:rsidRDefault="00526A54" w:rsidP="00113D29">
      <w:r>
        <w:separator/>
      </w:r>
    </w:p>
  </w:endnote>
  <w:endnote w:type="continuationSeparator" w:id="0">
    <w:p w14:paraId="0B924760" w14:textId="77777777" w:rsidR="00526A54" w:rsidRDefault="00526A54" w:rsidP="00113D29">
      <w:r>
        <w:continuationSeparator/>
      </w:r>
    </w:p>
  </w:endnote>
  <w:endnote w:type="continuationNotice" w:id="1">
    <w:p w14:paraId="0588963C" w14:textId="77777777" w:rsidR="00526A54" w:rsidRDefault="00526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4009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09FDC80" w14:textId="4C75AAD2" w:rsidR="00526A54" w:rsidRPr="00526A54" w:rsidRDefault="00526A54" w:rsidP="00526A54">
        <w:pPr>
          <w:pStyle w:val="Pta"/>
          <w:jc w:val="center"/>
          <w:rPr>
            <w:sz w:val="18"/>
            <w:szCs w:val="18"/>
          </w:rPr>
        </w:pPr>
        <w:r w:rsidRPr="00526A54">
          <w:rPr>
            <w:sz w:val="18"/>
            <w:szCs w:val="18"/>
          </w:rPr>
          <w:fldChar w:fldCharType="begin"/>
        </w:r>
        <w:r w:rsidRPr="00526A54">
          <w:rPr>
            <w:sz w:val="18"/>
            <w:szCs w:val="18"/>
          </w:rPr>
          <w:instrText>PAGE   \* MERGEFORMAT</w:instrText>
        </w:r>
        <w:r w:rsidRPr="00526A54">
          <w:rPr>
            <w:sz w:val="18"/>
            <w:szCs w:val="18"/>
          </w:rPr>
          <w:fldChar w:fldCharType="separate"/>
        </w:r>
        <w:r w:rsidR="008331A9" w:rsidRPr="008331A9">
          <w:rPr>
            <w:noProof/>
            <w:sz w:val="18"/>
            <w:szCs w:val="18"/>
            <w:lang w:val="sk-SK"/>
          </w:rPr>
          <w:t>12</w:t>
        </w:r>
        <w:r w:rsidRPr="00526A5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94D28" w14:textId="77777777" w:rsidR="00526A54" w:rsidRDefault="00526A54" w:rsidP="00113D29">
      <w:r>
        <w:separator/>
      </w:r>
    </w:p>
  </w:footnote>
  <w:footnote w:type="continuationSeparator" w:id="0">
    <w:p w14:paraId="0B7A8E92" w14:textId="77777777" w:rsidR="00526A54" w:rsidRDefault="00526A54" w:rsidP="00113D29">
      <w:r>
        <w:continuationSeparator/>
      </w:r>
    </w:p>
  </w:footnote>
  <w:footnote w:type="continuationNotice" w:id="1">
    <w:p w14:paraId="07422C71" w14:textId="77777777" w:rsidR="00526A54" w:rsidRDefault="00526A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10311" w14:textId="3D7F7E45" w:rsidR="00526A54" w:rsidRPr="00251A5B" w:rsidRDefault="00526A54" w:rsidP="00573A98">
    <w:pPr>
      <w:pStyle w:val="Hlavika"/>
      <w:rPr>
        <w:sz w:val="18"/>
        <w:szCs w:val="18"/>
        <w:lang w:val="sk-SK"/>
      </w:rPr>
    </w:pPr>
    <w:r w:rsidRPr="00251A5B">
      <w:rPr>
        <w:sz w:val="18"/>
        <w:szCs w:val="18"/>
        <w:lang w:val="sk-SK"/>
      </w:rPr>
      <w:t>Schválený text k rozhodnutiu o </w:t>
    </w:r>
    <w:r>
      <w:rPr>
        <w:sz w:val="18"/>
        <w:szCs w:val="18"/>
        <w:lang w:val="sk-SK"/>
      </w:rPr>
      <w:t>zmene</w:t>
    </w:r>
    <w:r w:rsidRPr="00251A5B">
      <w:rPr>
        <w:sz w:val="18"/>
        <w:szCs w:val="18"/>
        <w:lang w:val="sk-SK"/>
      </w:rPr>
      <w:t>, ev.</w:t>
    </w:r>
    <w:r>
      <w:rPr>
        <w:sz w:val="18"/>
        <w:szCs w:val="18"/>
        <w:lang w:val="sk-SK"/>
      </w:rPr>
      <w:t xml:space="preserve"> </w:t>
    </w:r>
    <w:r w:rsidRPr="00251A5B">
      <w:rPr>
        <w:sz w:val="18"/>
        <w:szCs w:val="18"/>
        <w:lang w:val="sk-SK"/>
      </w:rPr>
      <w:t>č.:</w:t>
    </w:r>
    <w:r>
      <w:rPr>
        <w:sz w:val="18"/>
        <w:szCs w:val="18"/>
        <w:lang w:val="sk-SK"/>
      </w:rPr>
      <w:t xml:space="preserve"> 2019/06657-ZME</w:t>
    </w:r>
  </w:p>
  <w:p w14:paraId="539DDF83" w14:textId="77777777" w:rsidR="00526A54" w:rsidRDefault="00526A5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5CA01" w14:textId="4F3D83C1" w:rsidR="00526A54" w:rsidRDefault="00526A54">
    <w:pPr>
      <w:pStyle w:val="Hlavika"/>
    </w:pPr>
    <w:r>
      <w:rPr>
        <w:sz w:val="18"/>
        <w:szCs w:val="18"/>
        <w:lang w:val="en-US"/>
      </w:rPr>
      <w:t>Pr</w:t>
    </w:r>
    <w:r>
      <w:rPr>
        <w:sz w:val="18"/>
        <w:szCs w:val="18"/>
        <w:lang w:val="sk-SK"/>
      </w:rPr>
      <w:t>íloha č.1 k notifikácii o zmene, ev.č.: VS 7326084291</w:t>
    </w:r>
    <w:r>
      <w:rPr>
        <w:noProof/>
        <w:lang w:val="sk-SK" w:eastAsia="sk-SK"/>
      </w:rPr>
      <w:drawing>
        <wp:inline distT="0" distB="0" distL="0" distR="0" wp14:anchorId="1D342F33" wp14:editId="20289088">
          <wp:extent cx="5972175" cy="82200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22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A83F9B"/>
    <w:multiLevelType w:val="multilevel"/>
    <w:tmpl w:val="0409001F"/>
    <w:styleLink w:val="111111"/>
    <w:lvl w:ilvl="0">
      <w:start w:val="1"/>
      <w:numFmt w:val="decimal"/>
      <w:pStyle w:val="Bullet0dKT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C3350BC"/>
    <w:multiLevelType w:val="hybridMultilevel"/>
    <w:tmpl w:val="F92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0F4BA3"/>
    <w:multiLevelType w:val="hybridMultilevel"/>
    <w:tmpl w:val="D34EF282"/>
    <w:lvl w:ilvl="0" w:tplc="AB06B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E7CB9"/>
    <w:multiLevelType w:val="multilevel"/>
    <w:tmpl w:val="2A9AC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</w:lvl>
  </w:abstractNum>
  <w:abstractNum w:abstractNumId="10" w15:restartNumberingAfterBreak="0">
    <w:nsid w:val="40B117E2"/>
    <w:multiLevelType w:val="hybridMultilevel"/>
    <w:tmpl w:val="DA1A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4C66"/>
    <w:multiLevelType w:val="hybridMultilevel"/>
    <w:tmpl w:val="89122260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97A03C2"/>
    <w:multiLevelType w:val="hybridMultilevel"/>
    <w:tmpl w:val="CED07DC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6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12"/>
    <w:rsid w:val="00003E7A"/>
    <w:rsid w:val="000104BB"/>
    <w:rsid w:val="00013AAE"/>
    <w:rsid w:val="00016F7F"/>
    <w:rsid w:val="00016FCB"/>
    <w:rsid w:val="00022A8D"/>
    <w:rsid w:val="000246BE"/>
    <w:rsid w:val="00024E61"/>
    <w:rsid w:val="00027291"/>
    <w:rsid w:val="00030285"/>
    <w:rsid w:val="0003190D"/>
    <w:rsid w:val="0003780B"/>
    <w:rsid w:val="0008155D"/>
    <w:rsid w:val="0008362E"/>
    <w:rsid w:val="00084C18"/>
    <w:rsid w:val="00085D2C"/>
    <w:rsid w:val="00095076"/>
    <w:rsid w:val="000A7BBF"/>
    <w:rsid w:val="000B1FF4"/>
    <w:rsid w:val="000B390B"/>
    <w:rsid w:val="000C0156"/>
    <w:rsid w:val="000C0198"/>
    <w:rsid w:val="000D0E8D"/>
    <w:rsid w:val="000D0F4D"/>
    <w:rsid w:val="000D4B72"/>
    <w:rsid w:val="000D50D0"/>
    <w:rsid w:val="000E0373"/>
    <w:rsid w:val="000E1D5B"/>
    <w:rsid w:val="000E3B5C"/>
    <w:rsid w:val="000F0701"/>
    <w:rsid w:val="000F3C67"/>
    <w:rsid w:val="0010472A"/>
    <w:rsid w:val="001057A9"/>
    <w:rsid w:val="00110941"/>
    <w:rsid w:val="00113D29"/>
    <w:rsid w:val="001215FC"/>
    <w:rsid w:val="00133574"/>
    <w:rsid w:val="00133892"/>
    <w:rsid w:val="00140861"/>
    <w:rsid w:val="0014219D"/>
    <w:rsid w:val="001429A3"/>
    <w:rsid w:val="00144E4B"/>
    <w:rsid w:val="001502C8"/>
    <w:rsid w:val="00155604"/>
    <w:rsid w:val="0016796B"/>
    <w:rsid w:val="00170AD4"/>
    <w:rsid w:val="0017622D"/>
    <w:rsid w:val="001818EE"/>
    <w:rsid w:val="00181FA2"/>
    <w:rsid w:val="00184ED7"/>
    <w:rsid w:val="00187F3C"/>
    <w:rsid w:val="00190E5A"/>
    <w:rsid w:val="00191C72"/>
    <w:rsid w:val="001A2594"/>
    <w:rsid w:val="001A62B6"/>
    <w:rsid w:val="001B3229"/>
    <w:rsid w:val="001B6043"/>
    <w:rsid w:val="001B677A"/>
    <w:rsid w:val="001C34CC"/>
    <w:rsid w:val="001C3E57"/>
    <w:rsid w:val="001D0121"/>
    <w:rsid w:val="001D02BE"/>
    <w:rsid w:val="001D2673"/>
    <w:rsid w:val="001D661D"/>
    <w:rsid w:val="001E078C"/>
    <w:rsid w:val="001E11CF"/>
    <w:rsid w:val="001E23CB"/>
    <w:rsid w:val="001E2EA9"/>
    <w:rsid w:val="001F1F3B"/>
    <w:rsid w:val="001F6E78"/>
    <w:rsid w:val="00214650"/>
    <w:rsid w:val="00216251"/>
    <w:rsid w:val="00217CFD"/>
    <w:rsid w:val="0022193C"/>
    <w:rsid w:val="002240B3"/>
    <w:rsid w:val="00233686"/>
    <w:rsid w:val="00236506"/>
    <w:rsid w:val="00241F25"/>
    <w:rsid w:val="00244058"/>
    <w:rsid w:val="002445B5"/>
    <w:rsid w:val="002453C8"/>
    <w:rsid w:val="00246F1D"/>
    <w:rsid w:val="002508F3"/>
    <w:rsid w:val="00254790"/>
    <w:rsid w:val="00261BF5"/>
    <w:rsid w:val="00262B38"/>
    <w:rsid w:val="00270142"/>
    <w:rsid w:val="00281E80"/>
    <w:rsid w:val="00283ED1"/>
    <w:rsid w:val="00286EF2"/>
    <w:rsid w:val="00294CB2"/>
    <w:rsid w:val="002A0873"/>
    <w:rsid w:val="002A4DAE"/>
    <w:rsid w:val="002A6C49"/>
    <w:rsid w:val="002A6C55"/>
    <w:rsid w:val="002B02A4"/>
    <w:rsid w:val="002B1EFD"/>
    <w:rsid w:val="002B376C"/>
    <w:rsid w:val="002D359D"/>
    <w:rsid w:val="002F3228"/>
    <w:rsid w:val="003024FA"/>
    <w:rsid w:val="00302780"/>
    <w:rsid w:val="00305726"/>
    <w:rsid w:val="00306955"/>
    <w:rsid w:val="003108DE"/>
    <w:rsid w:val="003172AE"/>
    <w:rsid w:val="00326006"/>
    <w:rsid w:val="003300C4"/>
    <w:rsid w:val="0033524B"/>
    <w:rsid w:val="00337CEF"/>
    <w:rsid w:val="00340B8D"/>
    <w:rsid w:val="00343791"/>
    <w:rsid w:val="0035656C"/>
    <w:rsid w:val="0036218C"/>
    <w:rsid w:val="003661C9"/>
    <w:rsid w:val="00382470"/>
    <w:rsid w:val="00385AC9"/>
    <w:rsid w:val="00385EC4"/>
    <w:rsid w:val="00386D31"/>
    <w:rsid w:val="003911F0"/>
    <w:rsid w:val="00391366"/>
    <w:rsid w:val="003A311A"/>
    <w:rsid w:val="003A562D"/>
    <w:rsid w:val="003B27B8"/>
    <w:rsid w:val="003D332E"/>
    <w:rsid w:val="003D699C"/>
    <w:rsid w:val="003E17EE"/>
    <w:rsid w:val="003E18F8"/>
    <w:rsid w:val="00400926"/>
    <w:rsid w:val="004072D8"/>
    <w:rsid w:val="00410C43"/>
    <w:rsid w:val="00414D63"/>
    <w:rsid w:val="004163DE"/>
    <w:rsid w:val="004266C9"/>
    <w:rsid w:val="00434112"/>
    <w:rsid w:val="00434612"/>
    <w:rsid w:val="004356A6"/>
    <w:rsid w:val="00435AEA"/>
    <w:rsid w:val="00436D3F"/>
    <w:rsid w:val="00446725"/>
    <w:rsid w:val="00453AED"/>
    <w:rsid w:val="00455D2A"/>
    <w:rsid w:val="004655A2"/>
    <w:rsid w:val="00467741"/>
    <w:rsid w:val="00473F2D"/>
    <w:rsid w:val="004756E4"/>
    <w:rsid w:val="00476920"/>
    <w:rsid w:val="004975AB"/>
    <w:rsid w:val="004A4893"/>
    <w:rsid w:val="004A6EDE"/>
    <w:rsid w:val="004C170E"/>
    <w:rsid w:val="004C3872"/>
    <w:rsid w:val="004C5113"/>
    <w:rsid w:val="004C5482"/>
    <w:rsid w:val="004D0610"/>
    <w:rsid w:val="004D3D48"/>
    <w:rsid w:val="004D612B"/>
    <w:rsid w:val="004D62EA"/>
    <w:rsid w:val="004E2F6B"/>
    <w:rsid w:val="004E6917"/>
    <w:rsid w:val="004F4361"/>
    <w:rsid w:val="0051259C"/>
    <w:rsid w:val="005231C6"/>
    <w:rsid w:val="00526A54"/>
    <w:rsid w:val="005307ED"/>
    <w:rsid w:val="00541734"/>
    <w:rsid w:val="0054316E"/>
    <w:rsid w:val="005476E7"/>
    <w:rsid w:val="0055065F"/>
    <w:rsid w:val="00551D32"/>
    <w:rsid w:val="0055298E"/>
    <w:rsid w:val="00556212"/>
    <w:rsid w:val="0056525F"/>
    <w:rsid w:val="005737C9"/>
    <w:rsid w:val="00573A98"/>
    <w:rsid w:val="005769AC"/>
    <w:rsid w:val="0059713A"/>
    <w:rsid w:val="005A021D"/>
    <w:rsid w:val="005B5CEE"/>
    <w:rsid w:val="005B6F19"/>
    <w:rsid w:val="005B74F6"/>
    <w:rsid w:val="005C2BD3"/>
    <w:rsid w:val="005C434A"/>
    <w:rsid w:val="005D0C23"/>
    <w:rsid w:val="005D2BEF"/>
    <w:rsid w:val="005E0EE1"/>
    <w:rsid w:val="005E3F5A"/>
    <w:rsid w:val="005E6E30"/>
    <w:rsid w:val="005F0640"/>
    <w:rsid w:val="005F1D33"/>
    <w:rsid w:val="005F62ED"/>
    <w:rsid w:val="00606F7E"/>
    <w:rsid w:val="0061101B"/>
    <w:rsid w:val="00612CEB"/>
    <w:rsid w:val="00624253"/>
    <w:rsid w:val="0063432D"/>
    <w:rsid w:val="0063663C"/>
    <w:rsid w:val="0064131C"/>
    <w:rsid w:val="006474B4"/>
    <w:rsid w:val="006515A0"/>
    <w:rsid w:val="00661137"/>
    <w:rsid w:val="0066357E"/>
    <w:rsid w:val="006651E2"/>
    <w:rsid w:val="00667A63"/>
    <w:rsid w:val="00670098"/>
    <w:rsid w:val="00684F8F"/>
    <w:rsid w:val="00687CB8"/>
    <w:rsid w:val="00687FC9"/>
    <w:rsid w:val="0069551F"/>
    <w:rsid w:val="006A1C3D"/>
    <w:rsid w:val="006A230F"/>
    <w:rsid w:val="006A7ECF"/>
    <w:rsid w:val="006B65A1"/>
    <w:rsid w:val="006C32CD"/>
    <w:rsid w:val="006C4B31"/>
    <w:rsid w:val="006D2D7E"/>
    <w:rsid w:val="006D31E7"/>
    <w:rsid w:val="006D5622"/>
    <w:rsid w:val="006D5AC4"/>
    <w:rsid w:val="006D6ED3"/>
    <w:rsid w:val="006D7527"/>
    <w:rsid w:val="006E037C"/>
    <w:rsid w:val="006E2E65"/>
    <w:rsid w:val="006F06CD"/>
    <w:rsid w:val="006F6F53"/>
    <w:rsid w:val="00702803"/>
    <w:rsid w:val="00705306"/>
    <w:rsid w:val="007055BF"/>
    <w:rsid w:val="00705609"/>
    <w:rsid w:val="00705AF6"/>
    <w:rsid w:val="0070653F"/>
    <w:rsid w:val="007073E3"/>
    <w:rsid w:val="00707843"/>
    <w:rsid w:val="007079B5"/>
    <w:rsid w:val="00707E34"/>
    <w:rsid w:val="00707E4C"/>
    <w:rsid w:val="00714F7D"/>
    <w:rsid w:val="00723447"/>
    <w:rsid w:val="00723DBF"/>
    <w:rsid w:val="00731242"/>
    <w:rsid w:val="00734FB0"/>
    <w:rsid w:val="00736532"/>
    <w:rsid w:val="00737E0B"/>
    <w:rsid w:val="00741160"/>
    <w:rsid w:val="00744030"/>
    <w:rsid w:val="007465AB"/>
    <w:rsid w:val="007568D4"/>
    <w:rsid w:val="00767FA8"/>
    <w:rsid w:val="00773048"/>
    <w:rsid w:val="00776C12"/>
    <w:rsid w:val="00782676"/>
    <w:rsid w:val="00784D16"/>
    <w:rsid w:val="007850F7"/>
    <w:rsid w:val="00787BDB"/>
    <w:rsid w:val="007A5A0B"/>
    <w:rsid w:val="007A742B"/>
    <w:rsid w:val="007D0AC4"/>
    <w:rsid w:val="007D4852"/>
    <w:rsid w:val="007D4EF4"/>
    <w:rsid w:val="007E28E1"/>
    <w:rsid w:val="007E29E0"/>
    <w:rsid w:val="007F7F73"/>
    <w:rsid w:val="00802F38"/>
    <w:rsid w:val="00816DFB"/>
    <w:rsid w:val="00823838"/>
    <w:rsid w:val="008302D8"/>
    <w:rsid w:val="00832F5D"/>
    <w:rsid w:val="008331A9"/>
    <w:rsid w:val="008360A7"/>
    <w:rsid w:val="0083638C"/>
    <w:rsid w:val="00837945"/>
    <w:rsid w:val="00842D07"/>
    <w:rsid w:val="00846006"/>
    <w:rsid w:val="0085020E"/>
    <w:rsid w:val="00852870"/>
    <w:rsid w:val="00857671"/>
    <w:rsid w:val="0086280D"/>
    <w:rsid w:val="00863E25"/>
    <w:rsid w:val="00864BCC"/>
    <w:rsid w:val="00865C0E"/>
    <w:rsid w:val="00877F17"/>
    <w:rsid w:val="00877FDD"/>
    <w:rsid w:val="00885A70"/>
    <w:rsid w:val="008870AA"/>
    <w:rsid w:val="00887396"/>
    <w:rsid w:val="008920FA"/>
    <w:rsid w:val="00892D09"/>
    <w:rsid w:val="00893282"/>
    <w:rsid w:val="008933B6"/>
    <w:rsid w:val="00897A49"/>
    <w:rsid w:val="008A17C0"/>
    <w:rsid w:val="008A4EAE"/>
    <w:rsid w:val="008A622B"/>
    <w:rsid w:val="008B0F34"/>
    <w:rsid w:val="008B1BEC"/>
    <w:rsid w:val="008B3103"/>
    <w:rsid w:val="008B3951"/>
    <w:rsid w:val="008C7497"/>
    <w:rsid w:val="008D14E0"/>
    <w:rsid w:val="008D44BE"/>
    <w:rsid w:val="008E7525"/>
    <w:rsid w:val="008F006F"/>
    <w:rsid w:val="008F0126"/>
    <w:rsid w:val="00902A3C"/>
    <w:rsid w:val="00911E7A"/>
    <w:rsid w:val="00914AB2"/>
    <w:rsid w:val="00917E61"/>
    <w:rsid w:val="00921769"/>
    <w:rsid w:val="00932521"/>
    <w:rsid w:val="009341F7"/>
    <w:rsid w:val="009474D8"/>
    <w:rsid w:val="00950CD2"/>
    <w:rsid w:val="00956D58"/>
    <w:rsid w:val="009673EC"/>
    <w:rsid w:val="0097156E"/>
    <w:rsid w:val="00980D08"/>
    <w:rsid w:val="00983DCC"/>
    <w:rsid w:val="00994492"/>
    <w:rsid w:val="00997FDD"/>
    <w:rsid w:val="009A0D04"/>
    <w:rsid w:val="009A24DC"/>
    <w:rsid w:val="009A3FF4"/>
    <w:rsid w:val="009B6094"/>
    <w:rsid w:val="009C00A4"/>
    <w:rsid w:val="009C03D6"/>
    <w:rsid w:val="009C2849"/>
    <w:rsid w:val="009D1034"/>
    <w:rsid w:val="009D55E6"/>
    <w:rsid w:val="009E7300"/>
    <w:rsid w:val="009E7A98"/>
    <w:rsid w:val="00A011CD"/>
    <w:rsid w:val="00A0396B"/>
    <w:rsid w:val="00A074B6"/>
    <w:rsid w:val="00A10EF2"/>
    <w:rsid w:val="00A16DA6"/>
    <w:rsid w:val="00A21831"/>
    <w:rsid w:val="00A22152"/>
    <w:rsid w:val="00A36D56"/>
    <w:rsid w:val="00A4109F"/>
    <w:rsid w:val="00A46236"/>
    <w:rsid w:val="00A46684"/>
    <w:rsid w:val="00A519FB"/>
    <w:rsid w:val="00A575A8"/>
    <w:rsid w:val="00A71127"/>
    <w:rsid w:val="00A83805"/>
    <w:rsid w:val="00A84FE9"/>
    <w:rsid w:val="00A917A3"/>
    <w:rsid w:val="00A967D8"/>
    <w:rsid w:val="00A97EC0"/>
    <w:rsid w:val="00AA18BB"/>
    <w:rsid w:val="00AA5EFF"/>
    <w:rsid w:val="00AB01CA"/>
    <w:rsid w:val="00AC3DB8"/>
    <w:rsid w:val="00AC7149"/>
    <w:rsid w:val="00AD3116"/>
    <w:rsid w:val="00AE3EFE"/>
    <w:rsid w:val="00AF44D0"/>
    <w:rsid w:val="00AF66E5"/>
    <w:rsid w:val="00AF798C"/>
    <w:rsid w:val="00B001FC"/>
    <w:rsid w:val="00B05850"/>
    <w:rsid w:val="00B05C96"/>
    <w:rsid w:val="00B17248"/>
    <w:rsid w:val="00B20C69"/>
    <w:rsid w:val="00B22BC1"/>
    <w:rsid w:val="00B23DBF"/>
    <w:rsid w:val="00B27441"/>
    <w:rsid w:val="00B279E8"/>
    <w:rsid w:val="00B32434"/>
    <w:rsid w:val="00B32B7E"/>
    <w:rsid w:val="00B34F95"/>
    <w:rsid w:val="00B371C5"/>
    <w:rsid w:val="00B408E7"/>
    <w:rsid w:val="00B40DD8"/>
    <w:rsid w:val="00B4103C"/>
    <w:rsid w:val="00B43EDE"/>
    <w:rsid w:val="00B46441"/>
    <w:rsid w:val="00B46628"/>
    <w:rsid w:val="00B50372"/>
    <w:rsid w:val="00B50CC2"/>
    <w:rsid w:val="00B54F8C"/>
    <w:rsid w:val="00B5613C"/>
    <w:rsid w:val="00B71AD7"/>
    <w:rsid w:val="00B76532"/>
    <w:rsid w:val="00B84151"/>
    <w:rsid w:val="00BA1229"/>
    <w:rsid w:val="00BB7848"/>
    <w:rsid w:val="00BC02D6"/>
    <w:rsid w:val="00BC3838"/>
    <w:rsid w:val="00BC6E08"/>
    <w:rsid w:val="00BD0AB9"/>
    <w:rsid w:val="00BD42C3"/>
    <w:rsid w:val="00BD5B28"/>
    <w:rsid w:val="00BD5EC7"/>
    <w:rsid w:val="00BD67BE"/>
    <w:rsid w:val="00BD7A26"/>
    <w:rsid w:val="00BE710C"/>
    <w:rsid w:val="00BE761D"/>
    <w:rsid w:val="00BF1D49"/>
    <w:rsid w:val="00C01556"/>
    <w:rsid w:val="00C01E10"/>
    <w:rsid w:val="00C05D99"/>
    <w:rsid w:val="00C05F26"/>
    <w:rsid w:val="00C1085C"/>
    <w:rsid w:val="00C17274"/>
    <w:rsid w:val="00C1729C"/>
    <w:rsid w:val="00C21923"/>
    <w:rsid w:val="00C23810"/>
    <w:rsid w:val="00C31E5A"/>
    <w:rsid w:val="00C37B9D"/>
    <w:rsid w:val="00C429CF"/>
    <w:rsid w:val="00C4375E"/>
    <w:rsid w:val="00C43E6B"/>
    <w:rsid w:val="00C44A09"/>
    <w:rsid w:val="00C46C1A"/>
    <w:rsid w:val="00C554F9"/>
    <w:rsid w:val="00C6768E"/>
    <w:rsid w:val="00C726D3"/>
    <w:rsid w:val="00C73BD3"/>
    <w:rsid w:val="00C76369"/>
    <w:rsid w:val="00C77235"/>
    <w:rsid w:val="00C772F5"/>
    <w:rsid w:val="00C87004"/>
    <w:rsid w:val="00C878E0"/>
    <w:rsid w:val="00C901E8"/>
    <w:rsid w:val="00C958F6"/>
    <w:rsid w:val="00CA0982"/>
    <w:rsid w:val="00CA772B"/>
    <w:rsid w:val="00CA7FB7"/>
    <w:rsid w:val="00CB1204"/>
    <w:rsid w:val="00CB35D5"/>
    <w:rsid w:val="00CB6A9D"/>
    <w:rsid w:val="00CC1BEC"/>
    <w:rsid w:val="00CD7E6C"/>
    <w:rsid w:val="00CE3733"/>
    <w:rsid w:val="00CE692B"/>
    <w:rsid w:val="00CE7117"/>
    <w:rsid w:val="00CE7745"/>
    <w:rsid w:val="00CF067D"/>
    <w:rsid w:val="00CF223A"/>
    <w:rsid w:val="00CF3D16"/>
    <w:rsid w:val="00CF4F1D"/>
    <w:rsid w:val="00CF55A6"/>
    <w:rsid w:val="00D02435"/>
    <w:rsid w:val="00D14C96"/>
    <w:rsid w:val="00D21C32"/>
    <w:rsid w:val="00D23656"/>
    <w:rsid w:val="00D24C2F"/>
    <w:rsid w:val="00D26FA1"/>
    <w:rsid w:val="00D31167"/>
    <w:rsid w:val="00D318CA"/>
    <w:rsid w:val="00D34017"/>
    <w:rsid w:val="00D365F2"/>
    <w:rsid w:val="00D368D2"/>
    <w:rsid w:val="00D40ABE"/>
    <w:rsid w:val="00D5475D"/>
    <w:rsid w:val="00D600B9"/>
    <w:rsid w:val="00D61965"/>
    <w:rsid w:val="00D66ED5"/>
    <w:rsid w:val="00D7015D"/>
    <w:rsid w:val="00D70C3B"/>
    <w:rsid w:val="00D7177E"/>
    <w:rsid w:val="00D86D94"/>
    <w:rsid w:val="00D90F5F"/>
    <w:rsid w:val="00D920E8"/>
    <w:rsid w:val="00D92932"/>
    <w:rsid w:val="00D93D9E"/>
    <w:rsid w:val="00D96421"/>
    <w:rsid w:val="00DA0D77"/>
    <w:rsid w:val="00DA59E5"/>
    <w:rsid w:val="00DA6C9B"/>
    <w:rsid w:val="00DB09AD"/>
    <w:rsid w:val="00DB3553"/>
    <w:rsid w:val="00DC1ACA"/>
    <w:rsid w:val="00DC6C9F"/>
    <w:rsid w:val="00DD72B3"/>
    <w:rsid w:val="00DE0E0C"/>
    <w:rsid w:val="00DF5F06"/>
    <w:rsid w:val="00E014CE"/>
    <w:rsid w:val="00E07E40"/>
    <w:rsid w:val="00E2098B"/>
    <w:rsid w:val="00E21368"/>
    <w:rsid w:val="00E24169"/>
    <w:rsid w:val="00E25657"/>
    <w:rsid w:val="00E30D17"/>
    <w:rsid w:val="00E31C1E"/>
    <w:rsid w:val="00E4019A"/>
    <w:rsid w:val="00E45888"/>
    <w:rsid w:val="00E4625E"/>
    <w:rsid w:val="00E477A5"/>
    <w:rsid w:val="00E51A1C"/>
    <w:rsid w:val="00E54D45"/>
    <w:rsid w:val="00E60C9C"/>
    <w:rsid w:val="00E6237E"/>
    <w:rsid w:val="00E64767"/>
    <w:rsid w:val="00E7646E"/>
    <w:rsid w:val="00E81B6F"/>
    <w:rsid w:val="00E82293"/>
    <w:rsid w:val="00E8321C"/>
    <w:rsid w:val="00E85C9A"/>
    <w:rsid w:val="00E87743"/>
    <w:rsid w:val="00E933F4"/>
    <w:rsid w:val="00E972A3"/>
    <w:rsid w:val="00EA0337"/>
    <w:rsid w:val="00EA3B74"/>
    <w:rsid w:val="00EB080C"/>
    <w:rsid w:val="00EB5335"/>
    <w:rsid w:val="00EC541C"/>
    <w:rsid w:val="00ED2F57"/>
    <w:rsid w:val="00ED3773"/>
    <w:rsid w:val="00ED5562"/>
    <w:rsid w:val="00EF06E2"/>
    <w:rsid w:val="00EF06EC"/>
    <w:rsid w:val="00EF3754"/>
    <w:rsid w:val="00F037CA"/>
    <w:rsid w:val="00F077D4"/>
    <w:rsid w:val="00F14846"/>
    <w:rsid w:val="00F15FEE"/>
    <w:rsid w:val="00F2184C"/>
    <w:rsid w:val="00F258CF"/>
    <w:rsid w:val="00F27D89"/>
    <w:rsid w:val="00F30D9A"/>
    <w:rsid w:val="00F328FE"/>
    <w:rsid w:val="00F37E42"/>
    <w:rsid w:val="00F551E1"/>
    <w:rsid w:val="00F55714"/>
    <w:rsid w:val="00F55C22"/>
    <w:rsid w:val="00F5668F"/>
    <w:rsid w:val="00F62ED6"/>
    <w:rsid w:val="00F85C3B"/>
    <w:rsid w:val="00F91027"/>
    <w:rsid w:val="00F91970"/>
    <w:rsid w:val="00F96D89"/>
    <w:rsid w:val="00FA001C"/>
    <w:rsid w:val="00FA4EE4"/>
    <w:rsid w:val="00FA576C"/>
    <w:rsid w:val="00FA6499"/>
    <w:rsid w:val="00FA75D3"/>
    <w:rsid w:val="00FB0A01"/>
    <w:rsid w:val="00FB44E4"/>
    <w:rsid w:val="00FC08DE"/>
    <w:rsid w:val="00FC090A"/>
    <w:rsid w:val="00FC343A"/>
    <w:rsid w:val="00FC60ED"/>
    <w:rsid w:val="00FF0059"/>
    <w:rsid w:val="00FF05F4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F1F878"/>
  <w15:docId w15:val="{2F3852C4-C560-4DA6-864E-2B7ABBB6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eastAsia="Times New Roman" w:hAnsi="Arial"/>
      <w:sz w:val="20"/>
      <w:szCs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paragraph" w:customStyle="1" w:styleId="Smalltext90">
    <w:name w:val="Smalltext9:0"/>
    <w:basedOn w:val="Normlny"/>
    <w:rPr>
      <w:sz w:val="18"/>
      <w:szCs w:val="18"/>
      <w:lang w:val="en-US"/>
    </w:rPr>
  </w:style>
  <w:style w:type="paragraph" w:customStyle="1" w:styleId="Smalltext100">
    <w:name w:val="Smalltext10:0"/>
    <w:basedOn w:val="Normlny"/>
    <w:rPr>
      <w:sz w:val="20"/>
      <w:szCs w:val="20"/>
      <w:lang w:val="en-US"/>
    </w:rPr>
  </w:style>
  <w:style w:type="paragraph" w:styleId="Textvysvetlivky">
    <w:name w:val="endnote text"/>
    <w:basedOn w:val="Normlny"/>
    <w:semiHidden/>
    <w:pPr>
      <w:spacing w:after="220"/>
    </w:pPr>
    <w:rPr>
      <w:rFonts w:ascii="Helvetica" w:hAnsi="Helvetica"/>
      <w:sz w:val="20"/>
      <w:szCs w:val="20"/>
      <w:lang w:val="en-US"/>
    </w:rPr>
  </w:style>
  <w:style w:type="paragraph" w:styleId="Zkladntext">
    <w:name w:val="Body Text"/>
    <w:basedOn w:val="Normlny"/>
    <w:pPr>
      <w:autoSpaceDE w:val="0"/>
      <w:autoSpaceDN w:val="0"/>
      <w:adjustRightInd w:val="0"/>
    </w:pPr>
    <w:rPr>
      <w:sz w:val="22"/>
      <w:szCs w:val="21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10472A"/>
    <w:pPr>
      <w:spacing w:after="100" w:afterAutospacing="1" w:line="336" w:lineRule="auto"/>
    </w:pPr>
    <w:rPr>
      <w:rFonts w:eastAsia="Times New Roman"/>
      <w:lang w:val="en-US" w:eastAsia="en-US"/>
    </w:rPr>
  </w:style>
  <w:style w:type="character" w:customStyle="1" w:styleId="Para0sZchn">
    <w:name w:val="Para:0:s Zchn"/>
    <w:link w:val="Para0s"/>
    <w:locked/>
    <w:rsid w:val="00D23656"/>
    <w:rPr>
      <w:rFonts w:ascii="Helvetica" w:hAnsi="Helvetica"/>
      <w:sz w:val="22"/>
      <w:lang w:eastAsia="de-DE"/>
    </w:rPr>
  </w:style>
  <w:style w:type="paragraph" w:customStyle="1" w:styleId="Para0s">
    <w:name w:val="Para:0:s"/>
    <w:basedOn w:val="Normlny"/>
    <w:link w:val="Para0sZchn"/>
    <w:rsid w:val="00D23656"/>
    <w:pPr>
      <w:spacing w:after="220"/>
    </w:pPr>
    <w:rPr>
      <w:rFonts w:ascii="Helvetica" w:hAnsi="Helvetica"/>
      <w:sz w:val="22"/>
      <w:szCs w:val="20"/>
      <w:lang w:val="x-none" w:eastAsia="de-DE"/>
    </w:rPr>
  </w:style>
  <w:style w:type="paragraph" w:customStyle="1" w:styleId="Smalltext120">
    <w:name w:val="Smalltext12:0"/>
    <w:basedOn w:val="Para0s"/>
    <w:rsid w:val="00F91027"/>
    <w:pPr>
      <w:spacing w:after="0"/>
    </w:pPr>
    <w:rPr>
      <w:rFonts w:ascii="Times New Roman" w:eastAsia="Times New Roman" w:hAnsi="Times New Roman"/>
      <w:sz w:val="24"/>
    </w:rPr>
  </w:style>
  <w:style w:type="numbering" w:styleId="111111">
    <w:name w:val="Outline List 2"/>
    <w:basedOn w:val="Bezzoznamu"/>
    <w:rsid w:val="008A622B"/>
    <w:pPr>
      <w:numPr>
        <w:numId w:val="14"/>
      </w:numPr>
    </w:pPr>
  </w:style>
  <w:style w:type="paragraph" w:customStyle="1" w:styleId="Bullet0dKT">
    <w:name w:val="Bullet:0:d:KT"/>
    <w:basedOn w:val="Normlny"/>
    <w:rsid w:val="008A622B"/>
    <w:pPr>
      <w:keepNext/>
      <w:keepLines/>
      <w:numPr>
        <w:numId w:val="14"/>
      </w:numPr>
      <w:spacing w:before="40" w:after="220"/>
    </w:pPr>
    <w:rPr>
      <w:rFonts w:ascii="Helvetica" w:eastAsia="Times New Roman" w:hAnsi="Helvetica"/>
      <w:sz w:val="22"/>
      <w:szCs w:val="20"/>
      <w:lang w:val="en-US" w:eastAsia="de-DE"/>
    </w:rPr>
  </w:style>
  <w:style w:type="paragraph" w:styleId="Hlavika">
    <w:name w:val="header"/>
    <w:basedOn w:val="Normlny"/>
    <w:link w:val="HlavikaChar"/>
    <w:rsid w:val="00113D2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113D29"/>
    <w:rPr>
      <w:sz w:val="24"/>
      <w:szCs w:val="24"/>
      <w:lang w:eastAsia="ja-JP"/>
    </w:rPr>
  </w:style>
  <w:style w:type="character" w:customStyle="1" w:styleId="PtaChar">
    <w:name w:val="Päta Char"/>
    <w:link w:val="Pta"/>
    <w:uiPriority w:val="99"/>
    <w:rsid w:val="00113D29"/>
    <w:rPr>
      <w:rFonts w:eastAsia="Times New Roman"/>
    </w:rPr>
  </w:style>
  <w:style w:type="character" w:styleId="Odkaznakomentr">
    <w:name w:val="annotation reference"/>
    <w:rsid w:val="005307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307E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5307ED"/>
    <w:rPr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5307ED"/>
    <w:rPr>
      <w:b/>
      <w:bCs/>
    </w:rPr>
  </w:style>
  <w:style w:type="character" w:customStyle="1" w:styleId="PredmetkomentraChar">
    <w:name w:val="Predmet komentára Char"/>
    <w:link w:val="Predmetkomentra"/>
    <w:rsid w:val="005307ED"/>
    <w:rPr>
      <w:b/>
      <w:bCs/>
      <w:lang w:eastAsia="ja-JP"/>
    </w:rPr>
  </w:style>
  <w:style w:type="character" w:styleId="Hypertextovprepojenie">
    <w:name w:val="Hyperlink"/>
    <w:basedOn w:val="Predvolenpsmoodseku"/>
    <w:rsid w:val="00705AF6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semiHidden/>
    <w:unhideWhenUsed/>
    <w:rsid w:val="00030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2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8D8EF088542B0AFE4C2B44C4E2B" ma:contentTypeVersion="5" ma:contentTypeDescription="Create a new document." ma:contentTypeScope="" ma:versionID="50ddb9b2733cb1d8c73a111912a46998">
  <xsd:schema xmlns:xsd="http://www.w3.org/2001/XMLSchema" xmlns:xs="http://www.w3.org/2001/XMLSchema" xmlns:p="http://schemas.microsoft.com/office/2006/metadata/properties" xmlns:ns3="651c15cb-f626-4dd0-a20a-0c31429e825c" targetNamespace="http://schemas.microsoft.com/office/2006/metadata/properties" ma:root="true" ma:fieldsID="13caa4680a074a7ba20f0870d3bb8416" ns3:_="">
    <xsd:import namespace="651c15cb-f626-4dd0-a20a-0c31429e8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c15cb-f626-4dd0-a20a-0c31429e8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A539-036F-42B5-8C8A-0B282027E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c15cb-f626-4dd0-a20a-0c31429e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2B104-0B20-47E5-8174-14430381A60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51c15cb-f626-4dd0-a20a-0c31429e825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96321F-EE95-4D68-A574-70628BFC3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D0D62-9CA5-44A7-88A1-B7D9A026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4022</Words>
  <Characters>25014</Characters>
  <Application>Microsoft Office Word</Application>
  <DocSecurity>0</DocSecurity>
  <Lines>208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Schering AG</Company>
  <LinksUpToDate>false</LinksUpToDate>
  <CharactersWithSpaces>28979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sl00111</dc:creator>
  <cp:lastModifiedBy>Skladaná, Judita</cp:lastModifiedBy>
  <cp:revision>2</cp:revision>
  <cp:lastPrinted>2019-12-05T09:12:00Z</cp:lastPrinted>
  <dcterms:created xsi:type="dcterms:W3CDTF">2020-09-10T09:18:00Z</dcterms:created>
  <dcterms:modified xsi:type="dcterms:W3CDTF">2020-09-10T09:18:00Z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tatiana.klimova@bayer.com</vt:lpwstr>
  </property>
  <property fmtid="{D5CDD505-2E9C-101B-9397-08002B2CF9AE}" pid="5" name="MSIP_Label_7f850223-87a8-40c3-9eb2-432606efca2a_SetDate">
    <vt:lpwstr>2019-12-03T14:27:45.4844987Z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  <property fmtid="{D5CDD505-2E9C-101B-9397-08002B2CF9AE}" pid="10" name="ContentTypeId">
    <vt:lpwstr>0x010100B61F18D8EF088542B0AFE4C2B44C4E2B</vt:lpwstr>
  </property>
</Properties>
</file>