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BE392" w14:textId="77777777" w:rsidR="00B52502" w:rsidRPr="002F1924" w:rsidRDefault="00B52502" w:rsidP="008A6E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1924">
        <w:rPr>
          <w:rFonts w:ascii="Times New Roman" w:hAnsi="Times New Roman" w:cs="Times New Roman"/>
          <w:b/>
          <w:bCs/>
        </w:rPr>
        <w:t>SÚHRN CHARAKTERISTICKÝCH VLASTNOSTÍ LIEKU</w:t>
      </w:r>
    </w:p>
    <w:p w14:paraId="25B5FDBB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51D3B06C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4123EFA2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1.</w:t>
      </w: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ab/>
        <w:t>NÁZOV LIEKU</w:t>
      </w:r>
    </w:p>
    <w:p w14:paraId="1AACEFD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7B0591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F1924">
        <w:rPr>
          <w:rFonts w:ascii="Times New Roman" w:hAnsi="Times New Roman" w:cs="Times New Roman"/>
        </w:rPr>
        <w:t>Leuprorelin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</w:t>
      </w:r>
    </w:p>
    <w:p w14:paraId="4591776C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F4BDD" w14:textId="77777777" w:rsidR="00B52502" w:rsidRPr="002F1924" w:rsidRDefault="00B52502" w:rsidP="008A6EE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2E5121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2.</w:t>
      </w: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ab/>
        <w:t>KVALITATÍVNE A KVANTITATÍVNE ZLOŽENIE</w:t>
      </w:r>
    </w:p>
    <w:p w14:paraId="15EB0B9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7BCCC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Každý implantát obsahuje 5 mg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(vo forme </w:t>
      </w:r>
      <w:proofErr w:type="spellStart"/>
      <w:r w:rsidRPr="002F1924">
        <w:rPr>
          <w:rFonts w:ascii="Times New Roman" w:hAnsi="Times New Roman" w:cs="Times New Roman"/>
        </w:rPr>
        <w:t>leuprorelíniumacetátu</w:t>
      </w:r>
      <w:proofErr w:type="spellEnd"/>
      <w:r w:rsidRPr="002F1924">
        <w:rPr>
          <w:rFonts w:ascii="Times New Roman" w:hAnsi="Times New Roman" w:cs="Times New Roman"/>
        </w:rPr>
        <w:t>).</w:t>
      </w:r>
    </w:p>
    <w:p w14:paraId="1082D95F" w14:textId="77777777" w:rsidR="00B52502" w:rsidRPr="002F1924" w:rsidRDefault="00B52502" w:rsidP="008A6EE7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6D9BD59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Úplný zoznam pomocných látok, pozri časť 6.1.</w:t>
      </w:r>
    </w:p>
    <w:p w14:paraId="6A41BCC5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3CFAB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72C7DD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3.</w:t>
      </w: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ab/>
        <w:t>LIEKOVÁ FORMA</w:t>
      </w:r>
    </w:p>
    <w:p w14:paraId="086A1CC4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DE3683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Implantát.</w:t>
      </w:r>
    </w:p>
    <w:p w14:paraId="0CDE2FFA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2E33FB2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color w:val="000000"/>
        </w:rPr>
        <w:t xml:space="preserve">Biela až jemne žltkastá tyčinka cylindrického tvaru (dĺžka </w:t>
      </w:r>
      <w:smartTag w:uri="urn:schemas-microsoft-com:office:smarttags" w:element="metricconverter">
        <w:smartTagPr>
          <w:attr w:name="ProductID" w:val="10 mm"/>
        </w:smartTagPr>
        <w:r w:rsidRPr="002F1924">
          <w:rPr>
            <w:rFonts w:ascii="Times New Roman" w:hAnsi="Times New Roman" w:cs="Times New Roman"/>
            <w:color w:val="000000"/>
          </w:rPr>
          <w:t>10 mm</w:t>
        </w:r>
      </w:smartTag>
      <w:r w:rsidRPr="002F1924">
        <w:rPr>
          <w:rFonts w:ascii="Times New Roman" w:hAnsi="Times New Roman" w:cs="Times New Roman"/>
          <w:color w:val="000000"/>
        </w:rPr>
        <w:t>) v naplnenej injekčnej striekačke.</w:t>
      </w:r>
    </w:p>
    <w:p w14:paraId="230F5A25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02060D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AED493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4.</w:t>
      </w: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ab/>
        <w:t>KLINICKÉ ÚDAJE</w:t>
      </w:r>
    </w:p>
    <w:p w14:paraId="6D1DD98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2FE15F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4.1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Terapeutické indikácie</w:t>
      </w:r>
    </w:p>
    <w:p w14:paraId="20E5C9C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7A05EC" w14:textId="77777777" w:rsidR="00B52502" w:rsidRPr="002F1924" w:rsidRDefault="00B52502" w:rsidP="008A6EE7">
      <w:pPr>
        <w:numPr>
          <w:ilvl w:val="0"/>
          <w:numId w:val="3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Paliatívna liečba pacientov s pokročilým, hormonálne závislým karcinómom prostaty.</w:t>
      </w:r>
    </w:p>
    <w:p w14:paraId="2641FE89" w14:textId="77777777" w:rsidR="00B52502" w:rsidRPr="002F1924" w:rsidRDefault="00B52502" w:rsidP="008A6EE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Liečba lokálne pokročilého, hormonálne závislého karcinómu prostaty, súbežne s rádioterapiou a po nej.</w:t>
      </w:r>
    </w:p>
    <w:p w14:paraId="4CCE9267" w14:textId="77777777" w:rsidR="00B52502" w:rsidRPr="002F1924" w:rsidRDefault="00B52502" w:rsidP="008A6EE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Liečba lokalizovaného, hormonálne závislého karcinómu prostaty u pacientov so stredne a vysoko rizikovým profilom v kombinácii s rádioterapiou.</w:t>
      </w:r>
    </w:p>
    <w:p w14:paraId="2BD361F2" w14:textId="77777777" w:rsidR="00B52502" w:rsidRPr="002F1924" w:rsidRDefault="00B52502" w:rsidP="008A6EE7">
      <w:pPr>
        <w:spacing w:after="0" w:line="240" w:lineRule="auto"/>
        <w:ind w:left="900"/>
        <w:rPr>
          <w:rFonts w:ascii="Times New Roman" w:hAnsi="Times New Roman" w:cs="Times New Roman"/>
        </w:rPr>
      </w:pPr>
    </w:p>
    <w:p w14:paraId="6761434C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4.2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Dávkovanie a spôsob podávania</w:t>
      </w:r>
    </w:p>
    <w:p w14:paraId="195FB844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CD3A3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2F1924">
        <w:rPr>
          <w:rFonts w:ascii="Times New Roman" w:hAnsi="Times New Roman" w:cs="Times New Roman"/>
          <w:bCs/>
          <w:u w:val="single"/>
        </w:rPr>
        <w:t>Dávkovanie</w:t>
      </w:r>
    </w:p>
    <w:p w14:paraId="3ABFB9E8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bCs/>
        </w:rPr>
      </w:pPr>
      <w:r w:rsidRPr="002F1924">
        <w:rPr>
          <w:rFonts w:ascii="Times New Roman" w:hAnsi="Times New Roman" w:cs="Times New Roman"/>
          <w:bCs/>
        </w:rPr>
        <w:t>Indikácia liečby má byť stanovená a dlhodobý monitoring liečby má byť prevedený lekárom so skúsenosťami s liečbou nádorov.</w:t>
      </w:r>
    </w:p>
    <w:p w14:paraId="684BBAC4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14:paraId="3C48E7F7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Odporúčaná dávka je 5 mg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podaných v jednej dávke raz za 3 mesiace. </w:t>
      </w:r>
    </w:p>
    <w:p w14:paraId="53F7C4B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Ak sa vo výnimočných prípadoch oddiali podanie lieku o dobu do 4 týždňov, u väčšiny pacientov by nemal byť narušený terapeutický účinok (pozri časť 5.2).</w:t>
      </w:r>
    </w:p>
    <w:p w14:paraId="6343C14E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5BB915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i/>
        </w:rPr>
        <w:t>Osobitné populácie</w:t>
      </w:r>
    </w:p>
    <w:p w14:paraId="0ED83C1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U pacientov s poruchou funkcie obličiek alebo pečene, ani u starších ľudí nie je potrebná úprava dávkovania.</w:t>
      </w:r>
    </w:p>
    <w:p w14:paraId="1886E414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887F2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i/>
        </w:rPr>
        <w:t>Pediatrická populácia</w:t>
      </w:r>
    </w:p>
    <w:p w14:paraId="38B3F6A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1924">
        <w:rPr>
          <w:rFonts w:ascii="Times New Roman" w:hAnsi="Times New Roman" w:cs="Times New Roman"/>
        </w:rPr>
        <w:t>Leuprorelin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je kontraindikovaný u detí a dospievajúcich, pozri časť 4.3.</w:t>
      </w:r>
    </w:p>
    <w:p w14:paraId="6B093C4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B508E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1924">
        <w:rPr>
          <w:rFonts w:ascii="Times New Roman" w:hAnsi="Times New Roman" w:cs="Times New Roman"/>
        </w:rPr>
        <w:t>Leuprorelin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sa môže používať na </w:t>
      </w:r>
      <w:proofErr w:type="spellStart"/>
      <w:r w:rsidRPr="002F1924">
        <w:rPr>
          <w:rFonts w:ascii="Times New Roman" w:hAnsi="Times New Roman" w:cs="Times New Roman"/>
        </w:rPr>
        <w:t>neoadjuvantnú</w:t>
      </w:r>
      <w:proofErr w:type="spellEnd"/>
      <w:r w:rsidRPr="002F1924">
        <w:rPr>
          <w:rFonts w:ascii="Times New Roman" w:hAnsi="Times New Roman" w:cs="Times New Roman"/>
        </w:rPr>
        <w:t xml:space="preserve"> alebo </w:t>
      </w:r>
      <w:proofErr w:type="spellStart"/>
      <w:r w:rsidRPr="002F1924">
        <w:rPr>
          <w:rFonts w:ascii="Times New Roman" w:hAnsi="Times New Roman" w:cs="Times New Roman"/>
        </w:rPr>
        <w:t>adjuvantnú</w:t>
      </w:r>
      <w:proofErr w:type="spellEnd"/>
      <w:r w:rsidRPr="002F1924">
        <w:rPr>
          <w:rFonts w:ascii="Times New Roman" w:hAnsi="Times New Roman" w:cs="Times New Roman"/>
        </w:rPr>
        <w:t xml:space="preserve"> liečbu lokálne pokročilého, hormonálne citlivého karcinómu prostaty, ako aj lokalizovaného karcinómu prostaty u pacientov so stredne a vysoko rizikovým profilom v kombinácii s rádioterapiou.</w:t>
      </w:r>
    </w:p>
    <w:p w14:paraId="362E37B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C696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bCs/>
          <w:u w:val="single"/>
        </w:rPr>
        <w:t>Spôsob podávania</w:t>
      </w:r>
    </w:p>
    <w:p w14:paraId="2B049346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Implantát sa vpichne </w:t>
      </w:r>
      <w:proofErr w:type="spellStart"/>
      <w:r w:rsidRPr="002F1924">
        <w:rPr>
          <w:rFonts w:ascii="Times New Roman" w:hAnsi="Times New Roman" w:cs="Times New Roman"/>
        </w:rPr>
        <w:t>subkutánne</w:t>
      </w:r>
      <w:proofErr w:type="spellEnd"/>
      <w:r w:rsidRPr="002F1924">
        <w:rPr>
          <w:rFonts w:ascii="Times New Roman" w:hAnsi="Times New Roman" w:cs="Times New Roman"/>
        </w:rPr>
        <w:t xml:space="preserve"> do prednej brušnej steny.</w:t>
      </w:r>
    </w:p>
    <w:p w14:paraId="6992ABC2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42EA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Pred podaním injekcie sa môže podať lokálne anestetikum.</w:t>
      </w:r>
    </w:p>
    <w:p w14:paraId="790FB70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78D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Odporúča sa podávanie </w:t>
      </w:r>
      <w:proofErr w:type="spellStart"/>
      <w:r w:rsidRPr="002F1924">
        <w:rPr>
          <w:rFonts w:ascii="Times New Roman" w:hAnsi="Times New Roman" w:cs="Times New Roman"/>
        </w:rPr>
        <w:t>antiandrogénnych</w:t>
      </w:r>
      <w:proofErr w:type="spellEnd"/>
      <w:r w:rsidRPr="002F1924">
        <w:rPr>
          <w:rFonts w:ascii="Times New Roman" w:hAnsi="Times New Roman" w:cs="Times New Roman"/>
        </w:rPr>
        <w:t xml:space="preserve"> látok ako prídavnej liečby 5 dní pred začatím podávania </w:t>
      </w:r>
      <w:proofErr w:type="spellStart"/>
      <w:r w:rsidRPr="002F1924">
        <w:rPr>
          <w:rFonts w:ascii="Times New Roman" w:hAnsi="Times New Roman" w:cs="Times New Roman"/>
        </w:rPr>
        <w:t>Leuprorelinu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 mg implantát (pozri časť 4.4).</w:t>
      </w:r>
    </w:p>
    <w:p w14:paraId="599F9BF6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F18F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2F1924">
        <w:rPr>
          <w:rFonts w:ascii="Times New Roman" w:hAnsi="Times New Roman" w:cs="Times New Roman"/>
          <w:bCs/>
          <w:u w:val="single"/>
        </w:rPr>
        <w:t>Pokyny na použitie</w:t>
      </w:r>
    </w:p>
    <w:p w14:paraId="38DC909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Pozorne si prečítajte pokyny na použitie, pretože tento aplikátor môže byť iný, než na aký ste zvyknutý.</w:t>
      </w:r>
    </w:p>
    <w:p w14:paraId="00A3F62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271554" w14:textId="77777777" w:rsidR="00B52502" w:rsidRPr="002F1924" w:rsidRDefault="00B52502" w:rsidP="008A6E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Vydezinfikujte miesto podania injekcie na prednej strane brušnej steny pod líniou pupka.</w:t>
      </w:r>
    </w:p>
    <w:p w14:paraId="4F6A053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7022F" w14:textId="77777777" w:rsidR="00B52502" w:rsidRPr="002F1924" w:rsidRDefault="00B52502" w:rsidP="008A6E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Vyberte aplikátor zo sterilného vrecka a skontrolujte, či je implantát viditeľný v zásobníku (pozri orámovanú oblasť). Kvôli kontrole, pozrite si aplikátor oproti svetlu alebo jemne ním potraste.</w:t>
      </w:r>
    </w:p>
    <w:p w14:paraId="71FB9625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5BBBF7CF" w14:textId="1C84F6FE" w:rsidR="00B52502" w:rsidRPr="002F1924" w:rsidRDefault="00B52502" w:rsidP="008A6EE7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3D3D7248" wp14:editId="604A46A4">
            <wp:extent cx="2465070" cy="1399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EAF77" w14:textId="77777777" w:rsidR="00B52502" w:rsidRPr="002F1924" w:rsidRDefault="00B52502" w:rsidP="008A6EE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53E5E52" w14:textId="77777777" w:rsidR="00B52502" w:rsidRPr="002F1924" w:rsidRDefault="00B52502" w:rsidP="008A6E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Piest z aplikátora </w:t>
      </w:r>
      <w:r w:rsidRPr="002F1924">
        <w:rPr>
          <w:rFonts w:ascii="Times New Roman" w:hAnsi="Times New Roman" w:cs="Times New Roman"/>
          <w:b/>
          <w:bCs/>
        </w:rPr>
        <w:t>úplne vytiahnite pokiaľ neuvidíte čiaru v druhom okienku.</w:t>
      </w:r>
    </w:p>
    <w:p w14:paraId="14B52D75" w14:textId="77777777" w:rsidR="00B52502" w:rsidRPr="002F1924" w:rsidRDefault="00B52502" w:rsidP="008A6EE7">
      <w:pPr>
        <w:spacing w:after="0" w:line="240" w:lineRule="auto"/>
        <w:ind w:left="360" w:right="4674"/>
        <w:rPr>
          <w:rFonts w:ascii="Times New Roman" w:hAnsi="Times New Roman" w:cs="Times New Roman"/>
          <w:b/>
          <w:bCs/>
          <w:u w:val="single"/>
        </w:rPr>
      </w:pPr>
    </w:p>
    <w:p w14:paraId="059DA7CA" w14:textId="77777777" w:rsidR="00B52502" w:rsidRPr="002F1924" w:rsidRDefault="00B52502" w:rsidP="008A6EE7">
      <w:pPr>
        <w:spacing w:after="0" w:line="240" w:lineRule="auto"/>
        <w:ind w:left="360" w:right="849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b/>
          <w:bCs/>
          <w:u w:val="single"/>
        </w:rPr>
        <w:t>Všimnite si, prosím:</w:t>
      </w:r>
      <w:r w:rsidRPr="002F1924">
        <w:rPr>
          <w:rFonts w:ascii="Times New Roman" w:hAnsi="Times New Roman" w:cs="Times New Roman"/>
        </w:rPr>
        <w:t xml:space="preserve"> Piest je možné zatlačiť podať implantát len v prípade, že bol predtým </w:t>
      </w:r>
      <w:r w:rsidRPr="002F1924">
        <w:rPr>
          <w:rFonts w:ascii="Times New Roman" w:hAnsi="Times New Roman" w:cs="Times New Roman"/>
          <w:b/>
          <w:bCs/>
        </w:rPr>
        <w:t>úplne vytiahnutý!</w:t>
      </w:r>
    </w:p>
    <w:p w14:paraId="0C3AB266" w14:textId="77777777" w:rsidR="00B52502" w:rsidRPr="002F1924" w:rsidRDefault="00B52502" w:rsidP="008A6EE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2DAA781" w14:textId="4BF2CB52" w:rsidR="00B52502" w:rsidRPr="002F1924" w:rsidRDefault="00B52502" w:rsidP="008A6EE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     </w:t>
      </w:r>
      <w:r w:rsidRPr="002F1924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79560E24" wp14:editId="73DBA26B">
            <wp:extent cx="3005455" cy="1351915"/>
            <wp:effectExtent l="0" t="0" r="444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DF65" w14:textId="77777777" w:rsidR="00B52502" w:rsidRPr="002F1924" w:rsidRDefault="00B52502" w:rsidP="008A6EE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17F163C" w14:textId="77777777" w:rsidR="00B52502" w:rsidRPr="002F1924" w:rsidRDefault="00B52502" w:rsidP="008A6EE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384CEE4" w14:textId="77777777" w:rsidR="00B52502" w:rsidRPr="002F1924" w:rsidRDefault="00B52502" w:rsidP="008A6E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Potom odstráňte ochranný kryt z ihly aplikátora.</w:t>
      </w:r>
    </w:p>
    <w:p w14:paraId="5901EB86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39B566B2" w14:textId="5D7C9365" w:rsidR="00B52502" w:rsidRPr="002F1924" w:rsidRDefault="00B52502" w:rsidP="008A6E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Držte telo aplikátora jednou rukou. Druhou rukou stlačte pacientovi kožu na prednej strane brušnej steny pod líniou pupka. Pozri obrázok.</w:t>
      </w:r>
      <w:r w:rsidR="002F1924">
        <w:rPr>
          <w:rFonts w:ascii="Times New Roman" w:hAnsi="Times New Roman" w:cs="Times New Roman"/>
        </w:rPr>
        <w:t xml:space="preserve"> </w:t>
      </w:r>
      <w:r w:rsidRPr="002F1924">
        <w:rPr>
          <w:rFonts w:ascii="Times New Roman" w:hAnsi="Times New Roman" w:cs="Times New Roman"/>
          <w:b/>
        </w:rPr>
        <w:t>Vpichnite celú ihlu s otvorom ihly smerujúcim nahor</w:t>
      </w:r>
      <w:r w:rsidRPr="002F1924">
        <w:rPr>
          <w:rFonts w:ascii="Times New Roman" w:hAnsi="Times New Roman" w:cs="Times New Roman"/>
        </w:rPr>
        <w:t>. Vpichnite pod miernym uhlom, takmer paralelne s povrchom kože, do podkožného tkaniva.</w:t>
      </w:r>
    </w:p>
    <w:p w14:paraId="7F318D88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2B0F9690" w14:textId="104CB47B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      </w:t>
      </w:r>
      <w:r w:rsidRPr="002F1924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7569810C" wp14:editId="2AEAE47F">
            <wp:extent cx="2639695" cy="1709420"/>
            <wp:effectExtent l="0" t="0" r="825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FEB68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4DC6A722" w14:textId="77777777" w:rsidR="00B52502" w:rsidRPr="002F1924" w:rsidRDefault="00B52502" w:rsidP="008A6EE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9069F96" w14:textId="77777777" w:rsidR="00B52502" w:rsidRPr="002F1924" w:rsidRDefault="00B52502" w:rsidP="008A6E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Opatrne </w:t>
      </w:r>
      <w:proofErr w:type="spellStart"/>
      <w:r w:rsidRPr="002F1924">
        <w:rPr>
          <w:rFonts w:ascii="Times New Roman" w:hAnsi="Times New Roman" w:cs="Times New Roman"/>
          <w:b/>
        </w:rPr>
        <w:t>povytiahnite</w:t>
      </w:r>
      <w:proofErr w:type="spellEnd"/>
      <w:r w:rsidRPr="002F1924">
        <w:rPr>
          <w:rFonts w:ascii="Times New Roman" w:hAnsi="Times New Roman" w:cs="Times New Roman"/>
        </w:rPr>
        <w:t xml:space="preserve"> injekčnú striekačku približne </w:t>
      </w:r>
      <w:smartTag w:uri="urn:schemas-microsoft-com:office:smarttags" w:element="metricconverter">
        <w:smartTagPr>
          <w:attr w:name="ProductID" w:val="1 cm"/>
        </w:smartTagPr>
        <w:r w:rsidRPr="002F1924">
          <w:rPr>
            <w:rFonts w:ascii="Times New Roman" w:hAnsi="Times New Roman" w:cs="Times New Roman"/>
            <w:b/>
          </w:rPr>
          <w:t>1 cm</w:t>
        </w:r>
      </w:smartTag>
      <w:r w:rsidRPr="002F1924">
        <w:rPr>
          <w:rFonts w:ascii="Times New Roman" w:hAnsi="Times New Roman" w:cs="Times New Roman"/>
          <w:b/>
        </w:rPr>
        <w:t xml:space="preserve"> späť</w:t>
      </w:r>
      <w:r w:rsidRPr="002F1924">
        <w:rPr>
          <w:rFonts w:ascii="Times New Roman" w:hAnsi="Times New Roman" w:cs="Times New Roman"/>
        </w:rPr>
        <w:t xml:space="preserve">. Tým sa vytvorí kanálik pre vpichnutie implantátu. </w:t>
      </w:r>
    </w:p>
    <w:p w14:paraId="6E252E55" w14:textId="77777777" w:rsidR="00B52502" w:rsidRPr="002F1924" w:rsidRDefault="00B52502" w:rsidP="008A6EE7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36F61DA" w14:textId="77777777" w:rsidR="00B52502" w:rsidRPr="002F1924" w:rsidRDefault="00B52502" w:rsidP="008A6E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Aby ste vpichli implantát do vytvoreného kanálika, zatlačte piest </w:t>
      </w:r>
      <w:r w:rsidRPr="002F1924">
        <w:rPr>
          <w:rFonts w:ascii="Times New Roman" w:hAnsi="Times New Roman" w:cs="Times New Roman"/>
          <w:b/>
        </w:rPr>
        <w:t>na doraz</w:t>
      </w:r>
      <w:r w:rsidRPr="002F1924">
        <w:rPr>
          <w:rFonts w:ascii="Times New Roman" w:hAnsi="Times New Roman" w:cs="Times New Roman"/>
        </w:rPr>
        <w:t xml:space="preserve">, až pokým nezapadne na miesto a je </w:t>
      </w:r>
      <w:r w:rsidRPr="002F1924">
        <w:rPr>
          <w:rFonts w:ascii="Times New Roman" w:hAnsi="Times New Roman" w:cs="Times New Roman"/>
          <w:b/>
        </w:rPr>
        <w:t>počuť kliknutie.</w:t>
      </w:r>
    </w:p>
    <w:p w14:paraId="03099C20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b/>
        </w:rPr>
      </w:pPr>
    </w:p>
    <w:p w14:paraId="22B72662" w14:textId="286FC9B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b/>
        </w:rPr>
      </w:pPr>
      <w:r w:rsidRPr="002F1924">
        <w:rPr>
          <w:rFonts w:ascii="Times New Roman" w:hAnsi="Times New Roman" w:cs="Times New Roman"/>
          <w:b/>
        </w:rPr>
        <w:t xml:space="preserve">    </w:t>
      </w:r>
      <w:r w:rsidRPr="002F1924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B88A0DE" wp14:editId="502B4E83">
            <wp:extent cx="3037205" cy="101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3E44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b/>
        </w:rPr>
      </w:pPr>
    </w:p>
    <w:p w14:paraId="59899E2E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b/>
        </w:rPr>
      </w:pPr>
    </w:p>
    <w:p w14:paraId="0F861EA2" w14:textId="77777777" w:rsidR="00B52502" w:rsidRPr="002F1924" w:rsidRDefault="00B52502" w:rsidP="008A6EE7">
      <w:pPr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Vytiahnite injekčnú ihlu. Aby ste sa uistili, že implantát bol zavedený správne, skontrolujte, či je svetlo modrý koniec piestu viditeľný na hrote injekčnej ihly.</w:t>
      </w:r>
    </w:p>
    <w:p w14:paraId="2751F11D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0D9BAB39" w14:textId="3FB14ED1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73905A0F" wp14:editId="31525C72">
            <wp:extent cx="1725295" cy="8032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45A56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14:paraId="4A0A6AA9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Na začiatku liečby a po 3-mesačnom používaní </w:t>
      </w:r>
      <w:proofErr w:type="spellStart"/>
      <w:r w:rsidRPr="002F1924">
        <w:rPr>
          <w:rFonts w:ascii="Times New Roman" w:hAnsi="Times New Roman" w:cs="Times New Roman"/>
        </w:rPr>
        <w:t>Leuprorelinu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implantátu sa musia stanoviť hladiny </w:t>
      </w:r>
      <w:proofErr w:type="spellStart"/>
      <w:r w:rsidRPr="002F1924">
        <w:rPr>
          <w:rFonts w:ascii="Times New Roman" w:hAnsi="Times New Roman" w:cs="Times New Roman"/>
        </w:rPr>
        <w:t>prostatického</w:t>
      </w:r>
      <w:proofErr w:type="spellEnd"/>
      <w:r w:rsidRPr="002F1924">
        <w:rPr>
          <w:rFonts w:ascii="Times New Roman" w:hAnsi="Times New Roman" w:cs="Times New Roman"/>
        </w:rPr>
        <w:t xml:space="preserve"> špecifického antigénu (</w:t>
      </w:r>
      <w:smartTag w:uri="urn:schemas-microsoft-com:office:smarttags" w:element="metricconverter">
        <w:smartTagPr>
          <w:attr w:name="ProductID" w:val="30 °C"/>
        </w:smartTagPr>
        <w:r w:rsidRPr="002F1924">
          <w:rPr>
            <w:rFonts w:ascii="Times New Roman" w:hAnsi="Times New Roman" w:cs="Times New Roman"/>
          </w:rPr>
          <w:t>PSA</w:t>
        </w:r>
      </w:smartTag>
      <w:r w:rsidRPr="002F1924">
        <w:rPr>
          <w:rFonts w:ascii="Times New Roman" w:hAnsi="Times New Roman" w:cs="Times New Roman"/>
        </w:rPr>
        <w:t xml:space="preserve">) a celkové koncentrácie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v sére. Karcinóm prostaty je citlivý na </w:t>
      </w:r>
      <w:proofErr w:type="spellStart"/>
      <w:r w:rsidRPr="002F1924">
        <w:rPr>
          <w:rFonts w:ascii="Times New Roman" w:hAnsi="Times New Roman" w:cs="Times New Roman"/>
        </w:rPr>
        <w:t>androgény</w:t>
      </w:r>
      <w:proofErr w:type="spellEnd"/>
      <w:r w:rsidRPr="002F1924">
        <w:rPr>
          <w:rFonts w:ascii="Times New Roman" w:hAnsi="Times New Roman" w:cs="Times New Roman"/>
        </w:rPr>
        <w:t xml:space="preserve">, ak po 3 mesiacoch sú koncentrácie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na kastračnej úrovni (≤ 0,5 </w:t>
      </w:r>
      <w:proofErr w:type="spellStart"/>
      <w:r w:rsidRPr="002F1924">
        <w:rPr>
          <w:rFonts w:ascii="Times New Roman" w:hAnsi="Times New Roman" w:cs="Times New Roman"/>
        </w:rPr>
        <w:t>ng</w:t>
      </w:r>
      <w:proofErr w:type="spellEnd"/>
      <w:r w:rsidRPr="002F1924">
        <w:rPr>
          <w:rFonts w:ascii="Times New Roman" w:hAnsi="Times New Roman" w:cs="Times New Roman"/>
        </w:rPr>
        <w:t xml:space="preserve">/ml) a klesnú hodnoty PSA. Skorý výrazný pokles v hodnotách </w:t>
      </w:r>
      <w:smartTag w:uri="urn:schemas-microsoft-com:office:smarttags" w:element="metricconverter">
        <w:smartTagPr>
          <w:attr w:name="ProductID" w:val="30 °C"/>
        </w:smartTagPr>
        <w:r w:rsidRPr="002F1924">
          <w:rPr>
            <w:rFonts w:ascii="Times New Roman" w:hAnsi="Times New Roman" w:cs="Times New Roman"/>
          </w:rPr>
          <w:t>PSA</w:t>
        </w:r>
      </w:smartTag>
      <w:r w:rsidRPr="002F1924">
        <w:rPr>
          <w:rFonts w:ascii="Times New Roman" w:hAnsi="Times New Roman" w:cs="Times New Roman"/>
        </w:rPr>
        <w:t xml:space="preserve"> (približne 80% z východiskovej hodnoty) je možné považovať za dobrý prognostický indikátor dlhodobej odpovede na vymiznutie </w:t>
      </w:r>
      <w:proofErr w:type="spellStart"/>
      <w:r w:rsidRPr="002F1924">
        <w:rPr>
          <w:rFonts w:ascii="Times New Roman" w:hAnsi="Times New Roman" w:cs="Times New Roman"/>
        </w:rPr>
        <w:t>androgénov</w:t>
      </w:r>
      <w:proofErr w:type="spellEnd"/>
      <w:r w:rsidRPr="002F1924">
        <w:rPr>
          <w:rFonts w:ascii="Times New Roman" w:hAnsi="Times New Roman" w:cs="Times New Roman"/>
        </w:rPr>
        <w:t xml:space="preserve">. Následne je indikovaná hormonálno-ablatívna liečba (napr. </w:t>
      </w:r>
      <w:proofErr w:type="spellStart"/>
      <w:r w:rsidRPr="002F1924">
        <w:rPr>
          <w:rFonts w:ascii="Times New Roman" w:hAnsi="Times New Roman" w:cs="Times New Roman"/>
        </w:rPr>
        <w:t>Leuprorelin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implantát).</w:t>
      </w:r>
    </w:p>
    <w:p w14:paraId="0CAAB1EF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0B78DDD1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Pokiaľ hodnoty </w:t>
      </w:r>
      <w:smartTag w:uri="urn:schemas-microsoft-com:office:smarttags" w:element="metricconverter">
        <w:smartTagPr>
          <w:attr w:name="ProductID" w:val="30 °C"/>
        </w:smartTagPr>
        <w:r w:rsidRPr="002F1924">
          <w:rPr>
            <w:rFonts w:ascii="Times New Roman" w:hAnsi="Times New Roman" w:cs="Times New Roman"/>
          </w:rPr>
          <w:t>PSA</w:t>
        </w:r>
      </w:smartTag>
      <w:r w:rsidRPr="002F1924">
        <w:rPr>
          <w:rFonts w:ascii="Times New Roman" w:hAnsi="Times New Roman" w:cs="Times New Roman"/>
        </w:rPr>
        <w:t xml:space="preserve"> zostanú nezmenené alebo stúpnu u pacientov so </w:t>
      </w:r>
      <w:proofErr w:type="spellStart"/>
      <w:r w:rsidRPr="002F1924">
        <w:rPr>
          <w:rFonts w:ascii="Times New Roman" w:hAnsi="Times New Roman" w:cs="Times New Roman"/>
        </w:rPr>
        <w:t>supresiou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, karcinóm prostaty nie je citlivý na liečbu </w:t>
      </w:r>
      <w:proofErr w:type="spellStart"/>
      <w:r w:rsidRPr="002F1924">
        <w:rPr>
          <w:rFonts w:ascii="Times New Roman" w:hAnsi="Times New Roman" w:cs="Times New Roman"/>
        </w:rPr>
        <w:t>androgénom</w:t>
      </w:r>
      <w:proofErr w:type="spellEnd"/>
      <w:r w:rsidRPr="002F1924">
        <w:rPr>
          <w:rFonts w:ascii="Times New Roman" w:hAnsi="Times New Roman" w:cs="Times New Roman"/>
        </w:rPr>
        <w:t xml:space="preserve">. V takýchto prípadoch nie je vhodné pokračovať v hormonálno-ablatívnej liečbe. </w:t>
      </w:r>
    </w:p>
    <w:p w14:paraId="36E2530C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2398CF13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Ak sa však u pacienta zaznamenala klinická odpoveď (napr. zmiernenie bolesti a príznakov </w:t>
      </w:r>
      <w:proofErr w:type="spellStart"/>
      <w:r w:rsidRPr="002F1924">
        <w:rPr>
          <w:rFonts w:ascii="Times New Roman" w:hAnsi="Times New Roman" w:cs="Times New Roman"/>
        </w:rPr>
        <w:t>dyzúrie</w:t>
      </w:r>
      <w:proofErr w:type="spellEnd"/>
      <w:r w:rsidRPr="002F1924">
        <w:rPr>
          <w:rFonts w:ascii="Times New Roman" w:hAnsi="Times New Roman" w:cs="Times New Roman"/>
        </w:rPr>
        <w:t xml:space="preserve">, zmenšenie veľkosti prostaty), výsledok sa musí zvážiť ako falošne negatívny. V týchto zriedkavých prípadoch sa má s podávaním </w:t>
      </w:r>
      <w:proofErr w:type="spellStart"/>
      <w:r w:rsidRPr="002F1924">
        <w:rPr>
          <w:rFonts w:ascii="Times New Roman" w:hAnsi="Times New Roman" w:cs="Times New Roman"/>
        </w:rPr>
        <w:t>Leuprorelinu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pokračovať ďalšie 3 mesiace a následne znova skontrolovať hodnoty PSA; okrem toho sa majú u pacienta veľmi pozorne monitorovať klinické symptómy.</w:t>
      </w:r>
    </w:p>
    <w:p w14:paraId="384CCBF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9A82E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Liečba pokročilého, hormonálne závislého karcinómu prostaty s </w:t>
      </w:r>
      <w:proofErr w:type="spellStart"/>
      <w:r w:rsidRPr="002F1924">
        <w:rPr>
          <w:rFonts w:ascii="Times New Roman" w:hAnsi="Times New Roman" w:cs="Times New Roman"/>
        </w:rPr>
        <w:t>Leuprorelinom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je obvykle dlhodobá.</w:t>
      </w:r>
    </w:p>
    <w:p w14:paraId="3FF5EAAA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862A2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Klinické údaje ukázali, že pri lokálne pokročilom, hormonálne citlivom karcinóme prostaty je rádioterapia a následná 3-ročná </w:t>
      </w:r>
      <w:proofErr w:type="spellStart"/>
      <w:r w:rsidRPr="002F1924">
        <w:rPr>
          <w:rFonts w:ascii="Times New Roman" w:hAnsi="Times New Roman" w:cs="Times New Roman"/>
        </w:rPr>
        <w:t>androgénna</w:t>
      </w:r>
      <w:proofErr w:type="spellEnd"/>
      <w:r w:rsidRPr="002F1924">
        <w:rPr>
          <w:rFonts w:ascii="Times New Roman" w:hAnsi="Times New Roman" w:cs="Times New Roman"/>
        </w:rPr>
        <w:t xml:space="preserve"> deprivácia vhodnejšia ako rádioterapia s následnou 6-mesačnou </w:t>
      </w:r>
      <w:proofErr w:type="spellStart"/>
      <w:r w:rsidRPr="002F1924">
        <w:rPr>
          <w:rFonts w:ascii="Times New Roman" w:hAnsi="Times New Roman" w:cs="Times New Roman"/>
        </w:rPr>
        <w:t>androgénnou</w:t>
      </w:r>
      <w:proofErr w:type="spellEnd"/>
      <w:r w:rsidRPr="002F1924">
        <w:rPr>
          <w:rFonts w:ascii="Times New Roman" w:hAnsi="Times New Roman" w:cs="Times New Roman"/>
        </w:rPr>
        <w:t xml:space="preserve"> depriváciou (pozri časť 5.1). Podľa štandardných liečebných postupov, je pre pacientov (T3 - T4) liečených rádioterapiou odporúčaná dĺžka liečby formou </w:t>
      </w:r>
      <w:proofErr w:type="spellStart"/>
      <w:r w:rsidRPr="002F1924">
        <w:rPr>
          <w:rFonts w:ascii="Times New Roman" w:hAnsi="Times New Roman" w:cs="Times New Roman"/>
        </w:rPr>
        <w:t>androgénnej</w:t>
      </w:r>
      <w:proofErr w:type="spellEnd"/>
      <w:r w:rsidRPr="002F1924">
        <w:rPr>
          <w:rFonts w:ascii="Times New Roman" w:hAnsi="Times New Roman" w:cs="Times New Roman"/>
        </w:rPr>
        <w:t xml:space="preserve"> deprivácie 2 - 3 roky.</w:t>
      </w:r>
    </w:p>
    <w:p w14:paraId="062CC9C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4AFF9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U pacientov s lokalizovaným karcinómom prostaty so stredne rizikovým profilom sa odporúča kombinácia rádioterapie s </w:t>
      </w:r>
      <w:proofErr w:type="spellStart"/>
      <w:r w:rsidRPr="002F1924">
        <w:rPr>
          <w:rFonts w:ascii="Times New Roman" w:hAnsi="Times New Roman" w:cs="Times New Roman"/>
        </w:rPr>
        <w:t>androgénnou</w:t>
      </w:r>
      <w:proofErr w:type="spellEnd"/>
      <w:r w:rsidRPr="002F1924">
        <w:rPr>
          <w:rFonts w:ascii="Times New Roman" w:hAnsi="Times New Roman" w:cs="Times New Roman"/>
        </w:rPr>
        <w:t xml:space="preserve"> depriváciou </w:t>
      </w:r>
      <w:proofErr w:type="spellStart"/>
      <w:r w:rsidRPr="002F1924">
        <w:rPr>
          <w:rFonts w:ascii="Times New Roman" w:hAnsi="Times New Roman" w:cs="Times New Roman"/>
        </w:rPr>
        <w:t>agonistami</w:t>
      </w:r>
      <w:proofErr w:type="spellEnd"/>
      <w:r w:rsidRPr="002F1924">
        <w:rPr>
          <w:rFonts w:ascii="Times New Roman" w:hAnsi="Times New Roman" w:cs="Times New Roman"/>
        </w:rPr>
        <w:t xml:space="preserve"> LHRH počas 4 až 6 mesiacov, zatiaľ čo u pacientov s vysokorizikovým profilom sa odporúčajú 2 až 3 roky.</w:t>
      </w:r>
    </w:p>
    <w:p w14:paraId="091FF2E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B521F7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4.3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Kontraindikácie</w:t>
      </w:r>
    </w:p>
    <w:p w14:paraId="24E4C91D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0422D7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Precitlivenosť na liečivo alebo na ktorúkoľvek z pomocných látok uvedených v časti 6.1, alebo na iný </w:t>
      </w:r>
      <w:proofErr w:type="spellStart"/>
      <w:r w:rsidRPr="002F1924">
        <w:rPr>
          <w:rFonts w:ascii="Times New Roman" w:hAnsi="Times New Roman" w:cs="Times New Roman"/>
        </w:rPr>
        <w:t>analóg</w:t>
      </w:r>
      <w:proofErr w:type="spellEnd"/>
      <w:r w:rsidRPr="002F1924">
        <w:rPr>
          <w:rFonts w:ascii="Times New Roman" w:hAnsi="Times New Roman" w:cs="Times New Roman"/>
        </w:rPr>
        <w:t xml:space="preserve"> hormónu uvoľňujúceho </w:t>
      </w:r>
      <w:proofErr w:type="spellStart"/>
      <w:r w:rsidRPr="002F1924">
        <w:rPr>
          <w:rFonts w:ascii="Times New Roman" w:hAnsi="Times New Roman" w:cs="Times New Roman"/>
        </w:rPr>
        <w:t>luteinizačný</w:t>
      </w:r>
      <w:proofErr w:type="spellEnd"/>
      <w:r w:rsidRPr="002F1924">
        <w:rPr>
          <w:rFonts w:ascii="Times New Roman" w:hAnsi="Times New Roman" w:cs="Times New Roman"/>
        </w:rPr>
        <w:t xml:space="preserve"> hormón (LHRH). </w:t>
      </w:r>
    </w:p>
    <w:p w14:paraId="51B992FB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57489135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Pri potvrdenej nezávislosti karcinómu od hormónov je </w:t>
      </w:r>
      <w:proofErr w:type="spellStart"/>
      <w:r w:rsidRPr="002F1924">
        <w:rPr>
          <w:rFonts w:ascii="Times New Roman" w:hAnsi="Times New Roman" w:cs="Times New Roman"/>
        </w:rPr>
        <w:t>Leuprorelinom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kontraindikovaný u žien a pediatrických pacientov.</w:t>
      </w:r>
    </w:p>
    <w:p w14:paraId="15F778EC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E6A0F8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4.4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Osobitné upozornenia a opatrenia pri používaní</w:t>
      </w:r>
    </w:p>
    <w:p w14:paraId="17BA1C85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E4C64C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kern w:val="32"/>
        </w:rPr>
      </w:pPr>
      <w:r w:rsidRPr="002F1924">
        <w:rPr>
          <w:rFonts w:ascii="Times New Roman" w:hAnsi="Times New Roman" w:cs="Times New Roman"/>
          <w:kern w:val="32"/>
        </w:rPr>
        <w:t>Pacienti s hypertenziou sa majú starostlivo sledovať.</w:t>
      </w:r>
    </w:p>
    <w:p w14:paraId="3898435A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kern w:val="32"/>
        </w:rPr>
      </w:pPr>
    </w:p>
    <w:p w14:paraId="445CA332" w14:textId="77777777" w:rsidR="00B52502" w:rsidRPr="002F1924" w:rsidRDefault="00B52502" w:rsidP="008A6EE7">
      <w:pPr>
        <w:spacing w:after="0" w:line="240" w:lineRule="auto"/>
        <w:rPr>
          <w:rStyle w:val="hps"/>
          <w:rFonts w:ascii="Times New Roman" w:hAnsi="Times New Roman" w:cs="Times New Roman"/>
        </w:rPr>
      </w:pPr>
      <w:r w:rsidRPr="002F1924">
        <w:rPr>
          <w:rStyle w:val="hps"/>
          <w:rFonts w:ascii="Times New Roman" w:hAnsi="Times New Roman" w:cs="Times New Roman"/>
        </w:rPr>
        <w:t>U</w:t>
      </w:r>
      <w:r w:rsidRPr="002F1924">
        <w:rPr>
          <w:rFonts w:ascii="Times New Roman" w:hAnsi="Times New Roman" w:cs="Times New Roman"/>
        </w:rPr>
        <w:t xml:space="preserve"> </w:t>
      </w:r>
      <w:r w:rsidRPr="002F1924">
        <w:rPr>
          <w:rStyle w:val="hps"/>
          <w:rFonts w:ascii="Times New Roman" w:hAnsi="Times New Roman" w:cs="Times New Roman"/>
        </w:rPr>
        <w:t>pacientov liečených</w:t>
      </w:r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Style w:val="hps"/>
          <w:rFonts w:ascii="Times New Roman" w:hAnsi="Times New Roman" w:cs="Times New Roman"/>
        </w:rPr>
        <w:t>agonistami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r w:rsidRPr="002F1924">
        <w:rPr>
          <w:rStyle w:val="hps"/>
          <w:rFonts w:ascii="Times New Roman" w:hAnsi="Times New Roman" w:cs="Times New Roman"/>
        </w:rPr>
        <w:t>LHRH</w:t>
      </w:r>
      <w:r w:rsidRPr="002F1924">
        <w:rPr>
          <w:rFonts w:ascii="Times New Roman" w:hAnsi="Times New Roman" w:cs="Times New Roman"/>
        </w:rPr>
        <w:t xml:space="preserve">, </w:t>
      </w:r>
      <w:r w:rsidRPr="002F1924">
        <w:rPr>
          <w:rStyle w:val="hps"/>
          <w:rFonts w:ascii="Times New Roman" w:hAnsi="Times New Roman" w:cs="Times New Roman"/>
        </w:rPr>
        <w:t>ako</w:t>
      </w:r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Style w:val="hps"/>
          <w:rFonts w:ascii="Times New Roman" w:hAnsi="Times New Roman" w:cs="Times New Roman"/>
        </w:rPr>
        <w:t>leuprorelín</w:t>
      </w:r>
      <w:proofErr w:type="spellEnd"/>
      <w:r w:rsidRPr="002F1924">
        <w:rPr>
          <w:rStyle w:val="hps"/>
          <w:rFonts w:ascii="Times New Roman" w:hAnsi="Times New Roman" w:cs="Times New Roman"/>
        </w:rPr>
        <w:t>, existuje</w:t>
      </w:r>
      <w:r w:rsidRPr="002F1924">
        <w:rPr>
          <w:rFonts w:ascii="Times New Roman" w:hAnsi="Times New Roman" w:cs="Times New Roman"/>
        </w:rPr>
        <w:t xml:space="preserve"> </w:t>
      </w:r>
      <w:r w:rsidRPr="002F1924">
        <w:rPr>
          <w:rStyle w:val="hps"/>
          <w:rFonts w:ascii="Times New Roman" w:hAnsi="Times New Roman" w:cs="Times New Roman"/>
        </w:rPr>
        <w:t>zvýšené riziko</w:t>
      </w:r>
      <w:r w:rsidRPr="002F1924">
        <w:rPr>
          <w:rFonts w:ascii="Times New Roman" w:hAnsi="Times New Roman" w:cs="Times New Roman"/>
        </w:rPr>
        <w:t xml:space="preserve"> vzniku </w:t>
      </w:r>
      <w:r w:rsidRPr="002F1924">
        <w:rPr>
          <w:rStyle w:val="hps"/>
          <w:rFonts w:ascii="Times New Roman" w:hAnsi="Times New Roman" w:cs="Times New Roman"/>
        </w:rPr>
        <w:t>depresie</w:t>
      </w:r>
      <w:r w:rsidRPr="002F1924">
        <w:rPr>
          <w:rFonts w:ascii="Times New Roman" w:hAnsi="Times New Roman" w:cs="Times New Roman"/>
        </w:rPr>
        <w:t xml:space="preserve"> </w:t>
      </w:r>
      <w:r w:rsidRPr="002F1924">
        <w:rPr>
          <w:rStyle w:val="hps"/>
          <w:rFonts w:ascii="Times New Roman" w:hAnsi="Times New Roman" w:cs="Times New Roman"/>
        </w:rPr>
        <w:t>(</w:t>
      </w:r>
      <w:r w:rsidRPr="002F1924">
        <w:rPr>
          <w:rFonts w:ascii="Times New Roman" w:hAnsi="Times New Roman" w:cs="Times New Roman"/>
        </w:rPr>
        <w:t xml:space="preserve">ktorá môže </w:t>
      </w:r>
      <w:r w:rsidRPr="002F1924">
        <w:rPr>
          <w:rStyle w:val="hps"/>
          <w:rFonts w:ascii="Times New Roman" w:hAnsi="Times New Roman" w:cs="Times New Roman"/>
        </w:rPr>
        <w:t>byť</w:t>
      </w:r>
      <w:r w:rsidRPr="002F1924">
        <w:rPr>
          <w:rFonts w:ascii="Times New Roman" w:hAnsi="Times New Roman" w:cs="Times New Roman"/>
        </w:rPr>
        <w:t xml:space="preserve"> </w:t>
      </w:r>
      <w:r w:rsidRPr="002F1924">
        <w:rPr>
          <w:rStyle w:val="hps"/>
          <w:rFonts w:ascii="Times New Roman" w:hAnsi="Times New Roman" w:cs="Times New Roman"/>
        </w:rPr>
        <w:t>závažná</w:t>
      </w:r>
      <w:r w:rsidRPr="002F1924">
        <w:rPr>
          <w:rFonts w:ascii="Times New Roman" w:hAnsi="Times New Roman" w:cs="Times New Roman"/>
        </w:rPr>
        <w:t xml:space="preserve">). </w:t>
      </w:r>
      <w:r w:rsidRPr="002F1924">
        <w:rPr>
          <w:rStyle w:val="hps"/>
          <w:rFonts w:ascii="Times New Roman" w:hAnsi="Times New Roman" w:cs="Times New Roman"/>
        </w:rPr>
        <w:t>Pacienti</w:t>
      </w:r>
      <w:r w:rsidRPr="002F1924">
        <w:rPr>
          <w:rFonts w:ascii="Times New Roman" w:hAnsi="Times New Roman" w:cs="Times New Roman"/>
        </w:rPr>
        <w:t xml:space="preserve"> </w:t>
      </w:r>
      <w:r w:rsidRPr="002F1924">
        <w:rPr>
          <w:rStyle w:val="hps"/>
          <w:rFonts w:ascii="Times New Roman" w:hAnsi="Times New Roman" w:cs="Times New Roman"/>
        </w:rPr>
        <w:t>musia</w:t>
      </w:r>
      <w:r w:rsidRPr="002F1924">
        <w:rPr>
          <w:rFonts w:ascii="Times New Roman" w:hAnsi="Times New Roman" w:cs="Times New Roman"/>
        </w:rPr>
        <w:t xml:space="preserve"> </w:t>
      </w:r>
      <w:r w:rsidRPr="002F1924">
        <w:rPr>
          <w:rStyle w:val="hps"/>
          <w:rFonts w:ascii="Times New Roman" w:hAnsi="Times New Roman" w:cs="Times New Roman"/>
        </w:rPr>
        <w:t>byť</w:t>
      </w:r>
      <w:r w:rsidRPr="002F1924">
        <w:rPr>
          <w:rFonts w:ascii="Times New Roman" w:hAnsi="Times New Roman" w:cs="Times New Roman"/>
        </w:rPr>
        <w:t xml:space="preserve"> </w:t>
      </w:r>
      <w:r w:rsidRPr="002F1924">
        <w:rPr>
          <w:rStyle w:val="hps"/>
          <w:rFonts w:ascii="Times New Roman" w:hAnsi="Times New Roman" w:cs="Times New Roman"/>
        </w:rPr>
        <w:t>o</w:t>
      </w:r>
      <w:r w:rsidRPr="002F1924">
        <w:rPr>
          <w:rFonts w:ascii="Times New Roman" w:hAnsi="Times New Roman" w:cs="Times New Roman"/>
        </w:rPr>
        <w:t> </w:t>
      </w:r>
      <w:r w:rsidRPr="002F1924">
        <w:rPr>
          <w:rStyle w:val="hps"/>
          <w:rFonts w:ascii="Times New Roman" w:hAnsi="Times New Roman" w:cs="Times New Roman"/>
        </w:rPr>
        <w:t>tomto riziku informovaní a vhodne liečení, ak sa objavia príznaky.</w:t>
      </w:r>
    </w:p>
    <w:p w14:paraId="30ED844A" w14:textId="77777777" w:rsidR="00B52502" w:rsidRPr="002F1924" w:rsidRDefault="00B52502" w:rsidP="008A6EE7">
      <w:pPr>
        <w:spacing w:after="0" w:line="240" w:lineRule="auto"/>
        <w:rPr>
          <w:rStyle w:val="hps"/>
          <w:rFonts w:ascii="Times New Roman" w:hAnsi="Times New Roman" w:cs="Times New Roman"/>
        </w:rPr>
      </w:pPr>
    </w:p>
    <w:p w14:paraId="22F8DD88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Style w:val="hps"/>
          <w:rFonts w:ascii="Times New Roman" w:hAnsi="Times New Roman" w:cs="Times New Roman"/>
        </w:rPr>
      </w:pPr>
      <w:r w:rsidRPr="002F1924">
        <w:rPr>
          <w:rStyle w:val="hps"/>
          <w:rFonts w:ascii="Times New Roman" w:hAnsi="Times New Roman" w:cs="Times New Roman"/>
        </w:rPr>
        <w:t>Boli pozorované alergické a </w:t>
      </w:r>
      <w:proofErr w:type="spellStart"/>
      <w:r w:rsidRPr="002F1924">
        <w:rPr>
          <w:rStyle w:val="hps"/>
          <w:rFonts w:ascii="Times New Roman" w:hAnsi="Times New Roman" w:cs="Times New Roman"/>
        </w:rPr>
        <w:t>anafylaktické</w:t>
      </w:r>
      <w:proofErr w:type="spellEnd"/>
      <w:r w:rsidRPr="002F1924">
        <w:rPr>
          <w:rStyle w:val="hps"/>
          <w:rFonts w:ascii="Times New Roman" w:hAnsi="Times New Roman" w:cs="Times New Roman"/>
        </w:rPr>
        <w:t xml:space="preserve"> reakcie. Zahŕňajú lokálne reakcie v mieste vpichu injekcie a systémové príznaky.</w:t>
      </w:r>
    </w:p>
    <w:p w14:paraId="40576B4B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BC019F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V sledovaní po uvedení lieku na trh boli u pacientov liečených </w:t>
      </w:r>
      <w:proofErr w:type="spellStart"/>
      <w:r w:rsidRPr="002F1924">
        <w:rPr>
          <w:rFonts w:ascii="Times New Roman" w:hAnsi="Times New Roman" w:cs="Times New Roman"/>
        </w:rPr>
        <w:t>leuprorelínacetátom</w:t>
      </w:r>
      <w:proofErr w:type="spellEnd"/>
      <w:r w:rsidRPr="002F1924">
        <w:rPr>
          <w:rFonts w:ascii="Times New Roman" w:hAnsi="Times New Roman" w:cs="Times New Roman"/>
        </w:rPr>
        <w:t xml:space="preserve"> pozorované kŕče s alebo bez </w:t>
      </w:r>
      <w:proofErr w:type="spellStart"/>
      <w:r w:rsidRPr="002F1924">
        <w:rPr>
          <w:rFonts w:ascii="Times New Roman" w:hAnsi="Times New Roman" w:cs="Times New Roman"/>
        </w:rPr>
        <w:t>ananmnézy</w:t>
      </w:r>
      <w:proofErr w:type="spellEnd"/>
      <w:r w:rsidRPr="002F1924">
        <w:rPr>
          <w:rFonts w:ascii="Times New Roman" w:hAnsi="Times New Roman" w:cs="Times New Roman"/>
        </w:rPr>
        <w:t xml:space="preserve"> epilepsie, kŕčov alebo </w:t>
      </w:r>
      <w:proofErr w:type="spellStart"/>
      <w:r w:rsidRPr="002F1924">
        <w:rPr>
          <w:rFonts w:ascii="Times New Roman" w:hAnsi="Times New Roman" w:cs="Times New Roman"/>
        </w:rPr>
        <w:t>predispozičných</w:t>
      </w:r>
      <w:proofErr w:type="spellEnd"/>
      <w:r w:rsidRPr="002F1924">
        <w:rPr>
          <w:rFonts w:ascii="Times New Roman" w:hAnsi="Times New Roman" w:cs="Times New Roman"/>
        </w:rPr>
        <w:t xml:space="preserve"> faktorov.</w:t>
      </w:r>
    </w:p>
    <w:p w14:paraId="6B9727BF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DCB550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kern w:val="32"/>
        </w:rPr>
      </w:pPr>
      <w:r w:rsidRPr="002F1924">
        <w:rPr>
          <w:rFonts w:ascii="Times New Roman" w:hAnsi="Times New Roman" w:cs="Times New Roman"/>
          <w:kern w:val="32"/>
        </w:rPr>
        <w:t xml:space="preserve">Po chirurgickej kastrácii nevyvoláva </w:t>
      </w:r>
      <w:proofErr w:type="spellStart"/>
      <w:r w:rsidRPr="002F1924">
        <w:rPr>
          <w:rFonts w:ascii="Times New Roman" w:hAnsi="Times New Roman" w:cs="Times New Roman"/>
          <w:kern w:val="32"/>
        </w:rPr>
        <w:t>leuprorelín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žiadny ďalší pokles hladín </w:t>
      </w:r>
      <w:proofErr w:type="spellStart"/>
      <w:r w:rsidRPr="002F1924">
        <w:rPr>
          <w:rFonts w:ascii="Times New Roman" w:hAnsi="Times New Roman" w:cs="Times New Roman"/>
          <w:kern w:val="32"/>
        </w:rPr>
        <w:t>testosterónu</w:t>
      </w:r>
      <w:proofErr w:type="spellEnd"/>
      <w:r w:rsidRPr="002F1924">
        <w:rPr>
          <w:rFonts w:ascii="Times New Roman" w:hAnsi="Times New Roman" w:cs="Times New Roman"/>
          <w:kern w:val="32"/>
        </w:rPr>
        <w:t>.</w:t>
      </w:r>
    </w:p>
    <w:p w14:paraId="4E247955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4F7F5A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Pacienti s rizikom neurologických komplikácií, metastázou v chrbtici a obštrukciou močových ciest majú počas prvých týždňov liečby ostať čo najdlhšie </w:t>
      </w:r>
      <w:proofErr w:type="spellStart"/>
      <w:r w:rsidRPr="002F1924">
        <w:rPr>
          <w:rFonts w:ascii="Times New Roman" w:hAnsi="Times New Roman" w:cs="Times New Roman"/>
        </w:rPr>
        <w:t>hospitalizovaníi</w:t>
      </w:r>
      <w:proofErr w:type="spellEnd"/>
      <w:r w:rsidRPr="002F1924">
        <w:rPr>
          <w:rFonts w:ascii="Times New Roman" w:hAnsi="Times New Roman" w:cs="Times New Roman"/>
        </w:rPr>
        <w:t xml:space="preserve"> a byť nepretržite sledovaní z dôvodu krátkodobého zvýšenia sérových koncentrácií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na začiatku liečby, čo môže dočasne zhoršiť určité príznaky ochorenia.</w:t>
      </w:r>
    </w:p>
    <w:p w14:paraId="4CD598DB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955D862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Počas začiatočnej fázy liečby sa má zvážiť podávanie ďalšieho vhodného </w:t>
      </w:r>
      <w:proofErr w:type="spellStart"/>
      <w:r w:rsidRPr="002F1924">
        <w:rPr>
          <w:rFonts w:ascii="Times New Roman" w:hAnsi="Times New Roman" w:cs="Times New Roman"/>
        </w:rPr>
        <w:t>antiandrogénu</w:t>
      </w:r>
      <w:proofErr w:type="spellEnd"/>
      <w:r w:rsidRPr="002F1924">
        <w:rPr>
          <w:rFonts w:ascii="Times New Roman" w:hAnsi="Times New Roman" w:cs="Times New Roman"/>
        </w:rPr>
        <w:t xml:space="preserve"> na zmiernenie možného druhotného následku počiatočného nárastu hladiny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a zhoršenia klinických príznakov.</w:t>
      </w:r>
    </w:p>
    <w:p w14:paraId="2D5B04BD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D19809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Úspešnosť liečby sa má pravidelne sledovať (a to hlavne ak existuje záznam o progresii napriek vhodnej liečbe) klinickými prehliadkami (digitálne </w:t>
      </w:r>
      <w:proofErr w:type="spellStart"/>
      <w:r w:rsidRPr="002F1924">
        <w:rPr>
          <w:rFonts w:ascii="Times New Roman" w:hAnsi="Times New Roman" w:cs="Times New Roman"/>
        </w:rPr>
        <w:t>rektálne</w:t>
      </w:r>
      <w:proofErr w:type="spellEnd"/>
      <w:r w:rsidRPr="002F1924">
        <w:rPr>
          <w:rFonts w:ascii="Times New Roman" w:hAnsi="Times New Roman" w:cs="Times New Roman"/>
        </w:rPr>
        <w:t xml:space="preserve"> vyšetrenie prostaty, ultrazvuk, </w:t>
      </w:r>
      <w:proofErr w:type="spellStart"/>
      <w:r w:rsidRPr="002F1924">
        <w:rPr>
          <w:rFonts w:ascii="Times New Roman" w:hAnsi="Times New Roman" w:cs="Times New Roman"/>
        </w:rPr>
        <w:t>skeletálna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scintigrafia</w:t>
      </w:r>
      <w:proofErr w:type="spellEnd"/>
      <w:r w:rsidRPr="002F1924">
        <w:rPr>
          <w:rFonts w:ascii="Times New Roman" w:hAnsi="Times New Roman" w:cs="Times New Roman"/>
        </w:rPr>
        <w:t xml:space="preserve">, počítačová tomografia) a kontrolovaním hladiny </w:t>
      </w:r>
      <w:proofErr w:type="spellStart"/>
      <w:r w:rsidRPr="002F1924">
        <w:rPr>
          <w:rFonts w:ascii="Times New Roman" w:hAnsi="Times New Roman" w:cs="Times New Roman"/>
        </w:rPr>
        <w:t>fosfatáz</w:t>
      </w:r>
      <w:proofErr w:type="spellEnd"/>
      <w:r w:rsidRPr="002F1924">
        <w:rPr>
          <w:rFonts w:ascii="Times New Roman" w:hAnsi="Times New Roman" w:cs="Times New Roman"/>
        </w:rPr>
        <w:t xml:space="preserve"> a/alebo </w:t>
      </w:r>
      <w:proofErr w:type="spellStart"/>
      <w:r w:rsidRPr="002F1924">
        <w:rPr>
          <w:rFonts w:ascii="Times New Roman" w:hAnsi="Times New Roman" w:cs="Times New Roman"/>
        </w:rPr>
        <w:t>prostatického</w:t>
      </w:r>
      <w:proofErr w:type="spellEnd"/>
      <w:r w:rsidRPr="002F1924">
        <w:rPr>
          <w:rFonts w:ascii="Times New Roman" w:hAnsi="Times New Roman" w:cs="Times New Roman"/>
        </w:rPr>
        <w:t xml:space="preserve"> špecifického antigénu (PSA) koncentrácii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v sére.</w:t>
      </w:r>
    </w:p>
    <w:p w14:paraId="5EC24EC9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F5553BA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kern w:val="32"/>
        </w:rPr>
      </w:pPr>
      <w:proofErr w:type="spellStart"/>
      <w:r w:rsidRPr="002F1924">
        <w:rPr>
          <w:rFonts w:ascii="Times New Roman" w:hAnsi="Times New Roman" w:cs="Times New Roman"/>
          <w:kern w:val="32"/>
        </w:rPr>
        <w:t>Hypogonádizmus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vyskytujúci sa pri dlhodobej liečbe s </w:t>
      </w:r>
      <w:proofErr w:type="spellStart"/>
      <w:r w:rsidRPr="002F1924">
        <w:rPr>
          <w:rFonts w:ascii="Times New Roman" w:hAnsi="Times New Roman" w:cs="Times New Roman"/>
          <w:kern w:val="32"/>
        </w:rPr>
        <w:t>analógmi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LHRH a/alebo </w:t>
      </w:r>
      <w:proofErr w:type="spellStart"/>
      <w:r w:rsidRPr="002F1924">
        <w:rPr>
          <w:rFonts w:ascii="Times New Roman" w:hAnsi="Times New Roman" w:cs="Times New Roman"/>
          <w:kern w:val="32"/>
        </w:rPr>
        <w:t>orchiektómia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môžu viesť k </w:t>
      </w:r>
      <w:proofErr w:type="spellStart"/>
      <w:r w:rsidRPr="002F1924">
        <w:rPr>
          <w:rFonts w:ascii="Times New Roman" w:hAnsi="Times New Roman" w:cs="Times New Roman"/>
          <w:kern w:val="32"/>
        </w:rPr>
        <w:t>osteoporóze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so zvýšeným rizikom vzniku zlomenín, pričom rozvoj </w:t>
      </w:r>
      <w:proofErr w:type="spellStart"/>
      <w:r w:rsidRPr="002F1924">
        <w:rPr>
          <w:rFonts w:ascii="Times New Roman" w:hAnsi="Times New Roman" w:cs="Times New Roman"/>
          <w:kern w:val="32"/>
        </w:rPr>
        <w:t>osteoporózy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bol výraznejší po </w:t>
      </w:r>
      <w:proofErr w:type="spellStart"/>
      <w:r w:rsidRPr="002F1924">
        <w:rPr>
          <w:rFonts w:ascii="Times New Roman" w:hAnsi="Times New Roman" w:cs="Times New Roman"/>
          <w:kern w:val="32"/>
        </w:rPr>
        <w:t>orchiektómii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, so zvýšenými hladinami </w:t>
      </w:r>
      <w:proofErr w:type="spellStart"/>
      <w:r w:rsidRPr="002F1924">
        <w:rPr>
          <w:rFonts w:ascii="Times New Roman" w:hAnsi="Times New Roman" w:cs="Times New Roman"/>
          <w:kern w:val="32"/>
        </w:rPr>
        <w:t>kortizolu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, než po podávaní </w:t>
      </w:r>
      <w:proofErr w:type="spellStart"/>
      <w:r w:rsidRPr="002F1924">
        <w:rPr>
          <w:rFonts w:ascii="Times New Roman" w:hAnsi="Times New Roman" w:cs="Times New Roman"/>
          <w:kern w:val="32"/>
        </w:rPr>
        <w:t>analógov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LHRH. U vysoko rizikových pacientov môže doplnkové podávanie </w:t>
      </w:r>
      <w:proofErr w:type="spellStart"/>
      <w:r w:rsidRPr="002F1924">
        <w:rPr>
          <w:rFonts w:ascii="Times New Roman" w:hAnsi="Times New Roman" w:cs="Times New Roman"/>
          <w:kern w:val="32"/>
        </w:rPr>
        <w:t>bisfosfonátov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pomôcť predísť </w:t>
      </w:r>
      <w:proofErr w:type="spellStart"/>
      <w:r w:rsidRPr="002F1924">
        <w:rPr>
          <w:rFonts w:ascii="Times New Roman" w:hAnsi="Times New Roman" w:cs="Times New Roman"/>
          <w:kern w:val="32"/>
        </w:rPr>
        <w:t>demineralizácii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kostí.</w:t>
      </w:r>
    </w:p>
    <w:p w14:paraId="6779F72F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kern w:val="32"/>
        </w:rPr>
      </w:pPr>
    </w:p>
    <w:p w14:paraId="4D0CC680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kern w:val="32"/>
        </w:rPr>
      </w:pPr>
      <w:r w:rsidRPr="002F1924">
        <w:rPr>
          <w:rFonts w:ascii="Times New Roman" w:hAnsi="Times New Roman" w:cs="Times New Roman"/>
          <w:kern w:val="32"/>
        </w:rPr>
        <w:t xml:space="preserve">U niektorých pacientov liečených </w:t>
      </w:r>
      <w:proofErr w:type="spellStart"/>
      <w:r w:rsidRPr="002F1924">
        <w:rPr>
          <w:rFonts w:ascii="Times New Roman" w:hAnsi="Times New Roman" w:cs="Times New Roman"/>
          <w:kern w:val="32"/>
        </w:rPr>
        <w:t>analógmi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LHRH sa zaznamenala zmenená tolerancia glukózy. Diabetici sa počas liečby </w:t>
      </w:r>
      <w:proofErr w:type="spellStart"/>
      <w:r w:rsidRPr="002F1924">
        <w:rPr>
          <w:rFonts w:ascii="Times New Roman" w:hAnsi="Times New Roman" w:cs="Times New Roman"/>
          <w:kern w:val="32"/>
        </w:rPr>
        <w:t>Leuprorelinom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</w:t>
      </w:r>
      <w:proofErr w:type="spellStart"/>
      <w:r w:rsidRPr="002F1924">
        <w:rPr>
          <w:rFonts w:ascii="Times New Roman" w:hAnsi="Times New Roman" w:cs="Times New Roman"/>
          <w:kern w:val="32"/>
        </w:rPr>
        <w:t>Sandoz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5 mg implantát musia veľmi starostlivo sledovať.</w:t>
      </w:r>
    </w:p>
    <w:p w14:paraId="7E280313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600AE34A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Liečba potláčajúca </w:t>
      </w:r>
      <w:proofErr w:type="spellStart"/>
      <w:r w:rsidRPr="002F1924">
        <w:rPr>
          <w:rFonts w:ascii="Times New Roman" w:hAnsi="Times New Roman" w:cs="Times New Roman"/>
        </w:rPr>
        <w:t>androgény</w:t>
      </w:r>
      <w:proofErr w:type="spellEnd"/>
      <w:r w:rsidRPr="002F1924">
        <w:rPr>
          <w:rFonts w:ascii="Times New Roman" w:hAnsi="Times New Roman" w:cs="Times New Roman"/>
        </w:rPr>
        <w:t xml:space="preserve"> môže predĺžiť QT interval.</w:t>
      </w:r>
    </w:p>
    <w:p w14:paraId="1CBE8399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53CB45C5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U pacientov s predĺženým QT intervalom v anamnéze alebo s rizikovými faktormi preň a u pacientov liečených súbežne liekmi, ktoré môžu predlžovať QT interval (pozri časť 4.5), musí lekár pred začatím liečby </w:t>
      </w:r>
      <w:proofErr w:type="spellStart"/>
      <w:r w:rsidRPr="002F1924">
        <w:rPr>
          <w:rFonts w:ascii="Times New Roman" w:hAnsi="Times New Roman" w:cs="Times New Roman"/>
        </w:rPr>
        <w:t>Leuprorelinom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 mg implantát zhodnotiť pomer prínosu a rizika, vrátane potenciálu vzniku </w:t>
      </w:r>
      <w:proofErr w:type="spellStart"/>
      <w:r w:rsidRPr="002F1924">
        <w:rPr>
          <w:rFonts w:ascii="Times New Roman" w:hAnsi="Times New Roman" w:cs="Times New Roman"/>
          <w:i/>
        </w:rPr>
        <w:t>torsade</w:t>
      </w:r>
      <w:proofErr w:type="spellEnd"/>
      <w:r w:rsidRPr="002F1924">
        <w:rPr>
          <w:rFonts w:ascii="Times New Roman" w:hAnsi="Times New Roman" w:cs="Times New Roman"/>
          <w:i/>
        </w:rPr>
        <w:t xml:space="preserve"> </w:t>
      </w:r>
      <w:proofErr w:type="spellStart"/>
      <w:r w:rsidRPr="002F1924">
        <w:rPr>
          <w:rFonts w:ascii="Times New Roman" w:hAnsi="Times New Roman" w:cs="Times New Roman"/>
          <w:i/>
        </w:rPr>
        <w:t>de</w:t>
      </w:r>
      <w:proofErr w:type="spellEnd"/>
      <w:r w:rsidRPr="002F1924">
        <w:rPr>
          <w:rFonts w:ascii="Times New Roman" w:hAnsi="Times New Roman" w:cs="Times New Roman"/>
          <w:i/>
        </w:rPr>
        <w:t xml:space="preserve"> </w:t>
      </w:r>
      <w:proofErr w:type="spellStart"/>
      <w:r w:rsidRPr="002F1924">
        <w:rPr>
          <w:rFonts w:ascii="Times New Roman" w:hAnsi="Times New Roman" w:cs="Times New Roman"/>
          <w:i/>
        </w:rPr>
        <w:t>pointes</w:t>
      </w:r>
      <w:proofErr w:type="spellEnd"/>
      <w:r w:rsidRPr="002F1924">
        <w:rPr>
          <w:rFonts w:ascii="Times New Roman" w:hAnsi="Times New Roman" w:cs="Times New Roman"/>
        </w:rPr>
        <w:t>.</w:t>
      </w:r>
    </w:p>
    <w:p w14:paraId="38407175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kern w:val="32"/>
        </w:rPr>
      </w:pPr>
    </w:p>
    <w:p w14:paraId="1B4D55A5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4.5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Liekové a iné interakcie</w:t>
      </w:r>
    </w:p>
    <w:p w14:paraId="00DB6101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251078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Neuskutočnili sa žiadne interakčné štúdie.</w:t>
      </w:r>
    </w:p>
    <w:p w14:paraId="57F5B2C5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D81998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Keďže liečba potláčajúca </w:t>
      </w:r>
      <w:proofErr w:type="spellStart"/>
      <w:r w:rsidRPr="002F1924">
        <w:rPr>
          <w:rFonts w:ascii="Times New Roman" w:hAnsi="Times New Roman" w:cs="Times New Roman"/>
        </w:rPr>
        <w:t>androgény</w:t>
      </w:r>
      <w:proofErr w:type="spellEnd"/>
      <w:r w:rsidRPr="002F1924">
        <w:rPr>
          <w:rFonts w:ascii="Times New Roman" w:hAnsi="Times New Roman" w:cs="Times New Roman"/>
        </w:rPr>
        <w:t xml:space="preserve"> môže predĺžiť QT interval, súbežné použitie </w:t>
      </w:r>
      <w:proofErr w:type="spellStart"/>
      <w:r w:rsidRPr="002F1924">
        <w:rPr>
          <w:rFonts w:ascii="Times New Roman" w:hAnsi="Times New Roman" w:cs="Times New Roman"/>
        </w:rPr>
        <w:t>Leuprorelinu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s liekmi, o ktorých je známe, že predlžujú QT interval alebo s liekmi, ktoré môžu indukovať </w:t>
      </w:r>
      <w:proofErr w:type="spellStart"/>
      <w:r w:rsidRPr="002F1924">
        <w:rPr>
          <w:rFonts w:ascii="Times New Roman" w:hAnsi="Times New Roman" w:cs="Times New Roman"/>
          <w:i/>
        </w:rPr>
        <w:t>torsades</w:t>
      </w:r>
      <w:proofErr w:type="spellEnd"/>
      <w:r w:rsidRPr="002F1924">
        <w:rPr>
          <w:rFonts w:ascii="Times New Roman" w:hAnsi="Times New Roman" w:cs="Times New Roman"/>
          <w:i/>
        </w:rPr>
        <w:t xml:space="preserve"> </w:t>
      </w:r>
      <w:proofErr w:type="spellStart"/>
      <w:r w:rsidRPr="002F1924">
        <w:rPr>
          <w:rFonts w:ascii="Times New Roman" w:hAnsi="Times New Roman" w:cs="Times New Roman"/>
          <w:i/>
        </w:rPr>
        <w:t>de</w:t>
      </w:r>
      <w:proofErr w:type="spellEnd"/>
      <w:r w:rsidRPr="002F1924">
        <w:rPr>
          <w:rFonts w:ascii="Times New Roman" w:hAnsi="Times New Roman" w:cs="Times New Roman"/>
          <w:i/>
        </w:rPr>
        <w:t xml:space="preserve"> </w:t>
      </w:r>
      <w:proofErr w:type="spellStart"/>
      <w:r w:rsidRPr="002F1924">
        <w:rPr>
          <w:rFonts w:ascii="Times New Roman" w:hAnsi="Times New Roman" w:cs="Times New Roman"/>
          <w:i/>
        </w:rPr>
        <w:t>pointes</w:t>
      </w:r>
      <w:proofErr w:type="spellEnd"/>
      <w:r w:rsidRPr="002F1924">
        <w:rPr>
          <w:rFonts w:ascii="Times New Roman" w:hAnsi="Times New Roman" w:cs="Times New Roman"/>
        </w:rPr>
        <w:t>,</w:t>
      </w:r>
      <w:r w:rsidRPr="002F1924">
        <w:rPr>
          <w:rFonts w:ascii="Times New Roman" w:hAnsi="Times New Roman" w:cs="Times New Roman"/>
          <w:i/>
        </w:rPr>
        <w:t xml:space="preserve"> </w:t>
      </w:r>
      <w:r w:rsidRPr="002F1924">
        <w:rPr>
          <w:rFonts w:ascii="Times New Roman" w:hAnsi="Times New Roman" w:cs="Times New Roman"/>
        </w:rPr>
        <w:t xml:space="preserve">akými sú trieda IA (napr. </w:t>
      </w:r>
      <w:proofErr w:type="spellStart"/>
      <w:r w:rsidRPr="002F1924">
        <w:rPr>
          <w:rFonts w:ascii="Times New Roman" w:hAnsi="Times New Roman" w:cs="Times New Roman"/>
        </w:rPr>
        <w:t>chinidín</w:t>
      </w:r>
      <w:proofErr w:type="spellEnd"/>
      <w:r w:rsidRPr="002F1924">
        <w:rPr>
          <w:rFonts w:ascii="Times New Roman" w:hAnsi="Times New Roman" w:cs="Times New Roman"/>
        </w:rPr>
        <w:t xml:space="preserve">, </w:t>
      </w:r>
      <w:proofErr w:type="spellStart"/>
      <w:r w:rsidRPr="002F1924">
        <w:rPr>
          <w:rFonts w:ascii="Times New Roman" w:hAnsi="Times New Roman" w:cs="Times New Roman"/>
        </w:rPr>
        <w:t>disopyramid</w:t>
      </w:r>
      <w:proofErr w:type="spellEnd"/>
      <w:r w:rsidRPr="002F1924">
        <w:rPr>
          <w:rFonts w:ascii="Times New Roman" w:hAnsi="Times New Roman" w:cs="Times New Roman"/>
        </w:rPr>
        <w:t xml:space="preserve">) alebo trieda III (napr. </w:t>
      </w:r>
      <w:proofErr w:type="spellStart"/>
      <w:r w:rsidRPr="002F1924">
        <w:rPr>
          <w:rFonts w:ascii="Times New Roman" w:hAnsi="Times New Roman" w:cs="Times New Roman"/>
        </w:rPr>
        <w:t>amiodaron</w:t>
      </w:r>
      <w:proofErr w:type="spellEnd"/>
      <w:r w:rsidRPr="002F1924">
        <w:rPr>
          <w:rFonts w:ascii="Times New Roman" w:hAnsi="Times New Roman" w:cs="Times New Roman"/>
        </w:rPr>
        <w:t xml:space="preserve">, </w:t>
      </w:r>
      <w:proofErr w:type="spellStart"/>
      <w:r w:rsidRPr="002F1924">
        <w:rPr>
          <w:rFonts w:ascii="Times New Roman" w:hAnsi="Times New Roman" w:cs="Times New Roman"/>
        </w:rPr>
        <w:t>sotalol</w:t>
      </w:r>
      <w:proofErr w:type="spellEnd"/>
      <w:r w:rsidRPr="002F1924">
        <w:rPr>
          <w:rFonts w:ascii="Times New Roman" w:hAnsi="Times New Roman" w:cs="Times New Roman"/>
        </w:rPr>
        <w:t xml:space="preserve">, </w:t>
      </w:r>
      <w:proofErr w:type="spellStart"/>
      <w:r w:rsidRPr="002F1924">
        <w:rPr>
          <w:rFonts w:ascii="Times New Roman" w:hAnsi="Times New Roman" w:cs="Times New Roman"/>
        </w:rPr>
        <w:t>dofetilid</w:t>
      </w:r>
      <w:proofErr w:type="spellEnd"/>
      <w:r w:rsidRPr="002F1924">
        <w:rPr>
          <w:rFonts w:ascii="Times New Roman" w:hAnsi="Times New Roman" w:cs="Times New Roman"/>
        </w:rPr>
        <w:t xml:space="preserve">, </w:t>
      </w:r>
      <w:proofErr w:type="spellStart"/>
      <w:r w:rsidRPr="002F1924">
        <w:rPr>
          <w:rFonts w:ascii="Times New Roman" w:hAnsi="Times New Roman" w:cs="Times New Roman"/>
        </w:rPr>
        <w:t>ibutilid</w:t>
      </w:r>
      <w:proofErr w:type="spellEnd"/>
      <w:r w:rsidRPr="002F1924">
        <w:rPr>
          <w:rFonts w:ascii="Times New Roman" w:hAnsi="Times New Roman" w:cs="Times New Roman"/>
        </w:rPr>
        <w:t xml:space="preserve">), </w:t>
      </w:r>
      <w:proofErr w:type="spellStart"/>
      <w:r w:rsidRPr="002F1924">
        <w:rPr>
          <w:rFonts w:ascii="Times New Roman" w:hAnsi="Times New Roman" w:cs="Times New Roman"/>
        </w:rPr>
        <w:t>antiarytmiká</w:t>
      </w:r>
      <w:proofErr w:type="spellEnd"/>
      <w:r w:rsidRPr="002F1924">
        <w:rPr>
          <w:rFonts w:ascii="Times New Roman" w:hAnsi="Times New Roman" w:cs="Times New Roman"/>
        </w:rPr>
        <w:t xml:space="preserve">, </w:t>
      </w:r>
      <w:proofErr w:type="spellStart"/>
      <w:r w:rsidRPr="002F1924">
        <w:rPr>
          <w:rFonts w:ascii="Times New Roman" w:hAnsi="Times New Roman" w:cs="Times New Roman"/>
        </w:rPr>
        <w:t>metadón</w:t>
      </w:r>
      <w:proofErr w:type="spellEnd"/>
      <w:r w:rsidRPr="002F1924">
        <w:rPr>
          <w:rFonts w:ascii="Times New Roman" w:hAnsi="Times New Roman" w:cs="Times New Roman"/>
        </w:rPr>
        <w:t xml:space="preserve">, </w:t>
      </w:r>
      <w:proofErr w:type="spellStart"/>
      <w:r w:rsidRPr="002F1924">
        <w:rPr>
          <w:rFonts w:ascii="Times New Roman" w:hAnsi="Times New Roman" w:cs="Times New Roman"/>
        </w:rPr>
        <w:t>moxifloxacín</w:t>
      </w:r>
      <w:proofErr w:type="spellEnd"/>
      <w:r w:rsidRPr="002F1924">
        <w:rPr>
          <w:rFonts w:ascii="Times New Roman" w:hAnsi="Times New Roman" w:cs="Times New Roman"/>
        </w:rPr>
        <w:t xml:space="preserve">, </w:t>
      </w:r>
      <w:proofErr w:type="spellStart"/>
      <w:r w:rsidRPr="002F1924">
        <w:rPr>
          <w:rFonts w:ascii="Times New Roman" w:hAnsi="Times New Roman" w:cs="Times New Roman"/>
        </w:rPr>
        <w:t>antipsychotiká</w:t>
      </w:r>
      <w:proofErr w:type="spellEnd"/>
      <w:r w:rsidRPr="002F1924">
        <w:rPr>
          <w:rFonts w:ascii="Times New Roman" w:hAnsi="Times New Roman" w:cs="Times New Roman"/>
        </w:rPr>
        <w:t>, atď., musí byť starostlivo zvážené (pozri časť 4.4).</w:t>
      </w:r>
    </w:p>
    <w:p w14:paraId="085A9086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670FEB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4.6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proofErr w:type="spellStart"/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Fertilita</w:t>
      </w:r>
      <w:proofErr w:type="spellEnd"/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, gravidita a laktácia</w:t>
      </w:r>
    </w:p>
    <w:p w14:paraId="2DDA566E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28C4F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F1924">
        <w:rPr>
          <w:rFonts w:ascii="Times New Roman" w:hAnsi="Times New Roman" w:cs="Times New Roman"/>
        </w:rPr>
        <w:t>Leuprorelin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je určený len na použitie u pacientov mužského pohlavia.</w:t>
      </w:r>
    </w:p>
    <w:p w14:paraId="2A3D7E14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A94C4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4.7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Ovplyvnenie schopnosti viesť vozidlá a obsluhovať stroje</w:t>
      </w:r>
    </w:p>
    <w:p w14:paraId="5AC9F25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2532A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Tento liek môže natoľko pozmeniť schopnosť reagovať, dokonca aj pri správnom používaní, že schopnosť viesť vozidlá a obsluhovať stroje je narušená. Je to kvôli únave, ktorá sa u niektorých pacientov vyskytuje najmä na začiatku liečby, čo môže byť spôsobené aj prítomnosťou nádorového ochorenia. V ešte väčšej miere toto platí pri kombinácii tohto lieku s alkoholom.</w:t>
      </w:r>
    </w:p>
    <w:p w14:paraId="271D3326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3FF7D2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4.8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Nežiaduce účinky</w:t>
      </w:r>
    </w:p>
    <w:p w14:paraId="7F1303E9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89EC92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Na začiatku obvykle nastane krátkodobý nárast koncentrácie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v sére, čo môže dočasne zhoršiť niektoré príznaky ochorenia (bolesť kostí alebo jej nárast, obštrukcia močových ciest s jej následkami, stiahnutie miechy, svalová slabosť v nohách, lymfatický edém). Tento nárast príznakov zvyčajne spontánne ustúpi bez toho, aby sa musela prerušiť liečba </w:t>
      </w:r>
      <w:proofErr w:type="spellStart"/>
      <w:r w:rsidRPr="002F1924">
        <w:rPr>
          <w:rFonts w:ascii="Times New Roman" w:hAnsi="Times New Roman" w:cs="Times New Roman"/>
        </w:rPr>
        <w:t>Leuprorelinom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implantát.</w:t>
      </w:r>
    </w:p>
    <w:p w14:paraId="2145584F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C599C2C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V dôsledku vysadenia pohlavných hormónov sa môžu vyskytnúť nežiaduce účinky .</w:t>
      </w:r>
    </w:p>
    <w:p w14:paraId="14C93D25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3B8358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Zoznam vedľajších reakcií v tabuľke:</w:t>
      </w:r>
    </w:p>
    <w:p w14:paraId="112A84B6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732075F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Vedľajšie účinky sú zoradené do tried orgánových systémov a na základe frekvencie podľa konvencií </w:t>
      </w:r>
      <w:proofErr w:type="spellStart"/>
      <w:r w:rsidRPr="002F1924">
        <w:rPr>
          <w:rFonts w:ascii="Times New Roman" w:hAnsi="Times New Roman" w:cs="Times New Roman"/>
        </w:rPr>
        <w:t>MedDRA</w:t>
      </w:r>
      <w:proofErr w:type="spellEnd"/>
      <w:r w:rsidRPr="002F1924">
        <w:rPr>
          <w:rFonts w:ascii="Times New Roman" w:hAnsi="Times New Roman" w:cs="Times New Roman"/>
        </w:rPr>
        <w:t>:</w:t>
      </w:r>
    </w:p>
    <w:p w14:paraId="45518567" w14:textId="77777777" w:rsidR="00B52502" w:rsidRPr="002F1924" w:rsidRDefault="00B52502" w:rsidP="008A6EE7">
      <w:pPr>
        <w:spacing w:after="0" w:line="240" w:lineRule="auto"/>
        <w:ind w:left="1620" w:hanging="162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Veľmi časté:</w:t>
      </w:r>
      <w:r w:rsidRPr="002F1924">
        <w:rPr>
          <w:rFonts w:ascii="Times New Roman" w:hAnsi="Times New Roman" w:cs="Times New Roman"/>
        </w:rPr>
        <w:tab/>
      </w:r>
      <w:r w:rsidRPr="002F1924">
        <w:rPr>
          <w:rFonts w:ascii="Times New Roman" w:hAnsi="Times New Roman" w:cs="Times New Roman"/>
        </w:rPr>
        <w:sym w:font="Symbol" w:char="F0B3"/>
      </w:r>
      <w:r w:rsidRPr="002F1924">
        <w:rPr>
          <w:rFonts w:ascii="Times New Roman" w:hAnsi="Times New Roman" w:cs="Times New Roman"/>
        </w:rPr>
        <w:t> 1/10</w:t>
      </w:r>
    </w:p>
    <w:p w14:paraId="63779B9B" w14:textId="77777777" w:rsidR="00B52502" w:rsidRPr="002F1924" w:rsidRDefault="00B52502" w:rsidP="008A6EE7">
      <w:pPr>
        <w:tabs>
          <w:tab w:val="left" w:pos="162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Časté:</w:t>
      </w:r>
      <w:r w:rsidRPr="002F1924">
        <w:rPr>
          <w:rFonts w:ascii="Times New Roman" w:hAnsi="Times New Roman" w:cs="Times New Roman"/>
        </w:rPr>
        <w:tab/>
      </w:r>
      <w:r w:rsidRPr="002F1924">
        <w:rPr>
          <w:rFonts w:ascii="Times New Roman" w:hAnsi="Times New Roman" w:cs="Times New Roman"/>
        </w:rPr>
        <w:tab/>
      </w:r>
      <w:r w:rsidRPr="002F1924">
        <w:rPr>
          <w:rFonts w:ascii="Times New Roman" w:hAnsi="Times New Roman" w:cs="Times New Roman"/>
        </w:rPr>
        <w:sym w:font="Symbol" w:char="F0B3"/>
      </w:r>
      <w:r w:rsidRPr="002F1924">
        <w:rPr>
          <w:rFonts w:ascii="Times New Roman" w:hAnsi="Times New Roman" w:cs="Times New Roman"/>
        </w:rPr>
        <w:t> 1/100 až &lt; 1/10</w:t>
      </w:r>
    </w:p>
    <w:p w14:paraId="7E996551" w14:textId="77777777" w:rsidR="00B52502" w:rsidRPr="002F1924" w:rsidRDefault="00B52502" w:rsidP="008A6EE7">
      <w:pPr>
        <w:tabs>
          <w:tab w:val="left" w:pos="162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Menej časté:</w:t>
      </w:r>
      <w:r w:rsidRPr="002F1924">
        <w:rPr>
          <w:rFonts w:ascii="Times New Roman" w:hAnsi="Times New Roman" w:cs="Times New Roman"/>
        </w:rPr>
        <w:tab/>
      </w:r>
      <w:r w:rsidRPr="002F1924">
        <w:rPr>
          <w:rFonts w:ascii="Times New Roman" w:hAnsi="Times New Roman" w:cs="Times New Roman"/>
        </w:rPr>
        <w:tab/>
      </w:r>
      <w:r w:rsidRPr="002F1924">
        <w:rPr>
          <w:rFonts w:ascii="Times New Roman" w:hAnsi="Times New Roman" w:cs="Times New Roman"/>
        </w:rPr>
        <w:sym w:font="Symbol" w:char="F0B3"/>
      </w:r>
      <w:r w:rsidRPr="002F1924">
        <w:rPr>
          <w:rFonts w:ascii="Times New Roman" w:hAnsi="Times New Roman" w:cs="Times New Roman"/>
        </w:rPr>
        <w:t> 1/1000 až &lt; 1/100</w:t>
      </w:r>
    </w:p>
    <w:p w14:paraId="5DD0D6B9" w14:textId="77777777" w:rsidR="00B52502" w:rsidRPr="002F1924" w:rsidRDefault="00B52502" w:rsidP="008A6EE7">
      <w:pPr>
        <w:tabs>
          <w:tab w:val="left" w:pos="162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Zriedkavé:</w:t>
      </w:r>
      <w:r w:rsidRPr="002F1924">
        <w:rPr>
          <w:rFonts w:ascii="Times New Roman" w:hAnsi="Times New Roman" w:cs="Times New Roman"/>
        </w:rPr>
        <w:tab/>
      </w:r>
      <w:r w:rsidRPr="002F1924">
        <w:rPr>
          <w:rFonts w:ascii="Times New Roman" w:hAnsi="Times New Roman" w:cs="Times New Roman"/>
        </w:rPr>
        <w:tab/>
      </w:r>
      <w:r w:rsidRPr="002F1924">
        <w:rPr>
          <w:rFonts w:ascii="Times New Roman" w:hAnsi="Times New Roman" w:cs="Times New Roman"/>
        </w:rPr>
        <w:sym w:font="Symbol" w:char="F0B3"/>
      </w:r>
      <w:r w:rsidRPr="002F1924">
        <w:rPr>
          <w:rFonts w:ascii="Times New Roman" w:hAnsi="Times New Roman" w:cs="Times New Roman"/>
        </w:rPr>
        <w:t> 1/10 000 až &lt; 1/1000</w:t>
      </w:r>
    </w:p>
    <w:p w14:paraId="2FCA729E" w14:textId="77777777" w:rsidR="00B52502" w:rsidRPr="002F1924" w:rsidRDefault="00B52502" w:rsidP="008A6EE7">
      <w:pPr>
        <w:spacing w:after="0" w:line="240" w:lineRule="auto"/>
        <w:ind w:left="1440" w:hanging="1440"/>
        <w:rPr>
          <w:rFonts w:ascii="Times New Roman" w:hAnsi="Times New Roman" w:cs="Times New Roman"/>
          <w:noProof/>
        </w:rPr>
      </w:pPr>
      <w:r w:rsidRPr="002F1924">
        <w:rPr>
          <w:rFonts w:ascii="Times New Roman" w:hAnsi="Times New Roman" w:cs="Times New Roman"/>
        </w:rPr>
        <w:t>Veľmi zriedkavé: &lt; 1/10 000</w:t>
      </w:r>
    </w:p>
    <w:p w14:paraId="049BD119" w14:textId="77777777" w:rsidR="00B52502" w:rsidRPr="002F1924" w:rsidRDefault="00B52502" w:rsidP="008A6EE7">
      <w:pPr>
        <w:tabs>
          <w:tab w:val="left" w:pos="162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noProof/>
        </w:rPr>
        <w:t>Neznáme:</w:t>
      </w:r>
      <w:r w:rsidRPr="002F1924">
        <w:rPr>
          <w:rFonts w:ascii="Times New Roman" w:hAnsi="Times New Roman" w:cs="Times New Roman"/>
          <w:noProof/>
        </w:rPr>
        <w:tab/>
      </w:r>
      <w:r w:rsidRPr="002F1924">
        <w:rPr>
          <w:rFonts w:ascii="Times New Roman" w:hAnsi="Times New Roman" w:cs="Times New Roman"/>
          <w:noProof/>
        </w:rPr>
        <w:tab/>
        <w:t>frekvenciu nemožno určiť z dostupných údajov</w:t>
      </w:r>
    </w:p>
    <w:p w14:paraId="68B15A50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992"/>
        <w:gridCol w:w="1418"/>
        <w:gridCol w:w="1701"/>
        <w:gridCol w:w="1417"/>
        <w:gridCol w:w="1276"/>
        <w:gridCol w:w="1134"/>
      </w:tblGrid>
      <w:tr w:rsidR="00B52502" w:rsidRPr="002F1924" w14:paraId="1D92A9A9" w14:textId="77777777" w:rsidTr="0009645E">
        <w:tc>
          <w:tcPr>
            <w:tcW w:w="1526" w:type="dxa"/>
          </w:tcPr>
          <w:p w14:paraId="76E28BAC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1532CD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Veľmi časté</w:t>
            </w:r>
          </w:p>
        </w:tc>
        <w:tc>
          <w:tcPr>
            <w:tcW w:w="1418" w:type="dxa"/>
          </w:tcPr>
          <w:p w14:paraId="044AE347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Časté</w:t>
            </w:r>
          </w:p>
        </w:tc>
        <w:tc>
          <w:tcPr>
            <w:tcW w:w="1701" w:type="dxa"/>
          </w:tcPr>
          <w:p w14:paraId="47FDD78F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Menej časté</w:t>
            </w:r>
          </w:p>
        </w:tc>
        <w:tc>
          <w:tcPr>
            <w:tcW w:w="1417" w:type="dxa"/>
          </w:tcPr>
          <w:p w14:paraId="70436EB3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Zriedkavé</w:t>
            </w:r>
          </w:p>
        </w:tc>
        <w:tc>
          <w:tcPr>
            <w:tcW w:w="1276" w:type="dxa"/>
          </w:tcPr>
          <w:p w14:paraId="65FABC7D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Veľmi zriedkavé</w:t>
            </w:r>
          </w:p>
        </w:tc>
        <w:tc>
          <w:tcPr>
            <w:tcW w:w="1134" w:type="dxa"/>
          </w:tcPr>
          <w:p w14:paraId="5F1E042A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Neznáme</w:t>
            </w:r>
          </w:p>
        </w:tc>
      </w:tr>
      <w:tr w:rsidR="00B52502" w:rsidRPr="002F1924" w14:paraId="030552AF" w14:textId="77777777" w:rsidTr="0009645E">
        <w:tc>
          <w:tcPr>
            <w:tcW w:w="1526" w:type="dxa"/>
          </w:tcPr>
          <w:p w14:paraId="1E83692D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Poruchy imunitného systému</w:t>
            </w:r>
          </w:p>
        </w:tc>
        <w:tc>
          <w:tcPr>
            <w:tcW w:w="992" w:type="dxa"/>
          </w:tcPr>
          <w:p w14:paraId="3266A057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21FDE7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1647A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celkové alergické reakcie (horúčka, svrbenie, </w:t>
            </w:r>
            <w:proofErr w:type="spellStart"/>
            <w:r w:rsidRPr="002F1924">
              <w:rPr>
                <w:rFonts w:ascii="Times New Roman" w:hAnsi="Times New Roman" w:cs="Times New Roman"/>
              </w:rPr>
              <w:t>eozinofília</w:t>
            </w:r>
            <w:proofErr w:type="spellEnd"/>
            <w:r w:rsidRPr="002F1924">
              <w:rPr>
                <w:rFonts w:ascii="Times New Roman" w:hAnsi="Times New Roman" w:cs="Times New Roman"/>
              </w:rPr>
              <w:t>, kožná vyrážka)</w:t>
            </w:r>
          </w:p>
        </w:tc>
        <w:tc>
          <w:tcPr>
            <w:tcW w:w="1417" w:type="dxa"/>
          </w:tcPr>
          <w:p w14:paraId="4EC7CF7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1924">
              <w:rPr>
                <w:rFonts w:ascii="Times New Roman" w:hAnsi="Times New Roman" w:cs="Times New Roman"/>
              </w:rPr>
              <w:t>anafylaktické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reakcie</w:t>
            </w:r>
          </w:p>
        </w:tc>
        <w:tc>
          <w:tcPr>
            <w:tcW w:w="1276" w:type="dxa"/>
          </w:tcPr>
          <w:p w14:paraId="626F2DD2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3DC6ED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133DEA39" w14:textId="77777777" w:rsidTr="0009645E">
        <w:tc>
          <w:tcPr>
            <w:tcW w:w="1526" w:type="dxa"/>
          </w:tcPr>
          <w:p w14:paraId="7E41BC37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Poruchy metabolizmu a výživy</w:t>
            </w:r>
          </w:p>
        </w:tc>
        <w:tc>
          <w:tcPr>
            <w:tcW w:w="992" w:type="dxa"/>
          </w:tcPr>
          <w:p w14:paraId="3ADE967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3F808B" w14:textId="6865BDAA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znížená chuť do jedla, zvýšená chuť do jedla </w:t>
            </w:r>
          </w:p>
        </w:tc>
        <w:tc>
          <w:tcPr>
            <w:tcW w:w="1701" w:type="dxa"/>
          </w:tcPr>
          <w:p w14:paraId="07330D2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8C0434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zmeny </w:t>
            </w:r>
            <w:proofErr w:type="spellStart"/>
            <w:r w:rsidRPr="002F1924">
              <w:rPr>
                <w:rFonts w:ascii="Times New Roman" w:hAnsi="Times New Roman" w:cs="Times New Roman"/>
              </w:rPr>
              <w:t>metabolické-ho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stavu </w:t>
            </w:r>
          </w:p>
          <w:p w14:paraId="328A2ED6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u diabetikov (zvýšenie alebo zníženie hladín glukózy </w:t>
            </w:r>
          </w:p>
          <w:p w14:paraId="7A338973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>v krvi)</w:t>
            </w:r>
          </w:p>
        </w:tc>
        <w:tc>
          <w:tcPr>
            <w:tcW w:w="1276" w:type="dxa"/>
          </w:tcPr>
          <w:p w14:paraId="262D0C72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433B12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28AD23B2" w14:textId="77777777" w:rsidTr="0009645E">
        <w:tc>
          <w:tcPr>
            <w:tcW w:w="1526" w:type="dxa"/>
          </w:tcPr>
          <w:p w14:paraId="494F4787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Psychické poruchy</w:t>
            </w:r>
          </w:p>
        </w:tc>
        <w:tc>
          <w:tcPr>
            <w:tcW w:w="992" w:type="dxa"/>
          </w:tcPr>
          <w:p w14:paraId="0177D014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762E0F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>zmeny nálad, depresia, poruchy spánku</w:t>
            </w:r>
          </w:p>
        </w:tc>
        <w:tc>
          <w:tcPr>
            <w:tcW w:w="1701" w:type="dxa"/>
          </w:tcPr>
          <w:p w14:paraId="0CD1E86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CD1BC4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AF2D6F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6EBF48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598B38F3" w14:textId="77777777" w:rsidTr="0009645E">
        <w:tc>
          <w:tcPr>
            <w:tcW w:w="1526" w:type="dxa"/>
          </w:tcPr>
          <w:p w14:paraId="153F24E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Poruchy nervového systému</w:t>
            </w:r>
          </w:p>
        </w:tc>
        <w:tc>
          <w:tcPr>
            <w:tcW w:w="992" w:type="dxa"/>
          </w:tcPr>
          <w:p w14:paraId="327879F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EB680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bolesť hlavy, </w:t>
            </w:r>
            <w:proofErr w:type="spellStart"/>
            <w:r w:rsidRPr="002F1924">
              <w:rPr>
                <w:rFonts w:ascii="Times New Roman" w:hAnsi="Times New Roman" w:cs="Times New Roman"/>
              </w:rPr>
              <w:t>parestézia</w:t>
            </w:r>
            <w:proofErr w:type="spellEnd"/>
          </w:p>
        </w:tc>
        <w:tc>
          <w:tcPr>
            <w:tcW w:w="1701" w:type="dxa"/>
          </w:tcPr>
          <w:p w14:paraId="2C02749D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407AFB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1924">
              <w:rPr>
                <w:rFonts w:ascii="Times New Roman" w:hAnsi="Times New Roman" w:cs="Times New Roman"/>
              </w:rPr>
              <w:t>vertigo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, prechodná </w:t>
            </w:r>
            <w:proofErr w:type="spellStart"/>
            <w:r w:rsidRPr="002F1924">
              <w:rPr>
                <w:rFonts w:ascii="Times New Roman" w:hAnsi="Times New Roman" w:cs="Times New Roman"/>
              </w:rPr>
              <w:t>dysgeúzia</w:t>
            </w:r>
            <w:proofErr w:type="spellEnd"/>
          </w:p>
        </w:tc>
        <w:tc>
          <w:tcPr>
            <w:tcW w:w="1276" w:type="dxa"/>
          </w:tcPr>
          <w:p w14:paraId="45BAE81E" w14:textId="222A21C4" w:rsidR="00B52502" w:rsidRPr="002F1924" w:rsidRDefault="00B52502" w:rsidP="00747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Tak ako aj pri iných liekoch v tejto skupine liečiv, boli zaznamenané </w:t>
            </w:r>
            <w:r w:rsidR="007470BC" w:rsidRPr="002F1924">
              <w:rPr>
                <w:rFonts w:ascii="Times New Roman" w:hAnsi="Times New Roman" w:cs="Times New Roman"/>
              </w:rPr>
              <w:t xml:space="preserve">hlásenia </w:t>
            </w:r>
            <w:r w:rsidRPr="002F1924">
              <w:rPr>
                <w:rFonts w:ascii="Times New Roman" w:hAnsi="Times New Roman" w:cs="Times New Roman"/>
              </w:rPr>
              <w:t xml:space="preserve">o veľmi </w:t>
            </w:r>
            <w:proofErr w:type="spellStart"/>
            <w:r w:rsidRPr="002F1924">
              <w:rPr>
                <w:rFonts w:ascii="Times New Roman" w:hAnsi="Times New Roman" w:cs="Times New Roman"/>
              </w:rPr>
              <w:t>zriedka-vých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prípadoch výskytu apoplexie hypofýzy po úvodnom podaní </w:t>
            </w:r>
            <w:proofErr w:type="spellStart"/>
            <w:r w:rsidRPr="002F1924">
              <w:rPr>
                <w:rFonts w:ascii="Times New Roman" w:hAnsi="Times New Roman" w:cs="Times New Roman"/>
              </w:rPr>
              <w:t>leuprorelí-nu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u pacientov s </w:t>
            </w:r>
            <w:proofErr w:type="spellStart"/>
            <w:r w:rsidRPr="002F1924">
              <w:rPr>
                <w:rFonts w:ascii="Times New Roman" w:hAnsi="Times New Roman" w:cs="Times New Roman"/>
              </w:rPr>
              <w:t>adenó-mom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hypofýzy.</w:t>
            </w:r>
          </w:p>
        </w:tc>
        <w:tc>
          <w:tcPr>
            <w:tcW w:w="1134" w:type="dxa"/>
          </w:tcPr>
          <w:p w14:paraId="2E67A75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>kŕče</w:t>
            </w:r>
          </w:p>
        </w:tc>
      </w:tr>
      <w:tr w:rsidR="00B52502" w:rsidRPr="002F1924" w14:paraId="3C9552CC" w14:textId="77777777" w:rsidTr="0009645E">
        <w:tc>
          <w:tcPr>
            <w:tcW w:w="1526" w:type="dxa"/>
          </w:tcPr>
          <w:p w14:paraId="4D14B0A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F1924">
              <w:rPr>
                <w:rFonts w:ascii="Times New Roman" w:hAnsi="Times New Roman" w:cs="Times New Roman"/>
                <w:b/>
              </w:rPr>
              <w:t>Poruchy srdca a srdcovej činnosti</w:t>
            </w:r>
          </w:p>
        </w:tc>
        <w:tc>
          <w:tcPr>
            <w:tcW w:w="992" w:type="dxa"/>
          </w:tcPr>
          <w:p w14:paraId="2DC99923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049C7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F38FBF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DE584B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EE212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7A517F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1924">
              <w:rPr>
                <w:rFonts w:ascii="Times New Roman" w:hAnsi="Times New Roman" w:cs="Times New Roman"/>
              </w:rPr>
              <w:t>predĺže-nie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QT intervalu (pozri časti 4.4 a 4.5)</w:t>
            </w:r>
          </w:p>
        </w:tc>
      </w:tr>
      <w:tr w:rsidR="00B52502" w:rsidRPr="002F1924" w14:paraId="18002758" w14:textId="77777777" w:rsidTr="0009645E">
        <w:tc>
          <w:tcPr>
            <w:tcW w:w="1526" w:type="dxa"/>
          </w:tcPr>
          <w:p w14:paraId="479637E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</w:rPr>
              <w:t>Poruchy ciev</w:t>
            </w:r>
          </w:p>
        </w:tc>
        <w:tc>
          <w:tcPr>
            <w:tcW w:w="992" w:type="dxa"/>
          </w:tcPr>
          <w:p w14:paraId="68EB3996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návaly </w:t>
            </w:r>
            <w:proofErr w:type="spellStart"/>
            <w:r w:rsidRPr="002F1924">
              <w:rPr>
                <w:rFonts w:ascii="Times New Roman" w:hAnsi="Times New Roman" w:cs="Times New Roman"/>
              </w:rPr>
              <w:t>horúča-vy</w:t>
            </w:r>
            <w:proofErr w:type="spellEnd"/>
          </w:p>
        </w:tc>
        <w:tc>
          <w:tcPr>
            <w:tcW w:w="1418" w:type="dxa"/>
          </w:tcPr>
          <w:p w14:paraId="230D10D3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4B469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E0FEA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noProof/>
              </w:rPr>
              <w:t>zmeny hodnôt krvného tlaku</w:t>
            </w:r>
            <w:r w:rsidRPr="002F1924">
              <w:rPr>
                <w:rFonts w:ascii="Times New Roman" w:hAnsi="Times New Roman" w:cs="Times New Roman"/>
              </w:rPr>
              <w:t xml:space="preserve"> (hypertenzia alebo hypotenzia), trombóza</w:t>
            </w:r>
          </w:p>
        </w:tc>
        <w:tc>
          <w:tcPr>
            <w:tcW w:w="1276" w:type="dxa"/>
          </w:tcPr>
          <w:p w14:paraId="2B97268A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AE40F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4B558224" w14:textId="77777777" w:rsidTr="0009645E">
        <w:tc>
          <w:tcPr>
            <w:tcW w:w="1526" w:type="dxa"/>
          </w:tcPr>
          <w:p w14:paraId="58F210F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  <w:bCs/>
                <w:noProof/>
              </w:rPr>
              <w:t>Poruchy dýchacej sústavy, hrudníka a mediastína</w:t>
            </w:r>
          </w:p>
        </w:tc>
        <w:tc>
          <w:tcPr>
            <w:tcW w:w="992" w:type="dxa"/>
          </w:tcPr>
          <w:p w14:paraId="5982B8B0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F41EAB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493AB8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5E9251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>pľúcna embólia</w:t>
            </w:r>
          </w:p>
        </w:tc>
        <w:tc>
          <w:tcPr>
            <w:tcW w:w="1276" w:type="dxa"/>
          </w:tcPr>
          <w:p w14:paraId="591FEF5D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2E96A1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1924">
              <w:rPr>
                <w:rFonts w:ascii="Times New Roman" w:hAnsi="Times New Roman" w:cs="Times New Roman"/>
              </w:rPr>
              <w:t>intersti-ciálne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ochorenie pľúc</w:t>
            </w:r>
          </w:p>
        </w:tc>
      </w:tr>
      <w:tr w:rsidR="00B52502" w:rsidRPr="002F1924" w14:paraId="7D607B5B" w14:textId="77777777" w:rsidTr="0009645E">
        <w:tc>
          <w:tcPr>
            <w:tcW w:w="1526" w:type="dxa"/>
          </w:tcPr>
          <w:p w14:paraId="2A6E8F3F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b/>
                <w:bCs/>
                <w:noProof/>
              </w:rPr>
              <w:t>Poruchy gastrointestinálneho traktu</w:t>
            </w:r>
          </w:p>
        </w:tc>
        <w:tc>
          <w:tcPr>
            <w:tcW w:w="992" w:type="dxa"/>
          </w:tcPr>
          <w:p w14:paraId="6E7A3A80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233FCD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1924">
              <w:rPr>
                <w:rFonts w:ascii="Times New Roman" w:hAnsi="Times New Roman" w:cs="Times New Roman"/>
              </w:rPr>
              <w:t>nauzea</w:t>
            </w:r>
            <w:proofErr w:type="spellEnd"/>
            <w:r w:rsidRPr="002F1924">
              <w:rPr>
                <w:rFonts w:ascii="Times New Roman" w:hAnsi="Times New Roman" w:cs="Times New Roman"/>
              </w:rPr>
              <w:t>/</w:t>
            </w:r>
          </w:p>
          <w:p w14:paraId="7D538CB0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>vracanie</w:t>
            </w:r>
          </w:p>
        </w:tc>
        <w:tc>
          <w:tcPr>
            <w:tcW w:w="1701" w:type="dxa"/>
          </w:tcPr>
          <w:p w14:paraId="09492763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noProof/>
              </w:rPr>
              <w:t>hnačka</w:t>
            </w:r>
          </w:p>
        </w:tc>
        <w:tc>
          <w:tcPr>
            <w:tcW w:w="1417" w:type="dxa"/>
          </w:tcPr>
          <w:p w14:paraId="5678C6B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6C852A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3D93EB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498DFBCE" w14:textId="77777777" w:rsidTr="0009645E">
        <w:tc>
          <w:tcPr>
            <w:tcW w:w="1526" w:type="dxa"/>
          </w:tcPr>
          <w:p w14:paraId="79693BDB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F1924">
              <w:rPr>
                <w:rFonts w:ascii="Times New Roman" w:hAnsi="Times New Roman" w:cs="Times New Roman"/>
                <w:b/>
                <w:bCs/>
                <w:noProof/>
              </w:rPr>
              <w:t>Poruchy kože a podkožného tkaniva</w:t>
            </w:r>
          </w:p>
        </w:tc>
        <w:tc>
          <w:tcPr>
            <w:tcW w:w="992" w:type="dxa"/>
          </w:tcPr>
          <w:p w14:paraId="552A2CA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00ED3F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9A6228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F1924">
              <w:rPr>
                <w:rFonts w:ascii="Times New Roman" w:hAnsi="Times New Roman" w:cs="Times New Roman"/>
                <w:noProof/>
              </w:rPr>
              <w:t>suchosť kože a slizníc, nočné potenie</w:t>
            </w:r>
          </w:p>
        </w:tc>
        <w:tc>
          <w:tcPr>
            <w:tcW w:w="1417" w:type="dxa"/>
          </w:tcPr>
          <w:p w14:paraId="01B44AF6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1924">
              <w:rPr>
                <w:rFonts w:ascii="Times New Roman" w:hAnsi="Times New Roman" w:cs="Times New Roman"/>
              </w:rPr>
              <w:t>alopécia</w:t>
            </w:r>
            <w:proofErr w:type="spellEnd"/>
          </w:p>
        </w:tc>
        <w:tc>
          <w:tcPr>
            <w:tcW w:w="1276" w:type="dxa"/>
          </w:tcPr>
          <w:p w14:paraId="7CAC7C3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25E9FB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756360FF" w14:textId="77777777" w:rsidTr="0009645E">
        <w:tc>
          <w:tcPr>
            <w:tcW w:w="1526" w:type="dxa"/>
          </w:tcPr>
          <w:p w14:paraId="6701DB76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F1924">
              <w:rPr>
                <w:rFonts w:ascii="Times New Roman" w:hAnsi="Times New Roman" w:cs="Times New Roman"/>
                <w:b/>
                <w:bCs/>
                <w:noProof/>
              </w:rPr>
              <w:t>Poruchy kostrovej a svalovej sústavy a spojivového tkaniva</w:t>
            </w:r>
          </w:p>
        </w:tc>
        <w:tc>
          <w:tcPr>
            <w:tcW w:w="992" w:type="dxa"/>
          </w:tcPr>
          <w:p w14:paraId="4D4D2CFC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>bolesť kostí</w:t>
            </w:r>
          </w:p>
        </w:tc>
        <w:tc>
          <w:tcPr>
            <w:tcW w:w="1418" w:type="dxa"/>
          </w:tcPr>
          <w:p w14:paraId="24C3A7B3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bolesť kĺbov a/alebo chrbta, </w:t>
            </w:r>
            <w:proofErr w:type="spellStart"/>
            <w:r w:rsidRPr="002F1924">
              <w:rPr>
                <w:rFonts w:ascii="Times New Roman" w:hAnsi="Times New Roman" w:cs="Times New Roman"/>
              </w:rPr>
              <w:t>myasténia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10543F1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420C13B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5D6943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9C1876" w14:textId="7AA1DFBB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1924">
              <w:rPr>
                <w:rFonts w:ascii="Times New Roman" w:hAnsi="Times New Roman" w:cs="Times New Roman"/>
              </w:rPr>
              <w:t>demine-ralizácia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kostí</w:t>
            </w:r>
            <w:r w:rsidR="00DE12A6" w:rsidRPr="002F1924">
              <w:rPr>
                <w:rFonts w:ascii="Times New Roman" w:hAnsi="Times New Roman" w:cs="Times New Roman"/>
              </w:rPr>
              <w:t xml:space="preserve"> (pozri časť 4.4)</w:t>
            </w:r>
          </w:p>
        </w:tc>
      </w:tr>
      <w:tr w:rsidR="00B52502" w:rsidRPr="002F1924" w14:paraId="63FE4C77" w14:textId="77777777" w:rsidTr="0009645E">
        <w:tc>
          <w:tcPr>
            <w:tcW w:w="1526" w:type="dxa"/>
          </w:tcPr>
          <w:p w14:paraId="008D19D7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F1924">
              <w:rPr>
                <w:rFonts w:ascii="Times New Roman" w:hAnsi="Times New Roman" w:cs="Times New Roman"/>
                <w:b/>
                <w:bCs/>
                <w:noProof/>
              </w:rPr>
              <w:t>Poruchy obličiek a močových ciest</w:t>
            </w:r>
          </w:p>
        </w:tc>
        <w:tc>
          <w:tcPr>
            <w:tcW w:w="992" w:type="dxa"/>
          </w:tcPr>
          <w:p w14:paraId="402502A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E4A22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  <w:noProof/>
              </w:rPr>
              <w:t>noktúria, dyzúria, polakizúria</w:t>
            </w:r>
          </w:p>
        </w:tc>
        <w:tc>
          <w:tcPr>
            <w:tcW w:w="1701" w:type="dxa"/>
          </w:tcPr>
          <w:p w14:paraId="6C2EA343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F1924">
              <w:rPr>
                <w:rFonts w:ascii="Times New Roman" w:hAnsi="Times New Roman" w:cs="Times New Roman"/>
                <w:noProof/>
              </w:rPr>
              <w:t>retencia moču</w:t>
            </w:r>
          </w:p>
        </w:tc>
        <w:tc>
          <w:tcPr>
            <w:tcW w:w="1417" w:type="dxa"/>
          </w:tcPr>
          <w:p w14:paraId="543A3866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929305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1F0B3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1179D986" w14:textId="77777777" w:rsidTr="0009645E">
        <w:tc>
          <w:tcPr>
            <w:tcW w:w="1526" w:type="dxa"/>
          </w:tcPr>
          <w:p w14:paraId="2DC86B5D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F1924">
              <w:rPr>
                <w:rFonts w:ascii="Times New Roman" w:hAnsi="Times New Roman" w:cs="Times New Roman"/>
                <w:b/>
                <w:bCs/>
                <w:noProof/>
              </w:rPr>
              <w:t>Poruchy reprodukčného systému a prsníkov</w:t>
            </w:r>
          </w:p>
        </w:tc>
        <w:tc>
          <w:tcPr>
            <w:tcW w:w="992" w:type="dxa"/>
          </w:tcPr>
          <w:p w14:paraId="7CCBAB78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>zníženie alebo strata libida a </w:t>
            </w:r>
            <w:proofErr w:type="spellStart"/>
            <w:r w:rsidRPr="002F1924">
              <w:rPr>
                <w:rFonts w:ascii="Times New Roman" w:hAnsi="Times New Roman" w:cs="Times New Roman"/>
              </w:rPr>
              <w:t>po-hlavnej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924">
              <w:rPr>
                <w:rFonts w:ascii="Times New Roman" w:hAnsi="Times New Roman" w:cs="Times New Roman"/>
              </w:rPr>
              <w:t>schop-nosti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1924">
              <w:rPr>
                <w:rFonts w:ascii="Times New Roman" w:hAnsi="Times New Roman" w:cs="Times New Roman"/>
              </w:rPr>
              <w:t>zmenše-nie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924">
              <w:rPr>
                <w:rFonts w:ascii="Times New Roman" w:hAnsi="Times New Roman" w:cs="Times New Roman"/>
              </w:rPr>
              <w:t>seme-nníkov</w:t>
            </w:r>
            <w:proofErr w:type="spellEnd"/>
          </w:p>
        </w:tc>
        <w:tc>
          <w:tcPr>
            <w:tcW w:w="1418" w:type="dxa"/>
          </w:tcPr>
          <w:p w14:paraId="2C7E0EE2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1924">
              <w:rPr>
                <w:rFonts w:ascii="Times New Roman" w:hAnsi="Times New Roman" w:cs="Times New Roman"/>
              </w:rPr>
              <w:t>gynekomas-tia</w:t>
            </w:r>
            <w:proofErr w:type="spellEnd"/>
          </w:p>
        </w:tc>
        <w:tc>
          <w:tcPr>
            <w:tcW w:w="1701" w:type="dxa"/>
          </w:tcPr>
          <w:p w14:paraId="7B0DCA57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F1924">
              <w:rPr>
                <w:rFonts w:ascii="Times New Roman" w:hAnsi="Times New Roman" w:cs="Times New Roman"/>
                <w:noProof/>
              </w:rPr>
              <w:t>bolesť semmeníkov</w:t>
            </w:r>
          </w:p>
        </w:tc>
        <w:tc>
          <w:tcPr>
            <w:tcW w:w="1417" w:type="dxa"/>
          </w:tcPr>
          <w:p w14:paraId="5B186E6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51517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B03F50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3595E9AE" w14:textId="77777777" w:rsidTr="0009645E">
        <w:tc>
          <w:tcPr>
            <w:tcW w:w="1526" w:type="dxa"/>
          </w:tcPr>
          <w:p w14:paraId="0A9AAE18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F1924">
              <w:rPr>
                <w:rFonts w:ascii="Times New Roman" w:hAnsi="Times New Roman" w:cs="Times New Roman"/>
                <w:b/>
                <w:bCs/>
                <w:noProof/>
              </w:rPr>
              <w:t>Celkové poruchy a reakcie v mieste podania</w:t>
            </w:r>
          </w:p>
        </w:tc>
        <w:tc>
          <w:tcPr>
            <w:tcW w:w="992" w:type="dxa"/>
          </w:tcPr>
          <w:p w14:paraId="6B157BF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zvýšené potenie, reakcie v mieste podania injekcie, napr. </w:t>
            </w:r>
            <w:proofErr w:type="spellStart"/>
            <w:r w:rsidRPr="002F1924">
              <w:rPr>
                <w:rFonts w:ascii="Times New Roman" w:hAnsi="Times New Roman" w:cs="Times New Roman"/>
              </w:rPr>
              <w:t>začer-venanie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, bolesť, edém, svrbenie ktoré </w:t>
            </w:r>
            <w:proofErr w:type="spellStart"/>
            <w:r w:rsidRPr="002F1924">
              <w:rPr>
                <w:rFonts w:ascii="Times New Roman" w:hAnsi="Times New Roman" w:cs="Times New Roman"/>
              </w:rPr>
              <w:t>zvyčaj-ne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vymiznú aj počas liečby.</w:t>
            </w:r>
          </w:p>
        </w:tc>
        <w:tc>
          <w:tcPr>
            <w:tcW w:w="1418" w:type="dxa"/>
          </w:tcPr>
          <w:p w14:paraId="3241F492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>únava, periférny edém</w:t>
            </w:r>
          </w:p>
        </w:tc>
        <w:tc>
          <w:tcPr>
            <w:tcW w:w="1701" w:type="dxa"/>
          </w:tcPr>
          <w:p w14:paraId="27505B4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50CAB59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A64DC9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02D444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502" w:rsidRPr="002F1924" w14:paraId="4E788D4F" w14:textId="77777777" w:rsidTr="0009645E">
        <w:tc>
          <w:tcPr>
            <w:tcW w:w="1526" w:type="dxa"/>
          </w:tcPr>
          <w:p w14:paraId="53327BCC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F1924">
              <w:rPr>
                <w:rFonts w:ascii="Times New Roman" w:hAnsi="Times New Roman" w:cs="Times New Roman"/>
                <w:b/>
                <w:bCs/>
                <w:noProof/>
              </w:rPr>
              <w:t>Laboratórne a funkčné vyšetrenia</w:t>
            </w:r>
          </w:p>
        </w:tc>
        <w:tc>
          <w:tcPr>
            <w:tcW w:w="992" w:type="dxa"/>
          </w:tcPr>
          <w:p w14:paraId="52C414C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nárast telesnej </w:t>
            </w:r>
            <w:proofErr w:type="spellStart"/>
            <w:r w:rsidRPr="002F1924">
              <w:rPr>
                <w:rFonts w:ascii="Times New Roman" w:hAnsi="Times New Roman" w:cs="Times New Roman"/>
              </w:rPr>
              <w:t>hmot-nosti</w:t>
            </w:r>
            <w:proofErr w:type="spellEnd"/>
          </w:p>
        </w:tc>
        <w:tc>
          <w:tcPr>
            <w:tcW w:w="1418" w:type="dxa"/>
          </w:tcPr>
          <w:p w14:paraId="475EF88E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924">
              <w:rPr>
                <w:rFonts w:ascii="Times New Roman" w:hAnsi="Times New Roman" w:cs="Times New Roman"/>
              </w:rPr>
              <w:t xml:space="preserve">úbytok telesnej hmotnosti, zvýšenie hladín LDH, </w:t>
            </w:r>
            <w:proofErr w:type="spellStart"/>
            <w:r w:rsidRPr="002F1924">
              <w:rPr>
                <w:rFonts w:ascii="Times New Roman" w:hAnsi="Times New Roman" w:cs="Times New Roman"/>
              </w:rPr>
              <w:t>transamináz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(ALT, AST), gama </w:t>
            </w:r>
            <w:proofErr w:type="spellStart"/>
            <w:r w:rsidRPr="002F1924">
              <w:rPr>
                <w:rFonts w:ascii="Times New Roman" w:hAnsi="Times New Roman" w:cs="Times New Roman"/>
              </w:rPr>
              <w:t>glutamyl-transferázy</w:t>
            </w:r>
            <w:proofErr w:type="spellEnd"/>
            <w:r w:rsidRPr="002F1924">
              <w:rPr>
                <w:rFonts w:ascii="Times New Roman" w:hAnsi="Times New Roman" w:cs="Times New Roman"/>
              </w:rPr>
              <w:t xml:space="preserve"> a alkalickej </w:t>
            </w:r>
            <w:proofErr w:type="spellStart"/>
            <w:r w:rsidRPr="002F1924">
              <w:rPr>
                <w:rFonts w:ascii="Times New Roman" w:hAnsi="Times New Roman" w:cs="Times New Roman"/>
              </w:rPr>
              <w:t>fosfatázy</w:t>
            </w:r>
            <w:proofErr w:type="spellEnd"/>
            <w:r w:rsidRPr="002F1924">
              <w:rPr>
                <w:rFonts w:ascii="Times New Roman" w:hAnsi="Times New Roman" w:cs="Times New Roman"/>
              </w:rPr>
              <w:t>, ktoré môže byť aj prejavom základného ochorenia</w:t>
            </w:r>
          </w:p>
        </w:tc>
        <w:tc>
          <w:tcPr>
            <w:tcW w:w="1701" w:type="dxa"/>
          </w:tcPr>
          <w:p w14:paraId="217231A2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7" w:type="dxa"/>
          </w:tcPr>
          <w:p w14:paraId="34E6E9B8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A117D4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1BEDA4" w14:textId="77777777" w:rsidR="00B52502" w:rsidRPr="002F1924" w:rsidRDefault="00B52502" w:rsidP="008A6E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1D1FCA6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D623D3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Hlavne v Japonsku sa po uvedení lieku na trh vyskytli hlásenia o </w:t>
      </w:r>
      <w:proofErr w:type="spellStart"/>
      <w:r w:rsidRPr="002F1924">
        <w:rPr>
          <w:rFonts w:ascii="Times New Roman" w:hAnsi="Times New Roman" w:cs="Times New Roman"/>
        </w:rPr>
        <w:t>intersticiálnej</w:t>
      </w:r>
      <w:proofErr w:type="spellEnd"/>
      <w:r w:rsidRPr="002F1924">
        <w:rPr>
          <w:rFonts w:ascii="Times New Roman" w:hAnsi="Times New Roman" w:cs="Times New Roman"/>
        </w:rPr>
        <w:t xml:space="preserve"> pneumónii. </w:t>
      </w:r>
    </w:p>
    <w:p w14:paraId="0529465A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B7C9615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F1924">
        <w:rPr>
          <w:rFonts w:ascii="Times New Roman" w:hAnsi="Times New Roman" w:cs="Times New Roman"/>
          <w:u w:val="single"/>
        </w:rPr>
        <w:t>Osobitné poznámky</w:t>
      </w:r>
    </w:p>
    <w:p w14:paraId="15965DA0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Odpoveď na liečbu </w:t>
      </w:r>
      <w:proofErr w:type="spellStart"/>
      <w:r w:rsidRPr="002F1924">
        <w:rPr>
          <w:rFonts w:ascii="Times New Roman" w:hAnsi="Times New Roman" w:cs="Times New Roman"/>
        </w:rPr>
        <w:t>Leuprorelinom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je možné monitorovať meraním sérových koncentrácií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, kyslej </w:t>
      </w:r>
      <w:proofErr w:type="spellStart"/>
      <w:r w:rsidRPr="002F1924">
        <w:rPr>
          <w:rFonts w:ascii="Times New Roman" w:hAnsi="Times New Roman" w:cs="Times New Roman"/>
        </w:rPr>
        <w:t>fosfatázy</w:t>
      </w:r>
      <w:proofErr w:type="spellEnd"/>
      <w:r w:rsidRPr="002F1924">
        <w:rPr>
          <w:rFonts w:ascii="Times New Roman" w:hAnsi="Times New Roman" w:cs="Times New Roman"/>
        </w:rPr>
        <w:t xml:space="preserve"> a PSA (</w:t>
      </w:r>
      <w:proofErr w:type="spellStart"/>
      <w:r w:rsidRPr="002F1924">
        <w:rPr>
          <w:rFonts w:ascii="Times New Roman" w:hAnsi="Times New Roman" w:cs="Times New Roman"/>
        </w:rPr>
        <w:t>prostatický</w:t>
      </w:r>
      <w:proofErr w:type="spellEnd"/>
      <w:r w:rsidRPr="002F1924">
        <w:rPr>
          <w:rFonts w:ascii="Times New Roman" w:hAnsi="Times New Roman" w:cs="Times New Roman"/>
        </w:rPr>
        <w:t xml:space="preserve"> špecifický antigén). Na začiatku liečby hladiny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najskôr stúpnu, ale následne v priebehu 2 týždňov poklesnú. Po 2 </w:t>
      </w:r>
      <w:r w:rsidRPr="002F1924">
        <w:rPr>
          <w:rFonts w:ascii="Times New Roman" w:hAnsi="Times New Roman" w:cs="Times New Roman"/>
        </w:rPr>
        <w:noBreakHyphen/>
        <w:t xml:space="preserve"> 4 týždňoch sú dosiahnuté koncentrácie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porovnateľné s koncentráciami pozorovanými po bilaterálnej </w:t>
      </w:r>
      <w:proofErr w:type="spellStart"/>
      <w:r w:rsidRPr="002F1924">
        <w:rPr>
          <w:rFonts w:ascii="Times New Roman" w:hAnsi="Times New Roman" w:cs="Times New Roman"/>
        </w:rPr>
        <w:t>orchiektómii</w:t>
      </w:r>
      <w:proofErr w:type="spellEnd"/>
      <w:r w:rsidRPr="002F1924">
        <w:rPr>
          <w:rFonts w:ascii="Times New Roman" w:hAnsi="Times New Roman" w:cs="Times New Roman"/>
        </w:rPr>
        <w:t>, a ostanú potom konštantné počas celého obdobia liečby.</w:t>
      </w:r>
    </w:p>
    <w:p w14:paraId="44928D3B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4540DC90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V začiatočnej fáze liečby sa môže vyskytnúť prechodné zvýšenie hladín alkalickej </w:t>
      </w:r>
      <w:proofErr w:type="spellStart"/>
      <w:r w:rsidRPr="002F1924">
        <w:rPr>
          <w:rFonts w:ascii="Times New Roman" w:hAnsi="Times New Roman" w:cs="Times New Roman"/>
        </w:rPr>
        <w:t>fosfatázy</w:t>
      </w:r>
      <w:proofErr w:type="spellEnd"/>
      <w:r w:rsidRPr="002F1924">
        <w:rPr>
          <w:rFonts w:ascii="Times New Roman" w:hAnsi="Times New Roman" w:cs="Times New Roman"/>
        </w:rPr>
        <w:t>. Normálne hladiny alebo hladiny blížiace sa k normálu sa zvyčajne opätovne dosiahnu po niekoľkých týždňoch.</w:t>
      </w:r>
    </w:p>
    <w:p w14:paraId="645A48C4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76A679D7" w14:textId="474F7812" w:rsidR="00B52502" w:rsidRPr="002F1924" w:rsidRDefault="00B52502" w:rsidP="008A6EE7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32"/>
        </w:rPr>
      </w:pPr>
      <w:r w:rsidRPr="002F1924">
        <w:rPr>
          <w:rFonts w:ascii="Times New Roman" w:hAnsi="Times New Roman" w:cs="Times New Roman"/>
          <w:kern w:val="32"/>
        </w:rPr>
        <w:t>V zriedkavých prípadoch sa vyskyt</w:t>
      </w:r>
      <w:r w:rsidR="001A41BD" w:rsidRPr="002F1924">
        <w:rPr>
          <w:rFonts w:ascii="Times New Roman" w:hAnsi="Times New Roman" w:cs="Times New Roman"/>
          <w:kern w:val="32"/>
        </w:rPr>
        <w:t>ol</w:t>
      </w:r>
      <w:r w:rsidRPr="002F1924">
        <w:rPr>
          <w:rFonts w:ascii="Times New Roman" w:hAnsi="Times New Roman" w:cs="Times New Roman"/>
          <w:kern w:val="32"/>
        </w:rPr>
        <w:t xml:space="preserve"> absces v mieste podania. V jednom prípade abscesu</w:t>
      </w:r>
      <w:r w:rsidR="00E625FF" w:rsidRPr="002F1924">
        <w:rPr>
          <w:rFonts w:ascii="Times New Roman" w:hAnsi="Times New Roman" w:cs="Times New Roman"/>
          <w:kern w:val="32"/>
        </w:rPr>
        <w:t xml:space="preserve"> v mieste podania</w:t>
      </w:r>
      <w:r w:rsidRPr="002F1924">
        <w:rPr>
          <w:rFonts w:ascii="Times New Roman" w:hAnsi="Times New Roman" w:cs="Times New Roman"/>
          <w:kern w:val="32"/>
        </w:rPr>
        <w:t xml:space="preserve"> sa pozorovala neadekvátna absorpcia </w:t>
      </w:r>
      <w:proofErr w:type="spellStart"/>
      <w:r w:rsidRPr="002F1924">
        <w:rPr>
          <w:rFonts w:ascii="Times New Roman" w:hAnsi="Times New Roman" w:cs="Times New Roman"/>
          <w:kern w:val="32"/>
        </w:rPr>
        <w:t>leuprorelínu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z </w:t>
      </w:r>
      <w:proofErr w:type="spellStart"/>
      <w:r w:rsidRPr="002F1924">
        <w:rPr>
          <w:rFonts w:ascii="Times New Roman" w:hAnsi="Times New Roman" w:cs="Times New Roman"/>
          <w:kern w:val="32"/>
        </w:rPr>
        <w:t>depotnej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formy. V týchto prípadoch sa má preto sledovať </w:t>
      </w:r>
      <w:proofErr w:type="spellStart"/>
      <w:r w:rsidRPr="002F1924">
        <w:rPr>
          <w:rFonts w:ascii="Times New Roman" w:hAnsi="Times New Roman" w:cs="Times New Roman"/>
          <w:kern w:val="32"/>
        </w:rPr>
        <w:t>haldina</w:t>
      </w:r>
      <w:proofErr w:type="spellEnd"/>
      <w:r w:rsidRPr="002F1924">
        <w:rPr>
          <w:rFonts w:ascii="Times New Roman" w:hAnsi="Times New Roman" w:cs="Times New Roman"/>
          <w:kern w:val="32"/>
        </w:rPr>
        <w:t xml:space="preserve"> </w:t>
      </w:r>
      <w:proofErr w:type="spellStart"/>
      <w:r w:rsidRPr="002F1924">
        <w:rPr>
          <w:rFonts w:ascii="Times New Roman" w:hAnsi="Times New Roman" w:cs="Times New Roman"/>
          <w:kern w:val="32"/>
        </w:rPr>
        <w:t>testosterónu</w:t>
      </w:r>
      <w:proofErr w:type="spellEnd"/>
      <w:r w:rsidRPr="002F1924">
        <w:rPr>
          <w:rFonts w:ascii="Times New Roman" w:hAnsi="Times New Roman" w:cs="Times New Roman"/>
          <w:kern w:val="32"/>
        </w:rPr>
        <w:t>.</w:t>
      </w:r>
    </w:p>
    <w:p w14:paraId="0344DA95" w14:textId="77777777" w:rsidR="008A6EE7" w:rsidRPr="002F1924" w:rsidRDefault="008A6EE7" w:rsidP="008A6EE7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u w:val="single"/>
        </w:rPr>
      </w:pPr>
    </w:p>
    <w:p w14:paraId="6B9D29DC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1924">
        <w:rPr>
          <w:rFonts w:ascii="Times New Roman" w:hAnsi="Times New Roman" w:cs="Times New Roman"/>
          <w:u w:val="single"/>
        </w:rPr>
        <w:t>Hlásenie podozrení na nežiaduce reakcie</w:t>
      </w:r>
    </w:p>
    <w:p w14:paraId="075BC766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FD34E7">
        <w:rPr>
          <w:rFonts w:ascii="Times New Roman" w:hAnsi="Times New Roman" w:cs="Times New Roman"/>
          <w:highlight w:val="lightGray"/>
        </w:rPr>
        <w:t>národné centrum hlásenia uvedené v </w:t>
      </w:r>
      <w:hyperlink r:id="rId16" w:history="1">
        <w:r w:rsidRPr="00FD34E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2F1924">
        <w:rPr>
          <w:rFonts w:ascii="Times New Roman" w:hAnsi="Times New Roman" w:cs="Times New Roman"/>
        </w:rPr>
        <w:t>.</w:t>
      </w:r>
    </w:p>
    <w:p w14:paraId="66FD4BE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54B694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4.9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Predávkovanie</w:t>
      </w:r>
    </w:p>
    <w:p w14:paraId="32ED1C5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640D04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Doposiaľ neboli pozorované žiadne príznaky intoxikácie.</w:t>
      </w:r>
    </w:p>
    <w:p w14:paraId="12543822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A367C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Aj keď boli </w:t>
      </w:r>
      <w:proofErr w:type="spellStart"/>
      <w:r w:rsidRPr="002F1924">
        <w:rPr>
          <w:rFonts w:ascii="Times New Roman" w:hAnsi="Times New Roman" w:cs="Times New Roman"/>
        </w:rPr>
        <w:t>boli</w:t>
      </w:r>
      <w:proofErr w:type="spellEnd"/>
      <w:r w:rsidRPr="002F1924">
        <w:rPr>
          <w:rFonts w:ascii="Times New Roman" w:hAnsi="Times New Roman" w:cs="Times New Roman"/>
        </w:rPr>
        <w:t xml:space="preserve"> podané denné dávky </w:t>
      </w:r>
      <w:proofErr w:type="spellStart"/>
      <w:r w:rsidRPr="002F1924">
        <w:rPr>
          <w:rFonts w:ascii="Times New Roman" w:hAnsi="Times New Roman" w:cs="Times New Roman"/>
        </w:rPr>
        <w:t>leuprorelíniumacetátu</w:t>
      </w:r>
      <w:proofErr w:type="spellEnd"/>
      <w:r w:rsidRPr="002F1924">
        <w:rPr>
          <w:rFonts w:ascii="Times New Roman" w:hAnsi="Times New Roman" w:cs="Times New Roman"/>
        </w:rPr>
        <w:t xml:space="preserve"> do 20 mg po dobu dvoch rokov, ako v prípade prvých klinických štúdií, nespozorovali sa žiadne ďalšie alebo nové nežiaduce účinky než tie, ktoré sa vyskytli po podávaní dennej dávky 1 mg alebo po trojmesačnom podávaní dávky 11,25 mg.</w:t>
      </w:r>
    </w:p>
    <w:p w14:paraId="71090D7C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7311B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039161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5.</w:t>
      </w: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  <w:t>FARMAKOLOGICKÉ VLASTNOSTI</w:t>
      </w:r>
    </w:p>
    <w:p w14:paraId="7AED1565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5AB7C1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5.1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proofErr w:type="spellStart"/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Farmakodynamické</w:t>
      </w:r>
      <w:proofErr w:type="spellEnd"/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 xml:space="preserve"> vlastnosti</w:t>
      </w:r>
    </w:p>
    <w:p w14:paraId="57484EE3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0C074A56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noProof/>
        </w:rPr>
      </w:pPr>
      <w:r w:rsidRPr="002F1924">
        <w:rPr>
          <w:rFonts w:ascii="Times New Roman" w:hAnsi="Times New Roman" w:cs="Times New Roman"/>
          <w:noProof/>
        </w:rPr>
        <w:t>Farmakoterapeutická skupina: Hormóny a príbuzné liečivá, analógy hormónu uvoľňujúceho gonadotropín</w:t>
      </w:r>
    </w:p>
    <w:p w14:paraId="0EBB7FFD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ATC kód: L02AE02</w:t>
      </w:r>
    </w:p>
    <w:p w14:paraId="4A29CFF8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411C4CB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1924">
        <w:rPr>
          <w:rFonts w:ascii="Times New Roman" w:hAnsi="Times New Roman" w:cs="Times New Roman"/>
        </w:rPr>
        <w:t>Leuprorelíniumacetát</w:t>
      </w:r>
      <w:proofErr w:type="spellEnd"/>
      <w:r w:rsidRPr="002F1924">
        <w:rPr>
          <w:rFonts w:ascii="Times New Roman" w:hAnsi="Times New Roman" w:cs="Times New Roman"/>
        </w:rPr>
        <w:t xml:space="preserve">, liečivo lieku </w:t>
      </w:r>
      <w:proofErr w:type="spellStart"/>
      <w:r w:rsidRPr="002F1924">
        <w:rPr>
          <w:rFonts w:ascii="Times New Roman" w:hAnsi="Times New Roman" w:cs="Times New Roman"/>
        </w:rPr>
        <w:t>Leuprorelin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implantát, je syntetický </w:t>
      </w:r>
      <w:proofErr w:type="spellStart"/>
      <w:r w:rsidRPr="002F1924">
        <w:rPr>
          <w:rFonts w:ascii="Times New Roman" w:hAnsi="Times New Roman" w:cs="Times New Roman"/>
        </w:rPr>
        <w:t>analóg</w:t>
      </w:r>
      <w:proofErr w:type="spellEnd"/>
      <w:r w:rsidRPr="002F1924">
        <w:rPr>
          <w:rFonts w:ascii="Times New Roman" w:hAnsi="Times New Roman" w:cs="Times New Roman"/>
        </w:rPr>
        <w:t xml:space="preserve"> prirodzene sa vyskytujúceho </w:t>
      </w:r>
      <w:proofErr w:type="spellStart"/>
      <w:r w:rsidRPr="002F1924">
        <w:rPr>
          <w:rFonts w:ascii="Times New Roman" w:hAnsi="Times New Roman" w:cs="Times New Roman"/>
        </w:rPr>
        <w:t>hypotalamového</w:t>
      </w:r>
      <w:proofErr w:type="spellEnd"/>
      <w:r w:rsidRPr="002F1924">
        <w:rPr>
          <w:rFonts w:ascii="Times New Roman" w:hAnsi="Times New Roman" w:cs="Times New Roman"/>
        </w:rPr>
        <w:t xml:space="preserve"> hormónu uvoľňujúceho </w:t>
      </w:r>
      <w:proofErr w:type="spellStart"/>
      <w:r w:rsidRPr="002F1924">
        <w:rPr>
          <w:rFonts w:ascii="Times New Roman" w:hAnsi="Times New Roman" w:cs="Times New Roman"/>
        </w:rPr>
        <w:t>luteinizačný</w:t>
      </w:r>
      <w:proofErr w:type="spellEnd"/>
      <w:r w:rsidRPr="002F1924">
        <w:rPr>
          <w:rFonts w:ascii="Times New Roman" w:hAnsi="Times New Roman" w:cs="Times New Roman"/>
        </w:rPr>
        <w:t xml:space="preserve"> hormón (LHRH), ktorý kontroluje uvoľňovanie </w:t>
      </w:r>
      <w:proofErr w:type="spellStart"/>
      <w:r w:rsidRPr="002F1924">
        <w:rPr>
          <w:rFonts w:ascii="Times New Roman" w:hAnsi="Times New Roman" w:cs="Times New Roman"/>
        </w:rPr>
        <w:t>gonadotropných</w:t>
      </w:r>
      <w:proofErr w:type="spellEnd"/>
      <w:r w:rsidRPr="002F1924">
        <w:rPr>
          <w:rFonts w:ascii="Times New Roman" w:hAnsi="Times New Roman" w:cs="Times New Roman"/>
        </w:rPr>
        <w:t xml:space="preserve"> hormónov </w:t>
      </w:r>
      <w:r w:rsidRPr="002F1924">
        <w:rPr>
          <w:rFonts w:ascii="Times New Roman" w:hAnsi="Times New Roman" w:cs="Times New Roman"/>
        </w:rPr>
        <w:noBreakHyphen/>
        <w:t> LH (</w:t>
      </w:r>
      <w:proofErr w:type="spellStart"/>
      <w:r w:rsidRPr="002F1924">
        <w:rPr>
          <w:rFonts w:ascii="Times New Roman" w:hAnsi="Times New Roman" w:cs="Times New Roman"/>
        </w:rPr>
        <w:t>luteinizačný</w:t>
      </w:r>
      <w:proofErr w:type="spellEnd"/>
      <w:r w:rsidRPr="002F1924">
        <w:rPr>
          <w:rFonts w:ascii="Times New Roman" w:hAnsi="Times New Roman" w:cs="Times New Roman"/>
        </w:rPr>
        <w:t xml:space="preserve"> hormón) a FSH (hormón stimulujúci folikuly) z predného laloku hypofýzy. Tieto hormóny postupne stimulujú syntézu </w:t>
      </w:r>
      <w:proofErr w:type="spellStart"/>
      <w:r w:rsidRPr="002F1924">
        <w:rPr>
          <w:rFonts w:ascii="Times New Roman" w:hAnsi="Times New Roman" w:cs="Times New Roman"/>
        </w:rPr>
        <w:t>gonádových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steroidov</w:t>
      </w:r>
      <w:proofErr w:type="spellEnd"/>
      <w:r w:rsidRPr="002F1924">
        <w:rPr>
          <w:rFonts w:ascii="Times New Roman" w:hAnsi="Times New Roman" w:cs="Times New Roman"/>
        </w:rPr>
        <w:t>.</w:t>
      </w:r>
    </w:p>
    <w:p w14:paraId="75B8BADC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57FB5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Na rozdiel od fyziologického LHRH, ktorý sa </w:t>
      </w:r>
      <w:proofErr w:type="spellStart"/>
      <w:r w:rsidRPr="002F1924">
        <w:rPr>
          <w:rFonts w:ascii="Times New Roman" w:hAnsi="Times New Roman" w:cs="Times New Roman"/>
        </w:rPr>
        <w:t>pulzne</w:t>
      </w:r>
      <w:proofErr w:type="spellEnd"/>
      <w:r w:rsidRPr="002F1924">
        <w:rPr>
          <w:rFonts w:ascii="Times New Roman" w:hAnsi="Times New Roman" w:cs="Times New Roman"/>
        </w:rPr>
        <w:t xml:space="preserve"> uvoľňuje v hypotalame, </w:t>
      </w:r>
      <w:proofErr w:type="spellStart"/>
      <w:r w:rsidRPr="002F1924">
        <w:rPr>
          <w:rFonts w:ascii="Times New Roman" w:hAnsi="Times New Roman" w:cs="Times New Roman"/>
        </w:rPr>
        <w:t>leuprorelíniumacetát</w:t>
      </w:r>
      <w:proofErr w:type="spellEnd"/>
      <w:r w:rsidRPr="002F1924">
        <w:rPr>
          <w:rFonts w:ascii="Times New Roman" w:hAnsi="Times New Roman" w:cs="Times New Roman"/>
        </w:rPr>
        <w:t xml:space="preserve"> - známy aj ako </w:t>
      </w:r>
      <w:proofErr w:type="spellStart"/>
      <w:r w:rsidRPr="002F1924">
        <w:rPr>
          <w:rFonts w:ascii="Times New Roman" w:hAnsi="Times New Roman" w:cs="Times New Roman"/>
        </w:rPr>
        <w:t>agonista</w:t>
      </w:r>
      <w:proofErr w:type="spellEnd"/>
      <w:r w:rsidRPr="002F1924">
        <w:rPr>
          <w:rFonts w:ascii="Times New Roman" w:hAnsi="Times New Roman" w:cs="Times New Roman"/>
        </w:rPr>
        <w:t xml:space="preserve"> LHRH počas dlhodobej liečby kontinuálne blokuje receptory LHRH v hypofýze , a tým po úvodnej krátkodobej stimulácii vyvolá ich „</w:t>
      </w:r>
      <w:proofErr w:type="spellStart"/>
      <w:r w:rsidRPr="002F1924">
        <w:rPr>
          <w:rFonts w:ascii="Times New Roman" w:hAnsi="Times New Roman" w:cs="Times New Roman"/>
        </w:rPr>
        <w:t>down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regulation</w:t>
      </w:r>
      <w:proofErr w:type="spellEnd"/>
      <w:r w:rsidRPr="002F1924">
        <w:rPr>
          <w:rFonts w:ascii="Times New Roman" w:hAnsi="Times New Roman" w:cs="Times New Roman"/>
        </w:rPr>
        <w:t xml:space="preserve">“. V dôsledku toho dôjde k reverzibilnej </w:t>
      </w:r>
      <w:proofErr w:type="spellStart"/>
      <w:r w:rsidRPr="002F1924">
        <w:rPr>
          <w:rFonts w:ascii="Times New Roman" w:hAnsi="Times New Roman" w:cs="Times New Roman"/>
        </w:rPr>
        <w:t>supresii</w:t>
      </w:r>
      <w:proofErr w:type="spellEnd"/>
      <w:r w:rsidRPr="002F1924">
        <w:rPr>
          <w:rFonts w:ascii="Times New Roman" w:hAnsi="Times New Roman" w:cs="Times New Roman"/>
        </w:rPr>
        <w:t xml:space="preserve"> uvoľňovania </w:t>
      </w:r>
      <w:proofErr w:type="spellStart"/>
      <w:r w:rsidRPr="002F1924">
        <w:rPr>
          <w:rFonts w:ascii="Times New Roman" w:hAnsi="Times New Roman" w:cs="Times New Roman"/>
        </w:rPr>
        <w:t>gonadotropínu</w:t>
      </w:r>
      <w:proofErr w:type="spellEnd"/>
      <w:r w:rsidRPr="002F1924">
        <w:rPr>
          <w:rFonts w:ascii="Times New Roman" w:hAnsi="Times New Roman" w:cs="Times New Roman"/>
        </w:rPr>
        <w:t xml:space="preserve"> v hypofýze s následným znížením koncentrácií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. </w:t>
      </w:r>
    </w:p>
    <w:p w14:paraId="61613145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68AC2132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Koncentrácia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je znížená a to ovplyvňuje rast karcinómu tkaniva prostaty, ktoré je prirodzene stimulované </w:t>
      </w:r>
      <w:proofErr w:type="spellStart"/>
      <w:r w:rsidRPr="002F1924">
        <w:rPr>
          <w:rFonts w:ascii="Times New Roman" w:hAnsi="Times New Roman" w:cs="Times New Roman"/>
        </w:rPr>
        <w:t>dihydrotestosterónom</w:t>
      </w:r>
      <w:proofErr w:type="spellEnd"/>
      <w:r w:rsidRPr="002F1924">
        <w:rPr>
          <w:rFonts w:ascii="Times New Roman" w:hAnsi="Times New Roman" w:cs="Times New Roman"/>
        </w:rPr>
        <w:t xml:space="preserve">, tvoreným redukciou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v bunkách prostaty.</w:t>
      </w:r>
    </w:p>
    <w:p w14:paraId="2E82620B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F80288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2F1924">
        <w:rPr>
          <w:rFonts w:ascii="Times New Roman" w:hAnsi="Times New Roman" w:cs="Times New Roman"/>
        </w:rPr>
        <w:t xml:space="preserve">Kontinuálne podávanie </w:t>
      </w:r>
      <w:proofErr w:type="spellStart"/>
      <w:r w:rsidRPr="002F1924">
        <w:rPr>
          <w:rFonts w:ascii="Times New Roman" w:hAnsi="Times New Roman" w:cs="Times New Roman"/>
        </w:rPr>
        <w:t>leuprorelíniumacetátu</w:t>
      </w:r>
      <w:proofErr w:type="spellEnd"/>
      <w:r w:rsidRPr="002F1924">
        <w:rPr>
          <w:rFonts w:ascii="Times New Roman" w:hAnsi="Times New Roman" w:cs="Times New Roman"/>
        </w:rPr>
        <w:t xml:space="preserve"> vedie k zníženiu počtu a/alebo citlivosti (tiež nazývané "</w:t>
      </w:r>
      <w:proofErr w:type="spellStart"/>
      <w:r w:rsidRPr="002F1924">
        <w:rPr>
          <w:rFonts w:ascii="Times New Roman" w:hAnsi="Times New Roman" w:cs="Times New Roman"/>
        </w:rPr>
        <w:t>down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regulation</w:t>
      </w:r>
      <w:proofErr w:type="spellEnd"/>
      <w:r w:rsidRPr="002F1924">
        <w:rPr>
          <w:rFonts w:ascii="Times New Roman" w:hAnsi="Times New Roman" w:cs="Times New Roman"/>
        </w:rPr>
        <w:t xml:space="preserve">") receptorov v hypofýze, a následne k zníženiu koncentrácií LH, FSH a DHT. Hladiny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postupne klesnú na hodnoty kastračnej úrovne.</w:t>
      </w:r>
    </w:p>
    <w:p w14:paraId="778600A2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V skúšaniach na zvieratách sa dokázal </w:t>
      </w:r>
      <w:proofErr w:type="spellStart"/>
      <w:r w:rsidRPr="002F1924">
        <w:rPr>
          <w:rFonts w:ascii="Times New Roman" w:hAnsi="Times New Roman" w:cs="Times New Roman"/>
        </w:rPr>
        <w:t>antiandrogénny</w:t>
      </w:r>
      <w:proofErr w:type="spellEnd"/>
      <w:r w:rsidRPr="002F1924">
        <w:rPr>
          <w:rFonts w:ascii="Times New Roman" w:hAnsi="Times New Roman" w:cs="Times New Roman"/>
        </w:rPr>
        <w:t xml:space="preserve"> účinok a inhibícia rastu karcinómu prostaty.</w:t>
      </w:r>
    </w:p>
    <w:p w14:paraId="6AD32FE6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17DDF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Podľa predklinických a klinických štúdií mesačná liečba </w:t>
      </w:r>
      <w:proofErr w:type="spellStart"/>
      <w:r w:rsidRPr="002F1924">
        <w:rPr>
          <w:rFonts w:ascii="Times New Roman" w:hAnsi="Times New Roman" w:cs="Times New Roman"/>
        </w:rPr>
        <w:t>leuprorelíniumacetátom</w:t>
      </w:r>
      <w:proofErr w:type="spellEnd"/>
      <w:r w:rsidRPr="002F1924">
        <w:rPr>
          <w:rFonts w:ascii="Times New Roman" w:hAnsi="Times New Roman" w:cs="Times New Roman"/>
        </w:rPr>
        <w:t xml:space="preserve"> po úvodnej stimulácii </w:t>
      </w:r>
      <w:proofErr w:type="spellStart"/>
      <w:r w:rsidRPr="002F1924">
        <w:rPr>
          <w:rFonts w:ascii="Times New Roman" w:hAnsi="Times New Roman" w:cs="Times New Roman"/>
        </w:rPr>
        <w:t>inhibuje</w:t>
      </w:r>
      <w:proofErr w:type="spellEnd"/>
      <w:r w:rsidRPr="002F1924">
        <w:rPr>
          <w:rFonts w:ascii="Times New Roman" w:hAnsi="Times New Roman" w:cs="Times New Roman"/>
        </w:rPr>
        <w:t xml:space="preserve"> uvoľňovanie </w:t>
      </w:r>
      <w:proofErr w:type="spellStart"/>
      <w:r w:rsidRPr="002F1924">
        <w:rPr>
          <w:rFonts w:ascii="Times New Roman" w:hAnsi="Times New Roman" w:cs="Times New Roman"/>
        </w:rPr>
        <w:t>gonadotropínu</w:t>
      </w:r>
      <w:proofErr w:type="spellEnd"/>
      <w:r w:rsidRPr="002F1924">
        <w:rPr>
          <w:rFonts w:ascii="Times New Roman" w:hAnsi="Times New Roman" w:cs="Times New Roman"/>
        </w:rPr>
        <w:t>.</w:t>
      </w:r>
    </w:p>
    <w:p w14:paraId="5FA69C77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D73E0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U mužov spôsobuje </w:t>
      </w:r>
      <w:proofErr w:type="spellStart"/>
      <w:r w:rsidRPr="002F1924">
        <w:rPr>
          <w:rFonts w:ascii="Times New Roman" w:hAnsi="Times New Roman" w:cs="Times New Roman"/>
        </w:rPr>
        <w:t>subkutánne</w:t>
      </w:r>
      <w:proofErr w:type="spellEnd"/>
      <w:r w:rsidRPr="002F1924">
        <w:rPr>
          <w:rFonts w:ascii="Times New Roman" w:hAnsi="Times New Roman" w:cs="Times New Roman"/>
        </w:rPr>
        <w:t xml:space="preserve"> podávanie </w:t>
      </w:r>
      <w:proofErr w:type="spellStart"/>
      <w:r w:rsidRPr="002F1924">
        <w:rPr>
          <w:rFonts w:ascii="Times New Roman" w:hAnsi="Times New Roman" w:cs="Times New Roman"/>
        </w:rPr>
        <w:t>leuprorelíniumacetátu</w:t>
      </w:r>
      <w:proofErr w:type="spellEnd"/>
      <w:r w:rsidRPr="002F1924">
        <w:rPr>
          <w:rFonts w:ascii="Times New Roman" w:hAnsi="Times New Roman" w:cs="Times New Roman"/>
        </w:rPr>
        <w:t xml:space="preserve"> úvodné zvýšenie hodnoty LH (</w:t>
      </w:r>
      <w:proofErr w:type="spellStart"/>
      <w:r w:rsidRPr="002F1924">
        <w:rPr>
          <w:rFonts w:ascii="Times New Roman" w:hAnsi="Times New Roman" w:cs="Times New Roman"/>
        </w:rPr>
        <w:t>luteinizačný</w:t>
      </w:r>
      <w:proofErr w:type="spellEnd"/>
      <w:r w:rsidRPr="002F1924">
        <w:rPr>
          <w:rFonts w:ascii="Times New Roman" w:hAnsi="Times New Roman" w:cs="Times New Roman"/>
        </w:rPr>
        <w:t xml:space="preserve"> hormón) a FSH (hormón stimulujúci folikuly), čo sa prejaví prechodným zvýšením koncentrácií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a </w:t>
      </w:r>
      <w:proofErr w:type="spellStart"/>
      <w:r w:rsidRPr="002F1924">
        <w:rPr>
          <w:rFonts w:ascii="Times New Roman" w:hAnsi="Times New Roman" w:cs="Times New Roman"/>
        </w:rPr>
        <w:t>dihydrotestosterónu</w:t>
      </w:r>
      <w:proofErr w:type="spellEnd"/>
      <w:r w:rsidRPr="002F1924">
        <w:rPr>
          <w:rFonts w:ascii="Times New Roman" w:hAnsi="Times New Roman" w:cs="Times New Roman"/>
        </w:rPr>
        <w:t>.</w:t>
      </w:r>
    </w:p>
    <w:p w14:paraId="05E3086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641D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Počas prvých 3 týždňov liečby sa v ojedinelých prípadoch pozorovalo pridružené krátkodobé zhoršenie ochorenia. U mužov s karcinómom prostaty sa má zvážiť </w:t>
      </w:r>
      <w:proofErr w:type="spellStart"/>
      <w:r w:rsidRPr="002F1924">
        <w:rPr>
          <w:rFonts w:ascii="Times New Roman" w:hAnsi="Times New Roman" w:cs="Times New Roman"/>
        </w:rPr>
        <w:t>adjuvantné</w:t>
      </w:r>
      <w:proofErr w:type="spellEnd"/>
      <w:r w:rsidRPr="002F1924">
        <w:rPr>
          <w:rFonts w:ascii="Times New Roman" w:hAnsi="Times New Roman" w:cs="Times New Roman"/>
        </w:rPr>
        <w:t xml:space="preserve"> podávanie </w:t>
      </w:r>
      <w:proofErr w:type="spellStart"/>
      <w:r w:rsidRPr="002F1924">
        <w:rPr>
          <w:rFonts w:ascii="Times New Roman" w:hAnsi="Times New Roman" w:cs="Times New Roman"/>
        </w:rPr>
        <w:t>antiandrogénov</w:t>
      </w:r>
      <w:proofErr w:type="spellEnd"/>
      <w:r w:rsidRPr="002F1924">
        <w:rPr>
          <w:rFonts w:ascii="Times New Roman" w:hAnsi="Times New Roman" w:cs="Times New Roman"/>
        </w:rPr>
        <w:t>.</w:t>
      </w:r>
    </w:p>
    <w:p w14:paraId="5DD7C61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65D9B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Naopak dlhodobá liečba </w:t>
      </w:r>
      <w:proofErr w:type="spellStart"/>
      <w:r w:rsidRPr="002F1924">
        <w:rPr>
          <w:rFonts w:ascii="Times New Roman" w:hAnsi="Times New Roman" w:cs="Times New Roman"/>
        </w:rPr>
        <w:t>leuprorelíniumacetátom</w:t>
      </w:r>
      <w:proofErr w:type="spellEnd"/>
      <w:r w:rsidRPr="002F1924">
        <w:rPr>
          <w:rFonts w:ascii="Times New Roman" w:hAnsi="Times New Roman" w:cs="Times New Roman"/>
        </w:rPr>
        <w:t xml:space="preserve"> spôsobuje pokles koncentrácií LH a FSH u všetkých pacientov; výsledné dosiahnuté koncentrácie </w:t>
      </w:r>
      <w:proofErr w:type="spellStart"/>
      <w:r w:rsidRPr="002F1924">
        <w:rPr>
          <w:rFonts w:ascii="Times New Roman" w:hAnsi="Times New Roman" w:cs="Times New Roman"/>
        </w:rPr>
        <w:t>androgénov</w:t>
      </w:r>
      <w:proofErr w:type="spellEnd"/>
      <w:r w:rsidRPr="002F1924">
        <w:rPr>
          <w:rFonts w:ascii="Times New Roman" w:hAnsi="Times New Roman" w:cs="Times New Roman"/>
        </w:rPr>
        <w:t xml:space="preserve"> u mužov sú podobné tým, ktoré sa vyskytujú po bilaterálnej </w:t>
      </w:r>
      <w:proofErr w:type="spellStart"/>
      <w:r w:rsidRPr="002F1924">
        <w:rPr>
          <w:rFonts w:ascii="Times New Roman" w:hAnsi="Times New Roman" w:cs="Times New Roman"/>
        </w:rPr>
        <w:t>orchiektómii</w:t>
      </w:r>
      <w:proofErr w:type="spellEnd"/>
      <w:r w:rsidRPr="002F1924">
        <w:rPr>
          <w:rFonts w:ascii="Times New Roman" w:hAnsi="Times New Roman" w:cs="Times New Roman"/>
        </w:rPr>
        <w:t>. Tieto zmeny sa vyskytujú zvyčajne 2 </w:t>
      </w:r>
      <w:r w:rsidRPr="002F1924">
        <w:rPr>
          <w:rFonts w:ascii="Times New Roman" w:hAnsi="Times New Roman" w:cs="Times New Roman"/>
        </w:rPr>
        <w:noBreakHyphen/>
        <w:t xml:space="preserve"> 3 týždne po začatí liečby a prejavujú sa počas celého trvania liečby. Preto </w:t>
      </w:r>
      <w:proofErr w:type="spellStart"/>
      <w:r w:rsidRPr="002F1924">
        <w:rPr>
          <w:rFonts w:ascii="Times New Roman" w:hAnsi="Times New Roman" w:cs="Times New Roman"/>
        </w:rPr>
        <w:t>leuprorelíniumacetát</w:t>
      </w:r>
      <w:proofErr w:type="spellEnd"/>
      <w:r w:rsidRPr="002F1924">
        <w:rPr>
          <w:rFonts w:ascii="Times New Roman" w:hAnsi="Times New Roman" w:cs="Times New Roman"/>
        </w:rPr>
        <w:t xml:space="preserve"> možno použiť aj na zistenie hormonálnej citlivosti karcinómu prostaty a možnej prospešnosti liečby </w:t>
      </w:r>
      <w:proofErr w:type="spellStart"/>
      <w:r w:rsidRPr="002F1924">
        <w:rPr>
          <w:rFonts w:ascii="Times New Roman" w:hAnsi="Times New Roman" w:cs="Times New Roman"/>
        </w:rPr>
        <w:t>orchiektómiou</w:t>
      </w:r>
      <w:proofErr w:type="spellEnd"/>
      <w:r w:rsidRPr="002F1924">
        <w:rPr>
          <w:rFonts w:ascii="Times New Roman" w:hAnsi="Times New Roman" w:cs="Times New Roman"/>
        </w:rPr>
        <w:t xml:space="preserve">. Ak je to potrebné, </w:t>
      </w:r>
      <w:proofErr w:type="spellStart"/>
      <w:r w:rsidRPr="002F1924">
        <w:rPr>
          <w:rFonts w:ascii="Times New Roman" w:hAnsi="Times New Roman" w:cs="Times New Roman"/>
        </w:rPr>
        <w:t>orchiektómiu</w:t>
      </w:r>
      <w:proofErr w:type="spellEnd"/>
      <w:r w:rsidRPr="002F1924">
        <w:rPr>
          <w:rFonts w:ascii="Times New Roman" w:hAnsi="Times New Roman" w:cs="Times New Roman"/>
        </w:rPr>
        <w:t xml:space="preserve"> je možné nahradiť mesačným podávaním </w:t>
      </w:r>
      <w:proofErr w:type="spellStart"/>
      <w:r w:rsidRPr="002F1924">
        <w:rPr>
          <w:rFonts w:ascii="Times New Roman" w:hAnsi="Times New Roman" w:cs="Times New Roman"/>
        </w:rPr>
        <w:t>leuprorelíniumacetátu</w:t>
      </w:r>
      <w:proofErr w:type="spellEnd"/>
      <w:r w:rsidRPr="002F1924">
        <w:rPr>
          <w:rFonts w:ascii="Times New Roman" w:hAnsi="Times New Roman" w:cs="Times New Roman"/>
        </w:rPr>
        <w:t xml:space="preserve">. Doposiaľ bolo možné udržať kastračné hladiny </w:t>
      </w:r>
      <w:proofErr w:type="spellStart"/>
      <w:r w:rsidRPr="002F1924">
        <w:rPr>
          <w:rFonts w:ascii="Times New Roman" w:hAnsi="Times New Roman" w:cs="Times New Roman"/>
        </w:rPr>
        <w:t>testosterónu</w:t>
      </w:r>
      <w:proofErr w:type="spellEnd"/>
      <w:r w:rsidRPr="002F1924">
        <w:rPr>
          <w:rFonts w:ascii="Times New Roman" w:hAnsi="Times New Roman" w:cs="Times New Roman"/>
        </w:rPr>
        <w:t xml:space="preserve"> po kontinuálnom podávaní </w:t>
      </w:r>
      <w:proofErr w:type="spellStart"/>
      <w:r w:rsidRPr="002F1924">
        <w:rPr>
          <w:rFonts w:ascii="Times New Roman" w:hAnsi="Times New Roman" w:cs="Times New Roman"/>
        </w:rPr>
        <w:t>leuprorelíniumacetátu</w:t>
      </w:r>
      <w:proofErr w:type="spellEnd"/>
      <w:r w:rsidRPr="002F1924">
        <w:rPr>
          <w:rFonts w:ascii="Times New Roman" w:hAnsi="Times New Roman" w:cs="Times New Roman"/>
        </w:rPr>
        <w:t xml:space="preserve"> počas 5 rokov.</w:t>
      </w:r>
    </w:p>
    <w:p w14:paraId="6FD1DE92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61546A05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1924">
        <w:rPr>
          <w:rFonts w:ascii="Times New Roman" w:hAnsi="Times New Roman" w:cs="Times New Roman"/>
          <w:u w:val="single"/>
        </w:rPr>
        <w:t>Klinická účinnosť</w:t>
      </w:r>
    </w:p>
    <w:p w14:paraId="7E7419B4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V </w:t>
      </w:r>
      <w:proofErr w:type="spellStart"/>
      <w:r w:rsidRPr="002F1924">
        <w:rPr>
          <w:rFonts w:ascii="Times New Roman" w:hAnsi="Times New Roman" w:cs="Times New Roman"/>
        </w:rPr>
        <w:t>multicentrickej</w:t>
      </w:r>
      <w:proofErr w:type="spellEnd"/>
      <w:r w:rsidRPr="002F1924">
        <w:rPr>
          <w:rFonts w:ascii="Times New Roman" w:hAnsi="Times New Roman" w:cs="Times New Roman"/>
        </w:rPr>
        <w:t xml:space="preserve">, </w:t>
      </w:r>
      <w:proofErr w:type="spellStart"/>
      <w:r w:rsidRPr="002F1924">
        <w:rPr>
          <w:rFonts w:ascii="Times New Roman" w:hAnsi="Times New Roman" w:cs="Times New Roman"/>
        </w:rPr>
        <w:t>randomizovanej</w:t>
      </w:r>
      <w:proofErr w:type="spellEnd"/>
      <w:r w:rsidRPr="002F1924">
        <w:rPr>
          <w:rFonts w:ascii="Times New Roman" w:hAnsi="Times New Roman" w:cs="Times New Roman"/>
        </w:rPr>
        <w:t xml:space="preserve"> štúdii fázy III s </w:t>
      </w:r>
      <w:proofErr w:type="spellStart"/>
      <w:r w:rsidRPr="002F1924">
        <w:rPr>
          <w:rFonts w:ascii="Times New Roman" w:hAnsi="Times New Roman" w:cs="Times New Roman"/>
        </w:rPr>
        <w:t>leuprorelíniumacetátom</w:t>
      </w:r>
      <w:proofErr w:type="spellEnd"/>
      <w:r w:rsidRPr="002F1924">
        <w:rPr>
          <w:rFonts w:ascii="Times New Roman" w:hAnsi="Times New Roman" w:cs="Times New Roman"/>
        </w:rPr>
        <w:t xml:space="preserve"> bolo hodnotených 263 pacientov s lokálne pokročilým karcinómom prostaty štádia T3</w:t>
      </w:r>
      <w:r w:rsidRPr="002F1924">
        <w:rPr>
          <w:rFonts w:ascii="Times New Roman" w:hAnsi="Times New Roman" w:cs="Times New Roman"/>
        </w:rPr>
        <w:noBreakHyphen/>
        <w:t>T4 alebo pT3, N0, M0. 133 pacientov dostávalo kombináciu rádioterapie s </w:t>
      </w:r>
      <w:proofErr w:type="spellStart"/>
      <w:r w:rsidRPr="002F1924">
        <w:rPr>
          <w:rFonts w:ascii="Times New Roman" w:hAnsi="Times New Roman" w:cs="Times New Roman"/>
        </w:rPr>
        <w:t>androgénnou</w:t>
      </w:r>
      <w:proofErr w:type="spellEnd"/>
      <w:r w:rsidRPr="002F1924">
        <w:rPr>
          <w:rFonts w:ascii="Times New Roman" w:hAnsi="Times New Roman" w:cs="Times New Roman"/>
        </w:rPr>
        <w:t xml:space="preserve"> depriváciou a 130 pacientov iba </w:t>
      </w:r>
      <w:proofErr w:type="spellStart"/>
      <w:r w:rsidRPr="002F1924">
        <w:rPr>
          <w:rFonts w:ascii="Times New Roman" w:hAnsi="Times New Roman" w:cs="Times New Roman"/>
        </w:rPr>
        <w:t>androgénnu</w:t>
      </w:r>
      <w:proofErr w:type="spellEnd"/>
      <w:r w:rsidRPr="002F1924">
        <w:rPr>
          <w:rFonts w:ascii="Times New Roman" w:hAnsi="Times New Roman" w:cs="Times New Roman"/>
        </w:rPr>
        <w:t xml:space="preserve"> depriváciu </w:t>
      </w:r>
      <w:proofErr w:type="spellStart"/>
      <w:r w:rsidRPr="002F1924">
        <w:rPr>
          <w:rFonts w:ascii="Times New Roman" w:hAnsi="Times New Roman" w:cs="Times New Roman"/>
        </w:rPr>
        <w:t>leuprorelíniumacetátom</w:t>
      </w:r>
      <w:proofErr w:type="spellEnd"/>
      <w:r w:rsidRPr="002F1924">
        <w:rPr>
          <w:rFonts w:ascii="Times New Roman" w:hAnsi="Times New Roman" w:cs="Times New Roman"/>
        </w:rPr>
        <w:t xml:space="preserve"> počas 3 rokov.</w:t>
      </w:r>
    </w:p>
    <w:p w14:paraId="470B1111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Na základe ASTRO (</w:t>
      </w:r>
      <w:proofErr w:type="spellStart"/>
      <w:r w:rsidRPr="002F1924">
        <w:rPr>
          <w:rFonts w:ascii="Times New Roman" w:hAnsi="Times New Roman" w:cs="Times New Roman"/>
        </w:rPr>
        <w:t>Phoenix</w:t>
      </w:r>
      <w:proofErr w:type="spellEnd"/>
      <w:r w:rsidRPr="002F1924">
        <w:rPr>
          <w:rFonts w:ascii="Times New Roman" w:hAnsi="Times New Roman" w:cs="Times New Roman"/>
        </w:rPr>
        <w:t xml:space="preserve"> kritériá), bolo pozorované prežívanie bez progresie počas 5 rokov u 60,9% (64,7%) pri kombinovanej liečbe v porovnaní s 8,5% (15,4%) v skupine liečenej samotnou hormonálnou liečbou (p = 0,0001; [p = 0,0005]).</w:t>
      </w:r>
    </w:p>
    <w:p w14:paraId="0E9A8AA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Na základe kritérií ASTRO, riziko progresie bolo 3,8-krát vyššie v skupine so samotnou hormonálnou liečbou (95% interval spoľahlivosti IS [2,17; 6,49]).</w:t>
      </w:r>
    </w:p>
    <w:p w14:paraId="59C4E09C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Medián klinického alebo biochemického prežívania bez progresie podľa kritérií ASTRO bol 641 dní (95% IS [626; 812]) v skupine so samotnou hormonálnou liečbou oproti 2804 dňom (95% IS [2090; –]; p &lt; 0,0001) v skupine s kombinovanou liečbou.</w:t>
      </w:r>
    </w:p>
    <w:p w14:paraId="70E99B42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Neboli pozorované štatisticky významné rozdiely týkajúce sa </w:t>
      </w:r>
      <w:proofErr w:type="spellStart"/>
      <w:r w:rsidRPr="002F1924">
        <w:rPr>
          <w:rFonts w:ascii="Times New Roman" w:hAnsi="Times New Roman" w:cs="Times New Roman"/>
        </w:rPr>
        <w:t>lokoregionálnej</w:t>
      </w:r>
      <w:proofErr w:type="spellEnd"/>
      <w:r w:rsidRPr="002F1924">
        <w:rPr>
          <w:rFonts w:ascii="Times New Roman" w:hAnsi="Times New Roman" w:cs="Times New Roman"/>
        </w:rPr>
        <w:t xml:space="preserve"> progresie (pomer rizík, HR 3,6 [95% IS {1,9; 6,8}; p &lt; 0,0001]), progresie metastáz (p &lt; 0,018) ani prežívania bez metastáz (p = 0,018) medzi skupinou s kombinovanou liečbou a skupinou so samotnou </w:t>
      </w:r>
      <w:proofErr w:type="spellStart"/>
      <w:r w:rsidRPr="002F1924">
        <w:rPr>
          <w:rFonts w:ascii="Times New Roman" w:hAnsi="Times New Roman" w:cs="Times New Roman"/>
        </w:rPr>
        <w:t>androgénnou</w:t>
      </w:r>
      <w:proofErr w:type="spellEnd"/>
      <w:r w:rsidRPr="002F1924">
        <w:rPr>
          <w:rFonts w:ascii="Times New Roman" w:hAnsi="Times New Roman" w:cs="Times New Roman"/>
        </w:rPr>
        <w:t xml:space="preserve"> depriváciou.</w:t>
      </w:r>
    </w:p>
    <w:p w14:paraId="4CF623F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V tomto skúšaní sa jednoznačne preukázalo, že kombinácia </w:t>
      </w:r>
      <w:proofErr w:type="spellStart"/>
      <w:r w:rsidRPr="002F1924">
        <w:rPr>
          <w:rFonts w:ascii="Times New Roman" w:hAnsi="Times New Roman" w:cs="Times New Roman"/>
        </w:rPr>
        <w:t>androgénnej</w:t>
      </w:r>
      <w:proofErr w:type="spellEnd"/>
      <w:r w:rsidRPr="002F1924">
        <w:rPr>
          <w:rFonts w:ascii="Times New Roman" w:hAnsi="Times New Roman" w:cs="Times New Roman"/>
        </w:rPr>
        <w:t xml:space="preserve"> deprivácie s rádioterapiou počas 3 rokov je lepšia v porovnaní so samotnou </w:t>
      </w:r>
      <w:proofErr w:type="spellStart"/>
      <w:r w:rsidRPr="002F1924">
        <w:rPr>
          <w:rFonts w:ascii="Times New Roman" w:hAnsi="Times New Roman" w:cs="Times New Roman"/>
        </w:rPr>
        <w:t>androgénnou</w:t>
      </w:r>
      <w:proofErr w:type="spellEnd"/>
      <w:r w:rsidRPr="002F1924">
        <w:rPr>
          <w:rFonts w:ascii="Times New Roman" w:hAnsi="Times New Roman" w:cs="Times New Roman"/>
        </w:rPr>
        <w:t xml:space="preserve"> depriváciou.</w:t>
      </w:r>
    </w:p>
    <w:p w14:paraId="19CEB7A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67BA3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Nasledujúce skúšania ukázali, že kombinovaná liečba s </w:t>
      </w:r>
      <w:proofErr w:type="spellStart"/>
      <w:r w:rsidRPr="002F1924">
        <w:rPr>
          <w:rFonts w:ascii="Times New Roman" w:hAnsi="Times New Roman" w:cs="Times New Roman"/>
        </w:rPr>
        <w:t>analógmi</w:t>
      </w:r>
      <w:proofErr w:type="spellEnd"/>
      <w:r w:rsidRPr="002F1924">
        <w:rPr>
          <w:rFonts w:ascii="Times New Roman" w:hAnsi="Times New Roman" w:cs="Times New Roman"/>
        </w:rPr>
        <w:t xml:space="preserve"> LHRH je tiež prínosnejšia v porovnaní so samotnou rádioterapiou u pacientov s lokálne pokročilým karcinómom prostaty.</w:t>
      </w:r>
    </w:p>
    <w:p w14:paraId="685E9256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Do </w:t>
      </w:r>
      <w:proofErr w:type="spellStart"/>
      <w:r w:rsidRPr="002F1924">
        <w:rPr>
          <w:rFonts w:ascii="Times New Roman" w:hAnsi="Times New Roman" w:cs="Times New Roman"/>
        </w:rPr>
        <w:t>randomizovaného</w:t>
      </w:r>
      <w:proofErr w:type="spellEnd"/>
      <w:r w:rsidRPr="002F1924">
        <w:rPr>
          <w:rFonts w:ascii="Times New Roman" w:hAnsi="Times New Roman" w:cs="Times New Roman"/>
        </w:rPr>
        <w:t xml:space="preserve"> RTOG 85-31 skúšania bolo zaradených 977 pacientov s lokálne pokročilým karcinómom prostaty štádia T1-T3 s metastázami do lymfatických uzlín, s presahom nádoru cez puzdro prostaty alebo </w:t>
      </w:r>
      <w:proofErr w:type="spellStart"/>
      <w:r w:rsidRPr="002F1924">
        <w:rPr>
          <w:rFonts w:ascii="Times New Roman" w:hAnsi="Times New Roman" w:cs="Times New Roman"/>
        </w:rPr>
        <w:t>penetráciou</w:t>
      </w:r>
      <w:proofErr w:type="spellEnd"/>
      <w:r w:rsidRPr="002F1924">
        <w:rPr>
          <w:rFonts w:ascii="Times New Roman" w:hAnsi="Times New Roman" w:cs="Times New Roman"/>
        </w:rPr>
        <w:t xml:space="preserve"> karcinómu prostaty do </w:t>
      </w:r>
      <w:proofErr w:type="spellStart"/>
      <w:r w:rsidRPr="002F1924">
        <w:rPr>
          <w:rFonts w:ascii="Times New Roman" w:hAnsi="Times New Roman" w:cs="Times New Roman"/>
        </w:rPr>
        <w:t>semeníkov</w:t>
      </w:r>
      <w:proofErr w:type="spellEnd"/>
      <w:r w:rsidRPr="002F1924">
        <w:rPr>
          <w:rFonts w:ascii="Times New Roman" w:hAnsi="Times New Roman" w:cs="Times New Roman"/>
        </w:rPr>
        <w:t>.</w:t>
      </w:r>
    </w:p>
    <w:p w14:paraId="0F20D15A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488 pacientov dostávalo kombináciu rádioterapie s dlhodobou </w:t>
      </w:r>
      <w:proofErr w:type="spellStart"/>
      <w:r w:rsidRPr="002F1924">
        <w:rPr>
          <w:rFonts w:ascii="Times New Roman" w:hAnsi="Times New Roman" w:cs="Times New Roman"/>
        </w:rPr>
        <w:t>androgénnou</w:t>
      </w:r>
      <w:proofErr w:type="spellEnd"/>
      <w:r w:rsidRPr="002F1924">
        <w:rPr>
          <w:rFonts w:ascii="Times New Roman" w:hAnsi="Times New Roman" w:cs="Times New Roman"/>
        </w:rPr>
        <w:t xml:space="preserve"> depriváciou </w:t>
      </w:r>
      <w:proofErr w:type="spellStart"/>
      <w:r w:rsidRPr="002F1924">
        <w:rPr>
          <w:rFonts w:ascii="Times New Roman" w:hAnsi="Times New Roman" w:cs="Times New Roman"/>
        </w:rPr>
        <w:t>goserelínom</w:t>
      </w:r>
      <w:proofErr w:type="spellEnd"/>
      <w:r w:rsidRPr="002F1924">
        <w:rPr>
          <w:rFonts w:ascii="Times New Roman" w:hAnsi="Times New Roman" w:cs="Times New Roman"/>
        </w:rPr>
        <w:t>, zatiaľ čo 489 pacientov dostávalo samotnú rádioterapiu.</w:t>
      </w:r>
    </w:p>
    <w:p w14:paraId="790C1094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Výsledky boli jednoznačne v prospech kombinovanej terapie v porovnaní so samotnou rádioterapiou.</w:t>
      </w:r>
    </w:p>
    <w:p w14:paraId="5EE50862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10-ročné prežívanie bez progresie sa pozorovalo u 37% oproti 23% </w:t>
      </w:r>
      <w:r w:rsidRPr="002F1924">
        <w:rPr>
          <w:rFonts w:ascii="Times New Roman" w:eastAsia="HelveticaNeueLTPro-Roman" w:hAnsi="Times New Roman" w:cs="Times New Roman"/>
        </w:rPr>
        <w:t>(p &lt; 0,001); prežívanie bez progresie s hodnotou PSA &lt; 1,5 </w:t>
      </w:r>
      <w:proofErr w:type="spellStart"/>
      <w:r w:rsidRPr="002F1924">
        <w:rPr>
          <w:rFonts w:ascii="Times New Roman" w:eastAsia="HelveticaNeueLTPro-Roman" w:hAnsi="Times New Roman" w:cs="Times New Roman"/>
        </w:rPr>
        <w:t>ng</w:t>
      </w:r>
      <w:proofErr w:type="spellEnd"/>
      <w:r w:rsidRPr="002F1924">
        <w:rPr>
          <w:rFonts w:ascii="Times New Roman" w:eastAsia="HelveticaNeueLTPro-Roman" w:hAnsi="Times New Roman" w:cs="Times New Roman"/>
        </w:rPr>
        <w:t>/ml bolo 31% oproti 9%, opätovný lokálny výskyt u 23% oproti 38% (p &lt; 0,0001) a progresia s metastázami u 24% oproti 39% (p &lt; 0,0001).</w:t>
      </w:r>
    </w:p>
    <w:p w14:paraId="137F72F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94B2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Celkové prežívanie bolo 49% oproti 39% </w:t>
      </w:r>
      <w:r w:rsidRPr="002F1924">
        <w:rPr>
          <w:rFonts w:ascii="Times New Roman" w:eastAsia="HelveticaNeueLTPro-Roman" w:hAnsi="Times New Roman" w:cs="Times New Roman"/>
        </w:rPr>
        <w:t>(p = 0,002) a mortalita špecifická pre ochorenie bola 16% oproti 22% (p = 0,0052).</w:t>
      </w:r>
    </w:p>
    <w:p w14:paraId="31745169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eastAsia="HelveticaNeueLTPro-Roman" w:hAnsi="Times New Roman" w:cs="Times New Roman"/>
        </w:rPr>
      </w:pPr>
    </w:p>
    <w:p w14:paraId="5663FEDD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>V nasledujúcich klinických skúšaniach u pacientov s lokalizovaným karcinómom prostaty so stredne rizikovým profilom sa preukázal prospech v kombinácii rádioterapie a </w:t>
      </w:r>
      <w:proofErr w:type="spellStart"/>
      <w:r w:rsidRPr="002F1924">
        <w:rPr>
          <w:rFonts w:ascii="Times New Roman" w:eastAsia="HelveticaNeueLTPro-Roman" w:hAnsi="Times New Roman" w:cs="Times New Roman"/>
        </w:rPr>
        <w:t>androgénnej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deprivácie s </w:t>
      </w:r>
      <w:proofErr w:type="spellStart"/>
      <w:r w:rsidRPr="002F1924">
        <w:rPr>
          <w:rFonts w:ascii="Times New Roman" w:eastAsia="HelveticaNeueLTPro-Roman" w:hAnsi="Times New Roman" w:cs="Times New Roman"/>
        </w:rPr>
        <w:t>analógmi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LHRH oproti samotnej rádioterapii</w:t>
      </w:r>
      <w:r w:rsidRPr="002F1924">
        <w:rPr>
          <w:rFonts w:ascii="Times New Roman" w:hAnsi="Times New Roman" w:cs="Times New Roman"/>
        </w:rPr>
        <w:t>.</w:t>
      </w:r>
    </w:p>
    <w:p w14:paraId="55353655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</w:p>
    <w:p w14:paraId="757230BE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proofErr w:type="spellStart"/>
      <w:r w:rsidRPr="002F1924">
        <w:rPr>
          <w:rFonts w:ascii="Times New Roman" w:eastAsia="HelveticaNeueLTPro-Roman" w:hAnsi="Times New Roman" w:cs="Times New Roman"/>
        </w:rPr>
        <w:t>Randomizované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klinické skúšanie fázy III RTOG 94-08 bolo vykonané u pacientov s lokalizovaným karcinómom prostaty štádia T1b, T1c, T2a alebo T2b a hodnotou PSA ≤ 10 </w:t>
      </w:r>
      <w:proofErr w:type="spellStart"/>
      <w:r w:rsidRPr="002F1924">
        <w:rPr>
          <w:rFonts w:ascii="Times New Roman" w:eastAsia="HelveticaNeueLTPro-Roman" w:hAnsi="Times New Roman" w:cs="Times New Roman"/>
        </w:rPr>
        <w:t>ng</w:t>
      </w:r>
      <w:proofErr w:type="spellEnd"/>
      <w:r w:rsidRPr="002F1924">
        <w:rPr>
          <w:rFonts w:ascii="Times New Roman" w:eastAsia="HelveticaNeueLTPro-Roman" w:hAnsi="Times New Roman" w:cs="Times New Roman"/>
        </w:rPr>
        <w:t>/ml.</w:t>
      </w:r>
    </w:p>
    <w:p w14:paraId="38C4EF5F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 xml:space="preserve">V podskupine pacientov so stredne </w:t>
      </w:r>
      <w:proofErr w:type="spellStart"/>
      <w:r w:rsidRPr="002F1924">
        <w:rPr>
          <w:rFonts w:ascii="Times New Roman" w:eastAsia="HelveticaNeueLTPro-Roman" w:hAnsi="Times New Roman" w:cs="Times New Roman"/>
        </w:rPr>
        <w:t>izikovým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profilom definovaným podľa </w:t>
      </w:r>
      <w:proofErr w:type="spellStart"/>
      <w:r w:rsidRPr="002F1924">
        <w:rPr>
          <w:rFonts w:ascii="Times New Roman" w:eastAsia="HelveticaNeueLTPro-Roman" w:hAnsi="Times New Roman" w:cs="Times New Roman"/>
        </w:rPr>
        <w:t>Gleasonovho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skóre 6 spolu s PSA hodnotou v rozpätí od &gt; 10 </w:t>
      </w:r>
      <w:proofErr w:type="spellStart"/>
      <w:r w:rsidRPr="002F1924">
        <w:rPr>
          <w:rFonts w:ascii="Times New Roman" w:eastAsia="HelveticaNeueLTPro-Roman" w:hAnsi="Times New Roman" w:cs="Times New Roman"/>
        </w:rPr>
        <w:t>ng</w:t>
      </w:r>
      <w:proofErr w:type="spellEnd"/>
      <w:r w:rsidRPr="002F1924">
        <w:rPr>
          <w:rFonts w:ascii="Times New Roman" w:eastAsia="HelveticaNeueLTPro-Roman" w:hAnsi="Times New Roman" w:cs="Times New Roman"/>
        </w:rPr>
        <w:t>/ml do 20 </w:t>
      </w:r>
      <w:proofErr w:type="spellStart"/>
      <w:r w:rsidRPr="002F1924">
        <w:rPr>
          <w:rFonts w:ascii="Times New Roman" w:eastAsia="HelveticaNeueLTPro-Roman" w:hAnsi="Times New Roman" w:cs="Times New Roman"/>
        </w:rPr>
        <w:t>ng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/ml alebo štádiom T2b bolo zahrnutých 524 pacientov do skupiny krátkodobo liečenej </w:t>
      </w:r>
      <w:proofErr w:type="spellStart"/>
      <w:r w:rsidRPr="002F1924">
        <w:rPr>
          <w:rFonts w:ascii="Times New Roman" w:eastAsia="HelveticaNeueLTPro-Roman" w:hAnsi="Times New Roman" w:cs="Times New Roman"/>
        </w:rPr>
        <w:t>androgénnou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depriváciou počas 4 mesiacov (2 mesiace pred a 2 mesiace v kombinácii s rádioterapiou) a 544 pacientov do skupiny so samotnou rádioterapiou.</w:t>
      </w:r>
    </w:p>
    <w:p w14:paraId="761FDD36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>V podskupine so stredne rizikovým profilom, v skupine dostávajúcej kombináciu rádioterapie a </w:t>
      </w:r>
      <w:proofErr w:type="spellStart"/>
      <w:r w:rsidRPr="002F1924">
        <w:rPr>
          <w:rFonts w:ascii="Times New Roman" w:eastAsia="HelveticaNeueLTPro-Roman" w:hAnsi="Times New Roman" w:cs="Times New Roman"/>
        </w:rPr>
        <w:t>androgénnej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deprivácie </w:t>
      </w:r>
      <w:proofErr w:type="spellStart"/>
      <w:r w:rsidRPr="002F1924">
        <w:rPr>
          <w:rFonts w:ascii="Times New Roman" w:eastAsia="HelveticaNeueLTPro-Roman" w:hAnsi="Times New Roman" w:cs="Times New Roman"/>
        </w:rPr>
        <w:t>goserelínom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alebo </w:t>
      </w:r>
      <w:proofErr w:type="spellStart"/>
      <w:r w:rsidRPr="002F1924">
        <w:rPr>
          <w:rFonts w:ascii="Times New Roman" w:eastAsia="HelveticaNeueLTPro-Roman" w:hAnsi="Times New Roman" w:cs="Times New Roman"/>
        </w:rPr>
        <w:t>leuprorelíniumacetátom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bol pozorovaný prospech oproti skupine liečenej samotnou rádioterapiou.</w:t>
      </w:r>
    </w:p>
    <w:p w14:paraId="3F764851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</w:p>
    <w:p w14:paraId="37C13440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>Celkové prežívanie po 10 rokoch bolo 61% oproti 54% (HR 1,23, 95% IS [1,02-1,49; p = 0,03]). Mortalita špecifická pre ochorenie bola zaznamenaná u 3% oproti 10% (HR 2,49, 95% IS [1,50-4,11; p = 0,004]) a biochemická progresia 28% oproti 45% (HR 1,79, 95% IS [1,45-2,21; p &lt; 0,001]).</w:t>
      </w:r>
    </w:p>
    <w:p w14:paraId="09FE5983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 xml:space="preserve"> </w:t>
      </w:r>
    </w:p>
    <w:p w14:paraId="7DBCBD65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 xml:space="preserve">U pacientov s lokalizovaným karcinómom prostaty s vysoko rizikovým profilom je použitie založené na publikovaných klinických skúšaniach kombinácie rádioterapie a liečbou </w:t>
      </w:r>
      <w:proofErr w:type="spellStart"/>
      <w:r w:rsidRPr="002F1924">
        <w:rPr>
          <w:rFonts w:ascii="Times New Roman" w:eastAsia="HelveticaNeueLTPro-Roman" w:hAnsi="Times New Roman" w:cs="Times New Roman"/>
        </w:rPr>
        <w:t>agonistami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LHRH, vrátane </w:t>
      </w:r>
      <w:proofErr w:type="spellStart"/>
      <w:r w:rsidRPr="002F1924">
        <w:rPr>
          <w:rFonts w:ascii="Times New Roman" w:eastAsia="HelveticaNeueLTPro-Roman" w:hAnsi="Times New Roman" w:cs="Times New Roman"/>
        </w:rPr>
        <w:t>leuprorelíniumacetátu</w:t>
      </w:r>
      <w:proofErr w:type="spellEnd"/>
      <w:r w:rsidRPr="002F1924">
        <w:rPr>
          <w:rFonts w:ascii="Times New Roman" w:eastAsia="HelveticaNeueLTPro-Roman" w:hAnsi="Times New Roman" w:cs="Times New Roman"/>
        </w:rPr>
        <w:t>.</w:t>
      </w:r>
    </w:p>
    <w:p w14:paraId="4CBABE7B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>Klinické údaje uverejnené z piatich klinických skúšaní jasne preukázali výhody kombinácie rádioterapie s </w:t>
      </w:r>
      <w:proofErr w:type="spellStart"/>
      <w:r w:rsidRPr="002F1924">
        <w:rPr>
          <w:rFonts w:ascii="Times New Roman" w:eastAsia="HelveticaNeueLTPro-Roman" w:hAnsi="Times New Roman" w:cs="Times New Roman"/>
        </w:rPr>
        <w:t>agonistami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LHRH ((EORTC 22863, RTOG 85-31, RTOG 92-02, RTOG 8610 </w:t>
      </w:r>
      <w:proofErr w:type="spellStart"/>
      <w:r w:rsidRPr="002F1924">
        <w:rPr>
          <w:rFonts w:ascii="Times New Roman" w:eastAsia="HelveticaNeueLTPro-Roman" w:hAnsi="Times New Roman" w:cs="Times New Roman"/>
        </w:rPr>
        <w:t>und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</w:t>
      </w:r>
      <w:proofErr w:type="spellStart"/>
      <w:r w:rsidRPr="002F1924">
        <w:rPr>
          <w:rFonts w:ascii="Times New Roman" w:eastAsia="HelveticaNeueLTPro-Roman" w:hAnsi="Times New Roman" w:cs="Times New Roman"/>
        </w:rPr>
        <w:t>D’Amico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</w:t>
      </w:r>
      <w:proofErr w:type="spellStart"/>
      <w:r w:rsidRPr="002F1924">
        <w:rPr>
          <w:rFonts w:ascii="Times New Roman" w:eastAsia="HelveticaNeueLTPro-Roman" w:hAnsi="Times New Roman" w:cs="Times New Roman"/>
        </w:rPr>
        <w:t>et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</w:t>
      </w:r>
      <w:proofErr w:type="spellStart"/>
      <w:r w:rsidRPr="002F1924">
        <w:rPr>
          <w:rFonts w:ascii="Times New Roman" w:eastAsia="HelveticaNeueLTPro-Roman" w:hAnsi="Times New Roman" w:cs="Times New Roman"/>
        </w:rPr>
        <w:t>al.,JAMA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2004). Nebola možná presná diferenciácia študovanej populácie medzi indikáciami lokálne pokročilého karcinómu prostaty a lokalizovaného karcinómu prostaty s vysoko rizikovým profilom.</w:t>
      </w:r>
    </w:p>
    <w:p w14:paraId="332A5904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 xml:space="preserve">Klinické údaje preukázali, že by sa mala preferovať rádioterapia nasledovaná 3 ročnou </w:t>
      </w:r>
      <w:proofErr w:type="spellStart"/>
      <w:r w:rsidRPr="002F1924">
        <w:rPr>
          <w:rFonts w:ascii="Times New Roman" w:eastAsia="HelveticaNeueLTPro-Roman" w:hAnsi="Times New Roman" w:cs="Times New Roman"/>
        </w:rPr>
        <w:t>androgénnou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depriváciou oproti rádioterapii s následnou 6 mesačnou </w:t>
      </w:r>
      <w:proofErr w:type="spellStart"/>
      <w:r w:rsidRPr="002F1924">
        <w:rPr>
          <w:rFonts w:ascii="Times New Roman" w:eastAsia="HelveticaNeueLTPro-Roman" w:hAnsi="Times New Roman" w:cs="Times New Roman"/>
        </w:rPr>
        <w:t>androgénnou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depriváciou.</w:t>
      </w:r>
    </w:p>
    <w:p w14:paraId="7AA5AA3E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</w:p>
    <w:p w14:paraId="40810AC7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 xml:space="preserve">V klinických smerniciach sa odporúča dĺžka </w:t>
      </w:r>
      <w:proofErr w:type="spellStart"/>
      <w:r w:rsidRPr="002F1924">
        <w:rPr>
          <w:rFonts w:ascii="Times New Roman" w:eastAsia="HelveticaNeueLTPro-Roman" w:hAnsi="Times New Roman" w:cs="Times New Roman"/>
        </w:rPr>
        <w:t>androgénnej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deprivácie 2-3 roky u pacientov so štádiom T3 až T4.</w:t>
      </w:r>
    </w:p>
    <w:p w14:paraId="318750AE" w14:textId="77777777" w:rsidR="00B52502" w:rsidRPr="002F1924" w:rsidRDefault="00B52502" w:rsidP="008A6EE7">
      <w:pPr>
        <w:autoSpaceDE w:val="0"/>
        <w:autoSpaceDN w:val="0"/>
        <w:adjustRightInd w:val="0"/>
        <w:spacing w:after="0" w:line="240" w:lineRule="auto"/>
        <w:rPr>
          <w:rFonts w:ascii="Times New Roman" w:eastAsia="HelveticaNeueLTPro-Roman" w:hAnsi="Times New Roman" w:cs="Times New Roman"/>
        </w:rPr>
      </w:pPr>
    </w:p>
    <w:p w14:paraId="2F2EFBA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eastAsia="HelveticaNeueLTPro-Roman" w:hAnsi="Times New Roman" w:cs="Times New Roman"/>
        </w:rPr>
      </w:pPr>
      <w:r w:rsidRPr="002F1924">
        <w:rPr>
          <w:rFonts w:ascii="Times New Roman" w:eastAsia="HelveticaNeueLTPro-Roman" w:hAnsi="Times New Roman" w:cs="Times New Roman"/>
        </w:rPr>
        <w:t xml:space="preserve">U pacientov s metastázujúcim karcinómom prostaty rezistentným voči kastrácii sa ukázalo prínosom použitie ďalších látok, ako sú inhibítory syntézy </w:t>
      </w:r>
      <w:proofErr w:type="spellStart"/>
      <w:r w:rsidRPr="002F1924">
        <w:rPr>
          <w:rFonts w:ascii="Times New Roman" w:eastAsia="HelveticaNeueLTPro-Roman" w:hAnsi="Times New Roman" w:cs="Times New Roman"/>
        </w:rPr>
        <w:t>androgénu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(napr. </w:t>
      </w:r>
      <w:proofErr w:type="spellStart"/>
      <w:r w:rsidRPr="002F1924">
        <w:rPr>
          <w:rFonts w:ascii="Times New Roman" w:eastAsia="HelveticaNeueLTPro-Roman" w:hAnsi="Times New Roman" w:cs="Times New Roman"/>
        </w:rPr>
        <w:t>abiraterónacetát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), </w:t>
      </w:r>
      <w:proofErr w:type="spellStart"/>
      <w:r w:rsidRPr="002F1924">
        <w:rPr>
          <w:rFonts w:ascii="Times New Roman" w:eastAsia="HelveticaNeueLTPro-Roman" w:hAnsi="Times New Roman" w:cs="Times New Roman"/>
        </w:rPr>
        <w:t>antiandrogénov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(napr. </w:t>
      </w:r>
      <w:proofErr w:type="spellStart"/>
      <w:r w:rsidRPr="002F1924">
        <w:rPr>
          <w:rFonts w:ascii="Times New Roman" w:eastAsia="HelveticaNeueLTPro-Roman" w:hAnsi="Times New Roman" w:cs="Times New Roman"/>
        </w:rPr>
        <w:t>enzalutamid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), </w:t>
      </w:r>
      <w:proofErr w:type="spellStart"/>
      <w:r w:rsidRPr="002F1924">
        <w:rPr>
          <w:rFonts w:ascii="Times New Roman" w:eastAsia="HelveticaNeueLTPro-Roman" w:hAnsi="Times New Roman" w:cs="Times New Roman"/>
        </w:rPr>
        <w:t>taxánov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(</w:t>
      </w:r>
      <w:proofErr w:type="spellStart"/>
      <w:r w:rsidRPr="002F1924">
        <w:rPr>
          <w:rFonts w:ascii="Times New Roman" w:eastAsia="HelveticaNeueLTPro-Roman" w:hAnsi="Times New Roman" w:cs="Times New Roman"/>
        </w:rPr>
        <w:t>npr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. </w:t>
      </w:r>
      <w:proofErr w:type="spellStart"/>
      <w:r w:rsidRPr="002F1924">
        <w:rPr>
          <w:rFonts w:ascii="Times New Roman" w:eastAsia="HelveticaNeueLTPro-Roman" w:hAnsi="Times New Roman" w:cs="Times New Roman"/>
        </w:rPr>
        <w:t>docetaxel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alebo </w:t>
      </w:r>
      <w:proofErr w:type="spellStart"/>
      <w:r w:rsidRPr="002F1924">
        <w:rPr>
          <w:rFonts w:ascii="Times New Roman" w:eastAsia="HelveticaNeueLTPro-Roman" w:hAnsi="Times New Roman" w:cs="Times New Roman"/>
        </w:rPr>
        <w:t>paklitaxel</w:t>
      </w:r>
      <w:proofErr w:type="spellEnd"/>
      <w:r w:rsidRPr="002F1924">
        <w:rPr>
          <w:rFonts w:ascii="Times New Roman" w:eastAsia="HelveticaNeueLTPro-Roman" w:hAnsi="Times New Roman" w:cs="Times New Roman"/>
        </w:rPr>
        <w:t>) alebo rádioterapeutických látok (napr. rádium-223) spolu s </w:t>
      </w:r>
      <w:proofErr w:type="spellStart"/>
      <w:r w:rsidRPr="002F1924">
        <w:rPr>
          <w:rFonts w:ascii="Times New Roman" w:eastAsia="HelveticaNeueLTPro-Roman" w:hAnsi="Times New Roman" w:cs="Times New Roman"/>
        </w:rPr>
        <w:t>agonistami</w:t>
      </w:r>
      <w:proofErr w:type="spellEnd"/>
      <w:r w:rsidRPr="002F1924">
        <w:rPr>
          <w:rFonts w:ascii="Times New Roman" w:eastAsia="HelveticaNeueLTPro-Roman" w:hAnsi="Times New Roman" w:cs="Times New Roman"/>
        </w:rPr>
        <w:t xml:space="preserve"> LHRH, ako je </w:t>
      </w:r>
      <w:proofErr w:type="spellStart"/>
      <w:r w:rsidRPr="002F1924">
        <w:rPr>
          <w:rFonts w:ascii="Times New Roman" w:eastAsia="HelveticaNeueLTPro-Roman" w:hAnsi="Times New Roman" w:cs="Times New Roman"/>
        </w:rPr>
        <w:t>leuprorelíniumacetát</w:t>
      </w:r>
      <w:proofErr w:type="spellEnd"/>
      <w:r w:rsidRPr="002F1924">
        <w:rPr>
          <w:rFonts w:ascii="Times New Roman" w:eastAsia="HelveticaNeueLTPro-Roman" w:hAnsi="Times New Roman" w:cs="Times New Roman"/>
        </w:rPr>
        <w:t>.</w:t>
      </w:r>
    </w:p>
    <w:p w14:paraId="38780FDA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04F928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5.2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</w:r>
      <w:proofErr w:type="spellStart"/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Farmakokinetické</w:t>
      </w:r>
      <w:proofErr w:type="spellEnd"/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 xml:space="preserve"> vlastnosti</w:t>
      </w:r>
    </w:p>
    <w:p w14:paraId="66D7610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1255F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Po zavedení </w:t>
      </w:r>
      <w:proofErr w:type="spellStart"/>
      <w:r w:rsidRPr="002F1924">
        <w:rPr>
          <w:rFonts w:ascii="Times New Roman" w:hAnsi="Times New Roman" w:cs="Times New Roman"/>
        </w:rPr>
        <w:t>Leuprorelinu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sa liečivo </w:t>
      </w:r>
      <w:proofErr w:type="spellStart"/>
      <w:r w:rsidRPr="002F1924">
        <w:rPr>
          <w:rFonts w:ascii="Times New Roman" w:hAnsi="Times New Roman" w:cs="Times New Roman"/>
        </w:rPr>
        <w:t>leuprorelíniumacetát</w:t>
      </w:r>
      <w:proofErr w:type="spellEnd"/>
      <w:r w:rsidRPr="002F1924">
        <w:rPr>
          <w:rFonts w:ascii="Times New Roman" w:hAnsi="Times New Roman" w:cs="Times New Roman"/>
        </w:rPr>
        <w:t xml:space="preserve"> priebežne uvoľňuje z polyméru kyseliny mliečnej počas obdobia 182 dní (26 týždňov). Polymér sa absorbuje rovnakým spôsobom ako chirurgický </w:t>
      </w:r>
      <w:proofErr w:type="spellStart"/>
      <w:r w:rsidRPr="002F1924">
        <w:rPr>
          <w:rFonts w:ascii="Times New Roman" w:hAnsi="Times New Roman" w:cs="Times New Roman"/>
        </w:rPr>
        <w:t>stehový</w:t>
      </w:r>
      <w:proofErr w:type="spellEnd"/>
      <w:r w:rsidRPr="002F1924">
        <w:rPr>
          <w:rFonts w:ascii="Times New Roman" w:hAnsi="Times New Roman" w:cs="Times New Roman"/>
        </w:rPr>
        <w:t xml:space="preserve"> materiál.</w:t>
      </w:r>
    </w:p>
    <w:p w14:paraId="79F3AEA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17579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V priebehu 2 hodín po jednorazovej </w:t>
      </w:r>
      <w:proofErr w:type="spellStart"/>
      <w:r w:rsidRPr="002F1924">
        <w:rPr>
          <w:rFonts w:ascii="Times New Roman" w:hAnsi="Times New Roman" w:cs="Times New Roman"/>
        </w:rPr>
        <w:t>subkutánnej</w:t>
      </w:r>
      <w:proofErr w:type="spellEnd"/>
      <w:r w:rsidRPr="002F1924">
        <w:rPr>
          <w:rFonts w:ascii="Times New Roman" w:hAnsi="Times New Roman" w:cs="Times New Roman"/>
        </w:rPr>
        <w:t xml:space="preserve"> aplikácii </w:t>
      </w:r>
      <w:proofErr w:type="spellStart"/>
      <w:r w:rsidRPr="002F1924">
        <w:rPr>
          <w:rFonts w:ascii="Times New Roman" w:hAnsi="Times New Roman" w:cs="Times New Roman"/>
        </w:rPr>
        <w:t>Leuprorelinu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sa namerali maximálne sérové hladiny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5216 </w:t>
      </w:r>
      <w:proofErr w:type="spellStart"/>
      <w:r w:rsidRPr="002F1924">
        <w:rPr>
          <w:rFonts w:ascii="Times New Roman" w:hAnsi="Times New Roman" w:cs="Times New Roman"/>
        </w:rPr>
        <w:t>pg</w:t>
      </w:r>
      <w:proofErr w:type="spellEnd"/>
      <w:r w:rsidRPr="002F1924">
        <w:rPr>
          <w:rFonts w:ascii="Times New Roman" w:hAnsi="Times New Roman" w:cs="Times New Roman"/>
        </w:rPr>
        <w:t>/ml (5,2 </w:t>
      </w:r>
      <w:proofErr w:type="spellStart"/>
      <w:r w:rsidRPr="002F1924">
        <w:rPr>
          <w:rFonts w:ascii="Times New Roman" w:hAnsi="Times New Roman" w:cs="Times New Roman"/>
        </w:rPr>
        <w:t>ng</w:t>
      </w:r>
      <w:proofErr w:type="spellEnd"/>
      <w:r w:rsidRPr="002F1924">
        <w:rPr>
          <w:rFonts w:ascii="Times New Roman" w:hAnsi="Times New Roman" w:cs="Times New Roman"/>
        </w:rPr>
        <w:t>/ml).</w:t>
      </w:r>
    </w:p>
    <w:p w14:paraId="45846D36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45E8AAF" w14:textId="77777777" w:rsidR="00B52502" w:rsidRPr="002F1924" w:rsidRDefault="00B52502" w:rsidP="008A6E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Plocha pod krivkou závislosti koncentrácie od času (AUC) počas 3-mesačnej liečby s </w:t>
      </w:r>
      <w:proofErr w:type="spellStart"/>
      <w:r w:rsidRPr="002F1924">
        <w:rPr>
          <w:rFonts w:ascii="Times New Roman" w:hAnsi="Times New Roman" w:cs="Times New Roman"/>
        </w:rPr>
        <w:t>Leuprorelinom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 bola 32,4 </w:t>
      </w:r>
      <w:proofErr w:type="spellStart"/>
      <w:r w:rsidRPr="002F1924">
        <w:rPr>
          <w:rFonts w:ascii="Times New Roman" w:hAnsi="Times New Roman" w:cs="Times New Roman"/>
        </w:rPr>
        <w:t>ng</w:t>
      </w:r>
      <w:proofErr w:type="spellEnd"/>
      <w:r w:rsidRPr="002F1924">
        <w:rPr>
          <w:rFonts w:ascii="Times New Roman" w:hAnsi="Times New Roman" w:cs="Times New Roman"/>
        </w:rPr>
        <w:t>/</w:t>
      </w:r>
      <w:proofErr w:type="spellStart"/>
      <w:r w:rsidRPr="002F1924">
        <w:rPr>
          <w:rFonts w:ascii="Times New Roman" w:hAnsi="Times New Roman" w:cs="Times New Roman"/>
        </w:rPr>
        <w:t>ml.d</w:t>
      </w:r>
      <w:proofErr w:type="spellEnd"/>
      <w:r w:rsidRPr="002F1924">
        <w:rPr>
          <w:rFonts w:ascii="Times New Roman" w:hAnsi="Times New Roman" w:cs="Times New Roman"/>
        </w:rPr>
        <w:t xml:space="preserve">. Hladiny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v sére sú detekovateľné ešte 182 dní (26 týždňov) po jeho podaní.</w:t>
      </w:r>
    </w:p>
    <w:p w14:paraId="39FB1BCA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5E168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Distribučný objem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u mužov je </w:t>
      </w:r>
      <w:smartTag w:uri="urn:schemas-microsoft-com:office:smarttags" w:element="metricconverter">
        <w:smartTagPr>
          <w:attr w:name="ProductID" w:val="36 l"/>
        </w:smartTagPr>
        <w:r w:rsidRPr="002F1924">
          <w:rPr>
            <w:rFonts w:ascii="Times New Roman" w:hAnsi="Times New Roman" w:cs="Times New Roman"/>
          </w:rPr>
          <w:t>36 l</w:t>
        </w:r>
      </w:smartTag>
      <w:r w:rsidRPr="002F1924">
        <w:rPr>
          <w:rFonts w:ascii="Times New Roman" w:hAnsi="Times New Roman" w:cs="Times New Roman"/>
        </w:rPr>
        <w:t xml:space="preserve">; celkový </w:t>
      </w:r>
      <w:proofErr w:type="spellStart"/>
      <w:r w:rsidRPr="002F1924">
        <w:rPr>
          <w:rFonts w:ascii="Times New Roman" w:hAnsi="Times New Roman" w:cs="Times New Roman"/>
        </w:rPr>
        <w:t>klírens</w:t>
      </w:r>
      <w:proofErr w:type="spellEnd"/>
      <w:r w:rsidRPr="002F1924">
        <w:rPr>
          <w:rFonts w:ascii="Times New Roman" w:hAnsi="Times New Roman" w:cs="Times New Roman"/>
        </w:rPr>
        <w:t xml:space="preserve"> je 139,6 ml/min.</w:t>
      </w:r>
    </w:p>
    <w:p w14:paraId="6C85487E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AF166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U pacientov s poruchami funkcie obličiek alebo pečene boli namerané hladiny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v rámci rozsahu, ktorý sa pozoroval u pacientov s normálnou funkciou obličiek alebo pečene. U niektorých pacientov s chronickým </w:t>
      </w:r>
      <w:proofErr w:type="spellStart"/>
      <w:r w:rsidRPr="002F1924">
        <w:rPr>
          <w:rFonts w:ascii="Times New Roman" w:hAnsi="Times New Roman" w:cs="Times New Roman"/>
        </w:rPr>
        <w:t>renálnym</w:t>
      </w:r>
      <w:proofErr w:type="spellEnd"/>
      <w:r w:rsidRPr="002F1924">
        <w:rPr>
          <w:rFonts w:ascii="Times New Roman" w:hAnsi="Times New Roman" w:cs="Times New Roman"/>
        </w:rPr>
        <w:t xml:space="preserve"> zlyhaním boli namerané vyššie hladiny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>. Toto zistenie sa však nezdá byť klinicky významné.</w:t>
      </w:r>
    </w:p>
    <w:p w14:paraId="004BB7F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DE27E5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5.3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Predklinické údaje o bezpečnosti</w:t>
      </w:r>
    </w:p>
    <w:p w14:paraId="2CAD64D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037770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Predklinické štúdie s </w:t>
      </w:r>
      <w:proofErr w:type="spellStart"/>
      <w:r w:rsidRPr="002F1924">
        <w:rPr>
          <w:rFonts w:ascii="Times New Roman" w:hAnsi="Times New Roman" w:cs="Times New Roman"/>
        </w:rPr>
        <w:t>leuprorelíniumacetátom</w:t>
      </w:r>
      <w:proofErr w:type="spellEnd"/>
      <w:r w:rsidRPr="002F1924">
        <w:rPr>
          <w:rFonts w:ascii="Times New Roman" w:hAnsi="Times New Roman" w:cs="Times New Roman"/>
        </w:rPr>
        <w:t xml:space="preserve"> preukázali účinky na reprodukčné orgány, čo sa predpokladalo na základe známych farmakologických vlastností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. </w:t>
      </w:r>
    </w:p>
    <w:p w14:paraId="0709AE8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A06CE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F1924">
        <w:rPr>
          <w:rFonts w:ascii="Times New Roman" w:hAnsi="Times New Roman" w:cs="Times New Roman"/>
          <w:i/>
          <w:iCs/>
        </w:rPr>
        <w:t>Karcinogenita</w:t>
      </w:r>
    </w:p>
    <w:p w14:paraId="7963CD6C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U potkanov sa pozorovalo po </w:t>
      </w:r>
      <w:proofErr w:type="spellStart"/>
      <w:r w:rsidRPr="002F1924">
        <w:rPr>
          <w:rFonts w:ascii="Times New Roman" w:hAnsi="Times New Roman" w:cs="Times New Roman"/>
        </w:rPr>
        <w:t>subkutánnom</w:t>
      </w:r>
      <w:proofErr w:type="spellEnd"/>
      <w:r w:rsidRPr="002F1924">
        <w:rPr>
          <w:rFonts w:ascii="Times New Roman" w:hAnsi="Times New Roman" w:cs="Times New Roman"/>
        </w:rPr>
        <w:t xml:space="preserve"> injekčnom podaní dávok 0,6 </w:t>
      </w:r>
      <w:r w:rsidRPr="002F1924">
        <w:rPr>
          <w:rFonts w:ascii="Times New Roman" w:hAnsi="Times New Roman" w:cs="Times New Roman"/>
        </w:rPr>
        <w:noBreakHyphen/>
        <w:t xml:space="preserve"> 4 mg/kg/deň počas 12 a 24 mesiacov dávkovo-závislé zväčšenie </w:t>
      </w:r>
      <w:proofErr w:type="spellStart"/>
      <w:r w:rsidRPr="002F1924">
        <w:rPr>
          <w:rFonts w:ascii="Times New Roman" w:hAnsi="Times New Roman" w:cs="Times New Roman"/>
        </w:rPr>
        <w:t>adenómu</w:t>
      </w:r>
      <w:proofErr w:type="spellEnd"/>
      <w:r w:rsidRPr="002F1924">
        <w:rPr>
          <w:rFonts w:ascii="Times New Roman" w:hAnsi="Times New Roman" w:cs="Times New Roman"/>
        </w:rPr>
        <w:t xml:space="preserve"> hypofýzy. U myší sa tento účinok nepozoroval v priebehu 24 mesačného podávania. </w:t>
      </w:r>
    </w:p>
    <w:p w14:paraId="04CC981B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3FEA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2F1924">
        <w:rPr>
          <w:rFonts w:ascii="Times New Roman" w:hAnsi="Times New Roman" w:cs="Times New Roman"/>
          <w:i/>
          <w:iCs/>
        </w:rPr>
        <w:t>Mutagenita</w:t>
      </w:r>
      <w:proofErr w:type="spellEnd"/>
    </w:p>
    <w:p w14:paraId="267C3085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Pr="002F1924">
        <w:rPr>
          <w:rFonts w:ascii="Times New Roman" w:hAnsi="Times New Roman" w:cs="Times New Roman"/>
          <w:i/>
          <w:iCs/>
        </w:rPr>
        <w:t>vitro</w:t>
      </w:r>
      <w:proofErr w:type="spellEnd"/>
      <w:r w:rsidRPr="002F1924">
        <w:rPr>
          <w:rFonts w:ascii="Times New Roman" w:hAnsi="Times New Roman" w:cs="Times New Roman"/>
        </w:rPr>
        <w:t xml:space="preserve"> a </w:t>
      </w:r>
      <w:r w:rsidRPr="002F1924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Pr="002F1924">
        <w:rPr>
          <w:rFonts w:ascii="Times New Roman" w:hAnsi="Times New Roman" w:cs="Times New Roman"/>
          <w:i/>
          <w:iCs/>
        </w:rPr>
        <w:t>vivo</w:t>
      </w:r>
      <w:proofErr w:type="spellEnd"/>
      <w:r w:rsidRPr="002F1924">
        <w:rPr>
          <w:rFonts w:ascii="Times New Roman" w:hAnsi="Times New Roman" w:cs="Times New Roman"/>
        </w:rPr>
        <w:t xml:space="preserve"> štúdie s </w:t>
      </w:r>
      <w:proofErr w:type="spellStart"/>
      <w:r w:rsidRPr="002F1924">
        <w:rPr>
          <w:rFonts w:ascii="Times New Roman" w:hAnsi="Times New Roman" w:cs="Times New Roman"/>
        </w:rPr>
        <w:t>leuprorelíniumacetátom</w:t>
      </w:r>
      <w:proofErr w:type="spellEnd"/>
      <w:r w:rsidRPr="002F1924">
        <w:rPr>
          <w:rFonts w:ascii="Times New Roman" w:hAnsi="Times New Roman" w:cs="Times New Roman"/>
        </w:rPr>
        <w:t xml:space="preserve"> zamerané na detekciu genetických a chromozómových mutácií neodhalili žiadny mutagénny potenciál. </w:t>
      </w:r>
    </w:p>
    <w:p w14:paraId="055E237B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3CBE7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  <w:i/>
          <w:iCs/>
        </w:rPr>
        <w:t>Reprodukčná toxicita</w:t>
      </w:r>
    </w:p>
    <w:p w14:paraId="66320274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V reprodukčných štúdiách toxicity na králikoch sa pozorovalo zvýšenie mortality pre plod a zníženie telesnej hmotnosti plodu. Účinky na </w:t>
      </w:r>
      <w:proofErr w:type="spellStart"/>
      <w:r w:rsidRPr="002F1924">
        <w:rPr>
          <w:rFonts w:ascii="Times New Roman" w:hAnsi="Times New Roman" w:cs="Times New Roman"/>
        </w:rPr>
        <w:t>fetálnu</w:t>
      </w:r>
      <w:proofErr w:type="spellEnd"/>
      <w:r w:rsidRPr="002F1924">
        <w:rPr>
          <w:rFonts w:ascii="Times New Roman" w:hAnsi="Times New Roman" w:cs="Times New Roman"/>
        </w:rPr>
        <w:t xml:space="preserve"> mortalitu sú predpokladaný následok </w:t>
      </w:r>
      <w:proofErr w:type="spellStart"/>
      <w:r w:rsidRPr="002F1924">
        <w:rPr>
          <w:rFonts w:ascii="Times New Roman" w:hAnsi="Times New Roman" w:cs="Times New Roman"/>
        </w:rPr>
        <w:t>farmakodynamického</w:t>
      </w:r>
      <w:proofErr w:type="spellEnd"/>
      <w:r w:rsidRPr="002F1924">
        <w:rPr>
          <w:rFonts w:ascii="Times New Roman" w:hAnsi="Times New Roman" w:cs="Times New Roman"/>
        </w:rPr>
        <w:t xml:space="preserve"> účinku tohto liečiva.</w:t>
      </w:r>
    </w:p>
    <w:p w14:paraId="27951C6B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</w:p>
    <w:p w14:paraId="1E700D83" w14:textId="77777777" w:rsidR="00B52502" w:rsidRPr="002F1924" w:rsidRDefault="00B52502" w:rsidP="008A6EE7">
      <w:pPr>
        <w:spacing w:after="0" w:line="240" w:lineRule="auto"/>
        <w:ind w:right="-500"/>
        <w:rPr>
          <w:rFonts w:ascii="Times New Roman" w:hAnsi="Times New Roman" w:cs="Times New Roman"/>
          <w:i/>
          <w:iCs/>
        </w:rPr>
      </w:pPr>
      <w:r w:rsidRPr="002F1924">
        <w:rPr>
          <w:rFonts w:ascii="Times New Roman" w:hAnsi="Times New Roman" w:cs="Times New Roman"/>
          <w:i/>
          <w:iCs/>
        </w:rPr>
        <w:t>Lokálna tolerancia</w:t>
      </w:r>
    </w:p>
    <w:p w14:paraId="4BC32FDC" w14:textId="77777777" w:rsidR="00B52502" w:rsidRPr="002F1924" w:rsidRDefault="00B52502" w:rsidP="008A6EE7">
      <w:pPr>
        <w:spacing w:after="0" w:line="240" w:lineRule="auto"/>
        <w:ind w:right="72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Predklinické štúdie na psoch a králikoch preukázali dobrú lokálnu znášanlivosť </w:t>
      </w:r>
      <w:proofErr w:type="spellStart"/>
      <w:r w:rsidRPr="002F1924">
        <w:rPr>
          <w:rFonts w:ascii="Times New Roman" w:hAnsi="Times New Roman" w:cs="Times New Roman"/>
        </w:rPr>
        <w:t>Leuprorelinu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5 mg implantátu.</w:t>
      </w:r>
    </w:p>
    <w:p w14:paraId="1A0FD986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8B1E8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E1561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6.</w:t>
      </w: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  <w:t xml:space="preserve">FARMACEUTICKÉ </w:t>
      </w:r>
      <w:r w:rsidRPr="002F1924">
        <w:rPr>
          <w:rFonts w:ascii="Times New Roman" w:hAnsi="Times New Roman" w:cs="Times New Roman"/>
          <w:caps/>
          <w:noProof/>
          <w:color w:val="auto"/>
          <w:sz w:val="22"/>
          <w:szCs w:val="22"/>
          <w:lang w:val="sk-SK"/>
        </w:rPr>
        <w:t>INFORMÁCIE</w:t>
      </w:r>
    </w:p>
    <w:p w14:paraId="05370D1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FD356B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6.1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Zoznam pomocných látok</w:t>
      </w:r>
    </w:p>
    <w:p w14:paraId="2BF72775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1885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kyselina </w:t>
      </w:r>
      <w:proofErr w:type="spellStart"/>
      <w:r w:rsidRPr="002F1924">
        <w:rPr>
          <w:rFonts w:ascii="Times New Roman" w:hAnsi="Times New Roman" w:cs="Times New Roman"/>
        </w:rPr>
        <w:t>polymliečna</w:t>
      </w:r>
      <w:proofErr w:type="spellEnd"/>
    </w:p>
    <w:p w14:paraId="0CC7A34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0C84B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6.2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Inkompatibility</w:t>
      </w:r>
    </w:p>
    <w:p w14:paraId="21A0C0BC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EBDD2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Neaplikovateľné.</w:t>
      </w:r>
    </w:p>
    <w:p w14:paraId="6394ECB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4B0B7D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6.3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Čas použiteľnosti</w:t>
      </w:r>
    </w:p>
    <w:p w14:paraId="5104ABC7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3EC45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4 roky.</w:t>
      </w:r>
    </w:p>
    <w:p w14:paraId="71FE14CA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708085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6.4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Špeciálne upozornenia na uchovávanie</w:t>
      </w:r>
    </w:p>
    <w:p w14:paraId="65FF40F6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6C049F" w14:textId="77777777" w:rsidR="00B52502" w:rsidRPr="002F1924" w:rsidRDefault="00B52502" w:rsidP="008A6E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 °C"/>
        </w:smartTagPr>
        <w:r w:rsidRPr="002F1924">
          <w:rPr>
            <w:rFonts w:ascii="Times New Roman" w:hAnsi="Times New Roman" w:cs="Times New Roman"/>
          </w:rPr>
          <w:t>30 °C</w:t>
        </w:r>
      </w:smartTag>
      <w:r w:rsidRPr="002F1924">
        <w:rPr>
          <w:rFonts w:ascii="Times New Roman" w:hAnsi="Times New Roman" w:cs="Times New Roman"/>
        </w:rPr>
        <w:t>.</w:t>
      </w:r>
    </w:p>
    <w:p w14:paraId="26FA06C7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E2D0EA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6.5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Druh obalu a obsah balenia</w:t>
      </w:r>
    </w:p>
    <w:p w14:paraId="78758BE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60B04" w14:textId="77777777" w:rsidR="00B52502" w:rsidRPr="002F1924" w:rsidRDefault="00B52502" w:rsidP="008A6EE7">
      <w:pPr>
        <w:spacing w:after="0" w:line="240" w:lineRule="auto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Plastová naplnená injekčná striekačka (</w:t>
      </w:r>
      <w:proofErr w:type="spellStart"/>
      <w:r w:rsidRPr="002F1924">
        <w:rPr>
          <w:rFonts w:ascii="Times New Roman" w:hAnsi="Times New Roman" w:cs="Times New Roman"/>
        </w:rPr>
        <w:t>polykarbonát</w:t>
      </w:r>
      <w:proofErr w:type="spellEnd"/>
      <w:r w:rsidRPr="002F1924">
        <w:rPr>
          <w:rFonts w:ascii="Times New Roman" w:hAnsi="Times New Roman" w:cs="Times New Roman"/>
        </w:rPr>
        <w:t>) s piestom (</w:t>
      </w:r>
      <w:proofErr w:type="spellStart"/>
      <w:r w:rsidRPr="002F1924">
        <w:rPr>
          <w:rFonts w:ascii="Times New Roman" w:hAnsi="Times New Roman" w:cs="Times New Roman"/>
        </w:rPr>
        <w:t>akrylonitril-butadién-styrénový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kopolymér</w:t>
      </w:r>
      <w:proofErr w:type="spellEnd"/>
      <w:r w:rsidRPr="002F1924">
        <w:rPr>
          <w:rFonts w:ascii="Times New Roman" w:hAnsi="Times New Roman" w:cs="Times New Roman"/>
        </w:rPr>
        <w:t xml:space="preserve">) a injekčnou ihlou uzavreté vo vrecku, ktoré je pokryté fóliou (polyetylén </w:t>
      </w:r>
      <w:proofErr w:type="spellStart"/>
      <w:r w:rsidRPr="002F1924">
        <w:rPr>
          <w:rFonts w:ascii="Times New Roman" w:hAnsi="Times New Roman" w:cs="Times New Roman"/>
        </w:rPr>
        <w:t>tereftalát</w:t>
      </w:r>
      <w:proofErr w:type="spellEnd"/>
      <w:r w:rsidRPr="002F1924">
        <w:rPr>
          <w:rFonts w:ascii="Times New Roman" w:hAnsi="Times New Roman" w:cs="Times New Roman"/>
        </w:rPr>
        <w:t xml:space="preserve">/hliník/PE kompozit). </w:t>
      </w:r>
    </w:p>
    <w:p w14:paraId="41618579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4A57CF" w14:textId="77777777" w:rsidR="00B52502" w:rsidRPr="002F1924" w:rsidRDefault="00B52502" w:rsidP="008A6EE7">
      <w:pPr>
        <w:tabs>
          <w:tab w:val="left" w:pos="1620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Veľkosti balenia:</w:t>
      </w:r>
      <w:r w:rsidRPr="002F1924">
        <w:rPr>
          <w:rFonts w:ascii="Times New Roman" w:hAnsi="Times New Roman" w:cs="Times New Roman"/>
        </w:rPr>
        <w:tab/>
        <w:t xml:space="preserve">1 x 1 implantát s 5 mg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(vo forme </w:t>
      </w:r>
      <w:proofErr w:type="spellStart"/>
      <w:r w:rsidRPr="002F1924">
        <w:rPr>
          <w:rFonts w:ascii="Times New Roman" w:hAnsi="Times New Roman" w:cs="Times New Roman"/>
        </w:rPr>
        <w:t>acetátu</w:t>
      </w:r>
      <w:proofErr w:type="spellEnd"/>
      <w:r w:rsidRPr="002F1924">
        <w:rPr>
          <w:rFonts w:ascii="Times New Roman" w:hAnsi="Times New Roman" w:cs="Times New Roman"/>
        </w:rPr>
        <w:t>)</w:t>
      </w:r>
    </w:p>
    <w:p w14:paraId="20178CC6" w14:textId="77777777" w:rsidR="00B52502" w:rsidRPr="002F1924" w:rsidRDefault="00B52502" w:rsidP="008A6EE7">
      <w:pPr>
        <w:spacing w:after="0" w:line="240" w:lineRule="auto"/>
        <w:ind w:left="1440" w:firstLine="180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2 x 1 implantát s 5 mg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(vo forme </w:t>
      </w:r>
      <w:proofErr w:type="spellStart"/>
      <w:r w:rsidRPr="002F1924">
        <w:rPr>
          <w:rFonts w:ascii="Times New Roman" w:hAnsi="Times New Roman" w:cs="Times New Roman"/>
        </w:rPr>
        <w:t>acetátu</w:t>
      </w:r>
      <w:proofErr w:type="spellEnd"/>
      <w:r w:rsidRPr="002F1924">
        <w:rPr>
          <w:rFonts w:ascii="Times New Roman" w:hAnsi="Times New Roman" w:cs="Times New Roman"/>
        </w:rPr>
        <w:t>)</w:t>
      </w:r>
    </w:p>
    <w:p w14:paraId="428042F9" w14:textId="77777777" w:rsidR="00B52502" w:rsidRPr="002F1924" w:rsidRDefault="00B52502" w:rsidP="008A6EE7">
      <w:pPr>
        <w:spacing w:after="0" w:line="240" w:lineRule="auto"/>
        <w:ind w:left="1418" w:firstLine="202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3 x 1 implantát s 5 mg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(vo forme </w:t>
      </w:r>
      <w:proofErr w:type="spellStart"/>
      <w:r w:rsidRPr="002F1924">
        <w:rPr>
          <w:rFonts w:ascii="Times New Roman" w:hAnsi="Times New Roman" w:cs="Times New Roman"/>
        </w:rPr>
        <w:t>acetátu</w:t>
      </w:r>
      <w:proofErr w:type="spellEnd"/>
      <w:r w:rsidRPr="002F1924">
        <w:rPr>
          <w:rFonts w:ascii="Times New Roman" w:hAnsi="Times New Roman" w:cs="Times New Roman"/>
        </w:rPr>
        <w:t>)</w:t>
      </w:r>
    </w:p>
    <w:p w14:paraId="4D962964" w14:textId="77777777" w:rsidR="00B52502" w:rsidRPr="002F1924" w:rsidRDefault="00B52502" w:rsidP="008A6EE7">
      <w:pPr>
        <w:spacing w:after="0" w:line="240" w:lineRule="auto"/>
        <w:ind w:left="1418" w:firstLine="202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 xml:space="preserve">5 x 1 implantát s 5 mg </w:t>
      </w:r>
      <w:proofErr w:type="spellStart"/>
      <w:r w:rsidRPr="002F1924">
        <w:rPr>
          <w:rFonts w:ascii="Times New Roman" w:hAnsi="Times New Roman" w:cs="Times New Roman"/>
        </w:rPr>
        <w:t>leuprorelínu</w:t>
      </w:r>
      <w:proofErr w:type="spellEnd"/>
      <w:r w:rsidRPr="002F1924">
        <w:rPr>
          <w:rFonts w:ascii="Times New Roman" w:hAnsi="Times New Roman" w:cs="Times New Roman"/>
        </w:rPr>
        <w:t xml:space="preserve"> (vo forme </w:t>
      </w:r>
      <w:proofErr w:type="spellStart"/>
      <w:r w:rsidRPr="002F1924">
        <w:rPr>
          <w:rFonts w:ascii="Times New Roman" w:hAnsi="Times New Roman" w:cs="Times New Roman"/>
        </w:rPr>
        <w:t>acetátu</w:t>
      </w:r>
      <w:proofErr w:type="spellEnd"/>
      <w:r w:rsidRPr="002F1924">
        <w:rPr>
          <w:rFonts w:ascii="Times New Roman" w:hAnsi="Times New Roman" w:cs="Times New Roman"/>
        </w:rPr>
        <w:t>)</w:t>
      </w:r>
    </w:p>
    <w:p w14:paraId="14BEC07D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B491C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Na trh</w:t>
      </w:r>
      <w:r w:rsidRPr="002F1924" w:rsidDel="005409F4">
        <w:rPr>
          <w:rFonts w:ascii="Times New Roman" w:hAnsi="Times New Roman" w:cs="Times New Roman"/>
        </w:rPr>
        <w:t xml:space="preserve"> </w:t>
      </w:r>
      <w:r w:rsidRPr="002F1924">
        <w:rPr>
          <w:rFonts w:ascii="Times New Roman" w:hAnsi="Times New Roman" w:cs="Times New Roman"/>
        </w:rPr>
        <w:t>nemusia byť uvedené všetky veľkosti balenia.</w:t>
      </w:r>
    </w:p>
    <w:p w14:paraId="01609EE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BBB9D5" w14:textId="77777777" w:rsidR="00B52502" w:rsidRPr="002F1924" w:rsidRDefault="00B52502" w:rsidP="008A6EE7">
      <w:pPr>
        <w:pStyle w:val="Nadpis2"/>
        <w:ind w:hanging="540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</w:pP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>6.6</w:t>
      </w:r>
      <w:r w:rsidRPr="002F1924">
        <w:rPr>
          <w:rFonts w:ascii="Times New Roman" w:hAnsi="Times New Roman" w:cs="Times New Roman"/>
          <w:b/>
          <w:bCs/>
          <w:sz w:val="22"/>
          <w:szCs w:val="22"/>
          <w:u w:val="none"/>
          <w:lang w:val="sk-SK"/>
        </w:rPr>
        <w:tab/>
        <w:t>Špeciálne opatrenia na likvidáciu a iné zaobchádzanie s liekom</w:t>
      </w:r>
    </w:p>
    <w:p w14:paraId="26D5250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969B5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Žiadne zvláštne požiadavky na likvidáciu.</w:t>
      </w:r>
    </w:p>
    <w:p w14:paraId="5059367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C75A4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9BD56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7.</w:t>
      </w: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  <w:t>DRŽITEĽ ROZHODNUTIA O REGISTRÁCII</w:t>
      </w:r>
    </w:p>
    <w:p w14:paraId="7B318540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1CF94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1924">
        <w:rPr>
          <w:rFonts w:ascii="Times New Roman" w:hAnsi="Times New Roman" w:cs="Times New Roman"/>
        </w:rPr>
        <w:t>Sandoz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Pharmaceuticals</w:t>
      </w:r>
      <w:proofErr w:type="spellEnd"/>
      <w:r w:rsidRPr="002F1924">
        <w:rPr>
          <w:rFonts w:ascii="Times New Roman" w:hAnsi="Times New Roman" w:cs="Times New Roman"/>
        </w:rPr>
        <w:t xml:space="preserve"> </w:t>
      </w:r>
      <w:proofErr w:type="spellStart"/>
      <w:r w:rsidRPr="002F1924">
        <w:rPr>
          <w:rFonts w:ascii="Times New Roman" w:hAnsi="Times New Roman" w:cs="Times New Roman"/>
        </w:rPr>
        <w:t>d.d</w:t>
      </w:r>
      <w:proofErr w:type="spellEnd"/>
      <w:r w:rsidRPr="002F1924">
        <w:rPr>
          <w:rFonts w:ascii="Times New Roman" w:hAnsi="Times New Roman" w:cs="Times New Roman"/>
        </w:rPr>
        <w:t>.</w:t>
      </w:r>
    </w:p>
    <w:p w14:paraId="4D1526D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1924">
        <w:rPr>
          <w:rFonts w:ascii="Times New Roman" w:hAnsi="Times New Roman" w:cs="Times New Roman"/>
        </w:rPr>
        <w:t>Verovškova</w:t>
      </w:r>
      <w:proofErr w:type="spellEnd"/>
      <w:r w:rsidRPr="002F1924">
        <w:rPr>
          <w:rFonts w:ascii="Times New Roman" w:hAnsi="Times New Roman" w:cs="Times New Roman"/>
        </w:rPr>
        <w:t xml:space="preserve"> 57</w:t>
      </w:r>
    </w:p>
    <w:p w14:paraId="3F7F401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1000 Ľubľana</w:t>
      </w:r>
    </w:p>
    <w:p w14:paraId="0FCBCC7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Slovinsko</w:t>
      </w:r>
    </w:p>
    <w:p w14:paraId="186EC31A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F6AD3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F20B33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8.</w:t>
      </w: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  <w:t xml:space="preserve">REGISTRAČNÉ ČÍSLO </w:t>
      </w:r>
    </w:p>
    <w:p w14:paraId="7BA488C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F3D29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56/0564/09-S</w:t>
      </w:r>
    </w:p>
    <w:p w14:paraId="337A4136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47D12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F0E2E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9.</w:t>
      </w: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  <w:t>DÁTUM PRVEJ REGISTRÁCIE/PREDĹŽENIA REGISTRÁCIE</w:t>
      </w:r>
    </w:p>
    <w:p w14:paraId="262FD141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7B7C96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Dátum prvej registrácie: 25. september 2009</w:t>
      </w:r>
    </w:p>
    <w:p w14:paraId="03675565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Dátum posledného predĺženia registrácie: 02. november 2016</w:t>
      </w:r>
    </w:p>
    <w:p w14:paraId="2E43C16F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08C92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DC7A8" w14:textId="77777777" w:rsidR="00B52502" w:rsidRPr="002F1924" w:rsidRDefault="00B52502" w:rsidP="008A6EE7">
      <w:pPr>
        <w:pStyle w:val="Nadpis1"/>
        <w:ind w:left="567" w:hanging="567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</w:pP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>10.</w:t>
      </w:r>
      <w:r w:rsidRPr="002F1924">
        <w:rPr>
          <w:rFonts w:ascii="Times New Roman" w:hAnsi="Times New Roman" w:cs="Times New Roman"/>
          <w:noProof/>
          <w:color w:val="auto"/>
          <w:sz w:val="22"/>
          <w:szCs w:val="22"/>
          <w:lang w:val="sk-SK"/>
        </w:rPr>
        <w:tab/>
        <w:t>DÁTUM REVÍZIE TEXTU</w:t>
      </w:r>
    </w:p>
    <w:p w14:paraId="64E1535E" w14:textId="77777777" w:rsidR="00B52502" w:rsidRPr="002F1924" w:rsidRDefault="00B52502" w:rsidP="008A6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82719" w14:textId="65BFFC9B" w:rsidR="00B52502" w:rsidRPr="008A6EE7" w:rsidRDefault="00FD1A8A" w:rsidP="008A6E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24">
        <w:rPr>
          <w:rFonts w:ascii="Times New Roman" w:hAnsi="Times New Roman" w:cs="Times New Roman"/>
        </w:rPr>
        <w:t>09/2020</w:t>
      </w:r>
    </w:p>
    <w:p w14:paraId="6F0ACBF6" w14:textId="77777777" w:rsidR="00970A2C" w:rsidRPr="008A6EE7" w:rsidRDefault="00970A2C" w:rsidP="008A6EE7">
      <w:pPr>
        <w:spacing w:after="0" w:line="240" w:lineRule="auto"/>
        <w:rPr>
          <w:rFonts w:ascii="Times New Roman" w:hAnsi="Times New Roman" w:cs="Times New Roman"/>
        </w:rPr>
      </w:pPr>
    </w:p>
    <w:sectPr w:rsidR="00970A2C" w:rsidRPr="008A6EE7" w:rsidSect="000F1EB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337D9" w14:textId="77777777" w:rsidR="004517D3" w:rsidRDefault="008A6EE7">
      <w:pPr>
        <w:spacing w:after="0" w:line="240" w:lineRule="auto"/>
      </w:pPr>
      <w:r>
        <w:separator/>
      </w:r>
    </w:p>
  </w:endnote>
  <w:endnote w:type="continuationSeparator" w:id="0">
    <w:p w14:paraId="34D035EF" w14:textId="77777777" w:rsidR="004517D3" w:rsidRDefault="008A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Pro-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84A30" w14:textId="77777777" w:rsidR="0055139F" w:rsidRDefault="0055139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3BE96" w14:textId="087F0D72" w:rsidR="00E843DD" w:rsidRPr="007679A7" w:rsidRDefault="00B52502">
    <w:pPr>
      <w:pStyle w:val="Pta"/>
      <w:rPr>
        <w:sz w:val="18"/>
        <w:szCs w:val="18"/>
        <w:lang w:val="de-DE"/>
      </w:rPr>
    </w:pPr>
    <w:r>
      <w:rPr>
        <w:rFonts w:ascii="AvantGarde" w:hAnsi="AvantGarde" w:cs="AvantGarde"/>
        <w:sz w:val="16"/>
        <w:szCs w:val="16"/>
        <w:lang w:val="de-DE"/>
      </w:rPr>
      <w:tab/>
    </w:r>
    <w:r w:rsidRPr="007679A7">
      <w:rPr>
        <w:rStyle w:val="slostrany"/>
        <w:sz w:val="18"/>
        <w:szCs w:val="18"/>
      </w:rPr>
      <w:fldChar w:fldCharType="begin"/>
    </w:r>
    <w:r w:rsidRPr="007679A7">
      <w:rPr>
        <w:rStyle w:val="slostrany"/>
        <w:sz w:val="18"/>
        <w:szCs w:val="18"/>
      </w:rPr>
      <w:instrText xml:space="preserve"> PAGE </w:instrText>
    </w:r>
    <w:r w:rsidRPr="007679A7">
      <w:rPr>
        <w:rStyle w:val="slostrany"/>
        <w:sz w:val="18"/>
        <w:szCs w:val="18"/>
      </w:rPr>
      <w:fldChar w:fldCharType="separate"/>
    </w:r>
    <w:r w:rsidR="0055139F">
      <w:rPr>
        <w:rStyle w:val="slostrany"/>
        <w:noProof/>
        <w:sz w:val="18"/>
        <w:szCs w:val="18"/>
      </w:rPr>
      <w:t>8</w:t>
    </w:r>
    <w:r w:rsidRPr="007679A7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9382A" w14:textId="77777777" w:rsidR="00E843DD" w:rsidRPr="007679A7" w:rsidRDefault="00B52502">
    <w:pPr>
      <w:pStyle w:val="Pta"/>
      <w:jc w:val="center"/>
      <w:rPr>
        <w:sz w:val="18"/>
        <w:szCs w:val="18"/>
      </w:rPr>
    </w:pPr>
    <w:r w:rsidRPr="007679A7">
      <w:rPr>
        <w:sz w:val="18"/>
        <w:szCs w:val="18"/>
      </w:rPr>
      <w:fldChar w:fldCharType="begin"/>
    </w:r>
    <w:r w:rsidRPr="007679A7">
      <w:rPr>
        <w:sz w:val="18"/>
        <w:szCs w:val="18"/>
      </w:rPr>
      <w:instrText xml:space="preserve">PAGE   </w:instrText>
    </w:r>
    <w:r w:rsidRPr="00F56449">
      <w:rPr>
        <w:sz w:val="18"/>
        <w:szCs w:val="18"/>
      </w:rPr>
      <w:instrText>\</w:instrText>
    </w:r>
    <w:r w:rsidRPr="007679A7">
      <w:rPr>
        <w:sz w:val="18"/>
        <w:szCs w:val="18"/>
      </w:rPr>
      <w:instrText>* MERGEFORMAT</w:instrText>
    </w:r>
    <w:r w:rsidRPr="007679A7">
      <w:rPr>
        <w:sz w:val="18"/>
        <w:szCs w:val="18"/>
      </w:rPr>
      <w:fldChar w:fldCharType="separate"/>
    </w:r>
    <w:r w:rsidRPr="008E7F10">
      <w:rPr>
        <w:noProof/>
        <w:sz w:val="18"/>
        <w:szCs w:val="18"/>
        <w:lang w:val="sk-SK"/>
      </w:rPr>
      <w:t>1</w:t>
    </w:r>
    <w:r w:rsidRPr="007679A7">
      <w:rPr>
        <w:sz w:val="18"/>
        <w:szCs w:val="18"/>
      </w:rPr>
      <w:fldChar w:fldCharType="end"/>
    </w:r>
  </w:p>
  <w:p w14:paraId="5B9C5DA0" w14:textId="77777777" w:rsidR="00E843DD" w:rsidRDefault="0055139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F567" w14:textId="77777777" w:rsidR="004517D3" w:rsidRDefault="008A6EE7">
      <w:pPr>
        <w:spacing w:after="0" w:line="240" w:lineRule="auto"/>
      </w:pPr>
      <w:r>
        <w:separator/>
      </w:r>
    </w:p>
  </w:footnote>
  <w:footnote w:type="continuationSeparator" w:id="0">
    <w:p w14:paraId="05554F1D" w14:textId="77777777" w:rsidR="004517D3" w:rsidRDefault="008A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FBA98" w14:textId="77777777" w:rsidR="0055139F" w:rsidRDefault="0055139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0BDC6" w14:textId="77777777" w:rsidR="00E843DD" w:rsidRPr="00B464F9" w:rsidRDefault="00B52502">
    <w:pPr>
      <w:pStyle w:val="Hlavika"/>
      <w:rPr>
        <w:sz w:val="18"/>
        <w:szCs w:val="18"/>
        <w:lang w:val="sk-SK"/>
      </w:rPr>
    </w:pPr>
    <w:r w:rsidRPr="0055139F">
      <w:rPr>
        <w:sz w:val="18"/>
        <w:szCs w:val="18"/>
        <w:lang w:val="sk-SK"/>
      </w:rPr>
      <w:t xml:space="preserve">Schválený text k rozhodnutiu o zmene, </w:t>
    </w:r>
    <w:proofErr w:type="spellStart"/>
    <w:r w:rsidRPr="0055139F">
      <w:rPr>
        <w:sz w:val="18"/>
        <w:szCs w:val="18"/>
        <w:lang w:val="sk-SK"/>
      </w:rPr>
      <w:t>ev.č</w:t>
    </w:r>
    <w:proofErr w:type="spellEnd"/>
    <w:r w:rsidRPr="0055139F">
      <w:rPr>
        <w:sz w:val="18"/>
        <w:szCs w:val="18"/>
        <w:lang w:val="sk-SK"/>
      </w:rPr>
      <w:t xml:space="preserve">.: </w:t>
    </w:r>
    <w:r w:rsidRPr="0055139F">
      <w:rPr>
        <w:sz w:val="18"/>
        <w:szCs w:val="18"/>
      </w:rPr>
      <w:t>2020/01945-ZME</w:t>
    </w:r>
    <w:bookmarkStart w:id="0" w:name="_GoBack"/>
    <w:bookmarkEnd w:id="0"/>
  </w:p>
  <w:p w14:paraId="074D5104" w14:textId="77777777" w:rsidR="00E843DD" w:rsidRPr="000F1EB7" w:rsidRDefault="0055139F">
    <w:pPr>
      <w:pStyle w:val="Hlavika"/>
      <w:rPr>
        <w:sz w:val="18"/>
        <w:szCs w:val="18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E34D" w14:textId="77777777" w:rsidR="0055139F" w:rsidRDefault="0055139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6F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>
    <w:nsid w:val="08C2267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>
    <w:nsid w:val="093E355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>
    <w:nsid w:val="1F1056B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>
    <w:nsid w:val="236B6BE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>
    <w:nsid w:val="2523703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>
    <w:nsid w:val="259C7C1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>
    <w:nsid w:val="320C39A9"/>
    <w:multiLevelType w:val="singleLevel"/>
    <w:tmpl w:val="B0E0ED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8">
    <w:nsid w:val="331D13C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>
    <w:nsid w:val="35425F6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>
    <w:nsid w:val="3F4F7C0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>
    <w:nsid w:val="4144086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>
    <w:nsid w:val="44AA7D6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>
    <w:nsid w:val="4D3B0669"/>
    <w:multiLevelType w:val="hybridMultilevel"/>
    <w:tmpl w:val="3BB045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1BB27A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373354D"/>
    <w:multiLevelType w:val="multilevel"/>
    <w:tmpl w:val="1E60942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583583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>
    <w:nsid w:val="564739D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>
    <w:nsid w:val="5ADB591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>
    <w:nsid w:val="5BEC2C0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>
    <w:nsid w:val="60317B69"/>
    <w:multiLevelType w:val="multilevel"/>
    <w:tmpl w:val="66542D7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30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1">
    <w:nsid w:val="60BE11F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2">
    <w:nsid w:val="61054B7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688637D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6E0B77E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6E160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>
    <w:nsid w:val="6EDC357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>
    <w:nsid w:val="730B3DA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5AB754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770543F3"/>
    <w:multiLevelType w:val="hybridMultilevel"/>
    <w:tmpl w:val="00123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1126B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7"/>
  </w:num>
  <w:num w:numId="5">
    <w:abstractNumId w:val="2"/>
  </w:num>
  <w:num w:numId="6">
    <w:abstractNumId w:val="22"/>
  </w:num>
  <w:num w:numId="7">
    <w:abstractNumId w:val="12"/>
  </w:num>
  <w:num w:numId="8">
    <w:abstractNumId w:val="10"/>
  </w:num>
  <w:num w:numId="9">
    <w:abstractNumId w:val="28"/>
  </w:num>
  <w:num w:numId="10">
    <w:abstractNumId w:val="24"/>
  </w:num>
  <w:num w:numId="11">
    <w:abstractNumId w:val="18"/>
  </w:num>
  <w:num w:numId="12">
    <w:abstractNumId w:val="5"/>
  </w:num>
  <w:num w:numId="13">
    <w:abstractNumId w:val="25"/>
  </w:num>
  <w:num w:numId="14">
    <w:abstractNumId w:val="9"/>
  </w:num>
  <w:num w:numId="15">
    <w:abstractNumId w:val="21"/>
  </w:num>
  <w:num w:numId="16">
    <w:abstractNumId w:val="19"/>
  </w:num>
  <w:num w:numId="17">
    <w:abstractNumId w:val="4"/>
  </w:num>
  <w:num w:numId="18">
    <w:abstractNumId w:val="26"/>
  </w:num>
  <w:num w:numId="19">
    <w:abstractNumId w:val="11"/>
  </w:num>
  <w:num w:numId="20">
    <w:abstractNumId w:val="16"/>
  </w:num>
  <w:num w:numId="21">
    <w:abstractNumId w:val="6"/>
  </w:num>
  <w:num w:numId="22">
    <w:abstractNumId w:val="27"/>
  </w:num>
  <w:num w:numId="23">
    <w:abstractNumId w:val="23"/>
  </w:num>
  <w:num w:numId="24">
    <w:abstractNumId w:val="0"/>
  </w:num>
  <w:num w:numId="25">
    <w:abstractNumId w:val="30"/>
  </w:num>
  <w:num w:numId="26">
    <w:abstractNumId w:val="1"/>
  </w:num>
  <w:num w:numId="27">
    <w:abstractNumId w:val="20"/>
  </w:num>
  <w:num w:numId="28">
    <w:abstractNumId w:val="14"/>
  </w:num>
  <w:num w:numId="29">
    <w:abstractNumId w:val="29"/>
  </w:num>
  <w:num w:numId="30">
    <w:abstractNumId w:val="15"/>
  </w:num>
  <w:num w:numId="3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5B"/>
    <w:rsid w:val="00007991"/>
    <w:rsid w:val="001A41BD"/>
    <w:rsid w:val="00211D8F"/>
    <w:rsid w:val="002F1924"/>
    <w:rsid w:val="00353E31"/>
    <w:rsid w:val="004517D3"/>
    <w:rsid w:val="0055139F"/>
    <w:rsid w:val="007470BC"/>
    <w:rsid w:val="007D1BD5"/>
    <w:rsid w:val="008A6EE7"/>
    <w:rsid w:val="00970A2C"/>
    <w:rsid w:val="00B52502"/>
    <w:rsid w:val="00DA4E87"/>
    <w:rsid w:val="00DB0B5B"/>
    <w:rsid w:val="00DE12A6"/>
    <w:rsid w:val="00E3498D"/>
    <w:rsid w:val="00E625FF"/>
    <w:rsid w:val="00FD1A8A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0AC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B52502"/>
    <w:pPr>
      <w:keepNext/>
      <w:spacing w:after="0" w:line="240" w:lineRule="auto"/>
      <w:ind w:left="540"/>
      <w:outlineLvl w:val="0"/>
    </w:pPr>
    <w:rPr>
      <w:rFonts w:ascii="AvantGarde" w:eastAsia="Times New Roman" w:hAnsi="AvantGarde" w:cs="AvantGarde"/>
      <w:b/>
      <w:bCs/>
      <w:color w:val="FF0000"/>
      <w:sz w:val="24"/>
      <w:szCs w:val="24"/>
      <w:lang w:val="en-US" w:eastAsia="fi-FI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2502"/>
    <w:pPr>
      <w:keepNext/>
      <w:spacing w:after="0" w:line="240" w:lineRule="auto"/>
      <w:ind w:left="540"/>
      <w:outlineLvl w:val="1"/>
    </w:pPr>
    <w:rPr>
      <w:rFonts w:ascii="AvantGarde" w:eastAsia="Times New Roman" w:hAnsi="AvantGarde" w:cs="AvantGarde"/>
      <w:sz w:val="24"/>
      <w:szCs w:val="24"/>
      <w:u w:val="single"/>
      <w:lang w:val="en-US" w:eastAsia="fi-FI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52502"/>
    <w:pPr>
      <w:keepNext/>
      <w:pBdr>
        <w:left w:val="single" w:sz="6" w:space="1" w:color="auto"/>
        <w:right w:val="single" w:sz="6" w:space="1" w:color="auto"/>
      </w:pBdr>
      <w:shd w:val="pct30" w:color="auto" w:fill="auto"/>
      <w:tabs>
        <w:tab w:val="left" w:pos="6220"/>
      </w:tabs>
      <w:spacing w:after="0" w:line="240" w:lineRule="auto"/>
      <w:ind w:right="-220"/>
      <w:jc w:val="center"/>
      <w:outlineLvl w:val="5"/>
    </w:pPr>
    <w:rPr>
      <w:rFonts w:ascii="Helvetica" w:eastAsia="Times New Roman" w:hAnsi="Helvetica" w:cs="Helvetica"/>
      <w:b/>
      <w:bCs/>
      <w:sz w:val="32"/>
      <w:szCs w:val="32"/>
      <w:lang w:val="en-GB" w:eastAsia="fi-FI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2502"/>
    <w:pPr>
      <w:keepNext/>
      <w:spacing w:after="0" w:line="240" w:lineRule="auto"/>
      <w:ind w:left="426"/>
      <w:outlineLvl w:val="8"/>
    </w:pPr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52502"/>
    <w:rPr>
      <w:rFonts w:ascii="AvantGarde" w:eastAsia="Times New Roman" w:hAnsi="AvantGarde" w:cs="AvantGarde"/>
      <w:b/>
      <w:bCs/>
      <w:color w:val="FF0000"/>
      <w:sz w:val="24"/>
      <w:szCs w:val="24"/>
      <w:lang w:val="en-US" w:eastAsia="fi-FI"/>
    </w:rPr>
  </w:style>
  <w:style w:type="character" w:customStyle="1" w:styleId="Nadpis2Char">
    <w:name w:val="Nadpis 2 Char"/>
    <w:basedOn w:val="Predvolenpsmoodseku"/>
    <w:link w:val="Nadpis2"/>
    <w:uiPriority w:val="99"/>
    <w:rsid w:val="00B52502"/>
    <w:rPr>
      <w:rFonts w:ascii="AvantGarde" w:eastAsia="Times New Roman" w:hAnsi="AvantGarde" w:cs="AvantGarde"/>
      <w:sz w:val="24"/>
      <w:szCs w:val="24"/>
      <w:u w:val="single"/>
      <w:lang w:val="en-US" w:eastAsia="fi-FI"/>
    </w:rPr>
  </w:style>
  <w:style w:type="character" w:customStyle="1" w:styleId="Nadpis6Char">
    <w:name w:val="Nadpis 6 Char"/>
    <w:basedOn w:val="Predvolenpsmoodseku"/>
    <w:link w:val="Nadpis6"/>
    <w:uiPriority w:val="99"/>
    <w:rsid w:val="00B52502"/>
    <w:rPr>
      <w:rFonts w:ascii="Helvetica" w:eastAsia="Times New Roman" w:hAnsi="Helvetica" w:cs="Helvetica"/>
      <w:b/>
      <w:bCs/>
      <w:sz w:val="32"/>
      <w:szCs w:val="32"/>
      <w:shd w:val="pct30" w:color="auto" w:fill="auto"/>
      <w:lang w:val="en-GB" w:eastAsia="fi-FI"/>
    </w:rPr>
  </w:style>
  <w:style w:type="character" w:customStyle="1" w:styleId="Nadpis9Char">
    <w:name w:val="Nadpis 9 Char"/>
    <w:basedOn w:val="Predvolenpsmoodseku"/>
    <w:link w:val="Nadpis9"/>
    <w:uiPriority w:val="99"/>
    <w:rsid w:val="00B52502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Textbubliny">
    <w:name w:val="Balloon Text"/>
    <w:basedOn w:val="Normlny"/>
    <w:link w:val="TextbublinyChar"/>
    <w:uiPriority w:val="99"/>
    <w:semiHidden/>
    <w:rsid w:val="00B5250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fi-F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2502"/>
    <w:rPr>
      <w:rFonts w:ascii="Tahoma" w:eastAsia="Times New Roman" w:hAnsi="Tahoma" w:cs="Tahoma"/>
      <w:sz w:val="16"/>
      <w:szCs w:val="16"/>
      <w:lang w:val="en-US" w:eastAsia="fi-FI"/>
    </w:rPr>
  </w:style>
  <w:style w:type="character" w:customStyle="1" w:styleId="copy">
    <w:name w:val="copy"/>
    <w:uiPriority w:val="99"/>
    <w:rsid w:val="00B52502"/>
  </w:style>
  <w:style w:type="paragraph" w:customStyle="1" w:styleId="leipa">
    <w:name w:val="leipa"/>
    <w:basedOn w:val="Normlny"/>
    <w:uiPriority w:val="99"/>
    <w:rsid w:val="00B52502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val="fi-FI" w:eastAsia="fi-FI"/>
    </w:rPr>
  </w:style>
  <w:style w:type="paragraph" w:styleId="Nzov">
    <w:name w:val="Title"/>
    <w:basedOn w:val="Normlny"/>
    <w:link w:val="NzovChar"/>
    <w:uiPriority w:val="99"/>
    <w:qFormat/>
    <w:rsid w:val="00B52502"/>
    <w:pPr>
      <w:spacing w:after="0" w:line="240" w:lineRule="auto"/>
      <w:ind w:right="-220"/>
      <w:jc w:val="center"/>
    </w:pPr>
    <w:rPr>
      <w:rFonts w:ascii="Helvetica" w:eastAsia="Times New Roman" w:hAnsi="Helvetica" w:cs="Helvetica"/>
      <w:b/>
      <w:bCs/>
      <w:sz w:val="28"/>
      <w:szCs w:val="28"/>
      <w:lang w:val="en-US" w:eastAsia="fi-FI"/>
    </w:rPr>
  </w:style>
  <w:style w:type="character" w:customStyle="1" w:styleId="NzovChar">
    <w:name w:val="Názov Char"/>
    <w:basedOn w:val="Predvolenpsmoodseku"/>
    <w:link w:val="Nzov"/>
    <w:uiPriority w:val="99"/>
    <w:rsid w:val="00B52502"/>
    <w:rPr>
      <w:rFonts w:ascii="Helvetica" w:eastAsia="Times New Roman" w:hAnsi="Helvetica" w:cs="Helvetica"/>
      <w:b/>
      <w:bCs/>
      <w:sz w:val="28"/>
      <w:szCs w:val="28"/>
      <w:lang w:val="en-US" w:eastAsia="fi-FI"/>
    </w:rPr>
  </w:style>
  <w:style w:type="paragraph" w:styleId="Pta">
    <w:name w:val="footer"/>
    <w:basedOn w:val="Normlny"/>
    <w:link w:val="PtaChar"/>
    <w:uiPriority w:val="99"/>
    <w:rsid w:val="00B525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/>
    </w:rPr>
  </w:style>
  <w:style w:type="character" w:customStyle="1" w:styleId="PtaChar">
    <w:name w:val="Päta Char"/>
    <w:basedOn w:val="Predvolenpsmoodseku"/>
    <w:link w:val="Pta"/>
    <w:uiPriority w:val="99"/>
    <w:rsid w:val="00B52502"/>
    <w:rPr>
      <w:rFonts w:ascii="Times New Roman" w:eastAsia="Times New Roman" w:hAnsi="Times New Roman" w:cs="Times New Roman"/>
      <w:sz w:val="24"/>
      <w:szCs w:val="24"/>
      <w:lang w:val="en-US" w:eastAsia="fi-FI"/>
    </w:rPr>
  </w:style>
  <w:style w:type="paragraph" w:styleId="Hlavika">
    <w:name w:val="header"/>
    <w:basedOn w:val="Normlny"/>
    <w:link w:val="HlavikaChar"/>
    <w:uiPriority w:val="99"/>
    <w:rsid w:val="00B525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/>
    </w:rPr>
  </w:style>
  <w:style w:type="character" w:customStyle="1" w:styleId="HlavikaChar">
    <w:name w:val="Hlavička Char"/>
    <w:basedOn w:val="Predvolenpsmoodseku"/>
    <w:link w:val="Hlavika"/>
    <w:uiPriority w:val="99"/>
    <w:rsid w:val="00B52502"/>
    <w:rPr>
      <w:rFonts w:ascii="Times New Roman" w:eastAsia="Times New Roman" w:hAnsi="Times New Roman" w:cs="Times New Roman"/>
      <w:sz w:val="24"/>
      <w:szCs w:val="24"/>
      <w:lang w:val="en-US" w:eastAsia="fi-FI"/>
    </w:rPr>
  </w:style>
  <w:style w:type="character" w:styleId="slostrany">
    <w:name w:val="page number"/>
    <w:basedOn w:val="Predvolenpsmoodseku"/>
    <w:uiPriority w:val="99"/>
    <w:rsid w:val="00B52502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B5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52502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Zarkazkladnhotextu2">
    <w:name w:val="Body Text Indent 2"/>
    <w:basedOn w:val="Normlny"/>
    <w:link w:val="Zarkazkladnhotextu2Char"/>
    <w:uiPriority w:val="99"/>
    <w:rsid w:val="00B52502"/>
    <w:pPr>
      <w:spacing w:after="0" w:line="240" w:lineRule="auto"/>
      <w:ind w:left="540"/>
    </w:pPr>
    <w:rPr>
      <w:rFonts w:ascii="AvantGarde" w:eastAsia="Times New Roman" w:hAnsi="AvantGarde" w:cs="AvantGarde"/>
      <w:sz w:val="24"/>
      <w:szCs w:val="24"/>
      <w:lang w:val="en-GB" w:eastAsia="fi-FI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52502"/>
    <w:rPr>
      <w:rFonts w:ascii="AvantGarde" w:eastAsia="Times New Roman" w:hAnsi="AvantGarde" w:cs="AvantGarde"/>
      <w:sz w:val="24"/>
      <w:szCs w:val="24"/>
      <w:lang w:val="en-GB" w:eastAsia="fi-FI"/>
    </w:rPr>
  </w:style>
  <w:style w:type="paragraph" w:styleId="Zkladntext2">
    <w:name w:val="Body Text 2"/>
    <w:basedOn w:val="Normlny"/>
    <w:link w:val="Zkladntext2Char"/>
    <w:uiPriority w:val="99"/>
    <w:rsid w:val="00B52502"/>
    <w:pPr>
      <w:spacing w:after="0" w:line="240" w:lineRule="auto"/>
      <w:ind w:left="540"/>
      <w:jc w:val="both"/>
    </w:pPr>
    <w:rPr>
      <w:rFonts w:ascii="AvantGarde" w:eastAsia="Times New Roman" w:hAnsi="AvantGarde" w:cs="AvantGarde"/>
      <w:color w:val="FF0000"/>
      <w:sz w:val="24"/>
      <w:szCs w:val="24"/>
      <w:lang w:val="en-US" w:eastAsia="fi-FI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52502"/>
    <w:rPr>
      <w:rFonts w:ascii="AvantGarde" w:eastAsia="Times New Roman" w:hAnsi="AvantGarde" w:cs="AvantGarde"/>
      <w:color w:val="FF0000"/>
      <w:sz w:val="24"/>
      <w:szCs w:val="24"/>
      <w:lang w:val="en-US" w:eastAsia="fi-FI"/>
    </w:rPr>
  </w:style>
  <w:style w:type="paragraph" w:styleId="Zarkazkladnhotextu3">
    <w:name w:val="Body Text Indent 3"/>
    <w:basedOn w:val="Normlny"/>
    <w:link w:val="Zarkazkladnhotextu3Char"/>
    <w:uiPriority w:val="99"/>
    <w:rsid w:val="00B52502"/>
    <w:pPr>
      <w:spacing w:after="0" w:line="240" w:lineRule="auto"/>
      <w:ind w:left="360"/>
    </w:pPr>
    <w:rPr>
      <w:rFonts w:ascii="AvantGarde" w:eastAsia="Times New Roman" w:hAnsi="AvantGarde" w:cs="AvantGarde"/>
      <w:sz w:val="24"/>
      <w:szCs w:val="24"/>
      <w:lang w:val="en-GB" w:eastAsia="fi-FI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B52502"/>
    <w:rPr>
      <w:rFonts w:ascii="AvantGarde" w:eastAsia="Times New Roman" w:hAnsi="AvantGarde" w:cs="AvantGarde"/>
      <w:sz w:val="24"/>
      <w:szCs w:val="24"/>
      <w:lang w:val="en-GB" w:eastAsia="fi-FI"/>
    </w:rPr>
  </w:style>
  <w:style w:type="paragraph" w:styleId="Obyajntext">
    <w:name w:val="Plain Text"/>
    <w:basedOn w:val="Normlny"/>
    <w:link w:val="ObyajntextChar"/>
    <w:uiPriority w:val="99"/>
    <w:rsid w:val="00B525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fi-FI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52502"/>
    <w:rPr>
      <w:rFonts w:ascii="Courier New" w:eastAsia="Times New Roman" w:hAnsi="Courier New" w:cs="Courier New"/>
      <w:sz w:val="20"/>
      <w:szCs w:val="20"/>
      <w:lang w:val="de-DE" w:eastAsia="fi-FI"/>
    </w:rPr>
  </w:style>
  <w:style w:type="paragraph" w:styleId="Zkladntext3">
    <w:name w:val="Body Text 3"/>
    <w:basedOn w:val="Normlny"/>
    <w:link w:val="Zkladntext3Char"/>
    <w:uiPriority w:val="99"/>
    <w:rsid w:val="00B525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fi-FI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52502"/>
    <w:rPr>
      <w:rFonts w:ascii="Times New Roman" w:eastAsia="Times New Roman" w:hAnsi="Times New Roman" w:cs="Times New Roman"/>
      <w:sz w:val="16"/>
      <w:szCs w:val="16"/>
      <w:lang w:val="en-US" w:eastAsia="fi-FI"/>
    </w:rPr>
  </w:style>
  <w:style w:type="paragraph" w:customStyle="1" w:styleId="Text">
    <w:name w:val="Text"/>
    <w:uiPriority w:val="99"/>
    <w:rsid w:val="00B52502"/>
    <w:pPr>
      <w:autoSpaceDE w:val="0"/>
      <w:autoSpaceDN w:val="0"/>
      <w:spacing w:after="0" w:line="200" w:lineRule="exact"/>
      <w:ind w:left="283" w:right="56"/>
      <w:jc w:val="both"/>
    </w:pPr>
    <w:rPr>
      <w:rFonts w:ascii="Helvetica" w:eastAsia="Times New Roman" w:hAnsi="Helvetica" w:cs="Helvetica"/>
      <w:noProof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rsid w:val="00B5250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5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i-FI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502"/>
    <w:rPr>
      <w:rFonts w:ascii="Times New Roman" w:eastAsia="Times New Roman" w:hAnsi="Times New Roman" w:cs="Times New Roman"/>
      <w:sz w:val="20"/>
      <w:szCs w:val="20"/>
      <w:lang w:val="en-US" w:eastAsia="fi-F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525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502"/>
    <w:rPr>
      <w:rFonts w:ascii="Times New Roman" w:eastAsia="Times New Roman" w:hAnsi="Times New Roman" w:cs="Times New Roman"/>
      <w:b/>
      <w:bCs/>
      <w:sz w:val="20"/>
      <w:szCs w:val="20"/>
      <w:lang w:val="en-US" w:eastAsia="fi-FI"/>
    </w:rPr>
  </w:style>
  <w:style w:type="character" w:customStyle="1" w:styleId="hps">
    <w:name w:val="hps"/>
    <w:uiPriority w:val="99"/>
    <w:rsid w:val="00B52502"/>
  </w:style>
  <w:style w:type="table" w:styleId="Mriekatabuky">
    <w:name w:val="Table Grid"/>
    <w:basedOn w:val="Normlnatabuka"/>
    <w:uiPriority w:val="99"/>
    <w:rsid w:val="00B5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B52502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B5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B52502"/>
    <w:pPr>
      <w:keepNext/>
      <w:spacing w:after="0" w:line="240" w:lineRule="auto"/>
      <w:ind w:left="540"/>
      <w:outlineLvl w:val="0"/>
    </w:pPr>
    <w:rPr>
      <w:rFonts w:ascii="AvantGarde" w:eastAsia="Times New Roman" w:hAnsi="AvantGarde" w:cs="AvantGarde"/>
      <w:b/>
      <w:bCs/>
      <w:color w:val="FF0000"/>
      <w:sz w:val="24"/>
      <w:szCs w:val="24"/>
      <w:lang w:val="en-US" w:eastAsia="fi-FI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2502"/>
    <w:pPr>
      <w:keepNext/>
      <w:spacing w:after="0" w:line="240" w:lineRule="auto"/>
      <w:ind w:left="540"/>
      <w:outlineLvl w:val="1"/>
    </w:pPr>
    <w:rPr>
      <w:rFonts w:ascii="AvantGarde" w:eastAsia="Times New Roman" w:hAnsi="AvantGarde" w:cs="AvantGarde"/>
      <w:sz w:val="24"/>
      <w:szCs w:val="24"/>
      <w:u w:val="single"/>
      <w:lang w:val="en-US" w:eastAsia="fi-FI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52502"/>
    <w:pPr>
      <w:keepNext/>
      <w:pBdr>
        <w:left w:val="single" w:sz="6" w:space="1" w:color="auto"/>
        <w:right w:val="single" w:sz="6" w:space="1" w:color="auto"/>
      </w:pBdr>
      <w:shd w:val="pct30" w:color="auto" w:fill="auto"/>
      <w:tabs>
        <w:tab w:val="left" w:pos="6220"/>
      </w:tabs>
      <w:spacing w:after="0" w:line="240" w:lineRule="auto"/>
      <w:ind w:right="-220"/>
      <w:jc w:val="center"/>
      <w:outlineLvl w:val="5"/>
    </w:pPr>
    <w:rPr>
      <w:rFonts w:ascii="Helvetica" w:eastAsia="Times New Roman" w:hAnsi="Helvetica" w:cs="Helvetica"/>
      <w:b/>
      <w:bCs/>
      <w:sz w:val="32"/>
      <w:szCs w:val="32"/>
      <w:lang w:val="en-GB" w:eastAsia="fi-FI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2502"/>
    <w:pPr>
      <w:keepNext/>
      <w:spacing w:after="0" w:line="240" w:lineRule="auto"/>
      <w:ind w:left="426"/>
      <w:outlineLvl w:val="8"/>
    </w:pPr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52502"/>
    <w:rPr>
      <w:rFonts w:ascii="AvantGarde" w:eastAsia="Times New Roman" w:hAnsi="AvantGarde" w:cs="AvantGarde"/>
      <w:b/>
      <w:bCs/>
      <w:color w:val="FF0000"/>
      <w:sz w:val="24"/>
      <w:szCs w:val="24"/>
      <w:lang w:val="en-US" w:eastAsia="fi-FI"/>
    </w:rPr>
  </w:style>
  <w:style w:type="character" w:customStyle="1" w:styleId="Nadpis2Char">
    <w:name w:val="Nadpis 2 Char"/>
    <w:basedOn w:val="Predvolenpsmoodseku"/>
    <w:link w:val="Nadpis2"/>
    <w:uiPriority w:val="99"/>
    <w:rsid w:val="00B52502"/>
    <w:rPr>
      <w:rFonts w:ascii="AvantGarde" w:eastAsia="Times New Roman" w:hAnsi="AvantGarde" w:cs="AvantGarde"/>
      <w:sz w:val="24"/>
      <w:szCs w:val="24"/>
      <w:u w:val="single"/>
      <w:lang w:val="en-US" w:eastAsia="fi-FI"/>
    </w:rPr>
  </w:style>
  <w:style w:type="character" w:customStyle="1" w:styleId="Nadpis6Char">
    <w:name w:val="Nadpis 6 Char"/>
    <w:basedOn w:val="Predvolenpsmoodseku"/>
    <w:link w:val="Nadpis6"/>
    <w:uiPriority w:val="99"/>
    <w:rsid w:val="00B52502"/>
    <w:rPr>
      <w:rFonts w:ascii="Helvetica" w:eastAsia="Times New Roman" w:hAnsi="Helvetica" w:cs="Helvetica"/>
      <w:b/>
      <w:bCs/>
      <w:sz w:val="32"/>
      <w:szCs w:val="32"/>
      <w:shd w:val="pct30" w:color="auto" w:fill="auto"/>
      <w:lang w:val="en-GB" w:eastAsia="fi-FI"/>
    </w:rPr>
  </w:style>
  <w:style w:type="character" w:customStyle="1" w:styleId="Nadpis9Char">
    <w:name w:val="Nadpis 9 Char"/>
    <w:basedOn w:val="Predvolenpsmoodseku"/>
    <w:link w:val="Nadpis9"/>
    <w:uiPriority w:val="99"/>
    <w:rsid w:val="00B52502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Textbubliny">
    <w:name w:val="Balloon Text"/>
    <w:basedOn w:val="Normlny"/>
    <w:link w:val="TextbublinyChar"/>
    <w:uiPriority w:val="99"/>
    <w:semiHidden/>
    <w:rsid w:val="00B5250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fi-F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2502"/>
    <w:rPr>
      <w:rFonts w:ascii="Tahoma" w:eastAsia="Times New Roman" w:hAnsi="Tahoma" w:cs="Tahoma"/>
      <w:sz w:val="16"/>
      <w:szCs w:val="16"/>
      <w:lang w:val="en-US" w:eastAsia="fi-FI"/>
    </w:rPr>
  </w:style>
  <w:style w:type="character" w:customStyle="1" w:styleId="copy">
    <w:name w:val="copy"/>
    <w:uiPriority w:val="99"/>
    <w:rsid w:val="00B52502"/>
  </w:style>
  <w:style w:type="paragraph" w:customStyle="1" w:styleId="leipa">
    <w:name w:val="leipa"/>
    <w:basedOn w:val="Normlny"/>
    <w:uiPriority w:val="99"/>
    <w:rsid w:val="00B52502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val="fi-FI" w:eastAsia="fi-FI"/>
    </w:rPr>
  </w:style>
  <w:style w:type="paragraph" w:styleId="Nzov">
    <w:name w:val="Title"/>
    <w:basedOn w:val="Normlny"/>
    <w:link w:val="NzovChar"/>
    <w:uiPriority w:val="99"/>
    <w:qFormat/>
    <w:rsid w:val="00B52502"/>
    <w:pPr>
      <w:spacing w:after="0" w:line="240" w:lineRule="auto"/>
      <w:ind w:right="-220"/>
      <w:jc w:val="center"/>
    </w:pPr>
    <w:rPr>
      <w:rFonts w:ascii="Helvetica" w:eastAsia="Times New Roman" w:hAnsi="Helvetica" w:cs="Helvetica"/>
      <w:b/>
      <w:bCs/>
      <w:sz w:val="28"/>
      <w:szCs w:val="28"/>
      <w:lang w:val="en-US" w:eastAsia="fi-FI"/>
    </w:rPr>
  </w:style>
  <w:style w:type="character" w:customStyle="1" w:styleId="NzovChar">
    <w:name w:val="Názov Char"/>
    <w:basedOn w:val="Predvolenpsmoodseku"/>
    <w:link w:val="Nzov"/>
    <w:uiPriority w:val="99"/>
    <w:rsid w:val="00B52502"/>
    <w:rPr>
      <w:rFonts w:ascii="Helvetica" w:eastAsia="Times New Roman" w:hAnsi="Helvetica" w:cs="Helvetica"/>
      <w:b/>
      <w:bCs/>
      <w:sz w:val="28"/>
      <w:szCs w:val="28"/>
      <w:lang w:val="en-US" w:eastAsia="fi-FI"/>
    </w:rPr>
  </w:style>
  <w:style w:type="paragraph" w:styleId="Pta">
    <w:name w:val="footer"/>
    <w:basedOn w:val="Normlny"/>
    <w:link w:val="PtaChar"/>
    <w:uiPriority w:val="99"/>
    <w:rsid w:val="00B525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/>
    </w:rPr>
  </w:style>
  <w:style w:type="character" w:customStyle="1" w:styleId="PtaChar">
    <w:name w:val="Päta Char"/>
    <w:basedOn w:val="Predvolenpsmoodseku"/>
    <w:link w:val="Pta"/>
    <w:uiPriority w:val="99"/>
    <w:rsid w:val="00B52502"/>
    <w:rPr>
      <w:rFonts w:ascii="Times New Roman" w:eastAsia="Times New Roman" w:hAnsi="Times New Roman" w:cs="Times New Roman"/>
      <w:sz w:val="24"/>
      <w:szCs w:val="24"/>
      <w:lang w:val="en-US" w:eastAsia="fi-FI"/>
    </w:rPr>
  </w:style>
  <w:style w:type="paragraph" w:styleId="Hlavika">
    <w:name w:val="header"/>
    <w:basedOn w:val="Normlny"/>
    <w:link w:val="HlavikaChar"/>
    <w:uiPriority w:val="99"/>
    <w:rsid w:val="00B525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/>
    </w:rPr>
  </w:style>
  <w:style w:type="character" w:customStyle="1" w:styleId="HlavikaChar">
    <w:name w:val="Hlavička Char"/>
    <w:basedOn w:val="Predvolenpsmoodseku"/>
    <w:link w:val="Hlavika"/>
    <w:uiPriority w:val="99"/>
    <w:rsid w:val="00B52502"/>
    <w:rPr>
      <w:rFonts w:ascii="Times New Roman" w:eastAsia="Times New Roman" w:hAnsi="Times New Roman" w:cs="Times New Roman"/>
      <w:sz w:val="24"/>
      <w:szCs w:val="24"/>
      <w:lang w:val="en-US" w:eastAsia="fi-FI"/>
    </w:rPr>
  </w:style>
  <w:style w:type="character" w:styleId="slostrany">
    <w:name w:val="page number"/>
    <w:basedOn w:val="Predvolenpsmoodseku"/>
    <w:uiPriority w:val="99"/>
    <w:rsid w:val="00B52502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B5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52502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Zarkazkladnhotextu2">
    <w:name w:val="Body Text Indent 2"/>
    <w:basedOn w:val="Normlny"/>
    <w:link w:val="Zarkazkladnhotextu2Char"/>
    <w:uiPriority w:val="99"/>
    <w:rsid w:val="00B52502"/>
    <w:pPr>
      <w:spacing w:after="0" w:line="240" w:lineRule="auto"/>
      <w:ind w:left="540"/>
    </w:pPr>
    <w:rPr>
      <w:rFonts w:ascii="AvantGarde" w:eastAsia="Times New Roman" w:hAnsi="AvantGarde" w:cs="AvantGarde"/>
      <w:sz w:val="24"/>
      <w:szCs w:val="24"/>
      <w:lang w:val="en-GB" w:eastAsia="fi-FI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52502"/>
    <w:rPr>
      <w:rFonts w:ascii="AvantGarde" w:eastAsia="Times New Roman" w:hAnsi="AvantGarde" w:cs="AvantGarde"/>
      <w:sz w:val="24"/>
      <w:szCs w:val="24"/>
      <w:lang w:val="en-GB" w:eastAsia="fi-FI"/>
    </w:rPr>
  </w:style>
  <w:style w:type="paragraph" w:styleId="Zkladntext2">
    <w:name w:val="Body Text 2"/>
    <w:basedOn w:val="Normlny"/>
    <w:link w:val="Zkladntext2Char"/>
    <w:uiPriority w:val="99"/>
    <w:rsid w:val="00B52502"/>
    <w:pPr>
      <w:spacing w:after="0" w:line="240" w:lineRule="auto"/>
      <w:ind w:left="540"/>
      <w:jc w:val="both"/>
    </w:pPr>
    <w:rPr>
      <w:rFonts w:ascii="AvantGarde" w:eastAsia="Times New Roman" w:hAnsi="AvantGarde" w:cs="AvantGarde"/>
      <w:color w:val="FF0000"/>
      <w:sz w:val="24"/>
      <w:szCs w:val="24"/>
      <w:lang w:val="en-US" w:eastAsia="fi-FI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52502"/>
    <w:rPr>
      <w:rFonts w:ascii="AvantGarde" w:eastAsia="Times New Roman" w:hAnsi="AvantGarde" w:cs="AvantGarde"/>
      <w:color w:val="FF0000"/>
      <w:sz w:val="24"/>
      <w:szCs w:val="24"/>
      <w:lang w:val="en-US" w:eastAsia="fi-FI"/>
    </w:rPr>
  </w:style>
  <w:style w:type="paragraph" w:styleId="Zarkazkladnhotextu3">
    <w:name w:val="Body Text Indent 3"/>
    <w:basedOn w:val="Normlny"/>
    <w:link w:val="Zarkazkladnhotextu3Char"/>
    <w:uiPriority w:val="99"/>
    <w:rsid w:val="00B52502"/>
    <w:pPr>
      <w:spacing w:after="0" w:line="240" w:lineRule="auto"/>
      <w:ind w:left="360"/>
    </w:pPr>
    <w:rPr>
      <w:rFonts w:ascii="AvantGarde" w:eastAsia="Times New Roman" w:hAnsi="AvantGarde" w:cs="AvantGarde"/>
      <w:sz w:val="24"/>
      <w:szCs w:val="24"/>
      <w:lang w:val="en-GB" w:eastAsia="fi-FI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B52502"/>
    <w:rPr>
      <w:rFonts w:ascii="AvantGarde" w:eastAsia="Times New Roman" w:hAnsi="AvantGarde" w:cs="AvantGarde"/>
      <w:sz w:val="24"/>
      <w:szCs w:val="24"/>
      <w:lang w:val="en-GB" w:eastAsia="fi-FI"/>
    </w:rPr>
  </w:style>
  <w:style w:type="paragraph" w:styleId="Obyajntext">
    <w:name w:val="Plain Text"/>
    <w:basedOn w:val="Normlny"/>
    <w:link w:val="ObyajntextChar"/>
    <w:uiPriority w:val="99"/>
    <w:rsid w:val="00B525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fi-FI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52502"/>
    <w:rPr>
      <w:rFonts w:ascii="Courier New" w:eastAsia="Times New Roman" w:hAnsi="Courier New" w:cs="Courier New"/>
      <w:sz w:val="20"/>
      <w:szCs w:val="20"/>
      <w:lang w:val="de-DE" w:eastAsia="fi-FI"/>
    </w:rPr>
  </w:style>
  <w:style w:type="paragraph" w:styleId="Zkladntext3">
    <w:name w:val="Body Text 3"/>
    <w:basedOn w:val="Normlny"/>
    <w:link w:val="Zkladntext3Char"/>
    <w:uiPriority w:val="99"/>
    <w:rsid w:val="00B525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fi-FI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52502"/>
    <w:rPr>
      <w:rFonts w:ascii="Times New Roman" w:eastAsia="Times New Roman" w:hAnsi="Times New Roman" w:cs="Times New Roman"/>
      <w:sz w:val="16"/>
      <w:szCs w:val="16"/>
      <w:lang w:val="en-US" w:eastAsia="fi-FI"/>
    </w:rPr>
  </w:style>
  <w:style w:type="paragraph" w:customStyle="1" w:styleId="Text">
    <w:name w:val="Text"/>
    <w:uiPriority w:val="99"/>
    <w:rsid w:val="00B52502"/>
    <w:pPr>
      <w:autoSpaceDE w:val="0"/>
      <w:autoSpaceDN w:val="0"/>
      <w:spacing w:after="0" w:line="200" w:lineRule="exact"/>
      <w:ind w:left="283" w:right="56"/>
      <w:jc w:val="both"/>
    </w:pPr>
    <w:rPr>
      <w:rFonts w:ascii="Helvetica" w:eastAsia="Times New Roman" w:hAnsi="Helvetica" w:cs="Helvetica"/>
      <w:noProof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rsid w:val="00B5250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5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i-FI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502"/>
    <w:rPr>
      <w:rFonts w:ascii="Times New Roman" w:eastAsia="Times New Roman" w:hAnsi="Times New Roman" w:cs="Times New Roman"/>
      <w:sz w:val="20"/>
      <w:szCs w:val="20"/>
      <w:lang w:val="en-US" w:eastAsia="fi-F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525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502"/>
    <w:rPr>
      <w:rFonts w:ascii="Times New Roman" w:eastAsia="Times New Roman" w:hAnsi="Times New Roman" w:cs="Times New Roman"/>
      <w:b/>
      <w:bCs/>
      <w:sz w:val="20"/>
      <w:szCs w:val="20"/>
      <w:lang w:val="en-US" w:eastAsia="fi-FI"/>
    </w:rPr>
  </w:style>
  <w:style w:type="character" w:customStyle="1" w:styleId="hps">
    <w:name w:val="hps"/>
    <w:uiPriority w:val="99"/>
    <w:rsid w:val="00B52502"/>
  </w:style>
  <w:style w:type="table" w:styleId="Mriekatabuky">
    <w:name w:val="Table Grid"/>
    <w:basedOn w:val="Normlnatabuka"/>
    <w:uiPriority w:val="99"/>
    <w:rsid w:val="00B5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B52502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B5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F0E542FCAEE4E91F54C22E7B9E84C" ma:contentTypeVersion="13" ma:contentTypeDescription="Create a new document." ma:contentTypeScope="" ma:versionID="4d337208306c876f54d6afc40f3c4b40">
  <xsd:schema xmlns:xsd="http://www.w3.org/2001/XMLSchema" xmlns:xs="http://www.w3.org/2001/XMLSchema" xmlns:p="http://schemas.microsoft.com/office/2006/metadata/properties" xmlns:ns3="1d789dc2-9a23-4bc6-9039-3b3cc87c5411" xmlns:ns4="e0d34b62-d2c1-498e-a514-87514c54aecd" targetNamespace="http://schemas.microsoft.com/office/2006/metadata/properties" ma:root="true" ma:fieldsID="304dedb10d7ff0d583436ad8c7bf936f" ns3:_="" ns4:_="">
    <xsd:import namespace="1d789dc2-9a23-4bc6-9039-3b3cc87c5411"/>
    <xsd:import namespace="e0d34b62-d2c1-498e-a514-87514c54ae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9dc2-9a23-4bc6-9039-3b3cc87c54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4b62-d2c1-498e-a514-87514c54a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2765C2-6519-49A2-828F-C419BBB56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581DE-32DC-495A-B5CC-60CB224C4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9dc2-9a23-4bc6-9039-3b3cc87c5411"/>
    <ds:schemaRef ds:uri="e0d34b62-d2c1-498e-a514-87514c54a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2799C-3685-4964-8C2A-B7550B905F5E}">
  <ds:schemaRefs>
    <ds:schemaRef ds:uri="http://purl.org/dc/elements/1.1/"/>
    <ds:schemaRef ds:uri="http://schemas.microsoft.com/office/2006/metadata/properties"/>
    <ds:schemaRef ds:uri="1d789dc2-9a23-4bc6-9039-3b3cc87c54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e0d34b62-d2c1-498e-a514-87514c54ae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3739</Words>
  <Characters>21317</Characters>
  <Application>Microsoft Office Word</Application>
  <DocSecurity>0</DocSecurity>
  <Lines>177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Valovičová, Monika</cp:lastModifiedBy>
  <cp:revision>17</cp:revision>
  <cp:lastPrinted>2020-09-16T10:14:00Z</cp:lastPrinted>
  <dcterms:created xsi:type="dcterms:W3CDTF">2020-09-14T12:06:00Z</dcterms:created>
  <dcterms:modified xsi:type="dcterms:W3CDTF">2020-09-16T10:15:00Z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0x010100CF9F0E542FCAEE4E91F54C22E7B9E84C</vt:lpwstr>
  </property>
</Properties>
</file>