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7ACE5" w14:textId="77777777" w:rsidR="00FC547C" w:rsidRPr="0040235D" w:rsidRDefault="00FC547C" w:rsidP="00FC547C">
      <w:pPr>
        <w:spacing w:line="240" w:lineRule="auto"/>
        <w:jc w:val="center"/>
        <w:outlineLvl w:val="0"/>
      </w:pPr>
      <w:r w:rsidRPr="0040235D">
        <w:rPr>
          <w:b/>
        </w:rPr>
        <w:t>SÚHRN CHARAKTERISTICKÝCH VLASTNOSTÍ LIEKU</w:t>
      </w:r>
    </w:p>
    <w:p w14:paraId="109484D4" w14:textId="2CB881EC" w:rsidR="00FC547C" w:rsidRDefault="00FC547C" w:rsidP="00085939">
      <w:pPr>
        <w:spacing w:line="240" w:lineRule="auto"/>
      </w:pPr>
    </w:p>
    <w:p w14:paraId="3D5D0A75" w14:textId="77777777" w:rsidR="00FC547C" w:rsidRPr="0040235D" w:rsidRDefault="00FC547C" w:rsidP="00085939">
      <w:pPr>
        <w:spacing w:line="240" w:lineRule="auto"/>
      </w:pPr>
    </w:p>
    <w:p w14:paraId="529668EF" w14:textId="77777777" w:rsidR="00812D16" w:rsidRPr="0040235D" w:rsidRDefault="001D5E29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40235D">
        <w:rPr>
          <w:b/>
        </w:rPr>
        <w:t>NÁZOV LIEKU</w:t>
      </w:r>
    </w:p>
    <w:p w14:paraId="6F4475F5" w14:textId="77777777" w:rsidR="00812D16" w:rsidRPr="0040235D" w:rsidRDefault="00812D16" w:rsidP="00085939">
      <w:pPr>
        <w:keepNext/>
        <w:spacing w:line="240" w:lineRule="auto"/>
      </w:pPr>
    </w:p>
    <w:p w14:paraId="306E2FBE" w14:textId="3C9E334F" w:rsidR="00812D16" w:rsidRPr="0040235D" w:rsidRDefault="00776A7B" w:rsidP="00204AAB">
      <w:pPr>
        <w:widowControl w:val="0"/>
        <w:spacing w:line="240" w:lineRule="auto"/>
      </w:pPr>
      <w:proofErr w:type="spellStart"/>
      <w:r>
        <w:rPr>
          <w:szCs w:val="22"/>
        </w:rPr>
        <w:t>Azzavix</w:t>
      </w:r>
      <w:proofErr w:type="spellEnd"/>
      <w:r w:rsidR="001D5E29" w:rsidRPr="0040235D">
        <w:t xml:space="preserve"> </w:t>
      </w:r>
      <w:r w:rsidR="001D5E29" w:rsidRPr="0040235D">
        <w:rPr>
          <w:szCs w:val="22"/>
        </w:rPr>
        <w:t xml:space="preserve">500 mg </w:t>
      </w:r>
      <w:proofErr w:type="spellStart"/>
      <w:r w:rsidR="001D5E29" w:rsidRPr="0040235D">
        <w:rPr>
          <w:szCs w:val="22"/>
        </w:rPr>
        <w:t>gastrorezistentné</w:t>
      </w:r>
      <w:proofErr w:type="spellEnd"/>
      <w:r w:rsidR="001D5E29" w:rsidRPr="0040235D">
        <w:rPr>
          <w:szCs w:val="22"/>
        </w:rPr>
        <w:t xml:space="preserve"> tablety</w:t>
      </w:r>
    </w:p>
    <w:p w14:paraId="0E2A49B1" w14:textId="77777777" w:rsidR="00812D16" w:rsidRPr="0040235D" w:rsidRDefault="00812D16" w:rsidP="00204AAB">
      <w:pPr>
        <w:spacing w:line="240" w:lineRule="auto"/>
      </w:pPr>
    </w:p>
    <w:p w14:paraId="0759D196" w14:textId="77777777" w:rsidR="00812D16" w:rsidRPr="0040235D" w:rsidRDefault="00812D16" w:rsidP="00204AAB">
      <w:pPr>
        <w:spacing w:line="240" w:lineRule="auto"/>
      </w:pPr>
    </w:p>
    <w:p w14:paraId="1BCA2982" w14:textId="77777777" w:rsidR="00812D16" w:rsidRPr="0040235D" w:rsidRDefault="001D5E29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40235D">
        <w:rPr>
          <w:b/>
        </w:rPr>
        <w:t>KVALITATÍVNE A</w:t>
      </w:r>
      <w:r w:rsidR="0082445A" w:rsidRPr="0040235D">
        <w:rPr>
          <w:b/>
        </w:rPr>
        <w:t> </w:t>
      </w:r>
      <w:r w:rsidRPr="0040235D">
        <w:rPr>
          <w:b/>
        </w:rPr>
        <w:t>KVANTITATÍVNE ZLOŽENIE</w:t>
      </w:r>
    </w:p>
    <w:p w14:paraId="35A714AD" w14:textId="77777777" w:rsidR="00812D16" w:rsidRPr="0040235D" w:rsidRDefault="00812D16" w:rsidP="00085939">
      <w:pPr>
        <w:keepNext/>
        <w:spacing w:line="240" w:lineRule="auto"/>
      </w:pPr>
    </w:p>
    <w:p w14:paraId="2D53C073" w14:textId="35A5F947" w:rsidR="00812D16" w:rsidRPr="0040235D" w:rsidRDefault="0025603E" w:rsidP="00085939">
      <w:pPr>
        <w:keepNext/>
        <w:spacing w:line="240" w:lineRule="auto"/>
      </w:pPr>
      <w:r w:rsidRPr="0040235D">
        <w:rPr>
          <w:szCs w:val="22"/>
        </w:rPr>
        <w:t xml:space="preserve">Jedna tableta </w:t>
      </w:r>
      <w:proofErr w:type="spellStart"/>
      <w:r w:rsidR="00776A7B">
        <w:rPr>
          <w:szCs w:val="22"/>
        </w:rPr>
        <w:t>Azzavix</w:t>
      </w:r>
      <w:r w:rsidR="007047FD">
        <w:rPr>
          <w:szCs w:val="22"/>
        </w:rPr>
        <w:t>u</w:t>
      </w:r>
      <w:proofErr w:type="spellEnd"/>
      <w:r w:rsidRPr="0040235D">
        <w:rPr>
          <w:szCs w:val="22"/>
        </w:rPr>
        <w:t xml:space="preserve"> obsahuje 500 mg </w:t>
      </w:r>
      <w:proofErr w:type="spellStart"/>
      <w:r w:rsidRPr="0040235D">
        <w:rPr>
          <w:szCs w:val="22"/>
        </w:rPr>
        <w:t>mesalazínu</w:t>
      </w:r>
      <w:proofErr w:type="spellEnd"/>
      <w:r w:rsidR="00DE3670">
        <w:rPr>
          <w:szCs w:val="22"/>
        </w:rPr>
        <w:t>.</w:t>
      </w:r>
    </w:p>
    <w:p w14:paraId="010AC86F" w14:textId="5AE9BF09" w:rsidR="00812D16" w:rsidRPr="0040235D" w:rsidRDefault="001D5E29" w:rsidP="00204AAB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40235D">
        <w:rPr>
          <w:u w:val="single"/>
        </w:rPr>
        <w:t>Pomocná látka</w:t>
      </w:r>
      <w:r w:rsidR="0025603E" w:rsidRPr="0040235D">
        <w:rPr>
          <w:u w:val="single"/>
        </w:rPr>
        <w:t xml:space="preserve"> </w:t>
      </w:r>
      <w:r w:rsidRPr="0040235D">
        <w:rPr>
          <w:u w:val="single"/>
        </w:rPr>
        <w:t>so známym účinkom</w:t>
      </w:r>
      <w:r w:rsidR="00A438F6" w:rsidRPr="0040235D">
        <w:rPr>
          <w:u w:val="single"/>
        </w:rPr>
        <w:t>:</w:t>
      </w:r>
      <w:r w:rsidR="00A438F6" w:rsidRPr="0040235D">
        <w:t xml:space="preserve"> </w:t>
      </w:r>
      <w:r w:rsidR="00DE3670">
        <w:t>J</w:t>
      </w:r>
      <w:r w:rsidR="00A438F6" w:rsidRPr="0040235D">
        <w:t xml:space="preserve">edna tableta obsahuje </w:t>
      </w:r>
      <w:r w:rsidR="00A438F6" w:rsidRPr="0040235D">
        <w:rPr>
          <w:szCs w:val="22"/>
        </w:rPr>
        <w:t>2,13 mmol (49 mg)</w:t>
      </w:r>
      <w:r w:rsidR="00AF24CB" w:rsidRPr="0040235D">
        <w:rPr>
          <w:szCs w:val="22"/>
        </w:rPr>
        <w:t xml:space="preserve"> sodíka</w:t>
      </w:r>
      <w:r w:rsidR="00A438F6" w:rsidRPr="0040235D">
        <w:rPr>
          <w:szCs w:val="22"/>
        </w:rPr>
        <w:t>.</w:t>
      </w:r>
    </w:p>
    <w:p w14:paraId="4BD3D76E" w14:textId="77777777" w:rsidR="00A438F6" w:rsidRPr="0040235D" w:rsidRDefault="00A438F6" w:rsidP="00204AAB">
      <w:pPr>
        <w:spacing w:line="240" w:lineRule="auto"/>
        <w:outlineLvl w:val="0"/>
      </w:pPr>
    </w:p>
    <w:p w14:paraId="15B7F6D6" w14:textId="18FC6D95" w:rsidR="00812D16" w:rsidRPr="0040235D" w:rsidRDefault="001D5E29" w:rsidP="00204AAB">
      <w:pPr>
        <w:spacing w:line="240" w:lineRule="auto"/>
        <w:outlineLvl w:val="0"/>
      </w:pPr>
      <w:r w:rsidRPr="0040235D">
        <w:t>Úplný zoznam pomocných látok, pozri časť 6.1.</w:t>
      </w:r>
    </w:p>
    <w:p w14:paraId="4D851F2C" w14:textId="77777777" w:rsidR="00812D16" w:rsidRPr="0040235D" w:rsidRDefault="00812D16" w:rsidP="00204AAB">
      <w:pPr>
        <w:spacing w:line="240" w:lineRule="auto"/>
      </w:pPr>
    </w:p>
    <w:p w14:paraId="0709BF81" w14:textId="77777777" w:rsidR="00812D16" w:rsidRPr="0040235D" w:rsidRDefault="00812D16" w:rsidP="00204AAB">
      <w:pPr>
        <w:spacing w:line="240" w:lineRule="auto"/>
      </w:pPr>
    </w:p>
    <w:p w14:paraId="1C0471DC" w14:textId="77777777" w:rsidR="00812D16" w:rsidRPr="0040235D" w:rsidRDefault="001D5E29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40235D">
        <w:rPr>
          <w:b/>
        </w:rPr>
        <w:t>LIEKOVÁ FORMA</w:t>
      </w:r>
    </w:p>
    <w:p w14:paraId="7190CF06" w14:textId="77777777" w:rsidR="00812D16" w:rsidRPr="0040235D" w:rsidRDefault="00812D16" w:rsidP="00085939">
      <w:pPr>
        <w:keepNext/>
        <w:spacing w:line="240" w:lineRule="auto"/>
      </w:pPr>
    </w:p>
    <w:p w14:paraId="711291AE" w14:textId="3AF42D04" w:rsidR="00A438F6" w:rsidRPr="0040235D" w:rsidRDefault="00A438F6" w:rsidP="00A438F6">
      <w:pPr>
        <w:rPr>
          <w:color w:val="000000"/>
        </w:rPr>
      </w:pPr>
      <w:proofErr w:type="spellStart"/>
      <w:r w:rsidRPr="0040235D">
        <w:rPr>
          <w:color w:val="000000"/>
        </w:rPr>
        <w:t>Gastrore</w:t>
      </w:r>
      <w:r w:rsidR="00DE3670">
        <w:rPr>
          <w:color w:val="000000"/>
        </w:rPr>
        <w:t>z</w:t>
      </w:r>
      <w:r w:rsidRPr="0040235D">
        <w:rPr>
          <w:color w:val="000000"/>
        </w:rPr>
        <w:t>istentné</w:t>
      </w:r>
      <w:proofErr w:type="spellEnd"/>
      <w:r w:rsidRPr="0040235D">
        <w:rPr>
          <w:color w:val="000000"/>
        </w:rPr>
        <w:t xml:space="preserve"> tablety</w:t>
      </w:r>
      <w:r w:rsidR="00902EB9">
        <w:rPr>
          <w:color w:val="000000"/>
        </w:rPr>
        <w:t>.</w:t>
      </w:r>
    </w:p>
    <w:p w14:paraId="706BBF83" w14:textId="77777777" w:rsidR="00A438F6" w:rsidRPr="0040235D" w:rsidRDefault="00A438F6" w:rsidP="00A438F6">
      <w:pPr>
        <w:rPr>
          <w:color w:val="000000"/>
        </w:rPr>
      </w:pPr>
    </w:p>
    <w:p w14:paraId="3329F569" w14:textId="06EC0298" w:rsidR="00812D16" w:rsidRPr="0040235D" w:rsidRDefault="00A438F6" w:rsidP="00A438F6">
      <w:pPr>
        <w:spacing w:line="240" w:lineRule="auto"/>
      </w:pPr>
      <w:r w:rsidRPr="0040235D">
        <w:rPr>
          <w:color w:val="000000"/>
        </w:rPr>
        <w:t>Oválne tablety s</w:t>
      </w:r>
      <w:r w:rsidR="00186A45" w:rsidRPr="0040235D">
        <w:rPr>
          <w:color w:val="000000"/>
        </w:rPr>
        <w:t> </w:t>
      </w:r>
      <w:r w:rsidRPr="0040235D">
        <w:rPr>
          <w:color w:val="000000"/>
        </w:rPr>
        <w:t>d</w:t>
      </w:r>
      <w:r w:rsidR="00186A45" w:rsidRPr="0040235D">
        <w:rPr>
          <w:color w:val="000000"/>
        </w:rPr>
        <w:t xml:space="preserve">ĺžkou </w:t>
      </w:r>
      <w:r w:rsidRPr="0040235D">
        <w:t>17</w:t>
      </w:r>
      <w:r w:rsidR="00186A45" w:rsidRPr="0040235D">
        <w:t>,</w:t>
      </w:r>
      <w:r w:rsidRPr="0040235D">
        <w:t>9 mm a</w:t>
      </w:r>
      <w:r w:rsidR="00186A45" w:rsidRPr="0040235D">
        <w:t xml:space="preserve"> priemerom </w:t>
      </w:r>
      <w:r w:rsidRPr="0040235D">
        <w:t>8</w:t>
      </w:r>
      <w:r w:rsidR="00186A45" w:rsidRPr="0040235D">
        <w:t>,</w:t>
      </w:r>
      <w:r w:rsidRPr="0040235D">
        <w:t xml:space="preserve">3 mm </w:t>
      </w:r>
      <w:r w:rsidR="00186A45" w:rsidRPr="0040235D">
        <w:t>s</w:t>
      </w:r>
      <w:r w:rsidRPr="0040235D">
        <w:t xml:space="preserve"> homog</w:t>
      </w:r>
      <w:r w:rsidR="00186A45" w:rsidRPr="0040235D">
        <w:t>énnym</w:t>
      </w:r>
      <w:r w:rsidRPr="0040235D">
        <w:t xml:space="preserve"> </w:t>
      </w:r>
      <w:proofErr w:type="spellStart"/>
      <w:r w:rsidRPr="0040235D">
        <w:t>gastrore</w:t>
      </w:r>
      <w:r w:rsidR="00186A45" w:rsidRPr="0040235D">
        <w:t>z</w:t>
      </w:r>
      <w:r w:rsidRPr="0040235D">
        <w:t>ist</w:t>
      </w:r>
      <w:r w:rsidR="00186A45" w:rsidRPr="0040235D">
        <w:t>e</w:t>
      </w:r>
      <w:r w:rsidRPr="0040235D">
        <w:t>nt</w:t>
      </w:r>
      <w:r w:rsidR="00186A45" w:rsidRPr="0040235D">
        <w:t>ným</w:t>
      </w:r>
      <w:proofErr w:type="spellEnd"/>
      <w:r w:rsidRPr="0040235D">
        <w:t xml:space="preserve"> oran</w:t>
      </w:r>
      <w:r w:rsidR="00186A45" w:rsidRPr="0040235D">
        <w:t>žovým</w:t>
      </w:r>
      <w:r w:rsidRPr="0040235D">
        <w:t xml:space="preserve"> </w:t>
      </w:r>
      <w:r w:rsidR="00186A45" w:rsidRPr="0040235D">
        <w:t>obalom</w:t>
      </w:r>
      <w:r w:rsidRPr="0040235D">
        <w:t>.</w:t>
      </w:r>
    </w:p>
    <w:p w14:paraId="6BB8982E" w14:textId="3D5EB691" w:rsidR="00812D16" w:rsidRDefault="00812D16" w:rsidP="00204AAB">
      <w:pPr>
        <w:spacing w:line="240" w:lineRule="auto"/>
      </w:pPr>
    </w:p>
    <w:p w14:paraId="758EB85C" w14:textId="77777777" w:rsidR="00DE3670" w:rsidRPr="0040235D" w:rsidRDefault="00DE3670" w:rsidP="00204AAB">
      <w:pPr>
        <w:spacing w:line="240" w:lineRule="auto"/>
      </w:pPr>
    </w:p>
    <w:p w14:paraId="23B31127" w14:textId="77777777" w:rsidR="00812D16" w:rsidRPr="0040235D" w:rsidRDefault="001D5E29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40235D">
        <w:rPr>
          <w:b/>
        </w:rPr>
        <w:t>KLINICKÉ ÚDAJE</w:t>
      </w:r>
    </w:p>
    <w:p w14:paraId="27A5C323" w14:textId="77777777" w:rsidR="00812D16" w:rsidRPr="0040235D" w:rsidRDefault="00812D16" w:rsidP="00085939">
      <w:pPr>
        <w:keepNext/>
        <w:spacing w:line="240" w:lineRule="auto"/>
      </w:pPr>
    </w:p>
    <w:p w14:paraId="1D3BD183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t>Terapeutické indikácie</w:t>
      </w:r>
    </w:p>
    <w:p w14:paraId="1AE1401F" w14:textId="77777777" w:rsidR="00812D16" w:rsidRPr="0040235D" w:rsidRDefault="00812D16" w:rsidP="00085939">
      <w:pPr>
        <w:keepNext/>
        <w:spacing w:line="240" w:lineRule="auto"/>
      </w:pPr>
    </w:p>
    <w:p w14:paraId="1BF2E7E7" w14:textId="272C2629" w:rsidR="00186A45" w:rsidRPr="0040235D" w:rsidRDefault="00776A7B" w:rsidP="00186A45">
      <w:pPr>
        <w:spacing w:line="240" w:lineRule="auto"/>
        <w:rPr>
          <w:szCs w:val="22"/>
        </w:rPr>
      </w:pPr>
      <w:proofErr w:type="spellStart"/>
      <w:r>
        <w:rPr>
          <w:szCs w:val="22"/>
        </w:rPr>
        <w:t>Azzavix</w:t>
      </w:r>
      <w:proofErr w:type="spellEnd"/>
      <w:r w:rsidR="00186A45" w:rsidRPr="0040235D">
        <w:rPr>
          <w:szCs w:val="22"/>
        </w:rPr>
        <w:t xml:space="preserve"> je indikovaný </w:t>
      </w:r>
      <w:r w:rsidR="00AF7B28">
        <w:rPr>
          <w:szCs w:val="22"/>
        </w:rPr>
        <w:t>na</w:t>
      </w:r>
      <w:r w:rsidR="00186A45" w:rsidRPr="0040235D">
        <w:rPr>
          <w:szCs w:val="22"/>
        </w:rPr>
        <w:t>:</w:t>
      </w:r>
    </w:p>
    <w:p w14:paraId="50B73880" w14:textId="77777777" w:rsidR="00186A45" w:rsidRPr="0040235D" w:rsidRDefault="00186A45" w:rsidP="00186A45">
      <w:pPr>
        <w:spacing w:line="240" w:lineRule="auto"/>
        <w:rPr>
          <w:szCs w:val="22"/>
        </w:rPr>
      </w:pPr>
    </w:p>
    <w:p w14:paraId="1FDEA165" w14:textId="63C0BB6C" w:rsidR="00186A45" w:rsidRPr="0040235D" w:rsidRDefault="00DE3670" w:rsidP="00186A45">
      <w:pPr>
        <w:numPr>
          <w:ilvl w:val="0"/>
          <w:numId w:val="12"/>
        </w:numPr>
        <w:spacing w:line="240" w:lineRule="auto"/>
        <w:rPr>
          <w:szCs w:val="22"/>
        </w:rPr>
      </w:pPr>
      <w:r>
        <w:rPr>
          <w:szCs w:val="22"/>
        </w:rPr>
        <w:t>l</w:t>
      </w:r>
      <w:r w:rsidR="00186A45" w:rsidRPr="0040235D">
        <w:rPr>
          <w:szCs w:val="22"/>
        </w:rPr>
        <w:t>iečb</w:t>
      </w:r>
      <w:r w:rsidR="00AF7B28">
        <w:rPr>
          <w:szCs w:val="22"/>
        </w:rPr>
        <w:t>u</w:t>
      </w:r>
      <w:r w:rsidR="00186A45" w:rsidRPr="0040235D">
        <w:rPr>
          <w:szCs w:val="22"/>
        </w:rPr>
        <w:t xml:space="preserve"> akútnej fázy miernej až stredne závažnej </w:t>
      </w:r>
      <w:proofErr w:type="spellStart"/>
      <w:r w:rsidR="00186A45" w:rsidRPr="0040235D">
        <w:rPr>
          <w:szCs w:val="22"/>
        </w:rPr>
        <w:t>ulceróznej</w:t>
      </w:r>
      <w:proofErr w:type="spellEnd"/>
      <w:r w:rsidR="00186A45" w:rsidRPr="0040235D">
        <w:rPr>
          <w:szCs w:val="22"/>
        </w:rPr>
        <w:t xml:space="preserve"> </w:t>
      </w:r>
      <w:proofErr w:type="spellStart"/>
      <w:r w:rsidR="00186A45" w:rsidRPr="0040235D">
        <w:rPr>
          <w:szCs w:val="22"/>
        </w:rPr>
        <w:t>kolitídy</w:t>
      </w:r>
      <w:proofErr w:type="spellEnd"/>
      <w:r>
        <w:rPr>
          <w:szCs w:val="22"/>
        </w:rPr>
        <w:t>,</w:t>
      </w:r>
    </w:p>
    <w:p w14:paraId="1FFF5E18" w14:textId="6A168BBD" w:rsidR="00186A45" w:rsidRPr="0040235D" w:rsidRDefault="00DE3670" w:rsidP="00186A45">
      <w:pPr>
        <w:numPr>
          <w:ilvl w:val="0"/>
          <w:numId w:val="12"/>
        </w:numPr>
        <w:spacing w:line="240" w:lineRule="auto"/>
        <w:rPr>
          <w:szCs w:val="22"/>
        </w:rPr>
      </w:pPr>
      <w:r>
        <w:rPr>
          <w:szCs w:val="22"/>
        </w:rPr>
        <w:t>u</w:t>
      </w:r>
      <w:r w:rsidR="00186A45" w:rsidRPr="0040235D">
        <w:rPr>
          <w:szCs w:val="22"/>
        </w:rPr>
        <w:t>držiavac</w:t>
      </w:r>
      <w:r w:rsidR="00E65617">
        <w:rPr>
          <w:szCs w:val="22"/>
        </w:rPr>
        <w:t>iu</w:t>
      </w:r>
      <w:r w:rsidR="00186A45" w:rsidRPr="0040235D">
        <w:rPr>
          <w:szCs w:val="22"/>
        </w:rPr>
        <w:t xml:space="preserve"> liečb</w:t>
      </w:r>
      <w:r w:rsidR="00E65617">
        <w:rPr>
          <w:szCs w:val="22"/>
        </w:rPr>
        <w:t>u</w:t>
      </w:r>
      <w:r w:rsidR="00186A45" w:rsidRPr="0040235D">
        <w:rPr>
          <w:szCs w:val="22"/>
        </w:rPr>
        <w:t xml:space="preserve"> </w:t>
      </w:r>
      <w:proofErr w:type="spellStart"/>
      <w:r w:rsidR="00186A45" w:rsidRPr="0040235D">
        <w:rPr>
          <w:szCs w:val="22"/>
        </w:rPr>
        <w:t>remisie</w:t>
      </w:r>
      <w:proofErr w:type="spellEnd"/>
      <w:r w:rsidR="00186A45" w:rsidRPr="0040235D">
        <w:rPr>
          <w:szCs w:val="22"/>
        </w:rPr>
        <w:t xml:space="preserve"> </w:t>
      </w:r>
      <w:proofErr w:type="spellStart"/>
      <w:r w:rsidR="00186A45" w:rsidRPr="0040235D">
        <w:rPr>
          <w:szCs w:val="22"/>
        </w:rPr>
        <w:t>ulceróznej</w:t>
      </w:r>
      <w:proofErr w:type="spellEnd"/>
      <w:r w:rsidR="00186A45" w:rsidRPr="0040235D">
        <w:rPr>
          <w:szCs w:val="22"/>
        </w:rPr>
        <w:t xml:space="preserve"> </w:t>
      </w:r>
      <w:proofErr w:type="spellStart"/>
      <w:r w:rsidR="00186A45" w:rsidRPr="0040235D">
        <w:rPr>
          <w:szCs w:val="22"/>
        </w:rPr>
        <w:t>kolitídy</w:t>
      </w:r>
      <w:proofErr w:type="spellEnd"/>
      <w:r w:rsidR="00186A45" w:rsidRPr="0040235D">
        <w:rPr>
          <w:szCs w:val="22"/>
        </w:rPr>
        <w:t>.</w:t>
      </w:r>
    </w:p>
    <w:p w14:paraId="6A1A35FB" w14:textId="77777777" w:rsidR="00812D16" w:rsidRPr="0040235D" w:rsidRDefault="00812D16" w:rsidP="00204AAB">
      <w:pPr>
        <w:spacing w:line="240" w:lineRule="auto"/>
      </w:pPr>
    </w:p>
    <w:p w14:paraId="0A95CF2E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40235D">
        <w:rPr>
          <w:b/>
        </w:rPr>
        <w:t>Dávkovanie a spôsob podávania</w:t>
      </w:r>
    </w:p>
    <w:p w14:paraId="3039C7E4" w14:textId="77777777" w:rsidR="00812D16" w:rsidRPr="0040235D" w:rsidRDefault="00812D16" w:rsidP="00085939">
      <w:pPr>
        <w:keepNext/>
        <w:spacing w:line="240" w:lineRule="auto"/>
      </w:pPr>
    </w:p>
    <w:p w14:paraId="33B647CD" w14:textId="43F29109" w:rsidR="00812D16" w:rsidRDefault="001D5E29" w:rsidP="00085939">
      <w:pPr>
        <w:keepNext/>
        <w:spacing w:line="240" w:lineRule="auto"/>
        <w:rPr>
          <w:u w:val="single"/>
        </w:rPr>
      </w:pPr>
      <w:r w:rsidRPr="0040235D">
        <w:rPr>
          <w:u w:val="single"/>
        </w:rPr>
        <w:t>Dávkovanie</w:t>
      </w:r>
    </w:p>
    <w:p w14:paraId="4BB2D17F" w14:textId="77777777" w:rsidR="000836E2" w:rsidRPr="0040235D" w:rsidRDefault="000836E2" w:rsidP="00085939">
      <w:pPr>
        <w:keepNext/>
        <w:spacing w:line="240" w:lineRule="auto"/>
        <w:rPr>
          <w:u w:val="single"/>
        </w:rPr>
      </w:pPr>
    </w:p>
    <w:p w14:paraId="6018146C" w14:textId="71D314CF" w:rsidR="00186A45" w:rsidRPr="0040235D" w:rsidRDefault="00186A45" w:rsidP="00085939">
      <w:pPr>
        <w:keepNext/>
        <w:spacing w:line="240" w:lineRule="auto"/>
        <w:rPr>
          <w:iCs/>
        </w:rPr>
      </w:pPr>
      <w:r w:rsidRPr="0040235D">
        <w:rPr>
          <w:iCs/>
        </w:rPr>
        <w:t>Počas akútnej zápalovej fázy a pri dlhodobej udržiavacej liečbe musí pacient presne dodržiavať liečbu stanovenú lekárom, aby sa zabezpečil zamýšľaný terapeutický účinok.</w:t>
      </w:r>
    </w:p>
    <w:p w14:paraId="6EAB2960" w14:textId="77777777" w:rsidR="00186A45" w:rsidRPr="0040235D" w:rsidRDefault="00186A45" w:rsidP="00085939">
      <w:pPr>
        <w:keepNext/>
        <w:spacing w:line="240" w:lineRule="auto"/>
        <w:rPr>
          <w:i/>
        </w:rPr>
      </w:pPr>
    </w:p>
    <w:p w14:paraId="54FA15D7" w14:textId="4FF8E982" w:rsidR="00186A45" w:rsidRPr="0040235D" w:rsidRDefault="00186A45" w:rsidP="00186A45">
      <w:pPr>
        <w:pStyle w:val="Zkladntext"/>
        <w:rPr>
          <w:color w:val="auto"/>
          <w:u w:val="single"/>
          <w:lang w:val="sk-SK" w:eastAsia="es-ES" w:bidi="es-ES"/>
        </w:rPr>
      </w:pPr>
      <w:r w:rsidRPr="0040235D">
        <w:rPr>
          <w:color w:val="auto"/>
          <w:u w:val="single"/>
          <w:lang w:val="sk-SK" w:eastAsia="es-ES" w:bidi="es-ES"/>
        </w:rPr>
        <w:t>Dospelí</w:t>
      </w:r>
    </w:p>
    <w:p w14:paraId="1924AA8E" w14:textId="47082FC4" w:rsidR="00186A45" w:rsidRPr="0040235D" w:rsidRDefault="00186A45" w:rsidP="00186A45">
      <w:pPr>
        <w:spacing w:line="240" w:lineRule="auto"/>
        <w:rPr>
          <w:szCs w:val="22"/>
        </w:rPr>
      </w:pPr>
      <w:r w:rsidRPr="0040235D">
        <w:rPr>
          <w:szCs w:val="22"/>
        </w:rPr>
        <w:t>Dávkovanie sa má upraviť podľa odpovede</w:t>
      </w:r>
      <w:r w:rsidR="008840FD">
        <w:rPr>
          <w:szCs w:val="22"/>
        </w:rPr>
        <w:t xml:space="preserve"> pacienta</w:t>
      </w:r>
      <w:r w:rsidRPr="0040235D">
        <w:rPr>
          <w:szCs w:val="22"/>
        </w:rPr>
        <w:t>. Odporúča sa nasledovné dávkovanie:</w:t>
      </w:r>
    </w:p>
    <w:p w14:paraId="2EAFCE12" w14:textId="77777777" w:rsidR="00186A45" w:rsidRPr="0040235D" w:rsidRDefault="00186A45" w:rsidP="00186A45">
      <w:pPr>
        <w:spacing w:line="240" w:lineRule="auto"/>
        <w:rPr>
          <w:szCs w:val="22"/>
        </w:rPr>
      </w:pPr>
    </w:p>
    <w:p w14:paraId="29816321" w14:textId="47626409" w:rsidR="00186A45" w:rsidRPr="0040235D" w:rsidRDefault="00186A45" w:rsidP="00186A45">
      <w:pPr>
        <w:pStyle w:val="Zkladntext"/>
        <w:numPr>
          <w:ilvl w:val="0"/>
          <w:numId w:val="13"/>
        </w:numPr>
        <w:tabs>
          <w:tab w:val="left" w:pos="567"/>
        </w:tabs>
        <w:ind w:left="567" w:hanging="207"/>
        <w:jc w:val="both"/>
        <w:rPr>
          <w:i w:val="0"/>
          <w:color w:val="auto"/>
          <w:lang w:val="sk-SK"/>
        </w:rPr>
      </w:pPr>
      <w:proofErr w:type="spellStart"/>
      <w:r w:rsidRPr="0040235D">
        <w:rPr>
          <w:i w:val="0"/>
          <w:color w:val="auto"/>
          <w:lang w:val="sk-SK"/>
        </w:rPr>
        <w:t>Ulcerózna</w:t>
      </w:r>
      <w:proofErr w:type="spellEnd"/>
      <w:r w:rsidRPr="0040235D">
        <w:rPr>
          <w:i w:val="0"/>
          <w:color w:val="auto"/>
          <w:lang w:val="sk-SK"/>
        </w:rPr>
        <w:t xml:space="preserve"> </w:t>
      </w:r>
      <w:proofErr w:type="spellStart"/>
      <w:r w:rsidRPr="0040235D">
        <w:rPr>
          <w:i w:val="0"/>
          <w:color w:val="auto"/>
          <w:lang w:val="sk-SK"/>
        </w:rPr>
        <w:t>kolitída</w:t>
      </w:r>
      <w:proofErr w:type="spellEnd"/>
      <w:r w:rsidRPr="0040235D">
        <w:rPr>
          <w:i w:val="0"/>
          <w:color w:val="auto"/>
          <w:lang w:val="sk-SK"/>
        </w:rPr>
        <w:t xml:space="preserve"> (akútna fáza): 1,5 </w:t>
      </w:r>
      <w:r w:rsidR="008840FD">
        <w:rPr>
          <w:i w:val="0"/>
          <w:color w:val="auto"/>
          <w:lang w:val="sk-SK"/>
        </w:rPr>
        <w:t>–</w:t>
      </w:r>
      <w:r w:rsidRPr="0040235D">
        <w:rPr>
          <w:i w:val="0"/>
          <w:color w:val="auto"/>
          <w:lang w:val="sk-SK"/>
        </w:rPr>
        <w:t xml:space="preserve"> 4 g </w:t>
      </w:r>
      <w:proofErr w:type="spellStart"/>
      <w:r w:rsidRPr="0040235D">
        <w:rPr>
          <w:i w:val="0"/>
          <w:color w:val="auto"/>
          <w:lang w:val="sk-SK"/>
        </w:rPr>
        <w:t>mesalazínu</w:t>
      </w:r>
      <w:proofErr w:type="spellEnd"/>
      <w:r w:rsidRPr="0040235D">
        <w:rPr>
          <w:i w:val="0"/>
          <w:color w:val="auto"/>
          <w:lang w:val="sk-SK"/>
        </w:rPr>
        <w:t xml:space="preserve"> denne, jedenkrát denne alebo v rozdelených dávkach. </w:t>
      </w:r>
      <w:r w:rsidR="00231EB0" w:rsidRPr="0040235D">
        <w:rPr>
          <w:i w:val="0"/>
          <w:color w:val="auto"/>
          <w:lang w:val="sk-SK"/>
        </w:rPr>
        <w:t>U p</w:t>
      </w:r>
      <w:r w:rsidRPr="0040235D">
        <w:rPr>
          <w:i w:val="0"/>
          <w:color w:val="auto"/>
          <w:lang w:val="sk-SK"/>
        </w:rPr>
        <w:t>aciento</w:t>
      </w:r>
      <w:r w:rsidR="00231EB0" w:rsidRPr="0040235D">
        <w:rPr>
          <w:i w:val="0"/>
          <w:color w:val="auto"/>
          <w:lang w:val="sk-SK"/>
        </w:rPr>
        <w:t>v</w:t>
      </w:r>
      <w:r w:rsidRPr="0040235D">
        <w:rPr>
          <w:i w:val="0"/>
          <w:color w:val="auto"/>
          <w:lang w:val="sk-SK"/>
        </w:rPr>
        <w:t xml:space="preserve">, ktorí neodpovedajú na nižšie dávky </w:t>
      </w:r>
      <w:proofErr w:type="spellStart"/>
      <w:r w:rsidRPr="0040235D">
        <w:rPr>
          <w:i w:val="0"/>
          <w:color w:val="auto"/>
          <w:lang w:val="sk-SK"/>
        </w:rPr>
        <w:t>mesalazínu</w:t>
      </w:r>
      <w:proofErr w:type="spellEnd"/>
      <w:r w:rsidRPr="0040235D">
        <w:rPr>
          <w:i w:val="0"/>
          <w:color w:val="auto"/>
          <w:lang w:val="sk-SK"/>
        </w:rPr>
        <w:t xml:space="preserve">, sa odporúča dávka 4 g. </w:t>
      </w:r>
      <w:r w:rsidR="00231EB0" w:rsidRPr="0040235D">
        <w:rPr>
          <w:i w:val="0"/>
          <w:color w:val="auto"/>
          <w:lang w:val="sk-SK"/>
        </w:rPr>
        <w:t>Účinok liečby sa má vyhodnotiť po 8 týždňoch od jej začatia</w:t>
      </w:r>
      <w:r w:rsidRPr="0040235D">
        <w:rPr>
          <w:i w:val="0"/>
          <w:color w:val="auto"/>
          <w:lang w:val="sk-SK"/>
        </w:rPr>
        <w:t>.</w:t>
      </w:r>
    </w:p>
    <w:p w14:paraId="63C4B39D" w14:textId="5ADF9782" w:rsidR="00186A45" w:rsidRPr="0040235D" w:rsidRDefault="00186A45" w:rsidP="00186A45">
      <w:pPr>
        <w:pStyle w:val="Zkladntext"/>
        <w:numPr>
          <w:ilvl w:val="0"/>
          <w:numId w:val="13"/>
        </w:numPr>
        <w:tabs>
          <w:tab w:val="left" w:pos="567"/>
        </w:tabs>
        <w:ind w:left="567" w:hanging="207"/>
        <w:jc w:val="both"/>
        <w:rPr>
          <w:i w:val="0"/>
          <w:color w:val="auto"/>
          <w:lang w:val="sk-SK"/>
        </w:rPr>
      </w:pPr>
      <w:proofErr w:type="spellStart"/>
      <w:r w:rsidRPr="0040235D">
        <w:rPr>
          <w:i w:val="0"/>
          <w:color w:val="auto"/>
          <w:lang w:val="sk-SK"/>
        </w:rPr>
        <w:t>Ulcer</w:t>
      </w:r>
      <w:r w:rsidR="00231EB0" w:rsidRPr="0040235D">
        <w:rPr>
          <w:i w:val="0"/>
          <w:color w:val="auto"/>
          <w:lang w:val="sk-SK"/>
        </w:rPr>
        <w:t>ózna</w:t>
      </w:r>
      <w:proofErr w:type="spellEnd"/>
      <w:r w:rsidRPr="0040235D">
        <w:rPr>
          <w:i w:val="0"/>
          <w:color w:val="auto"/>
          <w:lang w:val="sk-SK"/>
        </w:rPr>
        <w:t xml:space="preserve"> </w:t>
      </w:r>
      <w:proofErr w:type="spellStart"/>
      <w:r w:rsidR="00231EB0" w:rsidRPr="0040235D">
        <w:rPr>
          <w:i w:val="0"/>
          <w:color w:val="auto"/>
          <w:lang w:val="sk-SK"/>
        </w:rPr>
        <w:t>k</w:t>
      </w:r>
      <w:r w:rsidRPr="0040235D">
        <w:rPr>
          <w:i w:val="0"/>
          <w:color w:val="auto"/>
          <w:lang w:val="sk-SK"/>
        </w:rPr>
        <w:t>olit</w:t>
      </w:r>
      <w:r w:rsidR="00231EB0" w:rsidRPr="0040235D">
        <w:rPr>
          <w:i w:val="0"/>
          <w:color w:val="auto"/>
          <w:lang w:val="sk-SK"/>
        </w:rPr>
        <w:t>ída</w:t>
      </w:r>
      <w:proofErr w:type="spellEnd"/>
      <w:r w:rsidRPr="0040235D">
        <w:rPr>
          <w:i w:val="0"/>
          <w:color w:val="auto"/>
          <w:lang w:val="sk-SK"/>
        </w:rPr>
        <w:t xml:space="preserve"> (</w:t>
      </w:r>
      <w:r w:rsidR="00231EB0" w:rsidRPr="0040235D">
        <w:rPr>
          <w:i w:val="0"/>
          <w:color w:val="auto"/>
          <w:lang w:val="sk-SK"/>
        </w:rPr>
        <w:t>udržiavanie</w:t>
      </w:r>
      <w:r w:rsidRPr="0040235D">
        <w:rPr>
          <w:i w:val="0"/>
          <w:color w:val="auto"/>
          <w:lang w:val="sk-SK"/>
        </w:rPr>
        <w:t>): 1,5</w:t>
      </w:r>
      <w:r w:rsidR="00D42A7A" w:rsidRPr="0040235D">
        <w:rPr>
          <w:i w:val="0"/>
          <w:color w:val="auto"/>
          <w:lang w:val="sk-SK"/>
        </w:rPr>
        <w:t xml:space="preserve"> </w:t>
      </w:r>
      <w:r w:rsidR="00D42A7A">
        <w:rPr>
          <w:i w:val="0"/>
          <w:color w:val="auto"/>
          <w:lang w:val="sk-SK"/>
        </w:rPr>
        <w:t>–</w:t>
      </w:r>
      <w:r w:rsidR="00D42A7A" w:rsidRPr="0040235D">
        <w:rPr>
          <w:i w:val="0"/>
          <w:color w:val="auto"/>
          <w:lang w:val="sk-SK"/>
        </w:rPr>
        <w:t xml:space="preserve"> </w:t>
      </w:r>
      <w:r w:rsidRPr="0040235D">
        <w:rPr>
          <w:i w:val="0"/>
          <w:color w:val="auto"/>
          <w:lang w:val="sk-SK"/>
        </w:rPr>
        <w:t xml:space="preserve">3 g </w:t>
      </w:r>
      <w:proofErr w:type="spellStart"/>
      <w:r w:rsidRPr="0040235D">
        <w:rPr>
          <w:i w:val="0"/>
          <w:color w:val="auto"/>
          <w:lang w:val="sk-SK"/>
        </w:rPr>
        <w:t>mesalaz</w:t>
      </w:r>
      <w:r w:rsidR="00231EB0" w:rsidRPr="0040235D">
        <w:rPr>
          <w:i w:val="0"/>
          <w:color w:val="auto"/>
          <w:lang w:val="sk-SK"/>
        </w:rPr>
        <w:t>ínu</w:t>
      </w:r>
      <w:proofErr w:type="spellEnd"/>
      <w:r w:rsidRPr="0040235D">
        <w:rPr>
          <w:i w:val="0"/>
          <w:color w:val="auto"/>
          <w:lang w:val="sk-SK"/>
        </w:rPr>
        <w:t xml:space="preserve"> d</w:t>
      </w:r>
      <w:r w:rsidR="00231EB0" w:rsidRPr="0040235D">
        <w:rPr>
          <w:i w:val="0"/>
          <w:color w:val="auto"/>
          <w:lang w:val="sk-SK"/>
        </w:rPr>
        <w:t>enne</w:t>
      </w:r>
      <w:r w:rsidRPr="0040235D">
        <w:rPr>
          <w:i w:val="0"/>
          <w:color w:val="auto"/>
          <w:lang w:val="sk-SK"/>
        </w:rPr>
        <w:t>,</w:t>
      </w:r>
      <w:r w:rsidR="00231EB0" w:rsidRPr="0040235D">
        <w:rPr>
          <w:i w:val="0"/>
          <w:color w:val="auto"/>
          <w:lang w:val="sk-SK"/>
        </w:rPr>
        <w:t xml:space="preserve"> jedenkrát denne alebo v</w:t>
      </w:r>
      <w:r w:rsidR="000836E2">
        <w:rPr>
          <w:i w:val="0"/>
          <w:color w:val="auto"/>
          <w:lang w:val="sk-SK"/>
        </w:rPr>
        <w:t> </w:t>
      </w:r>
      <w:r w:rsidR="00231EB0" w:rsidRPr="0040235D">
        <w:rPr>
          <w:i w:val="0"/>
          <w:color w:val="auto"/>
          <w:lang w:val="sk-SK"/>
        </w:rPr>
        <w:t>rozdelených dávkach</w:t>
      </w:r>
      <w:r w:rsidRPr="0040235D">
        <w:rPr>
          <w:i w:val="0"/>
          <w:color w:val="auto"/>
          <w:lang w:val="sk-SK"/>
        </w:rPr>
        <w:t xml:space="preserve">. </w:t>
      </w:r>
      <w:r w:rsidR="00231EB0" w:rsidRPr="0040235D">
        <w:rPr>
          <w:i w:val="0"/>
          <w:color w:val="auto"/>
          <w:lang w:val="sk-SK"/>
        </w:rPr>
        <w:t>Dávka</w:t>
      </w:r>
      <w:r w:rsidRPr="0040235D">
        <w:rPr>
          <w:i w:val="0"/>
          <w:color w:val="auto"/>
          <w:lang w:val="sk-SK"/>
        </w:rPr>
        <w:t xml:space="preserve"> 3 g </w:t>
      </w:r>
      <w:r w:rsidR="00231EB0" w:rsidRPr="0040235D">
        <w:rPr>
          <w:i w:val="0"/>
          <w:color w:val="auto"/>
          <w:lang w:val="sk-SK"/>
        </w:rPr>
        <w:t xml:space="preserve">sa odporúča u pacientov, ktorí neodpovedajú na nižšie dávky </w:t>
      </w:r>
      <w:proofErr w:type="spellStart"/>
      <w:r w:rsidR="00231EB0" w:rsidRPr="0040235D">
        <w:rPr>
          <w:i w:val="0"/>
          <w:color w:val="auto"/>
          <w:lang w:val="sk-SK"/>
        </w:rPr>
        <w:t>mesalazínu</w:t>
      </w:r>
      <w:proofErr w:type="spellEnd"/>
      <w:r w:rsidR="00231EB0" w:rsidRPr="0040235D">
        <w:rPr>
          <w:i w:val="0"/>
          <w:color w:val="auto"/>
          <w:lang w:val="sk-SK"/>
        </w:rPr>
        <w:t xml:space="preserve"> a u tých pacientov, ktorí vyžadujú vyššie dávky počas akútnej fázy</w:t>
      </w:r>
      <w:r w:rsidRPr="0040235D">
        <w:rPr>
          <w:i w:val="0"/>
          <w:color w:val="auto"/>
          <w:lang w:val="sk-SK"/>
        </w:rPr>
        <w:t>.</w:t>
      </w:r>
    </w:p>
    <w:p w14:paraId="0C2B8AF2" w14:textId="77777777" w:rsidR="00186A45" w:rsidRPr="0040235D" w:rsidRDefault="00186A45" w:rsidP="00186A45">
      <w:pPr>
        <w:spacing w:line="240" w:lineRule="auto"/>
        <w:rPr>
          <w:szCs w:val="22"/>
        </w:rPr>
      </w:pPr>
    </w:p>
    <w:p w14:paraId="7D7E1185" w14:textId="4E559DAD" w:rsidR="00186A45" w:rsidRPr="0040235D" w:rsidRDefault="00231EB0" w:rsidP="00186A45">
      <w:pPr>
        <w:pStyle w:val="Zkladntext"/>
        <w:rPr>
          <w:color w:val="auto"/>
          <w:u w:val="single"/>
          <w:lang w:val="sk-SK" w:eastAsia="es-ES" w:bidi="es-ES"/>
        </w:rPr>
      </w:pPr>
      <w:r w:rsidRPr="0040235D">
        <w:rPr>
          <w:color w:val="auto"/>
          <w:u w:val="single"/>
          <w:lang w:val="sk-SK" w:eastAsia="es-ES" w:bidi="es-ES"/>
        </w:rPr>
        <w:t>Starší pacienti</w:t>
      </w:r>
    </w:p>
    <w:p w14:paraId="7626491F" w14:textId="3014A732" w:rsidR="00186A45" w:rsidRPr="0040235D" w:rsidRDefault="000836E2" w:rsidP="00186A45">
      <w:pPr>
        <w:keepNext/>
        <w:spacing w:line="240" w:lineRule="auto"/>
        <w:rPr>
          <w:i/>
        </w:rPr>
      </w:pPr>
      <w:r>
        <w:lastRenderedPageBreak/>
        <w:t>Neboli vykonané žiadne štúdie</w:t>
      </w:r>
      <w:r w:rsidR="00186A45" w:rsidRPr="0040235D">
        <w:t xml:space="preserve">. </w:t>
      </w:r>
      <w:r w:rsidR="00231EB0" w:rsidRPr="0040235D">
        <w:t>U starších pacientov sa</w:t>
      </w:r>
      <w:r w:rsidR="00776A7B">
        <w:rPr>
          <w:szCs w:val="22"/>
        </w:rPr>
        <w:t xml:space="preserve"> </w:t>
      </w:r>
      <w:proofErr w:type="spellStart"/>
      <w:r w:rsidR="00776A7B">
        <w:rPr>
          <w:szCs w:val="22"/>
        </w:rPr>
        <w:t>Azzavix</w:t>
      </w:r>
      <w:proofErr w:type="spellEnd"/>
      <w:r w:rsidR="00776A7B">
        <w:rPr>
          <w:szCs w:val="22"/>
        </w:rPr>
        <w:t xml:space="preserve"> </w:t>
      </w:r>
      <w:r w:rsidR="00231EB0" w:rsidRPr="0040235D">
        <w:rPr>
          <w:szCs w:val="22"/>
        </w:rPr>
        <w:t>musí podávať s opatrnosťou</w:t>
      </w:r>
      <w:r w:rsidR="00186A45" w:rsidRPr="0040235D">
        <w:rPr>
          <w:szCs w:val="22"/>
        </w:rPr>
        <w:t xml:space="preserve"> a</w:t>
      </w:r>
      <w:r w:rsidR="00231EB0" w:rsidRPr="0040235D">
        <w:rPr>
          <w:szCs w:val="22"/>
        </w:rPr>
        <w:t> iba pacientom s normálnou funkciou obličiek</w:t>
      </w:r>
      <w:r w:rsidR="00186A45" w:rsidRPr="0040235D">
        <w:rPr>
          <w:szCs w:val="22"/>
        </w:rPr>
        <w:t>.</w:t>
      </w:r>
    </w:p>
    <w:p w14:paraId="0F589934" w14:textId="77777777" w:rsidR="00186A45" w:rsidRPr="0040235D" w:rsidRDefault="00186A45" w:rsidP="00085939">
      <w:pPr>
        <w:keepNext/>
        <w:spacing w:line="240" w:lineRule="auto"/>
        <w:rPr>
          <w:i/>
        </w:rPr>
      </w:pPr>
    </w:p>
    <w:p w14:paraId="157DEA9E" w14:textId="35D0339B" w:rsidR="00812D16" w:rsidRPr="0040235D" w:rsidRDefault="001D5E29" w:rsidP="000836E2">
      <w:pPr>
        <w:keepNext/>
        <w:spacing w:line="240" w:lineRule="auto"/>
        <w:rPr>
          <w:i/>
          <w:u w:val="single"/>
        </w:rPr>
      </w:pPr>
      <w:r w:rsidRPr="0040235D">
        <w:rPr>
          <w:i/>
          <w:u w:val="single"/>
        </w:rPr>
        <w:t>Pediatrická populácia</w:t>
      </w:r>
    </w:p>
    <w:p w14:paraId="4D20D08F" w14:textId="118B0E5A" w:rsidR="00812D16" w:rsidRPr="0040235D" w:rsidRDefault="001D5E29" w:rsidP="00204AAB">
      <w:pPr>
        <w:autoSpaceDE w:val="0"/>
        <w:autoSpaceDN w:val="0"/>
        <w:adjustRightInd w:val="0"/>
        <w:spacing w:line="240" w:lineRule="auto"/>
      </w:pPr>
      <w:r w:rsidRPr="0040235D">
        <w:t>Bezpečnosť</w:t>
      </w:r>
      <w:r w:rsidR="00231EB0" w:rsidRPr="0040235D">
        <w:t xml:space="preserve"> </w:t>
      </w:r>
      <w:r w:rsidRPr="0040235D">
        <w:t>a</w:t>
      </w:r>
      <w:r w:rsidR="00231EB0" w:rsidRPr="0040235D">
        <w:t xml:space="preserve"> </w:t>
      </w:r>
      <w:r w:rsidRPr="0040235D">
        <w:t xml:space="preserve">účinnosť </w:t>
      </w:r>
      <w:proofErr w:type="spellStart"/>
      <w:r w:rsidR="00231EB0" w:rsidRPr="0040235D">
        <w:t>mesalazínu</w:t>
      </w:r>
      <w:proofErr w:type="spellEnd"/>
      <w:r w:rsidR="00231EB0" w:rsidRPr="0040235D">
        <w:t xml:space="preserve"> </w:t>
      </w:r>
      <w:r w:rsidRPr="0040235D">
        <w:t>u</w:t>
      </w:r>
      <w:r w:rsidR="00231EB0" w:rsidRPr="0040235D">
        <w:t> </w:t>
      </w:r>
      <w:r w:rsidRPr="0040235D">
        <w:t>detí</w:t>
      </w:r>
      <w:r w:rsidR="00231EB0" w:rsidRPr="0040235D">
        <w:t xml:space="preserve"> a dospievajúcich</w:t>
      </w:r>
      <w:r w:rsidRPr="0040235D">
        <w:t xml:space="preserve"> vo veku </w:t>
      </w:r>
      <w:r w:rsidR="00231EB0" w:rsidRPr="0040235D">
        <w:t xml:space="preserve">menej ako 18 </w:t>
      </w:r>
      <w:r w:rsidRPr="0040235D">
        <w:t>rokov</w:t>
      </w:r>
      <w:r w:rsidR="00BA6018" w:rsidRPr="0040235D">
        <w:t xml:space="preserve"> </w:t>
      </w:r>
      <w:r w:rsidRPr="0040235D">
        <w:t>neboli stanovené.</w:t>
      </w:r>
      <w:r w:rsidR="00BA6018" w:rsidRPr="0040235D">
        <w:t xml:space="preserve"> Nepodávajte deťom mladším ako 5 rokov.</w:t>
      </w:r>
    </w:p>
    <w:p w14:paraId="217412D4" w14:textId="77777777" w:rsidR="009921E6" w:rsidRPr="0040235D" w:rsidRDefault="009921E6" w:rsidP="00204AAB">
      <w:pPr>
        <w:spacing w:line="240" w:lineRule="auto"/>
        <w:rPr>
          <w:u w:val="single"/>
        </w:rPr>
      </w:pPr>
    </w:p>
    <w:p w14:paraId="7D0302DD" w14:textId="261BDD10" w:rsidR="00812D16" w:rsidRDefault="001D5E29" w:rsidP="00085939">
      <w:pPr>
        <w:keepNext/>
        <w:spacing w:line="240" w:lineRule="auto"/>
        <w:rPr>
          <w:u w:val="single"/>
        </w:rPr>
      </w:pPr>
      <w:r w:rsidRPr="0040235D">
        <w:rPr>
          <w:u w:val="single"/>
        </w:rPr>
        <w:t>Spôsob podávania</w:t>
      </w:r>
    </w:p>
    <w:p w14:paraId="15FC862F" w14:textId="77777777" w:rsidR="000836E2" w:rsidRPr="0040235D" w:rsidRDefault="000836E2" w:rsidP="00085939">
      <w:pPr>
        <w:keepNext/>
        <w:spacing w:line="240" w:lineRule="auto"/>
        <w:rPr>
          <w:u w:val="single"/>
        </w:rPr>
      </w:pPr>
    </w:p>
    <w:p w14:paraId="2FEAC848" w14:textId="17B7E394" w:rsidR="00BA6018" w:rsidRPr="0040235D" w:rsidRDefault="00BA6018" w:rsidP="00085939">
      <w:pPr>
        <w:keepNext/>
        <w:spacing w:line="240" w:lineRule="auto"/>
      </w:pPr>
      <w:r w:rsidRPr="0040235D">
        <w:t>Perorálne použitie</w:t>
      </w:r>
      <w:r w:rsidR="00FF78F5">
        <w:t>.</w:t>
      </w:r>
    </w:p>
    <w:p w14:paraId="53F7882C" w14:textId="243DA8B3" w:rsidR="00812D16" w:rsidRPr="0040235D" w:rsidRDefault="00BA6018" w:rsidP="00BA6018">
      <w:pPr>
        <w:keepNext/>
        <w:spacing w:line="240" w:lineRule="auto"/>
      </w:pPr>
      <w:r w:rsidRPr="0040235D">
        <w:t>Tablety sa musia užívať pred jedlom, prehltnúť vcelku a zapiť trochou tekutiny.</w:t>
      </w:r>
    </w:p>
    <w:p w14:paraId="5A2FD447" w14:textId="77777777" w:rsidR="00812D16" w:rsidRPr="0040235D" w:rsidRDefault="00812D16" w:rsidP="00204AAB">
      <w:pPr>
        <w:spacing w:line="240" w:lineRule="auto"/>
      </w:pPr>
    </w:p>
    <w:p w14:paraId="3C49BEA2" w14:textId="4F0D671E" w:rsidR="00812D16" w:rsidRPr="0040235D" w:rsidRDefault="001D5E29" w:rsidP="00085939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t>Kontraindikácie</w:t>
      </w:r>
    </w:p>
    <w:p w14:paraId="23216410" w14:textId="77777777" w:rsidR="00BA6018" w:rsidRPr="0040235D" w:rsidRDefault="00BA6018" w:rsidP="00BA6018">
      <w:pPr>
        <w:spacing w:line="240" w:lineRule="auto"/>
        <w:rPr>
          <w:szCs w:val="22"/>
        </w:rPr>
      </w:pPr>
    </w:p>
    <w:p w14:paraId="53088078" w14:textId="446FCD44" w:rsidR="00BA6018" w:rsidRPr="0040235D" w:rsidRDefault="00BA6018" w:rsidP="0063749C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szCs w:val="22"/>
        </w:rPr>
      </w:pPr>
      <w:r w:rsidRPr="0040235D">
        <w:t>Precitlivenosť na liečivo alebo na ktorúkoľvek z pomocných látok uvedených v časti 6.1</w:t>
      </w:r>
      <w:r w:rsidR="00902EB9">
        <w:t>.</w:t>
      </w:r>
    </w:p>
    <w:p w14:paraId="08356073" w14:textId="1022893D" w:rsidR="00BA6018" w:rsidRPr="0040235D" w:rsidRDefault="00BA6018" w:rsidP="0063749C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SimSun"/>
          <w:szCs w:val="22"/>
        </w:rPr>
      </w:pPr>
      <w:r w:rsidRPr="0040235D">
        <w:rPr>
          <w:rFonts w:eastAsia="SimSun"/>
          <w:szCs w:val="22"/>
        </w:rPr>
        <w:t>Už prítomn</w:t>
      </w:r>
      <w:r w:rsidR="00D0502D" w:rsidRPr="0040235D">
        <w:rPr>
          <w:rFonts w:eastAsia="SimSun"/>
          <w:szCs w:val="22"/>
        </w:rPr>
        <w:t>á</w:t>
      </w:r>
      <w:r w:rsidRPr="0040235D">
        <w:rPr>
          <w:rFonts w:eastAsia="SimSun"/>
          <w:szCs w:val="22"/>
        </w:rPr>
        <w:t xml:space="preserve"> precitlivenos</w:t>
      </w:r>
      <w:r w:rsidR="00D0502D" w:rsidRPr="0040235D">
        <w:rPr>
          <w:rFonts w:eastAsia="SimSun"/>
          <w:szCs w:val="22"/>
        </w:rPr>
        <w:t>ť</w:t>
      </w:r>
      <w:r w:rsidRPr="0040235D">
        <w:rPr>
          <w:rFonts w:eastAsia="SimSun"/>
          <w:szCs w:val="22"/>
        </w:rPr>
        <w:t xml:space="preserve"> na kyselinu salicy</w:t>
      </w:r>
      <w:r w:rsidR="00D0502D" w:rsidRPr="0040235D">
        <w:rPr>
          <w:rFonts w:eastAsia="SimSun"/>
          <w:szCs w:val="22"/>
        </w:rPr>
        <w:t>lovú</w:t>
      </w:r>
      <w:r w:rsidRPr="0040235D">
        <w:rPr>
          <w:rFonts w:eastAsia="SimSun"/>
          <w:szCs w:val="22"/>
        </w:rPr>
        <w:t xml:space="preserve"> a</w:t>
      </w:r>
      <w:r w:rsidR="00D0502D" w:rsidRPr="0040235D">
        <w:rPr>
          <w:rFonts w:eastAsia="SimSun"/>
          <w:szCs w:val="22"/>
        </w:rPr>
        <w:t xml:space="preserve"> jej deriváty</w:t>
      </w:r>
      <w:r w:rsidR="00902EB9">
        <w:rPr>
          <w:rFonts w:eastAsia="SimSun"/>
          <w:szCs w:val="22"/>
        </w:rPr>
        <w:t>.</w:t>
      </w:r>
    </w:p>
    <w:p w14:paraId="02C1E1FD" w14:textId="3D7E81B0" w:rsidR="00BA6018" w:rsidRPr="0040235D" w:rsidRDefault="00902EB9" w:rsidP="0063749C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SimSun"/>
          <w:szCs w:val="22"/>
        </w:rPr>
      </w:pPr>
      <w:r>
        <w:rPr>
          <w:rFonts w:eastAsia="SimSun"/>
          <w:szCs w:val="22"/>
        </w:rPr>
        <w:t>Závažná</w:t>
      </w:r>
      <w:r w:rsidR="00D0502D" w:rsidRPr="0040235D">
        <w:rPr>
          <w:rFonts w:eastAsia="SimSun"/>
          <w:szCs w:val="22"/>
        </w:rPr>
        <w:t xml:space="preserve"> porucha funkcie pečene a</w:t>
      </w:r>
      <w:r>
        <w:rPr>
          <w:rFonts w:eastAsia="SimSun"/>
          <w:szCs w:val="22"/>
        </w:rPr>
        <w:t> </w:t>
      </w:r>
      <w:r w:rsidR="00D0502D" w:rsidRPr="0040235D">
        <w:rPr>
          <w:rFonts w:eastAsia="SimSun"/>
          <w:szCs w:val="22"/>
        </w:rPr>
        <w:t>obličiek</w:t>
      </w:r>
      <w:r>
        <w:rPr>
          <w:rFonts w:eastAsia="SimSun"/>
          <w:szCs w:val="22"/>
        </w:rPr>
        <w:t>.</w:t>
      </w:r>
    </w:p>
    <w:p w14:paraId="1B981568" w14:textId="18CA219F" w:rsidR="00BA6018" w:rsidRPr="0040235D" w:rsidRDefault="00D0502D" w:rsidP="0063749C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SimSun"/>
          <w:szCs w:val="22"/>
        </w:rPr>
      </w:pPr>
      <w:proofErr w:type="spellStart"/>
      <w:r w:rsidRPr="0040235D">
        <w:rPr>
          <w:rFonts w:eastAsia="SimSun"/>
          <w:szCs w:val="22"/>
        </w:rPr>
        <w:t>Hemoragická</w:t>
      </w:r>
      <w:proofErr w:type="spellEnd"/>
      <w:r w:rsidRPr="0040235D">
        <w:rPr>
          <w:rFonts w:eastAsia="SimSun"/>
          <w:szCs w:val="22"/>
        </w:rPr>
        <w:t xml:space="preserve"> diatéza</w:t>
      </w:r>
      <w:r w:rsidR="000B2250">
        <w:rPr>
          <w:rFonts w:eastAsia="SimSun"/>
          <w:szCs w:val="22"/>
        </w:rPr>
        <w:t>.</w:t>
      </w:r>
    </w:p>
    <w:p w14:paraId="036DA787" w14:textId="77777777" w:rsidR="00812D16" w:rsidRPr="0040235D" w:rsidRDefault="00812D16" w:rsidP="00204AAB">
      <w:pPr>
        <w:spacing w:line="240" w:lineRule="auto"/>
      </w:pPr>
    </w:p>
    <w:p w14:paraId="20C0A450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40235D">
        <w:rPr>
          <w:b/>
        </w:rPr>
        <w:t>Osobitné upozornenia a opatrenia pri používaní</w:t>
      </w:r>
    </w:p>
    <w:p w14:paraId="196C425E" w14:textId="77777777" w:rsidR="00812D16" w:rsidRPr="0040235D" w:rsidRDefault="00812D16" w:rsidP="00085939">
      <w:pPr>
        <w:keepNext/>
        <w:spacing w:line="240" w:lineRule="auto"/>
        <w:ind w:left="567" w:hanging="567"/>
      </w:pPr>
    </w:p>
    <w:p w14:paraId="3094091B" w14:textId="39FB99B3" w:rsidR="00D0502D" w:rsidRPr="0040235D" w:rsidRDefault="00D0502D" w:rsidP="0063749C">
      <w:pPr>
        <w:numPr>
          <w:ilvl w:val="0"/>
          <w:numId w:val="15"/>
        </w:numPr>
        <w:tabs>
          <w:tab w:val="clear" w:pos="567"/>
        </w:tabs>
        <w:spacing w:line="240" w:lineRule="auto"/>
        <w:ind w:left="426" w:hanging="426"/>
        <w:outlineLvl w:val="0"/>
        <w:rPr>
          <w:szCs w:val="22"/>
        </w:rPr>
      </w:pPr>
      <w:r w:rsidRPr="0040235D">
        <w:rPr>
          <w:szCs w:val="22"/>
        </w:rPr>
        <w:t>Pacienti s</w:t>
      </w:r>
      <w:r w:rsidR="000B2250">
        <w:rPr>
          <w:szCs w:val="22"/>
        </w:rPr>
        <w:t>o závažnou poruchou funkcie</w:t>
      </w:r>
      <w:r w:rsidRPr="0040235D">
        <w:rPr>
          <w:szCs w:val="22"/>
        </w:rPr>
        <w:t xml:space="preserve"> pečene alebo obličiek. Keďže 5-ASA sa vylučuje </w:t>
      </w:r>
      <w:r w:rsidR="00E90705">
        <w:rPr>
          <w:szCs w:val="22"/>
        </w:rPr>
        <w:t>najmä</w:t>
      </w:r>
      <w:r w:rsidRPr="0040235D">
        <w:rPr>
          <w:szCs w:val="22"/>
        </w:rPr>
        <w:t xml:space="preserve"> </w:t>
      </w:r>
      <w:proofErr w:type="spellStart"/>
      <w:r w:rsidRPr="0040235D">
        <w:rPr>
          <w:szCs w:val="22"/>
        </w:rPr>
        <w:t>acetyláciou</w:t>
      </w:r>
      <w:proofErr w:type="spellEnd"/>
      <w:r w:rsidRPr="0040235D">
        <w:rPr>
          <w:szCs w:val="22"/>
        </w:rPr>
        <w:t xml:space="preserve"> a</w:t>
      </w:r>
      <w:r w:rsidR="0057693E" w:rsidRPr="0040235D">
        <w:rPr>
          <w:szCs w:val="22"/>
        </w:rPr>
        <w:t> </w:t>
      </w:r>
      <w:r w:rsidRPr="0040235D">
        <w:rPr>
          <w:szCs w:val="22"/>
        </w:rPr>
        <w:t>následn</w:t>
      </w:r>
      <w:r w:rsidR="0057693E" w:rsidRPr="0040235D">
        <w:rPr>
          <w:szCs w:val="22"/>
        </w:rPr>
        <w:t>ou elimináciou</w:t>
      </w:r>
      <w:r w:rsidRPr="0040235D">
        <w:rPr>
          <w:szCs w:val="22"/>
        </w:rPr>
        <w:t xml:space="preserve"> močom, pacientov s poruchou funkcie pečene alebo zlyhaním obličiek treba starostlivo monitorovať</w:t>
      </w:r>
      <w:r w:rsidR="0057693E" w:rsidRPr="0040235D">
        <w:rPr>
          <w:szCs w:val="22"/>
        </w:rPr>
        <w:t>. P</w:t>
      </w:r>
      <w:r w:rsidRPr="0040235D">
        <w:rPr>
          <w:szCs w:val="22"/>
        </w:rPr>
        <w:t>red začatím liečby</w:t>
      </w:r>
      <w:r w:rsidR="0057693E" w:rsidRPr="0040235D">
        <w:rPr>
          <w:szCs w:val="22"/>
        </w:rPr>
        <w:t xml:space="preserve"> </w:t>
      </w:r>
      <w:r w:rsidRPr="0040235D">
        <w:rPr>
          <w:szCs w:val="22"/>
        </w:rPr>
        <w:t xml:space="preserve">a pravidelne počas nej </w:t>
      </w:r>
      <w:r w:rsidR="0057693E" w:rsidRPr="0040235D">
        <w:rPr>
          <w:szCs w:val="22"/>
        </w:rPr>
        <w:t xml:space="preserve">je vhodné </w:t>
      </w:r>
      <w:r w:rsidRPr="0040235D">
        <w:rPr>
          <w:szCs w:val="22"/>
        </w:rPr>
        <w:t xml:space="preserve">vykonávať testy funkcie pečene a obličiek. Liečba </w:t>
      </w:r>
      <w:proofErr w:type="spellStart"/>
      <w:r w:rsidR="00776A7B">
        <w:rPr>
          <w:szCs w:val="22"/>
        </w:rPr>
        <w:t>Azzavix</w:t>
      </w:r>
      <w:r w:rsidR="00901136">
        <w:rPr>
          <w:szCs w:val="22"/>
        </w:rPr>
        <w:t>om</w:t>
      </w:r>
      <w:proofErr w:type="spellEnd"/>
      <w:r w:rsidRPr="0040235D">
        <w:rPr>
          <w:szCs w:val="22"/>
        </w:rPr>
        <w:t xml:space="preserve"> sa musí okamžite zastaviť, ak existuje dôkaz poškodenia obličiek. U pacientov, u ktorých sa počas liečby vyvinie poškodenie obličiek, sa </w:t>
      </w:r>
      <w:r w:rsidR="00035014">
        <w:rPr>
          <w:szCs w:val="22"/>
        </w:rPr>
        <w:t>má</w:t>
      </w:r>
      <w:r w:rsidRPr="0040235D">
        <w:rPr>
          <w:szCs w:val="22"/>
        </w:rPr>
        <w:t xml:space="preserve"> predpokladať </w:t>
      </w:r>
      <w:proofErr w:type="spellStart"/>
      <w:r w:rsidRPr="0040235D">
        <w:rPr>
          <w:szCs w:val="22"/>
        </w:rPr>
        <w:t>nefrotoxicita</w:t>
      </w:r>
      <w:proofErr w:type="spellEnd"/>
      <w:r w:rsidRPr="0040235D">
        <w:rPr>
          <w:szCs w:val="22"/>
        </w:rPr>
        <w:t xml:space="preserve"> vyvolaná </w:t>
      </w:r>
      <w:proofErr w:type="spellStart"/>
      <w:r w:rsidRPr="0040235D">
        <w:rPr>
          <w:szCs w:val="22"/>
        </w:rPr>
        <w:t>me</w:t>
      </w:r>
      <w:r w:rsidR="00511643">
        <w:rPr>
          <w:szCs w:val="22"/>
        </w:rPr>
        <w:t>s</w:t>
      </w:r>
      <w:r w:rsidRPr="0040235D">
        <w:rPr>
          <w:szCs w:val="22"/>
        </w:rPr>
        <w:t>alazínom</w:t>
      </w:r>
      <w:proofErr w:type="spellEnd"/>
      <w:r w:rsidRPr="0040235D">
        <w:rPr>
          <w:szCs w:val="22"/>
        </w:rPr>
        <w:t>.</w:t>
      </w:r>
    </w:p>
    <w:p w14:paraId="1F446685" w14:textId="77777777" w:rsidR="00D0502D" w:rsidRPr="0040235D" w:rsidRDefault="00D0502D" w:rsidP="0063749C">
      <w:pPr>
        <w:tabs>
          <w:tab w:val="clear" w:pos="567"/>
          <w:tab w:val="left" w:pos="426"/>
        </w:tabs>
        <w:spacing w:line="240" w:lineRule="auto"/>
        <w:ind w:left="360" w:hanging="567"/>
        <w:outlineLvl w:val="0"/>
        <w:rPr>
          <w:szCs w:val="22"/>
        </w:rPr>
      </w:pPr>
    </w:p>
    <w:p w14:paraId="3F51A4C5" w14:textId="1E76CC42" w:rsidR="0057693E" w:rsidRPr="0040235D" w:rsidRDefault="0057693E" w:rsidP="0063749C">
      <w:pPr>
        <w:pStyle w:val="Odsekzoznamu"/>
        <w:numPr>
          <w:ilvl w:val="0"/>
          <w:numId w:val="15"/>
        </w:numPr>
        <w:tabs>
          <w:tab w:val="clear" w:pos="567"/>
          <w:tab w:val="left" w:pos="2694"/>
        </w:tabs>
        <w:ind w:left="426" w:right="283" w:hanging="453"/>
        <w:rPr>
          <w:szCs w:val="22"/>
          <w:lang w:val="sk-SK"/>
        </w:rPr>
      </w:pPr>
      <w:r w:rsidRPr="0040235D">
        <w:rPr>
          <w:szCs w:val="22"/>
          <w:lang w:val="sk-SK"/>
        </w:rPr>
        <w:t xml:space="preserve">Pri užití </w:t>
      </w:r>
      <w:proofErr w:type="spellStart"/>
      <w:r w:rsidRPr="0040235D">
        <w:rPr>
          <w:szCs w:val="22"/>
          <w:lang w:val="sk-SK"/>
        </w:rPr>
        <w:t>mesalazínu</w:t>
      </w:r>
      <w:proofErr w:type="spellEnd"/>
      <w:r w:rsidRPr="0040235D">
        <w:rPr>
          <w:szCs w:val="22"/>
          <w:lang w:val="sk-SK"/>
        </w:rPr>
        <w:t xml:space="preserve"> boli hlásené prípady </w:t>
      </w:r>
      <w:proofErr w:type="spellStart"/>
      <w:r w:rsidRPr="0040235D">
        <w:rPr>
          <w:szCs w:val="22"/>
          <w:lang w:val="sk-SK"/>
        </w:rPr>
        <w:t>nefrolitiázy</w:t>
      </w:r>
      <w:proofErr w:type="spellEnd"/>
      <w:r w:rsidRPr="0040235D">
        <w:rPr>
          <w:szCs w:val="22"/>
          <w:lang w:val="sk-SK"/>
        </w:rPr>
        <w:t xml:space="preserve"> vrátane obličkových kameňov so 100</w:t>
      </w:r>
      <w:r w:rsidR="00511643">
        <w:rPr>
          <w:szCs w:val="22"/>
          <w:lang w:val="sk-SK"/>
        </w:rPr>
        <w:t> </w:t>
      </w:r>
      <w:r w:rsidRPr="0040235D">
        <w:rPr>
          <w:szCs w:val="22"/>
          <w:lang w:val="sk-SK"/>
        </w:rPr>
        <w:t xml:space="preserve">% obsahom </w:t>
      </w:r>
      <w:proofErr w:type="spellStart"/>
      <w:r w:rsidRPr="0040235D">
        <w:rPr>
          <w:szCs w:val="22"/>
          <w:lang w:val="sk-SK"/>
        </w:rPr>
        <w:t>mesalazínu</w:t>
      </w:r>
      <w:proofErr w:type="spellEnd"/>
      <w:r w:rsidRPr="0040235D">
        <w:rPr>
          <w:szCs w:val="22"/>
          <w:lang w:val="sk-SK"/>
        </w:rPr>
        <w:t>. Počas liečby sa odporúča zabezpečiť dostatočný príjem tekutín.</w:t>
      </w:r>
    </w:p>
    <w:p w14:paraId="19E0DAA4" w14:textId="77777777" w:rsidR="0057693E" w:rsidRPr="0040235D" w:rsidRDefault="0057693E" w:rsidP="0063749C">
      <w:pPr>
        <w:tabs>
          <w:tab w:val="clear" w:pos="567"/>
          <w:tab w:val="left" w:pos="426"/>
        </w:tabs>
        <w:ind w:hanging="567"/>
        <w:rPr>
          <w:szCs w:val="22"/>
        </w:rPr>
      </w:pPr>
    </w:p>
    <w:p w14:paraId="006766D6" w14:textId="63EA2223" w:rsidR="0057693E" w:rsidRPr="0040235D" w:rsidRDefault="0057693E" w:rsidP="0063749C">
      <w:pPr>
        <w:numPr>
          <w:ilvl w:val="0"/>
          <w:numId w:val="15"/>
        </w:numPr>
        <w:tabs>
          <w:tab w:val="clear" w:pos="567"/>
        </w:tabs>
        <w:spacing w:line="240" w:lineRule="auto"/>
        <w:ind w:left="426" w:hanging="426"/>
        <w:outlineLvl w:val="0"/>
        <w:rPr>
          <w:szCs w:val="22"/>
        </w:rPr>
      </w:pPr>
      <w:r w:rsidRPr="0040235D">
        <w:rPr>
          <w:szCs w:val="22"/>
        </w:rPr>
        <w:t xml:space="preserve">Boli hlásené prípady zvýšenia hladín pečeňových enzýmov u pacientov užívajúcich </w:t>
      </w:r>
      <w:r w:rsidR="00901136">
        <w:rPr>
          <w:szCs w:val="22"/>
        </w:rPr>
        <w:t>lieky</w:t>
      </w:r>
      <w:r w:rsidRPr="0040235D">
        <w:rPr>
          <w:szCs w:val="22"/>
        </w:rPr>
        <w:t xml:space="preserve"> s </w:t>
      </w:r>
      <w:proofErr w:type="spellStart"/>
      <w:r w:rsidRPr="0040235D">
        <w:rPr>
          <w:szCs w:val="22"/>
        </w:rPr>
        <w:t>me</w:t>
      </w:r>
      <w:r w:rsidR="00901136">
        <w:rPr>
          <w:szCs w:val="22"/>
        </w:rPr>
        <w:t>s</w:t>
      </w:r>
      <w:r w:rsidRPr="0040235D">
        <w:rPr>
          <w:szCs w:val="22"/>
        </w:rPr>
        <w:t>alazínom</w:t>
      </w:r>
      <w:proofErr w:type="spellEnd"/>
      <w:r w:rsidRPr="0040235D">
        <w:rPr>
          <w:szCs w:val="22"/>
        </w:rPr>
        <w:t>. Funkcia pečene sa má pred liečbou a počas liečby hodnotiť podľa lekárskych kritérií. Pri podávaní</w:t>
      </w:r>
      <w:r w:rsidR="002954CB">
        <w:rPr>
          <w:szCs w:val="22"/>
        </w:rPr>
        <w:t xml:space="preserve"> </w:t>
      </w:r>
      <w:proofErr w:type="spellStart"/>
      <w:r w:rsidR="00776A7B">
        <w:rPr>
          <w:szCs w:val="22"/>
        </w:rPr>
        <w:t>Azzavix</w:t>
      </w:r>
      <w:r w:rsidR="00901136">
        <w:rPr>
          <w:szCs w:val="22"/>
        </w:rPr>
        <w:t>u</w:t>
      </w:r>
      <w:proofErr w:type="spellEnd"/>
      <w:r w:rsidRPr="0040235D">
        <w:rPr>
          <w:szCs w:val="22"/>
        </w:rPr>
        <w:t xml:space="preserve"> pacientom s poruchou funkcie pečene sa odporúča opatrnosť (pozri časť 4.3 Kontraindikácie).</w:t>
      </w:r>
    </w:p>
    <w:p w14:paraId="0722CE9B" w14:textId="77777777" w:rsidR="00611E67" w:rsidRPr="0040235D" w:rsidRDefault="00611E67" w:rsidP="0063749C">
      <w:pPr>
        <w:tabs>
          <w:tab w:val="clear" w:pos="567"/>
          <w:tab w:val="left" w:pos="426"/>
        </w:tabs>
        <w:ind w:hanging="567"/>
        <w:rPr>
          <w:szCs w:val="22"/>
        </w:rPr>
      </w:pPr>
    </w:p>
    <w:p w14:paraId="29CF0C97" w14:textId="4F1921E4" w:rsidR="00611E67" w:rsidRPr="0040235D" w:rsidRDefault="00611E67" w:rsidP="0063749C">
      <w:pPr>
        <w:numPr>
          <w:ilvl w:val="0"/>
          <w:numId w:val="15"/>
        </w:numPr>
        <w:tabs>
          <w:tab w:val="clear" w:pos="567"/>
        </w:tabs>
        <w:spacing w:line="240" w:lineRule="auto"/>
        <w:ind w:left="426" w:hanging="426"/>
        <w:outlineLvl w:val="0"/>
        <w:rPr>
          <w:szCs w:val="22"/>
        </w:rPr>
      </w:pPr>
      <w:r w:rsidRPr="0040235D">
        <w:rPr>
          <w:szCs w:val="22"/>
        </w:rPr>
        <w:t xml:space="preserve">Pacienti s precitlivenosťou na </w:t>
      </w:r>
      <w:proofErr w:type="spellStart"/>
      <w:r w:rsidRPr="0040235D">
        <w:rPr>
          <w:szCs w:val="22"/>
        </w:rPr>
        <w:t>sulfasalazín</w:t>
      </w:r>
      <w:proofErr w:type="spellEnd"/>
      <w:r w:rsidRPr="0040235D">
        <w:rPr>
          <w:szCs w:val="22"/>
        </w:rPr>
        <w:t xml:space="preserve"> v anamnéze </w:t>
      </w:r>
      <w:r w:rsidR="00D11E8B">
        <w:rPr>
          <w:szCs w:val="22"/>
        </w:rPr>
        <w:t>majú</w:t>
      </w:r>
      <w:r w:rsidRPr="0040235D">
        <w:rPr>
          <w:szCs w:val="22"/>
        </w:rPr>
        <w:t xml:space="preserve"> byť pod prísnym lekárskym dohľadom; </w:t>
      </w:r>
      <w:r w:rsidR="002954CB">
        <w:rPr>
          <w:szCs w:val="22"/>
        </w:rPr>
        <w:t>v</w:t>
      </w:r>
      <w:r w:rsidRPr="0040235D">
        <w:rPr>
          <w:szCs w:val="22"/>
        </w:rPr>
        <w:t xml:space="preserve"> prípade akútnych </w:t>
      </w:r>
      <w:proofErr w:type="spellStart"/>
      <w:r w:rsidRPr="0040235D">
        <w:rPr>
          <w:szCs w:val="22"/>
        </w:rPr>
        <w:t>intolerančných</w:t>
      </w:r>
      <w:proofErr w:type="spellEnd"/>
      <w:r w:rsidRPr="0040235D">
        <w:rPr>
          <w:szCs w:val="22"/>
        </w:rPr>
        <w:t xml:space="preserve"> reakcií, ako sú kŕče v bruchu, akútna bolesť brucha, horúčka, silné bolesti hlavy a vyrážky, sa musí liečba okamžite prerušiť.</w:t>
      </w:r>
    </w:p>
    <w:p w14:paraId="62B40E7C" w14:textId="77777777" w:rsidR="00D0502D" w:rsidRPr="0040235D" w:rsidRDefault="00D0502D" w:rsidP="0063749C">
      <w:pPr>
        <w:tabs>
          <w:tab w:val="clear" w:pos="567"/>
          <w:tab w:val="left" w:pos="426"/>
        </w:tabs>
        <w:spacing w:line="240" w:lineRule="auto"/>
        <w:ind w:left="567" w:hanging="567"/>
        <w:outlineLvl w:val="0"/>
        <w:rPr>
          <w:szCs w:val="22"/>
        </w:rPr>
      </w:pPr>
    </w:p>
    <w:p w14:paraId="309C8C9B" w14:textId="61150AE4" w:rsidR="00D0502D" w:rsidRPr="0040235D" w:rsidRDefault="00611E67" w:rsidP="0063749C">
      <w:pPr>
        <w:numPr>
          <w:ilvl w:val="0"/>
          <w:numId w:val="15"/>
        </w:numPr>
        <w:tabs>
          <w:tab w:val="clear" w:pos="567"/>
          <w:tab w:val="left" w:pos="426"/>
        </w:tabs>
        <w:spacing w:line="240" w:lineRule="auto"/>
        <w:ind w:left="567" w:hanging="567"/>
        <w:outlineLvl w:val="0"/>
      </w:pPr>
      <w:r w:rsidRPr="0040235D">
        <w:t xml:space="preserve">Počas liečby musia byť </w:t>
      </w:r>
      <w:r w:rsidR="002954CB" w:rsidRPr="0040235D">
        <w:t xml:space="preserve">starostlivo sledovaní </w:t>
      </w:r>
      <w:r w:rsidRPr="0040235D">
        <w:t>pacienti s pľúcnymi ochoreniami, najmä s astmou.</w:t>
      </w:r>
    </w:p>
    <w:p w14:paraId="6A6BE58F" w14:textId="77777777" w:rsidR="00AC356A" w:rsidRPr="0040235D" w:rsidRDefault="00AC356A" w:rsidP="0063749C">
      <w:pPr>
        <w:tabs>
          <w:tab w:val="clear" w:pos="567"/>
          <w:tab w:val="left" w:pos="426"/>
        </w:tabs>
        <w:ind w:hanging="567"/>
        <w:rPr>
          <w:szCs w:val="22"/>
        </w:rPr>
      </w:pPr>
    </w:p>
    <w:p w14:paraId="218E47F9" w14:textId="2E830DBF" w:rsidR="00AC356A" w:rsidRPr="0040235D" w:rsidRDefault="00AC356A" w:rsidP="0063749C">
      <w:pPr>
        <w:numPr>
          <w:ilvl w:val="0"/>
          <w:numId w:val="15"/>
        </w:numPr>
        <w:tabs>
          <w:tab w:val="clear" w:pos="567"/>
        </w:tabs>
        <w:spacing w:line="240" w:lineRule="auto"/>
        <w:ind w:left="426" w:hanging="426"/>
        <w:outlineLvl w:val="0"/>
        <w:rPr>
          <w:szCs w:val="22"/>
        </w:rPr>
      </w:pPr>
      <w:r w:rsidRPr="0040235D">
        <w:rPr>
          <w:szCs w:val="22"/>
        </w:rPr>
        <w:t xml:space="preserve">Zriedkavo boli hlásené reakcie z precitlivenosti vyvolané </w:t>
      </w:r>
      <w:proofErr w:type="spellStart"/>
      <w:r w:rsidRPr="0040235D">
        <w:rPr>
          <w:szCs w:val="22"/>
        </w:rPr>
        <w:t>mesalazínom</w:t>
      </w:r>
      <w:proofErr w:type="spellEnd"/>
      <w:r w:rsidRPr="0040235D">
        <w:rPr>
          <w:szCs w:val="22"/>
        </w:rPr>
        <w:t xml:space="preserve"> postihujúce srdce (</w:t>
      </w:r>
      <w:proofErr w:type="spellStart"/>
      <w:r w:rsidRPr="0040235D">
        <w:rPr>
          <w:szCs w:val="22"/>
        </w:rPr>
        <w:t>myo</w:t>
      </w:r>
      <w:proofErr w:type="spellEnd"/>
      <w:r w:rsidRPr="0040235D">
        <w:rPr>
          <w:szCs w:val="22"/>
        </w:rPr>
        <w:t xml:space="preserve">- a </w:t>
      </w:r>
      <w:proofErr w:type="spellStart"/>
      <w:r w:rsidRPr="0040235D">
        <w:rPr>
          <w:szCs w:val="22"/>
        </w:rPr>
        <w:t>perikarditída</w:t>
      </w:r>
      <w:proofErr w:type="spellEnd"/>
      <w:r w:rsidRPr="0040235D">
        <w:rPr>
          <w:szCs w:val="22"/>
        </w:rPr>
        <w:t xml:space="preserve">). Pri liečbe </w:t>
      </w:r>
      <w:proofErr w:type="spellStart"/>
      <w:r w:rsidRPr="0040235D">
        <w:rPr>
          <w:szCs w:val="22"/>
        </w:rPr>
        <w:t>mesalazínom</w:t>
      </w:r>
      <w:proofErr w:type="spellEnd"/>
      <w:r w:rsidRPr="0040235D">
        <w:rPr>
          <w:szCs w:val="22"/>
        </w:rPr>
        <w:t xml:space="preserve"> u pacientov so stavmi, ktoré ich predisponujú k </w:t>
      </w:r>
      <w:proofErr w:type="spellStart"/>
      <w:r w:rsidRPr="0040235D">
        <w:rPr>
          <w:szCs w:val="22"/>
        </w:rPr>
        <w:t>myo</w:t>
      </w:r>
      <w:r w:rsidR="002954CB">
        <w:rPr>
          <w:szCs w:val="22"/>
        </w:rPr>
        <w:t>k</w:t>
      </w:r>
      <w:r w:rsidRPr="0040235D">
        <w:rPr>
          <w:szCs w:val="22"/>
        </w:rPr>
        <w:t>arditíde</w:t>
      </w:r>
      <w:proofErr w:type="spellEnd"/>
      <w:r w:rsidRPr="0040235D">
        <w:rPr>
          <w:szCs w:val="22"/>
        </w:rPr>
        <w:t xml:space="preserve"> alebo </w:t>
      </w:r>
      <w:proofErr w:type="spellStart"/>
      <w:r w:rsidRPr="0040235D">
        <w:rPr>
          <w:szCs w:val="22"/>
        </w:rPr>
        <w:t>perikarditíde</w:t>
      </w:r>
      <w:proofErr w:type="spellEnd"/>
      <w:r w:rsidRPr="0040235D">
        <w:rPr>
          <w:szCs w:val="22"/>
        </w:rPr>
        <w:t xml:space="preserve">, je potrebná opatrnosť. Ak existuje podozrenie na srdcovú </w:t>
      </w:r>
      <w:proofErr w:type="spellStart"/>
      <w:r w:rsidRPr="0040235D">
        <w:rPr>
          <w:szCs w:val="22"/>
        </w:rPr>
        <w:t>hypersenzitívnu</w:t>
      </w:r>
      <w:proofErr w:type="spellEnd"/>
      <w:r w:rsidRPr="0040235D">
        <w:rPr>
          <w:szCs w:val="22"/>
        </w:rPr>
        <w:t xml:space="preserve"> reakciu, lieky obsahujúce </w:t>
      </w:r>
      <w:proofErr w:type="spellStart"/>
      <w:r w:rsidRPr="0040235D">
        <w:rPr>
          <w:szCs w:val="22"/>
        </w:rPr>
        <w:t>mesalazín</w:t>
      </w:r>
      <w:proofErr w:type="spellEnd"/>
      <w:r w:rsidRPr="0040235D">
        <w:rPr>
          <w:szCs w:val="22"/>
        </w:rPr>
        <w:t xml:space="preserve"> sa nemajú podávať opakovane.</w:t>
      </w:r>
    </w:p>
    <w:p w14:paraId="0FDA70EC" w14:textId="77777777" w:rsidR="00D0502D" w:rsidRPr="0040235D" w:rsidRDefault="00D0502D" w:rsidP="0063749C">
      <w:pPr>
        <w:tabs>
          <w:tab w:val="clear" w:pos="567"/>
          <w:tab w:val="left" w:pos="426"/>
        </w:tabs>
        <w:spacing w:line="240" w:lineRule="auto"/>
        <w:ind w:left="567" w:hanging="567"/>
        <w:outlineLvl w:val="0"/>
        <w:rPr>
          <w:szCs w:val="22"/>
        </w:rPr>
      </w:pPr>
    </w:p>
    <w:p w14:paraId="4A2AD387" w14:textId="6E1632A5" w:rsidR="00D0502D" w:rsidRPr="0040235D" w:rsidRDefault="00AC356A" w:rsidP="0063749C">
      <w:pPr>
        <w:numPr>
          <w:ilvl w:val="0"/>
          <w:numId w:val="15"/>
        </w:numPr>
        <w:tabs>
          <w:tab w:val="clear" w:pos="567"/>
        </w:tabs>
        <w:spacing w:line="240" w:lineRule="auto"/>
        <w:ind w:left="426" w:hanging="426"/>
        <w:outlineLvl w:val="0"/>
        <w:rPr>
          <w:szCs w:val="22"/>
        </w:rPr>
      </w:pPr>
      <w:r w:rsidRPr="0040235D">
        <w:rPr>
          <w:szCs w:val="22"/>
        </w:rPr>
        <w:t xml:space="preserve">V zriedkavých prípadoch boli po liečbe </w:t>
      </w:r>
      <w:proofErr w:type="spellStart"/>
      <w:r w:rsidRPr="0040235D">
        <w:rPr>
          <w:szCs w:val="22"/>
        </w:rPr>
        <w:t>mesalazínom</w:t>
      </w:r>
      <w:proofErr w:type="spellEnd"/>
      <w:r w:rsidRPr="0040235D">
        <w:rPr>
          <w:szCs w:val="22"/>
        </w:rPr>
        <w:t xml:space="preserve"> hlásené závažné krvné </w:t>
      </w:r>
      <w:proofErr w:type="spellStart"/>
      <w:r w:rsidRPr="0040235D">
        <w:rPr>
          <w:szCs w:val="22"/>
        </w:rPr>
        <w:t>dyskrázie</w:t>
      </w:r>
      <w:proofErr w:type="spellEnd"/>
      <w:r w:rsidRPr="0040235D">
        <w:rPr>
          <w:szCs w:val="22"/>
        </w:rPr>
        <w:t xml:space="preserve">. Hematologické vyšetrenia sa majú vykonať, ak pacient trpí nevysvetliteľnými krvácaniami, modrinami, </w:t>
      </w:r>
      <w:proofErr w:type="spellStart"/>
      <w:r w:rsidRPr="0040235D">
        <w:rPr>
          <w:szCs w:val="22"/>
        </w:rPr>
        <w:t>purpurou</w:t>
      </w:r>
      <w:proofErr w:type="spellEnd"/>
      <w:r w:rsidRPr="0040235D">
        <w:rPr>
          <w:szCs w:val="22"/>
        </w:rPr>
        <w:t xml:space="preserve">, anémiou, horúčkou alebo </w:t>
      </w:r>
      <w:proofErr w:type="spellStart"/>
      <w:r w:rsidRPr="0040235D">
        <w:rPr>
          <w:szCs w:val="22"/>
        </w:rPr>
        <w:t>faryngolaryngeálnou</w:t>
      </w:r>
      <w:proofErr w:type="spellEnd"/>
      <w:r w:rsidRPr="0040235D">
        <w:rPr>
          <w:szCs w:val="22"/>
        </w:rPr>
        <w:t xml:space="preserve"> bolesťou. Liečba </w:t>
      </w:r>
      <w:proofErr w:type="spellStart"/>
      <w:r w:rsidR="00776A7B">
        <w:rPr>
          <w:szCs w:val="22"/>
        </w:rPr>
        <w:t>Azzavix</w:t>
      </w:r>
      <w:r w:rsidR="00C30AE4">
        <w:rPr>
          <w:szCs w:val="22"/>
        </w:rPr>
        <w:t>om</w:t>
      </w:r>
      <w:proofErr w:type="spellEnd"/>
      <w:r w:rsidRPr="0040235D">
        <w:rPr>
          <w:szCs w:val="22"/>
        </w:rPr>
        <w:t xml:space="preserve"> sa má </w:t>
      </w:r>
      <w:r w:rsidR="00B91D84">
        <w:rPr>
          <w:szCs w:val="22"/>
        </w:rPr>
        <w:t>ukonči</w:t>
      </w:r>
      <w:r w:rsidRPr="0040235D">
        <w:rPr>
          <w:szCs w:val="22"/>
        </w:rPr>
        <w:t xml:space="preserve">ť v prípade podozrenia na krvnú </w:t>
      </w:r>
      <w:proofErr w:type="spellStart"/>
      <w:r w:rsidRPr="0040235D">
        <w:rPr>
          <w:szCs w:val="22"/>
        </w:rPr>
        <w:t>dyskráziu</w:t>
      </w:r>
      <w:proofErr w:type="spellEnd"/>
      <w:r w:rsidRPr="0040235D">
        <w:rPr>
          <w:szCs w:val="22"/>
        </w:rPr>
        <w:t xml:space="preserve"> (pozri časti 4.3 a 4.5).</w:t>
      </w:r>
    </w:p>
    <w:p w14:paraId="6801BFAA" w14:textId="77777777" w:rsidR="00D0502D" w:rsidRPr="0040235D" w:rsidRDefault="00D0502D" w:rsidP="0063749C">
      <w:pPr>
        <w:pStyle w:val="Odsekzoznamu"/>
        <w:tabs>
          <w:tab w:val="clear" w:pos="567"/>
          <w:tab w:val="left" w:pos="426"/>
        </w:tabs>
        <w:ind w:hanging="567"/>
        <w:rPr>
          <w:szCs w:val="22"/>
          <w:lang w:val="sk-SK"/>
        </w:rPr>
      </w:pPr>
    </w:p>
    <w:p w14:paraId="2622C835" w14:textId="64A1DB27" w:rsidR="00D0502D" w:rsidRPr="0040235D" w:rsidRDefault="00AC356A" w:rsidP="0063749C">
      <w:pPr>
        <w:numPr>
          <w:ilvl w:val="0"/>
          <w:numId w:val="15"/>
        </w:numPr>
        <w:tabs>
          <w:tab w:val="clear" w:pos="567"/>
        </w:tabs>
        <w:spacing w:line="240" w:lineRule="auto"/>
        <w:ind w:left="426" w:hanging="426"/>
        <w:outlineLvl w:val="0"/>
        <w:rPr>
          <w:szCs w:val="22"/>
        </w:rPr>
      </w:pPr>
      <w:r w:rsidRPr="0040235D">
        <w:rPr>
          <w:szCs w:val="22"/>
        </w:rPr>
        <w:t xml:space="preserve">Pri liečbe pacientov s aktívnym  vredom </w:t>
      </w:r>
      <w:r w:rsidR="00B91D84">
        <w:rPr>
          <w:szCs w:val="22"/>
        </w:rPr>
        <w:t xml:space="preserve">žalúdka alebo dvanástnika </w:t>
      </w:r>
      <w:r w:rsidRPr="0040235D">
        <w:rPr>
          <w:szCs w:val="22"/>
        </w:rPr>
        <w:t>sa odporúča opatrnosť</w:t>
      </w:r>
      <w:r w:rsidR="00811907">
        <w:rPr>
          <w:szCs w:val="22"/>
        </w:rPr>
        <w:t>.</w:t>
      </w:r>
    </w:p>
    <w:p w14:paraId="1F675EDD" w14:textId="77777777" w:rsidR="00D0502D" w:rsidRPr="0040235D" w:rsidRDefault="00D0502D" w:rsidP="0063749C">
      <w:pPr>
        <w:tabs>
          <w:tab w:val="clear" w:pos="567"/>
          <w:tab w:val="left" w:pos="426"/>
        </w:tabs>
        <w:spacing w:line="240" w:lineRule="auto"/>
        <w:ind w:left="567" w:hanging="567"/>
        <w:outlineLvl w:val="0"/>
        <w:rPr>
          <w:szCs w:val="22"/>
        </w:rPr>
      </w:pPr>
    </w:p>
    <w:p w14:paraId="5BAF144F" w14:textId="6BED3FF6" w:rsidR="00D0502D" w:rsidRPr="0040235D" w:rsidRDefault="00AC356A" w:rsidP="0063749C">
      <w:pPr>
        <w:numPr>
          <w:ilvl w:val="0"/>
          <w:numId w:val="15"/>
        </w:numPr>
        <w:tabs>
          <w:tab w:val="clear" w:pos="567"/>
        </w:tabs>
        <w:spacing w:line="240" w:lineRule="auto"/>
        <w:ind w:left="426" w:hanging="426"/>
        <w:outlineLvl w:val="0"/>
        <w:rPr>
          <w:szCs w:val="22"/>
        </w:rPr>
      </w:pPr>
      <w:r w:rsidRPr="0040235D">
        <w:rPr>
          <w:szCs w:val="22"/>
        </w:rPr>
        <w:lastRenderedPageBreak/>
        <w:t xml:space="preserve">Tablety </w:t>
      </w:r>
      <w:proofErr w:type="spellStart"/>
      <w:r w:rsidR="00776A7B">
        <w:rPr>
          <w:szCs w:val="22"/>
        </w:rPr>
        <w:t>Azzavix</w:t>
      </w:r>
      <w:r w:rsidR="004716CD">
        <w:rPr>
          <w:szCs w:val="22"/>
        </w:rPr>
        <w:t>u</w:t>
      </w:r>
      <w:proofErr w:type="spellEnd"/>
      <w:r w:rsidRPr="0040235D">
        <w:rPr>
          <w:szCs w:val="22"/>
        </w:rPr>
        <w:t xml:space="preserve"> sa nemajú podávať súbežne s</w:t>
      </w:r>
      <w:r w:rsidR="00811907">
        <w:rPr>
          <w:szCs w:val="22"/>
        </w:rPr>
        <w:t> </w:t>
      </w:r>
      <w:proofErr w:type="spellStart"/>
      <w:r w:rsidRPr="0040235D">
        <w:rPr>
          <w:szCs w:val="22"/>
        </w:rPr>
        <w:t>laxatív</w:t>
      </w:r>
      <w:r w:rsidR="00811907">
        <w:rPr>
          <w:szCs w:val="22"/>
        </w:rPr>
        <w:t>ami</w:t>
      </w:r>
      <w:proofErr w:type="spellEnd"/>
      <w:r w:rsidRPr="0040235D">
        <w:rPr>
          <w:szCs w:val="22"/>
        </w:rPr>
        <w:t xml:space="preserve"> typu </w:t>
      </w:r>
      <w:proofErr w:type="spellStart"/>
      <w:r w:rsidRPr="0040235D">
        <w:rPr>
          <w:szCs w:val="22"/>
        </w:rPr>
        <w:t>laktulóz</w:t>
      </w:r>
      <w:r w:rsidR="004716CD">
        <w:rPr>
          <w:szCs w:val="22"/>
        </w:rPr>
        <w:t>a</w:t>
      </w:r>
      <w:proofErr w:type="spellEnd"/>
      <w:r w:rsidRPr="0040235D">
        <w:rPr>
          <w:szCs w:val="22"/>
        </w:rPr>
        <w:t xml:space="preserve"> alebo podobnými, pretože znižujú pH stolice a môžu brániť uvoľňovaniu účinnej látky.</w:t>
      </w:r>
    </w:p>
    <w:p w14:paraId="494EB150" w14:textId="77777777" w:rsidR="00945AE9" w:rsidRPr="0040235D" w:rsidRDefault="00945AE9" w:rsidP="0063749C">
      <w:pPr>
        <w:pStyle w:val="Odsekzoznamu"/>
        <w:tabs>
          <w:tab w:val="clear" w:pos="567"/>
          <w:tab w:val="left" w:pos="426"/>
        </w:tabs>
        <w:ind w:hanging="567"/>
        <w:rPr>
          <w:szCs w:val="22"/>
          <w:lang w:val="sk-SK"/>
        </w:rPr>
      </w:pPr>
    </w:p>
    <w:p w14:paraId="5F17FC78" w14:textId="503DA692" w:rsidR="008E3F05" w:rsidRPr="0040235D" w:rsidRDefault="00735045" w:rsidP="0063749C">
      <w:pPr>
        <w:numPr>
          <w:ilvl w:val="0"/>
          <w:numId w:val="15"/>
        </w:numPr>
        <w:tabs>
          <w:tab w:val="clear" w:pos="567"/>
        </w:tabs>
        <w:spacing w:line="240" w:lineRule="auto"/>
        <w:ind w:left="426" w:hanging="426"/>
        <w:outlineLvl w:val="0"/>
        <w:rPr>
          <w:szCs w:val="22"/>
        </w:rPr>
      </w:pPr>
      <w:r>
        <w:rPr>
          <w:szCs w:val="22"/>
        </w:rPr>
        <w:t>P</w:t>
      </w:r>
      <w:r w:rsidRPr="0040235D">
        <w:rPr>
          <w:szCs w:val="22"/>
        </w:rPr>
        <w:t xml:space="preserve">red liečbou a počas nej </w:t>
      </w:r>
      <w:r>
        <w:rPr>
          <w:szCs w:val="22"/>
        </w:rPr>
        <w:t xml:space="preserve">sa majú </w:t>
      </w:r>
      <w:r w:rsidR="004937A5">
        <w:rPr>
          <w:szCs w:val="22"/>
        </w:rPr>
        <w:t>vykonať k</w:t>
      </w:r>
      <w:r w:rsidR="00945AE9" w:rsidRPr="0040235D">
        <w:rPr>
          <w:szCs w:val="22"/>
        </w:rPr>
        <w:t xml:space="preserve">rvné testy (diferenciálny krvný obraz; testy pečeňových funkcií, ako sú ALT a sérový </w:t>
      </w:r>
      <w:proofErr w:type="spellStart"/>
      <w:r w:rsidR="00945AE9" w:rsidRPr="0040235D">
        <w:rPr>
          <w:szCs w:val="22"/>
        </w:rPr>
        <w:t>kreatinín</w:t>
      </w:r>
      <w:proofErr w:type="spellEnd"/>
      <w:r w:rsidR="00945AE9" w:rsidRPr="0040235D">
        <w:rPr>
          <w:szCs w:val="22"/>
        </w:rPr>
        <w:t>), podľa uváženia ošetrujúceho lekára.</w:t>
      </w:r>
      <w:r w:rsidR="008E3F05" w:rsidRPr="0040235D">
        <w:t xml:space="preserve"> </w:t>
      </w:r>
    </w:p>
    <w:p w14:paraId="363D78D0" w14:textId="77777777" w:rsidR="008E3F05" w:rsidRPr="0040235D" w:rsidRDefault="008E3F05" w:rsidP="008E3F05">
      <w:pPr>
        <w:pStyle w:val="Odsekzoznamu"/>
        <w:rPr>
          <w:szCs w:val="22"/>
          <w:lang w:val="sk-SK"/>
        </w:rPr>
      </w:pPr>
    </w:p>
    <w:p w14:paraId="261D3388" w14:textId="0D520744" w:rsidR="00945AE9" w:rsidRPr="0040235D" w:rsidRDefault="008E3F05" w:rsidP="008E3F05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40235D">
        <w:rPr>
          <w:szCs w:val="22"/>
        </w:rPr>
        <w:t>Tento liek obsahuje 49 mg sodíka (hlavná zložka kuchynskej / jedlej soli) v každej tablete. To zodpovedá 2,5 % odporúčaného maximálneho denného príjmu sodíka v potrave pre dospelých.</w:t>
      </w:r>
    </w:p>
    <w:p w14:paraId="358679B5" w14:textId="77777777" w:rsidR="008E3F05" w:rsidRPr="00811907" w:rsidRDefault="008E3F05" w:rsidP="00811907">
      <w:pPr>
        <w:rPr>
          <w:szCs w:val="22"/>
        </w:rPr>
      </w:pPr>
    </w:p>
    <w:p w14:paraId="416E20DB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t>Liekové a iné interakcie</w:t>
      </w:r>
    </w:p>
    <w:p w14:paraId="38EF57E9" w14:textId="77777777" w:rsidR="00812D16" w:rsidRPr="0040235D" w:rsidRDefault="00812D16" w:rsidP="00085939">
      <w:pPr>
        <w:keepNext/>
        <w:spacing w:line="240" w:lineRule="auto"/>
      </w:pPr>
    </w:p>
    <w:p w14:paraId="609972C5" w14:textId="73DA3520" w:rsidR="008E3F05" w:rsidRPr="0040235D" w:rsidRDefault="00A450C1" w:rsidP="008E3F05">
      <w:pPr>
        <w:spacing w:line="240" w:lineRule="auto"/>
        <w:rPr>
          <w:szCs w:val="22"/>
        </w:rPr>
      </w:pPr>
      <w:r w:rsidRPr="0040235D">
        <w:rPr>
          <w:szCs w:val="22"/>
        </w:rPr>
        <w:t>Tak ako aj osta</w:t>
      </w:r>
      <w:r w:rsidR="00AD6B78" w:rsidRPr="0040235D">
        <w:rPr>
          <w:szCs w:val="22"/>
        </w:rPr>
        <w:t>t</w:t>
      </w:r>
      <w:r w:rsidRPr="0040235D">
        <w:rPr>
          <w:szCs w:val="22"/>
        </w:rPr>
        <w:t xml:space="preserve">né </w:t>
      </w:r>
      <w:proofErr w:type="spellStart"/>
      <w:r w:rsidRPr="0040235D">
        <w:rPr>
          <w:szCs w:val="22"/>
        </w:rPr>
        <w:t>salicyláty</w:t>
      </w:r>
      <w:proofErr w:type="spellEnd"/>
      <w:r w:rsidR="00811907">
        <w:rPr>
          <w:szCs w:val="22"/>
        </w:rPr>
        <w:t xml:space="preserve">, </w:t>
      </w:r>
      <w:proofErr w:type="spellStart"/>
      <w:r w:rsidR="008E3F05" w:rsidRPr="0040235D">
        <w:rPr>
          <w:szCs w:val="22"/>
        </w:rPr>
        <w:t>mesalaz</w:t>
      </w:r>
      <w:r w:rsidRPr="0040235D">
        <w:rPr>
          <w:szCs w:val="22"/>
        </w:rPr>
        <w:t>ín</w:t>
      </w:r>
      <w:proofErr w:type="spellEnd"/>
      <w:r w:rsidR="00811907">
        <w:rPr>
          <w:szCs w:val="22"/>
        </w:rPr>
        <w:t xml:space="preserve"> </w:t>
      </w:r>
      <w:r w:rsidR="00811907" w:rsidRPr="0040235D">
        <w:rPr>
          <w:szCs w:val="22"/>
        </w:rPr>
        <w:t>môže</w:t>
      </w:r>
      <w:r w:rsidR="008E3F05" w:rsidRPr="0040235D">
        <w:rPr>
          <w:szCs w:val="22"/>
        </w:rPr>
        <w:t>:</w:t>
      </w:r>
    </w:p>
    <w:p w14:paraId="79D4E13B" w14:textId="77777777" w:rsidR="008E3F05" w:rsidRPr="0040235D" w:rsidRDefault="008E3F05" w:rsidP="008E3F05">
      <w:pPr>
        <w:spacing w:line="240" w:lineRule="auto"/>
        <w:rPr>
          <w:szCs w:val="22"/>
        </w:rPr>
      </w:pPr>
    </w:p>
    <w:p w14:paraId="76D18353" w14:textId="1DFC3BEB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r w:rsidRPr="0040235D">
        <w:rPr>
          <w:szCs w:val="22"/>
        </w:rPr>
        <w:t>z</w:t>
      </w:r>
      <w:r w:rsidR="00A450C1" w:rsidRPr="0040235D">
        <w:rPr>
          <w:szCs w:val="22"/>
        </w:rPr>
        <w:t>nižovať</w:t>
      </w:r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anti</w:t>
      </w:r>
      <w:r w:rsidR="00A450C1" w:rsidRPr="0040235D">
        <w:rPr>
          <w:szCs w:val="22"/>
        </w:rPr>
        <w:t>k</w:t>
      </w:r>
      <w:r w:rsidR="008E3F05" w:rsidRPr="0040235D">
        <w:rPr>
          <w:szCs w:val="22"/>
        </w:rPr>
        <w:t>oagul</w:t>
      </w:r>
      <w:r w:rsidR="00A450C1" w:rsidRPr="0040235D">
        <w:rPr>
          <w:szCs w:val="22"/>
        </w:rPr>
        <w:t>ačnú</w:t>
      </w:r>
      <w:proofErr w:type="spellEnd"/>
      <w:r w:rsidR="008E3F05" w:rsidRPr="0040235D">
        <w:rPr>
          <w:szCs w:val="22"/>
        </w:rPr>
        <w:t xml:space="preserve"> a</w:t>
      </w:r>
      <w:r w:rsidR="00A450C1" w:rsidRPr="0040235D">
        <w:rPr>
          <w:szCs w:val="22"/>
        </w:rPr>
        <w:t>k</w:t>
      </w:r>
      <w:r w:rsidR="008E3F05" w:rsidRPr="0040235D">
        <w:rPr>
          <w:szCs w:val="22"/>
        </w:rPr>
        <w:t>tivit</w:t>
      </w:r>
      <w:r w:rsidR="00A450C1" w:rsidRPr="0040235D">
        <w:rPr>
          <w:szCs w:val="22"/>
        </w:rPr>
        <w:t>u</w:t>
      </w:r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anti</w:t>
      </w:r>
      <w:r w:rsidR="00A450C1" w:rsidRPr="0040235D">
        <w:rPr>
          <w:szCs w:val="22"/>
        </w:rPr>
        <w:t>k</w:t>
      </w:r>
      <w:r w:rsidR="008E3F05" w:rsidRPr="0040235D">
        <w:rPr>
          <w:szCs w:val="22"/>
        </w:rPr>
        <w:t>oagulan</w:t>
      </w:r>
      <w:r w:rsidR="008E0D49">
        <w:rPr>
          <w:szCs w:val="22"/>
        </w:rPr>
        <w:t>cií</w:t>
      </w:r>
      <w:proofErr w:type="spellEnd"/>
      <w:r w:rsidR="008E3F05" w:rsidRPr="0040235D">
        <w:rPr>
          <w:szCs w:val="22"/>
        </w:rPr>
        <w:t xml:space="preserve"> </w:t>
      </w:r>
      <w:r w:rsidR="00A450C1" w:rsidRPr="0040235D">
        <w:rPr>
          <w:szCs w:val="22"/>
        </w:rPr>
        <w:t>odvodených od</w:t>
      </w:r>
      <w:r w:rsidR="008E3F05" w:rsidRPr="0040235D">
        <w:rPr>
          <w:szCs w:val="22"/>
        </w:rPr>
        <w:t xml:space="preserve"> </w:t>
      </w:r>
      <w:proofErr w:type="spellStart"/>
      <w:r w:rsidR="00A450C1" w:rsidRPr="0040235D">
        <w:rPr>
          <w:szCs w:val="22"/>
        </w:rPr>
        <w:t>k</w:t>
      </w:r>
      <w:r w:rsidR="008E3F05" w:rsidRPr="0040235D">
        <w:rPr>
          <w:szCs w:val="22"/>
        </w:rPr>
        <w:t>umar</w:t>
      </w:r>
      <w:r w:rsidR="00A450C1" w:rsidRPr="0040235D">
        <w:rPr>
          <w:szCs w:val="22"/>
        </w:rPr>
        <w:t>ínu</w:t>
      </w:r>
      <w:proofErr w:type="spellEnd"/>
      <w:r w:rsidR="008E3F05" w:rsidRPr="0040235D">
        <w:rPr>
          <w:szCs w:val="22"/>
        </w:rPr>
        <w:t xml:space="preserve">, </w:t>
      </w:r>
      <w:r w:rsidR="00A450C1" w:rsidRPr="0040235D">
        <w:rPr>
          <w:szCs w:val="22"/>
        </w:rPr>
        <w:t>ako je</w:t>
      </w:r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warfar</w:t>
      </w:r>
      <w:r w:rsidR="00A450C1" w:rsidRPr="0040235D">
        <w:rPr>
          <w:szCs w:val="22"/>
        </w:rPr>
        <w:t>í</w:t>
      </w:r>
      <w:r w:rsidR="008E3F05" w:rsidRPr="0040235D">
        <w:rPr>
          <w:szCs w:val="22"/>
        </w:rPr>
        <w:t>n</w:t>
      </w:r>
      <w:proofErr w:type="spellEnd"/>
      <w:r w:rsidR="00811907">
        <w:rPr>
          <w:szCs w:val="22"/>
        </w:rPr>
        <w:t>,</w:t>
      </w:r>
    </w:p>
    <w:p w14:paraId="5EA800C2" w14:textId="5582A93E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r w:rsidRPr="0040235D">
        <w:rPr>
          <w:szCs w:val="22"/>
        </w:rPr>
        <w:t>z</w:t>
      </w:r>
      <w:r w:rsidR="00A450C1" w:rsidRPr="0040235D">
        <w:rPr>
          <w:szCs w:val="22"/>
        </w:rPr>
        <w:t xml:space="preserve">osilniť účinok derivátov </w:t>
      </w:r>
      <w:proofErr w:type="spellStart"/>
      <w:r w:rsidR="00A450C1" w:rsidRPr="0040235D">
        <w:rPr>
          <w:szCs w:val="22"/>
        </w:rPr>
        <w:t>sulfonylurey</w:t>
      </w:r>
      <w:proofErr w:type="spellEnd"/>
      <w:r w:rsidR="00A450C1" w:rsidRPr="0040235D">
        <w:rPr>
          <w:szCs w:val="22"/>
        </w:rPr>
        <w:t xml:space="preserve"> na znižovanie hladiny glukózy</w:t>
      </w:r>
      <w:r w:rsidR="00811907">
        <w:rPr>
          <w:szCs w:val="22"/>
        </w:rPr>
        <w:t>,</w:t>
      </w:r>
    </w:p>
    <w:p w14:paraId="6E320B2F" w14:textId="709369E1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proofErr w:type="spellStart"/>
      <w:r w:rsidRPr="0040235D">
        <w:rPr>
          <w:szCs w:val="22"/>
        </w:rPr>
        <w:t>a</w:t>
      </w:r>
      <w:r w:rsidR="008E3F05" w:rsidRPr="0040235D">
        <w:rPr>
          <w:szCs w:val="22"/>
        </w:rPr>
        <w:t>ntagoniz</w:t>
      </w:r>
      <w:r w:rsidR="00A450C1" w:rsidRPr="0040235D">
        <w:rPr>
          <w:szCs w:val="22"/>
        </w:rPr>
        <w:t>ovať</w:t>
      </w:r>
      <w:proofErr w:type="spellEnd"/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uri</w:t>
      </w:r>
      <w:r w:rsidR="00A450C1" w:rsidRPr="0040235D">
        <w:rPr>
          <w:szCs w:val="22"/>
        </w:rPr>
        <w:t>k</w:t>
      </w:r>
      <w:r w:rsidR="008E3F05" w:rsidRPr="0040235D">
        <w:rPr>
          <w:szCs w:val="22"/>
        </w:rPr>
        <w:t>o</w:t>
      </w:r>
      <w:r w:rsidR="00A450C1" w:rsidRPr="0040235D">
        <w:rPr>
          <w:szCs w:val="22"/>
        </w:rPr>
        <w:t>s</w:t>
      </w:r>
      <w:r w:rsidR="008E3F05" w:rsidRPr="0040235D">
        <w:rPr>
          <w:szCs w:val="22"/>
        </w:rPr>
        <w:t>uric</w:t>
      </w:r>
      <w:r w:rsidR="00A450C1" w:rsidRPr="0040235D">
        <w:rPr>
          <w:szCs w:val="22"/>
        </w:rPr>
        <w:t>ké</w:t>
      </w:r>
      <w:proofErr w:type="spellEnd"/>
      <w:r w:rsidR="00A450C1" w:rsidRPr="0040235D">
        <w:rPr>
          <w:szCs w:val="22"/>
        </w:rPr>
        <w:t xml:space="preserve"> účinky</w:t>
      </w:r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probenecid</w:t>
      </w:r>
      <w:r w:rsidR="00A450C1" w:rsidRPr="0040235D">
        <w:rPr>
          <w:szCs w:val="22"/>
        </w:rPr>
        <w:t>u</w:t>
      </w:r>
      <w:proofErr w:type="spellEnd"/>
      <w:r w:rsidR="008E3F05" w:rsidRPr="0040235D">
        <w:rPr>
          <w:szCs w:val="22"/>
        </w:rPr>
        <w:t xml:space="preserve"> a </w:t>
      </w:r>
      <w:proofErr w:type="spellStart"/>
      <w:r w:rsidR="008E3F05" w:rsidRPr="0040235D">
        <w:rPr>
          <w:szCs w:val="22"/>
        </w:rPr>
        <w:t>sulfinp</w:t>
      </w:r>
      <w:r w:rsidR="008E0D49">
        <w:rPr>
          <w:szCs w:val="22"/>
        </w:rPr>
        <w:t>y</w:t>
      </w:r>
      <w:r w:rsidR="008E3F05" w:rsidRPr="0040235D">
        <w:rPr>
          <w:szCs w:val="22"/>
        </w:rPr>
        <w:t>raz</w:t>
      </w:r>
      <w:r w:rsidR="00A450C1" w:rsidRPr="0040235D">
        <w:rPr>
          <w:szCs w:val="22"/>
        </w:rPr>
        <w:t>ónu</w:t>
      </w:r>
      <w:proofErr w:type="spellEnd"/>
      <w:r w:rsidR="00573C0B">
        <w:rPr>
          <w:szCs w:val="22"/>
        </w:rPr>
        <w:t>,</w:t>
      </w:r>
    </w:p>
    <w:p w14:paraId="10E3FBD2" w14:textId="68BF59B4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r w:rsidRPr="0040235D">
        <w:rPr>
          <w:szCs w:val="22"/>
        </w:rPr>
        <w:t>v</w:t>
      </w:r>
      <w:r w:rsidR="00A450C1" w:rsidRPr="0040235D">
        <w:rPr>
          <w:szCs w:val="22"/>
        </w:rPr>
        <w:t xml:space="preserve">ykazovať </w:t>
      </w:r>
      <w:r w:rsidR="008E3F05" w:rsidRPr="0040235D">
        <w:rPr>
          <w:szCs w:val="22"/>
        </w:rPr>
        <w:t>toxicit</w:t>
      </w:r>
      <w:r w:rsidR="00A450C1" w:rsidRPr="0040235D">
        <w:rPr>
          <w:szCs w:val="22"/>
        </w:rPr>
        <w:t>u</w:t>
      </w:r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salicyl</w:t>
      </w:r>
      <w:r w:rsidR="00A450C1" w:rsidRPr="0040235D">
        <w:rPr>
          <w:szCs w:val="22"/>
        </w:rPr>
        <w:t>átov</w:t>
      </w:r>
      <w:proofErr w:type="spellEnd"/>
      <w:r w:rsidR="008E3F05" w:rsidRPr="0040235D">
        <w:rPr>
          <w:szCs w:val="22"/>
        </w:rPr>
        <w:t xml:space="preserve"> </w:t>
      </w:r>
      <w:r w:rsidR="00A450C1" w:rsidRPr="0040235D">
        <w:rPr>
          <w:szCs w:val="22"/>
        </w:rPr>
        <w:t>pri nižších dávkach ako zvyčajne,</w:t>
      </w:r>
      <w:r w:rsidR="008E3F05" w:rsidRPr="0040235D">
        <w:rPr>
          <w:szCs w:val="22"/>
        </w:rPr>
        <w:t xml:space="preserve"> </w:t>
      </w:r>
      <w:r w:rsidR="00A450C1" w:rsidRPr="0040235D">
        <w:rPr>
          <w:szCs w:val="22"/>
        </w:rPr>
        <w:t>ak sa podáva súbežne s </w:t>
      </w:r>
      <w:proofErr w:type="spellStart"/>
      <w:r w:rsidR="008E3F05" w:rsidRPr="0040235D">
        <w:rPr>
          <w:szCs w:val="22"/>
        </w:rPr>
        <w:t>furosemid</w:t>
      </w:r>
      <w:r w:rsidR="00A450C1" w:rsidRPr="0040235D">
        <w:rPr>
          <w:szCs w:val="22"/>
        </w:rPr>
        <w:t>om</w:t>
      </w:r>
      <w:proofErr w:type="spellEnd"/>
      <w:r w:rsidR="00A450C1" w:rsidRPr="0040235D">
        <w:rPr>
          <w:szCs w:val="22"/>
        </w:rPr>
        <w:t xml:space="preserve">, z dôvodu </w:t>
      </w:r>
      <w:proofErr w:type="spellStart"/>
      <w:r w:rsidR="00A450C1" w:rsidRPr="0040235D">
        <w:rPr>
          <w:szCs w:val="22"/>
        </w:rPr>
        <w:t>kompetície</w:t>
      </w:r>
      <w:proofErr w:type="spellEnd"/>
      <w:r w:rsidR="00A450C1" w:rsidRPr="0040235D">
        <w:rPr>
          <w:szCs w:val="22"/>
        </w:rPr>
        <w:t xml:space="preserve"> </w:t>
      </w:r>
      <w:r w:rsidR="00166E8B" w:rsidRPr="0040235D">
        <w:rPr>
          <w:szCs w:val="22"/>
        </w:rPr>
        <w:t>o</w:t>
      </w:r>
      <w:r w:rsidR="00601648" w:rsidRPr="0040235D">
        <w:rPr>
          <w:szCs w:val="22"/>
        </w:rPr>
        <w:t> </w:t>
      </w:r>
      <w:r w:rsidR="00166E8B" w:rsidRPr="0040235D">
        <w:rPr>
          <w:szCs w:val="22"/>
        </w:rPr>
        <w:t>miest</w:t>
      </w:r>
      <w:r w:rsidR="00601648" w:rsidRPr="0040235D">
        <w:rPr>
          <w:szCs w:val="22"/>
        </w:rPr>
        <w:t xml:space="preserve">a </w:t>
      </w:r>
      <w:proofErr w:type="spellStart"/>
      <w:r w:rsidR="00166E8B" w:rsidRPr="0040235D">
        <w:rPr>
          <w:szCs w:val="22"/>
        </w:rPr>
        <w:t>renálne</w:t>
      </w:r>
      <w:r w:rsidR="00601648" w:rsidRPr="0040235D">
        <w:rPr>
          <w:szCs w:val="22"/>
        </w:rPr>
        <w:t>j</w:t>
      </w:r>
      <w:proofErr w:type="spellEnd"/>
      <w:r w:rsidR="00601648" w:rsidRPr="0040235D">
        <w:rPr>
          <w:szCs w:val="22"/>
        </w:rPr>
        <w:t xml:space="preserve"> exkrécie</w:t>
      </w:r>
      <w:r w:rsidR="00573C0B">
        <w:rPr>
          <w:szCs w:val="22"/>
        </w:rPr>
        <w:t>,</w:t>
      </w:r>
    </w:p>
    <w:p w14:paraId="15405094" w14:textId="1B2CC142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r w:rsidRPr="0040235D">
        <w:rPr>
          <w:szCs w:val="22"/>
        </w:rPr>
        <w:t>z</w:t>
      </w:r>
      <w:r w:rsidR="00601648" w:rsidRPr="0040235D">
        <w:rPr>
          <w:szCs w:val="22"/>
        </w:rPr>
        <w:t>výšiť riziko nežiaducich reakcií postihujúcich obličky, ak sa použije súčasne s</w:t>
      </w:r>
      <w:r w:rsidRPr="0040235D">
        <w:rPr>
          <w:szCs w:val="22"/>
        </w:rPr>
        <w:t> látkami, u ktorých sa vie o ich</w:t>
      </w:r>
      <w:r w:rsidR="00601648" w:rsidRPr="0040235D">
        <w:rPr>
          <w:szCs w:val="22"/>
        </w:rPr>
        <w:t xml:space="preserve"> </w:t>
      </w:r>
      <w:proofErr w:type="spellStart"/>
      <w:r w:rsidR="00601648" w:rsidRPr="0040235D">
        <w:rPr>
          <w:szCs w:val="22"/>
        </w:rPr>
        <w:t>nefrotoxic</w:t>
      </w:r>
      <w:r w:rsidRPr="0040235D">
        <w:rPr>
          <w:szCs w:val="22"/>
        </w:rPr>
        <w:t>ite</w:t>
      </w:r>
      <w:proofErr w:type="spellEnd"/>
      <w:r w:rsidRPr="0040235D">
        <w:rPr>
          <w:szCs w:val="22"/>
        </w:rPr>
        <w:t>,</w:t>
      </w:r>
      <w:r w:rsidR="00601648" w:rsidRPr="0040235D">
        <w:rPr>
          <w:szCs w:val="22"/>
        </w:rPr>
        <w:t xml:space="preserve"> vrátane </w:t>
      </w:r>
      <w:proofErr w:type="spellStart"/>
      <w:r w:rsidR="00601648" w:rsidRPr="0040235D">
        <w:rPr>
          <w:szCs w:val="22"/>
        </w:rPr>
        <w:t>nesteroidných</w:t>
      </w:r>
      <w:proofErr w:type="spellEnd"/>
      <w:r w:rsidR="00601648" w:rsidRPr="0040235D">
        <w:rPr>
          <w:szCs w:val="22"/>
        </w:rPr>
        <w:t xml:space="preserve"> protizápalových liekov (NSAID) a</w:t>
      </w:r>
      <w:r w:rsidR="00573C0B">
        <w:rPr>
          <w:szCs w:val="22"/>
        </w:rPr>
        <w:t> </w:t>
      </w:r>
      <w:proofErr w:type="spellStart"/>
      <w:r w:rsidR="00601648" w:rsidRPr="0040235D">
        <w:rPr>
          <w:szCs w:val="22"/>
        </w:rPr>
        <w:t>azatioprínu</w:t>
      </w:r>
      <w:proofErr w:type="spellEnd"/>
      <w:r w:rsidR="00573C0B">
        <w:rPr>
          <w:szCs w:val="22"/>
        </w:rPr>
        <w:t>,</w:t>
      </w:r>
    </w:p>
    <w:p w14:paraId="5F5FF476" w14:textId="2F03F94B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r w:rsidRPr="0040235D">
        <w:rPr>
          <w:szCs w:val="22"/>
        </w:rPr>
        <w:t>z</w:t>
      </w:r>
      <w:r w:rsidR="00601648" w:rsidRPr="0040235D">
        <w:rPr>
          <w:szCs w:val="22"/>
        </w:rPr>
        <w:t xml:space="preserve">výšiť </w:t>
      </w:r>
      <w:proofErr w:type="spellStart"/>
      <w:r w:rsidR="00601648" w:rsidRPr="0040235D">
        <w:rPr>
          <w:szCs w:val="22"/>
        </w:rPr>
        <w:t>myelosupresívne</w:t>
      </w:r>
      <w:proofErr w:type="spellEnd"/>
      <w:r w:rsidR="00601648" w:rsidRPr="0040235D">
        <w:rPr>
          <w:szCs w:val="22"/>
        </w:rPr>
        <w:t xml:space="preserve"> účinky </w:t>
      </w:r>
      <w:proofErr w:type="spellStart"/>
      <w:r w:rsidR="00601648" w:rsidRPr="0040235D">
        <w:rPr>
          <w:szCs w:val="22"/>
        </w:rPr>
        <w:t>azatioprínu</w:t>
      </w:r>
      <w:proofErr w:type="spellEnd"/>
      <w:r w:rsidR="00601648" w:rsidRPr="0040235D">
        <w:rPr>
          <w:szCs w:val="22"/>
        </w:rPr>
        <w:t xml:space="preserve">, 6-merkaptopurínu alebo </w:t>
      </w:r>
      <w:proofErr w:type="spellStart"/>
      <w:r w:rsidR="00601648" w:rsidRPr="0040235D">
        <w:rPr>
          <w:szCs w:val="22"/>
        </w:rPr>
        <w:t>tioguanínu</w:t>
      </w:r>
      <w:proofErr w:type="spellEnd"/>
      <w:r w:rsidR="00601648" w:rsidRPr="0040235D">
        <w:rPr>
          <w:szCs w:val="22"/>
        </w:rPr>
        <w:t xml:space="preserve">. </w:t>
      </w:r>
      <w:r w:rsidRPr="0040235D">
        <w:rPr>
          <w:szCs w:val="22"/>
        </w:rPr>
        <w:t xml:space="preserve">Keďže pri súčasnej liečbe </w:t>
      </w:r>
      <w:proofErr w:type="spellStart"/>
      <w:r w:rsidRPr="0040235D">
        <w:rPr>
          <w:szCs w:val="22"/>
        </w:rPr>
        <w:t>mesalazínom</w:t>
      </w:r>
      <w:proofErr w:type="spellEnd"/>
      <w:r w:rsidRPr="0040235D">
        <w:rPr>
          <w:szCs w:val="22"/>
        </w:rPr>
        <w:t xml:space="preserve"> s</w:t>
      </w:r>
      <w:r w:rsidR="00601648" w:rsidRPr="0040235D">
        <w:rPr>
          <w:szCs w:val="22"/>
        </w:rPr>
        <w:t xml:space="preserve"> </w:t>
      </w:r>
      <w:proofErr w:type="spellStart"/>
      <w:r w:rsidR="00601648" w:rsidRPr="0040235D">
        <w:rPr>
          <w:szCs w:val="22"/>
        </w:rPr>
        <w:t>azatiopr</w:t>
      </w:r>
      <w:r w:rsidRPr="0040235D">
        <w:rPr>
          <w:szCs w:val="22"/>
        </w:rPr>
        <w:t>í</w:t>
      </w:r>
      <w:r w:rsidR="00601648" w:rsidRPr="0040235D">
        <w:rPr>
          <w:szCs w:val="22"/>
        </w:rPr>
        <w:t>nom</w:t>
      </w:r>
      <w:proofErr w:type="spellEnd"/>
      <w:r w:rsidR="00601648" w:rsidRPr="0040235D">
        <w:rPr>
          <w:szCs w:val="22"/>
        </w:rPr>
        <w:t xml:space="preserve">, 6-merkaptopurínom alebo </w:t>
      </w:r>
      <w:proofErr w:type="spellStart"/>
      <w:r w:rsidR="00601648" w:rsidRPr="0040235D">
        <w:rPr>
          <w:szCs w:val="22"/>
        </w:rPr>
        <w:t>tioguanínom</w:t>
      </w:r>
      <w:proofErr w:type="spellEnd"/>
      <w:r w:rsidRPr="0040235D">
        <w:rPr>
          <w:szCs w:val="22"/>
        </w:rPr>
        <w:t xml:space="preserve"> sa</w:t>
      </w:r>
      <w:r w:rsidR="00601648" w:rsidRPr="0040235D">
        <w:rPr>
          <w:szCs w:val="22"/>
        </w:rPr>
        <w:t xml:space="preserve"> môže zvýšiť pravdepodobnosť vzniku krvných </w:t>
      </w:r>
      <w:proofErr w:type="spellStart"/>
      <w:r w:rsidR="00601648" w:rsidRPr="0040235D">
        <w:rPr>
          <w:szCs w:val="22"/>
        </w:rPr>
        <w:t>d</w:t>
      </w:r>
      <w:r w:rsidR="00924224" w:rsidRPr="0040235D">
        <w:rPr>
          <w:szCs w:val="22"/>
        </w:rPr>
        <w:t>yskrázií</w:t>
      </w:r>
      <w:proofErr w:type="spellEnd"/>
      <w:r w:rsidRPr="0040235D">
        <w:rPr>
          <w:szCs w:val="22"/>
        </w:rPr>
        <w:t>, odporúča sa u takýchto pacientov zvýšená opatrnosť</w:t>
      </w:r>
      <w:r w:rsidR="00601648" w:rsidRPr="0040235D">
        <w:rPr>
          <w:szCs w:val="22"/>
        </w:rPr>
        <w:t>. Hematologické parametre (najmä leukocyty a trombocyty) sa majú pravidelne sledovať, najmä na začiatku takejto terapeutickej kombinácie</w:t>
      </w:r>
      <w:r w:rsidR="00573C0B">
        <w:rPr>
          <w:szCs w:val="22"/>
        </w:rPr>
        <w:t>,</w:t>
      </w:r>
    </w:p>
    <w:p w14:paraId="7F3243A1" w14:textId="241751B8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r w:rsidRPr="0040235D">
        <w:rPr>
          <w:szCs w:val="22"/>
        </w:rPr>
        <w:t>z</w:t>
      </w:r>
      <w:r w:rsidR="00924224" w:rsidRPr="0040235D">
        <w:rPr>
          <w:szCs w:val="22"/>
        </w:rPr>
        <w:t>níženie</w:t>
      </w:r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natriuretic</w:t>
      </w:r>
      <w:r w:rsidR="00924224" w:rsidRPr="0040235D">
        <w:rPr>
          <w:szCs w:val="22"/>
        </w:rPr>
        <w:t>kého</w:t>
      </w:r>
      <w:proofErr w:type="spellEnd"/>
      <w:r w:rsidR="00924224" w:rsidRPr="0040235D">
        <w:rPr>
          <w:szCs w:val="22"/>
        </w:rPr>
        <w:t xml:space="preserve"> účinku</w:t>
      </w:r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spironola</w:t>
      </w:r>
      <w:r w:rsidR="00924224" w:rsidRPr="0040235D">
        <w:rPr>
          <w:szCs w:val="22"/>
        </w:rPr>
        <w:t>k</w:t>
      </w:r>
      <w:r w:rsidR="008E3F05" w:rsidRPr="0040235D">
        <w:rPr>
          <w:szCs w:val="22"/>
        </w:rPr>
        <w:t>t</w:t>
      </w:r>
      <w:r w:rsidR="00924224" w:rsidRPr="0040235D">
        <w:rPr>
          <w:szCs w:val="22"/>
        </w:rPr>
        <w:t>ónu</w:t>
      </w:r>
      <w:proofErr w:type="spellEnd"/>
      <w:r w:rsidR="00573C0B">
        <w:rPr>
          <w:szCs w:val="22"/>
        </w:rPr>
        <w:t>,</w:t>
      </w:r>
    </w:p>
    <w:p w14:paraId="465985DA" w14:textId="74CBE250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proofErr w:type="spellStart"/>
      <w:r w:rsidRPr="0040235D">
        <w:rPr>
          <w:szCs w:val="22"/>
        </w:rPr>
        <w:t>m</w:t>
      </w:r>
      <w:r w:rsidR="008E3F05" w:rsidRPr="0040235D">
        <w:rPr>
          <w:szCs w:val="22"/>
        </w:rPr>
        <w:t>esalaz</w:t>
      </w:r>
      <w:r w:rsidR="00924224" w:rsidRPr="0040235D">
        <w:rPr>
          <w:szCs w:val="22"/>
        </w:rPr>
        <w:t>ín</w:t>
      </w:r>
      <w:proofErr w:type="spellEnd"/>
      <w:r w:rsidR="008E3F05" w:rsidRPr="0040235D">
        <w:rPr>
          <w:szCs w:val="22"/>
        </w:rPr>
        <w:t xml:space="preserve"> m</w:t>
      </w:r>
      <w:r w:rsidR="00924224" w:rsidRPr="0040235D">
        <w:rPr>
          <w:szCs w:val="22"/>
        </w:rPr>
        <w:t>ôže</w:t>
      </w:r>
      <w:r w:rsidR="008E3F05" w:rsidRPr="0040235D">
        <w:rPr>
          <w:szCs w:val="22"/>
        </w:rPr>
        <w:t xml:space="preserve"> </w:t>
      </w:r>
      <w:r w:rsidR="00924224" w:rsidRPr="0040235D">
        <w:rPr>
          <w:szCs w:val="22"/>
        </w:rPr>
        <w:t>zn</w:t>
      </w:r>
      <w:r w:rsidRPr="0040235D">
        <w:rPr>
          <w:szCs w:val="22"/>
        </w:rPr>
        <w:t>í</w:t>
      </w:r>
      <w:r w:rsidR="00924224" w:rsidRPr="0040235D">
        <w:rPr>
          <w:szCs w:val="22"/>
        </w:rPr>
        <w:t>žiť</w:t>
      </w:r>
      <w:r w:rsidR="008E3F05" w:rsidRPr="0040235D">
        <w:rPr>
          <w:szCs w:val="22"/>
        </w:rPr>
        <w:t xml:space="preserve"> </w:t>
      </w:r>
      <w:r w:rsidR="00924224" w:rsidRPr="0040235D">
        <w:rPr>
          <w:szCs w:val="22"/>
        </w:rPr>
        <w:t>vylučovanie</w:t>
      </w:r>
      <w:r w:rsidR="008E3F05" w:rsidRPr="0040235D">
        <w:rPr>
          <w:szCs w:val="22"/>
        </w:rPr>
        <w:t xml:space="preserve"> </w:t>
      </w:r>
      <w:proofErr w:type="spellStart"/>
      <w:r w:rsidR="008E3F05" w:rsidRPr="0040235D">
        <w:rPr>
          <w:szCs w:val="22"/>
        </w:rPr>
        <w:t>metotrex</w:t>
      </w:r>
      <w:r w:rsidR="00924224" w:rsidRPr="0040235D">
        <w:rPr>
          <w:szCs w:val="22"/>
        </w:rPr>
        <w:t>átu</w:t>
      </w:r>
      <w:proofErr w:type="spellEnd"/>
      <w:r w:rsidR="00573C0B">
        <w:rPr>
          <w:szCs w:val="22"/>
        </w:rPr>
        <w:t>,</w:t>
      </w:r>
    </w:p>
    <w:p w14:paraId="6E5327FE" w14:textId="0AB4738D" w:rsidR="008E3F05" w:rsidRPr="0040235D" w:rsidRDefault="00AD6B78" w:rsidP="008E3F05">
      <w:pPr>
        <w:numPr>
          <w:ilvl w:val="0"/>
          <w:numId w:val="15"/>
        </w:numPr>
        <w:spacing w:line="240" w:lineRule="auto"/>
        <w:ind w:left="567" w:hanging="207"/>
        <w:outlineLvl w:val="0"/>
        <w:rPr>
          <w:szCs w:val="22"/>
        </w:rPr>
      </w:pPr>
      <w:r w:rsidRPr="0040235D">
        <w:rPr>
          <w:szCs w:val="22"/>
        </w:rPr>
        <w:t>l</w:t>
      </w:r>
      <w:r w:rsidR="00AB0F07" w:rsidRPr="0040235D">
        <w:rPr>
          <w:szCs w:val="22"/>
        </w:rPr>
        <w:t xml:space="preserve">axatíva typu </w:t>
      </w:r>
      <w:proofErr w:type="spellStart"/>
      <w:r w:rsidR="00AB0F07" w:rsidRPr="0040235D">
        <w:rPr>
          <w:szCs w:val="22"/>
        </w:rPr>
        <w:t>laktulózy</w:t>
      </w:r>
      <w:proofErr w:type="spellEnd"/>
      <w:r w:rsidR="00AB0F07" w:rsidRPr="0040235D">
        <w:rPr>
          <w:szCs w:val="22"/>
        </w:rPr>
        <w:t xml:space="preserve"> alebo podobné môžu zabrániť uvoľňovaniu </w:t>
      </w:r>
      <w:proofErr w:type="spellStart"/>
      <w:r w:rsidR="00AB0F07" w:rsidRPr="0040235D">
        <w:rPr>
          <w:szCs w:val="22"/>
        </w:rPr>
        <w:t>mesalazínu</w:t>
      </w:r>
      <w:proofErr w:type="spellEnd"/>
      <w:r w:rsidR="00AB0F07" w:rsidRPr="0040235D">
        <w:rPr>
          <w:szCs w:val="22"/>
        </w:rPr>
        <w:t xml:space="preserve"> z tablety, čo by znížilo jeho účinok (pozri časť 4.4 Osobitné upozornenia a opatrenia pri používaní).</w:t>
      </w:r>
    </w:p>
    <w:p w14:paraId="2E4D4FF6" w14:textId="77777777" w:rsidR="00812D16" w:rsidRPr="0040235D" w:rsidRDefault="00812D16" w:rsidP="00204AAB">
      <w:pPr>
        <w:spacing w:line="240" w:lineRule="auto"/>
      </w:pPr>
    </w:p>
    <w:p w14:paraId="67015EBD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proofErr w:type="spellStart"/>
      <w:r w:rsidRPr="0040235D">
        <w:rPr>
          <w:b/>
        </w:rPr>
        <w:t>Fertilita</w:t>
      </w:r>
      <w:proofErr w:type="spellEnd"/>
      <w:r w:rsidRPr="0040235D">
        <w:rPr>
          <w:b/>
        </w:rPr>
        <w:t>, gravidita a laktácia</w:t>
      </w:r>
    </w:p>
    <w:p w14:paraId="3A9C78B7" w14:textId="77777777" w:rsidR="00812D16" w:rsidRPr="0040235D" w:rsidRDefault="00812D16" w:rsidP="00085939">
      <w:pPr>
        <w:keepNext/>
        <w:spacing w:line="240" w:lineRule="auto"/>
      </w:pPr>
    </w:p>
    <w:p w14:paraId="1FCFC838" w14:textId="5C02CFF7" w:rsidR="00812D16" w:rsidRPr="0040235D" w:rsidRDefault="001D5E29" w:rsidP="00204AAB">
      <w:pPr>
        <w:spacing w:line="240" w:lineRule="auto"/>
        <w:rPr>
          <w:u w:val="single"/>
        </w:rPr>
      </w:pPr>
      <w:r w:rsidRPr="0040235D">
        <w:rPr>
          <w:u w:val="single"/>
        </w:rPr>
        <w:t>Gravidita</w:t>
      </w:r>
    </w:p>
    <w:p w14:paraId="72F12DB7" w14:textId="351B9539" w:rsidR="00AB0F07" w:rsidRPr="0040235D" w:rsidRDefault="00AB0F07" w:rsidP="00204AAB">
      <w:pPr>
        <w:spacing w:line="240" w:lineRule="auto"/>
      </w:pPr>
      <w:r w:rsidRPr="0040235D">
        <w:t xml:space="preserve">Obmedzené skúsenosti s </w:t>
      </w:r>
      <w:proofErr w:type="spellStart"/>
      <w:r w:rsidRPr="0040235D">
        <w:t>me</w:t>
      </w:r>
      <w:r w:rsidR="00AD6B78" w:rsidRPr="0040235D">
        <w:t>s</w:t>
      </w:r>
      <w:r w:rsidRPr="0040235D">
        <w:t>alazínom</w:t>
      </w:r>
      <w:proofErr w:type="spellEnd"/>
      <w:r w:rsidRPr="0040235D">
        <w:t xml:space="preserve"> v tehotenstve nenaznačujú zvýšené riziko vrodených </w:t>
      </w:r>
      <w:proofErr w:type="spellStart"/>
      <w:r w:rsidRPr="0040235D">
        <w:t>malformácií</w:t>
      </w:r>
      <w:proofErr w:type="spellEnd"/>
      <w:r w:rsidRPr="0040235D">
        <w:t xml:space="preserve"> vyvolaných liekmi. </w:t>
      </w:r>
      <w:proofErr w:type="spellStart"/>
      <w:r w:rsidRPr="0040235D">
        <w:t>Mesalazín</w:t>
      </w:r>
      <w:proofErr w:type="spellEnd"/>
      <w:r w:rsidRPr="0040235D">
        <w:t xml:space="preserve"> prechádza placentárnou bariérou, ale </w:t>
      </w:r>
      <w:r w:rsidR="006923FC" w:rsidRPr="0040235D">
        <w:t xml:space="preserve">koncentrácie </w:t>
      </w:r>
      <w:r w:rsidR="004B3448">
        <w:t>u </w:t>
      </w:r>
      <w:r w:rsidR="006923FC" w:rsidRPr="0040235D">
        <w:t>plod</w:t>
      </w:r>
      <w:r w:rsidR="004B3448">
        <w:t>u</w:t>
      </w:r>
      <w:r w:rsidR="006923FC" w:rsidRPr="0040235D">
        <w:t xml:space="preserve"> sú</w:t>
      </w:r>
      <w:r w:rsidRPr="0040235D">
        <w:t xml:space="preserve"> oveľa nižšie ako koncentrácie pozorované pri terapeutickom použití u dospelých. Štúdie na zvieratách nepreukázali škodlivé účinky </w:t>
      </w:r>
      <w:proofErr w:type="spellStart"/>
      <w:r w:rsidRPr="0040235D">
        <w:t>me</w:t>
      </w:r>
      <w:r w:rsidR="00AD6B78" w:rsidRPr="0040235D">
        <w:t>s</w:t>
      </w:r>
      <w:r w:rsidRPr="0040235D">
        <w:t>alazínu</w:t>
      </w:r>
      <w:proofErr w:type="spellEnd"/>
      <w:r w:rsidRPr="0040235D">
        <w:t xml:space="preserve"> počas gravidity, embryonálneho/</w:t>
      </w:r>
      <w:proofErr w:type="spellStart"/>
      <w:r w:rsidRPr="0040235D">
        <w:t>fetálneho</w:t>
      </w:r>
      <w:proofErr w:type="spellEnd"/>
      <w:r w:rsidRPr="0040235D">
        <w:t xml:space="preserve"> vývoja, pôrodu alebo </w:t>
      </w:r>
      <w:proofErr w:type="spellStart"/>
      <w:r w:rsidRPr="0040235D">
        <w:t>postnatálneho</w:t>
      </w:r>
      <w:proofErr w:type="spellEnd"/>
      <w:r w:rsidRPr="0040235D">
        <w:t xml:space="preserve"> vývoja (pozri časť 5.3).</w:t>
      </w:r>
      <w:r w:rsidR="006923FC" w:rsidRPr="0040235D">
        <w:t xml:space="preserve"> </w:t>
      </w:r>
      <w:proofErr w:type="spellStart"/>
      <w:r w:rsidRPr="0040235D">
        <w:t>Mesalazín</w:t>
      </w:r>
      <w:proofErr w:type="spellEnd"/>
      <w:r w:rsidRPr="0040235D">
        <w:t xml:space="preserve"> sa má používať počas gravidity iba vtedy, ak potenciálny prínos preváži možné riziko. Pri používaní vysokých dávok </w:t>
      </w:r>
      <w:proofErr w:type="spellStart"/>
      <w:r w:rsidRPr="0040235D">
        <w:t>mesalazínu</w:t>
      </w:r>
      <w:proofErr w:type="spellEnd"/>
      <w:r w:rsidRPr="0040235D">
        <w:t xml:space="preserve"> je potrebná opatrnosť.</w:t>
      </w:r>
    </w:p>
    <w:p w14:paraId="5790B2BD" w14:textId="77777777" w:rsidR="004B3448" w:rsidRDefault="004B3448" w:rsidP="00204AAB">
      <w:pPr>
        <w:spacing w:line="240" w:lineRule="auto"/>
        <w:rPr>
          <w:u w:val="single"/>
        </w:rPr>
      </w:pPr>
    </w:p>
    <w:p w14:paraId="0140C79E" w14:textId="7E387941" w:rsidR="00812D16" w:rsidRPr="0040235D" w:rsidRDefault="001D5E29" w:rsidP="00204AAB">
      <w:pPr>
        <w:spacing w:line="240" w:lineRule="auto"/>
      </w:pPr>
      <w:r w:rsidRPr="0040235D">
        <w:rPr>
          <w:u w:val="single"/>
        </w:rPr>
        <w:t>Dojčenie</w:t>
      </w:r>
    </w:p>
    <w:p w14:paraId="52B02AAB" w14:textId="6251CFD4" w:rsidR="00AB0F07" w:rsidRPr="0040235D" w:rsidRDefault="00AB0F07" w:rsidP="00204AAB">
      <w:pPr>
        <w:spacing w:line="240" w:lineRule="auto"/>
      </w:pPr>
      <w:proofErr w:type="spellStart"/>
      <w:r w:rsidRPr="0040235D">
        <w:rPr>
          <w:szCs w:val="22"/>
        </w:rPr>
        <w:t>Mesalazín</w:t>
      </w:r>
      <w:proofErr w:type="spellEnd"/>
      <w:r w:rsidRPr="0040235D">
        <w:rPr>
          <w:szCs w:val="22"/>
        </w:rPr>
        <w:t xml:space="preserve"> sa v nízkych koncentráciách vylučuje do materského mlieka</w:t>
      </w:r>
      <w:r w:rsidR="009250C4" w:rsidRPr="0040235D">
        <w:rPr>
          <w:szCs w:val="22"/>
        </w:rPr>
        <w:t>.</w:t>
      </w:r>
      <w:r w:rsidRPr="0040235D">
        <w:rPr>
          <w:szCs w:val="22"/>
        </w:rPr>
        <w:t xml:space="preserve"> </w:t>
      </w:r>
      <w:proofErr w:type="spellStart"/>
      <w:r w:rsidR="009250C4" w:rsidRPr="0040235D">
        <w:rPr>
          <w:szCs w:val="22"/>
        </w:rPr>
        <w:t>A</w:t>
      </w:r>
      <w:r w:rsidRPr="0040235D">
        <w:rPr>
          <w:szCs w:val="22"/>
        </w:rPr>
        <w:t>cetyl</w:t>
      </w:r>
      <w:r w:rsidR="009250C4" w:rsidRPr="0040235D">
        <w:rPr>
          <w:szCs w:val="22"/>
        </w:rPr>
        <w:t>ovaná</w:t>
      </w:r>
      <w:proofErr w:type="spellEnd"/>
      <w:r w:rsidR="009250C4" w:rsidRPr="0040235D">
        <w:rPr>
          <w:szCs w:val="22"/>
        </w:rPr>
        <w:t xml:space="preserve"> forma </w:t>
      </w:r>
      <w:proofErr w:type="spellStart"/>
      <w:r w:rsidRPr="0040235D">
        <w:rPr>
          <w:szCs w:val="22"/>
        </w:rPr>
        <w:t>mesalazínu</w:t>
      </w:r>
      <w:proofErr w:type="spellEnd"/>
      <w:r w:rsidR="009250C4" w:rsidRPr="0040235D">
        <w:rPr>
          <w:szCs w:val="22"/>
        </w:rPr>
        <w:t xml:space="preserve"> sa do materského mlieka vylučuje vo vyšších koncentráciách</w:t>
      </w:r>
      <w:r w:rsidRPr="0040235D">
        <w:rPr>
          <w:szCs w:val="22"/>
        </w:rPr>
        <w:t xml:space="preserve">. </w:t>
      </w:r>
      <w:r w:rsidR="009250C4" w:rsidRPr="0040235D">
        <w:rPr>
          <w:szCs w:val="22"/>
        </w:rPr>
        <w:t>Je potrebné postupovať opatrne pri</w:t>
      </w:r>
      <w:r w:rsidRPr="0040235D">
        <w:rPr>
          <w:szCs w:val="22"/>
        </w:rPr>
        <w:t xml:space="preserve"> použití </w:t>
      </w:r>
      <w:proofErr w:type="spellStart"/>
      <w:r w:rsidRPr="0040235D">
        <w:rPr>
          <w:szCs w:val="22"/>
        </w:rPr>
        <w:t>mesalazínu</w:t>
      </w:r>
      <w:proofErr w:type="spellEnd"/>
      <w:r w:rsidRPr="0040235D">
        <w:rPr>
          <w:szCs w:val="22"/>
        </w:rPr>
        <w:t xml:space="preserve"> </w:t>
      </w:r>
      <w:r w:rsidR="009250C4" w:rsidRPr="0040235D">
        <w:rPr>
          <w:szCs w:val="22"/>
        </w:rPr>
        <w:t>u</w:t>
      </w:r>
      <w:r w:rsidRPr="0040235D">
        <w:rPr>
          <w:szCs w:val="22"/>
        </w:rPr>
        <w:t> dojčiacich žien</w:t>
      </w:r>
      <w:r w:rsidR="009250C4" w:rsidRPr="0040235D">
        <w:rPr>
          <w:szCs w:val="22"/>
        </w:rPr>
        <w:t xml:space="preserve"> a použiť ho iba v prípade, </w:t>
      </w:r>
      <w:r w:rsidR="002B0B98">
        <w:rPr>
          <w:szCs w:val="22"/>
        </w:rPr>
        <w:t>ak</w:t>
      </w:r>
      <w:r w:rsidR="009250C4" w:rsidRPr="0040235D">
        <w:rPr>
          <w:szCs w:val="22"/>
        </w:rPr>
        <w:t xml:space="preserve"> prínos preváži nad rizikami</w:t>
      </w:r>
      <w:r w:rsidRPr="0040235D">
        <w:rPr>
          <w:szCs w:val="22"/>
        </w:rPr>
        <w:t xml:space="preserve">. </w:t>
      </w:r>
      <w:r w:rsidR="009250C4" w:rsidRPr="0040235D">
        <w:rPr>
          <w:szCs w:val="22"/>
        </w:rPr>
        <w:t>Sporadicky bola u dojčených detí hlásená akútna hnačka. V takom prípade treba dojčenie okamžite ukončiť</w:t>
      </w:r>
      <w:r w:rsidRPr="0040235D">
        <w:rPr>
          <w:szCs w:val="22"/>
        </w:rPr>
        <w:t>.</w:t>
      </w:r>
    </w:p>
    <w:p w14:paraId="45FF736E" w14:textId="77777777" w:rsidR="00AB0F07" w:rsidRPr="0040235D" w:rsidRDefault="00AB0F07" w:rsidP="00204AAB">
      <w:pPr>
        <w:spacing w:line="240" w:lineRule="auto"/>
      </w:pPr>
    </w:p>
    <w:p w14:paraId="2D369F83" w14:textId="73FC2304" w:rsidR="00812D16" w:rsidRPr="0040235D" w:rsidRDefault="001D5E29" w:rsidP="00204AAB">
      <w:pPr>
        <w:spacing w:line="240" w:lineRule="auto"/>
        <w:rPr>
          <w:u w:val="single"/>
        </w:rPr>
      </w:pPr>
      <w:proofErr w:type="spellStart"/>
      <w:r w:rsidRPr="0040235D">
        <w:rPr>
          <w:u w:val="single"/>
        </w:rPr>
        <w:t>Fertilita</w:t>
      </w:r>
      <w:proofErr w:type="spellEnd"/>
    </w:p>
    <w:p w14:paraId="2AD84B69" w14:textId="779ED1DA" w:rsidR="00AB0F07" w:rsidRPr="0040235D" w:rsidRDefault="009250C4" w:rsidP="00204AAB">
      <w:pPr>
        <w:spacing w:line="240" w:lineRule="auto"/>
      </w:pPr>
      <w:r w:rsidRPr="0040235D">
        <w:rPr>
          <w:szCs w:val="22"/>
        </w:rPr>
        <w:t xml:space="preserve">V štúdiách na zvieratách sa nepreukázal vplyv </w:t>
      </w:r>
      <w:proofErr w:type="spellStart"/>
      <w:r w:rsidRPr="0040235D">
        <w:rPr>
          <w:szCs w:val="22"/>
        </w:rPr>
        <w:t>mesalazínu</w:t>
      </w:r>
      <w:proofErr w:type="spellEnd"/>
      <w:r w:rsidRPr="0040235D">
        <w:rPr>
          <w:szCs w:val="22"/>
        </w:rPr>
        <w:t xml:space="preserve"> na </w:t>
      </w:r>
      <w:proofErr w:type="spellStart"/>
      <w:r w:rsidRPr="0040235D">
        <w:rPr>
          <w:szCs w:val="22"/>
        </w:rPr>
        <w:t>fertilitu</w:t>
      </w:r>
      <w:proofErr w:type="spellEnd"/>
      <w:r w:rsidR="00AB0F07" w:rsidRPr="0040235D">
        <w:rPr>
          <w:color w:val="000000"/>
        </w:rPr>
        <w:t xml:space="preserve"> (</w:t>
      </w:r>
      <w:r w:rsidRPr="0040235D">
        <w:rPr>
          <w:color w:val="000000"/>
        </w:rPr>
        <w:t>pozri</w:t>
      </w:r>
      <w:r w:rsidR="00AB0F07" w:rsidRPr="0040235D">
        <w:rPr>
          <w:color w:val="000000"/>
        </w:rPr>
        <w:t xml:space="preserve"> </w:t>
      </w:r>
      <w:r w:rsidRPr="0040235D">
        <w:rPr>
          <w:color w:val="000000"/>
        </w:rPr>
        <w:t>časť</w:t>
      </w:r>
      <w:r w:rsidR="00AB0F07" w:rsidRPr="0040235D">
        <w:rPr>
          <w:color w:val="000000"/>
        </w:rPr>
        <w:t xml:space="preserve"> 5.3). </w:t>
      </w:r>
      <w:r w:rsidRPr="0040235D">
        <w:rPr>
          <w:color w:val="000000"/>
        </w:rPr>
        <w:t xml:space="preserve">O vplyve </w:t>
      </w:r>
      <w:proofErr w:type="spellStart"/>
      <w:r w:rsidRPr="0040235D">
        <w:rPr>
          <w:color w:val="000000"/>
        </w:rPr>
        <w:t>mesalazínu</w:t>
      </w:r>
      <w:proofErr w:type="spellEnd"/>
      <w:r w:rsidRPr="0040235D">
        <w:rPr>
          <w:color w:val="000000"/>
        </w:rPr>
        <w:t xml:space="preserve"> na </w:t>
      </w:r>
      <w:proofErr w:type="spellStart"/>
      <w:r w:rsidRPr="0040235D">
        <w:rPr>
          <w:color w:val="000000"/>
        </w:rPr>
        <w:t>fertilitu</w:t>
      </w:r>
      <w:proofErr w:type="spellEnd"/>
      <w:r w:rsidRPr="0040235D">
        <w:rPr>
          <w:color w:val="000000"/>
        </w:rPr>
        <w:t xml:space="preserve"> u ľudí nie sú žiadne alebo sú iba obmedzené </w:t>
      </w:r>
      <w:r w:rsidR="002B0B98">
        <w:rPr>
          <w:color w:val="000000"/>
        </w:rPr>
        <w:t>údaje</w:t>
      </w:r>
      <w:r w:rsidR="00AB0F07" w:rsidRPr="0040235D">
        <w:rPr>
          <w:color w:val="000000"/>
        </w:rPr>
        <w:t>.</w:t>
      </w:r>
    </w:p>
    <w:p w14:paraId="23923764" w14:textId="77777777" w:rsidR="00812D16" w:rsidRPr="0040235D" w:rsidRDefault="00812D16" w:rsidP="00204AAB">
      <w:pPr>
        <w:spacing w:line="240" w:lineRule="auto"/>
        <w:rPr>
          <w:i/>
        </w:rPr>
      </w:pPr>
    </w:p>
    <w:p w14:paraId="3B63AB4B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lastRenderedPageBreak/>
        <w:t>Ovplyvnenie schopnosti viesť vozidlá a obsluhovať stroje</w:t>
      </w:r>
    </w:p>
    <w:p w14:paraId="79AF21AA" w14:textId="77777777" w:rsidR="00812D16" w:rsidRPr="0040235D" w:rsidRDefault="00812D16" w:rsidP="00085939">
      <w:pPr>
        <w:keepNext/>
        <w:spacing w:line="240" w:lineRule="auto"/>
      </w:pPr>
    </w:p>
    <w:p w14:paraId="5E47D68B" w14:textId="7D7A049A" w:rsidR="006923FC" w:rsidRPr="0040235D" w:rsidRDefault="006923FC" w:rsidP="00204AAB">
      <w:pPr>
        <w:spacing w:line="240" w:lineRule="auto"/>
      </w:pPr>
      <w:r w:rsidRPr="0040235D">
        <w:t xml:space="preserve">Nevykonali sa žiadne štúdie </w:t>
      </w:r>
      <w:r w:rsidR="000D24BD">
        <w:t>vplyvu na</w:t>
      </w:r>
      <w:r w:rsidRPr="0040235D">
        <w:t xml:space="preserve"> schopnos</w:t>
      </w:r>
      <w:r w:rsidR="000D24BD">
        <w:t>ť</w:t>
      </w:r>
      <w:r w:rsidRPr="0040235D">
        <w:t xml:space="preserve"> viesť vozidlá a obsluhovať stroje.</w:t>
      </w:r>
    </w:p>
    <w:p w14:paraId="4EAB6EF1" w14:textId="7C0B5C44" w:rsidR="00812D16" w:rsidRPr="0040235D" w:rsidRDefault="00776A7B" w:rsidP="00204AAB">
      <w:pPr>
        <w:spacing w:line="240" w:lineRule="auto"/>
      </w:pPr>
      <w:proofErr w:type="spellStart"/>
      <w:r>
        <w:rPr>
          <w:szCs w:val="22"/>
        </w:rPr>
        <w:t>Azzavix</w:t>
      </w:r>
      <w:proofErr w:type="spellEnd"/>
      <w:r w:rsidR="001D5E29" w:rsidRPr="0040235D">
        <w:t xml:space="preserve"> nemá žiadny alebo má zanedbateľný vplyv na schopnosť viesť vozidlá a obsluhovať stroje.</w:t>
      </w:r>
    </w:p>
    <w:p w14:paraId="085338B6" w14:textId="77777777" w:rsidR="00812D16" w:rsidRPr="0040235D" w:rsidRDefault="00812D16" w:rsidP="00204AAB">
      <w:pPr>
        <w:spacing w:line="240" w:lineRule="auto"/>
      </w:pPr>
    </w:p>
    <w:p w14:paraId="7BB3630C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40235D">
        <w:rPr>
          <w:b/>
        </w:rPr>
        <w:t>Nežiaduce účinky</w:t>
      </w:r>
    </w:p>
    <w:p w14:paraId="2BEBC7C2" w14:textId="77777777" w:rsidR="00812D16" w:rsidRPr="0040235D" w:rsidRDefault="00812D16" w:rsidP="00085939">
      <w:pPr>
        <w:keepNext/>
        <w:autoSpaceDE w:val="0"/>
        <w:autoSpaceDN w:val="0"/>
        <w:adjustRightInd w:val="0"/>
        <w:spacing w:line="240" w:lineRule="auto"/>
        <w:jc w:val="both"/>
      </w:pP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84"/>
      </w:tblGrid>
      <w:tr w:rsidR="00412CD1" w:rsidRPr="0040235D" w14:paraId="366CAF62" w14:textId="77777777" w:rsidTr="00AD6B78">
        <w:trPr>
          <w:trHeight w:val="453"/>
        </w:trPr>
        <w:tc>
          <w:tcPr>
            <w:tcW w:w="3652" w:type="dxa"/>
            <w:vMerge w:val="restart"/>
            <w:shd w:val="clear" w:color="auto" w:fill="auto"/>
          </w:tcPr>
          <w:p w14:paraId="3A88633D" w14:textId="7F2B8B9E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rPr>
                <w:b/>
                <w:i/>
                <w:szCs w:val="22"/>
              </w:rPr>
            </w:pPr>
            <w:r w:rsidRPr="0040235D">
              <w:rPr>
                <w:b/>
                <w:i/>
                <w:szCs w:val="22"/>
              </w:rPr>
              <w:t>Trieda orgánových systémov</w:t>
            </w:r>
          </w:p>
        </w:tc>
        <w:tc>
          <w:tcPr>
            <w:tcW w:w="6584" w:type="dxa"/>
            <w:shd w:val="clear" w:color="auto" w:fill="auto"/>
          </w:tcPr>
          <w:p w14:paraId="1D53E45E" w14:textId="3D7D8356" w:rsidR="00412CD1" w:rsidRPr="0040235D" w:rsidRDefault="00412CD1" w:rsidP="00AD6B78">
            <w:pPr>
              <w:tabs>
                <w:tab w:val="clear" w:pos="567"/>
                <w:tab w:val="left" w:pos="937"/>
              </w:tabs>
              <w:autoSpaceDE w:val="0"/>
              <w:autoSpaceDN w:val="0"/>
              <w:adjustRightInd w:val="0"/>
              <w:spacing w:line="240" w:lineRule="auto"/>
              <w:rPr>
                <w:b/>
                <w:i/>
                <w:szCs w:val="22"/>
              </w:rPr>
            </w:pPr>
            <w:r w:rsidRPr="0040235D">
              <w:rPr>
                <w:rFonts w:eastAsia="SimSun"/>
                <w:b/>
                <w:i/>
                <w:iCs/>
                <w:szCs w:val="22"/>
              </w:rPr>
              <w:t xml:space="preserve">Frekvencia podľa konvencií </w:t>
            </w:r>
            <w:proofErr w:type="spellStart"/>
            <w:r w:rsidRPr="0040235D">
              <w:rPr>
                <w:rFonts w:eastAsia="SimSun"/>
                <w:b/>
                <w:i/>
                <w:iCs/>
                <w:szCs w:val="22"/>
              </w:rPr>
              <w:t>MedDRA</w:t>
            </w:r>
            <w:proofErr w:type="spellEnd"/>
          </w:p>
        </w:tc>
      </w:tr>
      <w:tr w:rsidR="00412CD1" w:rsidRPr="0040235D" w14:paraId="39F78FC9" w14:textId="77777777" w:rsidTr="00AD6B78">
        <w:trPr>
          <w:trHeight w:val="453"/>
        </w:trPr>
        <w:tc>
          <w:tcPr>
            <w:tcW w:w="3652" w:type="dxa"/>
            <w:vMerge/>
            <w:shd w:val="clear" w:color="auto" w:fill="auto"/>
          </w:tcPr>
          <w:p w14:paraId="02911627" w14:textId="77777777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</w:rPr>
            </w:pPr>
          </w:p>
        </w:tc>
        <w:tc>
          <w:tcPr>
            <w:tcW w:w="6584" w:type="dxa"/>
            <w:shd w:val="clear" w:color="auto" w:fill="auto"/>
          </w:tcPr>
          <w:p w14:paraId="130B7797" w14:textId="0BE85385" w:rsidR="00412CD1" w:rsidRPr="0040235D" w:rsidRDefault="00412CD1" w:rsidP="00AD6B7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</w:rPr>
            </w:pPr>
            <w:r w:rsidRPr="0040235D">
              <w:rPr>
                <w:b/>
                <w:i/>
                <w:szCs w:val="22"/>
              </w:rPr>
              <w:t>Zriedkavé (&lt; 1/10 000 až 1/1 000)</w:t>
            </w:r>
          </w:p>
        </w:tc>
      </w:tr>
      <w:tr w:rsidR="00412CD1" w:rsidRPr="0040235D" w14:paraId="3784C08E" w14:textId="77777777" w:rsidTr="00AD6B78">
        <w:trPr>
          <w:trHeight w:val="673"/>
        </w:trPr>
        <w:tc>
          <w:tcPr>
            <w:tcW w:w="3652" w:type="dxa"/>
            <w:shd w:val="clear" w:color="auto" w:fill="auto"/>
          </w:tcPr>
          <w:p w14:paraId="5089CB41" w14:textId="360408DB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</w:rPr>
            </w:pPr>
            <w:r w:rsidRPr="0040235D">
              <w:rPr>
                <w:szCs w:val="22"/>
              </w:rPr>
              <w:t>Poruchy krvi a lymfatického systému</w:t>
            </w:r>
          </w:p>
        </w:tc>
        <w:tc>
          <w:tcPr>
            <w:tcW w:w="6584" w:type="dxa"/>
            <w:shd w:val="clear" w:color="auto" w:fill="auto"/>
          </w:tcPr>
          <w:p w14:paraId="51474DE9" w14:textId="3C4A61E3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  <w:proofErr w:type="spellStart"/>
            <w:r w:rsidRPr="0040235D">
              <w:rPr>
                <w:rFonts w:eastAsia="SimSun"/>
                <w:szCs w:val="22"/>
              </w:rPr>
              <w:t>leukopénia</w:t>
            </w:r>
            <w:proofErr w:type="spellEnd"/>
            <w:r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Pr="0040235D">
              <w:rPr>
                <w:rFonts w:eastAsia="SimSun"/>
                <w:szCs w:val="22"/>
              </w:rPr>
              <w:t>neutropénia</w:t>
            </w:r>
            <w:proofErr w:type="spellEnd"/>
            <w:r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Pr="0040235D">
              <w:rPr>
                <w:rFonts w:eastAsia="SimSun"/>
                <w:szCs w:val="22"/>
              </w:rPr>
              <w:t>trombocytopénia</w:t>
            </w:r>
            <w:proofErr w:type="spellEnd"/>
            <w:r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Pr="0040235D">
              <w:rPr>
                <w:rFonts w:eastAsia="SimSun"/>
                <w:szCs w:val="22"/>
              </w:rPr>
              <w:t>aplastická</w:t>
            </w:r>
            <w:proofErr w:type="spellEnd"/>
            <w:r w:rsidRPr="0040235D">
              <w:rPr>
                <w:rFonts w:eastAsia="SimSun"/>
                <w:szCs w:val="22"/>
              </w:rPr>
              <w:t xml:space="preserve"> anémia</w:t>
            </w:r>
          </w:p>
        </w:tc>
      </w:tr>
      <w:tr w:rsidR="00412CD1" w:rsidRPr="0040235D" w14:paraId="793822CD" w14:textId="77777777" w:rsidTr="00AD6B78">
        <w:trPr>
          <w:trHeight w:val="670"/>
        </w:trPr>
        <w:tc>
          <w:tcPr>
            <w:tcW w:w="3652" w:type="dxa"/>
            <w:shd w:val="clear" w:color="auto" w:fill="auto"/>
          </w:tcPr>
          <w:p w14:paraId="7ADBEA6A" w14:textId="78C368D2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</w:rPr>
            </w:pPr>
            <w:r w:rsidRPr="0040235D">
              <w:rPr>
                <w:szCs w:val="22"/>
              </w:rPr>
              <w:t>Poruchy imunitného systému</w:t>
            </w:r>
          </w:p>
        </w:tc>
        <w:tc>
          <w:tcPr>
            <w:tcW w:w="6584" w:type="dxa"/>
            <w:shd w:val="clear" w:color="auto" w:fill="auto"/>
          </w:tcPr>
          <w:p w14:paraId="61BCD4C0" w14:textId="4D0F95B6" w:rsidR="00412CD1" w:rsidRPr="0040235D" w:rsidRDefault="00A919AC" w:rsidP="00AD6B78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  <w:proofErr w:type="spellStart"/>
            <w:r w:rsidRPr="0040235D">
              <w:rPr>
                <w:rFonts w:eastAsia="SimSun"/>
                <w:szCs w:val="22"/>
              </w:rPr>
              <w:t>h</w:t>
            </w:r>
            <w:r w:rsidR="00412CD1" w:rsidRPr="0040235D">
              <w:rPr>
                <w:rFonts w:eastAsia="SimSun"/>
                <w:szCs w:val="22"/>
              </w:rPr>
              <w:t>ypersen</w:t>
            </w:r>
            <w:r w:rsidR="00776189" w:rsidRPr="0040235D">
              <w:rPr>
                <w:rFonts w:eastAsia="SimSun"/>
                <w:szCs w:val="22"/>
              </w:rPr>
              <w:t>zitívne</w:t>
            </w:r>
            <w:proofErr w:type="spellEnd"/>
            <w:r w:rsidR="00776189" w:rsidRPr="0040235D">
              <w:rPr>
                <w:rFonts w:eastAsia="SimSun"/>
                <w:szCs w:val="22"/>
              </w:rPr>
              <w:t xml:space="preserve"> reakcie vrátane zmien na pľúcach a</w:t>
            </w:r>
            <w:r w:rsidR="00B32E06">
              <w:rPr>
                <w:rFonts w:eastAsia="SimSun"/>
                <w:szCs w:val="22"/>
              </w:rPr>
              <w:t> </w:t>
            </w:r>
            <w:r w:rsidR="00776189" w:rsidRPr="0040235D">
              <w:rPr>
                <w:rFonts w:eastAsia="SimSun"/>
                <w:szCs w:val="22"/>
              </w:rPr>
              <w:t>srdc</w:t>
            </w:r>
            <w:r w:rsidR="00B32E06">
              <w:rPr>
                <w:rFonts w:eastAsia="SimSun"/>
                <w:szCs w:val="22"/>
              </w:rPr>
              <w:t>i</w:t>
            </w:r>
            <w:r w:rsidR="00412CD1" w:rsidRPr="0040235D">
              <w:rPr>
                <w:rFonts w:eastAsia="SimSun"/>
                <w:szCs w:val="22"/>
              </w:rPr>
              <w:t xml:space="preserve">: </w:t>
            </w:r>
            <w:r w:rsidR="00776189" w:rsidRPr="0040235D">
              <w:rPr>
                <w:rFonts w:eastAsia="SimSun"/>
                <w:szCs w:val="22"/>
              </w:rPr>
              <w:t>horúčka</w:t>
            </w:r>
            <w:r w:rsidR="00412CD1"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="00412CD1" w:rsidRPr="0040235D">
              <w:rPr>
                <w:rFonts w:eastAsia="SimSun"/>
                <w:szCs w:val="22"/>
              </w:rPr>
              <w:t>myalgia</w:t>
            </w:r>
            <w:proofErr w:type="spellEnd"/>
            <w:r w:rsidR="00412CD1"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="00412CD1" w:rsidRPr="0040235D">
              <w:rPr>
                <w:rFonts w:eastAsia="SimSun"/>
                <w:szCs w:val="22"/>
              </w:rPr>
              <w:t>artralgia</w:t>
            </w:r>
            <w:proofErr w:type="spellEnd"/>
            <w:r w:rsidR="00412CD1"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="00412CD1" w:rsidRPr="0040235D">
              <w:rPr>
                <w:rFonts w:eastAsia="SimSun"/>
                <w:szCs w:val="22"/>
              </w:rPr>
              <w:t>alveolit</w:t>
            </w:r>
            <w:r w:rsidR="00776189" w:rsidRPr="0040235D">
              <w:rPr>
                <w:rFonts w:eastAsia="SimSun"/>
                <w:szCs w:val="22"/>
              </w:rPr>
              <w:t>ída</w:t>
            </w:r>
            <w:proofErr w:type="spellEnd"/>
            <w:r w:rsidR="00412CD1"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="00412CD1" w:rsidRPr="0040235D">
              <w:rPr>
                <w:rFonts w:eastAsia="SimSun"/>
                <w:szCs w:val="22"/>
              </w:rPr>
              <w:t>m</w:t>
            </w:r>
            <w:r w:rsidR="00776189" w:rsidRPr="0040235D">
              <w:rPr>
                <w:rFonts w:eastAsia="SimSun"/>
                <w:szCs w:val="22"/>
              </w:rPr>
              <w:t>y</w:t>
            </w:r>
            <w:r w:rsidR="00412CD1" w:rsidRPr="0040235D">
              <w:rPr>
                <w:rFonts w:eastAsia="SimSun"/>
                <w:szCs w:val="22"/>
              </w:rPr>
              <w:t>o</w:t>
            </w:r>
            <w:r w:rsidR="00776189" w:rsidRPr="0040235D">
              <w:rPr>
                <w:rFonts w:eastAsia="SimSun"/>
                <w:szCs w:val="22"/>
              </w:rPr>
              <w:t>k</w:t>
            </w:r>
            <w:r w:rsidR="00412CD1" w:rsidRPr="0040235D">
              <w:rPr>
                <w:rFonts w:eastAsia="SimSun"/>
                <w:szCs w:val="22"/>
              </w:rPr>
              <w:t>ardit</w:t>
            </w:r>
            <w:r w:rsidR="00776189" w:rsidRPr="0040235D">
              <w:rPr>
                <w:rFonts w:eastAsia="SimSun"/>
                <w:szCs w:val="22"/>
              </w:rPr>
              <w:t>ída</w:t>
            </w:r>
            <w:proofErr w:type="spellEnd"/>
            <w:r w:rsidR="00412CD1"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="00412CD1" w:rsidRPr="0040235D">
              <w:rPr>
                <w:rFonts w:eastAsia="SimSun"/>
                <w:szCs w:val="22"/>
              </w:rPr>
              <w:t>peri</w:t>
            </w:r>
            <w:r w:rsidR="00776189" w:rsidRPr="0040235D">
              <w:rPr>
                <w:rFonts w:eastAsia="SimSun"/>
                <w:szCs w:val="22"/>
              </w:rPr>
              <w:t>k</w:t>
            </w:r>
            <w:r w:rsidR="00412CD1" w:rsidRPr="0040235D">
              <w:rPr>
                <w:rFonts w:eastAsia="SimSun"/>
                <w:szCs w:val="22"/>
              </w:rPr>
              <w:t>ardit</w:t>
            </w:r>
            <w:r w:rsidR="00776189" w:rsidRPr="0040235D">
              <w:rPr>
                <w:rFonts w:eastAsia="SimSun"/>
                <w:szCs w:val="22"/>
              </w:rPr>
              <w:t>ída</w:t>
            </w:r>
            <w:proofErr w:type="spellEnd"/>
          </w:p>
          <w:p w14:paraId="243AA77D" w14:textId="77777777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</w:p>
        </w:tc>
      </w:tr>
      <w:tr w:rsidR="00412CD1" w:rsidRPr="0040235D" w14:paraId="0B143D1D" w14:textId="77777777" w:rsidTr="00AD6B78">
        <w:trPr>
          <w:trHeight w:val="328"/>
        </w:trPr>
        <w:tc>
          <w:tcPr>
            <w:tcW w:w="3652" w:type="dxa"/>
            <w:shd w:val="clear" w:color="auto" w:fill="auto"/>
          </w:tcPr>
          <w:p w14:paraId="799BFBBE" w14:textId="38279BC2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</w:rPr>
            </w:pPr>
            <w:r w:rsidRPr="0040235D">
              <w:rPr>
                <w:szCs w:val="22"/>
              </w:rPr>
              <w:t>Poruchy nervového systému</w:t>
            </w:r>
          </w:p>
        </w:tc>
        <w:tc>
          <w:tcPr>
            <w:tcW w:w="6584" w:type="dxa"/>
            <w:shd w:val="clear" w:color="auto" w:fill="auto"/>
          </w:tcPr>
          <w:p w14:paraId="7015B02A" w14:textId="0309DE96" w:rsidR="00412CD1" w:rsidRPr="0040235D" w:rsidRDefault="00776189" w:rsidP="00AD6B78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  <w:r w:rsidRPr="0040235D">
              <w:rPr>
                <w:rFonts w:eastAsia="SimSun"/>
                <w:szCs w:val="22"/>
              </w:rPr>
              <w:t>bolesť hlavy</w:t>
            </w:r>
            <w:r w:rsidR="00412CD1"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="00412CD1" w:rsidRPr="0040235D">
              <w:rPr>
                <w:rFonts w:eastAsia="SimSun"/>
                <w:szCs w:val="22"/>
              </w:rPr>
              <w:t>neuropat</w:t>
            </w:r>
            <w:r w:rsidRPr="0040235D">
              <w:rPr>
                <w:rFonts w:eastAsia="SimSun"/>
                <w:szCs w:val="22"/>
              </w:rPr>
              <w:t>ia</w:t>
            </w:r>
            <w:proofErr w:type="spellEnd"/>
          </w:p>
        </w:tc>
      </w:tr>
      <w:tr w:rsidR="00412CD1" w:rsidRPr="0040235D" w14:paraId="1D1DE342" w14:textId="77777777" w:rsidTr="00AD6B78">
        <w:trPr>
          <w:trHeight w:val="453"/>
        </w:trPr>
        <w:tc>
          <w:tcPr>
            <w:tcW w:w="3652" w:type="dxa"/>
            <w:shd w:val="clear" w:color="auto" w:fill="auto"/>
          </w:tcPr>
          <w:p w14:paraId="22792CC5" w14:textId="4290678D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</w:rPr>
            </w:pPr>
            <w:r w:rsidRPr="0040235D">
              <w:rPr>
                <w:szCs w:val="22"/>
              </w:rPr>
              <w:t xml:space="preserve">Poruchy </w:t>
            </w:r>
            <w:proofErr w:type="spellStart"/>
            <w:r w:rsidRPr="0040235D">
              <w:rPr>
                <w:szCs w:val="22"/>
              </w:rPr>
              <w:t>gastrointestinálneho</w:t>
            </w:r>
            <w:proofErr w:type="spellEnd"/>
            <w:r w:rsidRPr="0040235D">
              <w:rPr>
                <w:szCs w:val="22"/>
              </w:rPr>
              <w:t xml:space="preserve"> traktu</w:t>
            </w:r>
          </w:p>
        </w:tc>
        <w:tc>
          <w:tcPr>
            <w:tcW w:w="6584" w:type="dxa"/>
            <w:shd w:val="clear" w:color="auto" w:fill="auto"/>
          </w:tcPr>
          <w:p w14:paraId="1DB753FD" w14:textId="613D0A01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  <w:r w:rsidRPr="0040235D">
              <w:rPr>
                <w:rFonts w:eastAsia="SimSun"/>
                <w:szCs w:val="22"/>
              </w:rPr>
              <w:t>nau</w:t>
            </w:r>
            <w:r w:rsidR="00776189" w:rsidRPr="0040235D">
              <w:rPr>
                <w:rFonts w:eastAsia="SimSun"/>
                <w:szCs w:val="22"/>
              </w:rPr>
              <w:t>z</w:t>
            </w:r>
            <w:r w:rsidRPr="0040235D">
              <w:rPr>
                <w:rFonts w:eastAsia="SimSun"/>
                <w:szCs w:val="22"/>
              </w:rPr>
              <w:t xml:space="preserve">ea, </w:t>
            </w:r>
            <w:r w:rsidR="00776189" w:rsidRPr="0040235D">
              <w:rPr>
                <w:rFonts w:eastAsia="SimSun"/>
                <w:szCs w:val="22"/>
              </w:rPr>
              <w:t>bolesť brucha</w:t>
            </w:r>
            <w:r w:rsidRPr="0040235D">
              <w:rPr>
                <w:rFonts w:eastAsia="SimSun"/>
                <w:szCs w:val="22"/>
              </w:rPr>
              <w:t xml:space="preserve">, </w:t>
            </w:r>
            <w:r w:rsidR="001E39C3" w:rsidRPr="0040235D">
              <w:rPr>
                <w:rFonts w:eastAsia="SimSun"/>
                <w:szCs w:val="22"/>
              </w:rPr>
              <w:t>hnačka</w:t>
            </w:r>
            <w:r w:rsidRPr="0040235D">
              <w:rPr>
                <w:rFonts w:eastAsia="SimSun"/>
                <w:szCs w:val="22"/>
              </w:rPr>
              <w:t xml:space="preserve">, </w:t>
            </w:r>
            <w:proofErr w:type="spellStart"/>
            <w:r w:rsidRPr="0040235D">
              <w:rPr>
                <w:rFonts w:eastAsia="SimSun"/>
                <w:szCs w:val="22"/>
              </w:rPr>
              <w:t>pan</w:t>
            </w:r>
            <w:r w:rsidR="001E39C3" w:rsidRPr="0040235D">
              <w:rPr>
                <w:rFonts w:eastAsia="SimSun"/>
                <w:szCs w:val="22"/>
              </w:rPr>
              <w:t>k</w:t>
            </w:r>
            <w:r w:rsidRPr="0040235D">
              <w:rPr>
                <w:rFonts w:eastAsia="SimSun"/>
                <w:szCs w:val="22"/>
              </w:rPr>
              <w:t>reatit</w:t>
            </w:r>
            <w:r w:rsidR="001E39C3" w:rsidRPr="0040235D">
              <w:rPr>
                <w:rFonts w:eastAsia="SimSun"/>
                <w:szCs w:val="22"/>
              </w:rPr>
              <w:t>ída</w:t>
            </w:r>
            <w:proofErr w:type="spellEnd"/>
          </w:p>
        </w:tc>
      </w:tr>
      <w:tr w:rsidR="00412CD1" w:rsidRPr="0040235D" w14:paraId="79997D12" w14:textId="77777777" w:rsidTr="00AD6B78">
        <w:trPr>
          <w:trHeight w:val="453"/>
        </w:trPr>
        <w:tc>
          <w:tcPr>
            <w:tcW w:w="3652" w:type="dxa"/>
            <w:shd w:val="clear" w:color="auto" w:fill="auto"/>
          </w:tcPr>
          <w:p w14:paraId="1EA4265B" w14:textId="3300CEA6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</w:rPr>
            </w:pPr>
            <w:r w:rsidRPr="0040235D">
              <w:rPr>
                <w:szCs w:val="22"/>
              </w:rPr>
              <w:t>Poruchy pečene a žlčových ciest</w:t>
            </w:r>
          </w:p>
        </w:tc>
        <w:tc>
          <w:tcPr>
            <w:tcW w:w="6584" w:type="dxa"/>
            <w:shd w:val="clear" w:color="auto" w:fill="auto"/>
          </w:tcPr>
          <w:p w14:paraId="1A60408F" w14:textId="69EF3411" w:rsidR="00412CD1" w:rsidRPr="0040235D" w:rsidRDefault="001E39C3" w:rsidP="00AD6B78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  <w:r w:rsidRPr="0040235D">
              <w:rPr>
                <w:rFonts w:eastAsia="SimSun"/>
                <w:szCs w:val="22"/>
              </w:rPr>
              <w:t>prechodné zvýšenie pečeňových enzýmov</w:t>
            </w:r>
            <w:r w:rsidR="00412CD1" w:rsidRPr="0040235D">
              <w:rPr>
                <w:rFonts w:eastAsia="SimSun"/>
                <w:szCs w:val="22"/>
              </w:rPr>
              <w:t>, hepatit</w:t>
            </w:r>
            <w:r w:rsidRPr="0040235D">
              <w:rPr>
                <w:rFonts w:eastAsia="SimSun"/>
                <w:szCs w:val="22"/>
              </w:rPr>
              <w:t>ída</w:t>
            </w:r>
          </w:p>
        </w:tc>
      </w:tr>
      <w:tr w:rsidR="00412CD1" w:rsidRPr="0040235D" w14:paraId="34FC8CBD" w14:textId="77777777" w:rsidTr="00AD6B78">
        <w:trPr>
          <w:trHeight w:val="453"/>
        </w:trPr>
        <w:tc>
          <w:tcPr>
            <w:tcW w:w="3652" w:type="dxa"/>
            <w:shd w:val="clear" w:color="auto" w:fill="auto"/>
          </w:tcPr>
          <w:p w14:paraId="5101262F" w14:textId="099E4041" w:rsidR="00412CD1" w:rsidRPr="0040235D" w:rsidRDefault="00776189" w:rsidP="00AD6B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Cs w:val="22"/>
              </w:rPr>
            </w:pPr>
            <w:r w:rsidRPr="0040235D">
              <w:rPr>
                <w:szCs w:val="22"/>
              </w:rPr>
              <w:t>Poruchy kože a podkožného tkaniva</w:t>
            </w:r>
            <w:r w:rsidR="00412CD1" w:rsidRPr="0040235D">
              <w:rPr>
                <w:rFonts w:eastAsia="SimSun"/>
                <w:szCs w:val="22"/>
              </w:rPr>
              <w:t>*</w:t>
            </w:r>
          </w:p>
        </w:tc>
        <w:tc>
          <w:tcPr>
            <w:tcW w:w="6584" w:type="dxa"/>
            <w:shd w:val="clear" w:color="auto" w:fill="auto"/>
          </w:tcPr>
          <w:p w14:paraId="3422C56C" w14:textId="25D03B02" w:rsidR="00412CD1" w:rsidRPr="0040235D" w:rsidRDefault="00412CD1" w:rsidP="00AD6B78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  <w:proofErr w:type="spellStart"/>
            <w:r w:rsidRPr="0040235D">
              <w:rPr>
                <w:rFonts w:eastAsia="SimSun"/>
                <w:szCs w:val="22"/>
              </w:rPr>
              <w:t>eryt</w:t>
            </w:r>
            <w:r w:rsidR="001E39C3" w:rsidRPr="0040235D">
              <w:rPr>
                <w:rFonts w:eastAsia="SimSun"/>
                <w:szCs w:val="22"/>
              </w:rPr>
              <w:t>é</w:t>
            </w:r>
            <w:r w:rsidRPr="0040235D">
              <w:rPr>
                <w:rFonts w:eastAsia="SimSun"/>
                <w:szCs w:val="22"/>
              </w:rPr>
              <w:t>m</w:t>
            </w:r>
            <w:proofErr w:type="spellEnd"/>
            <w:r w:rsidRPr="0040235D">
              <w:rPr>
                <w:rFonts w:eastAsia="SimSun"/>
                <w:szCs w:val="22"/>
              </w:rPr>
              <w:t xml:space="preserve"> (</w:t>
            </w:r>
            <w:r w:rsidR="001E39C3" w:rsidRPr="0040235D">
              <w:rPr>
                <w:rFonts w:eastAsia="SimSun"/>
                <w:szCs w:val="22"/>
              </w:rPr>
              <w:t xml:space="preserve">vrátane </w:t>
            </w:r>
            <w:proofErr w:type="spellStart"/>
            <w:r w:rsidR="001E39C3" w:rsidRPr="0040235D">
              <w:rPr>
                <w:rFonts w:eastAsia="SimSun"/>
                <w:szCs w:val="22"/>
              </w:rPr>
              <w:t>pr</w:t>
            </w:r>
            <w:r w:rsidR="00B32E06">
              <w:rPr>
                <w:rFonts w:eastAsia="SimSun"/>
                <w:szCs w:val="22"/>
              </w:rPr>
              <w:t>u</w:t>
            </w:r>
            <w:r w:rsidR="001E39C3" w:rsidRPr="0040235D">
              <w:rPr>
                <w:rFonts w:eastAsia="SimSun"/>
                <w:szCs w:val="22"/>
              </w:rPr>
              <w:t>ritu</w:t>
            </w:r>
            <w:proofErr w:type="spellEnd"/>
            <w:r w:rsidR="001E39C3" w:rsidRPr="0040235D">
              <w:rPr>
                <w:rFonts w:eastAsia="SimSun"/>
                <w:szCs w:val="22"/>
              </w:rPr>
              <w:t xml:space="preserve"> a žihľavky</w:t>
            </w:r>
            <w:r w:rsidRPr="0040235D">
              <w:rPr>
                <w:rFonts w:eastAsia="SimSun"/>
                <w:szCs w:val="22"/>
              </w:rPr>
              <w:t xml:space="preserve">), </w:t>
            </w:r>
            <w:proofErr w:type="spellStart"/>
            <w:r w:rsidR="001E39C3" w:rsidRPr="0040235D">
              <w:rPr>
                <w:rFonts w:eastAsia="SimSun"/>
                <w:szCs w:val="22"/>
              </w:rPr>
              <w:t>f</w:t>
            </w:r>
            <w:r w:rsidRPr="0040235D">
              <w:rPr>
                <w:rFonts w:eastAsia="SimSun"/>
                <w:szCs w:val="22"/>
              </w:rPr>
              <w:t>otosen</w:t>
            </w:r>
            <w:r w:rsidR="001E39C3" w:rsidRPr="0040235D">
              <w:rPr>
                <w:rFonts w:eastAsia="SimSun"/>
                <w:szCs w:val="22"/>
              </w:rPr>
              <w:t>z</w:t>
            </w:r>
            <w:r w:rsidRPr="0040235D">
              <w:rPr>
                <w:rFonts w:eastAsia="SimSun"/>
                <w:szCs w:val="22"/>
              </w:rPr>
              <w:t>itivit</w:t>
            </w:r>
            <w:r w:rsidR="001E39C3" w:rsidRPr="0040235D">
              <w:rPr>
                <w:rFonts w:eastAsia="SimSun"/>
                <w:szCs w:val="22"/>
              </w:rPr>
              <w:t>a</w:t>
            </w:r>
            <w:proofErr w:type="spellEnd"/>
            <w:r w:rsidRPr="0040235D">
              <w:rPr>
                <w:rFonts w:eastAsia="SimSun"/>
                <w:szCs w:val="22"/>
              </w:rPr>
              <w:t>**</w:t>
            </w:r>
          </w:p>
        </w:tc>
      </w:tr>
      <w:tr w:rsidR="00412CD1" w:rsidRPr="0040235D" w14:paraId="4E1451E1" w14:textId="77777777" w:rsidTr="00AD6B78">
        <w:trPr>
          <w:trHeight w:val="673"/>
        </w:trPr>
        <w:tc>
          <w:tcPr>
            <w:tcW w:w="3652" w:type="dxa"/>
            <w:shd w:val="clear" w:color="auto" w:fill="auto"/>
          </w:tcPr>
          <w:p w14:paraId="57AFF398" w14:textId="2B703411" w:rsidR="00412CD1" w:rsidRPr="0040235D" w:rsidRDefault="00776189" w:rsidP="00AD6B7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  <w:r w:rsidRPr="0040235D">
              <w:rPr>
                <w:szCs w:val="22"/>
              </w:rPr>
              <w:t>Poruchy obličiek a močovej sústavy</w:t>
            </w:r>
            <w:r w:rsidR="00412CD1" w:rsidRPr="0040235D">
              <w:rPr>
                <w:rFonts w:eastAsia="SimSun"/>
                <w:szCs w:val="22"/>
              </w:rPr>
              <w:t>***</w:t>
            </w:r>
          </w:p>
        </w:tc>
        <w:tc>
          <w:tcPr>
            <w:tcW w:w="6584" w:type="dxa"/>
            <w:shd w:val="clear" w:color="auto" w:fill="auto"/>
          </w:tcPr>
          <w:p w14:paraId="1420EC42" w14:textId="18AD5EEC" w:rsidR="00412CD1" w:rsidRPr="0040235D" w:rsidRDefault="001E39C3" w:rsidP="00AD6B78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Cs w:val="22"/>
              </w:rPr>
            </w:pPr>
            <w:r w:rsidRPr="0040235D">
              <w:rPr>
                <w:szCs w:val="22"/>
              </w:rPr>
              <w:t xml:space="preserve">poruchy </w:t>
            </w:r>
            <w:proofErr w:type="spellStart"/>
            <w:r w:rsidRPr="0040235D">
              <w:rPr>
                <w:szCs w:val="22"/>
              </w:rPr>
              <w:t>renálnych</w:t>
            </w:r>
            <w:proofErr w:type="spellEnd"/>
            <w:r w:rsidRPr="0040235D">
              <w:rPr>
                <w:szCs w:val="22"/>
              </w:rPr>
              <w:t xml:space="preserve"> funkcií</w:t>
            </w:r>
            <w:r w:rsidR="00412CD1" w:rsidRPr="0040235D">
              <w:rPr>
                <w:rFonts w:eastAsia="SimSun"/>
                <w:szCs w:val="22"/>
              </w:rPr>
              <w:t>, a</w:t>
            </w:r>
            <w:r w:rsidRPr="0040235D">
              <w:rPr>
                <w:rFonts w:eastAsia="SimSun"/>
                <w:szCs w:val="22"/>
              </w:rPr>
              <w:t>kútna a chronická</w:t>
            </w:r>
            <w:r w:rsidR="00412CD1" w:rsidRPr="0040235D">
              <w:rPr>
                <w:rFonts w:eastAsia="SimSun"/>
                <w:szCs w:val="22"/>
              </w:rPr>
              <w:t xml:space="preserve"> </w:t>
            </w:r>
            <w:proofErr w:type="spellStart"/>
            <w:r w:rsidR="00412CD1" w:rsidRPr="0040235D">
              <w:rPr>
                <w:rFonts w:eastAsia="SimSun"/>
                <w:szCs w:val="22"/>
              </w:rPr>
              <w:t>intersti</w:t>
            </w:r>
            <w:r w:rsidRPr="0040235D">
              <w:rPr>
                <w:rFonts w:eastAsia="SimSun"/>
                <w:szCs w:val="22"/>
              </w:rPr>
              <w:t>ciálna</w:t>
            </w:r>
            <w:proofErr w:type="spellEnd"/>
            <w:r w:rsidR="00412CD1" w:rsidRPr="0040235D">
              <w:rPr>
                <w:rFonts w:eastAsia="SimSun"/>
                <w:szCs w:val="22"/>
              </w:rPr>
              <w:t xml:space="preserve"> </w:t>
            </w:r>
            <w:proofErr w:type="spellStart"/>
            <w:r w:rsidR="00412CD1" w:rsidRPr="0040235D">
              <w:rPr>
                <w:rFonts w:eastAsia="SimSun"/>
                <w:szCs w:val="22"/>
              </w:rPr>
              <w:t>ne</w:t>
            </w:r>
            <w:r w:rsidRPr="0040235D">
              <w:rPr>
                <w:rFonts w:eastAsia="SimSun"/>
                <w:szCs w:val="22"/>
              </w:rPr>
              <w:t>f</w:t>
            </w:r>
            <w:r w:rsidR="00412CD1" w:rsidRPr="0040235D">
              <w:rPr>
                <w:rFonts w:eastAsia="SimSun"/>
                <w:szCs w:val="22"/>
              </w:rPr>
              <w:t>rit</w:t>
            </w:r>
            <w:r w:rsidRPr="0040235D">
              <w:rPr>
                <w:rFonts w:eastAsia="SimSun"/>
                <w:szCs w:val="22"/>
              </w:rPr>
              <w:t>ída</w:t>
            </w:r>
            <w:proofErr w:type="spellEnd"/>
            <w:r w:rsidR="00412CD1" w:rsidRPr="0040235D">
              <w:rPr>
                <w:rFonts w:eastAsia="SimSun"/>
                <w:szCs w:val="22"/>
              </w:rPr>
              <w:t xml:space="preserve">, </w:t>
            </w:r>
            <w:r w:rsidRPr="0040235D">
              <w:rPr>
                <w:rFonts w:eastAsia="SimSun"/>
                <w:szCs w:val="22"/>
              </w:rPr>
              <w:t>zlyhanie obličiek</w:t>
            </w:r>
          </w:p>
        </w:tc>
      </w:tr>
    </w:tbl>
    <w:p w14:paraId="121A2B76" w14:textId="77777777" w:rsidR="00412CD1" w:rsidRPr="0040235D" w:rsidRDefault="00412CD1" w:rsidP="00085939">
      <w:pPr>
        <w:autoSpaceDE w:val="0"/>
        <w:autoSpaceDN w:val="0"/>
        <w:adjustRightInd w:val="0"/>
        <w:spacing w:line="240" w:lineRule="auto"/>
        <w:jc w:val="both"/>
      </w:pPr>
    </w:p>
    <w:p w14:paraId="0FB161FE" w14:textId="5101DC3D" w:rsidR="001E39C3" w:rsidRPr="0040235D" w:rsidRDefault="001E39C3" w:rsidP="001E39C3">
      <w:pPr>
        <w:autoSpaceDE w:val="0"/>
        <w:autoSpaceDN w:val="0"/>
        <w:adjustRightInd w:val="0"/>
        <w:spacing w:line="240" w:lineRule="auto"/>
        <w:jc w:val="both"/>
      </w:pPr>
      <w:r w:rsidRPr="0040235D">
        <w:rPr>
          <w:b/>
          <w:i/>
          <w:szCs w:val="22"/>
        </w:rPr>
        <w:t>*</w:t>
      </w:r>
      <w:r w:rsidRPr="0040235D">
        <w:t xml:space="preserve"> S neznámou frekvenciou boli opísané nasledujúce poruchy: </w:t>
      </w:r>
      <w:proofErr w:type="spellStart"/>
      <w:r w:rsidRPr="0040235D">
        <w:t>multiformný</w:t>
      </w:r>
      <w:proofErr w:type="spellEnd"/>
      <w:r w:rsidRPr="0040235D">
        <w:t xml:space="preserve"> </w:t>
      </w:r>
      <w:proofErr w:type="spellStart"/>
      <w:r w:rsidRPr="0040235D">
        <w:t>erytém</w:t>
      </w:r>
      <w:proofErr w:type="spellEnd"/>
      <w:r w:rsidRPr="0040235D">
        <w:t xml:space="preserve">, </w:t>
      </w:r>
      <w:proofErr w:type="spellStart"/>
      <w:r w:rsidRPr="0040235D">
        <w:t>Stevensov-Johnsonov</w:t>
      </w:r>
      <w:proofErr w:type="spellEnd"/>
      <w:r w:rsidRPr="0040235D">
        <w:t xml:space="preserve"> syndróm a toxická </w:t>
      </w:r>
      <w:proofErr w:type="spellStart"/>
      <w:r w:rsidRPr="0040235D">
        <w:t>epidermálna</w:t>
      </w:r>
      <w:proofErr w:type="spellEnd"/>
      <w:r w:rsidRPr="0040235D">
        <w:t xml:space="preserve"> </w:t>
      </w:r>
      <w:proofErr w:type="spellStart"/>
      <w:r w:rsidRPr="0040235D">
        <w:t>nekrolýza</w:t>
      </w:r>
      <w:proofErr w:type="spellEnd"/>
      <w:r w:rsidRPr="0040235D">
        <w:t>.</w:t>
      </w:r>
    </w:p>
    <w:p w14:paraId="2308FB22" w14:textId="77777777" w:rsidR="001E39C3" w:rsidRPr="0040235D" w:rsidRDefault="001E39C3" w:rsidP="001E39C3">
      <w:pPr>
        <w:autoSpaceDE w:val="0"/>
        <w:autoSpaceDN w:val="0"/>
        <w:adjustRightInd w:val="0"/>
        <w:spacing w:line="240" w:lineRule="auto"/>
        <w:jc w:val="both"/>
      </w:pPr>
    </w:p>
    <w:p w14:paraId="2A97011F" w14:textId="33697CF7" w:rsidR="001E39C3" w:rsidRPr="0040235D" w:rsidRDefault="001E39C3" w:rsidP="001E39C3">
      <w:pPr>
        <w:autoSpaceDE w:val="0"/>
        <w:autoSpaceDN w:val="0"/>
        <w:adjustRightInd w:val="0"/>
        <w:spacing w:line="240" w:lineRule="auto"/>
        <w:jc w:val="both"/>
      </w:pPr>
      <w:r w:rsidRPr="0040235D">
        <w:t xml:space="preserve">Vo veľmi zriedkavých prípadoch (&lt;1/10 000) sa pozorovala </w:t>
      </w:r>
      <w:proofErr w:type="spellStart"/>
      <w:r w:rsidRPr="0040235D">
        <w:t>exacerbácia</w:t>
      </w:r>
      <w:proofErr w:type="spellEnd"/>
      <w:r w:rsidRPr="0040235D">
        <w:t xml:space="preserve"> príznakov </w:t>
      </w:r>
      <w:proofErr w:type="spellStart"/>
      <w:r w:rsidRPr="0040235D">
        <w:t>kolitídy</w:t>
      </w:r>
      <w:proofErr w:type="spellEnd"/>
      <w:r w:rsidRPr="0040235D">
        <w:t>.</w:t>
      </w:r>
    </w:p>
    <w:p w14:paraId="7E12DDD2" w14:textId="77777777" w:rsidR="001E39C3" w:rsidRPr="0040235D" w:rsidRDefault="001E39C3" w:rsidP="001E39C3">
      <w:pPr>
        <w:autoSpaceDE w:val="0"/>
        <w:autoSpaceDN w:val="0"/>
        <w:adjustRightInd w:val="0"/>
        <w:spacing w:line="240" w:lineRule="auto"/>
        <w:jc w:val="both"/>
      </w:pPr>
    </w:p>
    <w:p w14:paraId="34D4C025" w14:textId="291D46B0" w:rsidR="001E39C3" w:rsidRPr="0040235D" w:rsidRDefault="001E39C3" w:rsidP="001E39C3">
      <w:pPr>
        <w:autoSpaceDE w:val="0"/>
        <w:autoSpaceDN w:val="0"/>
        <w:adjustRightInd w:val="0"/>
        <w:spacing w:line="240" w:lineRule="auto"/>
      </w:pPr>
      <w:r w:rsidRPr="0040235D">
        <w:t xml:space="preserve">** </w:t>
      </w:r>
      <w:proofErr w:type="spellStart"/>
      <w:r w:rsidRPr="0040235D">
        <w:t>Fotosenzitivita</w:t>
      </w:r>
      <w:proofErr w:type="spellEnd"/>
      <w:r w:rsidRPr="0040235D">
        <w:br/>
        <w:t xml:space="preserve">Závažnejšie reakcie boli hlásené u pacientov s už existujúcimi kožnými chorobami, ako je </w:t>
      </w:r>
      <w:proofErr w:type="spellStart"/>
      <w:r w:rsidRPr="0040235D">
        <w:t>atopická</w:t>
      </w:r>
      <w:proofErr w:type="spellEnd"/>
      <w:r w:rsidRPr="0040235D">
        <w:t xml:space="preserve"> dermatitída a </w:t>
      </w:r>
      <w:proofErr w:type="spellStart"/>
      <w:r w:rsidRPr="0040235D">
        <w:t>atopický</w:t>
      </w:r>
      <w:proofErr w:type="spellEnd"/>
      <w:r w:rsidRPr="0040235D">
        <w:t xml:space="preserve"> ekzém.</w:t>
      </w:r>
    </w:p>
    <w:p w14:paraId="60DC12D9" w14:textId="77777777" w:rsidR="001E39C3" w:rsidRPr="0040235D" w:rsidRDefault="001E39C3" w:rsidP="001E39C3">
      <w:pPr>
        <w:autoSpaceDE w:val="0"/>
        <w:autoSpaceDN w:val="0"/>
        <w:adjustRightInd w:val="0"/>
        <w:spacing w:line="240" w:lineRule="auto"/>
      </w:pPr>
    </w:p>
    <w:p w14:paraId="0F5B35D2" w14:textId="08C122C6" w:rsidR="00812D16" w:rsidRPr="0040235D" w:rsidRDefault="001E39C3" w:rsidP="001E39C3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40235D">
        <w:t>*** Frekvencia nie je znám</w:t>
      </w:r>
      <w:r w:rsidR="0025765E">
        <w:t>a</w:t>
      </w:r>
      <w:r w:rsidRPr="0040235D">
        <w:t xml:space="preserve">: </w:t>
      </w:r>
      <w:proofErr w:type="spellStart"/>
      <w:r w:rsidRPr="0040235D">
        <w:t>nefrolitiáza</w:t>
      </w:r>
      <w:proofErr w:type="spellEnd"/>
      <w:r w:rsidRPr="0040235D">
        <w:t xml:space="preserve"> (ďalšie informácie nájdete v časti 4.4).</w:t>
      </w:r>
    </w:p>
    <w:p w14:paraId="392C72AF" w14:textId="77777777" w:rsidR="00033D26" w:rsidRPr="0040235D" w:rsidRDefault="00033D26" w:rsidP="00085939">
      <w:pPr>
        <w:autoSpaceDE w:val="0"/>
        <w:autoSpaceDN w:val="0"/>
        <w:adjustRightInd w:val="0"/>
        <w:spacing w:line="240" w:lineRule="auto"/>
        <w:jc w:val="both"/>
      </w:pPr>
    </w:p>
    <w:p w14:paraId="793882A8" w14:textId="77777777" w:rsidR="00B12D42" w:rsidRPr="0040235D" w:rsidRDefault="001D5E29" w:rsidP="00B12D42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40235D">
        <w:rPr>
          <w:u w:val="single"/>
        </w:rPr>
        <w:t>Hlásenie podozrení na nežiaduce reakcie</w:t>
      </w:r>
    </w:p>
    <w:p w14:paraId="07F95421" w14:textId="4E1F490B" w:rsidR="00B12D42" w:rsidRPr="0040235D" w:rsidRDefault="001D5E29" w:rsidP="00B12D42">
      <w:pPr>
        <w:autoSpaceDE w:val="0"/>
        <w:autoSpaceDN w:val="0"/>
        <w:adjustRightInd w:val="0"/>
        <w:spacing w:line="240" w:lineRule="auto"/>
      </w:pPr>
      <w:r w:rsidRPr="0040235D"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0235D">
        <w:rPr>
          <w:highlight w:val="lightGray"/>
        </w:rPr>
        <w:t>národné centrum hlásenia uvedené v </w:t>
      </w:r>
      <w:hyperlink r:id="rId12" w:history="1">
        <w:r w:rsidRPr="0040235D">
          <w:rPr>
            <w:rStyle w:val="Hypertextovprepojenie1"/>
            <w:highlight w:val="lightGray"/>
          </w:rPr>
          <w:t>Prílohe V</w:t>
        </w:r>
      </w:hyperlink>
      <w:r w:rsidRPr="0040235D">
        <w:rPr>
          <w:color w:val="008000"/>
        </w:rPr>
        <w:t>.</w:t>
      </w:r>
    </w:p>
    <w:p w14:paraId="74233C11" w14:textId="77777777" w:rsidR="008D35AD" w:rsidRPr="0040235D" w:rsidRDefault="008D35AD" w:rsidP="00204AAB">
      <w:pPr>
        <w:spacing w:line="240" w:lineRule="auto"/>
      </w:pPr>
    </w:p>
    <w:p w14:paraId="06C44A98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t>Predávkovanie</w:t>
      </w:r>
    </w:p>
    <w:p w14:paraId="336E6AC8" w14:textId="77777777" w:rsidR="00812D16" w:rsidRPr="0040235D" w:rsidRDefault="00812D16" w:rsidP="00204AAB">
      <w:pPr>
        <w:spacing w:line="240" w:lineRule="auto"/>
      </w:pPr>
    </w:p>
    <w:p w14:paraId="29EEBAB2" w14:textId="0C70FF2D" w:rsidR="001E39C3" w:rsidRPr="0040235D" w:rsidRDefault="001E39C3" w:rsidP="001E39C3">
      <w:pPr>
        <w:spacing w:line="240" w:lineRule="auto"/>
      </w:pPr>
      <w:proofErr w:type="spellStart"/>
      <w:r w:rsidRPr="0040235D">
        <w:t>Mesalazín</w:t>
      </w:r>
      <w:proofErr w:type="spellEnd"/>
      <w:r w:rsidRPr="0040235D">
        <w:t xml:space="preserve"> je </w:t>
      </w:r>
      <w:proofErr w:type="spellStart"/>
      <w:r w:rsidRPr="0040235D">
        <w:t>aminosalicylát</w:t>
      </w:r>
      <w:proofErr w:type="spellEnd"/>
      <w:r w:rsidRPr="0040235D">
        <w:t xml:space="preserve"> a medzi príznaky </w:t>
      </w:r>
      <w:proofErr w:type="spellStart"/>
      <w:r w:rsidRPr="0040235D">
        <w:t>salicylátovej</w:t>
      </w:r>
      <w:proofErr w:type="spellEnd"/>
      <w:r w:rsidRPr="0040235D">
        <w:t xml:space="preserve"> toxicity patrí </w:t>
      </w:r>
      <w:proofErr w:type="spellStart"/>
      <w:r w:rsidRPr="0040235D">
        <w:t>tin</w:t>
      </w:r>
      <w:r w:rsidR="00165D78">
        <w:t>n</w:t>
      </w:r>
      <w:r w:rsidRPr="0040235D">
        <w:t>itus</w:t>
      </w:r>
      <w:proofErr w:type="spellEnd"/>
      <w:r w:rsidRPr="0040235D">
        <w:t xml:space="preserve">, závrat, bolesť hlavy, zmätenosť, ospalosť, pľúcny edém, dehydratácia v dôsledku potenia, hnačka a vracanie, </w:t>
      </w:r>
      <w:proofErr w:type="spellStart"/>
      <w:r w:rsidRPr="0040235D">
        <w:t>hypoglykémia</w:t>
      </w:r>
      <w:proofErr w:type="spellEnd"/>
      <w:r w:rsidRPr="0040235D">
        <w:t xml:space="preserve">, </w:t>
      </w:r>
      <w:proofErr w:type="spellStart"/>
      <w:r w:rsidRPr="0040235D">
        <w:t>hyperventilácia</w:t>
      </w:r>
      <w:proofErr w:type="spellEnd"/>
      <w:r w:rsidRPr="0040235D">
        <w:t>, narušenie rovnováhy elektrolytov</w:t>
      </w:r>
      <w:r w:rsidR="00A919AC" w:rsidRPr="0040235D">
        <w:t xml:space="preserve"> a</w:t>
      </w:r>
      <w:r w:rsidRPr="0040235D">
        <w:t xml:space="preserve"> pH krvi a </w:t>
      </w:r>
      <w:proofErr w:type="spellStart"/>
      <w:r w:rsidRPr="0040235D">
        <w:t>hypertermia</w:t>
      </w:r>
      <w:proofErr w:type="spellEnd"/>
      <w:r w:rsidRPr="0040235D">
        <w:t>.</w:t>
      </w:r>
    </w:p>
    <w:p w14:paraId="506E8213" w14:textId="6341C551" w:rsidR="00812D16" w:rsidRPr="0040235D" w:rsidRDefault="001E39C3" w:rsidP="001E39C3">
      <w:pPr>
        <w:spacing w:line="240" w:lineRule="auto"/>
      </w:pPr>
      <w:r w:rsidRPr="0040235D">
        <w:t xml:space="preserve">Neexistuje žiadne špecifické </w:t>
      </w:r>
      <w:proofErr w:type="spellStart"/>
      <w:r w:rsidRPr="0040235D">
        <w:t>antidotum</w:t>
      </w:r>
      <w:proofErr w:type="spellEnd"/>
      <w:r w:rsidRPr="0040235D">
        <w:t xml:space="preserve"> pri predávkovaní </w:t>
      </w:r>
      <w:proofErr w:type="spellStart"/>
      <w:r w:rsidRPr="0040235D">
        <w:t>mesalazínom</w:t>
      </w:r>
      <w:proofErr w:type="spellEnd"/>
      <w:r w:rsidRPr="0040235D">
        <w:t xml:space="preserve"> a liečba je symptomatická a podporná. V prípade akútneho predávkovania môže byť užitočná konvenčná liečba </w:t>
      </w:r>
      <w:proofErr w:type="spellStart"/>
      <w:r w:rsidRPr="0040235D">
        <w:t>salicylát</w:t>
      </w:r>
      <w:r w:rsidR="009A66CE" w:rsidRPr="0040235D">
        <w:t>ovej</w:t>
      </w:r>
      <w:proofErr w:type="spellEnd"/>
      <w:r w:rsidR="009A66CE" w:rsidRPr="0040235D">
        <w:t xml:space="preserve"> toxicity</w:t>
      </w:r>
      <w:r w:rsidRPr="0040235D">
        <w:t xml:space="preserve">. </w:t>
      </w:r>
      <w:proofErr w:type="spellStart"/>
      <w:r w:rsidRPr="0040235D">
        <w:t>Hypoglykémia</w:t>
      </w:r>
      <w:proofErr w:type="spellEnd"/>
      <w:r w:rsidRPr="0040235D">
        <w:t>, nerovnováha tekutín a elektrolytov sa má korigovať podaním vhodnej liečby. M</w:t>
      </w:r>
      <w:r w:rsidR="00A919AC" w:rsidRPr="0040235D">
        <w:t>á sa udržiavať</w:t>
      </w:r>
      <w:r w:rsidRPr="0040235D">
        <w:t xml:space="preserve"> </w:t>
      </w:r>
      <w:r w:rsidR="00A919AC" w:rsidRPr="0040235D">
        <w:t>zodpovedajúca</w:t>
      </w:r>
      <w:r w:rsidRPr="0040235D">
        <w:t xml:space="preserve"> funkcia obličiek.</w:t>
      </w:r>
    </w:p>
    <w:p w14:paraId="3A810133" w14:textId="77777777" w:rsidR="007E4269" w:rsidRPr="0040235D" w:rsidRDefault="007E4269" w:rsidP="00204AAB">
      <w:pPr>
        <w:spacing w:line="240" w:lineRule="auto"/>
      </w:pPr>
    </w:p>
    <w:p w14:paraId="0217C365" w14:textId="77777777" w:rsidR="00812D16" w:rsidRPr="0040235D" w:rsidRDefault="001D5E29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40235D">
        <w:rPr>
          <w:b/>
        </w:rPr>
        <w:lastRenderedPageBreak/>
        <w:t>FARMAKOLOGICKÉ VLASTNOSTI</w:t>
      </w:r>
    </w:p>
    <w:p w14:paraId="64AFA034" w14:textId="77777777" w:rsidR="00812D16" w:rsidRPr="0040235D" w:rsidRDefault="00812D16" w:rsidP="00085939">
      <w:pPr>
        <w:keepNext/>
        <w:spacing w:line="240" w:lineRule="auto"/>
      </w:pPr>
    </w:p>
    <w:p w14:paraId="40A1D2AB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proofErr w:type="spellStart"/>
      <w:r w:rsidRPr="0040235D">
        <w:rPr>
          <w:b/>
        </w:rPr>
        <w:t>Farmakodynamické</w:t>
      </w:r>
      <w:proofErr w:type="spellEnd"/>
      <w:r w:rsidRPr="0040235D">
        <w:rPr>
          <w:b/>
        </w:rPr>
        <w:t xml:space="preserve"> vlastnosti</w:t>
      </w:r>
    </w:p>
    <w:p w14:paraId="1B1BCA8E" w14:textId="77777777" w:rsidR="00812D16" w:rsidRPr="0040235D" w:rsidRDefault="00812D16" w:rsidP="00085939">
      <w:pPr>
        <w:keepNext/>
        <w:spacing w:line="240" w:lineRule="auto"/>
      </w:pPr>
    </w:p>
    <w:p w14:paraId="14367AA9" w14:textId="5A600FE9" w:rsidR="00812D16" w:rsidRPr="0040235D" w:rsidRDefault="001D5E29" w:rsidP="00204AAB">
      <w:pPr>
        <w:spacing w:line="240" w:lineRule="auto"/>
        <w:outlineLvl w:val="0"/>
      </w:pPr>
      <w:proofErr w:type="spellStart"/>
      <w:r w:rsidRPr="0040235D">
        <w:t>Farmakoterapeutická</w:t>
      </w:r>
      <w:proofErr w:type="spellEnd"/>
      <w:r w:rsidRPr="0040235D">
        <w:t xml:space="preserve"> skupina: </w:t>
      </w:r>
      <w:proofErr w:type="spellStart"/>
      <w:r w:rsidR="007A32E8">
        <w:t>antidiaroiká</w:t>
      </w:r>
      <w:proofErr w:type="spellEnd"/>
      <w:r w:rsidR="007A32E8">
        <w:t xml:space="preserve">, </w:t>
      </w:r>
      <w:r w:rsidR="004A4ED2">
        <w:t xml:space="preserve">črevné </w:t>
      </w:r>
      <w:proofErr w:type="spellStart"/>
      <w:r w:rsidR="004A4ED2">
        <w:t>antiinfektíva</w:t>
      </w:r>
      <w:proofErr w:type="spellEnd"/>
      <w:r w:rsidR="004A4ED2">
        <w:t xml:space="preserve"> a </w:t>
      </w:r>
      <w:proofErr w:type="spellStart"/>
      <w:r w:rsidR="004A4ED2">
        <w:t>antiflogistiká</w:t>
      </w:r>
      <w:proofErr w:type="spellEnd"/>
      <w:r w:rsidR="004A4ED2">
        <w:t>, k</w:t>
      </w:r>
      <w:r w:rsidR="00A919AC" w:rsidRPr="0040235D">
        <w:t xml:space="preserve">yselina </w:t>
      </w:r>
      <w:proofErr w:type="spellStart"/>
      <w:r w:rsidR="00A919AC" w:rsidRPr="0040235D">
        <w:t>a</w:t>
      </w:r>
      <w:r w:rsidR="009A66CE" w:rsidRPr="0040235D">
        <w:t>minosalicyl</w:t>
      </w:r>
      <w:r w:rsidR="00A919AC" w:rsidRPr="0040235D">
        <w:t>ová</w:t>
      </w:r>
      <w:proofErr w:type="spellEnd"/>
      <w:r w:rsidR="009A66CE" w:rsidRPr="0040235D">
        <w:t xml:space="preserve"> </w:t>
      </w:r>
      <w:r w:rsidR="00A919AC" w:rsidRPr="0040235D">
        <w:t>a príbuzné liečivá</w:t>
      </w:r>
      <w:r w:rsidR="00764A21">
        <w:t xml:space="preserve">, </w:t>
      </w:r>
      <w:r w:rsidRPr="0040235D">
        <w:t xml:space="preserve">ATC kód: </w:t>
      </w:r>
      <w:r w:rsidR="009A66CE" w:rsidRPr="0040235D">
        <w:t>A07EC02</w:t>
      </w:r>
      <w:r w:rsidR="00764A21">
        <w:t>.</w:t>
      </w:r>
    </w:p>
    <w:p w14:paraId="0054D0D1" w14:textId="77777777" w:rsidR="00A72DD6" w:rsidRPr="0040235D" w:rsidRDefault="00A72DD6" w:rsidP="00A72DD6">
      <w:pPr>
        <w:spacing w:line="240" w:lineRule="auto"/>
        <w:outlineLvl w:val="0"/>
      </w:pPr>
    </w:p>
    <w:p w14:paraId="1B83D8F7" w14:textId="3F8D7D94" w:rsidR="00A72DD6" w:rsidRPr="0040235D" w:rsidRDefault="00A72DD6" w:rsidP="00A72DD6">
      <w:pPr>
        <w:spacing w:line="240" w:lineRule="auto"/>
        <w:outlineLvl w:val="0"/>
      </w:pPr>
      <w:proofErr w:type="spellStart"/>
      <w:r w:rsidRPr="0040235D">
        <w:t>Mesalazín</w:t>
      </w:r>
      <w:proofErr w:type="spellEnd"/>
      <w:r w:rsidRPr="0040235D">
        <w:t xml:space="preserve"> je jedna zo zložiek </w:t>
      </w:r>
      <w:proofErr w:type="spellStart"/>
      <w:r w:rsidRPr="0040235D">
        <w:t>sulfasalazínu</w:t>
      </w:r>
      <w:proofErr w:type="spellEnd"/>
      <w:r w:rsidRPr="0040235D">
        <w:t xml:space="preserve">, druhou zložkou je </w:t>
      </w:r>
      <w:proofErr w:type="spellStart"/>
      <w:r w:rsidRPr="0040235D">
        <w:t>sulfapyridín</w:t>
      </w:r>
      <w:proofErr w:type="spellEnd"/>
      <w:r w:rsidRPr="0040235D">
        <w:t xml:space="preserve">. Kým </w:t>
      </w:r>
      <w:proofErr w:type="spellStart"/>
      <w:r w:rsidRPr="0040235D">
        <w:t>mesalazín</w:t>
      </w:r>
      <w:proofErr w:type="spellEnd"/>
      <w:r w:rsidRPr="0040235D">
        <w:t xml:space="preserve"> je účinná zložka, </w:t>
      </w:r>
      <w:proofErr w:type="spellStart"/>
      <w:r w:rsidRPr="0040235D">
        <w:t>sulfapyridín</w:t>
      </w:r>
      <w:proofErr w:type="spellEnd"/>
      <w:r w:rsidRPr="0040235D">
        <w:t xml:space="preserve"> je zodpovedný za väčšinu nežiaducich udalostí spojených s liečbou </w:t>
      </w:r>
      <w:proofErr w:type="spellStart"/>
      <w:r w:rsidRPr="0040235D">
        <w:t>sulfasalazínom</w:t>
      </w:r>
      <w:proofErr w:type="spellEnd"/>
      <w:r w:rsidRPr="0040235D">
        <w:t>.</w:t>
      </w:r>
    </w:p>
    <w:p w14:paraId="2C27478F" w14:textId="77777777" w:rsidR="00A72DD6" w:rsidRPr="0040235D" w:rsidRDefault="00A72DD6" w:rsidP="00A72DD6">
      <w:pPr>
        <w:spacing w:line="240" w:lineRule="auto"/>
        <w:outlineLvl w:val="0"/>
      </w:pPr>
    </w:p>
    <w:p w14:paraId="79F10BE4" w14:textId="3E614885" w:rsidR="00A72DD6" w:rsidRPr="0040235D" w:rsidRDefault="00A72DD6" w:rsidP="00A72DD6">
      <w:pPr>
        <w:spacing w:line="240" w:lineRule="auto"/>
        <w:outlineLvl w:val="0"/>
        <w:rPr>
          <w:u w:val="single"/>
        </w:rPr>
      </w:pPr>
      <w:r w:rsidRPr="0040235D">
        <w:rPr>
          <w:u w:val="single"/>
        </w:rPr>
        <w:t>Mechanizmus účinku</w:t>
      </w:r>
    </w:p>
    <w:p w14:paraId="2F622CF4" w14:textId="38203B55" w:rsidR="00A72DD6" w:rsidRPr="0040235D" w:rsidRDefault="00855C16" w:rsidP="00A72DD6">
      <w:pPr>
        <w:spacing w:line="240" w:lineRule="auto"/>
        <w:outlineLvl w:val="0"/>
      </w:pPr>
      <w:r w:rsidRPr="0040235D">
        <w:t xml:space="preserve">Hoci protizápalový mechanizmus účinku </w:t>
      </w:r>
      <w:r w:rsidR="00A72DD6" w:rsidRPr="0040235D">
        <w:t xml:space="preserve">5-ASA </w:t>
      </w:r>
      <w:r w:rsidRPr="0040235D">
        <w:t>nie je známy</w:t>
      </w:r>
      <w:r w:rsidR="00A72DD6" w:rsidRPr="0040235D">
        <w:t xml:space="preserve">, </w:t>
      </w:r>
      <w:r w:rsidRPr="0040235D">
        <w:t>zvažuje sa niekoľko možnost</w:t>
      </w:r>
      <w:r w:rsidR="009B5EEC">
        <w:t>í</w:t>
      </w:r>
      <w:r w:rsidR="00A72DD6" w:rsidRPr="0040235D">
        <w:t>:</w:t>
      </w:r>
    </w:p>
    <w:p w14:paraId="646361AF" w14:textId="77777777" w:rsidR="00A72DD6" w:rsidRPr="0040235D" w:rsidRDefault="00A72DD6" w:rsidP="00A72DD6">
      <w:pPr>
        <w:spacing w:line="240" w:lineRule="auto"/>
        <w:outlineLvl w:val="0"/>
      </w:pPr>
    </w:p>
    <w:p w14:paraId="53A756A2" w14:textId="2899AD79" w:rsidR="00A72DD6" w:rsidRPr="0040235D" w:rsidRDefault="00A216FA" w:rsidP="00A72DD6">
      <w:pPr>
        <w:numPr>
          <w:ilvl w:val="0"/>
          <w:numId w:val="16"/>
        </w:numPr>
        <w:spacing w:line="240" w:lineRule="auto"/>
        <w:ind w:left="567" w:hanging="207"/>
        <w:outlineLvl w:val="0"/>
      </w:pPr>
      <w:r>
        <w:t>i</w:t>
      </w:r>
      <w:r w:rsidR="00A72DD6" w:rsidRPr="0040235D">
        <w:t>nhib</w:t>
      </w:r>
      <w:r w:rsidR="00855C16" w:rsidRPr="0040235D">
        <w:t xml:space="preserve">ícia syntézy </w:t>
      </w:r>
      <w:proofErr w:type="spellStart"/>
      <w:r w:rsidR="00855C16" w:rsidRPr="0040235D">
        <w:t>prostaglandínov</w:t>
      </w:r>
      <w:proofErr w:type="spellEnd"/>
      <w:r w:rsidR="00A72DD6" w:rsidRPr="0040235D">
        <w:t xml:space="preserve"> (</w:t>
      </w:r>
      <w:r w:rsidR="00855C16" w:rsidRPr="0040235D">
        <w:t xml:space="preserve">inhibícia </w:t>
      </w:r>
      <w:proofErr w:type="spellStart"/>
      <w:r w:rsidR="00855C16" w:rsidRPr="0040235D">
        <w:t>cyklooxygenázovej</w:t>
      </w:r>
      <w:proofErr w:type="spellEnd"/>
      <w:r w:rsidR="00855C16" w:rsidRPr="0040235D">
        <w:t xml:space="preserve"> </w:t>
      </w:r>
      <w:r w:rsidR="00631E6E" w:rsidRPr="0040235D">
        <w:t>cesty</w:t>
      </w:r>
      <w:r w:rsidR="00A72DD6" w:rsidRPr="0040235D">
        <w:t xml:space="preserve">), </w:t>
      </w:r>
      <w:r w:rsidR="00631E6E" w:rsidRPr="0040235D">
        <w:t>ktorá vedi</w:t>
      </w:r>
      <w:r w:rsidR="00004E0C">
        <w:t>e</w:t>
      </w:r>
      <w:r w:rsidR="00631E6E" w:rsidRPr="0040235D">
        <w:t xml:space="preserve"> k</w:t>
      </w:r>
      <w:r w:rsidR="009B5EEC">
        <w:t> </w:t>
      </w:r>
      <w:r w:rsidR="00631E6E" w:rsidRPr="0040235D">
        <w:t>znížen</w:t>
      </w:r>
      <w:r w:rsidR="009B5EEC">
        <w:t>iu</w:t>
      </w:r>
      <w:r w:rsidR="00631E6E" w:rsidRPr="0040235D">
        <w:t xml:space="preserve"> tvorby zápalových</w:t>
      </w:r>
      <w:r w:rsidR="00A72DD6" w:rsidRPr="0040235D">
        <w:t xml:space="preserve"> </w:t>
      </w:r>
      <w:proofErr w:type="spellStart"/>
      <w:r w:rsidR="00A72DD6" w:rsidRPr="0040235D">
        <w:t>prostagland</w:t>
      </w:r>
      <w:r w:rsidR="00631E6E" w:rsidRPr="0040235D">
        <w:t>ínov</w:t>
      </w:r>
      <w:proofErr w:type="spellEnd"/>
      <w:r>
        <w:t>,</w:t>
      </w:r>
    </w:p>
    <w:p w14:paraId="55B35972" w14:textId="74B4C2F0" w:rsidR="00A72DD6" w:rsidRPr="0040235D" w:rsidRDefault="00A216FA" w:rsidP="00A72DD6">
      <w:pPr>
        <w:numPr>
          <w:ilvl w:val="0"/>
          <w:numId w:val="16"/>
        </w:numPr>
        <w:spacing w:line="240" w:lineRule="auto"/>
        <w:ind w:left="567" w:hanging="207"/>
        <w:outlineLvl w:val="0"/>
      </w:pPr>
      <w:r>
        <w:t>i</w:t>
      </w:r>
      <w:r w:rsidR="00A72DD6" w:rsidRPr="0040235D">
        <w:t>nhib</w:t>
      </w:r>
      <w:r w:rsidR="00631E6E" w:rsidRPr="0040235D">
        <w:t>ícia</w:t>
      </w:r>
      <w:r w:rsidR="00A72DD6" w:rsidRPr="0040235D">
        <w:t xml:space="preserve"> </w:t>
      </w:r>
      <w:r w:rsidR="00631E6E" w:rsidRPr="0040235D">
        <w:t xml:space="preserve">syntézy </w:t>
      </w:r>
      <w:proofErr w:type="spellStart"/>
      <w:r w:rsidR="00A72DD6" w:rsidRPr="0040235D">
        <w:t>chemota</w:t>
      </w:r>
      <w:r w:rsidR="00631E6E" w:rsidRPr="0040235D">
        <w:t>k</w:t>
      </w:r>
      <w:r w:rsidR="00A72DD6" w:rsidRPr="0040235D">
        <w:t>ti</w:t>
      </w:r>
      <w:r w:rsidR="00631E6E" w:rsidRPr="0040235D">
        <w:t>ckých</w:t>
      </w:r>
      <w:proofErr w:type="spellEnd"/>
      <w:r w:rsidR="00A72DD6" w:rsidRPr="0040235D">
        <w:t xml:space="preserve"> </w:t>
      </w:r>
      <w:proofErr w:type="spellStart"/>
      <w:r w:rsidR="00A72DD6" w:rsidRPr="0040235D">
        <w:t>leukotri</w:t>
      </w:r>
      <w:r w:rsidR="00631E6E" w:rsidRPr="0040235D">
        <w:t>énov</w:t>
      </w:r>
      <w:proofErr w:type="spellEnd"/>
      <w:r w:rsidR="00A72DD6" w:rsidRPr="0040235D">
        <w:t xml:space="preserve"> (</w:t>
      </w:r>
      <w:r w:rsidR="00631E6E" w:rsidRPr="0040235D">
        <w:t xml:space="preserve">inhibícia </w:t>
      </w:r>
      <w:proofErr w:type="spellStart"/>
      <w:r w:rsidR="00A72DD6" w:rsidRPr="0040235D">
        <w:t>lipoxygen</w:t>
      </w:r>
      <w:r w:rsidR="00631E6E" w:rsidRPr="0040235D">
        <w:t>ázovej</w:t>
      </w:r>
      <w:proofErr w:type="spellEnd"/>
      <w:r w:rsidR="00631E6E" w:rsidRPr="0040235D">
        <w:t xml:space="preserve"> cesty</w:t>
      </w:r>
      <w:r w:rsidR="00A72DD6" w:rsidRPr="0040235D">
        <w:t xml:space="preserve">), </w:t>
      </w:r>
      <w:r w:rsidR="00631E6E" w:rsidRPr="0040235D">
        <w:t>a tým zníženie zápalu</w:t>
      </w:r>
      <w:r w:rsidR="00BD3FBE">
        <w:t>,</w:t>
      </w:r>
    </w:p>
    <w:p w14:paraId="5C7B4706" w14:textId="55A76001" w:rsidR="00A72DD6" w:rsidRPr="0040235D" w:rsidRDefault="00BD3FBE" w:rsidP="00A72DD6">
      <w:pPr>
        <w:numPr>
          <w:ilvl w:val="0"/>
          <w:numId w:val="16"/>
        </w:numPr>
        <w:spacing w:line="240" w:lineRule="auto"/>
        <w:ind w:left="567" w:hanging="207"/>
        <w:outlineLvl w:val="0"/>
      </w:pPr>
      <w:r>
        <w:t>i</w:t>
      </w:r>
      <w:r w:rsidR="00A72DD6" w:rsidRPr="0040235D">
        <w:t>nhib</w:t>
      </w:r>
      <w:r w:rsidR="00631E6E" w:rsidRPr="0040235D">
        <w:t>ícia</w:t>
      </w:r>
      <w:r w:rsidR="00A72DD6" w:rsidRPr="0040235D">
        <w:t xml:space="preserve"> </w:t>
      </w:r>
      <w:proofErr w:type="spellStart"/>
      <w:r w:rsidR="00A72DD6" w:rsidRPr="0040235D">
        <w:t>chemotax</w:t>
      </w:r>
      <w:r w:rsidR="00631E6E" w:rsidRPr="0040235D">
        <w:t>ie</w:t>
      </w:r>
      <w:proofErr w:type="spellEnd"/>
      <w:r w:rsidR="00A72DD6" w:rsidRPr="0040235D">
        <w:t xml:space="preserve"> </w:t>
      </w:r>
      <w:proofErr w:type="spellStart"/>
      <w:r w:rsidR="00A72DD6" w:rsidRPr="0040235D">
        <w:t>ma</w:t>
      </w:r>
      <w:r w:rsidR="00631E6E" w:rsidRPr="0040235D">
        <w:t>k</w:t>
      </w:r>
      <w:r w:rsidR="00A72DD6" w:rsidRPr="0040235D">
        <w:t>ro</w:t>
      </w:r>
      <w:r w:rsidR="00631E6E" w:rsidRPr="0040235D">
        <w:t>fá</w:t>
      </w:r>
      <w:r w:rsidR="00A72DD6" w:rsidRPr="0040235D">
        <w:t>g</w:t>
      </w:r>
      <w:r w:rsidR="00631E6E" w:rsidRPr="0040235D">
        <w:t>ov</w:t>
      </w:r>
      <w:proofErr w:type="spellEnd"/>
      <w:r w:rsidR="00A72DD6" w:rsidRPr="0040235D">
        <w:t xml:space="preserve"> a </w:t>
      </w:r>
      <w:proofErr w:type="spellStart"/>
      <w:r w:rsidR="00A72DD6" w:rsidRPr="0040235D">
        <w:t>neutro</w:t>
      </w:r>
      <w:r w:rsidR="00631E6E" w:rsidRPr="0040235D">
        <w:t>filov</w:t>
      </w:r>
      <w:proofErr w:type="spellEnd"/>
      <w:r w:rsidR="00A72DD6" w:rsidRPr="0040235D">
        <w:t xml:space="preserve"> </w:t>
      </w:r>
      <w:r w:rsidR="00631E6E" w:rsidRPr="0040235D">
        <w:t>v opuchnutom tkanive</w:t>
      </w:r>
      <w:r w:rsidR="00A72DD6" w:rsidRPr="0040235D">
        <w:t>.</w:t>
      </w:r>
    </w:p>
    <w:p w14:paraId="00609E81" w14:textId="77777777" w:rsidR="00A72DD6" w:rsidRPr="0040235D" w:rsidRDefault="00A72DD6" w:rsidP="00A72DD6">
      <w:pPr>
        <w:spacing w:line="240" w:lineRule="auto"/>
        <w:outlineLvl w:val="0"/>
      </w:pPr>
    </w:p>
    <w:p w14:paraId="386C7B7C" w14:textId="2364A5A3" w:rsidR="00812D16" w:rsidRDefault="00631E6E" w:rsidP="0040235D">
      <w:pPr>
        <w:spacing w:line="240" w:lineRule="auto"/>
        <w:outlineLvl w:val="0"/>
      </w:pPr>
      <w:r w:rsidRPr="0040235D">
        <w:t>Najnovšie dáta naznačujú, že</w:t>
      </w:r>
      <w:r w:rsidR="00A72DD6" w:rsidRPr="0040235D">
        <w:t xml:space="preserve"> 5-ASA </w:t>
      </w:r>
      <w:r w:rsidRPr="0040235D">
        <w:t>je</w:t>
      </w:r>
      <w:r w:rsidR="00A72DD6" w:rsidRPr="0040235D">
        <w:t xml:space="preserve"> biologic</w:t>
      </w:r>
      <w:r w:rsidRPr="0040235D">
        <w:t>ký</w:t>
      </w:r>
      <w:r w:rsidR="00A72DD6" w:rsidRPr="0040235D">
        <w:t xml:space="preserve"> antioxidant a</w:t>
      </w:r>
      <w:r w:rsidRPr="0040235D">
        <w:t> jeho aktivita je založená na vychytávaní voľných kyslíkových radikálov</w:t>
      </w:r>
      <w:r w:rsidR="00A72DD6" w:rsidRPr="0040235D">
        <w:t xml:space="preserve">. </w:t>
      </w:r>
      <w:r w:rsidRPr="0040235D">
        <w:t>V tomto sa</w:t>
      </w:r>
      <w:r w:rsidR="00A72DD6" w:rsidRPr="0040235D">
        <w:t xml:space="preserve"> 5-ASA </w:t>
      </w:r>
      <w:r w:rsidRPr="0040235D">
        <w:t>líši od</w:t>
      </w:r>
      <w:r w:rsidR="00A72DD6" w:rsidRPr="0040235D">
        <w:t xml:space="preserve"> </w:t>
      </w:r>
      <w:proofErr w:type="spellStart"/>
      <w:r w:rsidR="00A72DD6" w:rsidRPr="0040235D">
        <w:t>sulfasalaz</w:t>
      </w:r>
      <w:r w:rsidRPr="0040235D">
        <w:t>ínu</w:t>
      </w:r>
      <w:proofErr w:type="spellEnd"/>
      <w:r w:rsidR="00A72DD6" w:rsidRPr="0040235D">
        <w:t xml:space="preserve">, </w:t>
      </w:r>
      <w:proofErr w:type="spellStart"/>
      <w:r w:rsidR="00A72DD6" w:rsidRPr="0040235D">
        <w:t>sulfapyrid</w:t>
      </w:r>
      <w:r w:rsidRPr="0040235D">
        <w:t>ínu</w:t>
      </w:r>
      <w:proofErr w:type="spellEnd"/>
      <w:r w:rsidR="00A72DD6" w:rsidRPr="0040235D">
        <w:t xml:space="preserve">, N-acetyl-5-ASA (Ac-5-ASA) a </w:t>
      </w:r>
      <w:r w:rsidRPr="0040235D">
        <w:t>iných</w:t>
      </w:r>
      <w:r w:rsidR="00A72DD6" w:rsidRPr="0040235D">
        <w:t xml:space="preserve"> </w:t>
      </w:r>
      <w:proofErr w:type="spellStart"/>
      <w:r w:rsidR="00A72DD6" w:rsidRPr="0040235D">
        <w:t>salicyl</w:t>
      </w:r>
      <w:r w:rsidRPr="0040235D">
        <w:t>átov</w:t>
      </w:r>
      <w:proofErr w:type="spellEnd"/>
      <w:r w:rsidR="00A72DD6" w:rsidRPr="0040235D">
        <w:t>.</w:t>
      </w:r>
    </w:p>
    <w:p w14:paraId="6733162F" w14:textId="77777777" w:rsidR="0040235D" w:rsidRPr="0040235D" w:rsidRDefault="0040235D" w:rsidP="0040235D">
      <w:pPr>
        <w:spacing w:line="240" w:lineRule="auto"/>
        <w:outlineLvl w:val="0"/>
      </w:pPr>
    </w:p>
    <w:p w14:paraId="34CA157F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proofErr w:type="spellStart"/>
      <w:r w:rsidRPr="0040235D">
        <w:rPr>
          <w:b/>
        </w:rPr>
        <w:t>Farmakokinetické</w:t>
      </w:r>
      <w:proofErr w:type="spellEnd"/>
      <w:r w:rsidRPr="0040235D">
        <w:rPr>
          <w:b/>
        </w:rPr>
        <w:t xml:space="preserve"> vlastnosti</w:t>
      </w:r>
    </w:p>
    <w:p w14:paraId="47A76D9F" w14:textId="77777777" w:rsidR="00812D16" w:rsidRPr="0040235D" w:rsidRDefault="00812D16" w:rsidP="00085939">
      <w:pPr>
        <w:keepNext/>
        <w:spacing w:line="240" w:lineRule="auto"/>
        <w:ind w:left="567" w:hanging="567"/>
        <w:outlineLvl w:val="0"/>
      </w:pPr>
    </w:p>
    <w:p w14:paraId="7D254759" w14:textId="42E3A84E" w:rsidR="00812D16" w:rsidRPr="0040235D" w:rsidRDefault="001D5E29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0235D">
        <w:rPr>
          <w:u w:val="single"/>
        </w:rPr>
        <w:t>Absorpcia</w:t>
      </w:r>
    </w:p>
    <w:p w14:paraId="7C7BAD1C" w14:textId="7BC12C9E" w:rsidR="003C3D8B" w:rsidRPr="0040235D" w:rsidRDefault="003C3D8B" w:rsidP="00204AAB">
      <w:pPr>
        <w:numPr>
          <w:ilvl w:val="12"/>
          <w:numId w:val="0"/>
        </w:numPr>
        <w:spacing w:line="240" w:lineRule="auto"/>
        <w:ind w:right="-2"/>
      </w:pPr>
      <w:r w:rsidRPr="0040235D">
        <w:t xml:space="preserve">Po podaní perorálnych dávok 500 mg </w:t>
      </w:r>
      <w:proofErr w:type="spellStart"/>
      <w:r w:rsidRPr="0040235D">
        <w:t>mesalazínu</w:t>
      </w:r>
      <w:proofErr w:type="spellEnd"/>
      <w:r w:rsidRPr="0040235D">
        <w:t xml:space="preserve"> trikrát denne u pacientov s </w:t>
      </w:r>
      <w:proofErr w:type="spellStart"/>
      <w:r w:rsidRPr="0040235D">
        <w:t>ulceróznou</w:t>
      </w:r>
      <w:proofErr w:type="spellEnd"/>
      <w:r w:rsidRPr="0040235D">
        <w:t xml:space="preserve"> </w:t>
      </w:r>
      <w:proofErr w:type="spellStart"/>
      <w:r w:rsidRPr="0040235D">
        <w:t>kolitídou</w:t>
      </w:r>
      <w:proofErr w:type="spellEnd"/>
      <w:r w:rsidRPr="0040235D">
        <w:t xml:space="preserve"> sú priemerné plazmatické koncentrácie 5-ASA a Ac-5-ASA (hlavný </w:t>
      </w:r>
      <w:proofErr w:type="spellStart"/>
      <w:r w:rsidRPr="0040235D">
        <w:t>metabolit</w:t>
      </w:r>
      <w:proofErr w:type="spellEnd"/>
      <w:r w:rsidRPr="0040235D">
        <w:t>) v rovnovážnom stave 0,7</w:t>
      </w:r>
      <w:r w:rsidR="009B5EEC">
        <w:t> </w:t>
      </w:r>
      <w:r w:rsidRPr="0040235D">
        <w:t xml:space="preserve">µg/ml </w:t>
      </w:r>
      <w:r w:rsidR="009B5EEC">
        <w:t xml:space="preserve">a </w:t>
      </w:r>
      <w:r w:rsidRPr="0040235D">
        <w:t>1,2</w:t>
      </w:r>
      <w:r w:rsidR="009B5EEC">
        <w:t> </w:t>
      </w:r>
      <w:r w:rsidRPr="0040235D">
        <w:t>µg/ml</w:t>
      </w:r>
      <w:r w:rsidR="009B5EEC">
        <w:t>, v </w:t>
      </w:r>
      <w:r w:rsidR="00834CB9">
        <w:t>uvede</w:t>
      </w:r>
      <w:r w:rsidR="009B5EEC">
        <w:t>nom poradí</w:t>
      </w:r>
      <w:r w:rsidRPr="0040235D">
        <w:t xml:space="preserve">. </w:t>
      </w:r>
      <w:r w:rsidR="00F87D2D">
        <w:t>Maximálne</w:t>
      </w:r>
      <w:r w:rsidR="00F87D2D" w:rsidRPr="0040235D">
        <w:t xml:space="preserve"> </w:t>
      </w:r>
      <w:r w:rsidRPr="0040235D">
        <w:t>plazmatické hladiny v</w:t>
      </w:r>
      <w:r w:rsidR="00F87D2D">
        <w:t xml:space="preserve"> liekových</w:t>
      </w:r>
      <w:r w:rsidRPr="0040235D">
        <w:t xml:space="preserve"> formách s p</w:t>
      </w:r>
      <w:r w:rsidR="00834CB9">
        <w:t>redĺženým</w:t>
      </w:r>
      <w:r w:rsidRPr="0040235D">
        <w:t xml:space="preserve"> uvoľňovaním sa dosiahnu 5 hodín po podaní. Obsah (pri najvyššej dávke) v moči (44</w:t>
      </w:r>
      <w:r w:rsidR="009B5EEC">
        <w:t> </w:t>
      </w:r>
      <w:r w:rsidRPr="0040235D">
        <w:t>%) a stolici (35</w:t>
      </w:r>
      <w:r w:rsidR="009B5EEC">
        <w:t> </w:t>
      </w:r>
      <w:r w:rsidRPr="0040235D">
        <w:t xml:space="preserve">%) ukazuje, že 5-ASA je k dispozícii pre svoj lokálny a systémový účinok. U zdravých jedincov </w:t>
      </w:r>
      <w:r w:rsidR="00CE1777">
        <w:t xml:space="preserve">s podaním </w:t>
      </w:r>
      <w:r w:rsidRPr="0040235D">
        <w:t xml:space="preserve">nalačno sa maximálna plazmatická koncentrácia </w:t>
      </w:r>
      <w:r w:rsidR="00F54E5F" w:rsidRPr="00547A11">
        <w:rPr>
          <w:szCs w:val="22"/>
        </w:rPr>
        <w:t>1</w:t>
      </w:r>
      <w:r w:rsidR="00F54E5F">
        <w:rPr>
          <w:szCs w:val="22"/>
        </w:rPr>
        <w:t>,</w:t>
      </w:r>
      <w:r w:rsidR="00F54E5F" w:rsidRPr="00547A11">
        <w:rPr>
          <w:szCs w:val="22"/>
        </w:rPr>
        <w:t>3</w:t>
      </w:r>
      <w:r w:rsidR="00F54E5F">
        <w:rPr>
          <w:szCs w:val="22"/>
        </w:rPr>
        <w:t> </w:t>
      </w:r>
      <w:r w:rsidR="00F54E5F" w:rsidRPr="00547A11">
        <w:rPr>
          <w:szCs w:val="22"/>
        </w:rPr>
        <w:t>µg/ml</w:t>
      </w:r>
      <w:r w:rsidR="00F54E5F" w:rsidRPr="0040235D" w:rsidDel="00F54E5F">
        <w:t xml:space="preserve"> </w:t>
      </w:r>
      <w:r w:rsidRPr="0040235D">
        <w:t>5-ASA</w:t>
      </w:r>
      <w:r w:rsidR="00435D30" w:rsidRPr="0040235D">
        <w:t xml:space="preserve"> </w:t>
      </w:r>
      <w:r w:rsidRPr="0040235D">
        <w:t xml:space="preserve"> a</w:t>
      </w:r>
      <w:r w:rsidR="00F54E5F">
        <w:t> </w:t>
      </w:r>
      <w:r w:rsidR="00F54E5F" w:rsidRPr="00547A11">
        <w:rPr>
          <w:szCs w:val="22"/>
        </w:rPr>
        <w:t>2</w:t>
      </w:r>
      <w:r w:rsidR="00F54E5F">
        <w:rPr>
          <w:szCs w:val="22"/>
        </w:rPr>
        <w:t>,</w:t>
      </w:r>
      <w:r w:rsidR="00F54E5F" w:rsidRPr="00547A11">
        <w:rPr>
          <w:szCs w:val="22"/>
        </w:rPr>
        <w:t>3</w:t>
      </w:r>
      <w:r w:rsidR="00F54E5F">
        <w:rPr>
          <w:szCs w:val="22"/>
        </w:rPr>
        <w:t> </w:t>
      </w:r>
      <w:r w:rsidR="00F54E5F" w:rsidRPr="00547A11">
        <w:rPr>
          <w:szCs w:val="22"/>
        </w:rPr>
        <w:t>µg/ml</w:t>
      </w:r>
      <w:r w:rsidR="00CE1777">
        <w:t xml:space="preserve"> </w:t>
      </w:r>
      <w:proofErr w:type="spellStart"/>
      <w:r w:rsidR="00CE1777">
        <w:t>Ac</w:t>
      </w:r>
      <w:proofErr w:type="spellEnd"/>
      <w:r w:rsidR="00CE1777">
        <w:t>-ASA</w:t>
      </w:r>
      <w:r w:rsidRPr="0040235D">
        <w:t xml:space="preserve"> získala 6 hodín po podaní.</w:t>
      </w:r>
    </w:p>
    <w:p w14:paraId="1010C72A" w14:textId="77777777" w:rsidR="002B387F" w:rsidRPr="0040235D" w:rsidRDefault="002B387F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1ADED0B2" w14:textId="59F9FD3B" w:rsidR="00812D16" w:rsidRPr="0040235D" w:rsidRDefault="001D5E29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proofErr w:type="spellStart"/>
      <w:r w:rsidRPr="0040235D">
        <w:rPr>
          <w:u w:val="single"/>
        </w:rPr>
        <w:t>Biotransformácia</w:t>
      </w:r>
      <w:proofErr w:type="spellEnd"/>
    </w:p>
    <w:p w14:paraId="66749C85" w14:textId="3CD99346" w:rsidR="002B387F" w:rsidRPr="0040235D" w:rsidRDefault="00263639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0235D">
        <w:rPr>
          <w:szCs w:val="22"/>
        </w:rPr>
        <w:t xml:space="preserve">K </w:t>
      </w:r>
      <w:proofErr w:type="spellStart"/>
      <w:r w:rsidRPr="0040235D">
        <w:rPr>
          <w:szCs w:val="22"/>
        </w:rPr>
        <w:t>acetylácii</w:t>
      </w:r>
      <w:proofErr w:type="spellEnd"/>
      <w:r w:rsidRPr="0040235D">
        <w:rPr>
          <w:szCs w:val="22"/>
        </w:rPr>
        <w:t xml:space="preserve"> 5-ASA dochádza v pečeni a stene hrubého čreva, bez ohľadu na stav </w:t>
      </w:r>
      <w:proofErr w:type="spellStart"/>
      <w:r w:rsidRPr="0040235D">
        <w:rPr>
          <w:szCs w:val="22"/>
        </w:rPr>
        <w:t>acetylátora</w:t>
      </w:r>
      <w:proofErr w:type="spellEnd"/>
      <w:r w:rsidRPr="0040235D">
        <w:rPr>
          <w:szCs w:val="22"/>
        </w:rPr>
        <w:t xml:space="preserve">. Zdá sa, že proces </w:t>
      </w:r>
      <w:proofErr w:type="spellStart"/>
      <w:r w:rsidRPr="0040235D">
        <w:rPr>
          <w:szCs w:val="22"/>
        </w:rPr>
        <w:t>acetylácie</w:t>
      </w:r>
      <w:proofErr w:type="spellEnd"/>
      <w:r w:rsidRPr="0040235D">
        <w:rPr>
          <w:szCs w:val="22"/>
        </w:rPr>
        <w:t xml:space="preserve"> je </w:t>
      </w:r>
      <w:proofErr w:type="spellStart"/>
      <w:r w:rsidRPr="0040235D">
        <w:rPr>
          <w:szCs w:val="22"/>
        </w:rPr>
        <w:t>nasýtiteľný</w:t>
      </w:r>
      <w:proofErr w:type="spellEnd"/>
      <w:r w:rsidRPr="0040235D">
        <w:rPr>
          <w:szCs w:val="22"/>
        </w:rPr>
        <w:t>; pri terapeutických dávkach (</w:t>
      </w:r>
      <w:bookmarkStart w:id="0" w:name="_Hlk44019149"/>
      <w:r w:rsidRPr="0040235D">
        <w:rPr>
          <w:szCs w:val="22"/>
        </w:rPr>
        <w:t xml:space="preserve">250 </w:t>
      </w:r>
      <w:r w:rsidR="00CE1777">
        <w:rPr>
          <w:szCs w:val="22"/>
        </w:rPr>
        <w:t>–</w:t>
      </w:r>
      <w:bookmarkEnd w:id="0"/>
      <w:r w:rsidRPr="0040235D">
        <w:rPr>
          <w:szCs w:val="22"/>
        </w:rPr>
        <w:t xml:space="preserve"> 500</w:t>
      </w:r>
      <w:r w:rsidR="00CE1777">
        <w:rPr>
          <w:szCs w:val="22"/>
        </w:rPr>
        <w:t xml:space="preserve"> </w:t>
      </w:r>
      <w:r w:rsidRPr="0040235D">
        <w:rPr>
          <w:szCs w:val="22"/>
        </w:rPr>
        <w:t xml:space="preserve">mg) však ani maximálna plazmatická koncentrácia ani plocha pod krivkou koncentrácie v plazme v závislosti od času pre 5-ASA nepreukázali žiadnu odchýlku od </w:t>
      </w:r>
      <w:proofErr w:type="spellStart"/>
      <w:r w:rsidRPr="0040235D">
        <w:rPr>
          <w:szCs w:val="22"/>
        </w:rPr>
        <w:t>linearity</w:t>
      </w:r>
      <w:proofErr w:type="spellEnd"/>
      <w:r w:rsidRPr="0040235D">
        <w:rPr>
          <w:szCs w:val="22"/>
        </w:rPr>
        <w:t xml:space="preserve"> dávky v </w:t>
      </w:r>
      <w:r w:rsidR="00EB18FB">
        <w:rPr>
          <w:szCs w:val="22"/>
        </w:rPr>
        <w:t>rovnovážnom</w:t>
      </w:r>
      <w:r w:rsidRPr="0040235D">
        <w:rPr>
          <w:szCs w:val="22"/>
        </w:rPr>
        <w:t xml:space="preserve"> stave.</w:t>
      </w:r>
    </w:p>
    <w:p w14:paraId="3D67D05B" w14:textId="77777777" w:rsidR="002B387F" w:rsidRPr="0040235D" w:rsidRDefault="002B387F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70F90EA2" w14:textId="4FC7C1EF" w:rsidR="00812D16" w:rsidRPr="0040235D" w:rsidRDefault="001D5E29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0235D">
        <w:rPr>
          <w:u w:val="single"/>
        </w:rPr>
        <w:t>Eliminácia</w:t>
      </w:r>
    </w:p>
    <w:p w14:paraId="61F2B2EA" w14:textId="39EAD753" w:rsidR="002B387F" w:rsidRPr="0040235D" w:rsidRDefault="00263639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0235D">
        <w:rPr>
          <w:szCs w:val="22"/>
        </w:rPr>
        <w:t>Po perorálnom podaní sa 5-ASA vylučuje vo vysokom percente ako Ac-5-ASA v moči aj v stolici. V</w:t>
      </w:r>
      <w:r w:rsidR="00CE1777">
        <w:rPr>
          <w:szCs w:val="22"/>
        </w:rPr>
        <w:t> </w:t>
      </w:r>
      <w:r w:rsidRPr="0040235D">
        <w:rPr>
          <w:szCs w:val="22"/>
        </w:rPr>
        <w:t>skutočnosti je viac ako 90</w:t>
      </w:r>
      <w:r w:rsidR="00CE1777">
        <w:rPr>
          <w:szCs w:val="22"/>
        </w:rPr>
        <w:t> </w:t>
      </w:r>
      <w:r w:rsidRPr="0040235D">
        <w:rPr>
          <w:szCs w:val="22"/>
        </w:rPr>
        <w:t xml:space="preserve">% liečiva identifikovaného v moči vo forme </w:t>
      </w:r>
      <w:proofErr w:type="spellStart"/>
      <w:r w:rsidRPr="0040235D">
        <w:rPr>
          <w:szCs w:val="22"/>
        </w:rPr>
        <w:t>metabolitu</w:t>
      </w:r>
      <w:proofErr w:type="spellEnd"/>
      <w:r w:rsidRPr="0040235D">
        <w:rPr>
          <w:szCs w:val="22"/>
        </w:rPr>
        <w:t>.</w:t>
      </w:r>
    </w:p>
    <w:p w14:paraId="62A86EB3" w14:textId="77777777" w:rsidR="00812D16" w:rsidRPr="0040235D" w:rsidRDefault="00812D16" w:rsidP="00204AAB">
      <w:pPr>
        <w:numPr>
          <w:ilvl w:val="12"/>
          <w:numId w:val="0"/>
        </w:numPr>
        <w:spacing w:line="240" w:lineRule="auto"/>
        <w:ind w:right="-2"/>
      </w:pPr>
    </w:p>
    <w:p w14:paraId="72ABA928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t>Predklinické údaje o bezpečnosti</w:t>
      </w:r>
    </w:p>
    <w:p w14:paraId="3E856575" w14:textId="77777777" w:rsidR="00812D16" w:rsidRPr="0040235D" w:rsidRDefault="00812D16" w:rsidP="00085939">
      <w:pPr>
        <w:keepNext/>
        <w:spacing w:line="240" w:lineRule="auto"/>
      </w:pPr>
    </w:p>
    <w:p w14:paraId="1E921225" w14:textId="75E8B9C3" w:rsidR="00812D16" w:rsidRPr="0040235D" w:rsidRDefault="001D5E29" w:rsidP="00204AAB">
      <w:pPr>
        <w:spacing w:line="240" w:lineRule="auto"/>
      </w:pPr>
      <w:r w:rsidRPr="0040235D">
        <w:t xml:space="preserve">Predklinické údaje získané na základe obvyklých farmakologických štúdií bezpečnosti, </w:t>
      </w:r>
      <w:proofErr w:type="spellStart"/>
      <w:r w:rsidRPr="0040235D">
        <w:t>genotoxicity</w:t>
      </w:r>
      <w:proofErr w:type="spellEnd"/>
      <w:r w:rsidRPr="0040235D">
        <w:t>, karcinogénneho potenciálu, reprodukčnej toxicity a</w:t>
      </w:r>
      <w:r w:rsidR="00851AE0" w:rsidRPr="0040235D">
        <w:t> </w:t>
      </w:r>
      <w:r w:rsidRPr="0040235D">
        <w:t>vývinu neodhalili žiadne osobitné riziko pre</w:t>
      </w:r>
      <w:r w:rsidR="00851AE0" w:rsidRPr="0040235D">
        <w:t xml:space="preserve"> </w:t>
      </w:r>
      <w:r w:rsidRPr="0040235D">
        <w:t>ľudí.</w:t>
      </w:r>
    </w:p>
    <w:p w14:paraId="712F86BE" w14:textId="29B1EF9E" w:rsidR="00812D16" w:rsidRPr="0040235D" w:rsidRDefault="00812D16" w:rsidP="00204AAB">
      <w:pPr>
        <w:spacing w:line="240" w:lineRule="auto"/>
      </w:pPr>
    </w:p>
    <w:p w14:paraId="47512235" w14:textId="4BC5ADAA" w:rsidR="00812D16" w:rsidRDefault="0040235D" w:rsidP="00204AAB">
      <w:pPr>
        <w:spacing w:line="240" w:lineRule="auto"/>
        <w:rPr>
          <w:szCs w:val="22"/>
        </w:rPr>
      </w:pPr>
      <w:r w:rsidRPr="0040235D">
        <w:rPr>
          <w:szCs w:val="22"/>
        </w:rPr>
        <w:t xml:space="preserve">V štúdiách toxicity po opakovanom podaní s vysokými perorálnymi dávkami </w:t>
      </w:r>
      <w:proofErr w:type="spellStart"/>
      <w:r w:rsidRPr="0040235D">
        <w:rPr>
          <w:szCs w:val="22"/>
        </w:rPr>
        <w:t>mesalazínu</w:t>
      </w:r>
      <w:proofErr w:type="spellEnd"/>
      <w:r w:rsidRPr="0040235D">
        <w:rPr>
          <w:szCs w:val="22"/>
        </w:rPr>
        <w:t xml:space="preserve"> bola pozorovaná </w:t>
      </w:r>
      <w:proofErr w:type="spellStart"/>
      <w:r w:rsidR="00D50EA4">
        <w:rPr>
          <w:szCs w:val="22"/>
        </w:rPr>
        <w:t>renálna</w:t>
      </w:r>
      <w:proofErr w:type="spellEnd"/>
      <w:r w:rsidR="00D50EA4">
        <w:rPr>
          <w:szCs w:val="22"/>
        </w:rPr>
        <w:t xml:space="preserve"> </w:t>
      </w:r>
      <w:r w:rsidRPr="0040235D">
        <w:rPr>
          <w:szCs w:val="22"/>
        </w:rPr>
        <w:t>toxicita (</w:t>
      </w:r>
      <w:proofErr w:type="spellStart"/>
      <w:r w:rsidRPr="0040235D">
        <w:rPr>
          <w:szCs w:val="22"/>
        </w:rPr>
        <w:t>renálna</w:t>
      </w:r>
      <w:proofErr w:type="spellEnd"/>
      <w:r w:rsidRPr="0040235D">
        <w:rPr>
          <w:szCs w:val="22"/>
        </w:rPr>
        <w:t xml:space="preserve"> </w:t>
      </w:r>
      <w:proofErr w:type="spellStart"/>
      <w:r w:rsidRPr="0040235D">
        <w:rPr>
          <w:szCs w:val="22"/>
        </w:rPr>
        <w:t>papilárna</w:t>
      </w:r>
      <w:proofErr w:type="spellEnd"/>
      <w:r w:rsidRPr="0040235D">
        <w:rPr>
          <w:szCs w:val="22"/>
        </w:rPr>
        <w:t xml:space="preserve"> </w:t>
      </w:r>
      <w:proofErr w:type="spellStart"/>
      <w:r w:rsidRPr="0040235D">
        <w:rPr>
          <w:szCs w:val="22"/>
        </w:rPr>
        <w:t>nekróza</w:t>
      </w:r>
      <w:proofErr w:type="spellEnd"/>
      <w:r w:rsidRPr="0040235D">
        <w:rPr>
          <w:szCs w:val="22"/>
        </w:rPr>
        <w:t xml:space="preserve"> a poškodenie epitelu v </w:t>
      </w:r>
      <w:proofErr w:type="spellStart"/>
      <w:r w:rsidRPr="0040235D">
        <w:rPr>
          <w:szCs w:val="22"/>
        </w:rPr>
        <w:t>proximálnom</w:t>
      </w:r>
      <w:proofErr w:type="spellEnd"/>
      <w:r w:rsidRPr="0040235D">
        <w:rPr>
          <w:szCs w:val="22"/>
        </w:rPr>
        <w:t xml:space="preserve"> </w:t>
      </w:r>
      <w:proofErr w:type="spellStart"/>
      <w:r w:rsidRPr="0040235D">
        <w:rPr>
          <w:szCs w:val="22"/>
        </w:rPr>
        <w:t>tubule</w:t>
      </w:r>
      <w:proofErr w:type="spellEnd"/>
      <w:r w:rsidRPr="0040235D">
        <w:rPr>
          <w:szCs w:val="22"/>
        </w:rPr>
        <w:t xml:space="preserve"> (</w:t>
      </w:r>
      <w:proofErr w:type="spellStart"/>
      <w:r w:rsidRPr="0040235D">
        <w:rPr>
          <w:szCs w:val="22"/>
        </w:rPr>
        <w:t>pars</w:t>
      </w:r>
      <w:proofErr w:type="spellEnd"/>
      <w:r w:rsidRPr="0040235D">
        <w:rPr>
          <w:szCs w:val="22"/>
        </w:rPr>
        <w:t xml:space="preserve"> </w:t>
      </w:r>
      <w:proofErr w:type="spellStart"/>
      <w:r w:rsidRPr="0040235D">
        <w:rPr>
          <w:szCs w:val="22"/>
        </w:rPr>
        <w:t>convoluta</w:t>
      </w:r>
      <w:proofErr w:type="spellEnd"/>
      <w:r w:rsidRPr="0040235D">
        <w:rPr>
          <w:szCs w:val="22"/>
        </w:rPr>
        <w:t>) alebo cel</w:t>
      </w:r>
      <w:r>
        <w:rPr>
          <w:szCs w:val="22"/>
        </w:rPr>
        <w:t>ého</w:t>
      </w:r>
      <w:r w:rsidRPr="0040235D">
        <w:rPr>
          <w:szCs w:val="22"/>
        </w:rPr>
        <w:t xml:space="preserve"> </w:t>
      </w:r>
      <w:proofErr w:type="spellStart"/>
      <w:r w:rsidRPr="0040235D">
        <w:rPr>
          <w:szCs w:val="22"/>
        </w:rPr>
        <w:t>ne</w:t>
      </w:r>
      <w:r>
        <w:rPr>
          <w:szCs w:val="22"/>
        </w:rPr>
        <w:t>fró</w:t>
      </w:r>
      <w:r w:rsidRPr="0040235D">
        <w:rPr>
          <w:szCs w:val="22"/>
        </w:rPr>
        <w:t>n</w:t>
      </w:r>
      <w:r>
        <w:rPr>
          <w:szCs w:val="22"/>
        </w:rPr>
        <w:t>u</w:t>
      </w:r>
      <w:proofErr w:type="spellEnd"/>
      <w:r w:rsidRPr="0040235D">
        <w:rPr>
          <w:szCs w:val="22"/>
        </w:rPr>
        <w:t>).</w:t>
      </w:r>
    </w:p>
    <w:p w14:paraId="6AA3C7F3" w14:textId="3A005B38" w:rsidR="0040235D" w:rsidRDefault="0040235D" w:rsidP="00204AAB">
      <w:pPr>
        <w:spacing w:line="240" w:lineRule="auto"/>
      </w:pPr>
    </w:p>
    <w:p w14:paraId="3AB84F35" w14:textId="77777777" w:rsidR="00A32D44" w:rsidRPr="0040235D" w:rsidRDefault="00A32D44" w:rsidP="00204AAB">
      <w:pPr>
        <w:spacing w:line="240" w:lineRule="auto"/>
      </w:pPr>
    </w:p>
    <w:p w14:paraId="0E9A1669" w14:textId="77777777" w:rsidR="00812D16" w:rsidRPr="0040235D" w:rsidRDefault="001D5E29" w:rsidP="00572506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40235D">
        <w:rPr>
          <w:b/>
        </w:rPr>
        <w:lastRenderedPageBreak/>
        <w:t>FARMACEUTICKÉ INFORMÁCIE</w:t>
      </w:r>
    </w:p>
    <w:p w14:paraId="485A74BD" w14:textId="77777777" w:rsidR="00812D16" w:rsidRPr="0040235D" w:rsidRDefault="00812D16" w:rsidP="00085939">
      <w:pPr>
        <w:keepNext/>
        <w:spacing w:line="240" w:lineRule="auto"/>
      </w:pPr>
    </w:p>
    <w:p w14:paraId="513D5226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t>Zoznam pomocných látok</w:t>
      </w:r>
    </w:p>
    <w:p w14:paraId="38854D54" w14:textId="77777777" w:rsidR="00812D16" w:rsidRPr="0040235D" w:rsidRDefault="00812D16" w:rsidP="00085939">
      <w:pPr>
        <w:keepNext/>
        <w:spacing w:line="240" w:lineRule="auto"/>
        <w:rPr>
          <w:i/>
        </w:rPr>
      </w:pPr>
    </w:p>
    <w:p w14:paraId="7B799DC2" w14:textId="5BC7D23F" w:rsidR="002B387F" w:rsidRPr="0040235D" w:rsidRDefault="00263639" w:rsidP="002B387F">
      <w:r w:rsidRPr="0040235D">
        <w:t>uhličitan sodný, bezvodý</w:t>
      </w:r>
    </w:p>
    <w:p w14:paraId="0BF1871F" w14:textId="77777777" w:rsidR="00263639" w:rsidRPr="0040235D" w:rsidRDefault="00263639" w:rsidP="00263639">
      <w:pPr>
        <w:jc w:val="both"/>
        <w:rPr>
          <w:szCs w:val="22"/>
        </w:rPr>
      </w:pPr>
      <w:proofErr w:type="spellStart"/>
      <w:r w:rsidRPr="0040235D">
        <w:rPr>
          <w:szCs w:val="22"/>
        </w:rPr>
        <w:t>glycín</w:t>
      </w:r>
      <w:proofErr w:type="spellEnd"/>
    </w:p>
    <w:p w14:paraId="4BD965D6" w14:textId="77777777" w:rsidR="00263639" w:rsidRPr="0040235D" w:rsidRDefault="00263639" w:rsidP="00263639">
      <w:pPr>
        <w:jc w:val="both"/>
        <w:rPr>
          <w:szCs w:val="22"/>
        </w:rPr>
      </w:pPr>
      <w:proofErr w:type="spellStart"/>
      <w:r w:rsidRPr="0040235D">
        <w:rPr>
          <w:szCs w:val="22"/>
        </w:rPr>
        <w:t>povidón</w:t>
      </w:r>
      <w:proofErr w:type="spellEnd"/>
    </w:p>
    <w:p w14:paraId="6E2497B5" w14:textId="08647021" w:rsidR="00263639" w:rsidRPr="0040235D" w:rsidRDefault="00263639" w:rsidP="00263639">
      <w:pPr>
        <w:jc w:val="both"/>
        <w:rPr>
          <w:szCs w:val="22"/>
        </w:rPr>
      </w:pPr>
      <w:r w:rsidRPr="0040235D">
        <w:rPr>
          <w:szCs w:val="22"/>
        </w:rPr>
        <w:t>mikrokryštalická celulóza</w:t>
      </w:r>
    </w:p>
    <w:p w14:paraId="0CDCFA36" w14:textId="5D7A5D6D" w:rsidR="00263639" w:rsidRPr="0040235D" w:rsidRDefault="00263639" w:rsidP="00263639">
      <w:pPr>
        <w:jc w:val="both"/>
        <w:rPr>
          <w:szCs w:val="22"/>
        </w:rPr>
      </w:pPr>
      <w:r w:rsidRPr="0040235D">
        <w:rPr>
          <w:szCs w:val="22"/>
        </w:rPr>
        <w:t xml:space="preserve">sodná soľ </w:t>
      </w:r>
      <w:proofErr w:type="spellStart"/>
      <w:r w:rsidRPr="0040235D">
        <w:rPr>
          <w:szCs w:val="22"/>
        </w:rPr>
        <w:t>kroskarmelózy</w:t>
      </w:r>
      <w:proofErr w:type="spellEnd"/>
    </w:p>
    <w:p w14:paraId="088FECC2" w14:textId="23FA1507" w:rsidR="002B387F" w:rsidRPr="0040235D" w:rsidRDefault="00263639" w:rsidP="00263639">
      <w:pPr>
        <w:jc w:val="both"/>
      </w:pPr>
      <w:r w:rsidRPr="0040235D">
        <w:rPr>
          <w:szCs w:val="22"/>
        </w:rPr>
        <w:t>koloidný oxid kremičitý</w:t>
      </w:r>
      <w:r w:rsidR="00834CB9">
        <w:rPr>
          <w:szCs w:val="22"/>
        </w:rPr>
        <w:t>,</w:t>
      </w:r>
      <w:r w:rsidRPr="0040235D">
        <w:rPr>
          <w:szCs w:val="22"/>
        </w:rPr>
        <w:t xml:space="preserve"> bezvodý</w:t>
      </w:r>
      <w:r w:rsidR="002B387F" w:rsidRPr="0040235D">
        <w:rPr>
          <w:szCs w:val="22"/>
        </w:rPr>
        <w:t xml:space="preserve"> </w:t>
      </w:r>
    </w:p>
    <w:p w14:paraId="1F84880C" w14:textId="01F3B13C" w:rsidR="00263639" w:rsidRPr="0040235D" w:rsidRDefault="003128C6" w:rsidP="00263639">
      <w:pPr>
        <w:rPr>
          <w:szCs w:val="22"/>
        </w:rPr>
      </w:pPr>
      <w:proofErr w:type="spellStart"/>
      <w:r w:rsidRPr="0040235D">
        <w:rPr>
          <w:szCs w:val="22"/>
        </w:rPr>
        <w:t>s</w:t>
      </w:r>
      <w:r w:rsidR="00263639" w:rsidRPr="0040235D">
        <w:rPr>
          <w:szCs w:val="22"/>
        </w:rPr>
        <w:t>tear</w:t>
      </w:r>
      <w:r w:rsidR="00834CB9">
        <w:rPr>
          <w:szCs w:val="22"/>
        </w:rPr>
        <w:t>át</w:t>
      </w:r>
      <w:proofErr w:type="spellEnd"/>
      <w:r w:rsidR="00263639" w:rsidRPr="0040235D">
        <w:rPr>
          <w:szCs w:val="22"/>
        </w:rPr>
        <w:t xml:space="preserve"> vápenatý</w:t>
      </w:r>
    </w:p>
    <w:p w14:paraId="3A63F8D8" w14:textId="2F240602" w:rsidR="00263639" w:rsidRPr="004E19E4" w:rsidRDefault="003128C6" w:rsidP="00263639">
      <w:pPr>
        <w:rPr>
          <w:szCs w:val="22"/>
        </w:rPr>
      </w:pPr>
      <w:proofErr w:type="spellStart"/>
      <w:r w:rsidRPr="004E19E4">
        <w:rPr>
          <w:szCs w:val="22"/>
        </w:rPr>
        <w:t>kop</w:t>
      </w:r>
      <w:r w:rsidR="00263639" w:rsidRPr="004E19E4">
        <w:rPr>
          <w:szCs w:val="22"/>
        </w:rPr>
        <w:t>olymér</w:t>
      </w:r>
      <w:proofErr w:type="spellEnd"/>
      <w:r w:rsidR="00263639" w:rsidRPr="004E19E4">
        <w:rPr>
          <w:szCs w:val="22"/>
        </w:rPr>
        <w:t xml:space="preserve"> kyseliny </w:t>
      </w:r>
      <w:proofErr w:type="spellStart"/>
      <w:r w:rsidR="00263639" w:rsidRPr="004E19E4">
        <w:rPr>
          <w:szCs w:val="22"/>
        </w:rPr>
        <w:t>metakrylovej</w:t>
      </w:r>
      <w:proofErr w:type="spellEnd"/>
      <w:r w:rsidR="00263639" w:rsidRPr="004E19E4">
        <w:rPr>
          <w:szCs w:val="22"/>
        </w:rPr>
        <w:t xml:space="preserve"> - </w:t>
      </w:r>
      <w:proofErr w:type="spellStart"/>
      <w:r w:rsidR="00263639" w:rsidRPr="004E19E4">
        <w:rPr>
          <w:szCs w:val="22"/>
        </w:rPr>
        <w:t>etylakrylátu</w:t>
      </w:r>
      <w:proofErr w:type="spellEnd"/>
      <w:r w:rsidR="00263639" w:rsidRPr="004E19E4">
        <w:rPr>
          <w:szCs w:val="22"/>
        </w:rPr>
        <w:t xml:space="preserve"> (1:1)</w:t>
      </w:r>
    </w:p>
    <w:p w14:paraId="284E510F" w14:textId="14074030" w:rsidR="00263639" w:rsidRPr="004E19E4" w:rsidRDefault="003128C6" w:rsidP="00263639">
      <w:pPr>
        <w:rPr>
          <w:szCs w:val="22"/>
        </w:rPr>
      </w:pPr>
      <w:proofErr w:type="spellStart"/>
      <w:r w:rsidRPr="004E19E4">
        <w:rPr>
          <w:szCs w:val="22"/>
        </w:rPr>
        <w:t>kop</w:t>
      </w:r>
      <w:r w:rsidR="00263639" w:rsidRPr="004E19E4">
        <w:rPr>
          <w:szCs w:val="22"/>
        </w:rPr>
        <w:t>olymér</w:t>
      </w:r>
      <w:proofErr w:type="spellEnd"/>
      <w:r w:rsidR="00263639" w:rsidRPr="004E19E4">
        <w:rPr>
          <w:szCs w:val="22"/>
        </w:rPr>
        <w:t xml:space="preserve"> kyseliny </w:t>
      </w:r>
      <w:proofErr w:type="spellStart"/>
      <w:r w:rsidR="00263639" w:rsidRPr="004E19E4">
        <w:rPr>
          <w:szCs w:val="22"/>
        </w:rPr>
        <w:t>metakrylovej</w:t>
      </w:r>
      <w:proofErr w:type="spellEnd"/>
      <w:r w:rsidR="00263639" w:rsidRPr="004E19E4">
        <w:rPr>
          <w:szCs w:val="22"/>
        </w:rPr>
        <w:t xml:space="preserve"> - </w:t>
      </w:r>
      <w:proofErr w:type="spellStart"/>
      <w:r w:rsidR="00263639" w:rsidRPr="004E19E4">
        <w:rPr>
          <w:szCs w:val="22"/>
        </w:rPr>
        <w:t>metylmetakrylátu</w:t>
      </w:r>
      <w:proofErr w:type="spellEnd"/>
      <w:r w:rsidR="00263639" w:rsidRPr="004E19E4">
        <w:rPr>
          <w:szCs w:val="22"/>
        </w:rPr>
        <w:t xml:space="preserve"> (1:1)</w:t>
      </w:r>
    </w:p>
    <w:p w14:paraId="5F887714" w14:textId="75363385" w:rsidR="00263639" w:rsidRPr="0040235D" w:rsidRDefault="003128C6" w:rsidP="00263639">
      <w:pPr>
        <w:rPr>
          <w:szCs w:val="22"/>
        </w:rPr>
      </w:pPr>
      <w:proofErr w:type="spellStart"/>
      <w:r w:rsidRPr="004E19E4">
        <w:rPr>
          <w:szCs w:val="22"/>
        </w:rPr>
        <w:t>kop</w:t>
      </w:r>
      <w:r w:rsidR="00263639" w:rsidRPr="004E19E4">
        <w:rPr>
          <w:szCs w:val="22"/>
        </w:rPr>
        <w:t>olymér</w:t>
      </w:r>
      <w:proofErr w:type="spellEnd"/>
      <w:r w:rsidR="00263639" w:rsidRPr="004E19E4">
        <w:rPr>
          <w:szCs w:val="22"/>
        </w:rPr>
        <w:t xml:space="preserve"> kyseliny </w:t>
      </w:r>
      <w:proofErr w:type="spellStart"/>
      <w:r w:rsidR="00263639" w:rsidRPr="004E19E4">
        <w:rPr>
          <w:szCs w:val="22"/>
        </w:rPr>
        <w:t>metakrylovej</w:t>
      </w:r>
      <w:proofErr w:type="spellEnd"/>
      <w:r w:rsidR="00263639" w:rsidRPr="004E19E4">
        <w:rPr>
          <w:szCs w:val="22"/>
        </w:rPr>
        <w:t xml:space="preserve"> - </w:t>
      </w:r>
      <w:proofErr w:type="spellStart"/>
      <w:r w:rsidR="00263639" w:rsidRPr="004E19E4">
        <w:rPr>
          <w:szCs w:val="22"/>
        </w:rPr>
        <w:t>metylmetakrylátu</w:t>
      </w:r>
      <w:proofErr w:type="spellEnd"/>
      <w:r w:rsidR="00263639" w:rsidRPr="004E19E4">
        <w:rPr>
          <w:szCs w:val="22"/>
        </w:rPr>
        <w:t xml:space="preserve"> (1:2)</w:t>
      </w:r>
    </w:p>
    <w:p w14:paraId="51F5B3CD" w14:textId="471AABFE" w:rsidR="002B387F" w:rsidRPr="0040235D" w:rsidRDefault="003128C6" w:rsidP="00263639">
      <w:proofErr w:type="spellStart"/>
      <w:r w:rsidRPr="0040235D">
        <w:rPr>
          <w:szCs w:val="22"/>
        </w:rPr>
        <w:t>d</w:t>
      </w:r>
      <w:r w:rsidR="00263639" w:rsidRPr="0040235D">
        <w:rPr>
          <w:szCs w:val="22"/>
        </w:rPr>
        <w:t>ibutyl</w:t>
      </w:r>
      <w:r w:rsidR="00834CB9">
        <w:rPr>
          <w:szCs w:val="22"/>
        </w:rPr>
        <w:t>-</w:t>
      </w:r>
      <w:r w:rsidR="00263639" w:rsidRPr="0040235D">
        <w:rPr>
          <w:szCs w:val="22"/>
        </w:rPr>
        <w:t>sebakát</w:t>
      </w:r>
      <w:proofErr w:type="spellEnd"/>
    </w:p>
    <w:p w14:paraId="1DAEBA09" w14:textId="77777777" w:rsidR="003128C6" w:rsidRPr="0040235D" w:rsidRDefault="003128C6" w:rsidP="003128C6">
      <w:pPr>
        <w:spacing w:line="240" w:lineRule="auto"/>
        <w:rPr>
          <w:szCs w:val="22"/>
        </w:rPr>
      </w:pPr>
      <w:r w:rsidRPr="0040235D">
        <w:rPr>
          <w:szCs w:val="22"/>
        </w:rPr>
        <w:t>mastenec</w:t>
      </w:r>
    </w:p>
    <w:p w14:paraId="5323ABDB" w14:textId="57E96243" w:rsidR="003128C6" w:rsidRPr="0040235D" w:rsidRDefault="0040235D" w:rsidP="003128C6">
      <w:pPr>
        <w:spacing w:line="240" w:lineRule="auto"/>
        <w:rPr>
          <w:szCs w:val="22"/>
        </w:rPr>
      </w:pPr>
      <w:bookmarkStart w:id="1" w:name="_Hlk44020203"/>
      <w:r w:rsidRPr="0040235D">
        <w:rPr>
          <w:szCs w:val="22"/>
        </w:rPr>
        <w:t>oxid</w:t>
      </w:r>
      <w:r w:rsidR="003128C6" w:rsidRPr="0040235D">
        <w:rPr>
          <w:szCs w:val="22"/>
        </w:rPr>
        <w:t xml:space="preserve"> </w:t>
      </w:r>
      <w:proofErr w:type="spellStart"/>
      <w:r w:rsidR="003128C6" w:rsidRPr="0040235D">
        <w:rPr>
          <w:szCs w:val="22"/>
        </w:rPr>
        <w:t>titaničitý</w:t>
      </w:r>
      <w:proofErr w:type="spellEnd"/>
      <w:r w:rsidR="003128C6" w:rsidRPr="0040235D">
        <w:rPr>
          <w:szCs w:val="22"/>
        </w:rPr>
        <w:t xml:space="preserve"> (E171)</w:t>
      </w:r>
    </w:p>
    <w:p w14:paraId="1A84E06E" w14:textId="77777777" w:rsidR="003128C6" w:rsidRPr="0040235D" w:rsidRDefault="003128C6" w:rsidP="003128C6">
      <w:pPr>
        <w:spacing w:line="240" w:lineRule="auto"/>
        <w:rPr>
          <w:szCs w:val="22"/>
        </w:rPr>
      </w:pPr>
      <w:proofErr w:type="spellStart"/>
      <w:r w:rsidRPr="0040235D">
        <w:rPr>
          <w:szCs w:val="22"/>
        </w:rPr>
        <w:t>makrogol</w:t>
      </w:r>
      <w:proofErr w:type="spellEnd"/>
    </w:p>
    <w:p w14:paraId="76A296B4" w14:textId="277EAA44" w:rsidR="003128C6" w:rsidRPr="0040235D" w:rsidRDefault="003128C6" w:rsidP="003128C6">
      <w:pPr>
        <w:spacing w:line="240" w:lineRule="auto"/>
        <w:rPr>
          <w:szCs w:val="22"/>
        </w:rPr>
      </w:pPr>
      <w:r w:rsidRPr="0040235D">
        <w:rPr>
          <w:szCs w:val="22"/>
        </w:rPr>
        <w:t>žltý oxid železitý (E172)</w:t>
      </w:r>
    </w:p>
    <w:p w14:paraId="7552B28F" w14:textId="07808E6C" w:rsidR="00812D16" w:rsidRPr="0040235D" w:rsidRDefault="003128C6" w:rsidP="003128C6">
      <w:pPr>
        <w:spacing w:line="240" w:lineRule="auto"/>
        <w:rPr>
          <w:szCs w:val="22"/>
        </w:rPr>
      </w:pPr>
      <w:r w:rsidRPr="0040235D">
        <w:rPr>
          <w:szCs w:val="22"/>
        </w:rPr>
        <w:t>červený oxid železitý (E172)</w:t>
      </w:r>
      <w:bookmarkEnd w:id="1"/>
    </w:p>
    <w:p w14:paraId="2F26D95E" w14:textId="77777777" w:rsidR="002B387F" w:rsidRPr="0040235D" w:rsidRDefault="002B387F" w:rsidP="002B387F">
      <w:pPr>
        <w:spacing w:line="240" w:lineRule="auto"/>
      </w:pPr>
    </w:p>
    <w:p w14:paraId="00990978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t>Inkompatibility</w:t>
      </w:r>
    </w:p>
    <w:p w14:paraId="0A0CFB44" w14:textId="77777777" w:rsidR="00812D16" w:rsidRPr="0040235D" w:rsidRDefault="00812D16" w:rsidP="00085939">
      <w:pPr>
        <w:keepNext/>
        <w:spacing w:line="240" w:lineRule="auto"/>
      </w:pPr>
    </w:p>
    <w:p w14:paraId="73FA1FE8" w14:textId="7023D349" w:rsidR="00812D16" w:rsidRPr="0040235D" w:rsidRDefault="001D5E29" w:rsidP="00204AAB">
      <w:pPr>
        <w:spacing w:line="240" w:lineRule="auto"/>
      </w:pPr>
      <w:r w:rsidRPr="0040235D">
        <w:t>Neaplikovateľné.</w:t>
      </w:r>
    </w:p>
    <w:p w14:paraId="296D8029" w14:textId="77777777" w:rsidR="002B387F" w:rsidRPr="0040235D" w:rsidRDefault="002B387F" w:rsidP="00204AAB">
      <w:pPr>
        <w:spacing w:line="240" w:lineRule="auto"/>
      </w:pPr>
    </w:p>
    <w:p w14:paraId="5DA6EC95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40235D">
        <w:rPr>
          <w:b/>
        </w:rPr>
        <w:t>Čas použiteľnosti</w:t>
      </w:r>
    </w:p>
    <w:p w14:paraId="67CF0025" w14:textId="77777777" w:rsidR="00812D16" w:rsidRPr="0040235D" w:rsidRDefault="00812D16" w:rsidP="00085939">
      <w:pPr>
        <w:keepNext/>
        <w:spacing w:line="240" w:lineRule="auto"/>
      </w:pPr>
    </w:p>
    <w:p w14:paraId="0B457A7D" w14:textId="6DF64143" w:rsidR="00812D16" w:rsidRPr="0040235D" w:rsidRDefault="001D5E29" w:rsidP="00204AAB">
      <w:pPr>
        <w:spacing w:line="240" w:lineRule="auto"/>
      </w:pPr>
      <w:r w:rsidRPr="0040235D">
        <w:t>2 roky</w:t>
      </w:r>
      <w:r w:rsidR="006E77E2">
        <w:t>.</w:t>
      </w:r>
    </w:p>
    <w:p w14:paraId="0378C83C" w14:textId="77777777" w:rsidR="00812D16" w:rsidRPr="0040235D" w:rsidRDefault="00812D16" w:rsidP="00204AAB">
      <w:pPr>
        <w:spacing w:line="240" w:lineRule="auto"/>
      </w:pPr>
    </w:p>
    <w:p w14:paraId="4BA64976" w14:textId="77777777" w:rsidR="00812D16" w:rsidRPr="0040235D" w:rsidRDefault="001D5E29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40235D">
        <w:rPr>
          <w:b/>
        </w:rPr>
        <w:t>Špeciálne upozornenia na uchovávanie</w:t>
      </w:r>
    </w:p>
    <w:p w14:paraId="455D1F64" w14:textId="77777777" w:rsidR="005108A3" w:rsidRPr="0040235D" w:rsidRDefault="005108A3" w:rsidP="00085939">
      <w:pPr>
        <w:keepNext/>
        <w:spacing w:line="240" w:lineRule="auto"/>
        <w:ind w:left="567" w:hanging="567"/>
        <w:outlineLvl w:val="0"/>
      </w:pPr>
    </w:p>
    <w:p w14:paraId="208A0BE8" w14:textId="79A43882" w:rsidR="00812D16" w:rsidRPr="0040235D" w:rsidRDefault="002B387F" w:rsidP="00204AAB">
      <w:pPr>
        <w:spacing w:line="240" w:lineRule="auto"/>
        <w:rPr>
          <w:i/>
        </w:rPr>
      </w:pPr>
      <w:r w:rsidRPr="0040235D">
        <w:rPr>
          <w:szCs w:val="22"/>
        </w:rPr>
        <w:t xml:space="preserve">Tento liek nevyžaduje žiadne zvláštne </w:t>
      </w:r>
      <w:r w:rsidR="00D42A7A">
        <w:rPr>
          <w:noProof/>
        </w:rPr>
        <w:t>podmienky</w:t>
      </w:r>
      <w:r w:rsidR="00D42A7A" w:rsidRPr="0040235D" w:rsidDel="00D42A7A">
        <w:rPr>
          <w:szCs w:val="22"/>
        </w:rPr>
        <w:t xml:space="preserve"> </w:t>
      </w:r>
      <w:r w:rsidRPr="0040235D">
        <w:rPr>
          <w:szCs w:val="22"/>
        </w:rPr>
        <w:t>na uchovávanie.</w:t>
      </w:r>
    </w:p>
    <w:p w14:paraId="6AF78F2E" w14:textId="77777777" w:rsidR="00812D16" w:rsidRPr="0040235D" w:rsidRDefault="00812D16" w:rsidP="00204AAB">
      <w:pPr>
        <w:spacing w:line="240" w:lineRule="auto"/>
      </w:pPr>
    </w:p>
    <w:p w14:paraId="363CD7FD" w14:textId="6495D466" w:rsidR="00812D16" w:rsidRPr="0040235D" w:rsidRDefault="001D5E29" w:rsidP="00572506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40235D">
        <w:rPr>
          <w:b/>
        </w:rPr>
        <w:t>Druh obalu a</w:t>
      </w:r>
      <w:r w:rsidR="00851AE0" w:rsidRPr="0040235D">
        <w:rPr>
          <w:b/>
        </w:rPr>
        <w:t> </w:t>
      </w:r>
      <w:r w:rsidRPr="0040235D">
        <w:rPr>
          <w:b/>
        </w:rPr>
        <w:t xml:space="preserve">obsah balenia </w:t>
      </w:r>
    </w:p>
    <w:p w14:paraId="5736DD8D" w14:textId="77777777" w:rsidR="00812D16" w:rsidRPr="0040235D" w:rsidRDefault="00812D16" w:rsidP="00085939">
      <w:pPr>
        <w:keepNext/>
        <w:spacing w:line="240" w:lineRule="auto"/>
        <w:outlineLvl w:val="0"/>
      </w:pPr>
    </w:p>
    <w:p w14:paraId="6EDE3F7D" w14:textId="0C93499A" w:rsidR="00812D16" w:rsidRPr="0040235D" w:rsidRDefault="003128C6" w:rsidP="00204AAB">
      <w:pPr>
        <w:spacing w:line="240" w:lineRule="auto"/>
      </w:pPr>
      <w:r w:rsidRPr="0040235D">
        <w:t xml:space="preserve">Balenie </w:t>
      </w:r>
      <w:proofErr w:type="spellStart"/>
      <w:r w:rsidRPr="0040235D">
        <w:t>blistrov</w:t>
      </w:r>
      <w:proofErr w:type="spellEnd"/>
      <w:r w:rsidRPr="0040235D">
        <w:t xml:space="preserve"> </w:t>
      </w:r>
      <w:r w:rsidR="00FB2725">
        <w:rPr>
          <w:szCs w:val="22"/>
        </w:rPr>
        <w:t xml:space="preserve">hliník/hliník </w:t>
      </w:r>
      <w:r w:rsidRPr="0040235D">
        <w:rPr>
          <w:szCs w:val="22"/>
        </w:rPr>
        <w:t xml:space="preserve">v </w:t>
      </w:r>
      <w:r w:rsidR="0040235D" w:rsidRPr="0040235D">
        <w:rPr>
          <w:szCs w:val="22"/>
        </w:rPr>
        <w:t>škatuľkách</w:t>
      </w:r>
      <w:r w:rsidR="002B387F" w:rsidRPr="0040235D">
        <w:rPr>
          <w:szCs w:val="22"/>
        </w:rPr>
        <w:t xml:space="preserve"> </w:t>
      </w:r>
      <w:r w:rsidR="0040235D" w:rsidRPr="0040235D">
        <w:rPr>
          <w:szCs w:val="22"/>
        </w:rPr>
        <w:t>obsahujúcich</w:t>
      </w:r>
      <w:r w:rsidR="002B387F" w:rsidRPr="0040235D">
        <w:rPr>
          <w:szCs w:val="22"/>
        </w:rPr>
        <w:t xml:space="preserve"> 100 tabl</w:t>
      </w:r>
      <w:r w:rsidRPr="0040235D">
        <w:rPr>
          <w:szCs w:val="22"/>
        </w:rPr>
        <w:t>i</w:t>
      </w:r>
      <w:r w:rsidR="002B387F" w:rsidRPr="0040235D">
        <w:rPr>
          <w:szCs w:val="22"/>
        </w:rPr>
        <w:t>et</w:t>
      </w:r>
      <w:r w:rsidR="006E77E2">
        <w:rPr>
          <w:szCs w:val="22"/>
        </w:rPr>
        <w:t>.</w:t>
      </w:r>
    </w:p>
    <w:p w14:paraId="5F36935F" w14:textId="77777777" w:rsidR="00812D16" w:rsidRPr="0040235D" w:rsidRDefault="00812D16" w:rsidP="00204AAB">
      <w:pPr>
        <w:spacing w:line="240" w:lineRule="auto"/>
      </w:pPr>
    </w:p>
    <w:p w14:paraId="65D3BBE7" w14:textId="69F6132C" w:rsidR="00812D16" w:rsidRPr="0040235D" w:rsidRDefault="001D5E29" w:rsidP="00204AAB">
      <w:pPr>
        <w:keepNext/>
        <w:numPr>
          <w:ilvl w:val="1"/>
          <w:numId w:val="6"/>
        </w:numPr>
        <w:spacing w:line="240" w:lineRule="auto"/>
        <w:outlineLvl w:val="0"/>
      </w:pPr>
      <w:bookmarkStart w:id="2" w:name="OLE_LINK1"/>
      <w:r w:rsidRPr="0040235D">
        <w:rPr>
          <w:b/>
        </w:rPr>
        <w:t>Špeciálne opatrenia na likvidáciu</w:t>
      </w:r>
    </w:p>
    <w:p w14:paraId="06DC8110" w14:textId="77777777" w:rsidR="00560EDA" w:rsidRPr="0040235D" w:rsidRDefault="00560EDA" w:rsidP="00204AAB">
      <w:pPr>
        <w:spacing w:line="240" w:lineRule="auto"/>
      </w:pPr>
    </w:p>
    <w:p w14:paraId="544FE4C1" w14:textId="24D2BDE0" w:rsidR="00812D16" w:rsidRPr="0040235D" w:rsidRDefault="001D5E29" w:rsidP="00204AAB">
      <w:pPr>
        <w:spacing w:line="240" w:lineRule="auto"/>
      </w:pPr>
      <w:r w:rsidRPr="0040235D">
        <w:t>Všetok nepoužitý liek alebo odpad vzniknutý z</w:t>
      </w:r>
      <w:r w:rsidR="00851AE0" w:rsidRPr="0040235D">
        <w:t> </w:t>
      </w:r>
      <w:r w:rsidRPr="0040235D">
        <w:t>lieku sa má zlikvidovať v súlade s národnými požiadavkami.</w:t>
      </w:r>
    </w:p>
    <w:bookmarkEnd w:id="2"/>
    <w:p w14:paraId="1807A4D2" w14:textId="77777777" w:rsidR="00812D16" w:rsidRPr="0040235D" w:rsidRDefault="00812D16" w:rsidP="00204AAB">
      <w:pPr>
        <w:spacing w:line="240" w:lineRule="auto"/>
      </w:pPr>
    </w:p>
    <w:p w14:paraId="784AC48F" w14:textId="77777777" w:rsidR="00812D16" w:rsidRPr="0040235D" w:rsidRDefault="00812D16" w:rsidP="00204AAB">
      <w:pPr>
        <w:spacing w:line="240" w:lineRule="auto"/>
      </w:pPr>
    </w:p>
    <w:p w14:paraId="67638B99" w14:textId="77777777" w:rsidR="00812D16" w:rsidRPr="0040235D" w:rsidRDefault="001D5E29" w:rsidP="00572506">
      <w:pPr>
        <w:keepNext/>
        <w:numPr>
          <w:ilvl w:val="0"/>
          <w:numId w:val="6"/>
        </w:numPr>
        <w:spacing w:line="240" w:lineRule="auto"/>
      </w:pPr>
      <w:r w:rsidRPr="0040235D">
        <w:rPr>
          <w:b/>
        </w:rPr>
        <w:t>DRŽITEĽ ROZHODNUTIA O REGISTRÁCII</w:t>
      </w:r>
    </w:p>
    <w:p w14:paraId="70EF4AEA" w14:textId="77777777" w:rsidR="00812D16" w:rsidRPr="0040235D" w:rsidRDefault="00812D16" w:rsidP="00085939">
      <w:pPr>
        <w:keepNext/>
        <w:spacing w:line="240" w:lineRule="auto"/>
      </w:pPr>
    </w:p>
    <w:p w14:paraId="4BB5E832" w14:textId="77777777" w:rsidR="002B387F" w:rsidRPr="0040235D" w:rsidRDefault="002B387F" w:rsidP="002B387F">
      <w:pPr>
        <w:spacing w:line="240" w:lineRule="atLeast"/>
        <w:jc w:val="both"/>
        <w:rPr>
          <w:snapToGrid w:val="0"/>
          <w:color w:val="000000"/>
        </w:rPr>
      </w:pPr>
      <w:bookmarkStart w:id="3" w:name="_Hlk44020560"/>
      <w:r w:rsidRPr="0040235D">
        <w:rPr>
          <w:snapToGrid w:val="0"/>
          <w:color w:val="000000"/>
        </w:rPr>
        <w:t>FAES FARMA, S.A.</w:t>
      </w:r>
    </w:p>
    <w:p w14:paraId="757C8A11" w14:textId="64BAFE07" w:rsidR="00232BED" w:rsidRDefault="00232BED" w:rsidP="00232BED">
      <w:bookmarkStart w:id="4" w:name="_GoBack"/>
      <w:bookmarkEnd w:id="4"/>
      <w:proofErr w:type="spellStart"/>
      <w:r>
        <w:t>Máximo</w:t>
      </w:r>
      <w:proofErr w:type="spellEnd"/>
      <w:r>
        <w:t xml:space="preserve"> </w:t>
      </w:r>
      <w:proofErr w:type="spellStart"/>
      <w:r>
        <w:t>Agirre</w:t>
      </w:r>
      <w:proofErr w:type="spellEnd"/>
      <w:r>
        <w:t xml:space="preserve"> 14</w:t>
      </w:r>
    </w:p>
    <w:p w14:paraId="4BCD2159" w14:textId="0614C804" w:rsidR="002B387F" w:rsidRPr="0040235D" w:rsidRDefault="002B387F" w:rsidP="002B387F">
      <w:pPr>
        <w:spacing w:line="240" w:lineRule="atLeast"/>
        <w:jc w:val="both"/>
        <w:rPr>
          <w:snapToGrid w:val="0"/>
          <w:color w:val="000000"/>
        </w:rPr>
      </w:pPr>
      <w:r w:rsidRPr="0040235D">
        <w:rPr>
          <w:snapToGrid w:val="0"/>
          <w:color w:val="000000"/>
        </w:rPr>
        <w:t>489</w:t>
      </w:r>
      <w:r w:rsidR="00785842">
        <w:rPr>
          <w:snapToGrid w:val="0"/>
          <w:color w:val="000000"/>
        </w:rPr>
        <w:t xml:space="preserve"> </w:t>
      </w:r>
      <w:r w:rsidRPr="0040235D">
        <w:rPr>
          <w:snapToGrid w:val="0"/>
          <w:color w:val="000000"/>
        </w:rPr>
        <w:t xml:space="preserve">40 </w:t>
      </w:r>
      <w:proofErr w:type="spellStart"/>
      <w:r w:rsidRPr="0040235D">
        <w:rPr>
          <w:snapToGrid w:val="0"/>
          <w:color w:val="000000"/>
        </w:rPr>
        <w:t>Leioa</w:t>
      </w:r>
      <w:proofErr w:type="spellEnd"/>
      <w:r w:rsidRPr="0040235D">
        <w:rPr>
          <w:snapToGrid w:val="0"/>
          <w:color w:val="000000"/>
        </w:rPr>
        <w:t xml:space="preserve"> (</w:t>
      </w:r>
      <w:proofErr w:type="spellStart"/>
      <w:r w:rsidRPr="0040235D">
        <w:rPr>
          <w:snapToGrid w:val="0"/>
          <w:color w:val="000000"/>
        </w:rPr>
        <w:t>Bizkaia</w:t>
      </w:r>
      <w:proofErr w:type="spellEnd"/>
      <w:r w:rsidRPr="0040235D">
        <w:rPr>
          <w:snapToGrid w:val="0"/>
          <w:color w:val="000000"/>
        </w:rPr>
        <w:t>)</w:t>
      </w:r>
    </w:p>
    <w:p w14:paraId="26C18ECB" w14:textId="01BEA70F" w:rsidR="00812D16" w:rsidRPr="0040235D" w:rsidRDefault="002B387F" w:rsidP="002B387F">
      <w:pPr>
        <w:spacing w:line="240" w:lineRule="auto"/>
      </w:pPr>
      <w:r w:rsidRPr="0040235D">
        <w:rPr>
          <w:snapToGrid w:val="0"/>
          <w:color w:val="000000"/>
        </w:rPr>
        <w:t>Španielsko</w:t>
      </w:r>
      <w:bookmarkEnd w:id="3"/>
    </w:p>
    <w:p w14:paraId="6A8FC5C7" w14:textId="77777777" w:rsidR="00812D16" w:rsidRPr="0040235D" w:rsidRDefault="00812D16" w:rsidP="00204AAB">
      <w:pPr>
        <w:spacing w:line="240" w:lineRule="auto"/>
      </w:pPr>
    </w:p>
    <w:p w14:paraId="28A360CD" w14:textId="77777777" w:rsidR="00812D16" w:rsidRPr="0040235D" w:rsidRDefault="00812D16" w:rsidP="00204AAB">
      <w:pPr>
        <w:spacing w:line="240" w:lineRule="auto"/>
      </w:pPr>
    </w:p>
    <w:p w14:paraId="1EC55577" w14:textId="06304B87" w:rsidR="00812D16" w:rsidRPr="0040235D" w:rsidRDefault="001D5E29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 w:rsidRPr="0040235D">
        <w:rPr>
          <w:b/>
        </w:rPr>
        <w:t>REGISTRAČNÉ ČÍSLO</w:t>
      </w:r>
    </w:p>
    <w:p w14:paraId="136C8A87" w14:textId="77777777" w:rsidR="00812D16" w:rsidRPr="0040235D" w:rsidRDefault="00812D16" w:rsidP="00085939">
      <w:pPr>
        <w:keepNext/>
        <w:spacing w:line="240" w:lineRule="auto"/>
      </w:pPr>
    </w:p>
    <w:p w14:paraId="05710F11" w14:textId="6B6A74F8" w:rsidR="002B387F" w:rsidRDefault="00527525" w:rsidP="00204AAB">
      <w:pPr>
        <w:spacing w:line="240" w:lineRule="auto"/>
      </w:pPr>
      <w:proofErr w:type="spellStart"/>
      <w:r>
        <w:t>Reg.č</w:t>
      </w:r>
      <w:proofErr w:type="spellEnd"/>
      <w:r>
        <w:t xml:space="preserve">.: </w:t>
      </w:r>
      <w:r w:rsidRPr="00527525">
        <w:t>29/0205/20-S</w:t>
      </w:r>
    </w:p>
    <w:p w14:paraId="638B56CA" w14:textId="77777777" w:rsidR="00343315" w:rsidRPr="0040235D" w:rsidRDefault="00343315" w:rsidP="00204AAB">
      <w:pPr>
        <w:spacing w:line="240" w:lineRule="auto"/>
      </w:pPr>
    </w:p>
    <w:p w14:paraId="33825919" w14:textId="77777777" w:rsidR="00812D16" w:rsidRPr="0040235D" w:rsidRDefault="001D5E29" w:rsidP="00572506">
      <w:pPr>
        <w:keepNext/>
        <w:numPr>
          <w:ilvl w:val="0"/>
          <w:numId w:val="6"/>
        </w:numPr>
        <w:spacing w:line="240" w:lineRule="auto"/>
      </w:pPr>
      <w:r w:rsidRPr="0040235D">
        <w:rPr>
          <w:b/>
        </w:rPr>
        <w:lastRenderedPageBreak/>
        <w:t>DÁTUM PRVEJ REGISTRÁCIE/PREDĹŽENIA REGISTRÁCIE</w:t>
      </w:r>
    </w:p>
    <w:p w14:paraId="2AA0ECF3" w14:textId="77777777" w:rsidR="00812D16" w:rsidRPr="0040235D" w:rsidRDefault="00812D16" w:rsidP="00085939">
      <w:pPr>
        <w:keepNext/>
        <w:spacing w:line="240" w:lineRule="auto"/>
        <w:rPr>
          <w:i/>
        </w:rPr>
      </w:pPr>
    </w:p>
    <w:p w14:paraId="7AAEEA16" w14:textId="50F7E03F" w:rsidR="00812D16" w:rsidRPr="0040235D" w:rsidRDefault="001D5E29" w:rsidP="00085939">
      <w:pPr>
        <w:keepNext/>
        <w:spacing w:line="240" w:lineRule="auto"/>
        <w:rPr>
          <w:i/>
        </w:rPr>
      </w:pPr>
      <w:r w:rsidRPr="0040235D">
        <w:t xml:space="preserve">Dátum prvej registrácie: </w:t>
      </w:r>
    </w:p>
    <w:p w14:paraId="23573698" w14:textId="73481E3B" w:rsidR="00812D16" w:rsidRPr="0040235D" w:rsidRDefault="001D5E29" w:rsidP="00204AAB">
      <w:pPr>
        <w:spacing w:line="240" w:lineRule="auto"/>
      </w:pPr>
      <w:r w:rsidRPr="0040235D">
        <w:t xml:space="preserve">Dátum posledného predĺženia registrácie: </w:t>
      </w:r>
    </w:p>
    <w:p w14:paraId="63D62E92" w14:textId="77777777" w:rsidR="00812D16" w:rsidRPr="0040235D" w:rsidRDefault="00812D16" w:rsidP="00204AAB">
      <w:pPr>
        <w:spacing w:line="240" w:lineRule="auto"/>
      </w:pPr>
    </w:p>
    <w:p w14:paraId="2AC59093" w14:textId="77777777" w:rsidR="00812D16" w:rsidRPr="0040235D" w:rsidRDefault="00812D16" w:rsidP="00204AAB">
      <w:pPr>
        <w:spacing w:line="240" w:lineRule="auto"/>
      </w:pPr>
    </w:p>
    <w:p w14:paraId="784822B4" w14:textId="77777777" w:rsidR="00812D16" w:rsidRPr="0040235D" w:rsidRDefault="001D5E29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 w:rsidRPr="0040235D">
        <w:rPr>
          <w:b/>
        </w:rPr>
        <w:t>DÁTUM REVÍZIE TEXTU</w:t>
      </w:r>
    </w:p>
    <w:p w14:paraId="0268424A" w14:textId="77777777" w:rsidR="00812D16" w:rsidRPr="0040235D" w:rsidRDefault="00812D16" w:rsidP="00085939">
      <w:pPr>
        <w:keepNext/>
        <w:spacing w:line="240" w:lineRule="auto"/>
      </w:pPr>
    </w:p>
    <w:p w14:paraId="161ACD62" w14:textId="097B405C" w:rsidR="00343315" w:rsidRPr="00527525" w:rsidRDefault="00834CB9">
      <w:pPr>
        <w:spacing w:line="240" w:lineRule="auto"/>
      </w:pPr>
      <w:r w:rsidRPr="00527525">
        <w:t>0</w:t>
      </w:r>
      <w:r w:rsidR="00B169A3">
        <w:t>9</w:t>
      </w:r>
      <w:r w:rsidRPr="00527525">
        <w:t>/2020</w:t>
      </w:r>
    </w:p>
    <w:sectPr w:rsidR="00343315" w:rsidRPr="00527525" w:rsidSect="00085939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C0534" w14:textId="77777777" w:rsidR="00A2779B" w:rsidRDefault="00A2779B">
      <w:pPr>
        <w:spacing w:line="240" w:lineRule="auto"/>
      </w:pPr>
      <w:r>
        <w:separator/>
      </w:r>
    </w:p>
  </w:endnote>
  <w:endnote w:type="continuationSeparator" w:id="0">
    <w:p w14:paraId="6F98D3F2" w14:textId="77777777" w:rsidR="00A2779B" w:rsidRDefault="00A27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6BF24" w14:textId="77777777" w:rsidR="00AD6B78" w:rsidRPr="00A72672" w:rsidRDefault="00AD6B78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944397">
      <w:rPr>
        <w:rStyle w:val="slostrany1"/>
      </w:rPr>
      <w:t>7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4F2C8" w14:textId="77777777" w:rsidR="00AD6B78" w:rsidRDefault="00AD6B78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BAE3D" w14:textId="77777777" w:rsidR="00A2779B" w:rsidRDefault="00A2779B">
      <w:pPr>
        <w:spacing w:line="240" w:lineRule="auto"/>
      </w:pPr>
      <w:r>
        <w:separator/>
      </w:r>
    </w:p>
  </w:footnote>
  <w:footnote w:type="continuationSeparator" w:id="0">
    <w:p w14:paraId="5A03DAEB" w14:textId="77777777" w:rsidR="00A2779B" w:rsidRDefault="00A277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9B869" w14:textId="75759908" w:rsidR="00AD6B78" w:rsidRDefault="009B04D6">
    <w:pPr>
      <w:pStyle w:val="Hlavika1"/>
      <w:rPr>
        <w:rFonts w:ascii="Times New Roman" w:hAnsi="Times New Roman"/>
      </w:rPr>
    </w:pPr>
    <w:r w:rsidRPr="009B04D6">
      <w:rPr>
        <w:rFonts w:ascii="Times New Roman" w:hAnsi="Times New Roman"/>
      </w:rPr>
      <w:t>Schválený text k rozhodnutiu o registrácii, ev. č.:</w:t>
    </w:r>
    <w:r w:rsidR="00D36653">
      <w:rPr>
        <w:rFonts w:ascii="Times New Roman" w:hAnsi="Times New Roman"/>
      </w:rPr>
      <w:t xml:space="preserve"> </w:t>
    </w:r>
    <w:r w:rsidR="00D36653" w:rsidRPr="0063749C">
      <w:rPr>
        <w:rFonts w:ascii="Times New Roman" w:hAnsi="Times New Roman"/>
      </w:rPr>
      <w:t>2020/02319-REG</w:t>
    </w:r>
  </w:p>
  <w:p w14:paraId="239D1DEB" w14:textId="5D917EA3" w:rsidR="00F371B8" w:rsidRDefault="00F371B8">
    <w:pPr>
      <w:pStyle w:val="Hlavika1"/>
      <w:rPr>
        <w:rFonts w:ascii="Times New Roman" w:hAnsi="Times New Roman"/>
      </w:rPr>
    </w:pPr>
  </w:p>
  <w:p w14:paraId="31B40AE2" w14:textId="77777777" w:rsidR="00F371B8" w:rsidRPr="009B04D6" w:rsidRDefault="00F371B8">
    <w:pPr>
      <w:pStyle w:val="Hlavika1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56128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44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88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23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25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969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25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67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F96"/>
    <w:multiLevelType w:val="hybridMultilevel"/>
    <w:tmpl w:val="1806E65A"/>
    <w:lvl w:ilvl="0" w:tplc="E7B0EB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022F194" w:tentative="1">
      <w:start w:val="1"/>
      <w:numFmt w:val="lowerLetter"/>
      <w:lvlText w:val="%2."/>
      <w:lvlJc w:val="left"/>
      <w:pPr>
        <w:ind w:left="1440" w:hanging="360"/>
      </w:pPr>
    </w:lvl>
    <w:lvl w:ilvl="2" w:tplc="7A34B364" w:tentative="1">
      <w:start w:val="1"/>
      <w:numFmt w:val="lowerRoman"/>
      <w:lvlText w:val="%3."/>
      <w:lvlJc w:val="right"/>
      <w:pPr>
        <w:ind w:left="2160" w:hanging="180"/>
      </w:pPr>
    </w:lvl>
    <w:lvl w:ilvl="3" w:tplc="B9C2FDAC" w:tentative="1">
      <w:start w:val="1"/>
      <w:numFmt w:val="decimal"/>
      <w:lvlText w:val="%4."/>
      <w:lvlJc w:val="left"/>
      <w:pPr>
        <w:ind w:left="2880" w:hanging="360"/>
      </w:pPr>
    </w:lvl>
    <w:lvl w:ilvl="4" w:tplc="3E5CCE24" w:tentative="1">
      <w:start w:val="1"/>
      <w:numFmt w:val="lowerLetter"/>
      <w:lvlText w:val="%5."/>
      <w:lvlJc w:val="left"/>
      <w:pPr>
        <w:ind w:left="3600" w:hanging="360"/>
      </w:pPr>
    </w:lvl>
    <w:lvl w:ilvl="5" w:tplc="B3E0407A" w:tentative="1">
      <w:start w:val="1"/>
      <w:numFmt w:val="lowerRoman"/>
      <w:lvlText w:val="%6."/>
      <w:lvlJc w:val="right"/>
      <w:pPr>
        <w:ind w:left="4320" w:hanging="180"/>
      </w:pPr>
    </w:lvl>
    <w:lvl w:ilvl="6" w:tplc="D95E96DA" w:tentative="1">
      <w:start w:val="1"/>
      <w:numFmt w:val="decimal"/>
      <w:lvlText w:val="%7."/>
      <w:lvlJc w:val="left"/>
      <w:pPr>
        <w:ind w:left="5040" w:hanging="360"/>
      </w:pPr>
    </w:lvl>
    <w:lvl w:ilvl="7" w:tplc="A3265304" w:tentative="1">
      <w:start w:val="1"/>
      <w:numFmt w:val="lowerLetter"/>
      <w:lvlText w:val="%8."/>
      <w:lvlJc w:val="left"/>
      <w:pPr>
        <w:ind w:left="5760" w:hanging="360"/>
      </w:pPr>
    </w:lvl>
    <w:lvl w:ilvl="8" w:tplc="2A0E9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7F17"/>
    <w:multiLevelType w:val="hybridMultilevel"/>
    <w:tmpl w:val="F8F0BB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14CF"/>
    <w:multiLevelType w:val="hybridMultilevel"/>
    <w:tmpl w:val="6FC0A652"/>
    <w:lvl w:ilvl="0" w:tplc="D3C485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C1B6E102" w:tentative="1">
      <w:start w:val="1"/>
      <w:numFmt w:val="lowerLetter"/>
      <w:lvlText w:val="%2."/>
      <w:lvlJc w:val="left"/>
      <w:pPr>
        <w:ind w:left="1440" w:hanging="360"/>
      </w:pPr>
    </w:lvl>
    <w:lvl w:ilvl="2" w:tplc="B48843BE" w:tentative="1">
      <w:start w:val="1"/>
      <w:numFmt w:val="lowerRoman"/>
      <w:lvlText w:val="%3."/>
      <w:lvlJc w:val="right"/>
      <w:pPr>
        <w:ind w:left="2160" w:hanging="180"/>
      </w:pPr>
    </w:lvl>
    <w:lvl w:ilvl="3" w:tplc="1EB08FCC" w:tentative="1">
      <w:start w:val="1"/>
      <w:numFmt w:val="decimal"/>
      <w:lvlText w:val="%4."/>
      <w:lvlJc w:val="left"/>
      <w:pPr>
        <w:ind w:left="2880" w:hanging="360"/>
      </w:pPr>
    </w:lvl>
    <w:lvl w:ilvl="4" w:tplc="0902E06A" w:tentative="1">
      <w:start w:val="1"/>
      <w:numFmt w:val="lowerLetter"/>
      <w:lvlText w:val="%5."/>
      <w:lvlJc w:val="left"/>
      <w:pPr>
        <w:ind w:left="3600" w:hanging="360"/>
      </w:pPr>
    </w:lvl>
    <w:lvl w:ilvl="5" w:tplc="FCD0484E" w:tentative="1">
      <w:start w:val="1"/>
      <w:numFmt w:val="lowerRoman"/>
      <w:lvlText w:val="%6."/>
      <w:lvlJc w:val="right"/>
      <w:pPr>
        <w:ind w:left="4320" w:hanging="180"/>
      </w:pPr>
    </w:lvl>
    <w:lvl w:ilvl="6" w:tplc="67209C50" w:tentative="1">
      <w:start w:val="1"/>
      <w:numFmt w:val="decimal"/>
      <w:lvlText w:val="%7."/>
      <w:lvlJc w:val="left"/>
      <w:pPr>
        <w:ind w:left="5040" w:hanging="360"/>
      </w:pPr>
    </w:lvl>
    <w:lvl w:ilvl="7" w:tplc="559247AC" w:tentative="1">
      <w:start w:val="1"/>
      <w:numFmt w:val="lowerLetter"/>
      <w:lvlText w:val="%8."/>
      <w:lvlJc w:val="left"/>
      <w:pPr>
        <w:ind w:left="5760" w:hanging="360"/>
      </w:pPr>
    </w:lvl>
    <w:lvl w:ilvl="8" w:tplc="0BC4A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89C03408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93F0D124" w:tentative="1">
      <w:start w:val="1"/>
      <w:numFmt w:val="lowerLetter"/>
      <w:lvlText w:val="%2."/>
      <w:lvlJc w:val="left"/>
      <w:pPr>
        <w:ind w:left="1440" w:hanging="360"/>
      </w:pPr>
    </w:lvl>
    <w:lvl w:ilvl="2" w:tplc="E2E2AE4E" w:tentative="1">
      <w:start w:val="1"/>
      <w:numFmt w:val="lowerRoman"/>
      <w:lvlText w:val="%3."/>
      <w:lvlJc w:val="right"/>
      <w:pPr>
        <w:ind w:left="2160" w:hanging="180"/>
      </w:pPr>
    </w:lvl>
    <w:lvl w:ilvl="3" w:tplc="63701BD8" w:tentative="1">
      <w:start w:val="1"/>
      <w:numFmt w:val="decimal"/>
      <w:lvlText w:val="%4."/>
      <w:lvlJc w:val="left"/>
      <w:pPr>
        <w:ind w:left="2880" w:hanging="360"/>
      </w:pPr>
    </w:lvl>
    <w:lvl w:ilvl="4" w:tplc="8320CECA" w:tentative="1">
      <w:start w:val="1"/>
      <w:numFmt w:val="lowerLetter"/>
      <w:lvlText w:val="%5."/>
      <w:lvlJc w:val="left"/>
      <w:pPr>
        <w:ind w:left="3600" w:hanging="360"/>
      </w:pPr>
    </w:lvl>
    <w:lvl w:ilvl="5" w:tplc="B92A17A0" w:tentative="1">
      <w:start w:val="1"/>
      <w:numFmt w:val="lowerRoman"/>
      <w:lvlText w:val="%6."/>
      <w:lvlJc w:val="right"/>
      <w:pPr>
        <w:ind w:left="4320" w:hanging="180"/>
      </w:pPr>
    </w:lvl>
    <w:lvl w:ilvl="6" w:tplc="C41034FE" w:tentative="1">
      <w:start w:val="1"/>
      <w:numFmt w:val="decimal"/>
      <w:lvlText w:val="%7."/>
      <w:lvlJc w:val="left"/>
      <w:pPr>
        <w:ind w:left="5040" w:hanging="360"/>
      </w:pPr>
    </w:lvl>
    <w:lvl w:ilvl="7" w:tplc="4EAA654C" w:tentative="1">
      <w:start w:val="1"/>
      <w:numFmt w:val="lowerLetter"/>
      <w:lvlText w:val="%8."/>
      <w:lvlJc w:val="left"/>
      <w:pPr>
        <w:ind w:left="5760" w:hanging="360"/>
      </w:pPr>
    </w:lvl>
    <w:lvl w:ilvl="8" w:tplc="81C4A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62AD"/>
    <w:multiLevelType w:val="hybridMultilevel"/>
    <w:tmpl w:val="A372F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38BA"/>
    <w:multiLevelType w:val="hybridMultilevel"/>
    <w:tmpl w:val="0C520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A91"/>
    <w:multiLevelType w:val="hybridMultilevel"/>
    <w:tmpl w:val="2272E4E2"/>
    <w:lvl w:ilvl="0" w:tplc="1A22121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2469D74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FCC23B06" w:tentative="1">
      <w:start w:val="1"/>
      <w:numFmt w:val="lowerRoman"/>
      <w:lvlText w:val="%3."/>
      <w:lvlJc w:val="right"/>
      <w:pPr>
        <w:ind w:left="2793" w:hanging="180"/>
      </w:pPr>
    </w:lvl>
    <w:lvl w:ilvl="3" w:tplc="D7EC24CE" w:tentative="1">
      <w:start w:val="1"/>
      <w:numFmt w:val="decimal"/>
      <w:lvlText w:val="%4."/>
      <w:lvlJc w:val="left"/>
      <w:pPr>
        <w:ind w:left="3513" w:hanging="360"/>
      </w:pPr>
    </w:lvl>
    <w:lvl w:ilvl="4" w:tplc="4B149634" w:tentative="1">
      <w:start w:val="1"/>
      <w:numFmt w:val="lowerLetter"/>
      <w:lvlText w:val="%5."/>
      <w:lvlJc w:val="left"/>
      <w:pPr>
        <w:ind w:left="4233" w:hanging="360"/>
      </w:pPr>
    </w:lvl>
    <w:lvl w:ilvl="5" w:tplc="DF0A422A" w:tentative="1">
      <w:start w:val="1"/>
      <w:numFmt w:val="lowerRoman"/>
      <w:lvlText w:val="%6."/>
      <w:lvlJc w:val="right"/>
      <w:pPr>
        <w:ind w:left="4953" w:hanging="180"/>
      </w:pPr>
    </w:lvl>
    <w:lvl w:ilvl="6" w:tplc="BF3C083C" w:tentative="1">
      <w:start w:val="1"/>
      <w:numFmt w:val="decimal"/>
      <w:lvlText w:val="%7."/>
      <w:lvlJc w:val="left"/>
      <w:pPr>
        <w:ind w:left="5673" w:hanging="360"/>
      </w:pPr>
    </w:lvl>
    <w:lvl w:ilvl="7" w:tplc="24CC0462" w:tentative="1">
      <w:start w:val="1"/>
      <w:numFmt w:val="lowerLetter"/>
      <w:lvlText w:val="%8."/>
      <w:lvlJc w:val="left"/>
      <w:pPr>
        <w:ind w:left="6393" w:hanging="360"/>
      </w:pPr>
    </w:lvl>
    <w:lvl w:ilvl="8" w:tplc="5D92466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F9337D0"/>
    <w:multiLevelType w:val="hybridMultilevel"/>
    <w:tmpl w:val="B6C885E6"/>
    <w:lvl w:ilvl="0" w:tplc="1ECA6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46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E6E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61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A2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8ED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2A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4D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4C0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6126"/>
    <w:multiLevelType w:val="hybridMultilevel"/>
    <w:tmpl w:val="7BA60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00D28"/>
    <w:multiLevelType w:val="hybridMultilevel"/>
    <w:tmpl w:val="2F94C0BA"/>
    <w:lvl w:ilvl="0" w:tplc="56EAAE5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E2FEA9A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BB409C8" w:tentative="1">
      <w:start w:val="1"/>
      <w:numFmt w:val="lowerRoman"/>
      <w:lvlText w:val="%3."/>
      <w:lvlJc w:val="right"/>
      <w:pPr>
        <w:ind w:left="2160" w:hanging="180"/>
      </w:pPr>
    </w:lvl>
    <w:lvl w:ilvl="3" w:tplc="7E44619A" w:tentative="1">
      <w:start w:val="1"/>
      <w:numFmt w:val="decimal"/>
      <w:lvlText w:val="%4."/>
      <w:lvlJc w:val="left"/>
      <w:pPr>
        <w:ind w:left="2880" w:hanging="360"/>
      </w:pPr>
    </w:lvl>
    <w:lvl w:ilvl="4" w:tplc="AA70408A" w:tentative="1">
      <w:start w:val="1"/>
      <w:numFmt w:val="lowerLetter"/>
      <w:lvlText w:val="%5."/>
      <w:lvlJc w:val="left"/>
      <w:pPr>
        <w:ind w:left="3600" w:hanging="360"/>
      </w:pPr>
    </w:lvl>
    <w:lvl w:ilvl="5" w:tplc="829C1500" w:tentative="1">
      <w:start w:val="1"/>
      <w:numFmt w:val="lowerRoman"/>
      <w:lvlText w:val="%6."/>
      <w:lvlJc w:val="right"/>
      <w:pPr>
        <w:ind w:left="4320" w:hanging="180"/>
      </w:pPr>
    </w:lvl>
    <w:lvl w:ilvl="6" w:tplc="280221E6" w:tentative="1">
      <w:start w:val="1"/>
      <w:numFmt w:val="decimal"/>
      <w:lvlText w:val="%7."/>
      <w:lvlJc w:val="left"/>
      <w:pPr>
        <w:ind w:left="5040" w:hanging="360"/>
      </w:pPr>
    </w:lvl>
    <w:lvl w:ilvl="7" w:tplc="CC2086E2" w:tentative="1">
      <w:start w:val="1"/>
      <w:numFmt w:val="lowerLetter"/>
      <w:lvlText w:val="%8."/>
      <w:lvlJc w:val="left"/>
      <w:pPr>
        <w:ind w:left="5760" w:hanging="360"/>
      </w:pPr>
    </w:lvl>
    <w:lvl w:ilvl="8" w:tplc="EEF27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078C1"/>
    <w:multiLevelType w:val="hybridMultilevel"/>
    <w:tmpl w:val="C93452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0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4446"/>
    <w:rsid w:val="00004E0C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35014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36E2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5081"/>
    <w:rsid w:val="000A6721"/>
    <w:rsid w:val="000A6BA6"/>
    <w:rsid w:val="000A75FF"/>
    <w:rsid w:val="000A7BF0"/>
    <w:rsid w:val="000B0097"/>
    <w:rsid w:val="000B101F"/>
    <w:rsid w:val="000B1F4B"/>
    <w:rsid w:val="000B2250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4BD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5D78"/>
    <w:rsid w:val="00166E8B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45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3BF8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5E29"/>
    <w:rsid w:val="001D6AF4"/>
    <w:rsid w:val="001D6F48"/>
    <w:rsid w:val="001E0CC1"/>
    <w:rsid w:val="001E1C10"/>
    <w:rsid w:val="001E2B3E"/>
    <w:rsid w:val="001E2E9B"/>
    <w:rsid w:val="001E39C3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1EB0"/>
    <w:rsid w:val="00232BED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3A68"/>
    <w:rsid w:val="002542A8"/>
    <w:rsid w:val="0025603E"/>
    <w:rsid w:val="002572CD"/>
    <w:rsid w:val="0025765E"/>
    <w:rsid w:val="00260A11"/>
    <w:rsid w:val="00261316"/>
    <w:rsid w:val="0026169A"/>
    <w:rsid w:val="00262763"/>
    <w:rsid w:val="00263639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5C55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54CB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0B98"/>
    <w:rsid w:val="002B1941"/>
    <w:rsid w:val="002B261C"/>
    <w:rsid w:val="002B2BEE"/>
    <w:rsid w:val="002B35C5"/>
    <w:rsid w:val="002B387F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0D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497"/>
    <w:rsid w:val="002E7CBB"/>
    <w:rsid w:val="002F1F28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28C6"/>
    <w:rsid w:val="00312FAC"/>
    <w:rsid w:val="00314718"/>
    <w:rsid w:val="00314875"/>
    <w:rsid w:val="0031488A"/>
    <w:rsid w:val="00314DC6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3315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B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4AA"/>
    <w:rsid w:val="003E6CA0"/>
    <w:rsid w:val="003F1F41"/>
    <w:rsid w:val="003F2FDE"/>
    <w:rsid w:val="003F330B"/>
    <w:rsid w:val="003F6FDF"/>
    <w:rsid w:val="003F7DA0"/>
    <w:rsid w:val="00400D04"/>
    <w:rsid w:val="004016F5"/>
    <w:rsid w:val="0040235D"/>
    <w:rsid w:val="00402B07"/>
    <w:rsid w:val="004045AA"/>
    <w:rsid w:val="004048FD"/>
    <w:rsid w:val="0040549A"/>
    <w:rsid w:val="00405CC9"/>
    <w:rsid w:val="00405FDA"/>
    <w:rsid w:val="004063D0"/>
    <w:rsid w:val="0040711E"/>
    <w:rsid w:val="00407D67"/>
    <w:rsid w:val="00407D6C"/>
    <w:rsid w:val="00412450"/>
    <w:rsid w:val="00412CD1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1B77"/>
    <w:rsid w:val="00433677"/>
    <w:rsid w:val="0043384D"/>
    <w:rsid w:val="004340D5"/>
    <w:rsid w:val="00434880"/>
    <w:rsid w:val="00434A21"/>
    <w:rsid w:val="0043526D"/>
    <w:rsid w:val="00435D30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6CD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7A5"/>
    <w:rsid w:val="00493B43"/>
    <w:rsid w:val="00494EB1"/>
    <w:rsid w:val="00495AD7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4ED2"/>
    <w:rsid w:val="004A7536"/>
    <w:rsid w:val="004A77B0"/>
    <w:rsid w:val="004B08A9"/>
    <w:rsid w:val="004B109A"/>
    <w:rsid w:val="004B1CED"/>
    <w:rsid w:val="004B3448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9E4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643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27525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5799A"/>
    <w:rsid w:val="00557BCC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C0B"/>
    <w:rsid w:val="00573F55"/>
    <w:rsid w:val="00575EB8"/>
    <w:rsid w:val="0057613A"/>
    <w:rsid w:val="0057693E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1648"/>
    <w:rsid w:val="00603148"/>
    <w:rsid w:val="00606FC7"/>
    <w:rsid w:val="00610456"/>
    <w:rsid w:val="0061053A"/>
    <w:rsid w:val="00611473"/>
    <w:rsid w:val="00611B36"/>
    <w:rsid w:val="00611E67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6E"/>
    <w:rsid w:val="00631ED4"/>
    <w:rsid w:val="006320E0"/>
    <w:rsid w:val="00633BC7"/>
    <w:rsid w:val="00633C24"/>
    <w:rsid w:val="00635015"/>
    <w:rsid w:val="00635174"/>
    <w:rsid w:val="00635AC7"/>
    <w:rsid w:val="00635E9C"/>
    <w:rsid w:val="006374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A14"/>
    <w:rsid w:val="00655C2F"/>
    <w:rsid w:val="00655C57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3FC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E77E2"/>
    <w:rsid w:val="006F0953"/>
    <w:rsid w:val="006F0967"/>
    <w:rsid w:val="006F0DE2"/>
    <w:rsid w:val="006F11BD"/>
    <w:rsid w:val="006F159A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47FD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5045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A21"/>
    <w:rsid w:val="00764D4B"/>
    <w:rsid w:val="0076670C"/>
    <w:rsid w:val="0076690F"/>
    <w:rsid w:val="007670F8"/>
    <w:rsid w:val="007671D4"/>
    <w:rsid w:val="00770A85"/>
    <w:rsid w:val="007737EF"/>
    <w:rsid w:val="00773C8C"/>
    <w:rsid w:val="00773DC9"/>
    <w:rsid w:val="0077572E"/>
    <w:rsid w:val="00776189"/>
    <w:rsid w:val="00776A7B"/>
    <w:rsid w:val="00777BE4"/>
    <w:rsid w:val="00777F55"/>
    <w:rsid w:val="0078031B"/>
    <w:rsid w:val="007803D0"/>
    <w:rsid w:val="007830A8"/>
    <w:rsid w:val="00784F44"/>
    <w:rsid w:val="00785842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32E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3EEE"/>
    <w:rsid w:val="007D4F33"/>
    <w:rsid w:val="007D52CA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1907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4CB9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5C16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1139"/>
    <w:rsid w:val="0087134E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40FD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0D49"/>
    <w:rsid w:val="008E27E9"/>
    <w:rsid w:val="008E2A0F"/>
    <w:rsid w:val="008E3F05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136"/>
    <w:rsid w:val="009018CF"/>
    <w:rsid w:val="00901C8D"/>
    <w:rsid w:val="00902EB9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4224"/>
    <w:rsid w:val="0092505A"/>
    <w:rsid w:val="009250C4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397"/>
    <w:rsid w:val="009445C9"/>
    <w:rsid w:val="00945631"/>
    <w:rsid w:val="00945AE9"/>
    <w:rsid w:val="00945E23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A66CE"/>
    <w:rsid w:val="009B0152"/>
    <w:rsid w:val="009B04D6"/>
    <w:rsid w:val="009B061C"/>
    <w:rsid w:val="009B2C91"/>
    <w:rsid w:val="009B3096"/>
    <w:rsid w:val="009B3DC4"/>
    <w:rsid w:val="009B536C"/>
    <w:rsid w:val="009B5C19"/>
    <w:rsid w:val="009B5EEC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6FA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2779B"/>
    <w:rsid w:val="00A30F9A"/>
    <w:rsid w:val="00A3136F"/>
    <w:rsid w:val="00A3237A"/>
    <w:rsid w:val="00A32D44"/>
    <w:rsid w:val="00A34D0C"/>
    <w:rsid w:val="00A34D76"/>
    <w:rsid w:val="00A365D0"/>
    <w:rsid w:val="00A37645"/>
    <w:rsid w:val="00A402B8"/>
    <w:rsid w:val="00A4043E"/>
    <w:rsid w:val="00A4264A"/>
    <w:rsid w:val="00A437D9"/>
    <w:rsid w:val="00A438F6"/>
    <w:rsid w:val="00A43B7C"/>
    <w:rsid w:val="00A43C16"/>
    <w:rsid w:val="00A4422A"/>
    <w:rsid w:val="00A443A6"/>
    <w:rsid w:val="00A450C1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2DD6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4D9"/>
    <w:rsid w:val="00A837FE"/>
    <w:rsid w:val="00A85357"/>
    <w:rsid w:val="00A871E5"/>
    <w:rsid w:val="00A87396"/>
    <w:rsid w:val="00A902DD"/>
    <w:rsid w:val="00A91617"/>
    <w:rsid w:val="00A919AC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0F07"/>
    <w:rsid w:val="00AB113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56A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B78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4CB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AF7B28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69A3"/>
    <w:rsid w:val="00B17FAB"/>
    <w:rsid w:val="00B21221"/>
    <w:rsid w:val="00B22C5F"/>
    <w:rsid w:val="00B230A3"/>
    <w:rsid w:val="00B23487"/>
    <w:rsid w:val="00B23687"/>
    <w:rsid w:val="00B25710"/>
    <w:rsid w:val="00B25D89"/>
    <w:rsid w:val="00B27B03"/>
    <w:rsid w:val="00B31160"/>
    <w:rsid w:val="00B31B62"/>
    <w:rsid w:val="00B3208E"/>
    <w:rsid w:val="00B328C1"/>
    <w:rsid w:val="00B32E06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56FB6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1D84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018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D3FBE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0AE4"/>
    <w:rsid w:val="00C34B40"/>
    <w:rsid w:val="00C35836"/>
    <w:rsid w:val="00C3599A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6C77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87439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17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502D"/>
    <w:rsid w:val="00D06E88"/>
    <w:rsid w:val="00D11E8B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53"/>
    <w:rsid w:val="00D366E4"/>
    <w:rsid w:val="00D36C19"/>
    <w:rsid w:val="00D374D5"/>
    <w:rsid w:val="00D40D80"/>
    <w:rsid w:val="00D411D5"/>
    <w:rsid w:val="00D41BAA"/>
    <w:rsid w:val="00D423AC"/>
    <w:rsid w:val="00D42A7A"/>
    <w:rsid w:val="00D44B15"/>
    <w:rsid w:val="00D44DC6"/>
    <w:rsid w:val="00D476EA"/>
    <w:rsid w:val="00D50AA5"/>
    <w:rsid w:val="00D50EA4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0A5C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460C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3670"/>
    <w:rsid w:val="00DE5B0F"/>
    <w:rsid w:val="00DE684D"/>
    <w:rsid w:val="00DE79FA"/>
    <w:rsid w:val="00DE7EF8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447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5400"/>
    <w:rsid w:val="00E65617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0705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036"/>
    <w:rsid w:val="00EA7415"/>
    <w:rsid w:val="00EB0062"/>
    <w:rsid w:val="00EB0433"/>
    <w:rsid w:val="00EB18FB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0448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1B8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4E5F"/>
    <w:rsid w:val="00F55335"/>
    <w:rsid w:val="00F55CF7"/>
    <w:rsid w:val="00F56340"/>
    <w:rsid w:val="00F56FA8"/>
    <w:rsid w:val="00F572AA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87D2D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25"/>
    <w:rsid w:val="00FB27F1"/>
    <w:rsid w:val="00FB4C6F"/>
    <w:rsid w:val="00FB52A0"/>
    <w:rsid w:val="00FB76CC"/>
    <w:rsid w:val="00FC34DF"/>
    <w:rsid w:val="00FC547C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4DD8"/>
    <w:rsid w:val="00FF62F4"/>
    <w:rsid w:val="00FF6519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D6528"/>
  <w15:docId w15:val="{ADB832D9-99A8-4E3B-9197-EC71EF6E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Zkladntext">
    <w:name w:val="Body Text"/>
    <w:basedOn w:val="Normlny"/>
    <w:link w:val="ZkladntextChar"/>
    <w:rsid w:val="00186A45"/>
    <w:pPr>
      <w:tabs>
        <w:tab w:val="clear" w:pos="567"/>
      </w:tabs>
      <w:spacing w:line="240" w:lineRule="auto"/>
    </w:pPr>
    <w:rPr>
      <w:i/>
      <w:color w:val="008000"/>
      <w:lang w:val="en-GB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186A45"/>
    <w:rPr>
      <w:rFonts w:eastAsia="Times New Roman"/>
      <w:i/>
      <w:color w:val="008000"/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D0502D"/>
    <w:pPr>
      <w:ind w:left="720"/>
      <w:contextualSpacing/>
    </w:pPr>
    <w:rPr>
      <w:lang w:val="en-GB" w:eastAsia="en-US" w:bidi="ar-SA"/>
    </w:rPr>
  </w:style>
  <w:style w:type="paragraph" w:styleId="Hlavika">
    <w:name w:val="header"/>
    <w:basedOn w:val="Normlny"/>
    <w:link w:val="HlavikaChar1"/>
    <w:uiPriority w:val="99"/>
    <w:unhideWhenUsed/>
    <w:rsid w:val="009B04D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9B04D6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9B04D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9B04D6"/>
    <w:rPr>
      <w:rFonts w:eastAsia="Times New Roman"/>
      <w:sz w:val="22"/>
      <w:lang w:val="sk-SK" w:eastAsia="sk-SK" w:bidi="sk-SK"/>
    </w:rPr>
  </w:style>
  <w:style w:type="paragraph" w:styleId="Textbubliny">
    <w:name w:val="Balloon Text"/>
    <w:basedOn w:val="Normlny"/>
    <w:link w:val="TextbublinyChar1"/>
    <w:uiPriority w:val="99"/>
    <w:rsid w:val="00834C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834CB9"/>
    <w:rPr>
      <w:rFonts w:ascii="Segoe UI" w:eastAsia="Times New Roman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UF23SEN75TND-1566521749-125412</_dlc_DocId>
    <_dlc_DocIdUrl xmlns="672674a2-18c8-4fd7-bde8-8b528547dd36">
      <Url>https://artmed.sharepoint.com/sites/R/_layouts/15/DocIdRedir.aspx?ID=UF23SEN75TND-1566521749-125412</Url>
      <Description>UF23SEN75TND-1566521749-125412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4" ma:contentTypeDescription="Umožňuje vytvoriť nový dokument." ma:contentTypeScope="" ma:versionID="f91daaf9f749d036f7f857e04e51e77d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c41775904497d2582aba00685643d8e9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4B524-6866-4386-961C-5FA80D783749}">
  <ds:schemaRefs>
    <ds:schemaRef ds:uri="http://purl.org/dc/terms/"/>
    <ds:schemaRef ds:uri="adfeb669-cd5d-42ed-b743-e0888bc4c91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72674a2-18c8-4fd7-bde8-8b528547dd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D53462-C06B-4E97-ACF5-1A68F68B5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014C2-A9E8-415B-A72F-357261EB3C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E9BA30-DA16-4552-9A0F-58916A6206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EA0EE6-A816-4E26-8874-5009271C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1823</Words>
  <Characters>12070</Characters>
  <Application>Microsoft Office Word</Application>
  <DocSecurity>0</DocSecurity>
  <Lines>100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13866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Hudecová, Martina</cp:lastModifiedBy>
  <cp:revision>4</cp:revision>
  <cp:lastPrinted>2019-06-11T20:08:00Z</cp:lastPrinted>
  <dcterms:created xsi:type="dcterms:W3CDTF">2020-09-18T09:06:00Z</dcterms:created>
  <dcterms:modified xsi:type="dcterms:W3CDTF">2020-09-21T06:48:00Z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  <property fmtid="{D5CDD505-2E9C-101B-9397-08002B2CF9AE}" pid="45" name="ContentTypeId">
    <vt:lpwstr>0x0101003C44C3DB222EE84B8976703C4F7B1F5E</vt:lpwstr>
  </property>
  <property fmtid="{D5CDD505-2E9C-101B-9397-08002B2CF9AE}" pid="46" name="_dlc_DocIdItemGuid">
    <vt:lpwstr>6878a331-2189-44e3-b70c-2790382c983b</vt:lpwstr>
  </property>
</Properties>
</file>