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E4153C" w14:textId="77777777" w:rsidR="00D62B1B" w:rsidRPr="00C60ED1" w:rsidRDefault="00D62B1B">
      <w:pPr>
        <w:tabs>
          <w:tab w:val="left" w:pos="560"/>
        </w:tabs>
        <w:ind w:right="98"/>
        <w:jc w:val="center"/>
        <w:rPr>
          <w:b/>
          <w:sz w:val="22"/>
          <w:szCs w:val="22"/>
          <w:lang w:val="sk-SK"/>
        </w:rPr>
      </w:pPr>
      <w:r w:rsidRPr="00C60ED1">
        <w:rPr>
          <w:b/>
          <w:caps/>
          <w:sz w:val="22"/>
          <w:szCs w:val="22"/>
          <w:lang w:val="sk-SK"/>
        </w:rPr>
        <w:t>Súhrn charakteristických vlastností lieku</w:t>
      </w:r>
    </w:p>
    <w:p w14:paraId="2F0F611C" w14:textId="77777777" w:rsidR="00D62B1B" w:rsidRPr="00C60ED1" w:rsidRDefault="00D62B1B" w:rsidP="00C50996">
      <w:pPr>
        <w:tabs>
          <w:tab w:val="left" w:pos="284"/>
          <w:tab w:val="left" w:pos="426"/>
        </w:tabs>
        <w:rPr>
          <w:sz w:val="22"/>
          <w:szCs w:val="22"/>
          <w:lang w:val="sk-SK"/>
        </w:rPr>
      </w:pPr>
    </w:p>
    <w:p w14:paraId="37ECB417" w14:textId="77777777" w:rsidR="00B136C4" w:rsidRPr="00C60ED1" w:rsidRDefault="00B136C4" w:rsidP="00C50996">
      <w:pPr>
        <w:tabs>
          <w:tab w:val="left" w:pos="284"/>
          <w:tab w:val="left" w:pos="426"/>
        </w:tabs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▼Tento liek je predmetom ďalšieho monitorovania. To umožní rýchle získanie nových informácií o bezpečnosti. Od zdravotníckych pracovníkov sa vyžaduje, aby hlásili akékoľvek podozrenia na nežiaduce reakcie. Informácie o tom, ako hlásiť nežiaduce reakcie, nájdete v časti 4.8.</w:t>
      </w:r>
    </w:p>
    <w:p w14:paraId="0EC5B4EB" w14:textId="77777777" w:rsidR="00B136C4" w:rsidRPr="00C60ED1" w:rsidRDefault="00B136C4" w:rsidP="00C50996">
      <w:pPr>
        <w:tabs>
          <w:tab w:val="left" w:pos="284"/>
          <w:tab w:val="left" w:pos="426"/>
        </w:tabs>
        <w:rPr>
          <w:sz w:val="22"/>
          <w:szCs w:val="22"/>
          <w:lang w:val="sk-SK"/>
        </w:rPr>
      </w:pPr>
    </w:p>
    <w:p w14:paraId="410C5634" w14:textId="77777777" w:rsidR="00194526" w:rsidRPr="00C60ED1" w:rsidRDefault="00194526" w:rsidP="00C50996">
      <w:pPr>
        <w:keepNext/>
        <w:tabs>
          <w:tab w:val="left" w:pos="284"/>
          <w:tab w:val="left" w:pos="426"/>
        </w:tabs>
        <w:rPr>
          <w:sz w:val="22"/>
          <w:szCs w:val="22"/>
          <w:lang w:val="sk-SK"/>
        </w:rPr>
      </w:pPr>
    </w:p>
    <w:p w14:paraId="7C0D3F7E" w14:textId="5795EF7B" w:rsidR="00D62B1B" w:rsidRPr="00C60ED1" w:rsidRDefault="00D62B1B" w:rsidP="00C50996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C60ED1">
        <w:rPr>
          <w:b/>
          <w:sz w:val="22"/>
          <w:szCs w:val="22"/>
          <w:lang w:val="sk-SK"/>
        </w:rPr>
        <w:t>1.</w:t>
      </w:r>
      <w:r w:rsidRPr="00C60ED1">
        <w:rPr>
          <w:b/>
          <w:sz w:val="22"/>
          <w:szCs w:val="22"/>
          <w:lang w:val="sk-SK"/>
        </w:rPr>
        <w:tab/>
        <w:t>NÁZOV LIEKU</w:t>
      </w:r>
    </w:p>
    <w:p w14:paraId="1153D16D" w14:textId="77777777" w:rsidR="00194526" w:rsidRPr="00C60ED1" w:rsidRDefault="00194526" w:rsidP="00C50996">
      <w:pPr>
        <w:keepNext/>
        <w:tabs>
          <w:tab w:val="left" w:pos="426"/>
        </w:tabs>
        <w:rPr>
          <w:sz w:val="22"/>
          <w:szCs w:val="22"/>
          <w:lang w:val="sk-SK"/>
        </w:rPr>
      </w:pPr>
    </w:p>
    <w:p w14:paraId="2349BA30" w14:textId="77777777" w:rsidR="00D62B1B" w:rsidRPr="00C60ED1" w:rsidRDefault="00D62B1B" w:rsidP="00C50996">
      <w:pPr>
        <w:tabs>
          <w:tab w:val="left" w:pos="426"/>
        </w:tabs>
        <w:rPr>
          <w:sz w:val="22"/>
          <w:szCs w:val="22"/>
          <w:lang w:val="sk-SK"/>
        </w:rPr>
      </w:pPr>
      <w:proofErr w:type="spellStart"/>
      <w:r w:rsidRPr="00C60ED1">
        <w:rPr>
          <w:sz w:val="22"/>
          <w:szCs w:val="22"/>
          <w:lang w:val="sk-SK"/>
        </w:rPr>
        <w:t>Orfiril</w:t>
      </w:r>
      <w:proofErr w:type="spellEnd"/>
      <w:r w:rsidRPr="00C60ED1">
        <w:rPr>
          <w:sz w:val="22"/>
          <w:szCs w:val="22"/>
          <w:lang w:val="sk-SK"/>
        </w:rPr>
        <w:t xml:space="preserve"> 150</w:t>
      </w:r>
    </w:p>
    <w:p w14:paraId="5E788F30" w14:textId="77777777" w:rsidR="00D62B1B" w:rsidRPr="00C60ED1" w:rsidRDefault="00D62B1B" w:rsidP="00C50996">
      <w:pPr>
        <w:tabs>
          <w:tab w:val="left" w:pos="426"/>
        </w:tabs>
        <w:rPr>
          <w:sz w:val="22"/>
          <w:szCs w:val="22"/>
          <w:lang w:val="sk-SK"/>
        </w:rPr>
      </w:pPr>
      <w:proofErr w:type="spellStart"/>
      <w:r w:rsidRPr="00C60ED1">
        <w:rPr>
          <w:sz w:val="22"/>
          <w:szCs w:val="22"/>
          <w:lang w:val="sk-SK"/>
        </w:rPr>
        <w:t>Orfiril</w:t>
      </w:r>
      <w:proofErr w:type="spellEnd"/>
      <w:r w:rsidRPr="00C60ED1">
        <w:rPr>
          <w:sz w:val="22"/>
          <w:szCs w:val="22"/>
          <w:lang w:val="sk-SK"/>
        </w:rPr>
        <w:t xml:space="preserve"> 300</w:t>
      </w:r>
    </w:p>
    <w:p w14:paraId="521A16C7" w14:textId="77777777" w:rsidR="00D62B1B" w:rsidRPr="00C60ED1" w:rsidRDefault="00D62B1B" w:rsidP="00C50996">
      <w:pPr>
        <w:tabs>
          <w:tab w:val="left" w:pos="426"/>
        </w:tabs>
        <w:rPr>
          <w:sz w:val="22"/>
          <w:szCs w:val="22"/>
          <w:lang w:val="sk-SK"/>
        </w:rPr>
      </w:pPr>
      <w:proofErr w:type="spellStart"/>
      <w:r w:rsidRPr="00C60ED1">
        <w:rPr>
          <w:sz w:val="22"/>
          <w:szCs w:val="22"/>
          <w:lang w:val="sk-SK"/>
        </w:rPr>
        <w:t>Orfiril</w:t>
      </w:r>
      <w:proofErr w:type="spellEnd"/>
      <w:r w:rsidRPr="00C60ED1">
        <w:rPr>
          <w:sz w:val="22"/>
          <w:szCs w:val="22"/>
          <w:lang w:val="sk-SK"/>
        </w:rPr>
        <w:t xml:space="preserve"> 600</w:t>
      </w:r>
    </w:p>
    <w:p w14:paraId="00D948A2" w14:textId="0C9BFF37" w:rsidR="00194526" w:rsidRPr="00C60ED1" w:rsidRDefault="00194526" w:rsidP="00C50996">
      <w:pPr>
        <w:tabs>
          <w:tab w:val="left" w:pos="426"/>
        </w:tabs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mg </w:t>
      </w:r>
      <w:proofErr w:type="spellStart"/>
      <w:r w:rsidRPr="00C60ED1">
        <w:rPr>
          <w:sz w:val="22"/>
          <w:szCs w:val="22"/>
          <w:lang w:val="sk-SK"/>
        </w:rPr>
        <w:t>gastrorezistentné</w:t>
      </w:r>
      <w:proofErr w:type="spellEnd"/>
      <w:r w:rsidRPr="00C60ED1">
        <w:rPr>
          <w:sz w:val="22"/>
          <w:szCs w:val="22"/>
          <w:lang w:val="sk-SK"/>
        </w:rPr>
        <w:t xml:space="preserve"> tablety</w:t>
      </w:r>
    </w:p>
    <w:p w14:paraId="4DE8B12D" w14:textId="77777777" w:rsidR="00D62B1B" w:rsidRPr="00C60ED1" w:rsidRDefault="00D62B1B" w:rsidP="00C50996">
      <w:pPr>
        <w:tabs>
          <w:tab w:val="left" w:pos="426"/>
        </w:tabs>
        <w:rPr>
          <w:sz w:val="22"/>
          <w:szCs w:val="22"/>
          <w:lang w:val="sk-SK"/>
        </w:rPr>
      </w:pPr>
    </w:p>
    <w:p w14:paraId="72E1DFDD" w14:textId="77777777" w:rsidR="00D62B1B" w:rsidRPr="00C60ED1" w:rsidRDefault="00D62B1B" w:rsidP="00C50996">
      <w:pPr>
        <w:tabs>
          <w:tab w:val="left" w:pos="426"/>
        </w:tabs>
        <w:rPr>
          <w:sz w:val="22"/>
          <w:szCs w:val="22"/>
          <w:lang w:val="sk-SK"/>
        </w:rPr>
      </w:pPr>
    </w:p>
    <w:p w14:paraId="5E561D4A" w14:textId="77777777" w:rsidR="00D62B1B" w:rsidRPr="00C60ED1" w:rsidRDefault="00D62B1B" w:rsidP="00C50996">
      <w:pPr>
        <w:keepNext/>
        <w:tabs>
          <w:tab w:val="left" w:pos="567"/>
        </w:tabs>
        <w:rPr>
          <w:sz w:val="22"/>
          <w:szCs w:val="22"/>
          <w:lang w:val="sk-SK"/>
        </w:rPr>
      </w:pPr>
      <w:r w:rsidRPr="00C60ED1">
        <w:rPr>
          <w:b/>
          <w:sz w:val="22"/>
          <w:szCs w:val="22"/>
          <w:lang w:val="sk-SK"/>
        </w:rPr>
        <w:t>2.</w:t>
      </w:r>
      <w:r w:rsidRPr="00C60ED1">
        <w:rPr>
          <w:b/>
          <w:sz w:val="22"/>
          <w:szCs w:val="22"/>
          <w:lang w:val="sk-SK"/>
        </w:rPr>
        <w:tab/>
        <w:t>KVALITATÍVNE A KVANTITATÍVNE ZLOŽENIE</w:t>
      </w:r>
    </w:p>
    <w:p w14:paraId="28D1D897" w14:textId="77777777" w:rsidR="00194526" w:rsidRPr="00C60ED1" w:rsidRDefault="00194526" w:rsidP="00C50996">
      <w:pPr>
        <w:keepNext/>
        <w:tabs>
          <w:tab w:val="left" w:pos="426"/>
        </w:tabs>
        <w:rPr>
          <w:sz w:val="22"/>
          <w:szCs w:val="22"/>
          <w:lang w:val="sk-SK"/>
        </w:rPr>
      </w:pPr>
    </w:p>
    <w:p w14:paraId="28AE9167" w14:textId="77777777" w:rsidR="00D62B1B" w:rsidRPr="00C60ED1" w:rsidRDefault="00D62B1B" w:rsidP="00C50996">
      <w:pPr>
        <w:tabs>
          <w:tab w:val="left" w:pos="426"/>
        </w:tabs>
        <w:rPr>
          <w:i/>
          <w:sz w:val="22"/>
          <w:szCs w:val="22"/>
          <w:lang w:val="sk-SK"/>
        </w:rPr>
      </w:pPr>
      <w:proofErr w:type="spellStart"/>
      <w:r w:rsidRPr="00C60ED1">
        <w:rPr>
          <w:i/>
          <w:sz w:val="22"/>
          <w:szCs w:val="22"/>
          <w:lang w:val="sk-SK"/>
        </w:rPr>
        <w:t>Orfiril</w:t>
      </w:r>
      <w:proofErr w:type="spellEnd"/>
      <w:r w:rsidRPr="00C60ED1">
        <w:rPr>
          <w:i/>
          <w:sz w:val="22"/>
          <w:szCs w:val="22"/>
          <w:lang w:val="sk-SK"/>
        </w:rPr>
        <w:t xml:space="preserve"> 150</w:t>
      </w:r>
    </w:p>
    <w:p w14:paraId="4C0CD703" w14:textId="3D1DA343" w:rsidR="00D62B1B" w:rsidRPr="00C60ED1" w:rsidRDefault="007F1D63" w:rsidP="00C50996">
      <w:pPr>
        <w:tabs>
          <w:tab w:val="left" w:pos="426"/>
        </w:tabs>
        <w:outlineLvl w:val="0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1 </w:t>
      </w:r>
      <w:proofErr w:type="spellStart"/>
      <w:r w:rsidR="00910791" w:rsidRPr="00C60ED1">
        <w:rPr>
          <w:sz w:val="22"/>
          <w:szCs w:val="22"/>
          <w:lang w:val="sk-SK"/>
        </w:rPr>
        <w:t>gas</w:t>
      </w:r>
      <w:r w:rsidR="007967AE" w:rsidRPr="00C60ED1">
        <w:rPr>
          <w:sz w:val="22"/>
          <w:szCs w:val="22"/>
          <w:lang w:val="sk-SK"/>
        </w:rPr>
        <w:t>t</w:t>
      </w:r>
      <w:r w:rsidR="00910791" w:rsidRPr="00C60ED1">
        <w:rPr>
          <w:sz w:val="22"/>
          <w:szCs w:val="22"/>
          <w:lang w:val="sk-SK"/>
        </w:rPr>
        <w:t>rorezistentná</w:t>
      </w:r>
      <w:proofErr w:type="spellEnd"/>
      <w:r w:rsidR="00910791" w:rsidRPr="00C60ED1">
        <w:rPr>
          <w:sz w:val="22"/>
          <w:szCs w:val="22"/>
          <w:lang w:val="sk-SK"/>
        </w:rPr>
        <w:t xml:space="preserve"> tableta</w:t>
      </w:r>
      <w:r w:rsidR="00D62B1B" w:rsidRPr="00C60ED1">
        <w:rPr>
          <w:sz w:val="22"/>
          <w:szCs w:val="22"/>
          <w:lang w:val="sk-SK"/>
        </w:rPr>
        <w:t xml:space="preserve"> obsahuje 150 mg </w:t>
      </w:r>
      <w:r w:rsidR="004B42A1" w:rsidRPr="00C60ED1">
        <w:rPr>
          <w:sz w:val="22"/>
          <w:szCs w:val="22"/>
          <w:lang w:val="sk-SK"/>
        </w:rPr>
        <w:t>v</w:t>
      </w:r>
      <w:r w:rsidR="004B42A1" w:rsidRPr="00C60ED1">
        <w:rPr>
          <w:sz w:val="22"/>
          <w:szCs w:val="22"/>
          <w:lang w:val="sk-SK" w:eastAsia="sk-SK"/>
        </w:rPr>
        <w:t>alpr</w:t>
      </w:r>
      <w:r w:rsidR="002513E8" w:rsidRPr="00C60ED1">
        <w:rPr>
          <w:sz w:val="22"/>
          <w:szCs w:val="22"/>
          <w:lang w:val="sk-SK" w:eastAsia="sk-SK"/>
        </w:rPr>
        <w:t>oát</w:t>
      </w:r>
      <w:r w:rsidR="004B42A1" w:rsidRPr="00C60ED1">
        <w:rPr>
          <w:sz w:val="22"/>
          <w:szCs w:val="22"/>
          <w:lang w:val="sk-SK" w:eastAsia="sk-SK"/>
        </w:rPr>
        <w:t>u sodného</w:t>
      </w:r>
    </w:p>
    <w:p w14:paraId="23A16994" w14:textId="77777777" w:rsidR="00D62B1B" w:rsidRPr="00C60ED1" w:rsidRDefault="00D62B1B" w:rsidP="00C50996">
      <w:pPr>
        <w:tabs>
          <w:tab w:val="left" w:pos="426"/>
        </w:tabs>
        <w:rPr>
          <w:sz w:val="22"/>
          <w:szCs w:val="22"/>
          <w:lang w:val="sk-SK"/>
        </w:rPr>
      </w:pPr>
    </w:p>
    <w:p w14:paraId="025C244B" w14:textId="77777777" w:rsidR="00D62B1B" w:rsidRPr="00C60ED1" w:rsidRDefault="00D62B1B" w:rsidP="00C50996">
      <w:pPr>
        <w:tabs>
          <w:tab w:val="left" w:pos="426"/>
        </w:tabs>
        <w:rPr>
          <w:i/>
          <w:sz w:val="22"/>
          <w:szCs w:val="22"/>
          <w:lang w:val="sk-SK"/>
        </w:rPr>
      </w:pPr>
      <w:proofErr w:type="spellStart"/>
      <w:r w:rsidRPr="00C60ED1">
        <w:rPr>
          <w:i/>
          <w:sz w:val="22"/>
          <w:szCs w:val="22"/>
          <w:lang w:val="sk-SK"/>
        </w:rPr>
        <w:t>Orfiril</w:t>
      </w:r>
      <w:proofErr w:type="spellEnd"/>
      <w:r w:rsidRPr="00C60ED1">
        <w:rPr>
          <w:i/>
          <w:sz w:val="22"/>
          <w:szCs w:val="22"/>
          <w:lang w:val="sk-SK"/>
        </w:rPr>
        <w:t xml:space="preserve"> 300</w:t>
      </w:r>
    </w:p>
    <w:p w14:paraId="23E8F656" w14:textId="350D1F60" w:rsidR="007F1D63" w:rsidRPr="00C60ED1" w:rsidRDefault="007F1D63" w:rsidP="00C50996">
      <w:pPr>
        <w:tabs>
          <w:tab w:val="left" w:pos="426"/>
        </w:tabs>
        <w:outlineLvl w:val="0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1 </w:t>
      </w:r>
      <w:proofErr w:type="spellStart"/>
      <w:r w:rsidR="00910791" w:rsidRPr="00C60ED1">
        <w:rPr>
          <w:sz w:val="22"/>
          <w:szCs w:val="22"/>
          <w:lang w:val="sk-SK"/>
        </w:rPr>
        <w:t>gas</w:t>
      </w:r>
      <w:r w:rsidR="007967AE" w:rsidRPr="00C60ED1">
        <w:rPr>
          <w:sz w:val="22"/>
          <w:szCs w:val="22"/>
          <w:lang w:val="sk-SK"/>
        </w:rPr>
        <w:t>t</w:t>
      </w:r>
      <w:r w:rsidR="00910791" w:rsidRPr="00C60ED1">
        <w:rPr>
          <w:sz w:val="22"/>
          <w:szCs w:val="22"/>
          <w:lang w:val="sk-SK"/>
        </w:rPr>
        <w:t>rorezistentná</w:t>
      </w:r>
      <w:proofErr w:type="spellEnd"/>
      <w:r w:rsidR="00910791" w:rsidRPr="00C60ED1">
        <w:rPr>
          <w:sz w:val="22"/>
          <w:szCs w:val="22"/>
          <w:lang w:val="sk-SK"/>
        </w:rPr>
        <w:t xml:space="preserve"> tableta</w:t>
      </w:r>
      <w:r w:rsidRPr="00C60ED1">
        <w:rPr>
          <w:sz w:val="22"/>
          <w:szCs w:val="22"/>
          <w:lang w:val="sk-SK"/>
        </w:rPr>
        <w:t xml:space="preserve"> obsahuje 300 mg </w:t>
      </w:r>
      <w:r w:rsidR="004B42A1" w:rsidRPr="00C60ED1">
        <w:rPr>
          <w:sz w:val="22"/>
          <w:szCs w:val="22"/>
          <w:lang w:val="sk-SK"/>
        </w:rPr>
        <w:t>v</w:t>
      </w:r>
      <w:r w:rsidR="004B42A1" w:rsidRPr="00C60ED1">
        <w:rPr>
          <w:sz w:val="22"/>
          <w:szCs w:val="22"/>
          <w:lang w:val="sk-SK" w:eastAsia="sk-SK"/>
        </w:rPr>
        <w:t>alpr</w:t>
      </w:r>
      <w:r w:rsidR="002513E8" w:rsidRPr="00C60ED1">
        <w:rPr>
          <w:sz w:val="22"/>
          <w:szCs w:val="22"/>
          <w:lang w:val="sk-SK" w:eastAsia="sk-SK"/>
        </w:rPr>
        <w:t>oát</w:t>
      </w:r>
      <w:r w:rsidR="004B42A1" w:rsidRPr="00C60ED1">
        <w:rPr>
          <w:sz w:val="22"/>
          <w:szCs w:val="22"/>
          <w:lang w:val="sk-SK" w:eastAsia="sk-SK"/>
        </w:rPr>
        <w:t>u sodného</w:t>
      </w:r>
      <w:r w:rsidRPr="00C60ED1">
        <w:rPr>
          <w:sz w:val="22"/>
          <w:szCs w:val="22"/>
          <w:lang w:val="sk-SK"/>
        </w:rPr>
        <w:t>.</w:t>
      </w:r>
    </w:p>
    <w:p w14:paraId="3B3F17B6" w14:textId="77777777" w:rsidR="007F1D63" w:rsidRPr="00C60ED1" w:rsidRDefault="007F1D63" w:rsidP="00C50996">
      <w:pPr>
        <w:tabs>
          <w:tab w:val="left" w:pos="426"/>
        </w:tabs>
        <w:outlineLvl w:val="0"/>
        <w:rPr>
          <w:sz w:val="22"/>
          <w:szCs w:val="22"/>
          <w:lang w:val="sk-SK"/>
        </w:rPr>
      </w:pPr>
    </w:p>
    <w:p w14:paraId="7E7D831F" w14:textId="77777777" w:rsidR="00D62B1B" w:rsidRPr="00C60ED1" w:rsidRDefault="00D62B1B" w:rsidP="00C50996">
      <w:pPr>
        <w:tabs>
          <w:tab w:val="left" w:pos="426"/>
        </w:tabs>
        <w:rPr>
          <w:i/>
          <w:sz w:val="22"/>
          <w:szCs w:val="22"/>
          <w:lang w:val="sk-SK"/>
        </w:rPr>
      </w:pPr>
      <w:proofErr w:type="spellStart"/>
      <w:r w:rsidRPr="00C60ED1">
        <w:rPr>
          <w:i/>
          <w:sz w:val="22"/>
          <w:szCs w:val="22"/>
          <w:lang w:val="sk-SK"/>
        </w:rPr>
        <w:t>Orfiril</w:t>
      </w:r>
      <w:proofErr w:type="spellEnd"/>
      <w:r w:rsidRPr="00C60ED1">
        <w:rPr>
          <w:i/>
          <w:sz w:val="22"/>
          <w:szCs w:val="22"/>
          <w:lang w:val="sk-SK"/>
        </w:rPr>
        <w:t xml:space="preserve"> 600</w:t>
      </w:r>
    </w:p>
    <w:p w14:paraId="301C2C95" w14:textId="53797E24" w:rsidR="007F1D63" w:rsidRPr="00C60ED1" w:rsidRDefault="007F1D63" w:rsidP="00C50996">
      <w:pPr>
        <w:tabs>
          <w:tab w:val="left" w:pos="426"/>
        </w:tabs>
        <w:outlineLvl w:val="0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1 </w:t>
      </w:r>
      <w:proofErr w:type="spellStart"/>
      <w:r w:rsidR="00910791" w:rsidRPr="00C60ED1">
        <w:rPr>
          <w:sz w:val="22"/>
          <w:szCs w:val="22"/>
          <w:lang w:val="sk-SK"/>
        </w:rPr>
        <w:t>gas</w:t>
      </w:r>
      <w:r w:rsidR="007967AE" w:rsidRPr="00C60ED1">
        <w:rPr>
          <w:sz w:val="22"/>
          <w:szCs w:val="22"/>
          <w:lang w:val="sk-SK"/>
        </w:rPr>
        <w:t>t</w:t>
      </w:r>
      <w:r w:rsidR="00910791" w:rsidRPr="00C60ED1">
        <w:rPr>
          <w:sz w:val="22"/>
          <w:szCs w:val="22"/>
          <w:lang w:val="sk-SK"/>
        </w:rPr>
        <w:t>rorezistentná</w:t>
      </w:r>
      <w:proofErr w:type="spellEnd"/>
      <w:r w:rsidR="00910791" w:rsidRPr="00C60ED1">
        <w:rPr>
          <w:sz w:val="22"/>
          <w:szCs w:val="22"/>
          <w:lang w:val="sk-SK"/>
        </w:rPr>
        <w:t xml:space="preserve"> tableta</w:t>
      </w:r>
      <w:r w:rsidRPr="00C60ED1">
        <w:rPr>
          <w:sz w:val="22"/>
          <w:szCs w:val="22"/>
          <w:lang w:val="sk-SK"/>
        </w:rPr>
        <w:t xml:space="preserve"> obsahuje 600 mg </w:t>
      </w:r>
      <w:r w:rsidR="004B42A1" w:rsidRPr="00C60ED1">
        <w:rPr>
          <w:sz w:val="22"/>
          <w:szCs w:val="22"/>
          <w:lang w:val="sk-SK"/>
        </w:rPr>
        <w:t>v</w:t>
      </w:r>
      <w:r w:rsidR="004B42A1" w:rsidRPr="00C60ED1">
        <w:rPr>
          <w:sz w:val="22"/>
          <w:szCs w:val="22"/>
          <w:lang w:val="sk-SK" w:eastAsia="sk-SK"/>
        </w:rPr>
        <w:t>alpr</w:t>
      </w:r>
      <w:r w:rsidR="002513E8" w:rsidRPr="00C60ED1">
        <w:rPr>
          <w:sz w:val="22"/>
          <w:szCs w:val="22"/>
          <w:lang w:val="sk-SK" w:eastAsia="sk-SK"/>
        </w:rPr>
        <w:t>oát</w:t>
      </w:r>
      <w:r w:rsidR="004B42A1" w:rsidRPr="00C60ED1">
        <w:rPr>
          <w:sz w:val="22"/>
          <w:szCs w:val="22"/>
          <w:lang w:val="sk-SK" w:eastAsia="sk-SK"/>
        </w:rPr>
        <w:t>u sodného</w:t>
      </w:r>
      <w:r w:rsidRPr="00C60ED1">
        <w:rPr>
          <w:sz w:val="22"/>
          <w:szCs w:val="22"/>
          <w:lang w:val="sk-SK"/>
        </w:rPr>
        <w:t>.</w:t>
      </w:r>
    </w:p>
    <w:p w14:paraId="4BC306E2" w14:textId="77777777" w:rsidR="00704A80" w:rsidRPr="00C60ED1" w:rsidRDefault="00704A80" w:rsidP="00C50996">
      <w:pPr>
        <w:tabs>
          <w:tab w:val="left" w:pos="426"/>
        </w:tabs>
        <w:outlineLvl w:val="0"/>
        <w:rPr>
          <w:sz w:val="22"/>
          <w:szCs w:val="22"/>
          <w:lang w:val="sk-SK"/>
        </w:rPr>
      </w:pPr>
    </w:p>
    <w:p w14:paraId="1220105C" w14:textId="35B46216" w:rsidR="002A1676" w:rsidRPr="00C60ED1" w:rsidRDefault="00704A80" w:rsidP="00C50996">
      <w:pPr>
        <w:tabs>
          <w:tab w:val="left" w:pos="426"/>
        </w:tabs>
        <w:rPr>
          <w:sz w:val="22"/>
          <w:szCs w:val="22"/>
          <w:lang w:val="sk-SK" w:eastAsia="en-US"/>
        </w:rPr>
      </w:pPr>
      <w:r w:rsidRPr="00C60ED1">
        <w:rPr>
          <w:sz w:val="22"/>
          <w:szCs w:val="22"/>
          <w:lang w:val="sk-SK" w:eastAsia="en-US"/>
        </w:rPr>
        <w:t>Úplný zoznam pomocných látok, pozri časť 6.1</w:t>
      </w:r>
      <w:r w:rsidR="002513E8" w:rsidRPr="00C60ED1">
        <w:rPr>
          <w:sz w:val="22"/>
          <w:szCs w:val="22"/>
          <w:lang w:val="sk-SK" w:eastAsia="en-US"/>
        </w:rPr>
        <w:t>.</w:t>
      </w:r>
    </w:p>
    <w:p w14:paraId="672FF419" w14:textId="77777777" w:rsidR="002513E8" w:rsidRPr="00C60ED1" w:rsidRDefault="002513E8" w:rsidP="00C50996">
      <w:pPr>
        <w:tabs>
          <w:tab w:val="left" w:pos="426"/>
        </w:tabs>
        <w:rPr>
          <w:b/>
          <w:sz w:val="22"/>
          <w:szCs w:val="22"/>
          <w:lang w:val="sk-SK"/>
        </w:rPr>
      </w:pPr>
    </w:p>
    <w:p w14:paraId="51BA57B0" w14:textId="77777777" w:rsidR="009F7839" w:rsidRPr="00C60ED1" w:rsidRDefault="009F7839" w:rsidP="00C50996">
      <w:pPr>
        <w:tabs>
          <w:tab w:val="left" w:pos="426"/>
        </w:tabs>
        <w:rPr>
          <w:sz w:val="22"/>
          <w:szCs w:val="22"/>
          <w:lang w:val="sk-SK"/>
        </w:rPr>
      </w:pPr>
    </w:p>
    <w:p w14:paraId="732060D3" w14:textId="77777777" w:rsidR="00D62B1B" w:rsidRPr="00C60ED1" w:rsidRDefault="00D62B1B" w:rsidP="00C5099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C60ED1">
        <w:rPr>
          <w:b/>
          <w:sz w:val="22"/>
          <w:szCs w:val="22"/>
          <w:lang w:val="sk-SK"/>
        </w:rPr>
        <w:t>3.</w:t>
      </w:r>
      <w:r w:rsidRPr="00C60ED1">
        <w:rPr>
          <w:b/>
          <w:sz w:val="22"/>
          <w:szCs w:val="22"/>
          <w:lang w:val="sk-SK"/>
        </w:rPr>
        <w:tab/>
        <w:t>LIEKOVÁ FORMA</w:t>
      </w:r>
    </w:p>
    <w:p w14:paraId="13EBD83B" w14:textId="77777777" w:rsidR="00704A80" w:rsidRPr="00C60ED1" w:rsidRDefault="00704A80" w:rsidP="00C50996">
      <w:pPr>
        <w:tabs>
          <w:tab w:val="left" w:pos="426"/>
        </w:tabs>
        <w:rPr>
          <w:caps/>
          <w:sz w:val="22"/>
          <w:szCs w:val="22"/>
          <w:lang w:val="sk-SK"/>
        </w:rPr>
      </w:pPr>
    </w:p>
    <w:p w14:paraId="3C2F82D4" w14:textId="2774D4FE" w:rsidR="00D62B1B" w:rsidRPr="00C60ED1" w:rsidRDefault="00EB255C" w:rsidP="00C50996">
      <w:pPr>
        <w:tabs>
          <w:tab w:val="left" w:pos="426"/>
        </w:tabs>
        <w:rPr>
          <w:sz w:val="22"/>
          <w:szCs w:val="22"/>
          <w:lang w:val="sk-SK"/>
        </w:rPr>
      </w:pPr>
      <w:proofErr w:type="spellStart"/>
      <w:r w:rsidRPr="00C60ED1">
        <w:rPr>
          <w:sz w:val="22"/>
          <w:szCs w:val="22"/>
          <w:lang w:val="sk-SK"/>
        </w:rPr>
        <w:t>Gastrore</w:t>
      </w:r>
      <w:r w:rsidR="00910791" w:rsidRPr="00C60ED1">
        <w:rPr>
          <w:sz w:val="22"/>
          <w:szCs w:val="22"/>
          <w:lang w:val="sk-SK"/>
        </w:rPr>
        <w:t>z</w:t>
      </w:r>
      <w:r w:rsidRPr="00C60ED1">
        <w:rPr>
          <w:sz w:val="22"/>
          <w:szCs w:val="22"/>
          <w:lang w:val="sk-SK"/>
        </w:rPr>
        <w:t>istentn</w:t>
      </w:r>
      <w:r w:rsidR="00704A80" w:rsidRPr="00C60ED1">
        <w:rPr>
          <w:sz w:val="22"/>
          <w:szCs w:val="22"/>
          <w:lang w:val="sk-SK"/>
        </w:rPr>
        <w:t>á</w:t>
      </w:r>
      <w:proofErr w:type="spellEnd"/>
      <w:r w:rsidR="00D62B1B" w:rsidRPr="00C60ED1">
        <w:rPr>
          <w:sz w:val="22"/>
          <w:szCs w:val="22"/>
          <w:lang w:val="sk-SK"/>
        </w:rPr>
        <w:t xml:space="preserve"> tablet</w:t>
      </w:r>
      <w:r w:rsidR="00704A80" w:rsidRPr="00C60ED1">
        <w:rPr>
          <w:sz w:val="22"/>
          <w:szCs w:val="22"/>
          <w:lang w:val="sk-SK"/>
        </w:rPr>
        <w:t>a</w:t>
      </w:r>
    </w:p>
    <w:p w14:paraId="4374D3EF" w14:textId="77777777" w:rsidR="00526183" w:rsidRPr="00C60ED1" w:rsidRDefault="0052618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9A88F4" w14:textId="77777777" w:rsidR="00C60ED1" w:rsidRDefault="0052618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C60ED1">
        <w:rPr>
          <w:rFonts w:ascii="Times New Roman" w:hAnsi="Times New Roman" w:cs="Times New Roman"/>
          <w:i/>
          <w:color w:val="auto"/>
          <w:sz w:val="22"/>
          <w:szCs w:val="22"/>
        </w:rPr>
        <w:t>Orfiril</w:t>
      </w:r>
      <w:proofErr w:type="spellEnd"/>
      <w:r w:rsidRPr="00C60ED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150</w:t>
      </w:r>
      <w:r w:rsidRPr="00C60ED1">
        <w:rPr>
          <w:rFonts w:ascii="Times New Roman" w:hAnsi="Times New Roman" w:cs="Times New Roman"/>
          <w:color w:val="auto"/>
          <w:sz w:val="22"/>
          <w:szCs w:val="22"/>
        </w:rPr>
        <w:t xml:space="preserve">: Biele až svetložlté, okrúhle, bikonvexné </w:t>
      </w:r>
      <w:proofErr w:type="spellStart"/>
      <w:r w:rsidRPr="00C60ED1">
        <w:rPr>
          <w:rFonts w:ascii="Times New Roman" w:hAnsi="Times New Roman" w:cs="Times New Roman"/>
          <w:color w:val="auto"/>
          <w:sz w:val="22"/>
          <w:szCs w:val="22"/>
        </w:rPr>
        <w:t>gastrorezistentné</w:t>
      </w:r>
      <w:proofErr w:type="spellEnd"/>
      <w:r w:rsidRPr="00C60ED1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C60ED1">
        <w:rPr>
          <w:rFonts w:ascii="Times New Roman" w:hAnsi="Times New Roman" w:cs="Times New Roman"/>
          <w:color w:val="auto"/>
          <w:sz w:val="22"/>
          <w:szCs w:val="22"/>
        </w:rPr>
        <w:t xml:space="preserve">tablety s priemerom </w:t>
      </w:r>
    </w:p>
    <w:p w14:paraId="16619B57" w14:textId="5614A705" w:rsidR="00526183" w:rsidRDefault="00C60ED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8,1</w:t>
      </w:r>
      <w:r>
        <w:rPr>
          <w:rFonts w:ascii="Times New Roman" w:hAnsi="Times New Roman" w:cs="Times New Roman"/>
          <w:color w:val="auto"/>
          <w:sz w:val="22"/>
          <w:szCs w:val="22"/>
        </w:rPr>
        <w:noBreakHyphen/>
      </w:r>
      <w:r w:rsidR="00526183" w:rsidRPr="00C60ED1">
        <w:rPr>
          <w:rFonts w:ascii="Times New Roman" w:hAnsi="Times New Roman" w:cs="Times New Roman"/>
          <w:color w:val="auto"/>
          <w:sz w:val="22"/>
          <w:szCs w:val="22"/>
        </w:rPr>
        <w:t>8,5</w:t>
      </w:r>
      <w:r w:rsidR="00932456" w:rsidRPr="00C60ED1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526183" w:rsidRPr="00C60ED1">
        <w:rPr>
          <w:rFonts w:ascii="Times New Roman" w:hAnsi="Times New Roman" w:cs="Times New Roman"/>
          <w:color w:val="auto"/>
          <w:sz w:val="22"/>
          <w:szCs w:val="22"/>
        </w:rPr>
        <w:t xml:space="preserve">mm. </w:t>
      </w:r>
    </w:p>
    <w:p w14:paraId="753050E8" w14:textId="77777777" w:rsidR="00C4087C" w:rsidRPr="00C60ED1" w:rsidRDefault="00C4087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1585B6E" w14:textId="77777777" w:rsidR="00C60ED1" w:rsidRDefault="0052618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C60ED1">
        <w:rPr>
          <w:rFonts w:ascii="Times New Roman" w:hAnsi="Times New Roman" w:cs="Times New Roman"/>
          <w:i/>
          <w:color w:val="auto"/>
          <w:sz w:val="22"/>
          <w:szCs w:val="22"/>
        </w:rPr>
        <w:t>Orfiril</w:t>
      </w:r>
      <w:proofErr w:type="spellEnd"/>
      <w:r w:rsidRPr="00C60ED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300</w:t>
      </w:r>
      <w:r w:rsidRPr="00C60ED1">
        <w:rPr>
          <w:rFonts w:ascii="Times New Roman" w:hAnsi="Times New Roman" w:cs="Times New Roman"/>
          <w:color w:val="auto"/>
          <w:sz w:val="22"/>
          <w:szCs w:val="22"/>
        </w:rPr>
        <w:t xml:space="preserve">: Biele až svetložlté, okrúhle, bikonvexné </w:t>
      </w:r>
      <w:proofErr w:type="spellStart"/>
      <w:r w:rsidRPr="00C60ED1">
        <w:rPr>
          <w:rFonts w:ascii="Times New Roman" w:hAnsi="Times New Roman" w:cs="Times New Roman"/>
          <w:color w:val="auto"/>
          <w:sz w:val="22"/>
          <w:szCs w:val="22"/>
        </w:rPr>
        <w:t>gastrorezistentné</w:t>
      </w:r>
      <w:proofErr w:type="spellEnd"/>
      <w:r w:rsidRPr="00C60ED1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C60ED1">
        <w:rPr>
          <w:rFonts w:ascii="Times New Roman" w:hAnsi="Times New Roman" w:cs="Times New Roman"/>
          <w:color w:val="auto"/>
          <w:sz w:val="22"/>
          <w:szCs w:val="22"/>
        </w:rPr>
        <w:t xml:space="preserve">tablety s priemerom </w:t>
      </w:r>
    </w:p>
    <w:p w14:paraId="3991112D" w14:textId="119087F7" w:rsidR="00526183" w:rsidRDefault="00C60ED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10,2</w:t>
      </w:r>
      <w:r>
        <w:rPr>
          <w:rFonts w:ascii="Times New Roman" w:hAnsi="Times New Roman" w:cs="Times New Roman"/>
          <w:color w:val="auto"/>
          <w:sz w:val="22"/>
          <w:szCs w:val="22"/>
        </w:rPr>
        <w:noBreakHyphen/>
      </w:r>
      <w:r w:rsidR="00526183" w:rsidRPr="00C60ED1">
        <w:rPr>
          <w:rFonts w:ascii="Times New Roman" w:hAnsi="Times New Roman" w:cs="Times New Roman"/>
          <w:color w:val="auto"/>
          <w:sz w:val="22"/>
          <w:szCs w:val="22"/>
        </w:rPr>
        <w:t>10,5</w:t>
      </w:r>
      <w:r w:rsidR="00932456" w:rsidRPr="00C60ED1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526183" w:rsidRPr="00C60ED1">
        <w:rPr>
          <w:rFonts w:ascii="Times New Roman" w:hAnsi="Times New Roman" w:cs="Times New Roman"/>
          <w:color w:val="auto"/>
          <w:sz w:val="22"/>
          <w:szCs w:val="22"/>
        </w:rPr>
        <w:t xml:space="preserve">mm. </w:t>
      </w:r>
    </w:p>
    <w:p w14:paraId="599CBAB5" w14:textId="77777777" w:rsidR="00C4087C" w:rsidRPr="00C60ED1" w:rsidRDefault="00C4087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D4CCA83" w14:textId="79B4A233" w:rsidR="00526183" w:rsidRPr="00C60ED1" w:rsidRDefault="0052618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C60ED1">
        <w:rPr>
          <w:rFonts w:ascii="Times New Roman" w:hAnsi="Times New Roman" w:cs="Times New Roman"/>
          <w:i/>
          <w:color w:val="auto"/>
          <w:sz w:val="22"/>
          <w:szCs w:val="22"/>
        </w:rPr>
        <w:t>Orfiril</w:t>
      </w:r>
      <w:proofErr w:type="spellEnd"/>
      <w:r w:rsidRPr="00C60ED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600:</w:t>
      </w:r>
      <w:r w:rsidRPr="00C60ED1">
        <w:rPr>
          <w:rFonts w:ascii="Times New Roman" w:hAnsi="Times New Roman" w:cs="Times New Roman"/>
          <w:color w:val="auto"/>
          <w:sz w:val="22"/>
          <w:szCs w:val="22"/>
        </w:rPr>
        <w:t xml:space="preserve"> Biele až svetložlté, oválne, bikonvexné </w:t>
      </w:r>
      <w:proofErr w:type="spellStart"/>
      <w:r w:rsidRPr="00C60ED1">
        <w:rPr>
          <w:rFonts w:ascii="Times New Roman" w:hAnsi="Times New Roman" w:cs="Times New Roman"/>
          <w:color w:val="auto"/>
          <w:sz w:val="22"/>
          <w:szCs w:val="22"/>
        </w:rPr>
        <w:t>gastrorezistentné</w:t>
      </w:r>
      <w:proofErr w:type="spellEnd"/>
      <w:r w:rsidRPr="00C60ED1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C60ED1">
        <w:rPr>
          <w:rFonts w:ascii="Times New Roman" w:hAnsi="Times New Roman" w:cs="Times New Roman"/>
          <w:color w:val="auto"/>
          <w:sz w:val="22"/>
          <w:szCs w:val="22"/>
        </w:rPr>
        <w:t xml:space="preserve">tablety. </w:t>
      </w:r>
    </w:p>
    <w:p w14:paraId="05BAC261" w14:textId="77777777" w:rsidR="00D62B1B" w:rsidRPr="00C60ED1" w:rsidRDefault="00D62B1B" w:rsidP="00C50996">
      <w:pPr>
        <w:tabs>
          <w:tab w:val="left" w:pos="426"/>
        </w:tabs>
        <w:rPr>
          <w:sz w:val="22"/>
          <w:szCs w:val="22"/>
          <w:lang w:val="sk-SK"/>
        </w:rPr>
      </w:pPr>
    </w:p>
    <w:p w14:paraId="44012312" w14:textId="77777777" w:rsidR="00526183" w:rsidRPr="00C60ED1" w:rsidRDefault="00526183" w:rsidP="00C50996">
      <w:pPr>
        <w:tabs>
          <w:tab w:val="left" w:pos="426"/>
        </w:tabs>
        <w:rPr>
          <w:sz w:val="22"/>
          <w:szCs w:val="22"/>
          <w:lang w:val="sk-SK"/>
        </w:rPr>
      </w:pPr>
    </w:p>
    <w:p w14:paraId="1F8368A0" w14:textId="77777777" w:rsidR="00D62B1B" w:rsidRPr="00C60ED1" w:rsidRDefault="00D62B1B" w:rsidP="00C50996">
      <w:pPr>
        <w:keepNext/>
        <w:tabs>
          <w:tab w:val="left" w:pos="426"/>
        </w:tabs>
        <w:rPr>
          <w:caps/>
          <w:sz w:val="22"/>
          <w:szCs w:val="22"/>
          <w:lang w:val="sk-SK"/>
        </w:rPr>
      </w:pPr>
      <w:r w:rsidRPr="00C60ED1">
        <w:rPr>
          <w:b/>
          <w:caps/>
          <w:sz w:val="22"/>
          <w:szCs w:val="22"/>
          <w:lang w:val="sk-SK"/>
        </w:rPr>
        <w:t>4.</w:t>
      </w:r>
      <w:r w:rsidRPr="00C60ED1">
        <w:rPr>
          <w:b/>
          <w:caps/>
          <w:sz w:val="22"/>
          <w:szCs w:val="22"/>
          <w:lang w:val="sk-SK"/>
        </w:rPr>
        <w:tab/>
        <w:t>KLINICKÉ ÚDAJE</w:t>
      </w:r>
    </w:p>
    <w:p w14:paraId="0F51930D" w14:textId="77777777" w:rsidR="00D62B1B" w:rsidRPr="00C60ED1" w:rsidRDefault="00D62B1B" w:rsidP="00C50996">
      <w:pPr>
        <w:keepNext/>
        <w:tabs>
          <w:tab w:val="left" w:pos="426"/>
        </w:tabs>
        <w:rPr>
          <w:sz w:val="22"/>
          <w:szCs w:val="22"/>
          <w:lang w:val="sk-SK"/>
        </w:rPr>
      </w:pPr>
    </w:p>
    <w:p w14:paraId="478313CB" w14:textId="77777777" w:rsidR="00D62B1B" w:rsidRPr="00C60ED1" w:rsidRDefault="00D62B1B" w:rsidP="00C50996">
      <w:pPr>
        <w:keepNext/>
        <w:tabs>
          <w:tab w:val="left" w:pos="426"/>
        </w:tabs>
        <w:rPr>
          <w:b/>
          <w:sz w:val="22"/>
          <w:szCs w:val="22"/>
          <w:lang w:val="sk-SK"/>
        </w:rPr>
      </w:pPr>
      <w:r w:rsidRPr="00C60ED1">
        <w:rPr>
          <w:b/>
          <w:sz w:val="22"/>
          <w:szCs w:val="22"/>
          <w:lang w:val="sk-SK"/>
        </w:rPr>
        <w:t>4.1</w:t>
      </w:r>
      <w:r w:rsidRPr="00C60ED1">
        <w:rPr>
          <w:b/>
          <w:sz w:val="22"/>
          <w:szCs w:val="22"/>
          <w:lang w:val="sk-SK"/>
        </w:rPr>
        <w:tab/>
        <w:t>Terapeutické indikácie</w:t>
      </w:r>
    </w:p>
    <w:p w14:paraId="63184391" w14:textId="77777777" w:rsidR="005A0AA6" w:rsidRPr="00C60ED1" w:rsidRDefault="005A0AA6" w:rsidP="00C50996">
      <w:pPr>
        <w:keepNext/>
        <w:tabs>
          <w:tab w:val="left" w:pos="426"/>
        </w:tabs>
        <w:rPr>
          <w:sz w:val="22"/>
          <w:szCs w:val="22"/>
          <w:lang w:val="sk-SK"/>
        </w:rPr>
      </w:pPr>
    </w:p>
    <w:p w14:paraId="0A9B23D2" w14:textId="77777777" w:rsidR="00D62B1B" w:rsidRPr="00C60ED1" w:rsidRDefault="00D62B1B" w:rsidP="00C50996">
      <w:pPr>
        <w:keepNext/>
        <w:numPr>
          <w:ilvl w:val="0"/>
          <w:numId w:val="9"/>
        </w:numPr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Liečba</w:t>
      </w:r>
    </w:p>
    <w:p w14:paraId="7CB9F74B" w14:textId="77777777" w:rsidR="00D62B1B" w:rsidRPr="00C60ED1" w:rsidRDefault="00D62B1B" w:rsidP="00C50996">
      <w:pPr>
        <w:numPr>
          <w:ilvl w:val="1"/>
          <w:numId w:val="12"/>
        </w:numPr>
        <w:ind w:left="1037" w:hanging="357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generalizovaných záchvatov vo forme absencií, </w:t>
      </w:r>
      <w:proofErr w:type="spellStart"/>
      <w:r w:rsidRPr="00C60ED1">
        <w:rPr>
          <w:sz w:val="22"/>
          <w:szCs w:val="22"/>
          <w:lang w:val="sk-SK"/>
        </w:rPr>
        <w:t>myoklonických</w:t>
      </w:r>
      <w:proofErr w:type="spellEnd"/>
      <w:r w:rsidRPr="00C60ED1">
        <w:rPr>
          <w:sz w:val="22"/>
          <w:szCs w:val="22"/>
          <w:lang w:val="sk-SK"/>
        </w:rPr>
        <w:t xml:space="preserve"> a tonicko-</w:t>
      </w:r>
      <w:proofErr w:type="spellStart"/>
      <w:r w:rsidRPr="00C60ED1">
        <w:rPr>
          <w:sz w:val="22"/>
          <w:szCs w:val="22"/>
          <w:lang w:val="sk-SK"/>
        </w:rPr>
        <w:t>klonických</w:t>
      </w:r>
      <w:proofErr w:type="spellEnd"/>
      <w:r w:rsidRPr="00C60ED1">
        <w:rPr>
          <w:sz w:val="22"/>
          <w:szCs w:val="22"/>
          <w:lang w:val="sk-SK"/>
        </w:rPr>
        <w:t xml:space="preserve"> záchvatov,</w:t>
      </w:r>
    </w:p>
    <w:p w14:paraId="0550E772" w14:textId="77777777" w:rsidR="00D62B1B" w:rsidRPr="00C60ED1" w:rsidRDefault="00D62B1B" w:rsidP="00C50996">
      <w:pPr>
        <w:numPr>
          <w:ilvl w:val="1"/>
          <w:numId w:val="14"/>
        </w:numPr>
        <w:spacing w:after="60"/>
        <w:ind w:left="1037" w:hanging="357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parciálnych a </w:t>
      </w:r>
      <w:r w:rsidRPr="00C60ED1">
        <w:rPr>
          <w:snapToGrid w:val="0"/>
          <w:sz w:val="22"/>
          <w:szCs w:val="22"/>
          <w:lang w:val="sk-SK" w:eastAsia="cs-CZ"/>
        </w:rPr>
        <w:t>sekundárne generalizovaných záchvatov.</w:t>
      </w:r>
    </w:p>
    <w:p w14:paraId="0BCBA2CF" w14:textId="77777777" w:rsidR="00D62B1B" w:rsidRPr="00C60ED1" w:rsidRDefault="00D62B1B" w:rsidP="00C50996">
      <w:pPr>
        <w:numPr>
          <w:ilvl w:val="0"/>
          <w:numId w:val="14"/>
        </w:numPr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Kombinovaná liečba ostatných foriem epileptických záchvatov, napr. parciálnych záchvatov s elementárnou a komplexnou </w:t>
      </w:r>
      <w:proofErr w:type="spellStart"/>
      <w:r w:rsidRPr="00C60ED1">
        <w:rPr>
          <w:sz w:val="22"/>
          <w:szCs w:val="22"/>
          <w:lang w:val="sk-SK"/>
        </w:rPr>
        <w:t>symptomatológiou</w:t>
      </w:r>
      <w:proofErr w:type="spellEnd"/>
      <w:r w:rsidRPr="00C60ED1">
        <w:rPr>
          <w:sz w:val="22"/>
          <w:szCs w:val="22"/>
          <w:lang w:val="sk-SK"/>
        </w:rPr>
        <w:t xml:space="preserve">, ako aj fokálnych záchvatov so sekundárnou generalizáciou, ak tieto formy neodpovedajú na obvyklú </w:t>
      </w:r>
      <w:proofErr w:type="spellStart"/>
      <w:r w:rsidRPr="00C60ED1">
        <w:rPr>
          <w:sz w:val="22"/>
          <w:szCs w:val="22"/>
          <w:lang w:val="sk-SK"/>
        </w:rPr>
        <w:t>antiepileptickú</w:t>
      </w:r>
      <w:proofErr w:type="spellEnd"/>
      <w:r w:rsidRPr="00C60ED1">
        <w:rPr>
          <w:sz w:val="22"/>
          <w:szCs w:val="22"/>
          <w:lang w:val="sk-SK"/>
        </w:rPr>
        <w:t xml:space="preserve"> liečbu.</w:t>
      </w:r>
    </w:p>
    <w:p w14:paraId="1E31A0FD" w14:textId="77777777" w:rsidR="00D62B1B" w:rsidRPr="00C60ED1" w:rsidRDefault="00D62B1B" w:rsidP="00C50996">
      <w:pPr>
        <w:numPr>
          <w:ilvl w:val="0"/>
          <w:numId w:val="14"/>
        </w:numPr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Liečba manických epizód.</w:t>
      </w:r>
    </w:p>
    <w:p w14:paraId="744E79E3" w14:textId="77777777" w:rsidR="00E40882" w:rsidRPr="00C60ED1" w:rsidRDefault="00E40882" w:rsidP="00C50996">
      <w:pPr>
        <w:rPr>
          <w:i/>
          <w:sz w:val="22"/>
          <w:szCs w:val="22"/>
          <w:lang w:val="sk-SK"/>
        </w:rPr>
      </w:pPr>
    </w:p>
    <w:p w14:paraId="70F9CFD1" w14:textId="77777777" w:rsidR="00D62B1B" w:rsidRPr="00C60ED1" w:rsidRDefault="00D62B1B" w:rsidP="00C50996">
      <w:pPr>
        <w:keepNext/>
        <w:rPr>
          <w:i/>
          <w:sz w:val="22"/>
          <w:szCs w:val="22"/>
          <w:lang w:val="sk-SK"/>
        </w:rPr>
      </w:pPr>
      <w:r w:rsidRPr="00C60ED1">
        <w:rPr>
          <w:i/>
          <w:sz w:val="22"/>
          <w:szCs w:val="22"/>
          <w:lang w:val="sk-SK"/>
        </w:rPr>
        <w:lastRenderedPageBreak/>
        <w:t>Upozornenie:</w:t>
      </w:r>
    </w:p>
    <w:p w14:paraId="3AA670D3" w14:textId="75E61DEA" w:rsidR="00D62B1B" w:rsidRPr="00C60ED1" w:rsidRDefault="00EB255C" w:rsidP="00C50996">
      <w:pPr>
        <w:keepNext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U malých detí sa </w:t>
      </w:r>
      <w:r w:rsidR="00526183" w:rsidRPr="00C60ED1">
        <w:rPr>
          <w:sz w:val="22"/>
          <w:szCs w:val="22"/>
          <w:lang w:val="sk-SK"/>
        </w:rPr>
        <w:t>valpro</w:t>
      </w:r>
      <w:r w:rsidR="002513E8" w:rsidRPr="00C60ED1">
        <w:rPr>
          <w:sz w:val="22"/>
          <w:szCs w:val="22"/>
          <w:lang w:val="sk-SK"/>
        </w:rPr>
        <w:t>át</w:t>
      </w:r>
      <w:r w:rsidR="00526183" w:rsidRPr="00C60ED1">
        <w:rPr>
          <w:sz w:val="22"/>
          <w:szCs w:val="22"/>
          <w:lang w:val="sk-SK"/>
        </w:rPr>
        <w:t xml:space="preserve"> sodný </w:t>
      </w:r>
      <w:r w:rsidR="00D62B1B" w:rsidRPr="00C60ED1">
        <w:rPr>
          <w:sz w:val="22"/>
          <w:szCs w:val="22"/>
          <w:lang w:val="sk-SK"/>
        </w:rPr>
        <w:t>používa ako liek prvej voľby len vo výnimočných prípadoch; m</w:t>
      </w:r>
      <w:r w:rsidR="001D2DD8" w:rsidRPr="00C60ED1">
        <w:rPr>
          <w:sz w:val="22"/>
          <w:szCs w:val="22"/>
          <w:lang w:val="sk-SK"/>
        </w:rPr>
        <w:t>á</w:t>
      </w:r>
      <w:r w:rsidR="00D62B1B" w:rsidRPr="00C60ED1">
        <w:rPr>
          <w:sz w:val="22"/>
          <w:szCs w:val="22"/>
          <w:lang w:val="sk-SK"/>
        </w:rPr>
        <w:t xml:space="preserve"> sa indikovať len s mimoriadnou opatrnosťou po prísnom zvážení rizika a</w:t>
      </w:r>
      <w:r w:rsidR="001D2DD8" w:rsidRPr="00C60ED1">
        <w:rPr>
          <w:sz w:val="22"/>
          <w:szCs w:val="22"/>
          <w:lang w:val="sk-SK"/>
        </w:rPr>
        <w:t> prínosu liečby</w:t>
      </w:r>
      <w:r w:rsidR="00D62B1B" w:rsidRPr="00C60ED1">
        <w:rPr>
          <w:sz w:val="22"/>
          <w:szCs w:val="22"/>
          <w:lang w:val="sk-SK"/>
        </w:rPr>
        <w:t xml:space="preserve">  </w:t>
      </w:r>
      <w:r w:rsidR="00E51629" w:rsidRPr="00C60ED1">
        <w:rPr>
          <w:sz w:val="22"/>
          <w:szCs w:val="22"/>
          <w:lang w:val="sk-SK"/>
        </w:rPr>
        <w:t xml:space="preserve">a </w:t>
      </w:r>
      <w:r w:rsidR="00D62B1B" w:rsidRPr="00C60ED1">
        <w:rPr>
          <w:sz w:val="22"/>
          <w:szCs w:val="22"/>
          <w:lang w:val="sk-SK"/>
        </w:rPr>
        <w:t>pokiaľ možno v </w:t>
      </w:r>
      <w:proofErr w:type="spellStart"/>
      <w:r w:rsidR="00D62B1B" w:rsidRPr="00C60ED1">
        <w:rPr>
          <w:sz w:val="22"/>
          <w:szCs w:val="22"/>
          <w:lang w:val="sk-SK"/>
        </w:rPr>
        <w:t>monoterapii</w:t>
      </w:r>
      <w:proofErr w:type="spellEnd"/>
      <w:r w:rsidR="00D62B1B" w:rsidRPr="00C60ED1">
        <w:rPr>
          <w:sz w:val="22"/>
          <w:szCs w:val="22"/>
          <w:lang w:val="sk-SK"/>
        </w:rPr>
        <w:t>.</w:t>
      </w:r>
    </w:p>
    <w:p w14:paraId="1E4317B6" w14:textId="77777777" w:rsidR="00D62B1B" w:rsidRPr="00C60ED1" w:rsidRDefault="00D62B1B" w:rsidP="00C50996">
      <w:pPr>
        <w:tabs>
          <w:tab w:val="left" w:pos="284"/>
          <w:tab w:val="left" w:pos="426"/>
        </w:tabs>
        <w:rPr>
          <w:sz w:val="22"/>
          <w:szCs w:val="22"/>
          <w:lang w:val="sk-SK"/>
        </w:rPr>
      </w:pPr>
    </w:p>
    <w:p w14:paraId="0EF1586B" w14:textId="77777777" w:rsidR="00D62B1B" w:rsidRPr="00C60ED1" w:rsidRDefault="00D62B1B" w:rsidP="00C50996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C60ED1">
        <w:rPr>
          <w:b/>
          <w:sz w:val="22"/>
          <w:szCs w:val="22"/>
          <w:lang w:val="sk-SK"/>
        </w:rPr>
        <w:t>4.2</w:t>
      </w:r>
      <w:r w:rsidRPr="00C60ED1">
        <w:rPr>
          <w:b/>
          <w:sz w:val="22"/>
          <w:szCs w:val="22"/>
          <w:lang w:val="sk-SK"/>
        </w:rPr>
        <w:tab/>
        <w:t>Dávkovanie a spôsob podávania</w:t>
      </w:r>
    </w:p>
    <w:p w14:paraId="74C2DD3E" w14:textId="77777777" w:rsidR="0080717E" w:rsidRPr="00C60ED1" w:rsidRDefault="0080717E" w:rsidP="00C50996">
      <w:pPr>
        <w:keepNext/>
        <w:rPr>
          <w:sz w:val="22"/>
          <w:szCs w:val="22"/>
          <w:lang w:val="sk-SK"/>
        </w:rPr>
      </w:pPr>
    </w:p>
    <w:p w14:paraId="72AE7959" w14:textId="1816895B" w:rsidR="0080717E" w:rsidRPr="00C60ED1" w:rsidRDefault="00EF6598" w:rsidP="00C50996">
      <w:pPr>
        <w:keepNext/>
        <w:rPr>
          <w:sz w:val="22"/>
          <w:szCs w:val="22"/>
          <w:u w:val="single"/>
          <w:lang w:val="sk-SK"/>
        </w:rPr>
      </w:pPr>
      <w:r w:rsidRPr="00C60ED1">
        <w:rPr>
          <w:sz w:val="22"/>
          <w:szCs w:val="22"/>
          <w:u w:val="single"/>
          <w:lang w:val="sk-SK"/>
        </w:rPr>
        <w:t>Dievčatá v detskom veku, ženy vo fertilnom veku</w:t>
      </w:r>
    </w:p>
    <w:p w14:paraId="121B4236" w14:textId="6CF19A94" w:rsidR="00EF6598" w:rsidRPr="00C60ED1" w:rsidRDefault="00EF6598" w:rsidP="00EF6598">
      <w:pPr>
        <w:keepNext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Liečbu </w:t>
      </w:r>
      <w:proofErr w:type="spellStart"/>
      <w:r w:rsidRPr="00C60ED1">
        <w:rPr>
          <w:sz w:val="22"/>
          <w:szCs w:val="22"/>
          <w:lang w:val="sk-SK"/>
        </w:rPr>
        <w:t>valpro</w:t>
      </w:r>
      <w:r w:rsidR="002513E8" w:rsidRPr="00C60ED1">
        <w:rPr>
          <w:sz w:val="22"/>
          <w:szCs w:val="22"/>
          <w:lang w:val="sk-SK"/>
        </w:rPr>
        <w:t>áto</w:t>
      </w:r>
      <w:r w:rsidRPr="00C60ED1">
        <w:rPr>
          <w:sz w:val="22"/>
          <w:szCs w:val="22"/>
          <w:lang w:val="sk-SK"/>
        </w:rPr>
        <w:t>m</w:t>
      </w:r>
      <w:proofErr w:type="spellEnd"/>
      <w:r w:rsidRPr="00C60ED1">
        <w:rPr>
          <w:sz w:val="22"/>
          <w:szCs w:val="22"/>
          <w:lang w:val="sk-SK"/>
        </w:rPr>
        <w:t xml:space="preserve"> musí začať a ďalej sledovať špecialista so skúsenosťami s liečbou epilepsie alebo bipolárnej poruchy. Valpr</w:t>
      </w:r>
      <w:r w:rsidR="002513E8" w:rsidRPr="00C60ED1">
        <w:rPr>
          <w:sz w:val="22"/>
          <w:szCs w:val="22"/>
          <w:lang w:val="sk-SK"/>
        </w:rPr>
        <w:t>oát</w:t>
      </w:r>
      <w:r w:rsidRPr="00C60ED1">
        <w:rPr>
          <w:sz w:val="22"/>
          <w:szCs w:val="22"/>
          <w:lang w:val="sk-SK"/>
        </w:rPr>
        <w:t xml:space="preserve"> sa má používať na liečbu u dievčat v detskom veku a žien vo fertilnom veku iba v prípade, pokiaľ nie sú účinné iné spôsoby liečby alebo ich pacientka netoleruje.</w:t>
      </w:r>
    </w:p>
    <w:p w14:paraId="205C134D" w14:textId="15358BD5" w:rsidR="00EF6598" w:rsidRPr="00C60ED1" w:rsidRDefault="00EF6598" w:rsidP="00EF6598">
      <w:pPr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Valpro</w:t>
      </w:r>
      <w:r w:rsidR="002513E8" w:rsidRPr="00C60ED1">
        <w:rPr>
          <w:sz w:val="22"/>
          <w:szCs w:val="22"/>
          <w:lang w:val="sk-SK"/>
        </w:rPr>
        <w:t>át</w:t>
      </w:r>
      <w:r w:rsidRPr="00C60ED1">
        <w:rPr>
          <w:sz w:val="22"/>
          <w:szCs w:val="22"/>
          <w:lang w:val="sk-SK"/>
        </w:rPr>
        <w:t xml:space="preserve"> sa predpisuje a vydáva v súlade s Programom </w:t>
      </w:r>
      <w:r w:rsidR="00932456" w:rsidRPr="00C60ED1">
        <w:rPr>
          <w:sz w:val="22"/>
          <w:szCs w:val="22"/>
          <w:lang w:val="sk-SK"/>
        </w:rPr>
        <w:t>prevencie</w:t>
      </w:r>
      <w:r w:rsidRPr="00C60ED1">
        <w:rPr>
          <w:sz w:val="22"/>
          <w:szCs w:val="22"/>
          <w:lang w:val="sk-SK"/>
        </w:rPr>
        <w:t xml:space="preserve"> tehotenstva týkajúceho sa valpro</w:t>
      </w:r>
      <w:r w:rsidR="002513E8" w:rsidRPr="00C60ED1">
        <w:rPr>
          <w:sz w:val="22"/>
          <w:szCs w:val="22"/>
          <w:lang w:val="sk-SK"/>
        </w:rPr>
        <w:t>átu</w:t>
      </w:r>
      <w:r w:rsidRPr="00C60ED1">
        <w:rPr>
          <w:sz w:val="22"/>
          <w:szCs w:val="22"/>
          <w:lang w:val="sk-SK"/>
        </w:rPr>
        <w:t xml:space="preserve"> (pozri časti 4.3 a 4.4).</w:t>
      </w:r>
    </w:p>
    <w:p w14:paraId="2A7245D7" w14:textId="79B1B07B" w:rsidR="0080717E" w:rsidRPr="00C60ED1" w:rsidRDefault="00EF6598" w:rsidP="00EF6598">
      <w:pPr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Valpro</w:t>
      </w:r>
      <w:r w:rsidR="002513E8" w:rsidRPr="00C60ED1">
        <w:rPr>
          <w:sz w:val="22"/>
          <w:szCs w:val="22"/>
          <w:lang w:val="sk-SK"/>
        </w:rPr>
        <w:t>át</w:t>
      </w:r>
      <w:r w:rsidRPr="00C60ED1">
        <w:rPr>
          <w:sz w:val="22"/>
          <w:szCs w:val="22"/>
          <w:lang w:val="sk-SK"/>
        </w:rPr>
        <w:t xml:space="preserve"> sa má prednostne predpisovať ako monoterapia a v najnižšej účinnej dávke, pokiaľ možno vo forme s predĺženým uvoľňovaním. Denná dávka sa má rozdeliť na najmenej dve jednotlivé dávky (pozri časť 4.6).</w:t>
      </w:r>
    </w:p>
    <w:p w14:paraId="7CEE2257" w14:textId="77777777" w:rsidR="006C587F" w:rsidRPr="00C60ED1" w:rsidRDefault="006C587F" w:rsidP="00C50996">
      <w:pPr>
        <w:rPr>
          <w:sz w:val="22"/>
          <w:szCs w:val="22"/>
          <w:lang w:val="sk-SK"/>
        </w:rPr>
      </w:pPr>
    </w:p>
    <w:p w14:paraId="43CAA4CA" w14:textId="45BC1F74" w:rsidR="005A0AA6" w:rsidRPr="00C60ED1" w:rsidRDefault="005A0AA6">
      <w:pPr>
        <w:rPr>
          <w:sz w:val="22"/>
          <w:szCs w:val="22"/>
          <w:u w:val="single"/>
          <w:lang w:val="sk-SK"/>
        </w:rPr>
      </w:pPr>
      <w:r w:rsidRPr="00C60ED1">
        <w:rPr>
          <w:sz w:val="22"/>
          <w:szCs w:val="22"/>
          <w:u w:val="single"/>
          <w:lang w:val="sk-SK"/>
        </w:rPr>
        <w:t xml:space="preserve">Dávkovanie: </w:t>
      </w:r>
    </w:p>
    <w:p w14:paraId="5F510F73" w14:textId="77777777" w:rsidR="005A0AA6" w:rsidRPr="00C60ED1" w:rsidRDefault="005A0AA6" w:rsidP="00C50996">
      <w:pPr>
        <w:rPr>
          <w:sz w:val="22"/>
          <w:szCs w:val="22"/>
          <w:lang w:val="sk-SK"/>
        </w:rPr>
      </w:pPr>
    </w:p>
    <w:p w14:paraId="5BD9B64B" w14:textId="77777777" w:rsidR="00D62B1B" w:rsidRPr="00C60ED1" w:rsidRDefault="00D62B1B" w:rsidP="00C50996">
      <w:pPr>
        <w:rPr>
          <w:i/>
          <w:sz w:val="22"/>
          <w:szCs w:val="22"/>
          <w:u w:val="single"/>
          <w:lang w:val="sk-SK"/>
        </w:rPr>
      </w:pPr>
      <w:r w:rsidRPr="00C60ED1">
        <w:rPr>
          <w:i/>
          <w:sz w:val="22"/>
          <w:szCs w:val="22"/>
          <w:u w:val="single"/>
          <w:lang w:val="sk-SK"/>
        </w:rPr>
        <w:t>Epilepsia:</w:t>
      </w:r>
    </w:p>
    <w:p w14:paraId="4A3348A4" w14:textId="77777777" w:rsidR="00D62B1B" w:rsidRPr="00C60ED1" w:rsidRDefault="00D62B1B" w:rsidP="00C50996">
      <w:pPr>
        <w:pStyle w:val="Zkladntext"/>
        <w:spacing w:before="80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Dávkovanie je individuálne, </w:t>
      </w:r>
      <w:r w:rsidR="004D0EFA" w:rsidRPr="00C60ED1">
        <w:rPr>
          <w:sz w:val="22"/>
          <w:szCs w:val="22"/>
          <w:lang w:val="sk-SK"/>
        </w:rPr>
        <w:t xml:space="preserve">upravované </w:t>
      </w:r>
      <w:r w:rsidRPr="00C60ED1">
        <w:rPr>
          <w:sz w:val="22"/>
          <w:szCs w:val="22"/>
          <w:lang w:val="sk-SK"/>
        </w:rPr>
        <w:t xml:space="preserve">a kontrolované lekárom, pričom </w:t>
      </w:r>
      <w:proofErr w:type="spellStart"/>
      <w:r w:rsidRPr="00C60ED1">
        <w:rPr>
          <w:sz w:val="22"/>
          <w:szCs w:val="22"/>
          <w:lang w:val="sk-SK"/>
        </w:rPr>
        <w:t>bezzáchvatové</w:t>
      </w:r>
      <w:proofErr w:type="spellEnd"/>
      <w:r w:rsidRPr="00C60ED1">
        <w:rPr>
          <w:sz w:val="22"/>
          <w:szCs w:val="22"/>
          <w:lang w:val="sk-SK"/>
        </w:rPr>
        <w:t xml:space="preserve"> obdobie </w:t>
      </w:r>
      <w:r w:rsidR="00E51629" w:rsidRPr="00C60ED1">
        <w:rPr>
          <w:sz w:val="22"/>
          <w:szCs w:val="22"/>
          <w:lang w:val="sk-SK"/>
        </w:rPr>
        <w:t xml:space="preserve">má </w:t>
      </w:r>
      <w:r w:rsidRPr="00C60ED1">
        <w:rPr>
          <w:sz w:val="22"/>
          <w:szCs w:val="22"/>
          <w:lang w:val="sk-SK"/>
        </w:rPr>
        <w:t>byť dosiahnuté aj pri minimálnom dávkovaní, obzvlášť v tehotenstve.</w:t>
      </w:r>
    </w:p>
    <w:p w14:paraId="2C769CE9" w14:textId="30CC4629" w:rsidR="00D62B1B" w:rsidRPr="00C60ED1" w:rsidRDefault="00EB255C" w:rsidP="00C50996">
      <w:pPr>
        <w:pStyle w:val="Zkladntext"/>
        <w:spacing w:before="80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Pri liečbe </w:t>
      </w:r>
      <w:proofErr w:type="spellStart"/>
      <w:r w:rsidR="00526183" w:rsidRPr="00C60ED1">
        <w:rPr>
          <w:sz w:val="22"/>
          <w:szCs w:val="22"/>
          <w:lang w:val="sk-SK"/>
        </w:rPr>
        <w:t>v</w:t>
      </w:r>
      <w:r w:rsidR="00526183" w:rsidRPr="00C60ED1">
        <w:rPr>
          <w:sz w:val="22"/>
          <w:szCs w:val="22"/>
          <w:lang w:val="sk-SK" w:eastAsia="sk-SK"/>
        </w:rPr>
        <w:t>alpro</w:t>
      </w:r>
      <w:r w:rsidR="002513E8" w:rsidRPr="00C60ED1">
        <w:rPr>
          <w:sz w:val="22"/>
          <w:szCs w:val="22"/>
          <w:lang w:val="sk-SK" w:eastAsia="sk-SK"/>
        </w:rPr>
        <w:t>áto</w:t>
      </w:r>
      <w:r w:rsidR="00526183" w:rsidRPr="00C60ED1">
        <w:rPr>
          <w:sz w:val="22"/>
          <w:szCs w:val="22"/>
          <w:lang w:val="sk-SK" w:eastAsia="sk-SK"/>
        </w:rPr>
        <w:t>m</w:t>
      </w:r>
      <w:proofErr w:type="spellEnd"/>
      <w:r w:rsidR="00526183" w:rsidRPr="00C60ED1">
        <w:rPr>
          <w:sz w:val="22"/>
          <w:szCs w:val="22"/>
          <w:lang w:val="sk-SK" w:eastAsia="sk-SK"/>
        </w:rPr>
        <w:t xml:space="preserve"> sodným</w:t>
      </w:r>
      <w:r w:rsidR="00526183" w:rsidRPr="00C60ED1" w:rsidDel="00526183">
        <w:rPr>
          <w:sz w:val="22"/>
          <w:szCs w:val="22"/>
          <w:lang w:val="sk-SK"/>
        </w:rPr>
        <w:t xml:space="preserve"> </w:t>
      </w:r>
      <w:r w:rsidR="00D62B1B" w:rsidRPr="00C60ED1">
        <w:rPr>
          <w:sz w:val="22"/>
          <w:szCs w:val="22"/>
          <w:lang w:val="sk-SK"/>
        </w:rPr>
        <w:t xml:space="preserve">sa odporúča postupné zvyšovanie dávky až do dosiahnutia optimálnej účinnej dávky. </w:t>
      </w:r>
      <w:r w:rsidR="00A7699B" w:rsidRPr="00C60ED1">
        <w:rPr>
          <w:sz w:val="22"/>
          <w:szCs w:val="22"/>
          <w:lang w:val="sk-SK"/>
        </w:rPr>
        <w:t>Pri</w:t>
      </w:r>
      <w:r w:rsidR="00D62B1B" w:rsidRPr="00C60ED1">
        <w:rPr>
          <w:sz w:val="22"/>
          <w:szCs w:val="22"/>
          <w:lang w:val="sk-SK"/>
        </w:rPr>
        <w:t xml:space="preserve"> </w:t>
      </w:r>
      <w:proofErr w:type="spellStart"/>
      <w:r w:rsidR="00D62B1B" w:rsidRPr="00C60ED1">
        <w:rPr>
          <w:sz w:val="22"/>
          <w:szCs w:val="22"/>
          <w:lang w:val="sk-SK"/>
        </w:rPr>
        <w:t>monoterapi</w:t>
      </w:r>
      <w:r w:rsidR="00A7699B" w:rsidRPr="00C60ED1">
        <w:rPr>
          <w:sz w:val="22"/>
          <w:szCs w:val="22"/>
          <w:lang w:val="sk-SK"/>
        </w:rPr>
        <w:t>i</w:t>
      </w:r>
      <w:proofErr w:type="spellEnd"/>
      <w:r w:rsidR="00D62B1B" w:rsidRPr="00C60ED1">
        <w:rPr>
          <w:sz w:val="22"/>
          <w:szCs w:val="22"/>
          <w:lang w:val="sk-SK"/>
        </w:rPr>
        <w:t xml:space="preserve"> predstavuje </w:t>
      </w:r>
      <w:r w:rsidR="00DB2853" w:rsidRPr="00C60ED1">
        <w:rPr>
          <w:sz w:val="22"/>
          <w:szCs w:val="22"/>
          <w:lang w:val="sk-SK"/>
        </w:rPr>
        <w:t xml:space="preserve">začiatočná </w:t>
      </w:r>
      <w:r w:rsidR="00D62B1B" w:rsidRPr="00C60ED1">
        <w:rPr>
          <w:sz w:val="22"/>
          <w:szCs w:val="22"/>
          <w:lang w:val="sk-SK"/>
        </w:rPr>
        <w:t xml:space="preserve">dávka zvyčajne 5 </w:t>
      </w:r>
      <w:r w:rsidR="00DB2853" w:rsidRPr="00C60ED1">
        <w:rPr>
          <w:sz w:val="22"/>
          <w:szCs w:val="22"/>
          <w:lang w:val="sk-SK"/>
        </w:rPr>
        <w:t xml:space="preserve">- </w:t>
      </w:r>
      <w:r w:rsidR="00D62B1B" w:rsidRPr="00C60ED1">
        <w:rPr>
          <w:sz w:val="22"/>
          <w:szCs w:val="22"/>
          <w:lang w:val="sk-SK"/>
        </w:rPr>
        <w:t xml:space="preserve">10 mg/kg, ktorá sa má po 4 - 7 dňoch </w:t>
      </w:r>
      <w:r w:rsidR="008616F6" w:rsidRPr="00C60ED1">
        <w:rPr>
          <w:sz w:val="22"/>
          <w:szCs w:val="22"/>
          <w:lang w:val="sk-SK"/>
        </w:rPr>
        <w:t xml:space="preserve">zvyšovať </w:t>
      </w:r>
      <w:r w:rsidR="00D62B1B" w:rsidRPr="00C60ED1">
        <w:rPr>
          <w:sz w:val="22"/>
          <w:szCs w:val="22"/>
          <w:lang w:val="sk-SK"/>
        </w:rPr>
        <w:t>asi o 5 mg/kg. Udržiavacie dávky pri dlhodobej liečbe sú nasled</w:t>
      </w:r>
      <w:r w:rsidR="00972DA0" w:rsidRPr="00C60ED1">
        <w:rPr>
          <w:sz w:val="22"/>
          <w:szCs w:val="22"/>
          <w:lang w:val="sk-SK"/>
        </w:rPr>
        <w:t>ovné</w:t>
      </w:r>
      <w:r w:rsidR="00D62B1B" w:rsidRPr="00C60ED1">
        <w:rPr>
          <w:sz w:val="22"/>
          <w:szCs w:val="22"/>
          <w:lang w:val="sk-SK"/>
        </w:rPr>
        <w:t>:</w:t>
      </w:r>
    </w:p>
    <w:p w14:paraId="5D6E6E9C" w14:textId="77777777" w:rsidR="0003011C" w:rsidRPr="00C60ED1" w:rsidRDefault="0003011C" w:rsidP="00C50996">
      <w:pPr>
        <w:pStyle w:val="Zkladntext"/>
        <w:spacing w:before="80"/>
        <w:rPr>
          <w:sz w:val="22"/>
          <w:szCs w:val="22"/>
          <w:lang w:val="sk-SK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4023"/>
      </w:tblGrid>
      <w:tr w:rsidR="00C60ED1" w:rsidRPr="00C60ED1" w14:paraId="24F678F4" w14:textId="77777777">
        <w:tc>
          <w:tcPr>
            <w:tcW w:w="3402" w:type="dxa"/>
          </w:tcPr>
          <w:p w14:paraId="709639F3" w14:textId="77777777" w:rsidR="00D62B1B" w:rsidRPr="00C60ED1" w:rsidRDefault="00D62B1B" w:rsidP="00C50996">
            <w:pPr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Deti</w:t>
            </w:r>
          </w:p>
        </w:tc>
        <w:tc>
          <w:tcPr>
            <w:tcW w:w="4023" w:type="dxa"/>
          </w:tcPr>
          <w:p w14:paraId="4E3A12F7" w14:textId="27AC66E4" w:rsidR="00D62B1B" w:rsidRPr="00C60ED1" w:rsidRDefault="00EB255C" w:rsidP="00C50996">
            <w:pPr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 xml:space="preserve">30 mg </w:t>
            </w:r>
            <w:r w:rsidR="00526183" w:rsidRPr="00C60ED1">
              <w:rPr>
                <w:sz w:val="22"/>
                <w:szCs w:val="22"/>
                <w:lang w:val="sk-SK"/>
              </w:rPr>
              <w:t>v</w:t>
            </w:r>
            <w:r w:rsidR="00526183" w:rsidRPr="00C60ED1">
              <w:rPr>
                <w:sz w:val="22"/>
                <w:szCs w:val="22"/>
                <w:lang w:val="sk-SK" w:eastAsia="sk-SK"/>
              </w:rPr>
              <w:t>alpro</w:t>
            </w:r>
            <w:r w:rsidR="002513E8" w:rsidRPr="00C60ED1">
              <w:rPr>
                <w:sz w:val="22"/>
                <w:szCs w:val="22"/>
                <w:lang w:val="sk-SK" w:eastAsia="sk-SK"/>
              </w:rPr>
              <w:t>át</w:t>
            </w:r>
            <w:r w:rsidR="00526183" w:rsidRPr="00C60ED1">
              <w:rPr>
                <w:sz w:val="22"/>
                <w:szCs w:val="22"/>
                <w:lang w:val="sk-SK" w:eastAsia="sk-SK"/>
              </w:rPr>
              <w:t>u sodného</w:t>
            </w:r>
            <w:r w:rsidR="00526183" w:rsidRPr="00C60ED1" w:rsidDel="00526183">
              <w:rPr>
                <w:sz w:val="22"/>
                <w:szCs w:val="22"/>
                <w:lang w:val="sk-SK"/>
              </w:rPr>
              <w:t xml:space="preserve"> </w:t>
            </w:r>
            <w:r w:rsidR="00D62B1B" w:rsidRPr="00C60ED1">
              <w:rPr>
                <w:sz w:val="22"/>
                <w:szCs w:val="22"/>
                <w:lang w:val="sk-SK"/>
              </w:rPr>
              <w:t>/ kg</w:t>
            </w:r>
          </w:p>
        </w:tc>
      </w:tr>
      <w:tr w:rsidR="00C60ED1" w:rsidRPr="00C60ED1" w14:paraId="4266007E" w14:textId="77777777">
        <w:tc>
          <w:tcPr>
            <w:tcW w:w="3402" w:type="dxa"/>
          </w:tcPr>
          <w:p w14:paraId="1E8AFFB6" w14:textId="70597C09" w:rsidR="00D62B1B" w:rsidRPr="00C60ED1" w:rsidRDefault="00526183" w:rsidP="00C50996">
            <w:pPr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Dospievajúci</w:t>
            </w:r>
          </w:p>
        </w:tc>
        <w:tc>
          <w:tcPr>
            <w:tcW w:w="4023" w:type="dxa"/>
          </w:tcPr>
          <w:p w14:paraId="55809F24" w14:textId="1BF4040F" w:rsidR="00D62B1B" w:rsidRPr="00C60ED1" w:rsidRDefault="00EB255C" w:rsidP="00C50996">
            <w:pPr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 xml:space="preserve">25 mg </w:t>
            </w:r>
            <w:r w:rsidR="00526183" w:rsidRPr="00C60ED1">
              <w:rPr>
                <w:sz w:val="22"/>
                <w:szCs w:val="22"/>
                <w:lang w:val="sk-SK"/>
              </w:rPr>
              <w:t>v</w:t>
            </w:r>
            <w:r w:rsidR="00526183" w:rsidRPr="00C60ED1">
              <w:rPr>
                <w:sz w:val="22"/>
                <w:szCs w:val="22"/>
                <w:lang w:val="sk-SK" w:eastAsia="sk-SK"/>
              </w:rPr>
              <w:t>alpro</w:t>
            </w:r>
            <w:r w:rsidR="002513E8" w:rsidRPr="00C60ED1">
              <w:rPr>
                <w:sz w:val="22"/>
                <w:szCs w:val="22"/>
                <w:lang w:val="sk-SK" w:eastAsia="sk-SK"/>
              </w:rPr>
              <w:t>át</w:t>
            </w:r>
            <w:r w:rsidR="00526183" w:rsidRPr="00C60ED1">
              <w:rPr>
                <w:sz w:val="22"/>
                <w:szCs w:val="22"/>
                <w:lang w:val="sk-SK" w:eastAsia="sk-SK"/>
              </w:rPr>
              <w:t>u sodného</w:t>
            </w:r>
            <w:r w:rsidR="00526183" w:rsidRPr="00C60ED1" w:rsidDel="00526183">
              <w:rPr>
                <w:sz w:val="22"/>
                <w:szCs w:val="22"/>
                <w:lang w:val="sk-SK"/>
              </w:rPr>
              <w:t xml:space="preserve"> </w:t>
            </w:r>
            <w:r w:rsidR="00D62B1B" w:rsidRPr="00C60ED1">
              <w:rPr>
                <w:sz w:val="22"/>
                <w:szCs w:val="22"/>
                <w:lang w:val="sk-SK"/>
              </w:rPr>
              <w:t>/ kg</w:t>
            </w:r>
          </w:p>
        </w:tc>
      </w:tr>
      <w:tr w:rsidR="00D62B1B" w:rsidRPr="00C60ED1" w14:paraId="2DB1E957" w14:textId="77777777">
        <w:tc>
          <w:tcPr>
            <w:tcW w:w="3402" w:type="dxa"/>
          </w:tcPr>
          <w:p w14:paraId="5E2DC880" w14:textId="77777777" w:rsidR="00D62B1B" w:rsidRPr="00C60ED1" w:rsidRDefault="00D62B1B" w:rsidP="00C50996">
            <w:pPr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Dospelí a starší pacienti</w:t>
            </w:r>
          </w:p>
        </w:tc>
        <w:tc>
          <w:tcPr>
            <w:tcW w:w="4023" w:type="dxa"/>
          </w:tcPr>
          <w:p w14:paraId="1D71B177" w14:textId="7B4C7502" w:rsidR="00D62B1B" w:rsidRPr="00C60ED1" w:rsidRDefault="00EB255C" w:rsidP="00C50996">
            <w:pPr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 xml:space="preserve">20 mg </w:t>
            </w:r>
            <w:r w:rsidR="00526183" w:rsidRPr="00C60ED1">
              <w:rPr>
                <w:sz w:val="22"/>
                <w:szCs w:val="22"/>
                <w:lang w:val="sk-SK"/>
              </w:rPr>
              <w:t>v</w:t>
            </w:r>
            <w:r w:rsidR="00526183" w:rsidRPr="00C60ED1">
              <w:rPr>
                <w:sz w:val="22"/>
                <w:szCs w:val="22"/>
                <w:lang w:val="sk-SK" w:eastAsia="sk-SK"/>
              </w:rPr>
              <w:t>alpro</w:t>
            </w:r>
            <w:r w:rsidR="002513E8" w:rsidRPr="00C60ED1">
              <w:rPr>
                <w:sz w:val="22"/>
                <w:szCs w:val="22"/>
                <w:lang w:val="sk-SK" w:eastAsia="sk-SK"/>
              </w:rPr>
              <w:t>át</w:t>
            </w:r>
            <w:r w:rsidR="00526183" w:rsidRPr="00C60ED1">
              <w:rPr>
                <w:sz w:val="22"/>
                <w:szCs w:val="22"/>
                <w:lang w:val="sk-SK" w:eastAsia="sk-SK"/>
              </w:rPr>
              <w:t>u sodného</w:t>
            </w:r>
            <w:r w:rsidR="00526183" w:rsidRPr="00C60ED1" w:rsidDel="00526183">
              <w:rPr>
                <w:sz w:val="22"/>
                <w:szCs w:val="22"/>
                <w:lang w:val="sk-SK"/>
              </w:rPr>
              <w:t xml:space="preserve"> </w:t>
            </w:r>
            <w:r w:rsidR="00D62B1B" w:rsidRPr="00C60ED1">
              <w:rPr>
                <w:sz w:val="22"/>
                <w:szCs w:val="22"/>
                <w:lang w:val="sk-SK"/>
              </w:rPr>
              <w:t>/ kg</w:t>
            </w:r>
            <w:r w:rsidR="00935A08" w:rsidRPr="00C60ED1">
              <w:rPr>
                <w:sz w:val="22"/>
                <w:szCs w:val="22"/>
                <w:lang w:val="sk-SK"/>
              </w:rPr>
              <w:t xml:space="preserve"> </w:t>
            </w:r>
          </w:p>
        </w:tc>
      </w:tr>
    </w:tbl>
    <w:p w14:paraId="1D51708B" w14:textId="77777777" w:rsidR="00D62B1B" w:rsidRPr="00C60ED1" w:rsidRDefault="00D62B1B">
      <w:pPr>
        <w:rPr>
          <w:sz w:val="22"/>
          <w:szCs w:val="22"/>
          <w:lang w:val="sk-SK"/>
        </w:rPr>
      </w:pPr>
    </w:p>
    <w:p w14:paraId="58575857" w14:textId="4B16B2A7" w:rsidR="00D62B1B" w:rsidRPr="00C60ED1" w:rsidRDefault="00D62B1B">
      <w:pPr>
        <w:rPr>
          <w:snapToGrid w:val="0"/>
          <w:sz w:val="22"/>
          <w:szCs w:val="22"/>
          <w:lang w:val="sk-SK" w:eastAsia="cs-CZ"/>
        </w:rPr>
      </w:pPr>
      <w:r w:rsidRPr="00C60ED1">
        <w:rPr>
          <w:snapToGrid w:val="0"/>
          <w:sz w:val="22"/>
          <w:szCs w:val="22"/>
          <w:lang w:val="sk-SK" w:eastAsia="cs-CZ"/>
        </w:rPr>
        <w:t>Celková de</w:t>
      </w:r>
      <w:r w:rsidR="00C60ED1">
        <w:rPr>
          <w:snapToGrid w:val="0"/>
          <w:sz w:val="22"/>
          <w:szCs w:val="22"/>
          <w:lang w:val="sk-SK" w:eastAsia="cs-CZ"/>
        </w:rPr>
        <w:t>nná dávka sa môže podávať v 2</w:t>
      </w:r>
      <w:r w:rsidR="00C60ED1">
        <w:rPr>
          <w:snapToGrid w:val="0"/>
          <w:sz w:val="22"/>
          <w:szCs w:val="22"/>
          <w:lang w:val="sk-SK" w:eastAsia="cs-CZ"/>
        </w:rPr>
        <w:noBreakHyphen/>
      </w:r>
      <w:r w:rsidRPr="00C60ED1">
        <w:rPr>
          <w:snapToGrid w:val="0"/>
          <w:sz w:val="22"/>
          <w:szCs w:val="22"/>
          <w:lang w:val="sk-SK" w:eastAsia="cs-CZ"/>
        </w:rPr>
        <w:t>4 dávkach.</w:t>
      </w:r>
    </w:p>
    <w:p w14:paraId="29E4E543" w14:textId="77777777" w:rsidR="00D62B1B" w:rsidRPr="00C60ED1" w:rsidRDefault="00D62B1B">
      <w:pPr>
        <w:rPr>
          <w:snapToGrid w:val="0"/>
          <w:sz w:val="22"/>
          <w:szCs w:val="22"/>
          <w:lang w:val="sk-SK" w:eastAsia="cs-CZ"/>
        </w:rPr>
      </w:pPr>
    </w:p>
    <w:p w14:paraId="4D3C0525" w14:textId="7268B4C7" w:rsidR="00D62B1B" w:rsidRPr="00C60ED1" w:rsidRDefault="00D62B1B">
      <w:pPr>
        <w:rPr>
          <w:snapToGrid w:val="0"/>
          <w:sz w:val="22"/>
          <w:szCs w:val="22"/>
          <w:lang w:val="sk-SK" w:eastAsia="cs-CZ"/>
        </w:rPr>
      </w:pPr>
      <w:r w:rsidRPr="00C60ED1">
        <w:rPr>
          <w:snapToGrid w:val="0"/>
          <w:sz w:val="22"/>
          <w:szCs w:val="22"/>
          <w:lang w:val="sk-SK" w:eastAsia="cs-CZ"/>
        </w:rPr>
        <w:t xml:space="preserve">V niektorých prípadoch môžeme plný </w:t>
      </w:r>
      <w:r w:rsidR="00C60ED1">
        <w:rPr>
          <w:snapToGrid w:val="0"/>
          <w:sz w:val="22"/>
          <w:szCs w:val="22"/>
          <w:lang w:val="sk-SK" w:eastAsia="cs-CZ"/>
        </w:rPr>
        <w:t>účinok pozorovať až po 4</w:t>
      </w:r>
      <w:r w:rsidR="00C60ED1">
        <w:rPr>
          <w:snapToGrid w:val="0"/>
          <w:sz w:val="22"/>
          <w:szCs w:val="22"/>
          <w:lang w:val="sk-SK" w:eastAsia="cs-CZ"/>
        </w:rPr>
        <w:noBreakHyphen/>
      </w:r>
      <w:r w:rsidRPr="00C60ED1">
        <w:rPr>
          <w:snapToGrid w:val="0"/>
          <w:sz w:val="22"/>
          <w:szCs w:val="22"/>
          <w:lang w:val="sk-SK" w:eastAsia="cs-CZ"/>
        </w:rPr>
        <w:t>6 týždňoch. Preto denná dávka v</w:t>
      </w:r>
      <w:r w:rsidR="00C60ED1">
        <w:rPr>
          <w:snapToGrid w:val="0"/>
          <w:sz w:val="22"/>
          <w:szCs w:val="22"/>
          <w:lang w:val="sk-SK" w:eastAsia="cs-CZ"/>
        </w:rPr>
        <w:t> </w:t>
      </w:r>
      <w:r w:rsidRPr="00C60ED1">
        <w:rPr>
          <w:snapToGrid w:val="0"/>
          <w:sz w:val="22"/>
          <w:szCs w:val="22"/>
          <w:lang w:val="sk-SK" w:eastAsia="cs-CZ"/>
        </w:rPr>
        <w:t>tomto období sa nemá príliš rýchle zvyšovať nad stredné hodnoty.</w:t>
      </w:r>
    </w:p>
    <w:p w14:paraId="129E3310" w14:textId="77777777" w:rsidR="00D62B1B" w:rsidRPr="00C60ED1" w:rsidRDefault="00D62B1B">
      <w:pPr>
        <w:rPr>
          <w:snapToGrid w:val="0"/>
          <w:sz w:val="22"/>
          <w:szCs w:val="22"/>
          <w:lang w:val="sk-SK" w:eastAsia="cs-CZ"/>
        </w:rPr>
      </w:pPr>
    </w:p>
    <w:p w14:paraId="5A199F63" w14:textId="77777777" w:rsidR="00D62B1B" w:rsidRPr="00C60ED1" w:rsidRDefault="00D62B1B">
      <w:pPr>
        <w:rPr>
          <w:snapToGrid w:val="0"/>
          <w:sz w:val="22"/>
          <w:szCs w:val="22"/>
          <w:lang w:val="sk-SK" w:eastAsia="cs-CZ"/>
        </w:rPr>
      </w:pPr>
      <w:r w:rsidRPr="00C60ED1">
        <w:rPr>
          <w:snapToGrid w:val="0"/>
          <w:sz w:val="22"/>
          <w:szCs w:val="22"/>
          <w:lang w:val="sk-SK" w:eastAsia="cs-CZ"/>
        </w:rPr>
        <w:t>Odporúča sa následná dávkovacia schéma:</w:t>
      </w:r>
    </w:p>
    <w:p w14:paraId="24048A1C" w14:textId="77777777" w:rsidR="00D62B1B" w:rsidRPr="00C60ED1" w:rsidRDefault="00D62B1B">
      <w:pPr>
        <w:pStyle w:val="Zkladntext"/>
        <w:rPr>
          <w:sz w:val="22"/>
          <w:szCs w:val="22"/>
          <w:lang w:val="sk-SK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2268"/>
        <w:gridCol w:w="2552"/>
      </w:tblGrid>
      <w:tr w:rsidR="00C60ED1" w:rsidRPr="00C60ED1" w14:paraId="20C50E7A" w14:textId="77777777">
        <w:tc>
          <w:tcPr>
            <w:tcW w:w="1559" w:type="dxa"/>
          </w:tcPr>
          <w:p w14:paraId="5D331249" w14:textId="77777777" w:rsidR="00D62B1B" w:rsidRPr="00C60ED1" w:rsidRDefault="00D62B1B" w:rsidP="00C50996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</w:tcPr>
          <w:p w14:paraId="0B516A9E" w14:textId="77777777" w:rsidR="00D62B1B" w:rsidRPr="00C60ED1" w:rsidRDefault="00D62B1B" w:rsidP="00C50996">
            <w:pPr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Vek</w:t>
            </w:r>
          </w:p>
        </w:tc>
        <w:tc>
          <w:tcPr>
            <w:tcW w:w="2268" w:type="dxa"/>
          </w:tcPr>
          <w:p w14:paraId="4D73D8AF" w14:textId="77777777" w:rsidR="00D62B1B" w:rsidRPr="00C60ED1" w:rsidRDefault="00D62B1B" w:rsidP="00C50996">
            <w:pPr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Telesná hmotnosť</w:t>
            </w:r>
          </w:p>
          <w:p w14:paraId="704C8EA2" w14:textId="77777777" w:rsidR="00D62B1B" w:rsidRPr="00C60ED1" w:rsidRDefault="00D62B1B" w:rsidP="00C50996">
            <w:pPr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cca</w:t>
            </w:r>
          </w:p>
        </w:tc>
        <w:tc>
          <w:tcPr>
            <w:tcW w:w="2552" w:type="dxa"/>
          </w:tcPr>
          <w:p w14:paraId="4408CD9E" w14:textId="77777777" w:rsidR="00D62B1B" w:rsidRPr="00C60ED1" w:rsidRDefault="00D62B1B" w:rsidP="00C50996">
            <w:pPr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Priemerná dávka v mg/deň</w:t>
            </w:r>
          </w:p>
        </w:tc>
      </w:tr>
      <w:tr w:rsidR="00C60ED1" w:rsidRPr="00C60ED1" w14:paraId="4245A1B4" w14:textId="77777777">
        <w:tc>
          <w:tcPr>
            <w:tcW w:w="1559" w:type="dxa"/>
          </w:tcPr>
          <w:p w14:paraId="42C91D43" w14:textId="77777777" w:rsidR="00D62B1B" w:rsidRPr="00C60ED1" w:rsidRDefault="00D62B1B">
            <w:pPr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Dojčatá</w:t>
            </w:r>
          </w:p>
        </w:tc>
        <w:tc>
          <w:tcPr>
            <w:tcW w:w="2268" w:type="dxa"/>
          </w:tcPr>
          <w:p w14:paraId="38745CFF" w14:textId="77777777" w:rsidR="00D62B1B" w:rsidRPr="00C60ED1" w:rsidRDefault="00D62B1B" w:rsidP="00C50996">
            <w:pPr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 xml:space="preserve">3 – 6 mesiacov </w:t>
            </w:r>
          </w:p>
        </w:tc>
        <w:tc>
          <w:tcPr>
            <w:tcW w:w="2268" w:type="dxa"/>
          </w:tcPr>
          <w:p w14:paraId="63206B51" w14:textId="77777777" w:rsidR="00D62B1B" w:rsidRPr="00C60ED1" w:rsidRDefault="00D62B1B">
            <w:pPr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 xml:space="preserve">5,5 – </w:t>
            </w:r>
            <w:smartTag w:uri="urn:schemas-microsoft-com:office:smarttags" w:element="metricconverter">
              <w:smartTagPr>
                <w:attr w:name="ProductID" w:val="7,5 kg"/>
              </w:smartTagPr>
              <w:r w:rsidRPr="00C60ED1">
                <w:rPr>
                  <w:sz w:val="22"/>
                  <w:szCs w:val="22"/>
                  <w:lang w:val="sk-SK"/>
                </w:rPr>
                <w:t>7,5 kg</w:t>
              </w:r>
            </w:smartTag>
          </w:p>
        </w:tc>
        <w:tc>
          <w:tcPr>
            <w:tcW w:w="2552" w:type="dxa"/>
          </w:tcPr>
          <w:p w14:paraId="6DC1E39B" w14:textId="77777777" w:rsidR="00D62B1B" w:rsidRPr="00C60ED1" w:rsidRDefault="00D62B1B">
            <w:pPr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150 mg</w:t>
            </w:r>
          </w:p>
        </w:tc>
      </w:tr>
      <w:tr w:rsidR="00C60ED1" w:rsidRPr="00C60ED1" w14:paraId="240139E5" w14:textId="77777777">
        <w:tc>
          <w:tcPr>
            <w:tcW w:w="1559" w:type="dxa"/>
          </w:tcPr>
          <w:p w14:paraId="04593B8E" w14:textId="77777777" w:rsidR="00D62B1B" w:rsidRPr="00C60ED1" w:rsidRDefault="00D62B1B">
            <w:pPr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Dojčatá</w:t>
            </w:r>
          </w:p>
        </w:tc>
        <w:tc>
          <w:tcPr>
            <w:tcW w:w="2268" w:type="dxa"/>
          </w:tcPr>
          <w:p w14:paraId="6E4E5CCC" w14:textId="77777777" w:rsidR="00D62B1B" w:rsidRPr="00C60ED1" w:rsidRDefault="00D62B1B" w:rsidP="00C50996">
            <w:pPr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6 – 12 mesiacov</w:t>
            </w:r>
          </w:p>
        </w:tc>
        <w:tc>
          <w:tcPr>
            <w:tcW w:w="2268" w:type="dxa"/>
          </w:tcPr>
          <w:p w14:paraId="4F4AF060" w14:textId="77777777" w:rsidR="00D62B1B" w:rsidRPr="00C60ED1" w:rsidRDefault="00D62B1B">
            <w:pPr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 xml:space="preserve">7,5 – </w:t>
            </w:r>
            <w:smartTag w:uri="urn:schemas-microsoft-com:office:smarttags" w:element="metricconverter">
              <w:smartTagPr>
                <w:attr w:name="ProductID" w:val="10 kg"/>
              </w:smartTagPr>
              <w:r w:rsidRPr="00C60ED1">
                <w:rPr>
                  <w:sz w:val="22"/>
                  <w:szCs w:val="22"/>
                  <w:lang w:val="sk-SK"/>
                </w:rPr>
                <w:t>10 kg</w:t>
              </w:r>
            </w:smartTag>
          </w:p>
        </w:tc>
        <w:tc>
          <w:tcPr>
            <w:tcW w:w="2552" w:type="dxa"/>
          </w:tcPr>
          <w:p w14:paraId="08F46CDE" w14:textId="77777777" w:rsidR="00D62B1B" w:rsidRPr="00C60ED1" w:rsidRDefault="00D62B1B">
            <w:pPr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150 – 300 mg</w:t>
            </w:r>
          </w:p>
        </w:tc>
      </w:tr>
      <w:tr w:rsidR="00C60ED1" w:rsidRPr="00C60ED1" w14:paraId="6942D66C" w14:textId="77777777">
        <w:tc>
          <w:tcPr>
            <w:tcW w:w="1559" w:type="dxa"/>
          </w:tcPr>
          <w:p w14:paraId="5E16D756" w14:textId="77777777" w:rsidR="00D62B1B" w:rsidRPr="00C60ED1" w:rsidRDefault="00D62B1B">
            <w:pPr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Deti</w:t>
            </w:r>
          </w:p>
        </w:tc>
        <w:tc>
          <w:tcPr>
            <w:tcW w:w="2268" w:type="dxa"/>
          </w:tcPr>
          <w:p w14:paraId="2D4FF395" w14:textId="77777777" w:rsidR="00D62B1B" w:rsidRPr="00C60ED1" w:rsidRDefault="00D62B1B" w:rsidP="00C50996">
            <w:pPr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1 – 3 roky</w:t>
            </w:r>
          </w:p>
        </w:tc>
        <w:tc>
          <w:tcPr>
            <w:tcW w:w="2268" w:type="dxa"/>
          </w:tcPr>
          <w:p w14:paraId="6F405FD6" w14:textId="77777777" w:rsidR="00D62B1B" w:rsidRPr="00C60ED1" w:rsidRDefault="00D62B1B">
            <w:pPr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 xml:space="preserve">10 – </w:t>
            </w:r>
            <w:smartTag w:uri="urn:schemas-microsoft-com:office:smarttags" w:element="metricconverter">
              <w:smartTagPr>
                <w:attr w:name="ProductID" w:val="15 kg"/>
              </w:smartTagPr>
              <w:r w:rsidRPr="00C60ED1">
                <w:rPr>
                  <w:sz w:val="22"/>
                  <w:szCs w:val="22"/>
                  <w:lang w:val="sk-SK"/>
                </w:rPr>
                <w:t>15 kg</w:t>
              </w:r>
            </w:smartTag>
          </w:p>
        </w:tc>
        <w:tc>
          <w:tcPr>
            <w:tcW w:w="2552" w:type="dxa"/>
          </w:tcPr>
          <w:p w14:paraId="13A9843D" w14:textId="77777777" w:rsidR="00D62B1B" w:rsidRPr="00C60ED1" w:rsidRDefault="00D62B1B">
            <w:pPr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300 – 450 mg</w:t>
            </w:r>
          </w:p>
        </w:tc>
      </w:tr>
      <w:tr w:rsidR="00C60ED1" w:rsidRPr="00C60ED1" w14:paraId="630DD16F" w14:textId="77777777">
        <w:tc>
          <w:tcPr>
            <w:tcW w:w="1559" w:type="dxa"/>
          </w:tcPr>
          <w:p w14:paraId="4428EB44" w14:textId="77777777" w:rsidR="00D62B1B" w:rsidRPr="00C60ED1" w:rsidRDefault="00D62B1B">
            <w:pPr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Deti</w:t>
            </w:r>
          </w:p>
        </w:tc>
        <w:tc>
          <w:tcPr>
            <w:tcW w:w="2268" w:type="dxa"/>
          </w:tcPr>
          <w:p w14:paraId="70D6571B" w14:textId="77777777" w:rsidR="00D62B1B" w:rsidRPr="00C60ED1" w:rsidRDefault="00D62B1B" w:rsidP="00C50996">
            <w:pPr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3 – 6 rokov</w:t>
            </w:r>
          </w:p>
        </w:tc>
        <w:tc>
          <w:tcPr>
            <w:tcW w:w="2268" w:type="dxa"/>
          </w:tcPr>
          <w:p w14:paraId="69D8AAFB" w14:textId="77777777" w:rsidR="00D62B1B" w:rsidRPr="00C60ED1" w:rsidRDefault="00D62B1B">
            <w:pPr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 xml:space="preserve">15 – </w:t>
            </w:r>
            <w:smartTag w:uri="urn:schemas-microsoft-com:office:smarttags" w:element="metricconverter">
              <w:smartTagPr>
                <w:attr w:name="ProductID" w:val="20 kg"/>
              </w:smartTagPr>
              <w:r w:rsidRPr="00C60ED1">
                <w:rPr>
                  <w:sz w:val="22"/>
                  <w:szCs w:val="22"/>
                  <w:lang w:val="sk-SK"/>
                </w:rPr>
                <w:t>20 kg</w:t>
              </w:r>
            </w:smartTag>
          </w:p>
        </w:tc>
        <w:tc>
          <w:tcPr>
            <w:tcW w:w="2552" w:type="dxa"/>
          </w:tcPr>
          <w:p w14:paraId="382448E9" w14:textId="77777777" w:rsidR="00D62B1B" w:rsidRPr="00C60ED1" w:rsidRDefault="00D62B1B">
            <w:pPr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450 – 600 mg</w:t>
            </w:r>
          </w:p>
        </w:tc>
      </w:tr>
      <w:tr w:rsidR="00C60ED1" w:rsidRPr="00C60ED1" w14:paraId="6AFE9A93" w14:textId="77777777">
        <w:tc>
          <w:tcPr>
            <w:tcW w:w="1559" w:type="dxa"/>
          </w:tcPr>
          <w:p w14:paraId="24287168" w14:textId="77777777" w:rsidR="00D62B1B" w:rsidRPr="00C60ED1" w:rsidRDefault="00D62B1B">
            <w:pPr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Deti</w:t>
            </w:r>
          </w:p>
        </w:tc>
        <w:tc>
          <w:tcPr>
            <w:tcW w:w="2268" w:type="dxa"/>
          </w:tcPr>
          <w:p w14:paraId="3E9373B4" w14:textId="77777777" w:rsidR="00D62B1B" w:rsidRPr="00C60ED1" w:rsidRDefault="00D62B1B" w:rsidP="00C50996">
            <w:pPr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7 – 12 rokov</w:t>
            </w:r>
          </w:p>
        </w:tc>
        <w:tc>
          <w:tcPr>
            <w:tcW w:w="2268" w:type="dxa"/>
          </w:tcPr>
          <w:p w14:paraId="39CAA0D3" w14:textId="77777777" w:rsidR="00D62B1B" w:rsidRPr="00C60ED1" w:rsidRDefault="00D62B1B">
            <w:pPr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 xml:space="preserve">20 – </w:t>
            </w:r>
            <w:smartTag w:uri="urn:schemas-microsoft-com:office:smarttags" w:element="metricconverter">
              <w:smartTagPr>
                <w:attr w:name="ProductID" w:val="40 kg"/>
              </w:smartTagPr>
              <w:r w:rsidRPr="00C60ED1">
                <w:rPr>
                  <w:sz w:val="22"/>
                  <w:szCs w:val="22"/>
                  <w:lang w:val="sk-SK"/>
                </w:rPr>
                <w:t>40 kg</w:t>
              </w:r>
            </w:smartTag>
          </w:p>
        </w:tc>
        <w:tc>
          <w:tcPr>
            <w:tcW w:w="2552" w:type="dxa"/>
          </w:tcPr>
          <w:p w14:paraId="2D888FBA" w14:textId="77777777" w:rsidR="00D62B1B" w:rsidRPr="00C60ED1" w:rsidRDefault="00D62B1B">
            <w:pPr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600 – 1200 mg</w:t>
            </w:r>
          </w:p>
        </w:tc>
      </w:tr>
      <w:tr w:rsidR="00C60ED1" w:rsidRPr="00C60ED1" w14:paraId="7B0A7A7A" w14:textId="77777777">
        <w:tc>
          <w:tcPr>
            <w:tcW w:w="1559" w:type="dxa"/>
          </w:tcPr>
          <w:p w14:paraId="447CE899" w14:textId="7503F301" w:rsidR="00D62B1B" w:rsidRPr="00C60ED1" w:rsidRDefault="00526183">
            <w:pPr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Dospievajúci</w:t>
            </w:r>
          </w:p>
        </w:tc>
        <w:tc>
          <w:tcPr>
            <w:tcW w:w="2268" w:type="dxa"/>
          </w:tcPr>
          <w:p w14:paraId="06F3FE57" w14:textId="77777777" w:rsidR="00D62B1B" w:rsidRPr="00C60ED1" w:rsidRDefault="00D62B1B" w:rsidP="00C50996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</w:tcPr>
          <w:p w14:paraId="59711164" w14:textId="77777777" w:rsidR="00D62B1B" w:rsidRPr="00C60ED1" w:rsidRDefault="00D62B1B">
            <w:pPr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 xml:space="preserve">40 – </w:t>
            </w:r>
            <w:smartTag w:uri="urn:schemas-microsoft-com:office:smarttags" w:element="metricconverter">
              <w:smartTagPr>
                <w:attr w:name="ProductID" w:val="60 kg"/>
              </w:smartTagPr>
              <w:r w:rsidRPr="00C60ED1">
                <w:rPr>
                  <w:sz w:val="22"/>
                  <w:szCs w:val="22"/>
                  <w:lang w:val="sk-SK"/>
                </w:rPr>
                <w:t>60 kg</w:t>
              </w:r>
            </w:smartTag>
          </w:p>
        </w:tc>
        <w:tc>
          <w:tcPr>
            <w:tcW w:w="2552" w:type="dxa"/>
          </w:tcPr>
          <w:p w14:paraId="61B51599" w14:textId="77777777" w:rsidR="00D62B1B" w:rsidRPr="00C60ED1" w:rsidRDefault="00D62B1B">
            <w:pPr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600 – 1500 mg</w:t>
            </w:r>
          </w:p>
        </w:tc>
      </w:tr>
      <w:tr w:rsidR="00D62B1B" w:rsidRPr="00C60ED1" w14:paraId="7BACFD62" w14:textId="77777777">
        <w:tc>
          <w:tcPr>
            <w:tcW w:w="1559" w:type="dxa"/>
          </w:tcPr>
          <w:p w14:paraId="5C0989BD" w14:textId="77777777" w:rsidR="00D62B1B" w:rsidRPr="00C60ED1" w:rsidRDefault="00D62B1B">
            <w:pPr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Dospelí</w:t>
            </w:r>
          </w:p>
        </w:tc>
        <w:tc>
          <w:tcPr>
            <w:tcW w:w="2268" w:type="dxa"/>
          </w:tcPr>
          <w:p w14:paraId="74F5F564" w14:textId="77777777" w:rsidR="00D62B1B" w:rsidRPr="00C60ED1" w:rsidRDefault="00D62B1B" w:rsidP="00C50996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2268" w:type="dxa"/>
          </w:tcPr>
          <w:p w14:paraId="1AD40673" w14:textId="77777777" w:rsidR="00D62B1B" w:rsidRPr="00C60ED1" w:rsidRDefault="00D62B1B">
            <w:pPr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 xml:space="preserve">od </w:t>
            </w:r>
            <w:smartTag w:uri="urn:schemas-microsoft-com:office:smarttags" w:element="metricconverter">
              <w:smartTagPr>
                <w:attr w:name="ProductID" w:val="60 kg"/>
              </w:smartTagPr>
              <w:r w:rsidRPr="00C60ED1">
                <w:rPr>
                  <w:sz w:val="22"/>
                  <w:szCs w:val="22"/>
                  <w:lang w:val="sk-SK"/>
                </w:rPr>
                <w:t>60 kg</w:t>
              </w:r>
            </w:smartTag>
          </w:p>
        </w:tc>
        <w:tc>
          <w:tcPr>
            <w:tcW w:w="2552" w:type="dxa"/>
          </w:tcPr>
          <w:p w14:paraId="53082CD6" w14:textId="77777777" w:rsidR="00D62B1B" w:rsidRPr="00C60ED1" w:rsidRDefault="00D62B1B">
            <w:pPr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1200 – 2100 mg</w:t>
            </w:r>
          </w:p>
        </w:tc>
      </w:tr>
    </w:tbl>
    <w:p w14:paraId="36818B2B" w14:textId="77777777" w:rsidR="00D62B1B" w:rsidRPr="00C60ED1" w:rsidRDefault="00D62B1B" w:rsidP="00C50996">
      <w:pPr>
        <w:rPr>
          <w:sz w:val="22"/>
          <w:szCs w:val="22"/>
          <w:lang w:val="sk-SK"/>
        </w:rPr>
      </w:pPr>
    </w:p>
    <w:p w14:paraId="22C4C01F" w14:textId="77777777" w:rsidR="00D62B1B" w:rsidRPr="00C60ED1" w:rsidRDefault="00D62B1B" w:rsidP="00C50996">
      <w:pPr>
        <w:rPr>
          <w:snapToGrid w:val="0"/>
          <w:sz w:val="22"/>
          <w:szCs w:val="22"/>
          <w:lang w:val="sk-SK" w:eastAsia="cs-CZ"/>
        </w:rPr>
      </w:pPr>
      <w:r w:rsidRPr="00C60ED1">
        <w:rPr>
          <w:snapToGrid w:val="0"/>
          <w:sz w:val="22"/>
          <w:szCs w:val="22"/>
          <w:lang w:val="sk-SK" w:eastAsia="cs-CZ"/>
        </w:rPr>
        <w:t xml:space="preserve">Plazmatická koncentrácia v </w:t>
      </w:r>
      <w:r w:rsidR="001D2DD8" w:rsidRPr="00C60ED1">
        <w:rPr>
          <w:snapToGrid w:val="0"/>
          <w:sz w:val="22"/>
          <w:szCs w:val="22"/>
          <w:lang w:val="sk-SK" w:eastAsia="cs-CZ"/>
        </w:rPr>
        <w:t>rovnovážnom</w:t>
      </w:r>
      <w:r w:rsidRPr="00C60ED1">
        <w:rPr>
          <w:snapToGrid w:val="0"/>
          <w:sz w:val="22"/>
          <w:szCs w:val="22"/>
          <w:lang w:val="sk-SK" w:eastAsia="cs-CZ"/>
        </w:rPr>
        <w:t xml:space="preserve"> sta</w:t>
      </w:r>
      <w:r w:rsidR="001D2DD8" w:rsidRPr="00C60ED1">
        <w:rPr>
          <w:snapToGrid w:val="0"/>
          <w:sz w:val="22"/>
          <w:szCs w:val="22"/>
          <w:lang w:val="sk-SK" w:eastAsia="cs-CZ"/>
        </w:rPr>
        <w:t>v</w:t>
      </w:r>
      <w:r w:rsidRPr="00C60ED1">
        <w:rPr>
          <w:snapToGrid w:val="0"/>
          <w:sz w:val="22"/>
          <w:szCs w:val="22"/>
          <w:lang w:val="sk-SK" w:eastAsia="cs-CZ"/>
        </w:rPr>
        <w:t xml:space="preserve">e (stanovená pred podaním prvej dennej dávky) nemá prekročiť 100 </w:t>
      </w:r>
      <w:r w:rsidRPr="00C60ED1">
        <w:rPr>
          <w:sz w:val="22"/>
          <w:szCs w:val="22"/>
          <w:lang w:val="sk-SK"/>
        </w:rPr>
        <w:t>µg/ml</w:t>
      </w:r>
      <w:r w:rsidRPr="00C60ED1">
        <w:rPr>
          <w:snapToGrid w:val="0"/>
          <w:sz w:val="22"/>
          <w:szCs w:val="22"/>
          <w:lang w:val="sk-SK" w:eastAsia="cs-CZ"/>
        </w:rPr>
        <w:t>.</w:t>
      </w:r>
    </w:p>
    <w:p w14:paraId="710B3462" w14:textId="77777777" w:rsidR="00D62B1B" w:rsidRPr="00C60ED1" w:rsidRDefault="00D62B1B" w:rsidP="00C50996">
      <w:pPr>
        <w:rPr>
          <w:snapToGrid w:val="0"/>
          <w:sz w:val="22"/>
          <w:szCs w:val="22"/>
          <w:lang w:val="sk-SK" w:eastAsia="cs-CZ"/>
        </w:rPr>
      </w:pPr>
    </w:p>
    <w:p w14:paraId="55E58C9C" w14:textId="3F31CB75" w:rsidR="00D62B1B" w:rsidRPr="00C60ED1" w:rsidRDefault="00EB255C" w:rsidP="00C50996">
      <w:pPr>
        <w:rPr>
          <w:snapToGrid w:val="0"/>
          <w:sz w:val="22"/>
          <w:szCs w:val="22"/>
          <w:lang w:val="sk-SK" w:eastAsia="cs-CZ"/>
        </w:rPr>
      </w:pPr>
      <w:r w:rsidRPr="00C60ED1">
        <w:rPr>
          <w:snapToGrid w:val="0"/>
          <w:sz w:val="22"/>
          <w:szCs w:val="22"/>
          <w:lang w:val="sk-SK" w:eastAsia="cs-CZ"/>
        </w:rPr>
        <w:t xml:space="preserve">Ak sa nasadzuje </w:t>
      </w:r>
      <w:r w:rsidR="00526183" w:rsidRPr="00C60ED1">
        <w:rPr>
          <w:sz w:val="22"/>
          <w:szCs w:val="22"/>
          <w:lang w:val="sk-SK"/>
        </w:rPr>
        <w:t>v</w:t>
      </w:r>
      <w:r w:rsidR="00526183" w:rsidRPr="00C60ED1">
        <w:rPr>
          <w:sz w:val="22"/>
          <w:szCs w:val="22"/>
          <w:lang w:val="sk-SK" w:eastAsia="sk-SK"/>
        </w:rPr>
        <w:t>alpro</w:t>
      </w:r>
      <w:r w:rsidR="002513E8" w:rsidRPr="00C60ED1">
        <w:rPr>
          <w:sz w:val="22"/>
          <w:szCs w:val="22"/>
          <w:lang w:val="sk-SK" w:eastAsia="sk-SK"/>
        </w:rPr>
        <w:t>át</w:t>
      </w:r>
      <w:r w:rsidR="00526183" w:rsidRPr="00C60ED1">
        <w:rPr>
          <w:sz w:val="22"/>
          <w:szCs w:val="22"/>
          <w:lang w:val="sk-SK" w:eastAsia="sk-SK"/>
        </w:rPr>
        <w:t xml:space="preserve"> sodný </w:t>
      </w:r>
      <w:r w:rsidR="00D62B1B" w:rsidRPr="00C60ED1">
        <w:rPr>
          <w:snapToGrid w:val="0"/>
          <w:sz w:val="22"/>
          <w:szCs w:val="22"/>
          <w:lang w:val="sk-SK" w:eastAsia="cs-CZ"/>
        </w:rPr>
        <w:t>v kombinácii, alebo ako substitučná liečba, musí byť dávka predchádzajúceho antiepileptika, najmä ak ide o fenobarbital, okamžite znížená. V prípade, že predchádzajúca medikácia má byť vysadená, treba tak činiť postupne.</w:t>
      </w:r>
    </w:p>
    <w:p w14:paraId="625023FF" w14:textId="77777777" w:rsidR="00D62B1B" w:rsidRPr="00C60ED1" w:rsidRDefault="00D62B1B" w:rsidP="00C50996">
      <w:pPr>
        <w:rPr>
          <w:sz w:val="22"/>
          <w:szCs w:val="22"/>
          <w:lang w:val="sk-SK"/>
        </w:rPr>
      </w:pPr>
    </w:p>
    <w:p w14:paraId="3781D9FC" w14:textId="4C7C0C17" w:rsidR="00D62B1B" w:rsidRPr="00C60ED1" w:rsidRDefault="00D62B1B" w:rsidP="00C50996">
      <w:pPr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lastRenderedPageBreak/>
        <w:t>Keďže zrýchlenie metabolizm</w:t>
      </w:r>
      <w:r w:rsidR="001D2DD8" w:rsidRPr="00C60ED1">
        <w:rPr>
          <w:sz w:val="22"/>
          <w:szCs w:val="22"/>
          <w:lang w:val="sk-SK"/>
        </w:rPr>
        <w:t xml:space="preserve">u </w:t>
      </w:r>
      <w:r w:rsidR="00526183" w:rsidRPr="00C60ED1">
        <w:rPr>
          <w:sz w:val="22"/>
          <w:szCs w:val="22"/>
          <w:lang w:val="sk-SK"/>
        </w:rPr>
        <w:t>valpro</w:t>
      </w:r>
      <w:r w:rsidR="002513E8" w:rsidRPr="00C60ED1">
        <w:rPr>
          <w:sz w:val="22"/>
          <w:szCs w:val="22"/>
          <w:lang w:val="sk-SK"/>
        </w:rPr>
        <w:t>át</w:t>
      </w:r>
      <w:r w:rsidR="00526183" w:rsidRPr="00C60ED1">
        <w:rPr>
          <w:sz w:val="22"/>
          <w:szCs w:val="22"/>
          <w:lang w:val="sk-SK"/>
        </w:rPr>
        <w:t>u sodného</w:t>
      </w:r>
      <w:r w:rsidR="00AE7AAF" w:rsidRPr="00C60ED1">
        <w:rPr>
          <w:sz w:val="22"/>
          <w:szCs w:val="22"/>
          <w:lang w:val="sk-SK"/>
        </w:rPr>
        <w:t xml:space="preserve"> </w:t>
      </w:r>
      <w:r w:rsidRPr="00C60ED1">
        <w:rPr>
          <w:sz w:val="22"/>
          <w:szCs w:val="22"/>
          <w:lang w:val="sk-SK"/>
        </w:rPr>
        <w:t xml:space="preserve">inými antiepileptikami (pozri časť 4.5) sa pri vysadení antiepileptika znižuje, je nutné po 4 - 6 týždňoch po vysadení medikácie takým </w:t>
      </w:r>
      <w:proofErr w:type="spellStart"/>
      <w:r w:rsidRPr="00C60ED1">
        <w:rPr>
          <w:sz w:val="22"/>
          <w:szCs w:val="22"/>
          <w:lang w:val="sk-SK"/>
        </w:rPr>
        <w:t>antiepileptikom</w:t>
      </w:r>
      <w:proofErr w:type="spellEnd"/>
      <w:r w:rsidRPr="00C60ED1">
        <w:rPr>
          <w:sz w:val="22"/>
          <w:szCs w:val="22"/>
          <w:lang w:val="sk-SK"/>
        </w:rPr>
        <w:t xml:space="preserve"> skontrolovať plazmatickú hladinu </w:t>
      </w:r>
      <w:r w:rsidR="00526183" w:rsidRPr="00C60ED1">
        <w:rPr>
          <w:sz w:val="22"/>
          <w:szCs w:val="22"/>
          <w:lang w:val="sk-SK"/>
        </w:rPr>
        <w:t>v</w:t>
      </w:r>
      <w:r w:rsidR="00526183" w:rsidRPr="00C60ED1">
        <w:rPr>
          <w:sz w:val="22"/>
          <w:szCs w:val="22"/>
          <w:lang w:val="sk-SK" w:eastAsia="sk-SK"/>
        </w:rPr>
        <w:t>alpro</w:t>
      </w:r>
      <w:r w:rsidR="002513E8" w:rsidRPr="00C60ED1">
        <w:rPr>
          <w:sz w:val="22"/>
          <w:szCs w:val="22"/>
          <w:lang w:val="sk-SK" w:eastAsia="sk-SK"/>
        </w:rPr>
        <w:t>át</w:t>
      </w:r>
      <w:r w:rsidR="00526183" w:rsidRPr="00C60ED1">
        <w:rPr>
          <w:sz w:val="22"/>
          <w:szCs w:val="22"/>
          <w:lang w:val="sk-SK" w:eastAsia="sk-SK"/>
        </w:rPr>
        <w:t>u sodného</w:t>
      </w:r>
      <w:r w:rsidR="00526183" w:rsidRPr="00C60ED1" w:rsidDel="00526183">
        <w:rPr>
          <w:sz w:val="22"/>
          <w:szCs w:val="22"/>
          <w:lang w:val="sk-SK"/>
        </w:rPr>
        <w:t xml:space="preserve"> </w:t>
      </w:r>
      <w:r w:rsidRPr="00C60ED1">
        <w:rPr>
          <w:sz w:val="22"/>
          <w:szCs w:val="22"/>
          <w:lang w:val="sk-SK"/>
        </w:rPr>
        <w:t>a prípadne zredukovať dennú dávku.</w:t>
      </w:r>
    </w:p>
    <w:p w14:paraId="0B94650D" w14:textId="77777777" w:rsidR="00D62B1B" w:rsidRPr="00C60ED1" w:rsidRDefault="00D62B1B" w:rsidP="00C50996">
      <w:pPr>
        <w:rPr>
          <w:sz w:val="22"/>
          <w:szCs w:val="22"/>
          <w:lang w:val="sk-SK"/>
        </w:rPr>
      </w:pPr>
    </w:p>
    <w:p w14:paraId="56F568A8" w14:textId="77777777" w:rsidR="00D62B1B" w:rsidRPr="00C60ED1" w:rsidRDefault="00D62B1B" w:rsidP="00C50996">
      <w:pPr>
        <w:pStyle w:val="Zkladntext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Dĺžka liečby je individuálne rôzna, a je presne stanovená ošetrujúcim lekárom.</w:t>
      </w:r>
    </w:p>
    <w:p w14:paraId="1FBCD312" w14:textId="77777777" w:rsidR="00D62B1B" w:rsidRPr="00C60ED1" w:rsidRDefault="00D62B1B" w:rsidP="00C50996">
      <w:pPr>
        <w:pStyle w:val="Zkladntext"/>
        <w:rPr>
          <w:sz w:val="22"/>
          <w:szCs w:val="22"/>
          <w:lang w:val="sk-SK"/>
        </w:rPr>
      </w:pPr>
    </w:p>
    <w:p w14:paraId="29FA0B71" w14:textId="77777777" w:rsidR="00D62B1B" w:rsidRPr="00C60ED1" w:rsidRDefault="00D62B1B" w:rsidP="00C50996">
      <w:pPr>
        <w:pStyle w:val="Zkladntext"/>
        <w:rPr>
          <w:sz w:val="22"/>
          <w:szCs w:val="22"/>
          <w:lang w:val="sk-SK"/>
        </w:rPr>
      </w:pPr>
      <w:proofErr w:type="spellStart"/>
      <w:r w:rsidRPr="00C60ED1">
        <w:rPr>
          <w:sz w:val="22"/>
          <w:szCs w:val="22"/>
          <w:lang w:val="sk-SK"/>
        </w:rPr>
        <w:t>Antiepileptická</w:t>
      </w:r>
      <w:proofErr w:type="spellEnd"/>
      <w:r w:rsidRPr="00C60ED1">
        <w:rPr>
          <w:sz w:val="22"/>
          <w:szCs w:val="22"/>
          <w:lang w:val="sk-SK"/>
        </w:rPr>
        <w:t xml:space="preserve"> liečba je v zásade dlhodobá.</w:t>
      </w:r>
    </w:p>
    <w:p w14:paraId="7895C6D6" w14:textId="77777777" w:rsidR="00D62B1B" w:rsidRPr="00C60ED1" w:rsidRDefault="00D62B1B" w:rsidP="00C50996">
      <w:pPr>
        <w:pStyle w:val="Zkladntext"/>
        <w:rPr>
          <w:sz w:val="22"/>
          <w:szCs w:val="22"/>
          <w:lang w:val="sk-SK"/>
        </w:rPr>
      </w:pPr>
    </w:p>
    <w:p w14:paraId="24FA0950" w14:textId="4DE8AE7D" w:rsidR="00D62B1B" w:rsidRPr="00C60ED1" w:rsidRDefault="00D62B1B" w:rsidP="00C50996">
      <w:pPr>
        <w:pStyle w:val="Zkladntext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O nasadení, dĺžke užívania a ukončení liečby </w:t>
      </w:r>
      <w:proofErr w:type="spellStart"/>
      <w:r w:rsidR="00526183" w:rsidRPr="00C60ED1">
        <w:rPr>
          <w:sz w:val="22"/>
          <w:szCs w:val="22"/>
          <w:lang w:val="sk-SK"/>
        </w:rPr>
        <w:t>v</w:t>
      </w:r>
      <w:r w:rsidR="00526183" w:rsidRPr="00C60ED1">
        <w:rPr>
          <w:sz w:val="22"/>
          <w:szCs w:val="22"/>
          <w:lang w:val="sk-SK" w:eastAsia="sk-SK"/>
        </w:rPr>
        <w:t>alpro</w:t>
      </w:r>
      <w:r w:rsidR="002513E8" w:rsidRPr="00C60ED1">
        <w:rPr>
          <w:sz w:val="22"/>
          <w:szCs w:val="22"/>
          <w:lang w:val="sk-SK" w:eastAsia="sk-SK"/>
        </w:rPr>
        <w:t>át</w:t>
      </w:r>
      <w:r w:rsidR="00526183" w:rsidRPr="00C60ED1">
        <w:rPr>
          <w:sz w:val="22"/>
          <w:szCs w:val="22"/>
          <w:lang w:val="sk-SK" w:eastAsia="sk-SK"/>
        </w:rPr>
        <w:t>om</w:t>
      </w:r>
      <w:proofErr w:type="spellEnd"/>
      <w:r w:rsidR="00526183" w:rsidRPr="00C60ED1">
        <w:rPr>
          <w:sz w:val="22"/>
          <w:szCs w:val="22"/>
          <w:lang w:val="sk-SK" w:eastAsia="sk-SK"/>
        </w:rPr>
        <w:t xml:space="preserve"> sodným</w:t>
      </w:r>
      <w:r w:rsidR="00526183" w:rsidRPr="00C60ED1" w:rsidDel="00526183">
        <w:rPr>
          <w:sz w:val="22"/>
          <w:szCs w:val="22"/>
          <w:lang w:val="sk-SK"/>
        </w:rPr>
        <w:t xml:space="preserve"> </w:t>
      </w:r>
      <w:r w:rsidRPr="00C60ED1">
        <w:rPr>
          <w:sz w:val="22"/>
          <w:szCs w:val="22"/>
          <w:lang w:val="sk-SK"/>
        </w:rPr>
        <w:t xml:space="preserve">v každom prípade rozhodne odborný lekár (neurológ, </w:t>
      </w:r>
      <w:r w:rsidR="003134B7" w:rsidRPr="00C60ED1">
        <w:rPr>
          <w:sz w:val="22"/>
          <w:szCs w:val="22"/>
          <w:lang w:val="sk-SK"/>
        </w:rPr>
        <w:t>detský neurológ)</w:t>
      </w:r>
      <w:r w:rsidRPr="00C60ED1">
        <w:rPr>
          <w:sz w:val="22"/>
          <w:szCs w:val="22"/>
          <w:lang w:val="sk-SK"/>
        </w:rPr>
        <w:t>.Vo všeobecnosti je možn</w:t>
      </w:r>
      <w:r w:rsidR="008616F6" w:rsidRPr="00C60ED1">
        <w:rPr>
          <w:sz w:val="22"/>
          <w:szCs w:val="22"/>
          <w:lang w:val="sk-SK"/>
        </w:rPr>
        <w:t>é</w:t>
      </w:r>
      <w:r w:rsidRPr="00C60ED1">
        <w:rPr>
          <w:sz w:val="22"/>
          <w:szCs w:val="22"/>
          <w:lang w:val="sk-SK"/>
        </w:rPr>
        <w:t xml:space="preserve"> predpokladať postupné znižovanie dávok a vysadzovanie liečby po 2 – 3 ročnom </w:t>
      </w:r>
      <w:proofErr w:type="spellStart"/>
      <w:r w:rsidRPr="00C60ED1">
        <w:rPr>
          <w:sz w:val="22"/>
          <w:szCs w:val="22"/>
          <w:lang w:val="sk-SK"/>
        </w:rPr>
        <w:t>bezzáchvatovom</w:t>
      </w:r>
      <w:proofErr w:type="spellEnd"/>
      <w:r w:rsidRPr="00C60ED1">
        <w:rPr>
          <w:sz w:val="22"/>
          <w:szCs w:val="22"/>
          <w:lang w:val="sk-SK"/>
        </w:rPr>
        <w:t xml:space="preserve"> období.</w:t>
      </w:r>
    </w:p>
    <w:p w14:paraId="2744086C" w14:textId="77777777" w:rsidR="00D62B1B" w:rsidRPr="00C60ED1" w:rsidRDefault="006B2E1D" w:rsidP="00C50996">
      <w:pPr>
        <w:pStyle w:val="Zkladntext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Liek sa v</w:t>
      </w:r>
      <w:r w:rsidR="00D62B1B" w:rsidRPr="00C60ED1">
        <w:rPr>
          <w:sz w:val="22"/>
          <w:szCs w:val="22"/>
          <w:lang w:val="sk-SK"/>
        </w:rPr>
        <w:t>ysadzuje postupným znižovaním dávok v priebehu jedného až dvoch rokov.</w:t>
      </w:r>
    </w:p>
    <w:p w14:paraId="7803E036" w14:textId="77777777" w:rsidR="00D62B1B" w:rsidRPr="00C60ED1" w:rsidRDefault="00D62B1B" w:rsidP="00C50996">
      <w:pPr>
        <w:pStyle w:val="Zkladntext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Deti môžu dávke na kg telesnej hmotnosti postupne „odrásť“, pokiaľ sa im nezhoršuje </w:t>
      </w:r>
      <w:proofErr w:type="spellStart"/>
      <w:r w:rsidRPr="00C60ED1">
        <w:rPr>
          <w:sz w:val="22"/>
          <w:szCs w:val="22"/>
          <w:lang w:val="sk-SK"/>
        </w:rPr>
        <w:t>EEG</w:t>
      </w:r>
      <w:proofErr w:type="spellEnd"/>
      <w:r w:rsidRPr="00C60ED1">
        <w:rPr>
          <w:sz w:val="22"/>
          <w:szCs w:val="22"/>
          <w:lang w:val="sk-SK"/>
        </w:rPr>
        <w:t xml:space="preserve"> záznam.</w:t>
      </w:r>
    </w:p>
    <w:p w14:paraId="47BD74AC" w14:textId="77777777" w:rsidR="00D62B1B" w:rsidRPr="00C60ED1" w:rsidRDefault="00D62B1B" w:rsidP="00C50996">
      <w:pPr>
        <w:rPr>
          <w:sz w:val="22"/>
          <w:szCs w:val="22"/>
          <w:lang w:val="sk-SK"/>
        </w:rPr>
      </w:pPr>
    </w:p>
    <w:p w14:paraId="4A31CA78" w14:textId="77777777" w:rsidR="00D62B1B" w:rsidRPr="00C60ED1" w:rsidRDefault="00D62B1B" w:rsidP="00C50996">
      <w:pPr>
        <w:rPr>
          <w:i/>
          <w:sz w:val="22"/>
          <w:szCs w:val="22"/>
          <w:u w:val="single"/>
          <w:lang w:val="sk-SK"/>
        </w:rPr>
      </w:pPr>
      <w:r w:rsidRPr="00C60ED1">
        <w:rPr>
          <w:i/>
          <w:sz w:val="22"/>
          <w:szCs w:val="22"/>
          <w:u w:val="single"/>
          <w:lang w:val="sk-SK"/>
        </w:rPr>
        <w:t>Manické epizódy (dospelí)</w:t>
      </w:r>
    </w:p>
    <w:p w14:paraId="73312B37" w14:textId="727ACCF8" w:rsidR="00D62B1B" w:rsidRPr="00C60ED1" w:rsidRDefault="001D2DD8" w:rsidP="00C50996">
      <w:pPr>
        <w:pStyle w:val="Zkladntext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Priemer</w:t>
      </w:r>
      <w:r w:rsidR="00D62B1B" w:rsidRPr="00C60ED1">
        <w:rPr>
          <w:sz w:val="22"/>
          <w:szCs w:val="22"/>
          <w:lang w:val="sk-SK"/>
        </w:rPr>
        <w:t xml:space="preserve">ná denná </w:t>
      </w:r>
      <w:r w:rsidR="009446D7" w:rsidRPr="00C60ED1">
        <w:rPr>
          <w:sz w:val="22"/>
          <w:szCs w:val="22"/>
          <w:lang w:val="sk-SK"/>
        </w:rPr>
        <w:t xml:space="preserve">dávka predstavuje 20 mg </w:t>
      </w:r>
      <w:r w:rsidR="00526183" w:rsidRPr="00C60ED1">
        <w:rPr>
          <w:sz w:val="22"/>
          <w:szCs w:val="22"/>
          <w:lang w:val="sk-SK"/>
        </w:rPr>
        <w:t>valpro</w:t>
      </w:r>
      <w:r w:rsidR="002513E8" w:rsidRPr="00C60ED1">
        <w:rPr>
          <w:sz w:val="22"/>
          <w:szCs w:val="22"/>
          <w:lang w:val="sk-SK"/>
        </w:rPr>
        <w:t>át</w:t>
      </w:r>
      <w:r w:rsidR="00526183" w:rsidRPr="00C60ED1">
        <w:rPr>
          <w:sz w:val="22"/>
          <w:szCs w:val="22"/>
          <w:lang w:val="sk-SK"/>
        </w:rPr>
        <w:t>u sodného</w:t>
      </w:r>
      <w:r w:rsidR="00D62B1B" w:rsidRPr="00C60ED1">
        <w:rPr>
          <w:sz w:val="22"/>
          <w:szCs w:val="22"/>
          <w:lang w:val="sk-SK"/>
        </w:rPr>
        <w:t xml:space="preserve">/kg telesnej hmotnosti. Individuálna dávka sa riadi klinickým efektom, pričom môže byť dosiahnutá plazmatická hladina medzi 50-100 µg/ml. Maximálna denná dávka vo výške 60 mg/kg telesnej hmotnosti nemá byť prekročená. Denná dávka sa </w:t>
      </w:r>
      <w:r w:rsidR="005375D0" w:rsidRPr="00C60ED1">
        <w:rPr>
          <w:sz w:val="22"/>
          <w:szCs w:val="22"/>
          <w:lang w:val="sk-SK"/>
        </w:rPr>
        <w:t xml:space="preserve">má </w:t>
      </w:r>
      <w:r w:rsidR="00D62B1B" w:rsidRPr="00C60ED1">
        <w:rPr>
          <w:sz w:val="22"/>
          <w:szCs w:val="22"/>
          <w:lang w:val="sk-SK"/>
        </w:rPr>
        <w:t>podávať v 3 rozdelených dávkach.</w:t>
      </w:r>
    </w:p>
    <w:p w14:paraId="5ABC731D" w14:textId="04FAD018" w:rsidR="005A0AA6" w:rsidRPr="00C60ED1" w:rsidRDefault="005A0AA6">
      <w:pPr>
        <w:rPr>
          <w:sz w:val="22"/>
          <w:szCs w:val="22"/>
          <w:u w:val="single"/>
          <w:lang w:val="sk-SK"/>
        </w:rPr>
      </w:pPr>
    </w:p>
    <w:p w14:paraId="26DF2C8A" w14:textId="77777777" w:rsidR="005A0AA6" w:rsidRPr="00C60ED1" w:rsidRDefault="005A0AA6">
      <w:pPr>
        <w:rPr>
          <w:sz w:val="22"/>
          <w:szCs w:val="22"/>
          <w:u w:val="single"/>
          <w:lang w:val="sk-SK"/>
        </w:rPr>
      </w:pPr>
      <w:r w:rsidRPr="00C60ED1">
        <w:rPr>
          <w:sz w:val="22"/>
          <w:szCs w:val="22"/>
          <w:u w:val="single"/>
          <w:lang w:val="sk-SK"/>
        </w:rPr>
        <w:t>Spôsob</w:t>
      </w:r>
      <w:r w:rsidRPr="00C60ED1">
        <w:rPr>
          <w:noProof/>
          <w:sz w:val="22"/>
          <w:szCs w:val="22"/>
          <w:u w:val="single"/>
          <w:lang w:val="sk-SK"/>
        </w:rPr>
        <w:t xml:space="preserve"> podávania</w:t>
      </w:r>
    </w:p>
    <w:p w14:paraId="4053E414" w14:textId="639623F3" w:rsidR="00D62B1B" w:rsidRPr="00C60ED1" w:rsidRDefault="00D62B1B" w:rsidP="00C50996">
      <w:pPr>
        <w:rPr>
          <w:snapToGrid w:val="0"/>
          <w:sz w:val="22"/>
          <w:szCs w:val="22"/>
          <w:lang w:val="sk-SK" w:eastAsia="cs-CZ"/>
        </w:rPr>
      </w:pPr>
    </w:p>
    <w:p w14:paraId="6D6199EC" w14:textId="77777777" w:rsidR="00D62B1B" w:rsidRPr="00C60ED1" w:rsidRDefault="001F1F07" w:rsidP="00C50996">
      <w:pPr>
        <w:rPr>
          <w:sz w:val="22"/>
          <w:szCs w:val="22"/>
          <w:lang w:val="sk-SK"/>
        </w:rPr>
      </w:pPr>
      <w:proofErr w:type="spellStart"/>
      <w:r w:rsidRPr="00C60ED1">
        <w:rPr>
          <w:sz w:val="22"/>
          <w:szCs w:val="22"/>
          <w:lang w:val="sk-SK"/>
        </w:rPr>
        <w:t>Gas</w:t>
      </w:r>
      <w:r w:rsidR="005375D0" w:rsidRPr="00C60ED1">
        <w:rPr>
          <w:sz w:val="22"/>
          <w:szCs w:val="22"/>
          <w:lang w:val="sk-SK"/>
        </w:rPr>
        <w:t>t</w:t>
      </w:r>
      <w:r w:rsidRPr="00C60ED1">
        <w:rPr>
          <w:sz w:val="22"/>
          <w:szCs w:val="22"/>
          <w:lang w:val="sk-SK"/>
        </w:rPr>
        <w:t>rorezistentné</w:t>
      </w:r>
      <w:proofErr w:type="spellEnd"/>
      <w:r w:rsidRPr="00C60ED1">
        <w:rPr>
          <w:sz w:val="22"/>
          <w:szCs w:val="22"/>
          <w:lang w:val="sk-SK"/>
        </w:rPr>
        <w:t xml:space="preserve"> tablety</w:t>
      </w:r>
      <w:r w:rsidR="00D62B1B" w:rsidRPr="00C60ED1">
        <w:rPr>
          <w:sz w:val="22"/>
          <w:szCs w:val="22"/>
          <w:lang w:val="sk-SK"/>
        </w:rPr>
        <w:t xml:space="preserve"> sa užívajú asi 1 hodinu pred jedlom (ráno nalačno) nerozhryzené, a </w:t>
      </w:r>
      <w:r w:rsidR="001D2DD8" w:rsidRPr="00C60ED1">
        <w:rPr>
          <w:sz w:val="22"/>
          <w:szCs w:val="22"/>
          <w:lang w:val="sk-SK"/>
        </w:rPr>
        <w:t>maj</w:t>
      </w:r>
      <w:r w:rsidR="00D62B1B" w:rsidRPr="00C60ED1">
        <w:rPr>
          <w:sz w:val="22"/>
          <w:szCs w:val="22"/>
          <w:lang w:val="sk-SK"/>
        </w:rPr>
        <w:t xml:space="preserve">ú sa </w:t>
      </w:r>
      <w:r w:rsidR="001D2DD8" w:rsidRPr="00C60ED1">
        <w:rPr>
          <w:sz w:val="22"/>
          <w:szCs w:val="22"/>
          <w:lang w:val="sk-SK"/>
        </w:rPr>
        <w:t xml:space="preserve">zapiť </w:t>
      </w:r>
      <w:r w:rsidR="00D62B1B" w:rsidRPr="00C60ED1">
        <w:rPr>
          <w:sz w:val="22"/>
          <w:szCs w:val="22"/>
          <w:lang w:val="sk-SK"/>
        </w:rPr>
        <w:t>veľkým množstvom tekutiny (približne 1 pohár vody).</w:t>
      </w:r>
    </w:p>
    <w:p w14:paraId="7ABC5F0A" w14:textId="77777777" w:rsidR="00C50996" w:rsidRPr="00C60ED1" w:rsidRDefault="00C50996" w:rsidP="00C50996">
      <w:pPr>
        <w:rPr>
          <w:sz w:val="22"/>
          <w:szCs w:val="22"/>
          <w:lang w:val="sk-SK"/>
        </w:rPr>
      </w:pPr>
    </w:p>
    <w:p w14:paraId="6D4940F5" w14:textId="77777777" w:rsidR="0003011C" w:rsidRPr="00C60ED1" w:rsidRDefault="00D62B1B" w:rsidP="00C50996">
      <w:pPr>
        <w:keepNext/>
        <w:tabs>
          <w:tab w:val="left" w:pos="567"/>
        </w:tabs>
        <w:jc w:val="both"/>
        <w:rPr>
          <w:sz w:val="22"/>
          <w:szCs w:val="22"/>
          <w:lang w:val="sk-SK"/>
        </w:rPr>
      </w:pPr>
      <w:r w:rsidRPr="00C60ED1">
        <w:rPr>
          <w:b/>
          <w:sz w:val="22"/>
          <w:szCs w:val="22"/>
          <w:lang w:val="sk-SK"/>
        </w:rPr>
        <w:t>4.3</w:t>
      </w:r>
      <w:r w:rsidRPr="00C60ED1">
        <w:rPr>
          <w:b/>
          <w:sz w:val="22"/>
          <w:szCs w:val="22"/>
          <w:lang w:val="sk-SK"/>
        </w:rPr>
        <w:tab/>
        <w:t>Kontraindikácie</w:t>
      </w:r>
    </w:p>
    <w:p w14:paraId="2CDEE384" w14:textId="77777777" w:rsidR="005A0AA6" w:rsidRPr="00C60ED1" w:rsidRDefault="005A0AA6" w:rsidP="0003011C">
      <w:pPr>
        <w:keepNext/>
        <w:tabs>
          <w:tab w:val="left" w:pos="426"/>
        </w:tabs>
        <w:jc w:val="both"/>
        <w:rPr>
          <w:sz w:val="22"/>
          <w:szCs w:val="22"/>
          <w:lang w:val="sk-SK"/>
        </w:rPr>
      </w:pPr>
    </w:p>
    <w:p w14:paraId="041DF3C8" w14:textId="152E4051" w:rsidR="003D7E62" w:rsidRPr="00C60ED1" w:rsidRDefault="003D7E62" w:rsidP="0003011C">
      <w:pPr>
        <w:keepNext/>
        <w:tabs>
          <w:tab w:val="left" w:pos="426"/>
        </w:tabs>
        <w:jc w:val="both"/>
        <w:rPr>
          <w:sz w:val="22"/>
          <w:szCs w:val="22"/>
          <w:lang w:val="sk-SK"/>
        </w:rPr>
      </w:pPr>
      <w:proofErr w:type="spellStart"/>
      <w:r w:rsidRPr="00C60ED1">
        <w:rPr>
          <w:sz w:val="22"/>
          <w:szCs w:val="22"/>
          <w:lang w:val="sk-SK"/>
        </w:rPr>
        <w:t>Orfiril</w:t>
      </w:r>
      <w:proofErr w:type="spellEnd"/>
      <w:r w:rsidRPr="00C60ED1">
        <w:rPr>
          <w:sz w:val="22"/>
          <w:szCs w:val="22"/>
          <w:lang w:val="sk-SK"/>
        </w:rPr>
        <w:t xml:space="preserve"> 150/300/600 je kontraindikovaný v nasledujúcich situáciách:</w:t>
      </w:r>
    </w:p>
    <w:p w14:paraId="2B9F406E" w14:textId="2D5FE5AF" w:rsidR="005A0AA6" w:rsidRPr="00C60ED1" w:rsidRDefault="003D7E62" w:rsidP="005F5DB2">
      <w:pPr>
        <w:pStyle w:val="Hlavika"/>
        <w:keepNext/>
        <w:numPr>
          <w:ilvl w:val="0"/>
          <w:numId w:val="20"/>
        </w:numPr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p</w:t>
      </w:r>
      <w:r w:rsidR="005A0AA6" w:rsidRPr="00C60ED1">
        <w:rPr>
          <w:sz w:val="22"/>
          <w:szCs w:val="22"/>
          <w:lang w:val="sk-SK"/>
        </w:rPr>
        <w:t>recitlivenosť na liečivo alebo na ktorúkoľvek z pomocných látok uvedených v časti 6.1</w:t>
      </w:r>
      <w:r w:rsidRPr="00C60ED1">
        <w:rPr>
          <w:sz w:val="22"/>
          <w:szCs w:val="22"/>
          <w:lang w:val="sk-SK"/>
        </w:rPr>
        <w:t>,</w:t>
      </w:r>
    </w:p>
    <w:p w14:paraId="228E46F4" w14:textId="77777777" w:rsidR="00D62B1B" w:rsidRPr="00C60ED1" w:rsidRDefault="00D62B1B" w:rsidP="00C50996">
      <w:pPr>
        <w:pStyle w:val="Hlavika"/>
        <w:keepNext/>
        <w:numPr>
          <w:ilvl w:val="0"/>
          <w:numId w:val="20"/>
        </w:numPr>
        <w:tabs>
          <w:tab w:val="clear" w:pos="4536"/>
          <w:tab w:val="clear" w:pos="9072"/>
        </w:tabs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ochorením pečene alebo s</w:t>
      </w:r>
      <w:r w:rsidR="008A7740" w:rsidRPr="00C60ED1">
        <w:rPr>
          <w:sz w:val="22"/>
          <w:szCs w:val="22"/>
          <w:lang w:val="sk-SK"/>
        </w:rPr>
        <w:t xml:space="preserve"> </w:t>
      </w:r>
      <w:r w:rsidRPr="00C60ED1">
        <w:rPr>
          <w:sz w:val="22"/>
          <w:szCs w:val="22"/>
          <w:lang w:val="sk-SK"/>
        </w:rPr>
        <w:t>ochoren</w:t>
      </w:r>
      <w:r w:rsidR="008A7740" w:rsidRPr="00C60ED1">
        <w:rPr>
          <w:sz w:val="22"/>
          <w:szCs w:val="22"/>
          <w:lang w:val="sk-SK"/>
        </w:rPr>
        <w:t>ím</w:t>
      </w:r>
      <w:r w:rsidRPr="00C60ED1">
        <w:rPr>
          <w:sz w:val="22"/>
          <w:szCs w:val="22"/>
          <w:lang w:val="sk-SK"/>
        </w:rPr>
        <w:t xml:space="preserve"> pečene</w:t>
      </w:r>
      <w:r w:rsidR="008A7740" w:rsidRPr="00C60ED1">
        <w:rPr>
          <w:sz w:val="22"/>
          <w:szCs w:val="22"/>
          <w:lang w:val="sk-SK"/>
        </w:rPr>
        <w:t xml:space="preserve"> v anamnéze</w:t>
      </w:r>
      <w:r w:rsidRPr="00C60ED1">
        <w:rPr>
          <w:sz w:val="22"/>
          <w:szCs w:val="22"/>
          <w:lang w:val="sk-SK"/>
        </w:rPr>
        <w:t xml:space="preserve"> a/alebo prítomnou pečeňovou alebo pankreatickou insuficienciou,</w:t>
      </w:r>
    </w:p>
    <w:p w14:paraId="4744B902" w14:textId="77777777" w:rsidR="00D62B1B" w:rsidRPr="00C60ED1" w:rsidRDefault="00D62B1B" w:rsidP="00C50996">
      <w:pPr>
        <w:keepLines/>
        <w:numPr>
          <w:ilvl w:val="0"/>
          <w:numId w:val="20"/>
        </w:numPr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rodinnou anamnézou ochorenia pečene,</w:t>
      </w:r>
    </w:p>
    <w:p w14:paraId="327A6EAC" w14:textId="102B3D2A" w:rsidR="00D62B1B" w:rsidRPr="00C60ED1" w:rsidRDefault="00D62B1B" w:rsidP="00C50996">
      <w:pPr>
        <w:pStyle w:val="Zarkazkladnhotextu3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výskytom funkčných porúch pečene so smrteľným ukončením v pri</w:t>
      </w:r>
      <w:r w:rsidR="001E3DE7" w:rsidRPr="00C60ED1">
        <w:rPr>
          <w:sz w:val="22"/>
          <w:szCs w:val="22"/>
          <w:lang w:val="sk-SK"/>
        </w:rPr>
        <w:t xml:space="preserve">ebehu liečby </w:t>
      </w:r>
      <w:proofErr w:type="spellStart"/>
      <w:r w:rsidR="00AE7AAF" w:rsidRPr="00C60ED1">
        <w:rPr>
          <w:sz w:val="22"/>
          <w:szCs w:val="22"/>
          <w:lang w:val="sk-SK"/>
        </w:rPr>
        <w:t>valpro</w:t>
      </w:r>
      <w:r w:rsidR="002513E8" w:rsidRPr="00C60ED1">
        <w:rPr>
          <w:sz w:val="22"/>
          <w:szCs w:val="22"/>
          <w:lang w:val="sk-SK"/>
        </w:rPr>
        <w:t>át</w:t>
      </w:r>
      <w:r w:rsidR="00AE7AAF" w:rsidRPr="00C60ED1">
        <w:rPr>
          <w:sz w:val="22"/>
          <w:szCs w:val="22"/>
          <w:lang w:val="sk-SK"/>
        </w:rPr>
        <w:t>om</w:t>
      </w:r>
      <w:proofErr w:type="spellEnd"/>
      <w:r w:rsidR="00AE7AAF" w:rsidRPr="00C60ED1">
        <w:rPr>
          <w:sz w:val="22"/>
          <w:szCs w:val="22"/>
          <w:lang w:val="sk-SK"/>
        </w:rPr>
        <w:t xml:space="preserve"> sodným</w:t>
      </w:r>
      <w:r w:rsidR="00AE7AAF" w:rsidRPr="00C60ED1" w:rsidDel="00AE7AAF">
        <w:rPr>
          <w:sz w:val="22"/>
          <w:szCs w:val="22"/>
          <w:lang w:val="sk-SK"/>
        </w:rPr>
        <w:t xml:space="preserve"> </w:t>
      </w:r>
      <w:r w:rsidRPr="00C60ED1">
        <w:rPr>
          <w:sz w:val="22"/>
          <w:szCs w:val="22"/>
          <w:lang w:val="sk-SK"/>
        </w:rPr>
        <w:t>u súrodencov,</w:t>
      </w:r>
    </w:p>
    <w:p w14:paraId="1DF49A5F" w14:textId="77777777" w:rsidR="00D62B1B" w:rsidRPr="00C60ED1" w:rsidRDefault="00D62B1B" w:rsidP="00C50996">
      <w:pPr>
        <w:keepLines/>
        <w:numPr>
          <w:ilvl w:val="0"/>
          <w:numId w:val="20"/>
        </w:numPr>
        <w:rPr>
          <w:sz w:val="22"/>
          <w:szCs w:val="22"/>
          <w:lang w:val="sk-SK"/>
        </w:rPr>
      </w:pPr>
      <w:proofErr w:type="spellStart"/>
      <w:r w:rsidRPr="00C60ED1">
        <w:rPr>
          <w:sz w:val="22"/>
          <w:szCs w:val="22"/>
          <w:lang w:val="sk-SK"/>
        </w:rPr>
        <w:t>porfýriou</w:t>
      </w:r>
      <w:proofErr w:type="spellEnd"/>
      <w:r w:rsidRPr="00C60ED1">
        <w:rPr>
          <w:sz w:val="22"/>
          <w:szCs w:val="22"/>
          <w:lang w:val="sk-SK"/>
        </w:rPr>
        <w:t>.</w:t>
      </w:r>
    </w:p>
    <w:p w14:paraId="0CE950F5" w14:textId="36F7F9F3" w:rsidR="009C1E3D" w:rsidRPr="00C60ED1" w:rsidRDefault="009C1E3D" w:rsidP="007E06FB">
      <w:pPr>
        <w:numPr>
          <w:ilvl w:val="0"/>
          <w:numId w:val="20"/>
        </w:numPr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u pacientov so známymi </w:t>
      </w:r>
      <w:proofErr w:type="spellStart"/>
      <w:r w:rsidRPr="00C60ED1">
        <w:rPr>
          <w:sz w:val="22"/>
          <w:szCs w:val="22"/>
          <w:lang w:val="sk-SK"/>
        </w:rPr>
        <w:t>mitochondriálnymi</w:t>
      </w:r>
      <w:proofErr w:type="spellEnd"/>
      <w:r w:rsidRPr="00C60ED1">
        <w:rPr>
          <w:sz w:val="22"/>
          <w:szCs w:val="22"/>
          <w:lang w:val="sk-SK"/>
        </w:rPr>
        <w:t xml:space="preserve"> poruchami zapríčinenými mutáciou jadrového génu kódujúceho </w:t>
      </w:r>
      <w:proofErr w:type="spellStart"/>
      <w:r w:rsidRPr="00C60ED1">
        <w:rPr>
          <w:sz w:val="22"/>
          <w:szCs w:val="22"/>
          <w:lang w:val="sk-SK"/>
        </w:rPr>
        <w:t>mitochondriálny</w:t>
      </w:r>
      <w:proofErr w:type="spellEnd"/>
      <w:r w:rsidRPr="00C60ED1">
        <w:rPr>
          <w:sz w:val="22"/>
          <w:szCs w:val="22"/>
          <w:lang w:val="sk-SK"/>
        </w:rPr>
        <w:t xml:space="preserve"> enzým </w:t>
      </w:r>
      <w:proofErr w:type="spellStart"/>
      <w:r w:rsidRPr="00C60ED1">
        <w:rPr>
          <w:sz w:val="22"/>
          <w:szCs w:val="22"/>
          <w:lang w:val="sk-SK"/>
        </w:rPr>
        <w:t>polymerázu</w:t>
      </w:r>
      <w:proofErr w:type="spellEnd"/>
      <w:r w:rsidRPr="00C60ED1">
        <w:rPr>
          <w:sz w:val="22"/>
          <w:szCs w:val="22"/>
          <w:lang w:val="sk-SK"/>
        </w:rPr>
        <w:t xml:space="preserve"> γ (</w:t>
      </w:r>
      <w:proofErr w:type="spellStart"/>
      <w:r w:rsidRPr="00C60ED1">
        <w:rPr>
          <w:sz w:val="22"/>
          <w:szCs w:val="22"/>
          <w:lang w:val="sk-SK"/>
        </w:rPr>
        <w:t>POLG</w:t>
      </w:r>
      <w:proofErr w:type="spellEnd"/>
      <w:r w:rsidRPr="00C60ED1">
        <w:rPr>
          <w:sz w:val="22"/>
          <w:szCs w:val="22"/>
          <w:lang w:val="sk-SK"/>
        </w:rPr>
        <w:t xml:space="preserve">), ako je napr. Alpersov-Huttenlocherov syndróm, a u detí mladších ako dva roky, u ktorých je podozrenie, že majú poruchu súvisiacu s </w:t>
      </w:r>
      <w:proofErr w:type="spellStart"/>
      <w:r w:rsidRPr="00C60ED1">
        <w:rPr>
          <w:sz w:val="22"/>
          <w:szCs w:val="22"/>
          <w:lang w:val="sk-SK"/>
        </w:rPr>
        <w:t>POLG</w:t>
      </w:r>
      <w:proofErr w:type="spellEnd"/>
      <w:r w:rsidRPr="00C60ED1">
        <w:rPr>
          <w:sz w:val="22"/>
          <w:szCs w:val="22"/>
          <w:lang w:val="sk-SK"/>
        </w:rPr>
        <w:t xml:space="preserve"> (pozri časť 4.4)</w:t>
      </w:r>
      <w:r w:rsidR="00AE7AAF" w:rsidRPr="00C60ED1">
        <w:rPr>
          <w:sz w:val="22"/>
          <w:szCs w:val="22"/>
          <w:lang w:val="sk-SK"/>
        </w:rPr>
        <w:t>.</w:t>
      </w:r>
    </w:p>
    <w:p w14:paraId="4BD2F8D7" w14:textId="77777777" w:rsidR="00D62B1B" w:rsidRPr="00C60ED1" w:rsidRDefault="00D62B1B">
      <w:pPr>
        <w:tabs>
          <w:tab w:val="left" w:pos="426"/>
        </w:tabs>
        <w:ind w:left="426"/>
        <w:jc w:val="both"/>
        <w:rPr>
          <w:sz w:val="22"/>
          <w:szCs w:val="22"/>
          <w:lang w:val="sk-SK"/>
        </w:rPr>
      </w:pPr>
    </w:p>
    <w:p w14:paraId="020A5056" w14:textId="5444EE29" w:rsidR="00EF6598" w:rsidRPr="00C60ED1" w:rsidRDefault="00EF6598" w:rsidP="00C60ED1">
      <w:pPr>
        <w:tabs>
          <w:tab w:val="left" w:pos="426"/>
        </w:tabs>
        <w:jc w:val="both"/>
        <w:rPr>
          <w:sz w:val="22"/>
          <w:szCs w:val="22"/>
          <w:u w:val="single"/>
          <w:lang w:val="sk-SK"/>
        </w:rPr>
      </w:pPr>
      <w:r w:rsidRPr="00C60ED1">
        <w:rPr>
          <w:sz w:val="22"/>
          <w:szCs w:val="22"/>
          <w:u w:val="single"/>
          <w:lang w:val="sk-SK"/>
        </w:rPr>
        <w:t>Liečba epilepsie</w:t>
      </w:r>
    </w:p>
    <w:p w14:paraId="2315393A" w14:textId="5447E98C" w:rsidR="00EF6598" w:rsidRPr="00C60ED1" w:rsidRDefault="00EF6598" w:rsidP="005F5DB2">
      <w:pPr>
        <w:pStyle w:val="Zarkazkladnhotextu3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počas tehotenstva, pokiaľ existuje iná vhodná alternatívna liečba (pozri časti 4.4 a 4.6</w:t>
      </w:r>
      <w:r w:rsidR="003D7E62" w:rsidRPr="00C60ED1">
        <w:rPr>
          <w:sz w:val="22"/>
          <w:szCs w:val="22"/>
          <w:lang w:val="sk-SK"/>
        </w:rPr>
        <w:t>),</w:t>
      </w:r>
    </w:p>
    <w:p w14:paraId="12B3C393" w14:textId="623CB42B" w:rsidR="00EF6598" w:rsidRPr="00C60ED1" w:rsidRDefault="00EF6598" w:rsidP="005F5DB2">
      <w:pPr>
        <w:pStyle w:val="Zarkazkladnhotextu3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u žien vo fertilnom veku, pokiaľ nie sú splnené podmienky Programu </w:t>
      </w:r>
      <w:r w:rsidR="00932456" w:rsidRPr="00C60ED1">
        <w:rPr>
          <w:sz w:val="22"/>
          <w:szCs w:val="22"/>
          <w:lang w:val="sk-SK"/>
        </w:rPr>
        <w:t>prevencie</w:t>
      </w:r>
      <w:r w:rsidRPr="00C60ED1">
        <w:rPr>
          <w:sz w:val="22"/>
          <w:szCs w:val="22"/>
          <w:lang w:val="sk-SK"/>
        </w:rPr>
        <w:t xml:space="preserve"> tehotenstva (pozri časti 4.4 a 4.6).</w:t>
      </w:r>
    </w:p>
    <w:p w14:paraId="125F271E" w14:textId="77777777" w:rsidR="00EF6598" w:rsidRPr="00C60ED1" w:rsidRDefault="00EF6598">
      <w:pPr>
        <w:tabs>
          <w:tab w:val="left" w:pos="426"/>
        </w:tabs>
        <w:ind w:left="426"/>
        <w:jc w:val="both"/>
        <w:rPr>
          <w:sz w:val="22"/>
          <w:szCs w:val="22"/>
          <w:lang w:val="sk-SK"/>
        </w:rPr>
      </w:pPr>
    </w:p>
    <w:p w14:paraId="0D07662E" w14:textId="7C315FDE" w:rsidR="00EF6598" w:rsidRPr="00C60ED1" w:rsidRDefault="00EF6598" w:rsidP="00C60ED1">
      <w:pPr>
        <w:tabs>
          <w:tab w:val="left" w:pos="426"/>
        </w:tabs>
        <w:jc w:val="both"/>
        <w:rPr>
          <w:sz w:val="22"/>
          <w:szCs w:val="22"/>
          <w:u w:val="single"/>
          <w:lang w:val="sk-SK"/>
        </w:rPr>
      </w:pPr>
      <w:r w:rsidRPr="00C60ED1">
        <w:rPr>
          <w:sz w:val="22"/>
          <w:szCs w:val="22"/>
          <w:u w:val="single"/>
          <w:lang w:val="sk-SK"/>
        </w:rPr>
        <w:t>Liečba bipolárnej poruchy</w:t>
      </w:r>
    </w:p>
    <w:p w14:paraId="26129EB7" w14:textId="1A724B04" w:rsidR="00EF6598" w:rsidRPr="00C60ED1" w:rsidRDefault="00EF6598" w:rsidP="005F5DB2">
      <w:pPr>
        <w:pStyle w:val="Zarkazkladnhotextu3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počas tehotenstva (pozri časti 4.4 a 4.6</w:t>
      </w:r>
      <w:r w:rsidR="003D7E62" w:rsidRPr="00C60ED1">
        <w:rPr>
          <w:sz w:val="22"/>
          <w:szCs w:val="22"/>
          <w:lang w:val="sk-SK"/>
        </w:rPr>
        <w:t>),</w:t>
      </w:r>
    </w:p>
    <w:p w14:paraId="6FE7AE20" w14:textId="4DD8CE1B" w:rsidR="00EF6598" w:rsidRPr="00C60ED1" w:rsidRDefault="00EF6598" w:rsidP="005F5DB2">
      <w:pPr>
        <w:pStyle w:val="Zarkazkladnhotextu3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u žien vo fertilnom veku, pokiaľ nie sú splnené podmienky Programu </w:t>
      </w:r>
      <w:r w:rsidR="00932456" w:rsidRPr="00C60ED1">
        <w:rPr>
          <w:sz w:val="22"/>
          <w:szCs w:val="22"/>
          <w:lang w:val="sk-SK"/>
        </w:rPr>
        <w:t>prevencie</w:t>
      </w:r>
      <w:r w:rsidRPr="00C60ED1">
        <w:rPr>
          <w:sz w:val="22"/>
          <w:szCs w:val="22"/>
          <w:lang w:val="sk-SK"/>
        </w:rPr>
        <w:t xml:space="preserve"> tehotenstva (pozri časti 4.4 a 4.6).</w:t>
      </w:r>
    </w:p>
    <w:p w14:paraId="26100367" w14:textId="77777777" w:rsidR="00EF6598" w:rsidRPr="00C60ED1" w:rsidRDefault="00EF6598">
      <w:pPr>
        <w:tabs>
          <w:tab w:val="left" w:pos="426"/>
        </w:tabs>
        <w:ind w:left="426"/>
        <w:jc w:val="both"/>
        <w:rPr>
          <w:sz w:val="22"/>
          <w:szCs w:val="22"/>
          <w:lang w:val="sk-SK"/>
        </w:rPr>
      </w:pPr>
    </w:p>
    <w:p w14:paraId="77A13122" w14:textId="77777777" w:rsidR="00D62B1B" w:rsidRPr="00C60ED1" w:rsidRDefault="001E3DE7" w:rsidP="00C50996">
      <w:pPr>
        <w:tabs>
          <w:tab w:val="left" w:pos="567"/>
        </w:tabs>
        <w:jc w:val="both"/>
        <w:rPr>
          <w:b/>
          <w:sz w:val="22"/>
          <w:szCs w:val="22"/>
          <w:lang w:val="sk-SK"/>
        </w:rPr>
      </w:pPr>
      <w:r w:rsidRPr="00C60ED1">
        <w:rPr>
          <w:b/>
          <w:sz w:val="22"/>
          <w:szCs w:val="22"/>
          <w:lang w:val="sk-SK"/>
        </w:rPr>
        <w:t>4.4</w:t>
      </w:r>
      <w:r w:rsidRPr="00C60ED1">
        <w:rPr>
          <w:b/>
          <w:sz w:val="22"/>
          <w:szCs w:val="22"/>
          <w:lang w:val="sk-SK"/>
        </w:rPr>
        <w:tab/>
      </w:r>
      <w:r w:rsidR="005375D0" w:rsidRPr="00C60ED1">
        <w:rPr>
          <w:b/>
          <w:sz w:val="22"/>
          <w:szCs w:val="22"/>
          <w:lang w:val="sk-SK"/>
        </w:rPr>
        <w:t>Osobitné upozornenia a opatrenia pri používaní</w:t>
      </w:r>
      <w:r w:rsidRPr="00C60ED1">
        <w:rPr>
          <w:b/>
          <w:sz w:val="22"/>
          <w:szCs w:val="22"/>
          <w:lang w:val="sk-SK"/>
        </w:rPr>
        <w:t xml:space="preserve"> </w:t>
      </w:r>
    </w:p>
    <w:p w14:paraId="5FE4AEF1" w14:textId="77777777" w:rsidR="005A0AA6" w:rsidRPr="00C60ED1" w:rsidRDefault="005A0AA6">
      <w:pPr>
        <w:tabs>
          <w:tab w:val="left" w:pos="426"/>
        </w:tabs>
        <w:jc w:val="both"/>
        <w:rPr>
          <w:b/>
          <w:sz w:val="22"/>
          <w:szCs w:val="22"/>
          <w:lang w:val="sk-SK"/>
        </w:rPr>
      </w:pPr>
    </w:p>
    <w:p w14:paraId="7DE6EE2B" w14:textId="77777777" w:rsidR="00D62B1B" w:rsidRPr="00C60ED1" w:rsidRDefault="00D62B1B">
      <w:pPr>
        <w:pStyle w:val="Zkladntext"/>
        <w:keepNext/>
        <w:tabs>
          <w:tab w:val="left" w:pos="0"/>
        </w:tabs>
        <w:jc w:val="both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Mimoriadna opatrnosť je </w:t>
      </w:r>
      <w:r w:rsidR="008A7740" w:rsidRPr="00C60ED1">
        <w:rPr>
          <w:sz w:val="22"/>
          <w:szCs w:val="22"/>
          <w:lang w:val="sk-SK"/>
        </w:rPr>
        <w:t>po</w:t>
      </w:r>
      <w:r w:rsidRPr="00C60ED1">
        <w:rPr>
          <w:sz w:val="22"/>
          <w:szCs w:val="22"/>
          <w:lang w:val="sk-SK"/>
        </w:rPr>
        <w:t>t</w:t>
      </w:r>
      <w:r w:rsidR="008A7740" w:rsidRPr="00C60ED1">
        <w:rPr>
          <w:sz w:val="22"/>
          <w:szCs w:val="22"/>
          <w:lang w:val="sk-SK"/>
        </w:rPr>
        <w:t>reb</w:t>
      </w:r>
      <w:r w:rsidRPr="00C60ED1">
        <w:rPr>
          <w:sz w:val="22"/>
          <w:szCs w:val="22"/>
          <w:lang w:val="sk-SK"/>
        </w:rPr>
        <w:t>ná u:</w:t>
      </w:r>
    </w:p>
    <w:p w14:paraId="1F4BDB8A" w14:textId="299D88BB" w:rsidR="00D62B1B" w:rsidRPr="00C60ED1" w:rsidRDefault="00D62B1B">
      <w:pPr>
        <w:pStyle w:val="Zarkazkladnhotextu"/>
        <w:tabs>
          <w:tab w:val="left" w:pos="-426"/>
        </w:tabs>
        <w:ind w:left="142" w:hanging="142"/>
        <w:jc w:val="both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-  dojčiat a detí, ktoré sú sú</w:t>
      </w:r>
      <w:r w:rsidR="005A0AA6" w:rsidRPr="00C60ED1">
        <w:rPr>
          <w:sz w:val="22"/>
          <w:szCs w:val="22"/>
          <w:lang w:val="sk-SK"/>
        </w:rPr>
        <w:t>bežne</w:t>
      </w:r>
      <w:r w:rsidRPr="00C60ED1">
        <w:rPr>
          <w:sz w:val="22"/>
          <w:szCs w:val="22"/>
          <w:lang w:val="sk-SK"/>
        </w:rPr>
        <w:t xml:space="preserve"> liečené viacerými antiepileptikami</w:t>
      </w:r>
      <w:r w:rsidR="008A7740" w:rsidRPr="00C60ED1">
        <w:rPr>
          <w:sz w:val="22"/>
          <w:szCs w:val="22"/>
          <w:lang w:val="sk-SK"/>
        </w:rPr>
        <w:t>,</w:t>
      </w:r>
    </w:p>
    <w:p w14:paraId="3C31F09C" w14:textId="77777777" w:rsidR="00D62B1B" w:rsidRPr="00C60ED1" w:rsidRDefault="00D62B1B">
      <w:pPr>
        <w:tabs>
          <w:tab w:val="left" w:pos="0"/>
        </w:tabs>
        <w:jc w:val="both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-  pacientov s</w:t>
      </w:r>
      <w:r w:rsidR="005375D0" w:rsidRPr="00C60ED1">
        <w:rPr>
          <w:sz w:val="22"/>
          <w:szCs w:val="22"/>
          <w:lang w:val="sk-SK"/>
        </w:rPr>
        <w:t> </w:t>
      </w:r>
      <w:r w:rsidRPr="00C60ED1">
        <w:rPr>
          <w:sz w:val="22"/>
          <w:szCs w:val="22"/>
          <w:lang w:val="sk-SK"/>
        </w:rPr>
        <w:t>pre</w:t>
      </w:r>
      <w:r w:rsidR="005375D0" w:rsidRPr="00C60ED1">
        <w:rPr>
          <w:sz w:val="22"/>
          <w:szCs w:val="22"/>
          <w:lang w:val="sk-SK"/>
        </w:rPr>
        <w:t>d</w:t>
      </w:r>
      <w:r w:rsidRPr="00C60ED1">
        <w:rPr>
          <w:sz w:val="22"/>
          <w:szCs w:val="22"/>
          <w:lang w:val="sk-SK"/>
        </w:rPr>
        <w:t>chádzajúcim poškodením kostnej drene,</w:t>
      </w:r>
    </w:p>
    <w:p w14:paraId="62E86258" w14:textId="1B933AE3" w:rsidR="00D62B1B" w:rsidRPr="00C60ED1" w:rsidRDefault="00D62B1B">
      <w:pPr>
        <w:tabs>
          <w:tab w:val="left" w:pos="0"/>
        </w:tabs>
        <w:jc w:val="both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-  detí a</w:t>
      </w:r>
      <w:r w:rsidR="005A0AA6" w:rsidRPr="00C60ED1">
        <w:rPr>
          <w:sz w:val="22"/>
          <w:szCs w:val="22"/>
          <w:lang w:val="sk-SK"/>
        </w:rPr>
        <w:t xml:space="preserve"> dospievajúcich</w:t>
      </w:r>
      <w:r w:rsidRPr="00C60ED1">
        <w:rPr>
          <w:sz w:val="22"/>
          <w:szCs w:val="22"/>
          <w:lang w:val="sk-SK"/>
        </w:rPr>
        <w:t xml:space="preserve"> s kombinovanými poškodeniami a ťažkými formami epilepsie,</w:t>
      </w:r>
    </w:p>
    <w:p w14:paraId="0811A35D" w14:textId="77777777" w:rsidR="00D62B1B" w:rsidRPr="00C60ED1" w:rsidRDefault="00D62B1B">
      <w:pPr>
        <w:tabs>
          <w:tab w:val="left" w:pos="0"/>
        </w:tabs>
        <w:jc w:val="both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lastRenderedPageBreak/>
        <w:t>-  pacientov s poruchami krvnej zrážavosti,</w:t>
      </w:r>
    </w:p>
    <w:p w14:paraId="27B4CEA6" w14:textId="77777777" w:rsidR="004B1C0C" w:rsidRPr="00C60ED1" w:rsidRDefault="00D62B1B">
      <w:pPr>
        <w:tabs>
          <w:tab w:val="left" w:pos="0"/>
        </w:tabs>
        <w:jc w:val="both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-  pacientov so zriedkavým vrodeným ochorením s enzymatickým deficitom</w:t>
      </w:r>
      <w:r w:rsidR="004B1C0C" w:rsidRPr="00C60ED1">
        <w:rPr>
          <w:sz w:val="22"/>
          <w:szCs w:val="22"/>
          <w:lang w:val="sk-SK"/>
        </w:rPr>
        <w:t xml:space="preserve"> v pečeni </w:t>
      </w:r>
    </w:p>
    <w:p w14:paraId="5E68820E" w14:textId="0BDFF025" w:rsidR="00D62B1B" w:rsidRPr="00C60ED1" w:rsidRDefault="006B2E1D">
      <w:pPr>
        <w:tabs>
          <w:tab w:val="left" w:pos="0"/>
        </w:tabs>
        <w:jc w:val="both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   </w:t>
      </w:r>
      <w:r w:rsidR="004B1C0C" w:rsidRPr="00C60ED1">
        <w:rPr>
          <w:sz w:val="22"/>
          <w:szCs w:val="22"/>
          <w:lang w:val="sk-SK"/>
        </w:rPr>
        <w:t>a  v</w:t>
      </w:r>
      <w:r w:rsidR="005A0AA6" w:rsidRPr="00C60ED1">
        <w:rPr>
          <w:sz w:val="22"/>
          <w:szCs w:val="22"/>
          <w:lang w:val="sk-SK"/>
        </w:rPr>
        <w:t xml:space="preserve"> pankrease </w:t>
      </w:r>
    </w:p>
    <w:p w14:paraId="6A52456D" w14:textId="77777777" w:rsidR="00D62B1B" w:rsidRPr="00C60ED1" w:rsidRDefault="00D62B1B">
      <w:pPr>
        <w:tabs>
          <w:tab w:val="left" w:pos="0"/>
        </w:tabs>
        <w:jc w:val="both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-  pacientov s </w:t>
      </w:r>
      <w:proofErr w:type="spellStart"/>
      <w:r w:rsidRPr="00C60ED1">
        <w:rPr>
          <w:sz w:val="22"/>
          <w:szCs w:val="22"/>
          <w:lang w:val="sk-SK"/>
        </w:rPr>
        <w:t>renálnou</w:t>
      </w:r>
      <w:proofErr w:type="spellEnd"/>
      <w:r w:rsidRPr="00C60ED1">
        <w:rPr>
          <w:sz w:val="22"/>
          <w:szCs w:val="22"/>
          <w:lang w:val="sk-SK"/>
        </w:rPr>
        <w:t xml:space="preserve"> insuficienciou a </w:t>
      </w:r>
      <w:proofErr w:type="spellStart"/>
      <w:r w:rsidRPr="00C60ED1">
        <w:rPr>
          <w:sz w:val="22"/>
          <w:szCs w:val="22"/>
          <w:lang w:val="sk-SK"/>
        </w:rPr>
        <w:t>hypoproteinémiou</w:t>
      </w:r>
      <w:proofErr w:type="spellEnd"/>
      <w:r w:rsidRPr="00C60ED1">
        <w:rPr>
          <w:sz w:val="22"/>
          <w:szCs w:val="22"/>
          <w:lang w:val="sk-SK"/>
        </w:rPr>
        <w:t>.</w:t>
      </w:r>
    </w:p>
    <w:p w14:paraId="713E477A" w14:textId="77777777" w:rsidR="00D62B1B" w:rsidRPr="00C60ED1" w:rsidRDefault="00D62B1B" w:rsidP="00C50996">
      <w:pPr>
        <w:tabs>
          <w:tab w:val="left" w:pos="0"/>
        </w:tabs>
        <w:rPr>
          <w:sz w:val="22"/>
          <w:szCs w:val="22"/>
          <w:lang w:val="sk-SK"/>
        </w:rPr>
      </w:pPr>
    </w:p>
    <w:p w14:paraId="7D490E33" w14:textId="1167BEA6" w:rsidR="00D62B1B" w:rsidRPr="00C60ED1" w:rsidRDefault="00D62B1B" w:rsidP="00C50996">
      <w:pPr>
        <w:tabs>
          <w:tab w:val="left" w:pos="0"/>
        </w:tabs>
        <w:rPr>
          <w:snapToGrid w:val="0"/>
          <w:sz w:val="22"/>
          <w:szCs w:val="22"/>
          <w:lang w:val="sk-SK" w:eastAsia="cs-CZ"/>
        </w:rPr>
      </w:pPr>
      <w:r w:rsidRPr="00C60ED1">
        <w:rPr>
          <w:snapToGrid w:val="0"/>
          <w:sz w:val="22"/>
          <w:szCs w:val="22"/>
          <w:lang w:val="sk-SK" w:eastAsia="cs-CZ"/>
        </w:rPr>
        <w:t xml:space="preserve">V zriedkavých prípadoch boli pozorované ťažké poškodenia pečene so smrteľným priebehom. Najčastejšie sa jednalo o dojčatá alebo malé deti do 3 rokov, ktoré trpeli ťažkou formou epilepsie, často spojenou s mozgovým poškodením, mentálnou retardáciou a/alebo s vrodenou metabolickou chorobou. U týchto detí možno odporúčať terapiu </w:t>
      </w:r>
      <w:proofErr w:type="spellStart"/>
      <w:r w:rsidR="00AE7AAF" w:rsidRPr="00C60ED1">
        <w:rPr>
          <w:sz w:val="22"/>
          <w:szCs w:val="22"/>
          <w:lang w:val="sk-SK"/>
        </w:rPr>
        <w:t>v</w:t>
      </w:r>
      <w:r w:rsidR="00AE7AAF" w:rsidRPr="00C60ED1">
        <w:rPr>
          <w:sz w:val="22"/>
          <w:szCs w:val="22"/>
          <w:lang w:val="sk-SK" w:eastAsia="sk-SK"/>
        </w:rPr>
        <w:t>alpro</w:t>
      </w:r>
      <w:r w:rsidR="002513E8" w:rsidRPr="00C60ED1">
        <w:rPr>
          <w:sz w:val="22"/>
          <w:szCs w:val="22"/>
          <w:lang w:val="sk-SK" w:eastAsia="sk-SK"/>
        </w:rPr>
        <w:t>át</w:t>
      </w:r>
      <w:r w:rsidR="00AE7AAF" w:rsidRPr="00C60ED1">
        <w:rPr>
          <w:sz w:val="22"/>
          <w:szCs w:val="22"/>
          <w:lang w:val="sk-SK" w:eastAsia="sk-SK"/>
        </w:rPr>
        <w:t>om</w:t>
      </w:r>
      <w:proofErr w:type="spellEnd"/>
      <w:r w:rsidR="00AE7AAF" w:rsidRPr="00C60ED1">
        <w:rPr>
          <w:sz w:val="22"/>
          <w:szCs w:val="22"/>
          <w:lang w:val="sk-SK" w:eastAsia="sk-SK"/>
        </w:rPr>
        <w:t xml:space="preserve"> sodným</w:t>
      </w:r>
      <w:r w:rsidR="00AE7AAF" w:rsidRPr="00C60ED1" w:rsidDel="00AE7AAF">
        <w:rPr>
          <w:sz w:val="22"/>
          <w:szCs w:val="22"/>
          <w:lang w:val="sk-SK"/>
        </w:rPr>
        <w:t xml:space="preserve"> </w:t>
      </w:r>
      <w:r w:rsidRPr="00C60ED1">
        <w:rPr>
          <w:snapToGrid w:val="0"/>
          <w:sz w:val="22"/>
          <w:szCs w:val="22"/>
          <w:lang w:val="sk-SK" w:eastAsia="cs-CZ"/>
        </w:rPr>
        <w:t xml:space="preserve">len so zvláštnou opatrnosťou a v </w:t>
      </w:r>
      <w:proofErr w:type="spellStart"/>
      <w:r w:rsidRPr="00C60ED1">
        <w:rPr>
          <w:snapToGrid w:val="0"/>
          <w:sz w:val="22"/>
          <w:szCs w:val="22"/>
          <w:lang w:val="sk-SK" w:eastAsia="cs-CZ"/>
        </w:rPr>
        <w:t>monoterapii</w:t>
      </w:r>
      <w:proofErr w:type="spellEnd"/>
      <w:r w:rsidRPr="00C60ED1">
        <w:rPr>
          <w:snapToGrid w:val="0"/>
          <w:sz w:val="22"/>
          <w:szCs w:val="22"/>
          <w:lang w:val="sk-SK" w:eastAsia="cs-CZ"/>
        </w:rPr>
        <w:t xml:space="preserve">. Skúsenosti dokazujú, že so zvyšovaním veku pacientov riziko poškodenia pečene významne klesá (najmä po 10 rokoch života). Vo väčšine prípadov k poškodeniu pečene dôjde v prvých 6 mesiacoch liečby, najviac medzi </w:t>
      </w:r>
      <w:smartTag w:uri="urn:schemas-microsoft-com:office:smarttags" w:element="metricconverter">
        <w:smartTagPr>
          <w:attr w:name="ProductID" w:val="2. a"/>
        </w:smartTagPr>
        <w:r w:rsidRPr="00C60ED1">
          <w:rPr>
            <w:snapToGrid w:val="0"/>
            <w:sz w:val="22"/>
            <w:szCs w:val="22"/>
            <w:lang w:val="sk-SK" w:eastAsia="cs-CZ"/>
          </w:rPr>
          <w:t>2. a</w:t>
        </w:r>
      </w:smartTag>
      <w:r w:rsidRPr="00C60ED1">
        <w:rPr>
          <w:snapToGrid w:val="0"/>
          <w:sz w:val="22"/>
          <w:szCs w:val="22"/>
          <w:lang w:val="sk-SK" w:eastAsia="cs-CZ"/>
        </w:rPr>
        <w:t xml:space="preserve"> 12. týždňom a pri sú</w:t>
      </w:r>
      <w:r w:rsidR="005A0AA6" w:rsidRPr="00C60ED1">
        <w:rPr>
          <w:snapToGrid w:val="0"/>
          <w:sz w:val="22"/>
          <w:szCs w:val="22"/>
          <w:lang w:val="sk-SK" w:eastAsia="cs-CZ"/>
        </w:rPr>
        <w:t>bežnom</w:t>
      </w:r>
      <w:r w:rsidRPr="00C60ED1">
        <w:rPr>
          <w:snapToGrid w:val="0"/>
          <w:sz w:val="22"/>
          <w:szCs w:val="22"/>
          <w:lang w:val="sk-SK" w:eastAsia="cs-CZ"/>
        </w:rPr>
        <w:t xml:space="preserve"> užívaní iného antiepileptika.</w:t>
      </w:r>
    </w:p>
    <w:p w14:paraId="76B2B688" w14:textId="77777777" w:rsidR="00D62B1B" w:rsidRPr="00C60ED1" w:rsidRDefault="00D62B1B" w:rsidP="00C50996">
      <w:pPr>
        <w:tabs>
          <w:tab w:val="left" w:pos="0"/>
        </w:tabs>
        <w:rPr>
          <w:sz w:val="22"/>
          <w:szCs w:val="22"/>
          <w:lang w:val="sk-SK"/>
        </w:rPr>
      </w:pPr>
    </w:p>
    <w:p w14:paraId="411170EC" w14:textId="77777777" w:rsidR="00D62B1B" w:rsidRPr="00C60ED1" w:rsidRDefault="00D62B1B" w:rsidP="00C50996">
      <w:pPr>
        <w:keepLines/>
        <w:tabs>
          <w:tab w:val="left" w:pos="0"/>
        </w:tabs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Závažným alebo smrteľným poškodeniam pečene môžu predchádzať nešpecifické príznaky, ako </w:t>
      </w:r>
      <w:r w:rsidR="003134B7" w:rsidRPr="00C60ED1">
        <w:rPr>
          <w:sz w:val="22"/>
          <w:szCs w:val="22"/>
          <w:lang w:val="sk-SK"/>
        </w:rPr>
        <w:t xml:space="preserve">zvýšenie </w:t>
      </w:r>
      <w:r w:rsidRPr="00C60ED1">
        <w:rPr>
          <w:sz w:val="22"/>
          <w:szCs w:val="22"/>
          <w:lang w:val="sk-SK"/>
        </w:rPr>
        <w:t xml:space="preserve">počtu </w:t>
      </w:r>
      <w:r w:rsidR="008A7740" w:rsidRPr="00C60ED1">
        <w:rPr>
          <w:sz w:val="22"/>
          <w:szCs w:val="22"/>
          <w:lang w:val="sk-SK"/>
        </w:rPr>
        <w:t xml:space="preserve">epileptických </w:t>
      </w:r>
      <w:r w:rsidRPr="00C60ED1">
        <w:rPr>
          <w:sz w:val="22"/>
          <w:szCs w:val="22"/>
          <w:lang w:val="sk-SK"/>
        </w:rPr>
        <w:t xml:space="preserve">záchvatov, celková nevoľnosť, nechutenstvo, dávenie, bolesť v </w:t>
      </w:r>
      <w:proofErr w:type="spellStart"/>
      <w:r w:rsidRPr="00C60ED1">
        <w:rPr>
          <w:sz w:val="22"/>
          <w:szCs w:val="22"/>
          <w:lang w:val="sk-SK"/>
        </w:rPr>
        <w:t>nadbruší</w:t>
      </w:r>
      <w:proofErr w:type="spellEnd"/>
      <w:r w:rsidRPr="00C60ED1">
        <w:rPr>
          <w:sz w:val="22"/>
          <w:szCs w:val="22"/>
          <w:lang w:val="sk-SK"/>
        </w:rPr>
        <w:t>, lokalizované alebo generalizované opuchy a letargia. Výskyt týchto príznakov m</w:t>
      </w:r>
      <w:r w:rsidR="008A7740" w:rsidRPr="00C60ED1">
        <w:rPr>
          <w:sz w:val="22"/>
          <w:szCs w:val="22"/>
          <w:lang w:val="sk-SK"/>
        </w:rPr>
        <w:t>á</w:t>
      </w:r>
      <w:r w:rsidRPr="00C60ED1">
        <w:rPr>
          <w:sz w:val="22"/>
          <w:szCs w:val="22"/>
          <w:lang w:val="sk-SK"/>
        </w:rPr>
        <w:t xml:space="preserve"> byť starostlivo sledovaný.</w:t>
      </w:r>
    </w:p>
    <w:p w14:paraId="5525EEC4" w14:textId="77777777" w:rsidR="00D62B1B" w:rsidRPr="00C60ED1" w:rsidRDefault="004B1C0C" w:rsidP="00C50996">
      <w:pPr>
        <w:tabs>
          <w:tab w:val="left" w:pos="0"/>
          <w:tab w:val="left" w:pos="1878"/>
        </w:tabs>
        <w:rPr>
          <w:i/>
          <w:sz w:val="22"/>
          <w:szCs w:val="22"/>
          <w:lang w:val="sk-SK"/>
        </w:rPr>
      </w:pPr>
      <w:r w:rsidRPr="00C60ED1">
        <w:rPr>
          <w:i/>
          <w:sz w:val="22"/>
          <w:szCs w:val="22"/>
          <w:lang w:val="sk-SK"/>
        </w:rPr>
        <w:tab/>
      </w:r>
    </w:p>
    <w:p w14:paraId="2B45B7A9" w14:textId="54099BCD" w:rsidR="00D62B1B" w:rsidRPr="00C60ED1" w:rsidRDefault="001E3DE7" w:rsidP="00C50996">
      <w:pPr>
        <w:pStyle w:val="Zarkazkladnhotextu"/>
        <w:tabs>
          <w:tab w:val="left" w:pos="0"/>
        </w:tabs>
        <w:ind w:left="0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Liečba </w:t>
      </w:r>
      <w:proofErr w:type="spellStart"/>
      <w:r w:rsidR="00AE7AAF" w:rsidRPr="00C60ED1">
        <w:rPr>
          <w:sz w:val="22"/>
          <w:szCs w:val="22"/>
          <w:lang w:val="sk-SK"/>
        </w:rPr>
        <w:t>v</w:t>
      </w:r>
      <w:r w:rsidR="00AE7AAF" w:rsidRPr="00C60ED1">
        <w:rPr>
          <w:sz w:val="22"/>
          <w:szCs w:val="22"/>
          <w:lang w:val="sk-SK" w:eastAsia="sk-SK"/>
        </w:rPr>
        <w:t>alpro</w:t>
      </w:r>
      <w:r w:rsidR="002513E8" w:rsidRPr="00C60ED1">
        <w:rPr>
          <w:sz w:val="22"/>
          <w:szCs w:val="22"/>
          <w:lang w:val="sk-SK" w:eastAsia="sk-SK"/>
        </w:rPr>
        <w:t>áto</w:t>
      </w:r>
      <w:r w:rsidR="00AE7AAF" w:rsidRPr="00C60ED1">
        <w:rPr>
          <w:sz w:val="22"/>
          <w:szCs w:val="22"/>
          <w:lang w:val="sk-SK" w:eastAsia="sk-SK"/>
        </w:rPr>
        <w:t>m</w:t>
      </w:r>
      <w:proofErr w:type="spellEnd"/>
      <w:r w:rsidR="00AE7AAF" w:rsidRPr="00C60ED1">
        <w:rPr>
          <w:sz w:val="22"/>
          <w:szCs w:val="22"/>
          <w:lang w:val="sk-SK" w:eastAsia="sk-SK"/>
        </w:rPr>
        <w:t xml:space="preserve"> sodným</w:t>
      </w:r>
      <w:r w:rsidR="00AE7AAF" w:rsidRPr="00C60ED1" w:rsidDel="00AE7AAF">
        <w:rPr>
          <w:sz w:val="22"/>
          <w:szCs w:val="22"/>
          <w:lang w:val="sk-SK"/>
        </w:rPr>
        <w:t xml:space="preserve"> </w:t>
      </w:r>
      <w:r w:rsidR="00D62B1B" w:rsidRPr="00C60ED1">
        <w:rPr>
          <w:sz w:val="22"/>
          <w:szCs w:val="22"/>
          <w:lang w:val="sk-SK"/>
        </w:rPr>
        <w:t>musí byť okamžite prerušená pri podozrení na ťažké poškodenie funkcie pečene alebo poškod</w:t>
      </w:r>
      <w:r w:rsidRPr="00C60ED1">
        <w:rPr>
          <w:sz w:val="22"/>
          <w:szCs w:val="22"/>
          <w:lang w:val="sk-SK"/>
        </w:rPr>
        <w:t>enie podžalúdkovej žľazy.</w:t>
      </w:r>
      <w:r w:rsidR="003134B7" w:rsidRPr="00C60ED1">
        <w:rPr>
          <w:sz w:val="22"/>
          <w:szCs w:val="22"/>
          <w:lang w:val="sk-SK"/>
        </w:rPr>
        <w:t xml:space="preserve"> </w:t>
      </w:r>
      <w:r w:rsidRPr="00C60ED1">
        <w:rPr>
          <w:sz w:val="22"/>
          <w:szCs w:val="22"/>
          <w:lang w:val="sk-SK"/>
        </w:rPr>
        <w:t>N</w:t>
      </w:r>
      <w:r w:rsidR="00D62B1B" w:rsidRPr="00C60ED1">
        <w:rPr>
          <w:sz w:val="22"/>
          <w:szCs w:val="22"/>
          <w:lang w:val="sk-SK"/>
        </w:rPr>
        <w:t>á</w:t>
      </w:r>
      <w:r w:rsidRPr="00C60ED1">
        <w:rPr>
          <w:sz w:val="22"/>
          <w:szCs w:val="22"/>
          <w:lang w:val="sk-SK"/>
        </w:rPr>
        <w:t>rast</w:t>
      </w:r>
      <w:r w:rsidR="00D62B1B" w:rsidRPr="00C60ED1">
        <w:rPr>
          <w:sz w:val="22"/>
          <w:szCs w:val="22"/>
          <w:lang w:val="sk-SK"/>
        </w:rPr>
        <w:t xml:space="preserve"> hodnôt </w:t>
      </w:r>
      <w:proofErr w:type="spellStart"/>
      <w:r w:rsidR="00D62B1B" w:rsidRPr="00C60ED1">
        <w:rPr>
          <w:sz w:val="22"/>
          <w:szCs w:val="22"/>
          <w:lang w:val="sk-SK"/>
        </w:rPr>
        <w:t>aspartátaminotransfe</w:t>
      </w:r>
      <w:proofErr w:type="spellEnd"/>
      <w:r w:rsidR="008A7740" w:rsidRPr="00C60ED1">
        <w:rPr>
          <w:sz w:val="22"/>
          <w:szCs w:val="22"/>
          <w:lang w:val="sk-SK"/>
        </w:rPr>
        <w:t xml:space="preserve">- </w:t>
      </w:r>
      <w:r w:rsidR="00D62B1B" w:rsidRPr="00C60ED1">
        <w:rPr>
          <w:sz w:val="22"/>
          <w:szCs w:val="22"/>
          <w:lang w:val="sk-SK"/>
        </w:rPr>
        <w:t>rázy (</w:t>
      </w:r>
      <w:proofErr w:type="spellStart"/>
      <w:r w:rsidR="00D62B1B" w:rsidRPr="00C60ED1">
        <w:rPr>
          <w:sz w:val="22"/>
          <w:szCs w:val="22"/>
          <w:lang w:val="sk-SK"/>
        </w:rPr>
        <w:t>AST</w:t>
      </w:r>
      <w:proofErr w:type="spellEnd"/>
      <w:r w:rsidR="00D62B1B" w:rsidRPr="00C60ED1">
        <w:rPr>
          <w:sz w:val="22"/>
          <w:szCs w:val="22"/>
          <w:lang w:val="sk-SK"/>
        </w:rPr>
        <w:t xml:space="preserve">) a </w:t>
      </w:r>
      <w:proofErr w:type="spellStart"/>
      <w:r w:rsidR="00D62B1B" w:rsidRPr="00C60ED1">
        <w:rPr>
          <w:sz w:val="22"/>
          <w:szCs w:val="22"/>
          <w:lang w:val="sk-SK"/>
        </w:rPr>
        <w:t>alanínaminotransferázy</w:t>
      </w:r>
      <w:proofErr w:type="spellEnd"/>
      <w:r w:rsidR="00D62B1B" w:rsidRPr="00C60ED1">
        <w:rPr>
          <w:sz w:val="22"/>
          <w:szCs w:val="22"/>
          <w:lang w:val="sk-SK"/>
        </w:rPr>
        <w:t xml:space="preserve"> (ALT) v</w:t>
      </w:r>
      <w:r w:rsidRPr="00C60ED1">
        <w:rPr>
          <w:sz w:val="22"/>
          <w:szCs w:val="22"/>
          <w:lang w:val="sk-SK"/>
        </w:rPr>
        <w:t> </w:t>
      </w:r>
      <w:r w:rsidR="00D62B1B" w:rsidRPr="00C60ED1">
        <w:rPr>
          <w:sz w:val="22"/>
          <w:szCs w:val="22"/>
          <w:lang w:val="sk-SK"/>
        </w:rPr>
        <w:t>sére</w:t>
      </w:r>
      <w:r w:rsidRPr="00C60ED1">
        <w:rPr>
          <w:sz w:val="22"/>
          <w:szCs w:val="22"/>
          <w:lang w:val="sk-SK"/>
        </w:rPr>
        <w:t xml:space="preserve"> na trojnásobok</w:t>
      </w:r>
      <w:r w:rsidR="00D62B1B" w:rsidRPr="00C60ED1">
        <w:rPr>
          <w:sz w:val="22"/>
          <w:szCs w:val="22"/>
          <w:lang w:val="sk-SK"/>
        </w:rPr>
        <w:t xml:space="preserve">, abnormálne predĺženie </w:t>
      </w:r>
      <w:proofErr w:type="spellStart"/>
      <w:r w:rsidR="00D62B1B" w:rsidRPr="00C60ED1">
        <w:rPr>
          <w:sz w:val="22"/>
          <w:szCs w:val="22"/>
          <w:lang w:val="sk-SK"/>
        </w:rPr>
        <w:t>protrombínového</w:t>
      </w:r>
      <w:proofErr w:type="spellEnd"/>
      <w:r w:rsidR="00D62B1B" w:rsidRPr="00C60ED1">
        <w:rPr>
          <w:sz w:val="22"/>
          <w:szCs w:val="22"/>
          <w:lang w:val="sk-SK"/>
        </w:rPr>
        <w:t xml:space="preserve"> času, stúpanie hodnôt alkalickej </w:t>
      </w:r>
      <w:proofErr w:type="spellStart"/>
      <w:r w:rsidR="00D62B1B" w:rsidRPr="00C60ED1">
        <w:rPr>
          <w:sz w:val="22"/>
          <w:szCs w:val="22"/>
          <w:lang w:val="sk-SK"/>
        </w:rPr>
        <w:t>fosfatázy</w:t>
      </w:r>
      <w:proofErr w:type="spellEnd"/>
      <w:r w:rsidR="00D62B1B" w:rsidRPr="00C60ED1">
        <w:rPr>
          <w:sz w:val="22"/>
          <w:szCs w:val="22"/>
          <w:lang w:val="sk-SK"/>
        </w:rPr>
        <w:t xml:space="preserve"> a </w:t>
      </w:r>
      <w:proofErr w:type="spellStart"/>
      <w:r w:rsidR="00D62B1B" w:rsidRPr="00C60ED1">
        <w:rPr>
          <w:sz w:val="22"/>
          <w:szCs w:val="22"/>
          <w:lang w:val="sk-SK"/>
        </w:rPr>
        <w:t>bilirubínu</w:t>
      </w:r>
      <w:proofErr w:type="spellEnd"/>
      <w:r w:rsidR="00D62B1B" w:rsidRPr="00C60ED1">
        <w:rPr>
          <w:sz w:val="22"/>
          <w:szCs w:val="22"/>
          <w:lang w:val="sk-SK"/>
        </w:rPr>
        <w:t xml:space="preserve"> a zmeny v hodnotách bielkovín môžu byť považované za kritérium prerušenia.</w:t>
      </w:r>
    </w:p>
    <w:p w14:paraId="2CA39BCC" w14:textId="0FAAFBD7" w:rsidR="008A7740" w:rsidRPr="00C60ED1" w:rsidRDefault="008A7740" w:rsidP="00C50996">
      <w:pPr>
        <w:pStyle w:val="Zarkazkladnhotextu"/>
        <w:tabs>
          <w:tab w:val="left" w:pos="0"/>
        </w:tabs>
        <w:ind w:left="0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Sú</w:t>
      </w:r>
      <w:r w:rsidR="005A0AA6" w:rsidRPr="00C60ED1">
        <w:rPr>
          <w:sz w:val="22"/>
          <w:szCs w:val="22"/>
          <w:lang w:val="sk-SK"/>
        </w:rPr>
        <w:t>bežné</w:t>
      </w:r>
      <w:r w:rsidRPr="00C60ED1">
        <w:rPr>
          <w:sz w:val="22"/>
          <w:szCs w:val="22"/>
          <w:lang w:val="sk-SK"/>
        </w:rPr>
        <w:t xml:space="preserve"> užívanie karbapenémov a </w:t>
      </w:r>
      <w:r w:rsidR="00AE7AAF" w:rsidRPr="00C60ED1">
        <w:rPr>
          <w:sz w:val="22"/>
          <w:szCs w:val="22"/>
          <w:lang w:val="sk-SK"/>
        </w:rPr>
        <w:t>v</w:t>
      </w:r>
      <w:r w:rsidR="00AE7AAF" w:rsidRPr="00C60ED1">
        <w:rPr>
          <w:sz w:val="22"/>
          <w:szCs w:val="22"/>
          <w:lang w:val="sk-SK" w:eastAsia="sk-SK"/>
        </w:rPr>
        <w:t>alpro</w:t>
      </w:r>
      <w:r w:rsidR="002513E8" w:rsidRPr="00C60ED1">
        <w:rPr>
          <w:sz w:val="22"/>
          <w:szCs w:val="22"/>
          <w:lang w:val="sk-SK" w:eastAsia="sk-SK"/>
        </w:rPr>
        <w:t>át</w:t>
      </w:r>
      <w:r w:rsidR="00AE7AAF" w:rsidRPr="00C60ED1">
        <w:rPr>
          <w:sz w:val="22"/>
          <w:szCs w:val="22"/>
          <w:lang w:val="sk-SK" w:eastAsia="sk-SK"/>
        </w:rPr>
        <w:t>u sodného</w:t>
      </w:r>
      <w:r w:rsidR="00AE7AAF" w:rsidRPr="00C60ED1" w:rsidDel="00AE7AAF">
        <w:rPr>
          <w:sz w:val="22"/>
          <w:szCs w:val="22"/>
          <w:lang w:val="sk-SK"/>
        </w:rPr>
        <w:t xml:space="preserve"> </w:t>
      </w:r>
      <w:r w:rsidRPr="00C60ED1">
        <w:rPr>
          <w:sz w:val="22"/>
          <w:szCs w:val="22"/>
          <w:lang w:val="sk-SK"/>
        </w:rPr>
        <w:t>sa neodporúča (pozri časť 4.5).</w:t>
      </w:r>
    </w:p>
    <w:p w14:paraId="7CB4C3E2" w14:textId="77777777" w:rsidR="00AE7AAF" w:rsidRPr="00C60ED1" w:rsidRDefault="00AE7AAF" w:rsidP="00C50996">
      <w:pPr>
        <w:pStyle w:val="Zarkazkladnhotextu"/>
        <w:tabs>
          <w:tab w:val="left" w:pos="0"/>
        </w:tabs>
        <w:ind w:left="0"/>
        <w:rPr>
          <w:sz w:val="22"/>
          <w:szCs w:val="22"/>
          <w:lang w:val="sk-SK"/>
        </w:rPr>
      </w:pPr>
    </w:p>
    <w:p w14:paraId="59575E6B" w14:textId="18394EF3" w:rsidR="005A0AA6" w:rsidRPr="00C60ED1" w:rsidRDefault="005A0AA6" w:rsidP="00C50996">
      <w:pPr>
        <w:pStyle w:val="Zarkazkladnhotextu"/>
        <w:tabs>
          <w:tab w:val="left" w:pos="0"/>
        </w:tabs>
        <w:ind w:left="0"/>
        <w:rPr>
          <w:sz w:val="22"/>
          <w:szCs w:val="22"/>
          <w:lang w:val="sk-SK"/>
        </w:rPr>
      </w:pPr>
      <w:r w:rsidRPr="00C60ED1">
        <w:rPr>
          <w:bCs/>
          <w:iCs/>
          <w:sz w:val="22"/>
          <w:szCs w:val="22"/>
          <w:u w:val="single"/>
          <w:lang w:val="sk-SK"/>
        </w:rPr>
        <w:t>Pediatrická populácia</w:t>
      </w:r>
      <w:r w:rsidRPr="00C60ED1">
        <w:rPr>
          <w:sz w:val="22"/>
          <w:szCs w:val="22"/>
          <w:lang w:val="sk-SK"/>
        </w:rPr>
        <w:t xml:space="preserve"> </w:t>
      </w:r>
    </w:p>
    <w:p w14:paraId="64A34622" w14:textId="2D8C1DF4" w:rsidR="00D62B1B" w:rsidRPr="00C60ED1" w:rsidRDefault="009446D7" w:rsidP="00C50996">
      <w:pPr>
        <w:pStyle w:val="Zarkazkladnhotextu"/>
        <w:tabs>
          <w:tab w:val="left" w:pos="0"/>
        </w:tabs>
        <w:ind w:left="0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U malých detí sa </w:t>
      </w:r>
      <w:r w:rsidR="00AE7AAF" w:rsidRPr="00C60ED1">
        <w:rPr>
          <w:sz w:val="22"/>
          <w:szCs w:val="22"/>
          <w:lang w:val="sk-SK"/>
        </w:rPr>
        <w:t>v</w:t>
      </w:r>
      <w:r w:rsidR="00AE7AAF" w:rsidRPr="00C60ED1">
        <w:rPr>
          <w:sz w:val="22"/>
          <w:szCs w:val="22"/>
          <w:lang w:val="sk-SK" w:eastAsia="sk-SK"/>
        </w:rPr>
        <w:t>alpro</w:t>
      </w:r>
      <w:r w:rsidR="002513E8" w:rsidRPr="00C60ED1">
        <w:rPr>
          <w:sz w:val="22"/>
          <w:szCs w:val="22"/>
          <w:lang w:val="sk-SK" w:eastAsia="sk-SK"/>
        </w:rPr>
        <w:t>át</w:t>
      </w:r>
      <w:r w:rsidR="00AE7AAF" w:rsidRPr="00C60ED1">
        <w:rPr>
          <w:sz w:val="22"/>
          <w:szCs w:val="22"/>
          <w:lang w:val="sk-SK" w:eastAsia="sk-SK"/>
        </w:rPr>
        <w:t xml:space="preserve"> sodný </w:t>
      </w:r>
      <w:r w:rsidR="00D62B1B" w:rsidRPr="00C60ED1">
        <w:rPr>
          <w:sz w:val="22"/>
          <w:szCs w:val="22"/>
          <w:lang w:val="sk-SK"/>
        </w:rPr>
        <w:t>používa ako liek prvej voľby len vo výnimočných prípadoch: m</w:t>
      </w:r>
      <w:r w:rsidR="003134B7" w:rsidRPr="00C60ED1">
        <w:rPr>
          <w:sz w:val="22"/>
          <w:szCs w:val="22"/>
          <w:lang w:val="sk-SK"/>
        </w:rPr>
        <w:t>á</w:t>
      </w:r>
      <w:r w:rsidR="00D62B1B" w:rsidRPr="00C60ED1">
        <w:rPr>
          <w:sz w:val="22"/>
          <w:szCs w:val="22"/>
          <w:lang w:val="sk-SK"/>
        </w:rPr>
        <w:t xml:space="preserve"> sa indikovať len s mimoriadnou opatrnosťou po prísnom zvážení rizika a jeho potreby a pokiaľ možno v </w:t>
      </w:r>
      <w:proofErr w:type="spellStart"/>
      <w:r w:rsidR="00D62B1B" w:rsidRPr="00C60ED1">
        <w:rPr>
          <w:sz w:val="22"/>
          <w:szCs w:val="22"/>
          <w:lang w:val="sk-SK"/>
        </w:rPr>
        <w:t>monoterapii</w:t>
      </w:r>
      <w:proofErr w:type="spellEnd"/>
      <w:r w:rsidR="00D62B1B" w:rsidRPr="00C60ED1">
        <w:rPr>
          <w:sz w:val="22"/>
          <w:szCs w:val="22"/>
          <w:lang w:val="sk-SK"/>
        </w:rPr>
        <w:t>.</w:t>
      </w:r>
    </w:p>
    <w:p w14:paraId="66C6631C" w14:textId="77777777" w:rsidR="00D62B1B" w:rsidRPr="00C60ED1" w:rsidRDefault="00D62B1B" w:rsidP="00C50996">
      <w:pPr>
        <w:tabs>
          <w:tab w:val="left" w:pos="0"/>
        </w:tabs>
        <w:rPr>
          <w:i/>
          <w:sz w:val="22"/>
          <w:szCs w:val="22"/>
          <w:lang w:val="sk-SK"/>
        </w:rPr>
      </w:pPr>
    </w:p>
    <w:p w14:paraId="63D5246D" w14:textId="4900C1EB" w:rsidR="00D62B1B" w:rsidRPr="00C60ED1" w:rsidRDefault="00D62B1B" w:rsidP="00C50996">
      <w:pPr>
        <w:tabs>
          <w:tab w:val="left" w:pos="0"/>
        </w:tabs>
        <w:rPr>
          <w:sz w:val="22"/>
          <w:szCs w:val="22"/>
          <w:lang w:val="sk-SK"/>
        </w:rPr>
      </w:pPr>
      <w:r w:rsidRPr="00C60ED1">
        <w:rPr>
          <w:i/>
          <w:sz w:val="22"/>
          <w:szCs w:val="22"/>
          <w:lang w:val="sk-SK"/>
        </w:rPr>
        <w:t>Nasled</w:t>
      </w:r>
      <w:r w:rsidR="00AE7AAF" w:rsidRPr="00C60ED1">
        <w:rPr>
          <w:i/>
          <w:sz w:val="22"/>
          <w:szCs w:val="22"/>
          <w:lang w:val="sk-SK"/>
        </w:rPr>
        <w:t>ovný</w:t>
      </w:r>
      <w:r w:rsidRPr="00C60ED1">
        <w:rPr>
          <w:i/>
          <w:sz w:val="22"/>
          <w:szCs w:val="22"/>
          <w:lang w:val="sk-SK"/>
        </w:rPr>
        <w:t xml:space="preserve"> časový plán pre klinické a laboratórne vyšetrenia (pozri nižšie) platí </w:t>
      </w:r>
      <w:r w:rsidRPr="00C60ED1">
        <w:rPr>
          <w:b/>
          <w:i/>
          <w:sz w:val="22"/>
          <w:szCs w:val="22"/>
          <w:lang w:val="sk-SK"/>
        </w:rPr>
        <w:t>pre deti</w:t>
      </w:r>
      <w:r w:rsidRPr="00C60ED1">
        <w:rPr>
          <w:i/>
          <w:sz w:val="22"/>
          <w:szCs w:val="22"/>
          <w:lang w:val="sk-SK"/>
        </w:rPr>
        <w:t>:</w:t>
      </w:r>
    </w:p>
    <w:p w14:paraId="02E36216" w14:textId="77777777" w:rsidR="00D62B1B" w:rsidRPr="00C60ED1" w:rsidRDefault="00D62B1B" w:rsidP="00C50996">
      <w:pPr>
        <w:tabs>
          <w:tab w:val="left" w:pos="0"/>
        </w:tabs>
        <w:suppressAutoHyphens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Pred začatím terapie, potom jedenkrát mesačne počas 6 mesiacov, a po tomto dvakrát v 3-mesačných intervaloch. Okrem toho sa odporúča, aby rodičia/opatrovníci mali telefonický kontakt s ošetrujúcim lekárom pravidelne medzi laboratórnymi kontrolami, aby sa zabezpečilo skoré zistenie toxických alebo iných klinických príznakov.</w:t>
      </w:r>
    </w:p>
    <w:p w14:paraId="68369C77" w14:textId="77777777" w:rsidR="00D62B1B" w:rsidRPr="00C60ED1" w:rsidRDefault="00D62B1B" w:rsidP="00C50996">
      <w:pPr>
        <w:tabs>
          <w:tab w:val="left" w:pos="0"/>
        </w:tabs>
        <w:rPr>
          <w:i/>
          <w:sz w:val="22"/>
          <w:szCs w:val="22"/>
          <w:lang w:val="sk-SK"/>
        </w:rPr>
      </w:pPr>
    </w:p>
    <w:p w14:paraId="121D5D19" w14:textId="77777777" w:rsidR="00D62B1B" w:rsidRPr="00C60ED1" w:rsidRDefault="00D62B1B" w:rsidP="00C50996">
      <w:pPr>
        <w:tabs>
          <w:tab w:val="left" w:pos="0"/>
        </w:tabs>
        <w:rPr>
          <w:sz w:val="22"/>
          <w:szCs w:val="22"/>
          <w:lang w:val="sk-SK"/>
        </w:rPr>
      </w:pPr>
      <w:r w:rsidRPr="00C60ED1">
        <w:rPr>
          <w:i/>
          <w:sz w:val="22"/>
          <w:szCs w:val="22"/>
          <w:lang w:val="sk-SK"/>
        </w:rPr>
        <w:t>Laboratórne testy, ktoré je potrebné vykonať pred začatím liečby:</w:t>
      </w:r>
    </w:p>
    <w:p w14:paraId="0B8946BA" w14:textId="77777777" w:rsidR="00D62B1B" w:rsidRPr="00C60ED1" w:rsidRDefault="00D62B1B" w:rsidP="00C50996">
      <w:pPr>
        <w:tabs>
          <w:tab w:val="left" w:pos="0"/>
        </w:tabs>
        <w:suppressAutoHyphens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Celkový krvný obraz vrátane trombocytov, hodnoty zrážavosti (</w:t>
      </w:r>
      <w:proofErr w:type="spellStart"/>
      <w:r w:rsidRPr="00C60ED1">
        <w:rPr>
          <w:sz w:val="22"/>
          <w:szCs w:val="22"/>
          <w:lang w:val="sk-SK"/>
        </w:rPr>
        <w:t>tromboplastinový</w:t>
      </w:r>
      <w:proofErr w:type="spellEnd"/>
      <w:r w:rsidRPr="00C60ED1">
        <w:rPr>
          <w:sz w:val="22"/>
          <w:szCs w:val="22"/>
          <w:lang w:val="sk-SK"/>
        </w:rPr>
        <w:t xml:space="preserve"> čas = </w:t>
      </w:r>
      <w:proofErr w:type="spellStart"/>
      <w:r w:rsidR="00E9444A" w:rsidRPr="00C60ED1">
        <w:rPr>
          <w:sz w:val="22"/>
          <w:szCs w:val="22"/>
          <w:lang w:val="sk-SK"/>
        </w:rPr>
        <w:t>AP</w:t>
      </w:r>
      <w:r w:rsidRPr="00C60ED1">
        <w:rPr>
          <w:sz w:val="22"/>
          <w:szCs w:val="22"/>
          <w:lang w:val="sk-SK"/>
        </w:rPr>
        <w:t>TT</w:t>
      </w:r>
      <w:proofErr w:type="spellEnd"/>
      <w:r w:rsidRPr="00C60ED1">
        <w:rPr>
          <w:sz w:val="22"/>
          <w:szCs w:val="22"/>
          <w:lang w:val="sk-SK"/>
        </w:rPr>
        <w:t xml:space="preserve">, </w:t>
      </w:r>
      <w:proofErr w:type="spellStart"/>
      <w:r w:rsidRPr="00C60ED1">
        <w:rPr>
          <w:sz w:val="22"/>
          <w:szCs w:val="22"/>
          <w:lang w:val="sk-SK"/>
        </w:rPr>
        <w:t>fibrinogén</w:t>
      </w:r>
      <w:proofErr w:type="spellEnd"/>
      <w:r w:rsidRPr="00C60ED1">
        <w:rPr>
          <w:sz w:val="22"/>
          <w:szCs w:val="22"/>
          <w:lang w:val="sk-SK"/>
        </w:rPr>
        <w:t xml:space="preserve">), sérová </w:t>
      </w:r>
      <w:proofErr w:type="spellStart"/>
      <w:r w:rsidRPr="00C60ED1">
        <w:rPr>
          <w:sz w:val="22"/>
          <w:szCs w:val="22"/>
          <w:lang w:val="sk-SK"/>
        </w:rPr>
        <w:t>amyláza</w:t>
      </w:r>
      <w:proofErr w:type="spellEnd"/>
      <w:r w:rsidRPr="00C60ED1">
        <w:rPr>
          <w:sz w:val="22"/>
          <w:szCs w:val="22"/>
          <w:lang w:val="sk-SK"/>
        </w:rPr>
        <w:t xml:space="preserve">, </w:t>
      </w:r>
      <w:proofErr w:type="spellStart"/>
      <w:r w:rsidRPr="00C60ED1">
        <w:rPr>
          <w:sz w:val="22"/>
          <w:szCs w:val="22"/>
          <w:lang w:val="sk-SK"/>
        </w:rPr>
        <w:t>AST</w:t>
      </w:r>
      <w:proofErr w:type="spellEnd"/>
      <w:r w:rsidRPr="00C60ED1">
        <w:rPr>
          <w:sz w:val="22"/>
          <w:szCs w:val="22"/>
          <w:lang w:val="sk-SK"/>
        </w:rPr>
        <w:t xml:space="preserve">, ALT, alkalická </w:t>
      </w:r>
      <w:proofErr w:type="spellStart"/>
      <w:r w:rsidRPr="00C60ED1">
        <w:rPr>
          <w:sz w:val="22"/>
          <w:szCs w:val="22"/>
          <w:lang w:val="sk-SK"/>
        </w:rPr>
        <w:t>fosfatáza</w:t>
      </w:r>
      <w:proofErr w:type="spellEnd"/>
      <w:r w:rsidRPr="00C60ED1">
        <w:rPr>
          <w:sz w:val="22"/>
          <w:szCs w:val="22"/>
          <w:lang w:val="sk-SK"/>
        </w:rPr>
        <w:t xml:space="preserve">, celkový </w:t>
      </w:r>
      <w:proofErr w:type="spellStart"/>
      <w:r w:rsidRPr="00C60ED1">
        <w:rPr>
          <w:sz w:val="22"/>
          <w:szCs w:val="22"/>
          <w:lang w:val="sk-SK"/>
        </w:rPr>
        <w:t>bilirubín</w:t>
      </w:r>
      <w:proofErr w:type="spellEnd"/>
      <w:r w:rsidRPr="00C60ED1">
        <w:rPr>
          <w:sz w:val="22"/>
          <w:szCs w:val="22"/>
          <w:lang w:val="sk-SK"/>
        </w:rPr>
        <w:t>, bielkoviny, glykémia.</w:t>
      </w:r>
    </w:p>
    <w:p w14:paraId="2C6AFB5A" w14:textId="77777777" w:rsidR="00D62B1B" w:rsidRPr="00C60ED1" w:rsidRDefault="00D62B1B" w:rsidP="00C50996">
      <w:pPr>
        <w:tabs>
          <w:tab w:val="left" w:pos="0"/>
        </w:tabs>
        <w:rPr>
          <w:sz w:val="22"/>
          <w:szCs w:val="22"/>
          <w:lang w:val="sk-SK"/>
        </w:rPr>
      </w:pPr>
    </w:p>
    <w:p w14:paraId="1F3984DD" w14:textId="77777777" w:rsidR="00D62B1B" w:rsidRPr="00C60ED1" w:rsidRDefault="00D62B1B" w:rsidP="00C50996">
      <w:pPr>
        <w:tabs>
          <w:tab w:val="left" w:pos="0"/>
        </w:tabs>
        <w:rPr>
          <w:sz w:val="22"/>
          <w:szCs w:val="22"/>
          <w:lang w:val="sk-SK"/>
        </w:rPr>
      </w:pPr>
      <w:r w:rsidRPr="00C60ED1">
        <w:rPr>
          <w:i/>
          <w:sz w:val="22"/>
          <w:szCs w:val="22"/>
          <w:lang w:val="sk-SK"/>
        </w:rPr>
        <w:t>Laboratórne testy počas liečby:</w:t>
      </w:r>
    </w:p>
    <w:p w14:paraId="7CAACB9A" w14:textId="77777777" w:rsidR="00D62B1B" w:rsidRPr="00C60ED1" w:rsidRDefault="00D62B1B" w:rsidP="00C50996">
      <w:pPr>
        <w:tabs>
          <w:tab w:val="left" w:pos="0"/>
        </w:tabs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V prípade, že sa nevyskytli žiadne klinické anomálie, postačuje stanovenie celkového krvného obrazu (vrátane trombocytov) a pečeňových </w:t>
      </w:r>
      <w:proofErr w:type="spellStart"/>
      <w:r w:rsidRPr="00C60ED1">
        <w:rPr>
          <w:sz w:val="22"/>
          <w:szCs w:val="22"/>
          <w:lang w:val="sk-SK"/>
        </w:rPr>
        <w:t>aminotransferáz</w:t>
      </w:r>
      <w:proofErr w:type="spellEnd"/>
      <w:r w:rsidRPr="00C60ED1">
        <w:rPr>
          <w:sz w:val="22"/>
          <w:szCs w:val="22"/>
          <w:lang w:val="sk-SK"/>
        </w:rPr>
        <w:t>. Každé druhé vyšetrenie</w:t>
      </w:r>
      <w:r w:rsidR="00E9444A" w:rsidRPr="00C60ED1">
        <w:rPr>
          <w:sz w:val="22"/>
          <w:szCs w:val="22"/>
          <w:lang w:val="sk-SK"/>
        </w:rPr>
        <w:t xml:space="preserve"> </w:t>
      </w:r>
      <w:r w:rsidRPr="00C60ED1">
        <w:rPr>
          <w:sz w:val="22"/>
          <w:szCs w:val="22"/>
          <w:lang w:val="sk-SK"/>
        </w:rPr>
        <w:t>m</w:t>
      </w:r>
      <w:r w:rsidR="00E9444A" w:rsidRPr="00C60ED1">
        <w:rPr>
          <w:sz w:val="22"/>
          <w:szCs w:val="22"/>
          <w:lang w:val="sk-SK"/>
        </w:rPr>
        <w:t>á</w:t>
      </w:r>
      <w:r w:rsidRPr="00C60ED1">
        <w:rPr>
          <w:sz w:val="22"/>
          <w:szCs w:val="22"/>
          <w:lang w:val="sk-SK"/>
        </w:rPr>
        <w:t xml:space="preserve"> zahŕňať test stanovujúci parametre zrážavosti (pozri vyššie). </w:t>
      </w:r>
    </w:p>
    <w:p w14:paraId="3F51D16D" w14:textId="77777777" w:rsidR="00D62B1B" w:rsidRPr="00C60ED1" w:rsidRDefault="00D62B1B" w:rsidP="00C50996">
      <w:pPr>
        <w:tabs>
          <w:tab w:val="left" w:pos="0"/>
        </w:tabs>
        <w:rPr>
          <w:i/>
          <w:sz w:val="22"/>
          <w:szCs w:val="22"/>
          <w:lang w:val="sk-SK"/>
        </w:rPr>
      </w:pPr>
    </w:p>
    <w:p w14:paraId="40DC0D74" w14:textId="77777777" w:rsidR="00D62B1B" w:rsidRPr="00C60ED1" w:rsidRDefault="00D62B1B" w:rsidP="00C50996">
      <w:pPr>
        <w:tabs>
          <w:tab w:val="left" w:pos="0"/>
        </w:tabs>
        <w:rPr>
          <w:sz w:val="22"/>
          <w:szCs w:val="22"/>
          <w:lang w:val="sk-SK"/>
        </w:rPr>
      </w:pPr>
      <w:r w:rsidRPr="00C60ED1">
        <w:rPr>
          <w:i/>
          <w:sz w:val="22"/>
          <w:szCs w:val="22"/>
          <w:lang w:val="sk-SK"/>
        </w:rPr>
        <w:t>Po 12 mesiacoch liečby</w:t>
      </w:r>
      <w:r w:rsidRPr="00C60ED1">
        <w:rPr>
          <w:sz w:val="22"/>
          <w:szCs w:val="22"/>
          <w:lang w:val="sk-SK"/>
        </w:rPr>
        <w:t xml:space="preserve"> bez anomálií sú 2 až 3 vyšetrenia (klinické a laboratórne, v tomto poradí) za rok vo všeobecnosti postačujúce. </w:t>
      </w:r>
    </w:p>
    <w:p w14:paraId="54FCE039" w14:textId="77777777" w:rsidR="00D62B1B" w:rsidRPr="00C60ED1" w:rsidRDefault="00D62B1B" w:rsidP="00C50996">
      <w:pPr>
        <w:tabs>
          <w:tab w:val="left" w:pos="0"/>
        </w:tabs>
        <w:rPr>
          <w:sz w:val="22"/>
          <w:szCs w:val="22"/>
          <w:lang w:val="sk-SK"/>
        </w:rPr>
      </w:pPr>
    </w:p>
    <w:p w14:paraId="0432D6AF" w14:textId="3D1C2811" w:rsidR="00D62B1B" w:rsidRPr="00C60ED1" w:rsidRDefault="00D62B1B" w:rsidP="00C50996">
      <w:pPr>
        <w:tabs>
          <w:tab w:val="left" w:pos="0"/>
        </w:tabs>
        <w:suppressAutoHyphens/>
        <w:rPr>
          <w:i/>
          <w:sz w:val="22"/>
          <w:szCs w:val="22"/>
          <w:lang w:val="sk-SK"/>
        </w:rPr>
      </w:pPr>
      <w:r w:rsidRPr="00C60ED1">
        <w:rPr>
          <w:b/>
          <w:sz w:val="22"/>
          <w:szCs w:val="22"/>
          <w:lang w:val="sk-SK"/>
        </w:rPr>
        <w:t>U </w:t>
      </w:r>
      <w:r w:rsidR="005A0AA6" w:rsidRPr="00C60ED1">
        <w:rPr>
          <w:b/>
          <w:sz w:val="22"/>
          <w:szCs w:val="22"/>
          <w:lang w:val="sk-SK"/>
        </w:rPr>
        <w:t>dospievajúcich</w:t>
      </w:r>
      <w:r w:rsidRPr="00C60ED1">
        <w:rPr>
          <w:b/>
          <w:sz w:val="22"/>
          <w:szCs w:val="22"/>
          <w:lang w:val="sk-SK"/>
        </w:rPr>
        <w:t xml:space="preserve"> a dospelých</w:t>
      </w:r>
      <w:r w:rsidRPr="00C60ED1">
        <w:rPr>
          <w:sz w:val="22"/>
          <w:szCs w:val="22"/>
          <w:lang w:val="sk-SK"/>
        </w:rPr>
        <w:t xml:space="preserve"> je riziko vážnych alebo dokonca smrteľných komplikácii veľmi malé. Preto, po vykonaní dôkladného klinického vyšetrenia a laboratórnych testov </w:t>
      </w:r>
      <w:r w:rsidRPr="00C60ED1">
        <w:rPr>
          <w:i/>
          <w:sz w:val="22"/>
          <w:szCs w:val="22"/>
          <w:lang w:val="sk-SK"/>
        </w:rPr>
        <w:t xml:space="preserve">pred </w:t>
      </w:r>
      <w:r w:rsidR="003134B7" w:rsidRPr="00C60ED1">
        <w:rPr>
          <w:i/>
          <w:sz w:val="22"/>
          <w:szCs w:val="22"/>
          <w:lang w:val="sk-SK"/>
        </w:rPr>
        <w:t xml:space="preserve">začatím </w:t>
      </w:r>
      <w:r w:rsidRPr="00C60ED1">
        <w:rPr>
          <w:i/>
          <w:sz w:val="22"/>
          <w:szCs w:val="22"/>
          <w:lang w:val="sk-SK"/>
        </w:rPr>
        <w:t>liečby</w:t>
      </w:r>
      <w:r w:rsidRPr="00C60ED1">
        <w:rPr>
          <w:sz w:val="22"/>
          <w:szCs w:val="22"/>
          <w:lang w:val="sk-SK"/>
        </w:rPr>
        <w:t xml:space="preserve"> (ako u detí, pozri vyššie), sa odporúča, aby sa vyšetrenie celkového krvného obrazu (vrátane trombocytov), testy funkcií pečene a podžalúdkovej žľazy vykonávali v pravidelných intervaloch, najmä počas prvých šiestich mesiacov.</w:t>
      </w:r>
    </w:p>
    <w:p w14:paraId="2D62A13C" w14:textId="77777777" w:rsidR="00D62B1B" w:rsidRPr="00C60ED1" w:rsidRDefault="00D62B1B" w:rsidP="00C50996">
      <w:pPr>
        <w:tabs>
          <w:tab w:val="left" w:pos="0"/>
        </w:tabs>
        <w:rPr>
          <w:sz w:val="22"/>
          <w:szCs w:val="22"/>
          <w:lang w:val="sk-SK"/>
        </w:rPr>
      </w:pPr>
    </w:p>
    <w:p w14:paraId="3BD05456" w14:textId="77777777" w:rsidR="00D62B1B" w:rsidRPr="00C60ED1" w:rsidRDefault="00D62B1B" w:rsidP="00C50996">
      <w:pPr>
        <w:keepLines/>
        <w:tabs>
          <w:tab w:val="left" w:pos="0"/>
        </w:tabs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lastRenderedPageBreak/>
        <w:t>Ošetrujúci lekár  sa nem</w:t>
      </w:r>
      <w:r w:rsidR="00E9444A" w:rsidRPr="00C60ED1">
        <w:rPr>
          <w:sz w:val="22"/>
          <w:szCs w:val="22"/>
          <w:lang w:val="sk-SK"/>
        </w:rPr>
        <w:t>á</w:t>
      </w:r>
      <w:r w:rsidRPr="00C60ED1">
        <w:rPr>
          <w:sz w:val="22"/>
          <w:szCs w:val="22"/>
          <w:lang w:val="sk-SK"/>
        </w:rPr>
        <w:t xml:space="preserve"> spoliehať výlučne na biochemické a laboratórne parametre, lebo tie nemusia byť v každom prípade patologické. Anamnéza a vyšetrenie majú pre rozhodnutie zásadný význam. Okrem toho treba vziať do úvahy aj to, že hodnoty pečeňových enzýmov, hlavne na začiatku liečby, môžu byť u niektorých jednotlivcov prechodne zvýšené nezávisle od poruchy pečeňových funkcií.</w:t>
      </w:r>
    </w:p>
    <w:p w14:paraId="42404367" w14:textId="77777777" w:rsidR="00D62B1B" w:rsidRPr="00C60ED1" w:rsidRDefault="00D62B1B" w:rsidP="00C50996">
      <w:pPr>
        <w:tabs>
          <w:tab w:val="left" w:pos="0"/>
        </w:tabs>
        <w:rPr>
          <w:sz w:val="22"/>
          <w:szCs w:val="22"/>
          <w:lang w:val="sk-SK"/>
        </w:rPr>
      </w:pPr>
    </w:p>
    <w:p w14:paraId="3666B04B" w14:textId="7365F1FA" w:rsidR="00D62B1B" w:rsidRPr="00C60ED1" w:rsidRDefault="00AE7AAF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Valpro</w:t>
      </w:r>
      <w:r w:rsidR="002513E8" w:rsidRPr="00C60ED1">
        <w:rPr>
          <w:sz w:val="22"/>
          <w:szCs w:val="22"/>
          <w:lang w:val="sk-SK"/>
        </w:rPr>
        <w:t>át</w:t>
      </w:r>
      <w:r w:rsidRPr="00C60ED1">
        <w:rPr>
          <w:sz w:val="22"/>
          <w:szCs w:val="22"/>
          <w:lang w:val="sk-SK"/>
        </w:rPr>
        <w:t xml:space="preserve"> sodný </w:t>
      </w:r>
      <w:r w:rsidR="0099580E" w:rsidRPr="00C60ED1">
        <w:rPr>
          <w:noProof/>
          <w:sz w:val="22"/>
          <w:szCs w:val="22"/>
          <w:lang w:val="sk-SK"/>
        </w:rPr>
        <w:t xml:space="preserve">nemá </w:t>
      </w:r>
      <w:r w:rsidRPr="00C60ED1">
        <w:rPr>
          <w:noProof/>
          <w:sz w:val="22"/>
          <w:szCs w:val="22"/>
          <w:lang w:val="sk-SK"/>
        </w:rPr>
        <w:t>potenciál závislosti</w:t>
      </w:r>
      <w:r w:rsidR="00D62B1B" w:rsidRPr="00C60ED1">
        <w:rPr>
          <w:noProof/>
          <w:sz w:val="22"/>
          <w:szCs w:val="22"/>
          <w:lang w:val="sk-SK"/>
        </w:rPr>
        <w:t>.</w:t>
      </w:r>
    </w:p>
    <w:p w14:paraId="1C85F9FA" w14:textId="77777777" w:rsidR="00D62B1B" w:rsidRPr="00C60ED1" w:rsidRDefault="00D62B1B" w:rsidP="00C50996">
      <w:pPr>
        <w:tabs>
          <w:tab w:val="left" w:pos="0"/>
        </w:tabs>
        <w:rPr>
          <w:sz w:val="22"/>
          <w:szCs w:val="22"/>
          <w:lang w:val="sk-SK"/>
        </w:rPr>
      </w:pPr>
    </w:p>
    <w:p w14:paraId="5AD39F4B" w14:textId="290109F2" w:rsidR="00D62B1B" w:rsidRPr="00C60ED1" w:rsidRDefault="00D62B1B" w:rsidP="00C50996">
      <w:pPr>
        <w:tabs>
          <w:tab w:val="left" w:pos="0"/>
        </w:tabs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Liečba liekom</w:t>
      </w:r>
      <w:r w:rsidR="0003011C" w:rsidRPr="00C60ED1">
        <w:rPr>
          <w:sz w:val="22"/>
          <w:szCs w:val="22"/>
          <w:lang w:val="sk-SK"/>
        </w:rPr>
        <w:t xml:space="preserve"> </w:t>
      </w:r>
      <w:proofErr w:type="spellStart"/>
      <w:r w:rsidR="0003011C" w:rsidRPr="00C60ED1">
        <w:rPr>
          <w:sz w:val="22"/>
          <w:szCs w:val="22"/>
          <w:lang w:val="sk-SK"/>
        </w:rPr>
        <w:t>Orfiril</w:t>
      </w:r>
      <w:proofErr w:type="spellEnd"/>
      <w:r w:rsidR="0003011C" w:rsidRPr="00C60ED1">
        <w:rPr>
          <w:sz w:val="22"/>
          <w:szCs w:val="22"/>
          <w:lang w:val="sk-SK"/>
        </w:rPr>
        <w:t xml:space="preserve"> 150/300/600</w:t>
      </w:r>
      <w:r w:rsidRPr="00C60ED1">
        <w:rPr>
          <w:i/>
          <w:sz w:val="22"/>
          <w:szCs w:val="22"/>
          <w:lang w:val="sk-SK"/>
        </w:rPr>
        <w:t xml:space="preserve"> </w:t>
      </w:r>
      <w:r w:rsidRPr="00C60ED1">
        <w:rPr>
          <w:sz w:val="22"/>
          <w:szCs w:val="22"/>
          <w:lang w:val="sk-SK"/>
        </w:rPr>
        <w:t>môže viesť k zvýšeniu plazmatickej hladiny amoniaku (</w:t>
      </w:r>
      <w:proofErr w:type="spellStart"/>
      <w:r w:rsidRPr="00C60ED1">
        <w:rPr>
          <w:sz w:val="22"/>
          <w:szCs w:val="22"/>
          <w:lang w:val="sk-SK"/>
        </w:rPr>
        <w:t>hyperamon</w:t>
      </w:r>
      <w:r w:rsidR="00E9444A" w:rsidRPr="00C60ED1">
        <w:rPr>
          <w:sz w:val="22"/>
          <w:szCs w:val="22"/>
          <w:lang w:val="sk-SK"/>
        </w:rPr>
        <w:t>i</w:t>
      </w:r>
      <w:r w:rsidRPr="00C60ED1">
        <w:rPr>
          <w:sz w:val="22"/>
          <w:szCs w:val="22"/>
          <w:lang w:val="sk-SK"/>
        </w:rPr>
        <w:t>émia</w:t>
      </w:r>
      <w:proofErr w:type="spellEnd"/>
      <w:r w:rsidRPr="00C60ED1">
        <w:rPr>
          <w:sz w:val="22"/>
          <w:szCs w:val="22"/>
          <w:lang w:val="sk-SK"/>
        </w:rPr>
        <w:t xml:space="preserve">). Preto pri výskyte symptómov ako apatia, spavosť, dávenie, </w:t>
      </w:r>
      <w:proofErr w:type="spellStart"/>
      <w:r w:rsidRPr="00C60ED1">
        <w:rPr>
          <w:sz w:val="22"/>
          <w:szCs w:val="22"/>
          <w:lang w:val="sk-SK"/>
        </w:rPr>
        <w:t>arteriálna</w:t>
      </w:r>
      <w:proofErr w:type="spellEnd"/>
      <w:r w:rsidRPr="00C60ED1">
        <w:rPr>
          <w:sz w:val="22"/>
          <w:szCs w:val="22"/>
          <w:lang w:val="sk-SK"/>
        </w:rPr>
        <w:t xml:space="preserve"> hypotenzia ako aj zvýšenie počtu </w:t>
      </w:r>
      <w:r w:rsidR="00E9444A" w:rsidRPr="00C60ED1">
        <w:rPr>
          <w:sz w:val="22"/>
          <w:szCs w:val="22"/>
          <w:lang w:val="sk-SK"/>
        </w:rPr>
        <w:t xml:space="preserve">epileptických </w:t>
      </w:r>
      <w:r w:rsidRPr="00C60ED1">
        <w:rPr>
          <w:sz w:val="22"/>
          <w:szCs w:val="22"/>
          <w:lang w:val="sk-SK"/>
        </w:rPr>
        <w:t>záchvatov, sa musia sledovať plazmatické hlad</w:t>
      </w:r>
      <w:r w:rsidR="009446D7" w:rsidRPr="00C60ED1">
        <w:rPr>
          <w:sz w:val="22"/>
          <w:szCs w:val="22"/>
          <w:lang w:val="sk-SK"/>
        </w:rPr>
        <w:t>iny amoniaku a </w:t>
      </w:r>
      <w:r w:rsidR="00AE7AAF" w:rsidRPr="00C60ED1">
        <w:rPr>
          <w:sz w:val="22"/>
          <w:szCs w:val="22"/>
          <w:lang w:val="sk-SK"/>
        </w:rPr>
        <w:t>v</w:t>
      </w:r>
      <w:r w:rsidR="00AE7AAF" w:rsidRPr="00C60ED1">
        <w:rPr>
          <w:sz w:val="22"/>
          <w:szCs w:val="22"/>
          <w:lang w:val="sk-SK" w:eastAsia="sk-SK"/>
        </w:rPr>
        <w:t>alpro</w:t>
      </w:r>
      <w:r w:rsidR="002513E8" w:rsidRPr="00C60ED1">
        <w:rPr>
          <w:sz w:val="22"/>
          <w:szCs w:val="22"/>
          <w:lang w:val="sk-SK" w:eastAsia="sk-SK"/>
        </w:rPr>
        <w:t>átu</w:t>
      </w:r>
      <w:r w:rsidR="00AE7AAF" w:rsidRPr="00C60ED1">
        <w:rPr>
          <w:sz w:val="22"/>
          <w:szCs w:val="22"/>
          <w:lang w:val="sk-SK" w:eastAsia="sk-SK"/>
        </w:rPr>
        <w:t xml:space="preserve"> sodného </w:t>
      </w:r>
      <w:r w:rsidRPr="00C60ED1">
        <w:rPr>
          <w:sz w:val="22"/>
          <w:szCs w:val="22"/>
          <w:lang w:val="sk-SK"/>
        </w:rPr>
        <w:t xml:space="preserve">a podľa potreby sa redukuje dávka lieku </w:t>
      </w:r>
      <w:proofErr w:type="spellStart"/>
      <w:r w:rsidR="0003011C" w:rsidRPr="00C60ED1">
        <w:rPr>
          <w:sz w:val="22"/>
          <w:szCs w:val="22"/>
          <w:lang w:val="sk-SK"/>
        </w:rPr>
        <w:t>Orfiril</w:t>
      </w:r>
      <w:proofErr w:type="spellEnd"/>
      <w:r w:rsidR="0003011C" w:rsidRPr="00C60ED1">
        <w:rPr>
          <w:sz w:val="22"/>
          <w:szCs w:val="22"/>
          <w:lang w:val="sk-SK"/>
        </w:rPr>
        <w:t xml:space="preserve"> 150/300/600.</w:t>
      </w:r>
    </w:p>
    <w:p w14:paraId="0392F849" w14:textId="77777777" w:rsidR="00D62B1B" w:rsidRPr="00C60ED1" w:rsidRDefault="00D62B1B" w:rsidP="00C50996">
      <w:pPr>
        <w:tabs>
          <w:tab w:val="left" w:pos="0"/>
        </w:tabs>
        <w:rPr>
          <w:sz w:val="22"/>
          <w:szCs w:val="22"/>
          <w:lang w:val="sk-SK"/>
        </w:rPr>
      </w:pPr>
    </w:p>
    <w:p w14:paraId="384BBB8C" w14:textId="27E741C9" w:rsidR="00D62B1B" w:rsidRPr="00C60ED1" w:rsidRDefault="00D62B1B" w:rsidP="00C50996">
      <w:pPr>
        <w:pStyle w:val="Zarkazkladnhotextu"/>
        <w:tabs>
          <w:tab w:val="left" w:pos="0"/>
        </w:tabs>
        <w:ind w:left="0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Pri podozrení na enzymatickú poruchu metabolizmu </w:t>
      </w:r>
      <w:proofErr w:type="spellStart"/>
      <w:r w:rsidRPr="00C60ED1">
        <w:rPr>
          <w:sz w:val="22"/>
          <w:szCs w:val="22"/>
          <w:lang w:val="sk-SK"/>
        </w:rPr>
        <w:t>urey</w:t>
      </w:r>
      <w:proofErr w:type="spellEnd"/>
      <w:r w:rsidRPr="00C60ED1">
        <w:rPr>
          <w:sz w:val="22"/>
          <w:szCs w:val="22"/>
          <w:lang w:val="sk-SK"/>
        </w:rPr>
        <w:t xml:space="preserve"> pred nasadením terapie </w:t>
      </w:r>
      <w:proofErr w:type="spellStart"/>
      <w:r w:rsidR="00AE7AAF" w:rsidRPr="00C60ED1">
        <w:rPr>
          <w:sz w:val="22"/>
          <w:szCs w:val="22"/>
          <w:lang w:val="sk-SK"/>
        </w:rPr>
        <w:t>v</w:t>
      </w:r>
      <w:r w:rsidR="00AE7AAF" w:rsidRPr="00C60ED1">
        <w:rPr>
          <w:sz w:val="22"/>
          <w:szCs w:val="22"/>
          <w:lang w:val="sk-SK" w:eastAsia="sk-SK"/>
        </w:rPr>
        <w:t>alpro</w:t>
      </w:r>
      <w:r w:rsidR="002513E8" w:rsidRPr="00C60ED1">
        <w:rPr>
          <w:sz w:val="22"/>
          <w:szCs w:val="22"/>
          <w:lang w:val="sk-SK" w:eastAsia="sk-SK"/>
        </w:rPr>
        <w:t>áto</w:t>
      </w:r>
      <w:r w:rsidR="00AE7AAF" w:rsidRPr="00C60ED1">
        <w:rPr>
          <w:sz w:val="22"/>
          <w:szCs w:val="22"/>
          <w:lang w:val="sk-SK" w:eastAsia="sk-SK"/>
        </w:rPr>
        <w:t>m</w:t>
      </w:r>
      <w:proofErr w:type="spellEnd"/>
      <w:r w:rsidR="00AE7AAF" w:rsidRPr="00C60ED1">
        <w:rPr>
          <w:sz w:val="22"/>
          <w:szCs w:val="22"/>
          <w:lang w:val="sk-SK" w:eastAsia="sk-SK"/>
        </w:rPr>
        <w:t xml:space="preserve"> sodným</w:t>
      </w:r>
      <w:r w:rsidRPr="00C60ED1">
        <w:rPr>
          <w:sz w:val="22"/>
          <w:szCs w:val="22"/>
          <w:lang w:val="sk-SK"/>
        </w:rPr>
        <w:t xml:space="preserve">, je </w:t>
      </w:r>
      <w:r w:rsidR="006B2E1D" w:rsidRPr="00C60ED1">
        <w:rPr>
          <w:sz w:val="22"/>
          <w:szCs w:val="22"/>
          <w:lang w:val="sk-SK"/>
        </w:rPr>
        <w:t xml:space="preserve">nutné </w:t>
      </w:r>
      <w:r w:rsidRPr="00C60ED1">
        <w:rPr>
          <w:sz w:val="22"/>
          <w:szCs w:val="22"/>
          <w:lang w:val="sk-SK"/>
        </w:rPr>
        <w:t>stanoviť hladinu amoniaku už pred jej začatím.</w:t>
      </w:r>
    </w:p>
    <w:p w14:paraId="4C66B816" w14:textId="77777777" w:rsidR="00D62B1B" w:rsidRPr="00C60ED1" w:rsidRDefault="00D62B1B" w:rsidP="00C50996">
      <w:pPr>
        <w:keepLines/>
        <w:tabs>
          <w:tab w:val="left" w:pos="0"/>
        </w:tabs>
        <w:rPr>
          <w:sz w:val="22"/>
          <w:szCs w:val="22"/>
          <w:lang w:val="sk-SK"/>
        </w:rPr>
      </w:pPr>
    </w:p>
    <w:p w14:paraId="1BB0EFBF" w14:textId="6DD390B0" w:rsidR="00D62B1B" w:rsidRPr="00C60ED1" w:rsidRDefault="001E3DE7" w:rsidP="00C50996">
      <w:pPr>
        <w:keepLines/>
        <w:tabs>
          <w:tab w:val="left" w:pos="0"/>
        </w:tabs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Užívanie </w:t>
      </w:r>
      <w:r w:rsidR="00AE7AAF" w:rsidRPr="00C60ED1">
        <w:rPr>
          <w:sz w:val="22"/>
          <w:szCs w:val="22"/>
          <w:lang w:val="sk-SK"/>
        </w:rPr>
        <w:t>v</w:t>
      </w:r>
      <w:r w:rsidR="00AE7AAF" w:rsidRPr="00C60ED1">
        <w:rPr>
          <w:sz w:val="22"/>
          <w:szCs w:val="22"/>
          <w:lang w:val="sk-SK" w:eastAsia="sk-SK"/>
        </w:rPr>
        <w:t>alpro</w:t>
      </w:r>
      <w:r w:rsidR="002513E8" w:rsidRPr="00C60ED1">
        <w:rPr>
          <w:sz w:val="22"/>
          <w:szCs w:val="22"/>
          <w:lang w:val="sk-SK" w:eastAsia="sk-SK"/>
        </w:rPr>
        <w:t>át</w:t>
      </w:r>
      <w:r w:rsidR="00AE7AAF" w:rsidRPr="00C60ED1">
        <w:rPr>
          <w:sz w:val="22"/>
          <w:szCs w:val="22"/>
          <w:lang w:val="sk-SK" w:eastAsia="sk-SK"/>
        </w:rPr>
        <w:t xml:space="preserve">u sodného </w:t>
      </w:r>
      <w:r w:rsidR="00D62B1B" w:rsidRPr="00C60ED1">
        <w:rPr>
          <w:sz w:val="22"/>
          <w:szCs w:val="22"/>
          <w:lang w:val="sk-SK"/>
        </w:rPr>
        <w:t xml:space="preserve">vedie len zriedka k reakcii imunitného systému. Napriek tomu u pacientov s podozrením na lupus </w:t>
      </w:r>
      <w:proofErr w:type="spellStart"/>
      <w:r w:rsidR="00D62B1B" w:rsidRPr="00C60ED1">
        <w:rPr>
          <w:sz w:val="22"/>
          <w:szCs w:val="22"/>
          <w:lang w:val="sk-SK"/>
        </w:rPr>
        <w:t>erythematodes</w:t>
      </w:r>
      <w:proofErr w:type="spellEnd"/>
      <w:r w:rsidR="00D62B1B" w:rsidRPr="00C60ED1">
        <w:rPr>
          <w:sz w:val="22"/>
          <w:szCs w:val="22"/>
          <w:lang w:val="sk-SK"/>
        </w:rPr>
        <w:t xml:space="preserve"> sa</w:t>
      </w:r>
      <w:r w:rsidR="00E9444A" w:rsidRPr="00C60ED1">
        <w:rPr>
          <w:sz w:val="22"/>
          <w:szCs w:val="22"/>
          <w:lang w:val="sk-SK"/>
        </w:rPr>
        <w:t xml:space="preserve"> l</w:t>
      </w:r>
      <w:r w:rsidR="00D62B1B" w:rsidRPr="00C60ED1">
        <w:rPr>
          <w:sz w:val="22"/>
          <w:szCs w:val="22"/>
          <w:lang w:val="sk-SK"/>
        </w:rPr>
        <w:t>ie</w:t>
      </w:r>
      <w:r w:rsidR="00E9444A" w:rsidRPr="00C60ED1">
        <w:rPr>
          <w:sz w:val="22"/>
          <w:szCs w:val="22"/>
          <w:lang w:val="sk-SK"/>
        </w:rPr>
        <w:t>čba</w:t>
      </w:r>
      <w:r w:rsidR="00D62B1B" w:rsidRPr="00C60ED1">
        <w:rPr>
          <w:sz w:val="22"/>
          <w:szCs w:val="22"/>
          <w:lang w:val="sk-SK"/>
        </w:rPr>
        <w:t xml:space="preserve"> liek</w:t>
      </w:r>
      <w:r w:rsidR="00E9444A" w:rsidRPr="00C60ED1">
        <w:rPr>
          <w:sz w:val="22"/>
          <w:szCs w:val="22"/>
          <w:lang w:val="sk-SK"/>
        </w:rPr>
        <w:t>om</w:t>
      </w:r>
      <w:r w:rsidR="00D62B1B" w:rsidRPr="00C60ED1">
        <w:rPr>
          <w:sz w:val="22"/>
          <w:szCs w:val="22"/>
          <w:lang w:val="sk-SK"/>
        </w:rPr>
        <w:t xml:space="preserve"> odporúča až po starostlivom zvážení všetkých rizikových faktorov.</w:t>
      </w:r>
    </w:p>
    <w:p w14:paraId="6DEA3E5D" w14:textId="77777777" w:rsidR="00D62B1B" w:rsidRPr="00C60ED1" w:rsidRDefault="00D62B1B" w:rsidP="00C50996">
      <w:pPr>
        <w:keepLines/>
        <w:tabs>
          <w:tab w:val="left" w:pos="0"/>
        </w:tabs>
        <w:rPr>
          <w:sz w:val="22"/>
          <w:szCs w:val="22"/>
          <w:lang w:val="sk-SK"/>
        </w:rPr>
      </w:pPr>
    </w:p>
    <w:p w14:paraId="4E6756AB" w14:textId="77777777" w:rsidR="00D62B1B" w:rsidRPr="00C60ED1" w:rsidRDefault="00D62B1B" w:rsidP="00C50996">
      <w:pPr>
        <w:tabs>
          <w:tab w:val="left" w:pos="0"/>
        </w:tabs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Občas, najmä pri vysokých dávkach, sa môže vyskytnúť predĺžené krvácanie a/alebo trombocytopénia. Preto pacienti s neočakávaným krvácaním slizníc alebo zvýšenou tendenciou tvorby hematómov sa ma</w:t>
      </w:r>
      <w:r w:rsidR="003134B7" w:rsidRPr="00C60ED1">
        <w:rPr>
          <w:sz w:val="22"/>
          <w:szCs w:val="22"/>
          <w:lang w:val="sk-SK"/>
        </w:rPr>
        <w:t>jú</w:t>
      </w:r>
      <w:r w:rsidRPr="00C60ED1">
        <w:rPr>
          <w:sz w:val="22"/>
          <w:szCs w:val="22"/>
          <w:lang w:val="sk-SK"/>
        </w:rPr>
        <w:t xml:space="preserve"> podrobiť nasledujúcim vyšetreniam</w:t>
      </w:r>
      <w:r w:rsidR="003134B7" w:rsidRPr="00C60ED1">
        <w:rPr>
          <w:sz w:val="22"/>
          <w:szCs w:val="22"/>
          <w:lang w:val="sk-SK"/>
        </w:rPr>
        <w:t>:</w:t>
      </w:r>
    </w:p>
    <w:p w14:paraId="6D74B2B6" w14:textId="77777777" w:rsidR="00D62B1B" w:rsidRPr="00C60ED1" w:rsidRDefault="00D62B1B" w:rsidP="00C50996">
      <w:pPr>
        <w:keepLines/>
        <w:tabs>
          <w:tab w:val="left" w:pos="0"/>
        </w:tabs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Osobitná pozornosť je potrebná, ak je </w:t>
      </w:r>
      <w:proofErr w:type="spellStart"/>
      <w:r w:rsidRPr="00C60ED1">
        <w:rPr>
          <w:sz w:val="22"/>
          <w:szCs w:val="22"/>
          <w:lang w:val="sk-SK"/>
        </w:rPr>
        <w:t>tromboplastínový</w:t>
      </w:r>
      <w:proofErr w:type="spellEnd"/>
      <w:r w:rsidRPr="00C60ED1">
        <w:rPr>
          <w:sz w:val="22"/>
          <w:szCs w:val="22"/>
          <w:lang w:val="sk-SK"/>
        </w:rPr>
        <w:t xml:space="preserve"> čas podstatne predĺžený pri súčasných iných zmenách laboratórnych parametrov, ako pokles </w:t>
      </w:r>
      <w:proofErr w:type="spellStart"/>
      <w:r w:rsidRPr="00C60ED1">
        <w:rPr>
          <w:sz w:val="22"/>
          <w:szCs w:val="22"/>
          <w:lang w:val="sk-SK"/>
        </w:rPr>
        <w:t>fibrinogénu</w:t>
      </w:r>
      <w:proofErr w:type="spellEnd"/>
      <w:r w:rsidRPr="00C60ED1">
        <w:rPr>
          <w:sz w:val="22"/>
          <w:szCs w:val="22"/>
          <w:lang w:val="sk-SK"/>
        </w:rPr>
        <w:t xml:space="preserve"> a faktorov zrážavosti krvi (najmä faktor VIII) alebo stúpanie </w:t>
      </w:r>
      <w:proofErr w:type="spellStart"/>
      <w:r w:rsidRPr="00C60ED1">
        <w:rPr>
          <w:sz w:val="22"/>
          <w:szCs w:val="22"/>
          <w:lang w:val="sk-SK"/>
        </w:rPr>
        <w:t>bilirubínu</w:t>
      </w:r>
      <w:proofErr w:type="spellEnd"/>
      <w:r w:rsidRPr="00C60ED1">
        <w:rPr>
          <w:sz w:val="22"/>
          <w:szCs w:val="22"/>
          <w:lang w:val="sk-SK"/>
        </w:rPr>
        <w:t xml:space="preserve"> alebo pečeňových enzýmov. Pred operačnými alebo dentálnymi zákrokmi sa odporúča stanovenie trombocytov, </w:t>
      </w:r>
      <w:proofErr w:type="spellStart"/>
      <w:r w:rsidRPr="00C60ED1">
        <w:rPr>
          <w:sz w:val="22"/>
          <w:szCs w:val="22"/>
          <w:lang w:val="sk-SK"/>
        </w:rPr>
        <w:t>tromboplastínového</w:t>
      </w:r>
      <w:proofErr w:type="spellEnd"/>
      <w:r w:rsidRPr="00C60ED1">
        <w:rPr>
          <w:sz w:val="22"/>
          <w:szCs w:val="22"/>
          <w:lang w:val="sk-SK"/>
        </w:rPr>
        <w:t xml:space="preserve"> času, dĺžky krvácania a </w:t>
      </w:r>
      <w:proofErr w:type="spellStart"/>
      <w:r w:rsidRPr="00C60ED1">
        <w:rPr>
          <w:sz w:val="22"/>
          <w:szCs w:val="22"/>
          <w:lang w:val="sk-SK"/>
        </w:rPr>
        <w:t>fibrinogénu</w:t>
      </w:r>
      <w:proofErr w:type="spellEnd"/>
      <w:r w:rsidRPr="00C60ED1">
        <w:rPr>
          <w:sz w:val="22"/>
          <w:szCs w:val="22"/>
          <w:lang w:val="sk-SK"/>
        </w:rPr>
        <w:t>.</w:t>
      </w:r>
    </w:p>
    <w:p w14:paraId="30F8F318" w14:textId="77777777" w:rsidR="00D62B1B" w:rsidRPr="00C60ED1" w:rsidRDefault="00D62B1B" w:rsidP="00C50996">
      <w:pPr>
        <w:tabs>
          <w:tab w:val="left" w:pos="0"/>
        </w:tabs>
        <w:rPr>
          <w:sz w:val="22"/>
          <w:szCs w:val="22"/>
          <w:lang w:val="sk-SK"/>
        </w:rPr>
      </w:pPr>
    </w:p>
    <w:p w14:paraId="5992A6AD" w14:textId="77777777" w:rsidR="00D62B1B" w:rsidRPr="00C60ED1" w:rsidRDefault="00D62B1B" w:rsidP="00C50996">
      <w:pPr>
        <w:tabs>
          <w:tab w:val="left" w:pos="0"/>
        </w:tabs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Pacienti s</w:t>
      </w:r>
      <w:r w:rsidR="00E9444A" w:rsidRPr="00C60ED1">
        <w:rPr>
          <w:sz w:val="22"/>
          <w:szCs w:val="22"/>
          <w:lang w:val="sk-SK"/>
        </w:rPr>
        <w:t xml:space="preserve"> </w:t>
      </w:r>
      <w:r w:rsidRPr="00C60ED1">
        <w:rPr>
          <w:sz w:val="22"/>
          <w:szCs w:val="22"/>
          <w:lang w:val="sk-SK"/>
        </w:rPr>
        <w:t>poškodením kostnej drene musia byť starostlivo sledovaní.</w:t>
      </w:r>
    </w:p>
    <w:p w14:paraId="6A111535" w14:textId="77777777" w:rsidR="00D62B1B" w:rsidRPr="00C60ED1" w:rsidRDefault="00D62B1B" w:rsidP="00C50996">
      <w:pPr>
        <w:tabs>
          <w:tab w:val="left" w:pos="0"/>
        </w:tabs>
        <w:rPr>
          <w:sz w:val="22"/>
          <w:szCs w:val="22"/>
          <w:lang w:val="sk-SK"/>
        </w:rPr>
      </w:pPr>
    </w:p>
    <w:p w14:paraId="2C6794B5" w14:textId="68629384" w:rsidR="00D62B1B" w:rsidRPr="00C60ED1" w:rsidRDefault="00D62B1B" w:rsidP="00C50996">
      <w:pPr>
        <w:tabs>
          <w:tab w:val="left" w:pos="0"/>
        </w:tabs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U pacientov s obličkovou nedostatočnosťou </w:t>
      </w:r>
      <w:r w:rsidR="00E9444A" w:rsidRPr="00C60ED1">
        <w:rPr>
          <w:sz w:val="22"/>
          <w:szCs w:val="22"/>
          <w:lang w:val="sk-SK"/>
        </w:rPr>
        <w:t xml:space="preserve">sa </w:t>
      </w:r>
      <w:r w:rsidRPr="00C60ED1">
        <w:rPr>
          <w:sz w:val="22"/>
          <w:szCs w:val="22"/>
          <w:lang w:val="sk-SK"/>
        </w:rPr>
        <w:t xml:space="preserve">musí </w:t>
      </w:r>
      <w:r w:rsidR="00E9444A" w:rsidRPr="00C60ED1">
        <w:rPr>
          <w:sz w:val="22"/>
          <w:szCs w:val="22"/>
          <w:lang w:val="sk-SK"/>
        </w:rPr>
        <w:t>zo</w:t>
      </w:r>
      <w:r w:rsidRPr="00C60ED1">
        <w:rPr>
          <w:sz w:val="22"/>
          <w:szCs w:val="22"/>
          <w:lang w:val="sk-SK"/>
        </w:rPr>
        <w:t>b</w:t>
      </w:r>
      <w:r w:rsidR="00E9444A" w:rsidRPr="00C60ED1">
        <w:rPr>
          <w:sz w:val="22"/>
          <w:szCs w:val="22"/>
          <w:lang w:val="sk-SK"/>
        </w:rPr>
        <w:t>rať do úvahy</w:t>
      </w:r>
      <w:r w:rsidRPr="00C60ED1">
        <w:rPr>
          <w:sz w:val="22"/>
          <w:szCs w:val="22"/>
          <w:lang w:val="sk-SK"/>
        </w:rPr>
        <w:t xml:space="preserve"> vzostup plazmatickýc</w:t>
      </w:r>
      <w:r w:rsidR="001E3DE7" w:rsidRPr="00C60ED1">
        <w:rPr>
          <w:sz w:val="22"/>
          <w:szCs w:val="22"/>
          <w:lang w:val="sk-SK"/>
        </w:rPr>
        <w:t xml:space="preserve">h koncentrácií </w:t>
      </w:r>
      <w:r w:rsidR="00AE7AAF" w:rsidRPr="00C60ED1">
        <w:rPr>
          <w:sz w:val="22"/>
          <w:szCs w:val="22"/>
          <w:lang w:val="sk-SK"/>
        </w:rPr>
        <w:t>v</w:t>
      </w:r>
      <w:r w:rsidR="00AE7AAF" w:rsidRPr="00C60ED1">
        <w:rPr>
          <w:sz w:val="22"/>
          <w:szCs w:val="22"/>
          <w:lang w:val="sk-SK" w:eastAsia="sk-SK"/>
        </w:rPr>
        <w:t>alpro</w:t>
      </w:r>
      <w:r w:rsidR="00751FEF" w:rsidRPr="00C60ED1">
        <w:rPr>
          <w:sz w:val="22"/>
          <w:szCs w:val="22"/>
          <w:lang w:val="sk-SK" w:eastAsia="sk-SK"/>
        </w:rPr>
        <w:t>átu</w:t>
      </w:r>
      <w:r w:rsidR="00AE7AAF" w:rsidRPr="00C60ED1">
        <w:rPr>
          <w:sz w:val="22"/>
          <w:szCs w:val="22"/>
          <w:lang w:val="sk-SK" w:eastAsia="sk-SK"/>
        </w:rPr>
        <w:t xml:space="preserve"> sodného </w:t>
      </w:r>
      <w:r w:rsidRPr="00C60ED1">
        <w:rPr>
          <w:sz w:val="22"/>
          <w:szCs w:val="22"/>
          <w:lang w:val="sk-SK"/>
        </w:rPr>
        <w:t xml:space="preserve">a primerane </w:t>
      </w:r>
      <w:r w:rsidR="00E9444A" w:rsidRPr="00C60ED1">
        <w:rPr>
          <w:sz w:val="22"/>
          <w:szCs w:val="22"/>
          <w:lang w:val="sk-SK"/>
        </w:rPr>
        <w:t xml:space="preserve">tomu </w:t>
      </w:r>
      <w:r w:rsidRPr="00C60ED1">
        <w:rPr>
          <w:sz w:val="22"/>
          <w:szCs w:val="22"/>
          <w:lang w:val="sk-SK"/>
        </w:rPr>
        <w:t>zníž</w:t>
      </w:r>
      <w:r w:rsidR="00E9444A" w:rsidRPr="00C60ED1">
        <w:rPr>
          <w:sz w:val="22"/>
          <w:szCs w:val="22"/>
          <w:lang w:val="sk-SK"/>
        </w:rPr>
        <w:t>iť</w:t>
      </w:r>
      <w:r w:rsidRPr="00C60ED1">
        <w:rPr>
          <w:sz w:val="22"/>
          <w:szCs w:val="22"/>
          <w:lang w:val="sk-SK"/>
        </w:rPr>
        <w:t xml:space="preserve"> dávk</w:t>
      </w:r>
      <w:r w:rsidR="00E9444A" w:rsidRPr="00C60ED1">
        <w:rPr>
          <w:sz w:val="22"/>
          <w:szCs w:val="22"/>
          <w:lang w:val="sk-SK"/>
        </w:rPr>
        <w:t>u</w:t>
      </w:r>
      <w:r w:rsidRPr="00C60ED1">
        <w:rPr>
          <w:sz w:val="22"/>
          <w:szCs w:val="22"/>
          <w:lang w:val="sk-SK"/>
        </w:rPr>
        <w:t>.</w:t>
      </w:r>
    </w:p>
    <w:p w14:paraId="1CC0A04C" w14:textId="77777777" w:rsidR="00A341AE" w:rsidRPr="00C60ED1" w:rsidRDefault="00A341AE">
      <w:pPr>
        <w:rPr>
          <w:sz w:val="22"/>
          <w:szCs w:val="22"/>
          <w:lang w:val="sk-SK"/>
        </w:rPr>
      </w:pPr>
    </w:p>
    <w:p w14:paraId="24D25476" w14:textId="28C2183B" w:rsidR="008A4238" w:rsidRPr="00C60ED1" w:rsidRDefault="008A4238">
      <w:pPr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Pri liečbe antiepileptikami v niekoľkých indikáciách boli u pacientov hlásené </w:t>
      </w:r>
      <w:proofErr w:type="spellStart"/>
      <w:r w:rsidRPr="00C60ED1">
        <w:rPr>
          <w:sz w:val="22"/>
          <w:szCs w:val="22"/>
          <w:lang w:val="sk-SK"/>
        </w:rPr>
        <w:t>suicidálne</w:t>
      </w:r>
      <w:proofErr w:type="spellEnd"/>
      <w:r w:rsidRPr="00C60ED1">
        <w:rPr>
          <w:sz w:val="22"/>
          <w:szCs w:val="22"/>
          <w:lang w:val="sk-SK"/>
        </w:rPr>
        <w:t xml:space="preserve"> myšlienky a správanie. </w:t>
      </w:r>
      <w:proofErr w:type="spellStart"/>
      <w:r w:rsidRPr="00C60ED1">
        <w:rPr>
          <w:sz w:val="22"/>
          <w:szCs w:val="22"/>
          <w:lang w:val="sk-SK"/>
        </w:rPr>
        <w:t>Metaanalýza</w:t>
      </w:r>
      <w:proofErr w:type="spellEnd"/>
      <w:r w:rsidRPr="00C60ED1">
        <w:rPr>
          <w:sz w:val="22"/>
          <w:szCs w:val="22"/>
          <w:lang w:val="sk-SK"/>
        </w:rPr>
        <w:t xml:space="preserve"> randomizovaných placebom kontrolovaných štúdií antiepileptikami ukázala malé zvýšenie rizika </w:t>
      </w:r>
      <w:proofErr w:type="spellStart"/>
      <w:r w:rsidRPr="00C60ED1">
        <w:rPr>
          <w:sz w:val="22"/>
          <w:szCs w:val="22"/>
          <w:lang w:val="sk-SK"/>
        </w:rPr>
        <w:t>suicidálnych</w:t>
      </w:r>
      <w:proofErr w:type="spellEnd"/>
      <w:r w:rsidRPr="00C60ED1">
        <w:rPr>
          <w:sz w:val="22"/>
          <w:szCs w:val="22"/>
          <w:lang w:val="sk-SK"/>
        </w:rPr>
        <w:t xml:space="preserve"> myšlienok a správania. Mechanizmus tohto rizika nie je známy a dostupné údaje nevylučujú možnosť zvýšeného rizika </w:t>
      </w:r>
      <w:r w:rsidR="00AE7AAF" w:rsidRPr="00C60ED1">
        <w:rPr>
          <w:sz w:val="22"/>
          <w:szCs w:val="22"/>
          <w:lang w:val="sk-SK"/>
        </w:rPr>
        <w:t>v</w:t>
      </w:r>
      <w:r w:rsidR="00AE7AAF" w:rsidRPr="00C60ED1">
        <w:rPr>
          <w:sz w:val="22"/>
          <w:szCs w:val="22"/>
          <w:lang w:val="sk-SK" w:eastAsia="sk-SK"/>
        </w:rPr>
        <w:t>alpro</w:t>
      </w:r>
      <w:r w:rsidR="002513E8" w:rsidRPr="00C60ED1">
        <w:rPr>
          <w:sz w:val="22"/>
          <w:szCs w:val="22"/>
          <w:lang w:val="sk-SK" w:eastAsia="sk-SK"/>
        </w:rPr>
        <w:t>át</w:t>
      </w:r>
      <w:r w:rsidR="00AE7AAF" w:rsidRPr="00C60ED1">
        <w:rPr>
          <w:sz w:val="22"/>
          <w:szCs w:val="22"/>
          <w:lang w:val="sk-SK" w:eastAsia="sk-SK"/>
        </w:rPr>
        <w:t>u sodného</w:t>
      </w:r>
    </w:p>
    <w:p w14:paraId="33FEE5F8" w14:textId="77777777" w:rsidR="008A4238" w:rsidRPr="00C60ED1" w:rsidRDefault="008A4238">
      <w:pPr>
        <w:rPr>
          <w:sz w:val="22"/>
          <w:szCs w:val="22"/>
          <w:lang w:val="sk-SK"/>
        </w:rPr>
      </w:pPr>
    </w:p>
    <w:p w14:paraId="54C93049" w14:textId="77777777" w:rsidR="008A4238" w:rsidRPr="00C60ED1" w:rsidRDefault="008A4238">
      <w:pPr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Pacientov je preto potrebné sledovať na príznaky a symptómy </w:t>
      </w:r>
      <w:proofErr w:type="spellStart"/>
      <w:r w:rsidRPr="00C60ED1">
        <w:rPr>
          <w:sz w:val="22"/>
          <w:szCs w:val="22"/>
          <w:lang w:val="sk-SK"/>
        </w:rPr>
        <w:t>suicidálnych</w:t>
      </w:r>
      <w:proofErr w:type="spellEnd"/>
      <w:r w:rsidRPr="00C60ED1">
        <w:rPr>
          <w:sz w:val="22"/>
          <w:szCs w:val="22"/>
          <w:lang w:val="sk-SK"/>
        </w:rPr>
        <w:t xml:space="preserve"> myšlienok a správania a je potrebné zvážiť vhodnú liečbu. Pacientom ( a opatrovateľom  pacientov )</w:t>
      </w:r>
    </w:p>
    <w:p w14:paraId="454E4E84" w14:textId="77777777" w:rsidR="008A4238" w:rsidRPr="00C60ED1" w:rsidRDefault="009455E9">
      <w:pPr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j</w:t>
      </w:r>
      <w:r w:rsidR="008A4238" w:rsidRPr="00C60ED1">
        <w:rPr>
          <w:sz w:val="22"/>
          <w:szCs w:val="22"/>
          <w:lang w:val="sk-SK"/>
        </w:rPr>
        <w:t>e potrebné odporučiť,</w:t>
      </w:r>
      <w:r w:rsidR="00927827" w:rsidRPr="00C60ED1">
        <w:rPr>
          <w:sz w:val="22"/>
          <w:szCs w:val="22"/>
          <w:lang w:val="sk-SK"/>
        </w:rPr>
        <w:t xml:space="preserve"> </w:t>
      </w:r>
      <w:r w:rsidR="008A4238" w:rsidRPr="00C60ED1">
        <w:rPr>
          <w:sz w:val="22"/>
          <w:szCs w:val="22"/>
          <w:lang w:val="sk-SK"/>
        </w:rPr>
        <w:t>aby vyhľadali lekársku pomoc,</w:t>
      </w:r>
      <w:r w:rsidR="00927827" w:rsidRPr="00C60ED1">
        <w:rPr>
          <w:sz w:val="22"/>
          <w:szCs w:val="22"/>
          <w:lang w:val="sk-SK"/>
        </w:rPr>
        <w:t xml:space="preserve"> </w:t>
      </w:r>
      <w:r w:rsidR="008A4238" w:rsidRPr="00C60ED1">
        <w:rPr>
          <w:sz w:val="22"/>
          <w:szCs w:val="22"/>
          <w:lang w:val="sk-SK"/>
        </w:rPr>
        <w:t xml:space="preserve">ak sa objavia príznaky </w:t>
      </w:r>
      <w:proofErr w:type="spellStart"/>
      <w:r w:rsidR="008A4238" w:rsidRPr="00C60ED1">
        <w:rPr>
          <w:sz w:val="22"/>
          <w:szCs w:val="22"/>
          <w:lang w:val="sk-SK"/>
        </w:rPr>
        <w:t>suicidálnych</w:t>
      </w:r>
      <w:proofErr w:type="spellEnd"/>
      <w:r w:rsidR="008A4238" w:rsidRPr="00C60ED1">
        <w:rPr>
          <w:sz w:val="22"/>
          <w:szCs w:val="22"/>
          <w:lang w:val="sk-SK"/>
        </w:rPr>
        <w:t xml:space="preserve"> myšlienok alebo správania.</w:t>
      </w:r>
    </w:p>
    <w:p w14:paraId="6826EA4E" w14:textId="77777777" w:rsidR="008A4238" w:rsidRPr="00C60ED1" w:rsidRDefault="008A4238">
      <w:pPr>
        <w:rPr>
          <w:sz w:val="22"/>
          <w:szCs w:val="22"/>
          <w:lang w:val="sk-SK"/>
        </w:rPr>
      </w:pPr>
    </w:p>
    <w:p w14:paraId="3D9ABC3B" w14:textId="238F8956" w:rsidR="00FC18F5" w:rsidRPr="00C60ED1" w:rsidRDefault="00FC18F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C60ED1">
        <w:rPr>
          <w:rFonts w:ascii="Times New Roman" w:hAnsi="Times New Roman" w:cs="Times New Roman"/>
          <w:color w:val="auto"/>
          <w:sz w:val="22"/>
          <w:szCs w:val="22"/>
        </w:rPr>
        <w:t>Valpro</w:t>
      </w:r>
      <w:r w:rsidR="002513E8" w:rsidRPr="00C60ED1">
        <w:rPr>
          <w:rFonts w:ascii="Times New Roman" w:hAnsi="Times New Roman" w:cs="Times New Roman"/>
          <w:color w:val="auto"/>
          <w:sz w:val="22"/>
          <w:szCs w:val="22"/>
        </w:rPr>
        <w:t>át</w:t>
      </w:r>
      <w:r w:rsidRPr="00C60ED1">
        <w:rPr>
          <w:rFonts w:ascii="Times New Roman" w:hAnsi="Times New Roman" w:cs="Times New Roman"/>
          <w:color w:val="auto"/>
          <w:sz w:val="22"/>
          <w:szCs w:val="22"/>
        </w:rPr>
        <w:t xml:space="preserve"> môže vyvolať alebo zhoršiť klinické prejavy základných </w:t>
      </w:r>
      <w:proofErr w:type="spellStart"/>
      <w:r w:rsidRPr="00C60ED1">
        <w:rPr>
          <w:rFonts w:ascii="Times New Roman" w:hAnsi="Times New Roman" w:cs="Times New Roman"/>
          <w:color w:val="auto"/>
          <w:sz w:val="22"/>
          <w:szCs w:val="22"/>
        </w:rPr>
        <w:t>mitochondriálnych</w:t>
      </w:r>
      <w:proofErr w:type="spellEnd"/>
      <w:r w:rsidRPr="00C60ED1">
        <w:rPr>
          <w:rFonts w:ascii="Times New Roman" w:hAnsi="Times New Roman" w:cs="Times New Roman"/>
          <w:color w:val="auto"/>
          <w:sz w:val="22"/>
          <w:szCs w:val="22"/>
        </w:rPr>
        <w:t xml:space="preserve"> ochorení zapríčinených mutáciami </w:t>
      </w:r>
      <w:proofErr w:type="spellStart"/>
      <w:r w:rsidRPr="00C60ED1">
        <w:rPr>
          <w:rFonts w:ascii="Times New Roman" w:hAnsi="Times New Roman" w:cs="Times New Roman"/>
          <w:color w:val="auto"/>
          <w:sz w:val="22"/>
          <w:szCs w:val="22"/>
        </w:rPr>
        <w:t>mitochondriálnej</w:t>
      </w:r>
      <w:proofErr w:type="spellEnd"/>
      <w:r w:rsidRPr="00C60ED1">
        <w:rPr>
          <w:rFonts w:ascii="Times New Roman" w:hAnsi="Times New Roman" w:cs="Times New Roman"/>
          <w:color w:val="auto"/>
          <w:sz w:val="22"/>
          <w:szCs w:val="22"/>
        </w:rPr>
        <w:t xml:space="preserve"> DNA, ako aj jadrového génu kódujúceho </w:t>
      </w:r>
      <w:proofErr w:type="spellStart"/>
      <w:r w:rsidRPr="00C60ED1">
        <w:rPr>
          <w:rFonts w:ascii="Times New Roman" w:hAnsi="Times New Roman" w:cs="Times New Roman"/>
          <w:color w:val="auto"/>
          <w:sz w:val="22"/>
          <w:szCs w:val="22"/>
        </w:rPr>
        <w:t>POLG</w:t>
      </w:r>
      <w:proofErr w:type="spellEnd"/>
      <w:r w:rsidRPr="00C60ED1">
        <w:rPr>
          <w:rFonts w:ascii="Times New Roman" w:hAnsi="Times New Roman" w:cs="Times New Roman"/>
          <w:color w:val="auto"/>
          <w:sz w:val="22"/>
          <w:szCs w:val="22"/>
        </w:rPr>
        <w:t xml:space="preserve">. Konkrétne bolo hlásené akútne zlyhávanie pečene indukované </w:t>
      </w:r>
      <w:proofErr w:type="spellStart"/>
      <w:r w:rsidRPr="00C60ED1">
        <w:rPr>
          <w:rFonts w:ascii="Times New Roman" w:hAnsi="Times New Roman" w:cs="Times New Roman"/>
          <w:color w:val="auto"/>
          <w:sz w:val="22"/>
          <w:szCs w:val="22"/>
        </w:rPr>
        <w:t>valpro</w:t>
      </w:r>
      <w:r w:rsidR="002513E8" w:rsidRPr="00C60ED1">
        <w:rPr>
          <w:rFonts w:ascii="Times New Roman" w:hAnsi="Times New Roman" w:cs="Times New Roman"/>
          <w:color w:val="auto"/>
          <w:sz w:val="22"/>
          <w:szCs w:val="22"/>
        </w:rPr>
        <w:t>áto</w:t>
      </w:r>
      <w:r w:rsidRPr="00C60ED1">
        <w:rPr>
          <w:rFonts w:ascii="Times New Roman" w:hAnsi="Times New Roman" w:cs="Times New Roman"/>
          <w:color w:val="auto"/>
          <w:sz w:val="22"/>
          <w:szCs w:val="22"/>
        </w:rPr>
        <w:t>m</w:t>
      </w:r>
      <w:proofErr w:type="spellEnd"/>
      <w:r w:rsidRPr="00C60ED1">
        <w:rPr>
          <w:rFonts w:ascii="Times New Roman" w:hAnsi="Times New Roman" w:cs="Times New Roman"/>
          <w:color w:val="auto"/>
          <w:sz w:val="22"/>
          <w:szCs w:val="22"/>
        </w:rPr>
        <w:t xml:space="preserve"> a úmrtia súvisiace s pečeňou vo vyššej miere u pacientov s dedičnými </w:t>
      </w:r>
      <w:proofErr w:type="spellStart"/>
      <w:r w:rsidRPr="00C60ED1">
        <w:rPr>
          <w:rFonts w:ascii="Times New Roman" w:hAnsi="Times New Roman" w:cs="Times New Roman"/>
          <w:color w:val="auto"/>
          <w:sz w:val="22"/>
          <w:szCs w:val="22"/>
        </w:rPr>
        <w:t>neurometabolickými</w:t>
      </w:r>
      <w:proofErr w:type="spellEnd"/>
      <w:r w:rsidRPr="00C60ED1">
        <w:rPr>
          <w:rFonts w:ascii="Times New Roman" w:hAnsi="Times New Roman" w:cs="Times New Roman"/>
          <w:color w:val="auto"/>
          <w:sz w:val="22"/>
          <w:szCs w:val="22"/>
        </w:rPr>
        <w:t xml:space="preserve"> syndrómami zapríčinenými mutáciami génu pre </w:t>
      </w:r>
      <w:proofErr w:type="spellStart"/>
      <w:r w:rsidRPr="00C60ED1">
        <w:rPr>
          <w:rFonts w:ascii="Times New Roman" w:hAnsi="Times New Roman" w:cs="Times New Roman"/>
          <w:color w:val="auto"/>
          <w:sz w:val="22"/>
          <w:szCs w:val="22"/>
        </w:rPr>
        <w:t>mitochondriálny</w:t>
      </w:r>
      <w:proofErr w:type="spellEnd"/>
      <w:r w:rsidRPr="00C60ED1">
        <w:rPr>
          <w:rFonts w:ascii="Times New Roman" w:hAnsi="Times New Roman" w:cs="Times New Roman"/>
          <w:color w:val="auto"/>
          <w:sz w:val="22"/>
          <w:szCs w:val="22"/>
        </w:rPr>
        <w:t xml:space="preserve"> enzým </w:t>
      </w:r>
      <w:proofErr w:type="spellStart"/>
      <w:r w:rsidRPr="00C60ED1">
        <w:rPr>
          <w:rFonts w:ascii="Times New Roman" w:hAnsi="Times New Roman" w:cs="Times New Roman"/>
          <w:color w:val="auto"/>
          <w:sz w:val="22"/>
          <w:szCs w:val="22"/>
        </w:rPr>
        <w:t>polymerázu</w:t>
      </w:r>
      <w:proofErr w:type="spellEnd"/>
      <w:r w:rsidRPr="00C60ED1">
        <w:rPr>
          <w:rFonts w:ascii="Times New Roman" w:hAnsi="Times New Roman" w:cs="Times New Roman"/>
          <w:color w:val="auto"/>
          <w:sz w:val="22"/>
          <w:szCs w:val="22"/>
        </w:rPr>
        <w:t xml:space="preserve"> γ (</w:t>
      </w:r>
      <w:proofErr w:type="spellStart"/>
      <w:r w:rsidRPr="00C60ED1">
        <w:rPr>
          <w:rFonts w:ascii="Times New Roman" w:hAnsi="Times New Roman" w:cs="Times New Roman"/>
          <w:color w:val="auto"/>
          <w:sz w:val="22"/>
          <w:szCs w:val="22"/>
        </w:rPr>
        <w:t>POLG</w:t>
      </w:r>
      <w:proofErr w:type="spellEnd"/>
      <w:r w:rsidRPr="00C60ED1">
        <w:rPr>
          <w:rFonts w:ascii="Times New Roman" w:hAnsi="Times New Roman" w:cs="Times New Roman"/>
          <w:color w:val="auto"/>
          <w:sz w:val="22"/>
          <w:szCs w:val="22"/>
        </w:rPr>
        <w:t>), ako je napr. Alpersov-Huttenlocherov syndróm.</w:t>
      </w:r>
    </w:p>
    <w:p w14:paraId="74340B0E" w14:textId="77777777" w:rsidR="00FC18F5" w:rsidRPr="00C60ED1" w:rsidRDefault="00FC18F5">
      <w:pPr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U pacientov s rodinnou anamnézou alebo symptómami naznačujúcimi poruchu súvisiacu s </w:t>
      </w:r>
      <w:proofErr w:type="spellStart"/>
      <w:r w:rsidRPr="00C60ED1">
        <w:rPr>
          <w:sz w:val="22"/>
          <w:szCs w:val="22"/>
          <w:lang w:val="sk-SK"/>
        </w:rPr>
        <w:t>POLG</w:t>
      </w:r>
      <w:proofErr w:type="spellEnd"/>
      <w:r w:rsidRPr="00C60ED1">
        <w:rPr>
          <w:sz w:val="22"/>
          <w:szCs w:val="22"/>
          <w:lang w:val="sk-SK"/>
        </w:rPr>
        <w:t xml:space="preserve"> vrátane nevysvetlenej </w:t>
      </w:r>
      <w:proofErr w:type="spellStart"/>
      <w:r w:rsidRPr="00C60ED1">
        <w:rPr>
          <w:sz w:val="22"/>
          <w:szCs w:val="22"/>
          <w:lang w:val="sk-SK"/>
        </w:rPr>
        <w:t>encefalopatie</w:t>
      </w:r>
      <w:proofErr w:type="spellEnd"/>
      <w:r w:rsidRPr="00C60ED1">
        <w:rPr>
          <w:sz w:val="22"/>
          <w:szCs w:val="22"/>
          <w:lang w:val="sk-SK"/>
        </w:rPr>
        <w:t xml:space="preserve">, ale bez obmedzenia na ňu, </w:t>
      </w:r>
      <w:proofErr w:type="spellStart"/>
      <w:r w:rsidRPr="00C60ED1">
        <w:rPr>
          <w:sz w:val="22"/>
          <w:szCs w:val="22"/>
          <w:lang w:val="sk-SK"/>
        </w:rPr>
        <w:t>refraktérnej</w:t>
      </w:r>
      <w:proofErr w:type="spellEnd"/>
      <w:r w:rsidRPr="00C60ED1">
        <w:rPr>
          <w:sz w:val="22"/>
          <w:szCs w:val="22"/>
          <w:lang w:val="sk-SK"/>
        </w:rPr>
        <w:t xml:space="preserve"> epilepsie (fokálnej, </w:t>
      </w:r>
      <w:proofErr w:type="spellStart"/>
      <w:r w:rsidRPr="00C60ED1">
        <w:rPr>
          <w:sz w:val="22"/>
          <w:szCs w:val="22"/>
          <w:lang w:val="sk-SK"/>
        </w:rPr>
        <w:t>myoklonickej</w:t>
      </w:r>
      <w:proofErr w:type="spellEnd"/>
      <w:r w:rsidRPr="00C60ED1">
        <w:rPr>
          <w:sz w:val="22"/>
          <w:szCs w:val="22"/>
          <w:lang w:val="sk-SK"/>
        </w:rPr>
        <w:t xml:space="preserve">), </w:t>
      </w:r>
      <w:r w:rsidRPr="00C60ED1">
        <w:rPr>
          <w:i/>
          <w:iCs/>
          <w:sz w:val="22"/>
          <w:szCs w:val="22"/>
          <w:lang w:val="sk-SK"/>
        </w:rPr>
        <w:t xml:space="preserve">status </w:t>
      </w:r>
      <w:proofErr w:type="spellStart"/>
      <w:r w:rsidRPr="00C60ED1">
        <w:rPr>
          <w:i/>
          <w:iCs/>
          <w:sz w:val="22"/>
          <w:szCs w:val="22"/>
          <w:lang w:val="sk-SK"/>
        </w:rPr>
        <w:t>epilepticus</w:t>
      </w:r>
      <w:proofErr w:type="spellEnd"/>
      <w:r w:rsidRPr="00C60ED1">
        <w:rPr>
          <w:i/>
          <w:iCs/>
          <w:sz w:val="22"/>
          <w:szCs w:val="22"/>
          <w:lang w:val="sk-SK"/>
        </w:rPr>
        <w:t xml:space="preserve"> </w:t>
      </w:r>
      <w:r w:rsidRPr="00C60ED1">
        <w:rPr>
          <w:sz w:val="22"/>
          <w:szCs w:val="22"/>
          <w:lang w:val="sk-SK"/>
        </w:rPr>
        <w:t xml:space="preserve">pri prezentácii, oneskoreného vývinu, psychomotorickej regresie, </w:t>
      </w:r>
      <w:proofErr w:type="spellStart"/>
      <w:r w:rsidRPr="00C60ED1">
        <w:rPr>
          <w:sz w:val="22"/>
          <w:szCs w:val="22"/>
          <w:lang w:val="sk-SK"/>
        </w:rPr>
        <w:t>axónovej</w:t>
      </w:r>
      <w:proofErr w:type="spellEnd"/>
      <w:r w:rsidRPr="00C60ED1">
        <w:rPr>
          <w:sz w:val="22"/>
          <w:szCs w:val="22"/>
          <w:lang w:val="sk-SK"/>
        </w:rPr>
        <w:t xml:space="preserve"> </w:t>
      </w:r>
      <w:proofErr w:type="spellStart"/>
      <w:r w:rsidRPr="00C60ED1">
        <w:rPr>
          <w:sz w:val="22"/>
          <w:szCs w:val="22"/>
          <w:lang w:val="sk-SK"/>
        </w:rPr>
        <w:t>senzorimotorickej</w:t>
      </w:r>
      <w:proofErr w:type="spellEnd"/>
      <w:r w:rsidRPr="00C60ED1">
        <w:rPr>
          <w:sz w:val="22"/>
          <w:szCs w:val="22"/>
          <w:lang w:val="sk-SK"/>
        </w:rPr>
        <w:t xml:space="preserve"> </w:t>
      </w:r>
      <w:proofErr w:type="spellStart"/>
      <w:r w:rsidRPr="00C60ED1">
        <w:rPr>
          <w:sz w:val="22"/>
          <w:szCs w:val="22"/>
          <w:lang w:val="sk-SK"/>
        </w:rPr>
        <w:t>neuropatie</w:t>
      </w:r>
      <w:proofErr w:type="spellEnd"/>
      <w:r w:rsidRPr="00C60ED1">
        <w:rPr>
          <w:sz w:val="22"/>
          <w:szCs w:val="22"/>
          <w:lang w:val="sk-SK"/>
        </w:rPr>
        <w:t xml:space="preserve">, myopatie, </w:t>
      </w:r>
      <w:proofErr w:type="spellStart"/>
      <w:r w:rsidRPr="00C60ED1">
        <w:rPr>
          <w:sz w:val="22"/>
          <w:szCs w:val="22"/>
          <w:lang w:val="sk-SK"/>
        </w:rPr>
        <w:t>cerebelárnej</w:t>
      </w:r>
      <w:proofErr w:type="spellEnd"/>
      <w:r w:rsidRPr="00C60ED1">
        <w:rPr>
          <w:sz w:val="22"/>
          <w:szCs w:val="22"/>
          <w:lang w:val="sk-SK"/>
        </w:rPr>
        <w:t xml:space="preserve"> </w:t>
      </w:r>
      <w:proofErr w:type="spellStart"/>
      <w:r w:rsidRPr="00C60ED1">
        <w:rPr>
          <w:sz w:val="22"/>
          <w:szCs w:val="22"/>
          <w:lang w:val="sk-SK"/>
        </w:rPr>
        <w:t>ataxie</w:t>
      </w:r>
      <w:proofErr w:type="spellEnd"/>
      <w:r w:rsidRPr="00C60ED1">
        <w:rPr>
          <w:sz w:val="22"/>
          <w:szCs w:val="22"/>
          <w:lang w:val="sk-SK"/>
        </w:rPr>
        <w:t xml:space="preserve">, </w:t>
      </w:r>
      <w:proofErr w:type="spellStart"/>
      <w:r w:rsidRPr="00C60ED1">
        <w:rPr>
          <w:sz w:val="22"/>
          <w:szCs w:val="22"/>
          <w:lang w:val="sk-SK"/>
        </w:rPr>
        <w:t>oftalmoplégie</w:t>
      </w:r>
      <w:proofErr w:type="spellEnd"/>
      <w:r w:rsidRPr="00C60ED1">
        <w:rPr>
          <w:sz w:val="22"/>
          <w:szCs w:val="22"/>
          <w:lang w:val="sk-SK"/>
        </w:rPr>
        <w:t xml:space="preserve"> alebo komplikovanej migrény s </w:t>
      </w:r>
      <w:proofErr w:type="spellStart"/>
      <w:r w:rsidRPr="00C60ED1">
        <w:rPr>
          <w:sz w:val="22"/>
          <w:szCs w:val="22"/>
          <w:lang w:val="sk-SK"/>
        </w:rPr>
        <w:t>okcipitálnou</w:t>
      </w:r>
      <w:proofErr w:type="spellEnd"/>
      <w:r w:rsidRPr="00C60ED1">
        <w:rPr>
          <w:sz w:val="22"/>
          <w:szCs w:val="22"/>
          <w:lang w:val="sk-SK"/>
        </w:rPr>
        <w:t xml:space="preserve"> aurou prichádza do úvahy podozrenie na poruchy súvisiace s </w:t>
      </w:r>
      <w:proofErr w:type="spellStart"/>
      <w:r w:rsidRPr="00C60ED1">
        <w:rPr>
          <w:sz w:val="22"/>
          <w:szCs w:val="22"/>
          <w:lang w:val="sk-SK"/>
        </w:rPr>
        <w:t>POLG</w:t>
      </w:r>
      <w:proofErr w:type="spellEnd"/>
      <w:r w:rsidRPr="00C60ED1">
        <w:rPr>
          <w:sz w:val="22"/>
          <w:szCs w:val="22"/>
          <w:lang w:val="sk-SK"/>
        </w:rPr>
        <w:t xml:space="preserve">. V súlade so súčasnou klinickou praxou sa musí vykonať testovanie mutácie </w:t>
      </w:r>
      <w:proofErr w:type="spellStart"/>
      <w:r w:rsidRPr="00C60ED1">
        <w:rPr>
          <w:sz w:val="22"/>
          <w:szCs w:val="22"/>
          <w:lang w:val="sk-SK"/>
        </w:rPr>
        <w:t>POLG</w:t>
      </w:r>
      <w:proofErr w:type="spellEnd"/>
      <w:r w:rsidRPr="00C60ED1">
        <w:rPr>
          <w:sz w:val="22"/>
          <w:szCs w:val="22"/>
          <w:lang w:val="sk-SK"/>
        </w:rPr>
        <w:t xml:space="preserve"> na diagnostické vyhodnotenie takýchto porúch (pozri časť 4.3).</w:t>
      </w:r>
    </w:p>
    <w:p w14:paraId="331EBF39" w14:textId="77777777" w:rsidR="00FC18F5" w:rsidRPr="00C60ED1" w:rsidRDefault="00FC18F5">
      <w:pPr>
        <w:rPr>
          <w:sz w:val="22"/>
          <w:szCs w:val="22"/>
          <w:lang w:val="sk-SK"/>
        </w:rPr>
      </w:pPr>
    </w:p>
    <w:p w14:paraId="37F78FB3" w14:textId="54947771" w:rsidR="00D62B1B" w:rsidRPr="00C60ED1" w:rsidRDefault="001E3DE7" w:rsidP="00C50996">
      <w:pPr>
        <w:pStyle w:val="Zkladntext21"/>
        <w:tabs>
          <w:tab w:val="left" w:pos="0"/>
        </w:tabs>
        <w:jc w:val="left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lastRenderedPageBreak/>
        <w:t xml:space="preserve">Vysadenie </w:t>
      </w:r>
      <w:r w:rsidR="00AE7AAF" w:rsidRPr="00C60ED1">
        <w:rPr>
          <w:sz w:val="22"/>
          <w:szCs w:val="22"/>
          <w:lang w:val="sk-SK"/>
        </w:rPr>
        <w:t>v</w:t>
      </w:r>
      <w:r w:rsidR="00AE7AAF" w:rsidRPr="00C60ED1">
        <w:rPr>
          <w:sz w:val="22"/>
          <w:szCs w:val="22"/>
          <w:lang w:val="sk-SK" w:eastAsia="sk-SK"/>
        </w:rPr>
        <w:t>alpro</w:t>
      </w:r>
      <w:r w:rsidR="002513E8" w:rsidRPr="00C60ED1">
        <w:rPr>
          <w:sz w:val="22"/>
          <w:szCs w:val="22"/>
          <w:lang w:val="sk-SK" w:eastAsia="sk-SK"/>
        </w:rPr>
        <w:t>átu</w:t>
      </w:r>
      <w:r w:rsidR="00AE7AAF" w:rsidRPr="00C60ED1">
        <w:rPr>
          <w:sz w:val="22"/>
          <w:szCs w:val="22"/>
          <w:lang w:val="sk-SK" w:eastAsia="sk-SK"/>
        </w:rPr>
        <w:t xml:space="preserve"> sodného</w:t>
      </w:r>
      <w:r w:rsidR="002513E8" w:rsidRPr="00C60ED1">
        <w:rPr>
          <w:sz w:val="22"/>
          <w:szCs w:val="22"/>
          <w:lang w:val="sk-SK" w:eastAsia="sk-SK"/>
        </w:rPr>
        <w:t xml:space="preserve"> </w:t>
      </w:r>
      <w:r w:rsidR="00D62B1B" w:rsidRPr="00C60ED1">
        <w:rPr>
          <w:sz w:val="22"/>
          <w:szCs w:val="22"/>
          <w:lang w:val="sk-SK"/>
        </w:rPr>
        <w:t xml:space="preserve">alebo prechod na inú </w:t>
      </w:r>
      <w:proofErr w:type="spellStart"/>
      <w:r w:rsidR="00D62B1B" w:rsidRPr="00C60ED1">
        <w:rPr>
          <w:sz w:val="22"/>
          <w:szCs w:val="22"/>
          <w:lang w:val="sk-SK"/>
        </w:rPr>
        <w:t>antiepileptickú</w:t>
      </w:r>
      <w:proofErr w:type="spellEnd"/>
      <w:r w:rsidR="00D62B1B" w:rsidRPr="00C60ED1">
        <w:rPr>
          <w:sz w:val="22"/>
          <w:szCs w:val="22"/>
          <w:lang w:val="sk-SK"/>
        </w:rPr>
        <w:t xml:space="preserve"> medikáciu musí byť vykonané opatrne a postupne. Náhle zmeny môžu spôsobiť náhle zvýšenie počtu epileptických záchvatov.</w:t>
      </w:r>
    </w:p>
    <w:p w14:paraId="082AC09F" w14:textId="77777777" w:rsidR="003D7E62" w:rsidRPr="00C60ED1" w:rsidRDefault="003D7E62" w:rsidP="00C50996">
      <w:pPr>
        <w:pStyle w:val="Zkladntext21"/>
        <w:tabs>
          <w:tab w:val="left" w:pos="0"/>
        </w:tabs>
        <w:jc w:val="left"/>
        <w:rPr>
          <w:sz w:val="22"/>
          <w:szCs w:val="22"/>
          <w:lang w:val="sk-SK"/>
        </w:rPr>
      </w:pPr>
    </w:p>
    <w:tbl>
      <w:tblPr>
        <w:tblW w:w="91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C60ED1" w:rsidRPr="00C60ED1" w14:paraId="64A8562F" w14:textId="77777777" w:rsidTr="005F5DB2">
        <w:trPr>
          <w:trHeight w:val="563"/>
          <w:jc w:val="center"/>
        </w:trPr>
        <w:tc>
          <w:tcPr>
            <w:tcW w:w="918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BB1C5" w14:textId="5EB703AA" w:rsidR="003D7E62" w:rsidRPr="00C60ED1" w:rsidRDefault="003D7E62" w:rsidP="005F5DB2">
            <w:pPr>
              <w:ind w:left="113"/>
              <w:rPr>
                <w:b/>
                <w:sz w:val="22"/>
                <w:szCs w:val="22"/>
                <w:u w:val="single"/>
                <w:lang w:val="sk-SK"/>
              </w:rPr>
            </w:pPr>
            <w:r w:rsidRPr="00C60ED1">
              <w:rPr>
                <w:b/>
                <w:sz w:val="22"/>
                <w:szCs w:val="22"/>
                <w:u w:val="single"/>
                <w:lang w:val="sk-SK"/>
              </w:rPr>
              <w:t xml:space="preserve">Program </w:t>
            </w:r>
            <w:r w:rsidR="002513E8" w:rsidRPr="00C60ED1">
              <w:rPr>
                <w:b/>
                <w:sz w:val="22"/>
                <w:szCs w:val="22"/>
                <w:u w:val="single"/>
                <w:lang w:val="sk-SK"/>
              </w:rPr>
              <w:t>prevencie</w:t>
            </w:r>
            <w:r w:rsidRPr="00C60ED1">
              <w:rPr>
                <w:b/>
                <w:sz w:val="22"/>
                <w:szCs w:val="22"/>
                <w:u w:val="single"/>
                <w:lang w:val="sk-SK"/>
              </w:rPr>
              <w:t xml:space="preserve"> tehotenstva</w:t>
            </w:r>
          </w:p>
          <w:p w14:paraId="706F8733" w14:textId="77777777" w:rsidR="003D7E62" w:rsidRPr="00C60ED1" w:rsidRDefault="003D7E62" w:rsidP="005F5DB2">
            <w:pPr>
              <w:ind w:left="113"/>
              <w:rPr>
                <w:sz w:val="22"/>
                <w:szCs w:val="22"/>
                <w:lang w:val="sk-SK"/>
              </w:rPr>
            </w:pPr>
          </w:p>
          <w:p w14:paraId="01A2B3AB" w14:textId="50ECB1BB" w:rsidR="003D7E62" w:rsidRPr="00C60ED1" w:rsidRDefault="003D7E62" w:rsidP="005F5DB2">
            <w:pPr>
              <w:ind w:left="113"/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Valpro</w:t>
            </w:r>
            <w:r w:rsidR="002513E8" w:rsidRPr="00C60ED1">
              <w:rPr>
                <w:sz w:val="22"/>
                <w:szCs w:val="22"/>
                <w:lang w:val="sk-SK"/>
              </w:rPr>
              <w:t>át</w:t>
            </w:r>
            <w:r w:rsidRPr="00C60ED1">
              <w:rPr>
                <w:sz w:val="22"/>
                <w:szCs w:val="22"/>
                <w:lang w:val="sk-SK"/>
              </w:rPr>
              <w:t xml:space="preserve"> má vysoký </w:t>
            </w:r>
            <w:proofErr w:type="spellStart"/>
            <w:r w:rsidRPr="00C60ED1">
              <w:rPr>
                <w:sz w:val="22"/>
                <w:szCs w:val="22"/>
                <w:lang w:val="sk-SK"/>
              </w:rPr>
              <w:t>teratogénny</w:t>
            </w:r>
            <w:proofErr w:type="spellEnd"/>
            <w:r w:rsidRPr="00C60ED1">
              <w:rPr>
                <w:sz w:val="22"/>
                <w:szCs w:val="22"/>
                <w:lang w:val="sk-SK"/>
              </w:rPr>
              <w:t xml:space="preserve"> potenciál a u detí vystavených účinku valpro</w:t>
            </w:r>
            <w:r w:rsidR="002513E8" w:rsidRPr="00C60ED1">
              <w:rPr>
                <w:sz w:val="22"/>
                <w:szCs w:val="22"/>
                <w:lang w:val="sk-SK"/>
              </w:rPr>
              <w:t>át</w:t>
            </w:r>
            <w:r w:rsidR="00236E10" w:rsidRPr="00C60ED1">
              <w:rPr>
                <w:sz w:val="22"/>
                <w:szCs w:val="22"/>
                <w:lang w:val="sk-SK"/>
              </w:rPr>
              <w:t>u</w:t>
            </w:r>
            <w:r w:rsidRPr="00C60ED1">
              <w:rPr>
                <w:sz w:val="22"/>
                <w:szCs w:val="22"/>
                <w:lang w:val="sk-SK"/>
              </w:rPr>
              <w:t xml:space="preserve"> </w:t>
            </w:r>
            <w:r w:rsidRPr="00C60ED1">
              <w:rPr>
                <w:i/>
                <w:sz w:val="22"/>
                <w:szCs w:val="22"/>
                <w:lang w:val="sk-SK"/>
              </w:rPr>
              <w:t xml:space="preserve">in </w:t>
            </w:r>
            <w:proofErr w:type="spellStart"/>
            <w:r w:rsidRPr="00C60ED1">
              <w:rPr>
                <w:i/>
                <w:sz w:val="22"/>
                <w:szCs w:val="22"/>
                <w:lang w:val="sk-SK"/>
              </w:rPr>
              <w:t>utero</w:t>
            </w:r>
            <w:proofErr w:type="spellEnd"/>
            <w:r w:rsidRPr="00C60ED1">
              <w:rPr>
                <w:sz w:val="22"/>
                <w:szCs w:val="22"/>
                <w:lang w:val="sk-SK"/>
              </w:rPr>
              <w:t xml:space="preserve"> je vysoké riziko vrodených </w:t>
            </w:r>
            <w:proofErr w:type="spellStart"/>
            <w:r w:rsidRPr="00C60ED1">
              <w:rPr>
                <w:sz w:val="22"/>
                <w:szCs w:val="22"/>
                <w:lang w:val="sk-SK"/>
              </w:rPr>
              <w:t>malformácií</w:t>
            </w:r>
            <w:proofErr w:type="spellEnd"/>
            <w:r w:rsidRPr="00C60ED1">
              <w:rPr>
                <w:sz w:val="22"/>
                <w:szCs w:val="22"/>
                <w:lang w:val="sk-SK"/>
              </w:rPr>
              <w:t xml:space="preserve"> a porúch vývoja nervového systému (pozri časť 4.6).</w:t>
            </w:r>
          </w:p>
          <w:p w14:paraId="59D353DA" w14:textId="77777777" w:rsidR="003D7E62" w:rsidRPr="00C60ED1" w:rsidRDefault="003D7E62" w:rsidP="005F5DB2">
            <w:pPr>
              <w:ind w:left="113"/>
              <w:rPr>
                <w:sz w:val="22"/>
                <w:szCs w:val="22"/>
                <w:lang w:val="sk-SK"/>
              </w:rPr>
            </w:pPr>
          </w:p>
          <w:p w14:paraId="1B44BCE6" w14:textId="5E542A8B" w:rsidR="003D7E62" w:rsidRPr="00C60ED1" w:rsidRDefault="00BF40AE" w:rsidP="005F5DB2">
            <w:pPr>
              <w:ind w:left="113"/>
              <w:rPr>
                <w:sz w:val="22"/>
                <w:szCs w:val="22"/>
                <w:lang w:val="sk-SK"/>
              </w:rPr>
            </w:pPr>
            <w:proofErr w:type="spellStart"/>
            <w:r w:rsidRPr="00C60ED1">
              <w:rPr>
                <w:sz w:val="22"/>
                <w:szCs w:val="22"/>
                <w:lang w:val="sk-SK"/>
              </w:rPr>
              <w:t>Orfiril</w:t>
            </w:r>
            <w:proofErr w:type="spellEnd"/>
            <w:r w:rsidRPr="00C60ED1">
              <w:rPr>
                <w:sz w:val="22"/>
                <w:szCs w:val="22"/>
                <w:lang w:val="sk-SK"/>
              </w:rPr>
              <w:t xml:space="preserve"> 150/300/600 </w:t>
            </w:r>
            <w:r w:rsidR="003D7E62" w:rsidRPr="00C60ED1">
              <w:rPr>
                <w:sz w:val="22"/>
                <w:szCs w:val="22"/>
                <w:lang w:val="sk-SK"/>
              </w:rPr>
              <w:t xml:space="preserve">je </w:t>
            </w:r>
            <w:proofErr w:type="spellStart"/>
            <w:r w:rsidR="003D7E62" w:rsidRPr="00C60ED1">
              <w:rPr>
                <w:sz w:val="22"/>
                <w:szCs w:val="22"/>
                <w:lang w:val="sk-SK"/>
              </w:rPr>
              <w:t>kontraid</w:t>
            </w:r>
            <w:r w:rsidR="002513E8" w:rsidRPr="00C60ED1">
              <w:rPr>
                <w:sz w:val="22"/>
                <w:szCs w:val="22"/>
                <w:lang w:val="sk-SK"/>
              </w:rPr>
              <w:t>i</w:t>
            </w:r>
            <w:r w:rsidR="003D7E62" w:rsidRPr="00C60ED1">
              <w:rPr>
                <w:sz w:val="22"/>
                <w:szCs w:val="22"/>
                <w:lang w:val="sk-SK"/>
              </w:rPr>
              <w:t>kovaný</w:t>
            </w:r>
            <w:proofErr w:type="spellEnd"/>
            <w:r w:rsidR="003D7E62" w:rsidRPr="00C60ED1">
              <w:rPr>
                <w:sz w:val="22"/>
                <w:szCs w:val="22"/>
                <w:lang w:val="sk-SK"/>
              </w:rPr>
              <w:t xml:space="preserve"> v nasledujúcich situáciách:</w:t>
            </w:r>
          </w:p>
          <w:p w14:paraId="370F754F" w14:textId="77777777" w:rsidR="003D7E62" w:rsidRPr="00C60ED1" w:rsidRDefault="003D7E62" w:rsidP="005F5DB2">
            <w:pPr>
              <w:ind w:left="113"/>
              <w:rPr>
                <w:sz w:val="22"/>
                <w:szCs w:val="22"/>
                <w:lang w:val="sk-SK"/>
              </w:rPr>
            </w:pPr>
          </w:p>
          <w:p w14:paraId="6714228D" w14:textId="77777777" w:rsidR="003D7E62" w:rsidRPr="00C60ED1" w:rsidRDefault="003D7E62" w:rsidP="005F5DB2">
            <w:pPr>
              <w:ind w:left="113"/>
              <w:rPr>
                <w:sz w:val="22"/>
                <w:szCs w:val="22"/>
                <w:u w:val="single"/>
                <w:lang w:val="sk-SK"/>
              </w:rPr>
            </w:pPr>
            <w:r w:rsidRPr="00C60ED1">
              <w:rPr>
                <w:sz w:val="22"/>
                <w:szCs w:val="22"/>
                <w:u w:val="single"/>
                <w:lang w:val="sk-SK"/>
              </w:rPr>
              <w:t>Liečba epilepsie</w:t>
            </w:r>
          </w:p>
          <w:p w14:paraId="0A7E66AC" w14:textId="497CF1AC" w:rsidR="003D7E62" w:rsidRPr="00C60ED1" w:rsidRDefault="003D7E62" w:rsidP="005F5DB2">
            <w:pPr>
              <w:ind w:left="781" w:hanging="668"/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•</w:t>
            </w:r>
            <w:r w:rsidRPr="00C60ED1">
              <w:rPr>
                <w:sz w:val="22"/>
                <w:szCs w:val="22"/>
                <w:lang w:val="sk-SK"/>
              </w:rPr>
              <w:tab/>
              <w:t>počas tehotenstva, pokiaľ existuje iná vhodná alternatívna liečba (pozri časti 4.4 a 4.6).</w:t>
            </w:r>
          </w:p>
          <w:p w14:paraId="2E359A18" w14:textId="236B365E" w:rsidR="003D7E62" w:rsidRPr="00C60ED1" w:rsidRDefault="003D7E62" w:rsidP="005F5DB2">
            <w:pPr>
              <w:ind w:left="781" w:hanging="668"/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•</w:t>
            </w:r>
            <w:r w:rsidRPr="00C60ED1">
              <w:rPr>
                <w:sz w:val="22"/>
                <w:szCs w:val="22"/>
                <w:lang w:val="sk-SK"/>
              </w:rPr>
              <w:tab/>
              <w:t xml:space="preserve">u žien vo fertilnom veku, pokiaľ nie sú splnené podmienky Programu </w:t>
            </w:r>
            <w:r w:rsidR="00932456" w:rsidRPr="00C60ED1">
              <w:rPr>
                <w:sz w:val="22"/>
                <w:szCs w:val="22"/>
                <w:lang w:val="sk-SK"/>
              </w:rPr>
              <w:t>prevencie</w:t>
            </w:r>
            <w:r w:rsidRPr="00C60ED1">
              <w:rPr>
                <w:sz w:val="22"/>
                <w:szCs w:val="22"/>
                <w:lang w:val="sk-SK"/>
              </w:rPr>
              <w:t xml:space="preserve"> tehotenstva (pozri časti 4.3 and 4.6).</w:t>
            </w:r>
          </w:p>
          <w:p w14:paraId="59655ABE" w14:textId="77777777" w:rsidR="003D7E62" w:rsidRPr="00C60ED1" w:rsidRDefault="003D7E62" w:rsidP="005F5DB2">
            <w:pPr>
              <w:ind w:left="113"/>
              <w:rPr>
                <w:rFonts w:eastAsia="Calibri"/>
                <w:sz w:val="22"/>
                <w:szCs w:val="22"/>
                <w:lang w:val="sk-SK" w:eastAsia="en-US"/>
              </w:rPr>
            </w:pPr>
          </w:p>
          <w:p w14:paraId="20570491" w14:textId="7F4A2B2D" w:rsidR="003D7E62" w:rsidRPr="00C60ED1" w:rsidRDefault="003D7E62" w:rsidP="005F5DB2">
            <w:pPr>
              <w:ind w:left="113"/>
              <w:rPr>
                <w:sz w:val="22"/>
                <w:szCs w:val="22"/>
                <w:u w:val="single"/>
                <w:lang w:val="sk-SK"/>
              </w:rPr>
            </w:pPr>
            <w:r w:rsidRPr="00C60ED1">
              <w:rPr>
                <w:sz w:val="22"/>
                <w:szCs w:val="22"/>
                <w:u w:val="single"/>
                <w:lang w:val="sk-SK"/>
              </w:rPr>
              <w:t>Liečba bipolárnej poruchy</w:t>
            </w:r>
          </w:p>
          <w:p w14:paraId="4556E479" w14:textId="64F3D30B" w:rsidR="003D7E62" w:rsidRPr="00C60ED1" w:rsidRDefault="003D7E62" w:rsidP="005F5DB2">
            <w:pPr>
              <w:ind w:left="781" w:hanging="668"/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•</w:t>
            </w:r>
            <w:r w:rsidRPr="00C60ED1">
              <w:rPr>
                <w:sz w:val="22"/>
                <w:szCs w:val="22"/>
                <w:lang w:val="sk-SK"/>
              </w:rPr>
              <w:tab/>
              <w:t>počas tehotenstva (pozri časti 4.3 a 4.6).</w:t>
            </w:r>
          </w:p>
          <w:p w14:paraId="3187DFD5" w14:textId="6311690C" w:rsidR="003D7E62" w:rsidRPr="00C60ED1" w:rsidRDefault="003D7E62" w:rsidP="005F5DB2">
            <w:pPr>
              <w:ind w:left="781" w:hanging="668"/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•</w:t>
            </w:r>
            <w:r w:rsidRPr="00C60ED1">
              <w:rPr>
                <w:sz w:val="22"/>
                <w:szCs w:val="22"/>
                <w:lang w:val="sk-SK"/>
              </w:rPr>
              <w:tab/>
              <w:t xml:space="preserve">u žien vo fertilnom veku, pokiaľ nie sú splnené podmienky Programu </w:t>
            </w:r>
            <w:r w:rsidR="00932456" w:rsidRPr="00C60ED1">
              <w:rPr>
                <w:sz w:val="22"/>
                <w:szCs w:val="22"/>
                <w:lang w:val="sk-SK"/>
              </w:rPr>
              <w:t>prevencie</w:t>
            </w:r>
            <w:r w:rsidRPr="00C60ED1">
              <w:rPr>
                <w:sz w:val="22"/>
                <w:szCs w:val="22"/>
                <w:lang w:val="sk-SK"/>
              </w:rPr>
              <w:t xml:space="preserve"> tehotenstva (pozri časti 4.3 and 4.6).</w:t>
            </w:r>
          </w:p>
          <w:p w14:paraId="44A2BB1B" w14:textId="77777777" w:rsidR="003D7E62" w:rsidRPr="00C60ED1" w:rsidRDefault="003D7E62" w:rsidP="005F5DB2">
            <w:pPr>
              <w:ind w:left="113"/>
              <w:rPr>
                <w:rFonts w:eastAsia="Calibri"/>
                <w:sz w:val="22"/>
                <w:szCs w:val="22"/>
                <w:lang w:val="sk-SK" w:eastAsia="en-US"/>
              </w:rPr>
            </w:pPr>
          </w:p>
          <w:p w14:paraId="31F0D4A6" w14:textId="1799E56D" w:rsidR="003D7E62" w:rsidRPr="00C60ED1" w:rsidRDefault="003D7E62" w:rsidP="005F5DB2">
            <w:pPr>
              <w:ind w:left="113"/>
              <w:rPr>
                <w:sz w:val="22"/>
                <w:szCs w:val="22"/>
                <w:u w:val="single"/>
                <w:lang w:val="sk-SK"/>
              </w:rPr>
            </w:pPr>
            <w:r w:rsidRPr="00C60ED1">
              <w:rPr>
                <w:sz w:val="22"/>
                <w:szCs w:val="22"/>
                <w:u w:val="single"/>
                <w:lang w:val="sk-SK"/>
              </w:rPr>
              <w:t xml:space="preserve">Podmienky Programu </w:t>
            </w:r>
            <w:r w:rsidR="00932456" w:rsidRPr="00C60ED1">
              <w:rPr>
                <w:sz w:val="22"/>
                <w:szCs w:val="22"/>
                <w:u w:val="single"/>
                <w:lang w:val="sk-SK"/>
              </w:rPr>
              <w:t>prevencie</w:t>
            </w:r>
            <w:r w:rsidRPr="00C60ED1">
              <w:rPr>
                <w:sz w:val="22"/>
                <w:szCs w:val="22"/>
                <w:u w:val="single"/>
                <w:lang w:val="sk-SK"/>
              </w:rPr>
              <w:t xml:space="preserve"> tehotenstva:</w:t>
            </w:r>
          </w:p>
          <w:p w14:paraId="7F1AB5F9" w14:textId="77777777" w:rsidR="003D7E62" w:rsidRPr="00C60ED1" w:rsidRDefault="003D7E62" w:rsidP="005F5DB2">
            <w:pPr>
              <w:ind w:left="113"/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Predpisujúci lekár sa musí uistiť, že</w:t>
            </w:r>
          </w:p>
          <w:p w14:paraId="3EC41136" w14:textId="1B5559FE" w:rsidR="003D7E62" w:rsidRPr="00C60ED1" w:rsidRDefault="003D7E62" w:rsidP="005F5DB2">
            <w:pPr>
              <w:ind w:left="781" w:hanging="668"/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•</w:t>
            </w:r>
            <w:r w:rsidRPr="00C60ED1">
              <w:rPr>
                <w:sz w:val="22"/>
                <w:szCs w:val="22"/>
                <w:lang w:val="sk-SK"/>
              </w:rPr>
              <w:tab/>
              <w:t>v každom prípade je nutné vyhodnotiť individuálne okolnosti zapojením pacientky do diskusie s cieľom prediskutovať terapeutické možnosti a uistiť sa, že pacientka rozumie rizikám a opatreniam potrebným na minimalizáciu týchto rizík.</w:t>
            </w:r>
          </w:p>
          <w:p w14:paraId="02D512EC" w14:textId="6FAEADFB" w:rsidR="003D7E62" w:rsidRPr="00C60ED1" w:rsidRDefault="003D7E62" w:rsidP="005F5DB2">
            <w:pPr>
              <w:ind w:left="781" w:hanging="668"/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•</w:t>
            </w:r>
            <w:r w:rsidRPr="00C60ED1">
              <w:rPr>
                <w:sz w:val="22"/>
                <w:szCs w:val="22"/>
                <w:lang w:val="sk-SK"/>
              </w:rPr>
              <w:tab/>
              <w:t>u všetkých pacientiek bola vyhodnotená možnosť otehotnenia.</w:t>
            </w:r>
          </w:p>
          <w:p w14:paraId="43439418" w14:textId="442B4455" w:rsidR="003D7E62" w:rsidRPr="00C60ED1" w:rsidRDefault="003D7E62" w:rsidP="005F5DB2">
            <w:pPr>
              <w:ind w:left="781" w:hanging="668"/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•</w:t>
            </w:r>
            <w:r w:rsidRPr="00C60ED1">
              <w:rPr>
                <w:sz w:val="22"/>
                <w:szCs w:val="22"/>
                <w:lang w:val="sk-SK"/>
              </w:rPr>
              <w:tab/>
              <w:t xml:space="preserve">pacientka rozumie rizikám vrodených </w:t>
            </w:r>
            <w:proofErr w:type="spellStart"/>
            <w:r w:rsidRPr="00C60ED1">
              <w:rPr>
                <w:sz w:val="22"/>
                <w:szCs w:val="22"/>
                <w:lang w:val="sk-SK"/>
              </w:rPr>
              <w:t>malformácií</w:t>
            </w:r>
            <w:proofErr w:type="spellEnd"/>
            <w:r w:rsidRPr="00C60ED1">
              <w:rPr>
                <w:sz w:val="22"/>
                <w:szCs w:val="22"/>
                <w:lang w:val="sk-SK"/>
              </w:rPr>
              <w:t xml:space="preserve"> a porúch vývoja nervového sy</w:t>
            </w:r>
            <w:r w:rsidR="005E7BE2" w:rsidRPr="00C60ED1">
              <w:rPr>
                <w:sz w:val="22"/>
                <w:szCs w:val="22"/>
                <w:lang w:val="sk-SK"/>
              </w:rPr>
              <w:t>s</w:t>
            </w:r>
            <w:r w:rsidRPr="00C60ED1">
              <w:rPr>
                <w:sz w:val="22"/>
                <w:szCs w:val="22"/>
                <w:lang w:val="sk-SK"/>
              </w:rPr>
              <w:t>tému, vrátane závažnosti týchto rizík u detí vystavených účinku valpro</w:t>
            </w:r>
            <w:r w:rsidR="002513E8" w:rsidRPr="00C60ED1">
              <w:rPr>
                <w:sz w:val="22"/>
                <w:szCs w:val="22"/>
                <w:lang w:val="sk-SK"/>
              </w:rPr>
              <w:t>át</w:t>
            </w:r>
            <w:r w:rsidR="00236E10" w:rsidRPr="00C60ED1">
              <w:rPr>
                <w:sz w:val="22"/>
                <w:szCs w:val="22"/>
                <w:lang w:val="sk-SK"/>
              </w:rPr>
              <w:t>u</w:t>
            </w:r>
            <w:r w:rsidRPr="00C60ED1">
              <w:rPr>
                <w:sz w:val="22"/>
                <w:szCs w:val="22"/>
                <w:lang w:val="sk-SK"/>
              </w:rPr>
              <w:t xml:space="preserve"> </w:t>
            </w:r>
            <w:r w:rsidRPr="00C60ED1">
              <w:rPr>
                <w:i/>
                <w:sz w:val="22"/>
                <w:szCs w:val="22"/>
                <w:lang w:val="sk-SK"/>
              </w:rPr>
              <w:t xml:space="preserve">in </w:t>
            </w:r>
            <w:proofErr w:type="spellStart"/>
            <w:r w:rsidRPr="00C60ED1">
              <w:rPr>
                <w:i/>
                <w:sz w:val="22"/>
                <w:szCs w:val="22"/>
                <w:lang w:val="sk-SK"/>
              </w:rPr>
              <w:t>utero</w:t>
            </w:r>
            <w:proofErr w:type="spellEnd"/>
            <w:r w:rsidRPr="00C60ED1">
              <w:rPr>
                <w:sz w:val="22"/>
                <w:szCs w:val="22"/>
                <w:lang w:val="sk-SK"/>
              </w:rPr>
              <w:t xml:space="preserve"> a je si ich vedomá.</w:t>
            </w:r>
          </w:p>
          <w:p w14:paraId="12952495" w14:textId="185BAEC8" w:rsidR="003D7E62" w:rsidRPr="00C60ED1" w:rsidRDefault="003D7E62" w:rsidP="005F5DB2">
            <w:pPr>
              <w:ind w:left="781" w:hanging="668"/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•</w:t>
            </w:r>
            <w:r w:rsidRPr="00C60ED1">
              <w:rPr>
                <w:sz w:val="22"/>
                <w:szCs w:val="22"/>
                <w:lang w:val="sk-SK"/>
              </w:rPr>
              <w:tab/>
              <w:t>pacientka rozumie nutnosti absolvovať tehotenský test pred začatím liečby a podľa potreby počas nej.</w:t>
            </w:r>
          </w:p>
          <w:p w14:paraId="7EA913A9" w14:textId="756269CD" w:rsidR="003D7E62" w:rsidRPr="00C60ED1" w:rsidRDefault="003D7E62" w:rsidP="005F5DB2">
            <w:pPr>
              <w:ind w:left="781" w:hanging="668"/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•</w:t>
            </w:r>
            <w:r w:rsidRPr="00C60ED1">
              <w:rPr>
                <w:sz w:val="22"/>
                <w:szCs w:val="22"/>
                <w:lang w:val="sk-SK"/>
              </w:rPr>
              <w:tab/>
              <w:t xml:space="preserve">pacientka absolvovala poradenstvo o metódach antikoncepcie a je schopná dodržiavať pokyny zaisťujúce efektívnu antikoncepciu (ďalšie informácie nájdete v </w:t>
            </w:r>
            <w:proofErr w:type="spellStart"/>
            <w:r w:rsidRPr="00C60ED1">
              <w:rPr>
                <w:sz w:val="22"/>
                <w:szCs w:val="22"/>
                <w:lang w:val="sk-SK"/>
              </w:rPr>
              <w:t>podsekcii</w:t>
            </w:r>
            <w:proofErr w:type="spellEnd"/>
            <w:r w:rsidRPr="00C60ED1">
              <w:rPr>
                <w:sz w:val="22"/>
                <w:szCs w:val="22"/>
                <w:lang w:val="sk-SK"/>
              </w:rPr>
              <w:t xml:space="preserve"> Antikoncepcia tohto upozornenia v rámčeku), bez prerušenia počas celej doby trvania liečby </w:t>
            </w:r>
            <w:proofErr w:type="spellStart"/>
            <w:r w:rsidRPr="00C60ED1">
              <w:rPr>
                <w:sz w:val="22"/>
                <w:szCs w:val="22"/>
                <w:lang w:val="sk-SK"/>
              </w:rPr>
              <w:t>valpro</w:t>
            </w:r>
            <w:r w:rsidR="002513E8" w:rsidRPr="00C60ED1">
              <w:rPr>
                <w:sz w:val="22"/>
                <w:szCs w:val="22"/>
                <w:lang w:val="sk-SK"/>
              </w:rPr>
              <w:t>át</w:t>
            </w:r>
            <w:r w:rsidRPr="00C60ED1">
              <w:rPr>
                <w:sz w:val="22"/>
                <w:szCs w:val="22"/>
                <w:lang w:val="sk-SK"/>
              </w:rPr>
              <w:t>om</w:t>
            </w:r>
            <w:proofErr w:type="spellEnd"/>
            <w:r w:rsidRPr="00C60ED1">
              <w:rPr>
                <w:sz w:val="22"/>
                <w:szCs w:val="22"/>
                <w:lang w:val="sk-SK"/>
              </w:rPr>
              <w:t>.</w:t>
            </w:r>
          </w:p>
          <w:p w14:paraId="376428B1" w14:textId="6129DE16" w:rsidR="003D7E62" w:rsidRPr="00C60ED1" w:rsidRDefault="003D7E62" w:rsidP="005F5DB2">
            <w:pPr>
              <w:ind w:left="781" w:hanging="668"/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•</w:t>
            </w:r>
            <w:r w:rsidRPr="00C60ED1">
              <w:rPr>
                <w:sz w:val="22"/>
                <w:szCs w:val="22"/>
                <w:lang w:val="sk-SK"/>
              </w:rPr>
              <w:tab/>
              <w:t>pacientka rozumie potrebe pravidelného (minimálne raz ročne) prehodnocovania liečby špecialistom so skúsenosťami s liečbou epilepsie alebo bipolárnej poruchy.</w:t>
            </w:r>
          </w:p>
          <w:p w14:paraId="1879D02A" w14:textId="7022FC45" w:rsidR="003D7E62" w:rsidRPr="00C60ED1" w:rsidRDefault="003D7E62" w:rsidP="005F5DB2">
            <w:pPr>
              <w:ind w:left="781" w:hanging="668"/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•</w:t>
            </w:r>
            <w:r w:rsidRPr="00C60ED1">
              <w:rPr>
                <w:sz w:val="22"/>
                <w:szCs w:val="22"/>
                <w:lang w:val="sk-SK"/>
              </w:rPr>
              <w:tab/>
              <w:t>pacientka rozumie potrebe skontaktovať sa so svojím lekárom, ihneď ako začne plánovať tehotenstvo, aby sa pred počatím a vysadením antikoncepcie zaistila včasná diskusia a prechod na alternatívne možnosti liečby.</w:t>
            </w:r>
          </w:p>
          <w:p w14:paraId="1433A823" w14:textId="05C4F621" w:rsidR="003D7E62" w:rsidRPr="00C60ED1" w:rsidRDefault="003D7E62" w:rsidP="005F5DB2">
            <w:pPr>
              <w:ind w:left="781" w:hanging="668"/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•</w:t>
            </w:r>
            <w:r w:rsidRPr="00C60ED1">
              <w:rPr>
                <w:sz w:val="22"/>
                <w:szCs w:val="22"/>
                <w:lang w:val="sk-SK"/>
              </w:rPr>
              <w:tab/>
              <w:t>pacientka rozumie potrebe urgentne sa v prípade tehotenstva skontaktovať so svojím lekárom.</w:t>
            </w:r>
          </w:p>
          <w:p w14:paraId="1CC60821" w14:textId="62E852FF" w:rsidR="003D7E62" w:rsidRPr="00C60ED1" w:rsidRDefault="003D7E62" w:rsidP="005F5DB2">
            <w:pPr>
              <w:ind w:left="781" w:hanging="668"/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•</w:t>
            </w:r>
            <w:r w:rsidRPr="00C60ED1">
              <w:rPr>
                <w:sz w:val="22"/>
                <w:szCs w:val="22"/>
                <w:lang w:val="sk-SK"/>
              </w:rPr>
              <w:tab/>
              <w:t>pacientka dostala Informačnú príručku pre pacientku.</w:t>
            </w:r>
          </w:p>
          <w:p w14:paraId="7432A36A" w14:textId="5B81E312" w:rsidR="003D7E62" w:rsidRPr="00C60ED1" w:rsidRDefault="003D7E62" w:rsidP="005F5DB2">
            <w:pPr>
              <w:ind w:left="781" w:hanging="668"/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•</w:t>
            </w:r>
            <w:r w:rsidRPr="00C60ED1">
              <w:rPr>
                <w:sz w:val="22"/>
                <w:szCs w:val="22"/>
                <w:lang w:val="sk-SK"/>
              </w:rPr>
              <w:tab/>
              <w:t xml:space="preserve">pacientka potvrdila, že rozumie rizikám a potrebným opatreniam spojeným s užívaním </w:t>
            </w:r>
            <w:proofErr w:type="spellStart"/>
            <w:r w:rsidRPr="00C60ED1">
              <w:rPr>
                <w:sz w:val="22"/>
                <w:szCs w:val="22"/>
                <w:lang w:val="sk-SK"/>
              </w:rPr>
              <w:t>valpro</w:t>
            </w:r>
            <w:r w:rsidR="00236E10" w:rsidRPr="00C60ED1">
              <w:rPr>
                <w:sz w:val="22"/>
                <w:szCs w:val="22"/>
                <w:lang w:val="sk-SK"/>
              </w:rPr>
              <w:t>anu</w:t>
            </w:r>
            <w:proofErr w:type="spellEnd"/>
            <w:r w:rsidRPr="00C60ED1">
              <w:rPr>
                <w:sz w:val="22"/>
                <w:szCs w:val="22"/>
                <w:lang w:val="sk-SK"/>
              </w:rPr>
              <w:t xml:space="preserve"> (Formulár na potvrdenie o pravidelnom informovaní pacientky).</w:t>
            </w:r>
          </w:p>
          <w:p w14:paraId="55B41A02" w14:textId="77777777" w:rsidR="003D7E62" w:rsidRPr="00C60ED1" w:rsidRDefault="003D7E62" w:rsidP="005F5DB2">
            <w:pPr>
              <w:ind w:left="113"/>
              <w:rPr>
                <w:sz w:val="22"/>
                <w:szCs w:val="22"/>
                <w:lang w:val="sk-SK"/>
              </w:rPr>
            </w:pPr>
          </w:p>
          <w:p w14:paraId="7956AC58" w14:textId="77777777" w:rsidR="003D7E62" w:rsidRPr="00C60ED1" w:rsidRDefault="003D7E62" w:rsidP="005F5DB2">
            <w:pPr>
              <w:ind w:left="113"/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Tieto podmienky sa vzťahujú aj na ženy, ktoré v súčasnosti nie sú sexuálne aktívne, pokiaľ lekár nemá presvedčivé dôkazy, že neexistuje riziko otehotnenia.</w:t>
            </w:r>
          </w:p>
          <w:p w14:paraId="0D1EA236" w14:textId="77777777" w:rsidR="003D7E62" w:rsidRPr="00C60ED1" w:rsidRDefault="003D7E62" w:rsidP="005F5DB2">
            <w:pPr>
              <w:ind w:left="113"/>
              <w:rPr>
                <w:sz w:val="22"/>
                <w:szCs w:val="22"/>
                <w:lang w:val="sk-SK"/>
              </w:rPr>
            </w:pPr>
          </w:p>
          <w:p w14:paraId="6B419701" w14:textId="77777777" w:rsidR="003D7E62" w:rsidRPr="00C60ED1" w:rsidRDefault="003D7E62" w:rsidP="005F5DB2">
            <w:pPr>
              <w:ind w:left="113"/>
              <w:rPr>
                <w:sz w:val="22"/>
                <w:szCs w:val="22"/>
                <w:u w:val="single"/>
                <w:lang w:val="sk-SK"/>
              </w:rPr>
            </w:pPr>
            <w:r w:rsidRPr="00C60ED1">
              <w:rPr>
                <w:sz w:val="22"/>
                <w:szCs w:val="22"/>
                <w:u w:val="single"/>
                <w:lang w:val="sk-SK"/>
              </w:rPr>
              <w:t>Dievčatá v detskom veku</w:t>
            </w:r>
          </w:p>
          <w:p w14:paraId="4E4AF3B4" w14:textId="5857FAB4" w:rsidR="003D7E62" w:rsidRPr="00C60ED1" w:rsidRDefault="003D7E62" w:rsidP="005F5DB2">
            <w:pPr>
              <w:ind w:left="781" w:hanging="668"/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•</w:t>
            </w:r>
            <w:r w:rsidRPr="00C60ED1">
              <w:rPr>
                <w:sz w:val="22"/>
                <w:szCs w:val="22"/>
                <w:lang w:val="sk-SK"/>
              </w:rPr>
              <w:tab/>
              <w:t>Predpisujúci lekár musí zaistiť, že rodičia/opatrovníci dievčat v detskom veku porozumeli nutnosti kontaktovať špecialistu ihneď ako sa u dievčaťa, užívajúceho valpro</w:t>
            </w:r>
            <w:r w:rsidR="002513E8" w:rsidRPr="00C60ED1">
              <w:rPr>
                <w:sz w:val="22"/>
                <w:szCs w:val="22"/>
                <w:lang w:val="sk-SK"/>
              </w:rPr>
              <w:t>át</w:t>
            </w:r>
            <w:r w:rsidRPr="00C60ED1">
              <w:rPr>
                <w:sz w:val="22"/>
                <w:szCs w:val="22"/>
                <w:lang w:val="sk-SK"/>
              </w:rPr>
              <w:t>, vyskytne prvá menštruácia.</w:t>
            </w:r>
          </w:p>
          <w:p w14:paraId="2C74216D" w14:textId="3A33C6B5" w:rsidR="003D7E62" w:rsidRPr="00C60ED1" w:rsidRDefault="003D7E62" w:rsidP="005F5DB2">
            <w:pPr>
              <w:ind w:left="781" w:hanging="668"/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•</w:t>
            </w:r>
            <w:r w:rsidRPr="00C60ED1">
              <w:rPr>
                <w:sz w:val="22"/>
                <w:szCs w:val="22"/>
                <w:lang w:val="sk-SK"/>
              </w:rPr>
              <w:tab/>
              <w:t xml:space="preserve">Predpisujúci lekár sa musí uistiť, že rodičia/opatrovníci dievčat v detskom veku, u ktorých sa vyskytla prvá menštruácia, boli poskytnuté úplné informácie o možných rizikách vrodených </w:t>
            </w:r>
            <w:proofErr w:type="spellStart"/>
            <w:r w:rsidRPr="00C60ED1">
              <w:rPr>
                <w:sz w:val="22"/>
                <w:szCs w:val="22"/>
                <w:lang w:val="sk-SK"/>
              </w:rPr>
              <w:lastRenderedPageBreak/>
              <w:t>malformácií</w:t>
            </w:r>
            <w:proofErr w:type="spellEnd"/>
            <w:r w:rsidRPr="00C60ED1">
              <w:rPr>
                <w:sz w:val="22"/>
                <w:szCs w:val="22"/>
                <w:lang w:val="sk-SK"/>
              </w:rPr>
              <w:t xml:space="preserve"> a porúch vývoja nervového systému, vrátane závažnosti týchto rizík u detí vystavených účinku valpro</w:t>
            </w:r>
            <w:r w:rsidR="002513E8" w:rsidRPr="00C60ED1">
              <w:rPr>
                <w:sz w:val="22"/>
                <w:szCs w:val="22"/>
                <w:lang w:val="sk-SK"/>
              </w:rPr>
              <w:t>át</w:t>
            </w:r>
            <w:r w:rsidR="00236E10" w:rsidRPr="00C60ED1">
              <w:rPr>
                <w:sz w:val="22"/>
                <w:szCs w:val="22"/>
                <w:lang w:val="sk-SK"/>
              </w:rPr>
              <w:t>u</w:t>
            </w:r>
            <w:r w:rsidRPr="00C60ED1">
              <w:rPr>
                <w:sz w:val="22"/>
                <w:szCs w:val="22"/>
                <w:lang w:val="sk-SK"/>
              </w:rPr>
              <w:t xml:space="preserve"> </w:t>
            </w:r>
            <w:r w:rsidRPr="00C60ED1">
              <w:rPr>
                <w:i/>
                <w:sz w:val="22"/>
                <w:szCs w:val="22"/>
                <w:lang w:val="sk-SK"/>
              </w:rPr>
              <w:t xml:space="preserve">in </w:t>
            </w:r>
            <w:proofErr w:type="spellStart"/>
            <w:r w:rsidRPr="00C60ED1">
              <w:rPr>
                <w:i/>
                <w:sz w:val="22"/>
                <w:szCs w:val="22"/>
                <w:lang w:val="sk-SK"/>
              </w:rPr>
              <w:t>utero</w:t>
            </w:r>
            <w:proofErr w:type="spellEnd"/>
            <w:r w:rsidRPr="00C60ED1">
              <w:rPr>
                <w:sz w:val="22"/>
                <w:szCs w:val="22"/>
                <w:lang w:val="sk-SK"/>
              </w:rPr>
              <w:t>.</w:t>
            </w:r>
          </w:p>
          <w:p w14:paraId="7E330EB0" w14:textId="21E8CAF2" w:rsidR="003D7E62" w:rsidRPr="00C60ED1" w:rsidRDefault="003D7E62" w:rsidP="005F5DB2">
            <w:pPr>
              <w:ind w:left="781" w:hanging="668"/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•</w:t>
            </w:r>
            <w:r w:rsidRPr="00C60ED1">
              <w:rPr>
                <w:sz w:val="22"/>
                <w:szCs w:val="22"/>
                <w:lang w:val="sk-SK"/>
              </w:rPr>
              <w:tab/>
              <w:t xml:space="preserve">U pacientiek, u ktorých sa vyskytla prvá menštruácia musí lekár každý rok prehodnotiť potrebu liečby </w:t>
            </w:r>
            <w:proofErr w:type="spellStart"/>
            <w:r w:rsidRPr="00C60ED1">
              <w:rPr>
                <w:sz w:val="22"/>
                <w:szCs w:val="22"/>
                <w:lang w:val="sk-SK"/>
              </w:rPr>
              <w:t>valpro</w:t>
            </w:r>
            <w:r w:rsidR="002513E8" w:rsidRPr="00C60ED1">
              <w:rPr>
                <w:sz w:val="22"/>
                <w:szCs w:val="22"/>
                <w:lang w:val="sk-SK"/>
              </w:rPr>
              <w:t>áto</w:t>
            </w:r>
            <w:r w:rsidRPr="00C60ED1">
              <w:rPr>
                <w:sz w:val="22"/>
                <w:szCs w:val="22"/>
                <w:lang w:val="sk-SK"/>
              </w:rPr>
              <w:t>m</w:t>
            </w:r>
            <w:proofErr w:type="spellEnd"/>
            <w:r w:rsidRPr="00C60ED1">
              <w:rPr>
                <w:sz w:val="22"/>
                <w:szCs w:val="22"/>
                <w:lang w:val="sk-SK"/>
              </w:rPr>
              <w:t xml:space="preserve"> a zvážiť alternatívne možnosti liečby. Ak je valpr</w:t>
            </w:r>
            <w:r w:rsidR="002513E8" w:rsidRPr="00C60ED1">
              <w:rPr>
                <w:sz w:val="22"/>
                <w:szCs w:val="22"/>
                <w:lang w:val="sk-SK"/>
              </w:rPr>
              <w:t>oát</w:t>
            </w:r>
            <w:r w:rsidRPr="00C60ED1">
              <w:rPr>
                <w:sz w:val="22"/>
                <w:szCs w:val="22"/>
                <w:lang w:val="sk-SK"/>
              </w:rPr>
              <w:t xml:space="preserve"> jediná vhodná liečba, je potrebné prediskutovať použitie účinnej antikoncepcie a ďalšie podmienky Programu </w:t>
            </w:r>
            <w:r w:rsidR="00932456" w:rsidRPr="00C60ED1">
              <w:rPr>
                <w:sz w:val="22"/>
                <w:szCs w:val="22"/>
                <w:lang w:val="sk-SK"/>
              </w:rPr>
              <w:t>prevencie</w:t>
            </w:r>
            <w:r w:rsidRPr="00C60ED1">
              <w:rPr>
                <w:sz w:val="22"/>
                <w:szCs w:val="22"/>
                <w:lang w:val="sk-SK"/>
              </w:rPr>
              <w:t xml:space="preserve"> tehotenstva. Lekár má vynaložiť všetko úsilie, aby zmenil liečbu </w:t>
            </w:r>
            <w:proofErr w:type="spellStart"/>
            <w:r w:rsidRPr="00C60ED1">
              <w:rPr>
                <w:sz w:val="22"/>
                <w:szCs w:val="22"/>
                <w:lang w:val="sk-SK"/>
              </w:rPr>
              <w:t>valproátom</w:t>
            </w:r>
            <w:proofErr w:type="spellEnd"/>
            <w:r w:rsidRPr="00C60ED1">
              <w:rPr>
                <w:sz w:val="22"/>
                <w:szCs w:val="22"/>
                <w:lang w:val="sk-SK"/>
              </w:rPr>
              <w:t xml:space="preserve"> u pacientky na alternatívnu liečbu, predtým ako pacientka dosiahne dospelosť.</w:t>
            </w:r>
          </w:p>
          <w:p w14:paraId="07C769B5" w14:textId="77777777" w:rsidR="003D7E62" w:rsidRPr="00C60ED1" w:rsidRDefault="003D7E62" w:rsidP="005F5DB2">
            <w:pPr>
              <w:tabs>
                <w:tab w:val="left" w:pos="0"/>
              </w:tabs>
              <w:rPr>
                <w:rFonts w:eastAsia="Calibri"/>
                <w:sz w:val="22"/>
                <w:szCs w:val="22"/>
                <w:lang w:val="sk-SK" w:eastAsia="en-US"/>
              </w:rPr>
            </w:pPr>
          </w:p>
          <w:p w14:paraId="082EEA4C" w14:textId="77777777" w:rsidR="003D7E62" w:rsidRPr="00C60ED1" w:rsidRDefault="003D7E62" w:rsidP="005F5DB2">
            <w:pPr>
              <w:ind w:left="113"/>
              <w:rPr>
                <w:sz w:val="22"/>
                <w:szCs w:val="22"/>
                <w:u w:val="single"/>
                <w:lang w:val="sk-SK"/>
              </w:rPr>
            </w:pPr>
            <w:r w:rsidRPr="00C60ED1">
              <w:rPr>
                <w:sz w:val="22"/>
                <w:szCs w:val="22"/>
                <w:u w:val="single"/>
                <w:lang w:val="sk-SK"/>
              </w:rPr>
              <w:t>Tehotenský test</w:t>
            </w:r>
          </w:p>
          <w:p w14:paraId="0ADF192A" w14:textId="3EA1A2BA" w:rsidR="003D7E62" w:rsidRPr="00C60ED1" w:rsidRDefault="003D7E62" w:rsidP="005F5DB2">
            <w:pPr>
              <w:ind w:left="113"/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 xml:space="preserve">Pred začiatkom liečby </w:t>
            </w:r>
            <w:proofErr w:type="spellStart"/>
            <w:r w:rsidRPr="00C60ED1">
              <w:rPr>
                <w:sz w:val="22"/>
                <w:szCs w:val="22"/>
                <w:lang w:val="sk-SK"/>
              </w:rPr>
              <w:t>valpro</w:t>
            </w:r>
            <w:r w:rsidR="002513E8" w:rsidRPr="00C60ED1">
              <w:rPr>
                <w:sz w:val="22"/>
                <w:szCs w:val="22"/>
                <w:lang w:val="sk-SK"/>
              </w:rPr>
              <w:t>át</w:t>
            </w:r>
            <w:r w:rsidRPr="00C60ED1">
              <w:rPr>
                <w:sz w:val="22"/>
                <w:szCs w:val="22"/>
                <w:lang w:val="sk-SK"/>
              </w:rPr>
              <w:t>om</w:t>
            </w:r>
            <w:proofErr w:type="spellEnd"/>
            <w:r w:rsidRPr="00C60ED1">
              <w:rPr>
                <w:sz w:val="22"/>
                <w:szCs w:val="22"/>
                <w:lang w:val="sk-SK"/>
              </w:rPr>
              <w:t xml:space="preserve"> musí byť vylúčené tehotenstvo. Liečba </w:t>
            </w:r>
            <w:proofErr w:type="spellStart"/>
            <w:r w:rsidRPr="00C60ED1">
              <w:rPr>
                <w:sz w:val="22"/>
                <w:szCs w:val="22"/>
                <w:lang w:val="sk-SK"/>
              </w:rPr>
              <w:t>valpro</w:t>
            </w:r>
            <w:r w:rsidR="002513E8" w:rsidRPr="00C60ED1">
              <w:rPr>
                <w:sz w:val="22"/>
                <w:szCs w:val="22"/>
                <w:lang w:val="sk-SK"/>
              </w:rPr>
              <w:t>át</w:t>
            </w:r>
            <w:r w:rsidRPr="00C60ED1">
              <w:rPr>
                <w:sz w:val="22"/>
                <w:szCs w:val="22"/>
                <w:lang w:val="sk-SK"/>
              </w:rPr>
              <w:t>om</w:t>
            </w:r>
            <w:proofErr w:type="spellEnd"/>
            <w:r w:rsidRPr="00C60ED1">
              <w:rPr>
                <w:sz w:val="22"/>
                <w:szCs w:val="22"/>
                <w:lang w:val="sk-SK"/>
              </w:rPr>
              <w:t xml:space="preserve"> nesmie začať u žien vo fertilnom veku bez negatívneho výsledku tehotenského testu (tehotenský test z krvnej plazmy), potvrdeného zdravotníkom, aby sa vylúčilo neúmyselné použitie počas tehotenstva.</w:t>
            </w:r>
          </w:p>
          <w:p w14:paraId="2BD51289" w14:textId="77777777" w:rsidR="003D7E62" w:rsidRPr="00C60ED1" w:rsidRDefault="003D7E62" w:rsidP="005F5DB2">
            <w:pPr>
              <w:ind w:left="113"/>
              <w:rPr>
                <w:sz w:val="22"/>
                <w:szCs w:val="22"/>
                <w:lang w:val="sk-SK"/>
              </w:rPr>
            </w:pPr>
          </w:p>
          <w:p w14:paraId="2834E70A" w14:textId="77777777" w:rsidR="003D7E62" w:rsidRPr="00C60ED1" w:rsidRDefault="003D7E62" w:rsidP="005F5DB2">
            <w:pPr>
              <w:ind w:left="113"/>
              <w:rPr>
                <w:sz w:val="22"/>
                <w:szCs w:val="22"/>
                <w:u w:val="single"/>
                <w:lang w:val="sk-SK"/>
              </w:rPr>
            </w:pPr>
            <w:r w:rsidRPr="00C60ED1">
              <w:rPr>
                <w:sz w:val="22"/>
                <w:szCs w:val="22"/>
                <w:u w:val="single"/>
                <w:lang w:val="sk-SK"/>
              </w:rPr>
              <w:t>Antikoncepcia</w:t>
            </w:r>
          </w:p>
          <w:p w14:paraId="1090393C" w14:textId="0C024F16" w:rsidR="003D7E62" w:rsidRPr="00C60ED1" w:rsidRDefault="003D7E62" w:rsidP="005F5DB2">
            <w:pPr>
              <w:ind w:left="113"/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Ženy vo fertilnom veku, ktorým je predpísaný valpro</w:t>
            </w:r>
            <w:r w:rsidR="002513E8" w:rsidRPr="00C60ED1">
              <w:rPr>
                <w:sz w:val="22"/>
                <w:szCs w:val="22"/>
                <w:lang w:val="sk-SK"/>
              </w:rPr>
              <w:t>át</w:t>
            </w:r>
            <w:r w:rsidRPr="00C60ED1">
              <w:rPr>
                <w:sz w:val="22"/>
                <w:szCs w:val="22"/>
                <w:lang w:val="sk-SK"/>
              </w:rPr>
              <w:t xml:space="preserve">, musia užívať účinnú antikoncepciu bez prerušenia počas celej doby trvania liečby </w:t>
            </w:r>
            <w:proofErr w:type="spellStart"/>
            <w:r w:rsidRPr="00C60ED1">
              <w:rPr>
                <w:sz w:val="22"/>
                <w:szCs w:val="22"/>
                <w:lang w:val="sk-SK"/>
              </w:rPr>
              <w:t>valpro</w:t>
            </w:r>
            <w:r w:rsidR="002513E8" w:rsidRPr="00C60ED1">
              <w:rPr>
                <w:sz w:val="22"/>
                <w:szCs w:val="22"/>
                <w:lang w:val="sk-SK"/>
              </w:rPr>
              <w:t>átom</w:t>
            </w:r>
            <w:proofErr w:type="spellEnd"/>
            <w:r w:rsidRPr="00C60ED1">
              <w:rPr>
                <w:sz w:val="22"/>
                <w:szCs w:val="22"/>
                <w:lang w:val="sk-SK"/>
              </w:rPr>
              <w:t xml:space="preserve">. Takýmto </w:t>
            </w:r>
            <w:r w:rsidR="005E7BE2" w:rsidRPr="00C60ED1">
              <w:rPr>
                <w:sz w:val="22"/>
                <w:szCs w:val="22"/>
                <w:lang w:val="sk-SK"/>
              </w:rPr>
              <w:t>pacientkam</w:t>
            </w:r>
            <w:r w:rsidRPr="00C60ED1">
              <w:rPr>
                <w:sz w:val="22"/>
                <w:szCs w:val="22"/>
                <w:lang w:val="sk-SK"/>
              </w:rPr>
              <w:t xml:space="preserve"> musí byť poskytnutá komplexná informácia o prevencii tehotenstva a poradenstvo v prípade, že pacientka neužíva účinnú antikoncepciu. Má sa použiť aspoň jedna účinná metóda antikoncepcie (najlepšie nezávislá od užívateľky, akými sú vnútromaternicové teliesko alebo implantát) alebo dve doplnkové formy antikoncepcie, vrátane </w:t>
            </w:r>
            <w:proofErr w:type="spellStart"/>
            <w:r w:rsidRPr="00C60ED1">
              <w:rPr>
                <w:sz w:val="22"/>
                <w:szCs w:val="22"/>
                <w:lang w:val="sk-SK"/>
              </w:rPr>
              <w:t>bariérovej</w:t>
            </w:r>
            <w:proofErr w:type="spellEnd"/>
            <w:r w:rsidRPr="00C60ED1">
              <w:rPr>
                <w:sz w:val="22"/>
                <w:szCs w:val="22"/>
                <w:lang w:val="sk-SK"/>
              </w:rPr>
              <w:t xml:space="preserve"> metódy. V každom prípade majú byť pri výbere antikoncepčnej metódy zohľadnené individuálne okolnosti, vrátane diskusie s pacientkou a jej zapojenia a dodržiavania zvolených opatrení. Pacientka musí dodržiavať všetky pokyny o efektívnej antikoncepcii aj v prípade </w:t>
            </w:r>
            <w:proofErr w:type="spellStart"/>
            <w:r w:rsidRPr="00C60ED1">
              <w:rPr>
                <w:sz w:val="22"/>
                <w:szCs w:val="22"/>
                <w:lang w:val="sk-SK"/>
              </w:rPr>
              <w:t>amenorey</w:t>
            </w:r>
            <w:proofErr w:type="spellEnd"/>
            <w:r w:rsidRPr="00C60ED1">
              <w:rPr>
                <w:sz w:val="22"/>
                <w:szCs w:val="22"/>
                <w:lang w:val="sk-SK"/>
              </w:rPr>
              <w:t>.</w:t>
            </w:r>
          </w:p>
          <w:p w14:paraId="07F07B08" w14:textId="77777777" w:rsidR="003D7E62" w:rsidRPr="00C60ED1" w:rsidRDefault="003D7E62" w:rsidP="005F5DB2">
            <w:pPr>
              <w:ind w:left="113"/>
              <w:rPr>
                <w:sz w:val="22"/>
                <w:szCs w:val="22"/>
                <w:lang w:val="sk-SK"/>
              </w:rPr>
            </w:pPr>
          </w:p>
          <w:p w14:paraId="2FAC9948" w14:textId="77777777" w:rsidR="003D7E62" w:rsidRPr="00C60ED1" w:rsidRDefault="003D7E62" w:rsidP="005F5DB2">
            <w:pPr>
              <w:ind w:left="113"/>
              <w:rPr>
                <w:sz w:val="22"/>
                <w:szCs w:val="22"/>
                <w:u w:val="single"/>
                <w:lang w:val="sk-SK"/>
              </w:rPr>
            </w:pPr>
            <w:r w:rsidRPr="00C60ED1">
              <w:rPr>
                <w:sz w:val="22"/>
                <w:szCs w:val="22"/>
                <w:u w:val="single"/>
                <w:lang w:val="sk-SK"/>
              </w:rPr>
              <w:t>Každoročné prehodnotenie liečby špecialistom</w:t>
            </w:r>
          </w:p>
          <w:p w14:paraId="0B811B8D" w14:textId="641C298E" w:rsidR="003D7E62" w:rsidRPr="00C60ED1" w:rsidRDefault="003D7E62" w:rsidP="005F5DB2">
            <w:pPr>
              <w:ind w:left="113"/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Špecialista má aspoň raz ročne zhodnotiť, či je valpro</w:t>
            </w:r>
            <w:r w:rsidR="002513E8" w:rsidRPr="00C60ED1">
              <w:rPr>
                <w:sz w:val="22"/>
                <w:szCs w:val="22"/>
                <w:lang w:val="sk-SK"/>
              </w:rPr>
              <w:t>át</w:t>
            </w:r>
            <w:r w:rsidRPr="00C60ED1">
              <w:rPr>
                <w:sz w:val="22"/>
                <w:szCs w:val="22"/>
                <w:lang w:val="sk-SK"/>
              </w:rPr>
              <w:t xml:space="preserve"> pre pacientku najvhodnejšou liečbou. Špecialista má s pacientkou prediskutovať Formulár na potvrdenie o pravidelnom informovaní pacientky na začiatku liečby a počas každoročnej prehliadky a uistiť sa, že pacientka porozumela jeho obsahu.</w:t>
            </w:r>
          </w:p>
          <w:p w14:paraId="730AB321" w14:textId="77777777" w:rsidR="003D7E62" w:rsidRPr="00C60ED1" w:rsidRDefault="003D7E62" w:rsidP="005F5DB2">
            <w:pPr>
              <w:ind w:left="113"/>
              <w:rPr>
                <w:sz w:val="22"/>
                <w:szCs w:val="22"/>
                <w:lang w:val="sk-SK"/>
              </w:rPr>
            </w:pPr>
          </w:p>
          <w:p w14:paraId="7C87010E" w14:textId="77777777" w:rsidR="003D7E62" w:rsidRPr="00C60ED1" w:rsidRDefault="003D7E62" w:rsidP="005F5DB2">
            <w:pPr>
              <w:ind w:left="113"/>
              <w:rPr>
                <w:sz w:val="22"/>
                <w:szCs w:val="22"/>
                <w:u w:val="single"/>
                <w:lang w:val="sk-SK"/>
              </w:rPr>
            </w:pPr>
            <w:r w:rsidRPr="00C60ED1">
              <w:rPr>
                <w:sz w:val="22"/>
                <w:szCs w:val="22"/>
                <w:u w:val="single"/>
                <w:lang w:val="sk-SK"/>
              </w:rPr>
              <w:t>Plánovanie tehotenstva</w:t>
            </w:r>
          </w:p>
          <w:p w14:paraId="624070E4" w14:textId="42DF6877" w:rsidR="003D7E62" w:rsidRPr="00C60ED1" w:rsidRDefault="003D7E62" w:rsidP="005F5DB2">
            <w:pPr>
              <w:ind w:left="113"/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 xml:space="preserve">Pokiaľ žena s epilepsiou plánuje otehotnieť, musí špecialista so skúsenosťami s liečbou epilepsie prehodnotiť liečbu </w:t>
            </w:r>
            <w:proofErr w:type="spellStart"/>
            <w:r w:rsidRPr="00C60ED1">
              <w:rPr>
                <w:sz w:val="22"/>
                <w:szCs w:val="22"/>
                <w:lang w:val="sk-SK"/>
              </w:rPr>
              <w:t>valpro</w:t>
            </w:r>
            <w:r w:rsidR="002513E8" w:rsidRPr="00C60ED1">
              <w:rPr>
                <w:sz w:val="22"/>
                <w:szCs w:val="22"/>
                <w:lang w:val="sk-SK"/>
              </w:rPr>
              <w:t>átom</w:t>
            </w:r>
            <w:proofErr w:type="spellEnd"/>
            <w:r w:rsidRPr="00C60ED1">
              <w:rPr>
                <w:sz w:val="22"/>
                <w:szCs w:val="22"/>
                <w:lang w:val="sk-SK"/>
              </w:rPr>
              <w:t xml:space="preserve"> a zvážiť alternatívne možnosti liečby. Má sa vynaložiť všetko úsilie na prechod na vhodnú alternatívnu liečbu pred počatím a vysadením antikoncepcie (pozri časť 4.6). Ak zmena liečby nie je možná, žena má dostať ďalšie poradenstvo týkajúce sa rizík valpr</w:t>
            </w:r>
            <w:r w:rsidR="002513E8" w:rsidRPr="00C60ED1">
              <w:rPr>
                <w:sz w:val="22"/>
                <w:szCs w:val="22"/>
                <w:lang w:val="sk-SK"/>
              </w:rPr>
              <w:t>oátu</w:t>
            </w:r>
            <w:r w:rsidRPr="00C60ED1">
              <w:rPr>
                <w:sz w:val="22"/>
                <w:szCs w:val="22"/>
                <w:lang w:val="sk-SK"/>
              </w:rPr>
              <w:t xml:space="preserve"> pre nenarodené dieťa, ktoré jej dopomôže k informovanému rozhodnutiu o plánovaní rodiny.</w:t>
            </w:r>
          </w:p>
          <w:p w14:paraId="5D37CFF1" w14:textId="77777777" w:rsidR="003D7E62" w:rsidRPr="00C60ED1" w:rsidRDefault="003D7E62" w:rsidP="005F5DB2">
            <w:pPr>
              <w:ind w:left="113"/>
              <w:rPr>
                <w:sz w:val="22"/>
                <w:szCs w:val="22"/>
                <w:lang w:val="sk-SK"/>
              </w:rPr>
            </w:pPr>
          </w:p>
          <w:p w14:paraId="413126B8" w14:textId="097757B7" w:rsidR="003D7E62" w:rsidRPr="00C60ED1" w:rsidRDefault="003D7E62" w:rsidP="005F5DB2">
            <w:pPr>
              <w:ind w:left="113"/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 xml:space="preserve">Pokiaľ žena s bipolárnou poruchou plánuje otehotnieť, musí sa poradiť so špecialistom so skúsenosťami s liečbou bipolárnej poruchy a liečba </w:t>
            </w:r>
            <w:proofErr w:type="spellStart"/>
            <w:r w:rsidRPr="00C60ED1">
              <w:rPr>
                <w:sz w:val="22"/>
                <w:szCs w:val="22"/>
                <w:lang w:val="sk-SK"/>
              </w:rPr>
              <w:t>valpro</w:t>
            </w:r>
            <w:r w:rsidR="002513E8" w:rsidRPr="00C60ED1">
              <w:rPr>
                <w:sz w:val="22"/>
                <w:szCs w:val="22"/>
                <w:lang w:val="sk-SK"/>
              </w:rPr>
              <w:t>át</w:t>
            </w:r>
            <w:r w:rsidRPr="00C60ED1">
              <w:rPr>
                <w:sz w:val="22"/>
                <w:szCs w:val="22"/>
                <w:lang w:val="sk-SK"/>
              </w:rPr>
              <w:t>om</w:t>
            </w:r>
            <w:proofErr w:type="spellEnd"/>
            <w:r w:rsidRPr="00C60ED1">
              <w:rPr>
                <w:sz w:val="22"/>
                <w:szCs w:val="22"/>
                <w:lang w:val="sk-SK"/>
              </w:rPr>
              <w:t xml:space="preserve"> má byť prerušená a podľa potreby nahradená alternatívnou liečbou v období pred počatím a pred vysadením antikoncepcie.</w:t>
            </w:r>
          </w:p>
          <w:p w14:paraId="15A73657" w14:textId="77777777" w:rsidR="003D7E62" w:rsidRPr="00C60ED1" w:rsidRDefault="003D7E62" w:rsidP="005F5DB2">
            <w:pPr>
              <w:ind w:left="113"/>
              <w:rPr>
                <w:sz w:val="22"/>
                <w:szCs w:val="22"/>
                <w:lang w:val="sk-SK"/>
              </w:rPr>
            </w:pPr>
          </w:p>
          <w:p w14:paraId="4ADC64BF" w14:textId="77777777" w:rsidR="003D7E62" w:rsidRPr="00C60ED1" w:rsidRDefault="003D7E62" w:rsidP="005F5DB2">
            <w:pPr>
              <w:ind w:left="113"/>
              <w:rPr>
                <w:sz w:val="22"/>
                <w:szCs w:val="22"/>
                <w:u w:val="single"/>
                <w:lang w:val="sk-SK"/>
              </w:rPr>
            </w:pPr>
            <w:r w:rsidRPr="00C60ED1">
              <w:rPr>
                <w:sz w:val="22"/>
                <w:szCs w:val="22"/>
                <w:u w:val="single"/>
                <w:lang w:val="sk-SK"/>
              </w:rPr>
              <w:t>V prípade tehotenstva</w:t>
            </w:r>
          </w:p>
          <w:p w14:paraId="0411D59F" w14:textId="0DF5B881" w:rsidR="003D7E62" w:rsidRPr="00C60ED1" w:rsidRDefault="003D7E62" w:rsidP="005F5DB2">
            <w:pPr>
              <w:ind w:left="113"/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Pokiaľ žena užívajúca valpro</w:t>
            </w:r>
            <w:r w:rsidR="002513E8" w:rsidRPr="00C60ED1">
              <w:rPr>
                <w:sz w:val="22"/>
                <w:szCs w:val="22"/>
                <w:lang w:val="sk-SK"/>
              </w:rPr>
              <w:t>át</w:t>
            </w:r>
            <w:r w:rsidRPr="00C60ED1">
              <w:rPr>
                <w:sz w:val="22"/>
                <w:szCs w:val="22"/>
                <w:lang w:val="sk-SK"/>
              </w:rPr>
              <w:t xml:space="preserve"> otehotnie, musí byť okamžite odoslaná k špecialistovi, aby bola prehodnotená liečba </w:t>
            </w:r>
            <w:proofErr w:type="spellStart"/>
            <w:r w:rsidRPr="00C60ED1">
              <w:rPr>
                <w:sz w:val="22"/>
                <w:szCs w:val="22"/>
                <w:lang w:val="sk-SK"/>
              </w:rPr>
              <w:t>valpro</w:t>
            </w:r>
            <w:r w:rsidR="002513E8" w:rsidRPr="00C60ED1">
              <w:rPr>
                <w:sz w:val="22"/>
                <w:szCs w:val="22"/>
                <w:lang w:val="sk-SK"/>
              </w:rPr>
              <w:t>át</w:t>
            </w:r>
            <w:r w:rsidRPr="00C60ED1">
              <w:rPr>
                <w:sz w:val="22"/>
                <w:szCs w:val="22"/>
                <w:lang w:val="sk-SK"/>
              </w:rPr>
              <w:t>om</w:t>
            </w:r>
            <w:proofErr w:type="spellEnd"/>
            <w:r w:rsidRPr="00C60ED1">
              <w:rPr>
                <w:sz w:val="22"/>
                <w:szCs w:val="22"/>
                <w:lang w:val="sk-SK"/>
              </w:rPr>
              <w:t xml:space="preserve"> a zvážené alternatívne možnosti liečby. Pacientky vystavené účinku valpro</w:t>
            </w:r>
            <w:r w:rsidR="002513E8" w:rsidRPr="00C60ED1">
              <w:rPr>
                <w:sz w:val="22"/>
                <w:szCs w:val="22"/>
                <w:lang w:val="sk-SK"/>
              </w:rPr>
              <w:t>átu</w:t>
            </w:r>
            <w:r w:rsidRPr="00C60ED1">
              <w:rPr>
                <w:sz w:val="22"/>
                <w:szCs w:val="22"/>
                <w:lang w:val="sk-SK"/>
              </w:rPr>
              <w:t xml:space="preserve"> počas tehotenstva a ich partneri musia byť odoslaní k špecialistovi so skúsenosťami v </w:t>
            </w:r>
            <w:proofErr w:type="spellStart"/>
            <w:r w:rsidRPr="00C60ED1">
              <w:rPr>
                <w:sz w:val="22"/>
                <w:szCs w:val="22"/>
                <w:lang w:val="sk-SK"/>
              </w:rPr>
              <w:t>teratológii</w:t>
            </w:r>
            <w:proofErr w:type="spellEnd"/>
            <w:r w:rsidRPr="00C60ED1">
              <w:rPr>
                <w:sz w:val="22"/>
                <w:szCs w:val="22"/>
                <w:lang w:val="sk-SK"/>
              </w:rPr>
              <w:t xml:space="preserve"> kvôli zhodnoteniu situácie a poradenstvu ohľadne exponovaného tehotenstva (pozri časť 4.6).</w:t>
            </w:r>
          </w:p>
          <w:p w14:paraId="3B3CED42" w14:textId="77777777" w:rsidR="003D7E62" w:rsidRPr="00C60ED1" w:rsidRDefault="003D7E62" w:rsidP="005F5DB2">
            <w:pPr>
              <w:ind w:left="113"/>
              <w:rPr>
                <w:sz w:val="22"/>
                <w:szCs w:val="22"/>
                <w:lang w:val="sk-SK"/>
              </w:rPr>
            </w:pPr>
          </w:p>
          <w:p w14:paraId="2B66D52B" w14:textId="77777777" w:rsidR="003D7E62" w:rsidRPr="00C60ED1" w:rsidRDefault="003D7E62" w:rsidP="005F5DB2">
            <w:pPr>
              <w:ind w:left="113"/>
              <w:rPr>
                <w:sz w:val="22"/>
                <w:szCs w:val="22"/>
                <w:u w:val="single"/>
                <w:lang w:val="sk-SK"/>
              </w:rPr>
            </w:pPr>
            <w:r w:rsidRPr="00C60ED1">
              <w:rPr>
                <w:sz w:val="22"/>
                <w:szCs w:val="22"/>
                <w:u w:val="single"/>
                <w:lang w:val="sk-SK"/>
              </w:rPr>
              <w:t>Lekárnik musí zaistiť, aby</w:t>
            </w:r>
          </w:p>
          <w:p w14:paraId="230CA472" w14:textId="5D3C6094" w:rsidR="003D7E62" w:rsidRPr="00C60ED1" w:rsidRDefault="003D7E62" w:rsidP="005F5DB2">
            <w:pPr>
              <w:ind w:left="781" w:hanging="668"/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•</w:t>
            </w:r>
            <w:r w:rsidRPr="00C60ED1">
              <w:rPr>
                <w:bCs/>
                <w:sz w:val="22"/>
                <w:szCs w:val="22"/>
                <w:lang w:val="sk-SK"/>
              </w:rPr>
              <w:tab/>
            </w:r>
            <w:r w:rsidRPr="00C60ED1">
              <w:rPr>
                <w:sz w:val="22"/>
                <w:szCs w:val="22"/>
                <w:lang w:val="sk-SK"/>
              </w:rPr>
              <w:t>pri každom vydávaní valpro</w:t>
            </w:r>
            <w:r w:rsidR="002513E8" w:rsidRPr="00C60ED1">
              <w:rPr>
                <w:sz w:val="22"/>
                <w:szCs w:val="22"/>
                <w:lang w:val="sk-SK"/>
              </w:rPr>
              <w:t>át</w:t>
            </w:r>
            <w:r w:rsidRPr="00C60ED1">
              <w:rPr>
                <w:sz w:val="22"/>
                <w:szCs w:val="22"/>
                <w:lang w:val="sk-SK"/>
              </w:rPr>
              <w:t>u bola pacientke poskytnutá Karta pre pacientku a pacientka rozumela jej obsahu.</w:t>
            </w:r>
          </w:p>
          <w:p w14:paraId="370D6A61" w14:textId="670EF8AB" w:rsidR="003D7E62" w:rsidRPr="00C60ED1" w:rsidRDefault="003D7E62" w:rsidP="005F5DB2">
            <w:pPr>
              <w:ind w:left="781" w:hanging="668"/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•</w:t>
            </w:r>
            <w:r w:rsidRPr="00C60ED1">
              <w:rPr>
                <w:bCs/>
                <w:sz w:val="22"/>
                <w:szCs w:val="22"/>
                <w:lang w:val="sk-SK"/>
              </w:rPr>
              <w:tab/>
            </w:r>
            <w:r w:rsidRPr="00C60ED1">
              <w:rPr>
                <w:sz w:val="22"/>
                <w:szCs w:val="22"/>
                <w:lang w:val="sk-SK"/>
              </w:rPr>
              <w:t xml:space="preserve">pacientky boli upozornené, aby v prípade plánovania alebo podozrenia na tehotenstvo liečbu </w:t>
            </w:r>
            <w:proofErr w:type="spellStart"/>
            <w:r w:rsidRPr="00C60ED1">
              <w:rPr>
                <w:sz w:val="22"/>
                <w:szCs w:val="22"/>
                <w:lang w:val="sk-SK"/>
              </w:rPr>
              <w:t>valpro</w:t>
            </w:r>
            <w:r w:rsidR="002513E8" w:rsidRPr="00C60ED1">
              <w:rPr>
                <w:sz w:val="22"/>
                <w:szCs w:val="22"/>
                <w:lang w:val="sk-SK"/>
              </w:rPr>
              <w:t>áto</w:t>
            </w:r>
            <w:r w:rsidRPr="00C60ED1">
              <w:rPr>
                <w:sz w:val="22"/>
                <w:szCs w:val="22"/>
                <w:lang w:val="sk-SK"/>
              </w:rPr>
              <w:t>m</w:t>
            </w:r>
            <w:proofErr w:type="spellEnd"/>
            <w:r w:rsidRPr="00C60ED1">
              <w:rPr>
                <w:sz w:val="22"/>
                <w:szCs w:val="22"/>
                <w:lang w:val="sk-SK"/>
              </w:rPr>
              <w:t xml:space="preserve"> neprerušovali, ale okamžite kontaktovali špecialistu.</w:t>
            </w:r>
          </w:p>
          <w:p w14:paraId="18B6D139" w14:textId="77777777" w:rsidR="003D7E62" w:rsidRPr="00C60ED1" w:rsidRDefault="003D7E62" w:rsidP="005F5DB2">
            <w:pPr>
              <w:ind w:left="113"/>
              <w:rPr>
                <w:rFonts w:eastAsia="Calibri"/>
                <w:sz w:val="22"/>
                <w:szCs w:val="22"/>
                <w:u w:val="single"/>
                <w:lang w:val="sk-SK" w:eastAsia="en-US"/>
              </w:rPr>
            </w:pPr>
          </w:p>
          <w:p w14:paraId="38854436" w14:textId="77777777" w:rsidR="003D7E62" w:rsidRPr="00C60ED1" w:rsidRDefault="003D7E62" w:rsidP="002B11B8">
            <w:pPr>
              <w:keepNext/>
              <w:ind w:left="113"/>
              <w:rPr>
                <w:sz w:val="22"/>
                <w:szCs w:val="22"/>
                <w:u w:val="single"/>
                <w:lang w:val="sk-SK"/>
              </w:rPr>
            </w:pPr>
            <w:r w:rsidRPr="00C60ED1">
              <w:rPr>
                <w:sz w:val="22"/>
                <w:szCs w:val="22"/>
                <w:u w:val="single"/>
                <w:lang w:val="sk-SK"/>
              </w:rPr>
              <w:lastRenderedPageBreak/>
              <w:t>Edukačné materiály</w:t>
            </w:r>
          </w:p>
          <w:p w14:paraId="6B96908D" w14:textId="5DFCEAB2" w:rsidR="003D7E62" w:rsidRPr="00C60ED1" w:rsidRDefault="003D7E62" w:rsidP="002B11B8">
            <w:pPr>
              <w:keepNext/>
              <w:ind w:left="113"/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 xml:space="preserve">V záujme pomoci zdravotníckym pracovníkom a </w:t>
            </w:r>
            <w:proofErr w:type="spellStart"/>
            <w:r w:rsidRPr="00C60ED1">
              <w:rPr>
                <w:sz w:val="22"/>
                <w:szCs w:val="22"/>
                <w:lang w:val="sk-SK"/>
              </w:rPr>
              <w:t>pacientkám</w:t>
            </w:r>
            <w:proofErr w:type="spellEnd"/>
            <w:r w:rsidRPr="00C60ED1">
              <w:rPr>
                <w:sz w:val="22"/>
                <w:szCs w:val="22"/>
                <w:lang w:val="sk-SK"/>
              </w:rPr>
              <w:t xml:space="preserve"> vyvarovať sa expozícii účinku valpr</w:t>
            </w:r>
            <w:r w:rsidR="002513E8" w:rsidRPr="00C60ED1">
              <w:rPr>
                <w:sz w:val="22"/>
                <w:szCs w:val="22"/>
                <w:lang w:val="sk-SK"/>
              </w:rPr>
              <w:t>oát</w:t>
            </w:r>
            <w:r w:rsidRPr="00C60ED1">
              <w:rPr>
                <w:sz w:val="22"/>
                <w:szCs w:val="22"/>
                <w:lang w:val="sk-SK"/>
              </w:rPr>
              <w:t>u počas tehotenstva, poskytuje držiteľ rozhodnutia o registrácii edukačné materiály, aby zdôraznil varovanie a poskytol návody ohľadne užíva</w:t>
            </w:r>
            <w:r w:rsidR="00236E10" w:rsidRPr="00C60ED1">
              <w:rPr>
                <w:sz w:val="22"/>
                <w:szCs w:val="22"/>
                <w:lang w:val="sk-SK"/>
              </w:rPr>
              <w:t>n</w:t>
            </w:r>
            <w:r w:rsidRPr="00C60ED1">
              <w:rPr>
                <w:sz w:val="22"/>
                <w:szCs w:val="22"/>
                <w:lang w:val="sk-SK"/>
              </w:rPr>
              <w:t>ia valpro</w:t>
            </w:r>
            <w:r w:rsidR="002513E8" w:rsidRPr="00C60ED1">
              <w:rPr>
                <w:sz w:val="22"/>
                <w:szCs w:val="22"/>
                <w:lang w:val="sk-SK"/>
              </w:rPr>
              <w:t>át</w:t>
            </w:r>
            <w:r w:rsidRPr="00C60ED1">
              <w:rPr>
                <w:sz w:val="22"/>
                <w:szCs w:val="22"/>
                <w:lang w:val="sk-SK"/>
              </w:rPr>
              <w:t xml:space="preserve">u u žien vo fertilnom veku a detaily Programu </w:t>
            </w:r>
            <w:r w:rsidR="00932456" w:rsidRPr="00C60ED1">
              <w:rPr>
                <w:sz w:val="22"/>
                <w:szCs w:val="22"/>
                <w:lang w:val="sk-SK"/>
              </w:rPr>
              <w:t>prevencie</w:t>
            </w:r>
            <w:r w:rsidRPr="00C60ED1">
              <w:rPr>
                <w:sz w:val="22"/>
                <w:szCs w:val="22"/>
                <w:lang w:val="sk-SK"/>
              </w:rPr>
              <w:t xml:space="preserve"> tehotenstva. Informačná príručka pre pacientku a Karta pre pacientku majú byť poskytnuté všetkým ženám vo fertilnom veku, ktoré užívajú valpro</w:t>
            </w:r>
            <w:r w:rsidR="002513E8" w:rsidRPr="00C60ED1">
              <w:rPr>
                <w:sz w:val="22"/>
                <w:szCs w:val="22"/>
                <w:lang w:val="sk-SK"/>
              </w:rPr>
              <w:t>át</w:t>
            </w:r>
            <w:r w:rsidRPr="00C60ED1">
              <w:rPr>
                <w:sz w:val="22"/>
                <w:szCs w:val="22"/>
                <w:lang w:val="sk-SK"/>
              </w:rPr>
              <w:t>.</w:t>
            </w:r>
          </w:p>
          <w:p w14:paraId="0A344F43" w14:textId="77777777" w:rsidR="003D7E62" w:rsidRPr="00C60ED1" w:rsidRDefault="003D7E62" w:rsidP="005F5DB2">
            <w:pPr>
              <w:ind w:left="113"/>
              <w:rPr>
                <w:sz w:val="22"/>
                <w:szCs w:val="22"/>
                <w:lang w:val="sk-SK"/>
              </w:rPr>
            </w:pPr>
          </w:p>
          <w:p w14:paraId="13D16F52" w14:textId="701775A5" w:rsidR="003D7E62" w:rsidRPr="00C60ED1" w:rsidRDefault="003D7E62">
            <w:pPr>
              <w:ind w:left="113"/>
              <w:rPr>
                <w:rFonts w:eastAsia="Calibri"/>
                <w:sz w:val="22"/>
                <w:szCs w:val="22"/>
                <w:lang w:val="sk-SK" w:eastAsia="en-US"/>
              </w:rPr>
            </w:pPr>
            <w:r w:rsidRPr="00C60ED1">
              <w:rPr>
                <w:sz w:val="22"/>
                <w:szCs w:val="22"/>
                <w:lang w:val="sk-SK"/>
              </w:rPr>
              <w:t xml:space="preserve">Formulár na potvrdenie o pravidelnom informovaní pacientky, musí byť použitý pri začiatku liečby a pri každoročnom špecialistom uskutočnenom prehodnocovaní liečby </w:t>
            </w:r>
            <w:proofErr w:type="spellStart"/>
            <w:r w:rsidRPr="00C60ED1">
              <w:rPr>
                <w:sz w:val="22"/>
                <w:szCs w:val="22"/>
                <w:lang w:val="sk-SK"/>
              </w:rPr>
              <w:t>valpro</w:t>
            </w:r>
            <w:r w:rsidR="002513E8" w:rsidRPr="00C60ED1">
              <w:rPr>
                <w:sz w:val="22"/>
                <w:szCs w:val="22"/>
                <w:lang w:val="sk-SK"/>
              </w:rPr>
              <w:t>át</w:t>
            </w:r>
            <w:r w:rsidRPr="00C60ED1">
              <w:rPr>
                <w:sz w:val="22"/>
                <w:szCs w:val="22"/>
                <w:lang w:val="sk-SK"/>
              </w:rPr>
              <w:t>om</w:t>
            </w:r>
            <w:proofErr w:type="spellEnd"/>
            <w:r w:rsidRPr="00C60ED1">
              <w:rPr>
                <w:sz w:val="22"/>
                <w:szCs w:val="22"/>
                <w:lang w:val="sk-SK"/>
              </w:rPr>
              <w:t>.</w:t>
            </w:r>
          </w:p>
        </w:tc>
      </w:tr>
    </w:tbl>
    <w:p w14:paraId="297A5348" w14:textId="24E2238F" w:rsidR="004A5F4A" w:rsidRPr="00C60ED1" w:rsidRDefault="004A5F4A" w:rsidP="00C50996">
      <w:pPr>
        <w:tabs>
          <w:tab w:val="left" w:pos="0"/>
        </w:tabs>
        <w:rPr>
          <w:sz w:val="22"/>
          <w:szCs w:val="22"/>
          <w:lang w:val="sk-SK"/>
        </w:rPr>
      </w:pPr>
    </w:p>
    <w:p w14:paraId="3F2F4611" w14:textId="77777777" w:rsidR="00D62B1B" w:rsidRPr="00C60ED1" w:rsidRDefault="00D62B1B" w:rsidP="00C50996">
      <w:pPr>
        <w:keepNext/>
        <w:tabs>
          <w:tab w:val="left" w:pos="0"/>
        </w:tabs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Poznámka:</w:t>
      </w:r>
    </w:p>
    <w:p w14:paraId="139FDA03" w14:textId="4F09372C" w:rsidR="00D62B1B" w:rsidRPr="00C60ED1" w:rsidRDefault="00D62B1B" w:rsidP="00C50996">
      <w:pPr>
        <w:pStyle w:val="Zarkazkladnhotextu"/>
        <w:keepNext/>
        <w:keepLines w:val="0"/>
        <w:tabs>
          <w:tab w:val="left" w:pos="0"/>
        </w:tabs>
        <w:ind w:left="0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V niektorých štúdiách </w:t>
      </w:r>
      <w:r w:rsidRPr="00C60ED1">
        <w:rPr>
          <w:i/>
          <w:sz w:val="22"/>
          <w:szCs w:val="22"/>
          <w:lang w:val="sk-SK"/>
        </w:rPr>
        <w:t>in vitro</w:t>
      </w:r>
      <w:r w:rsidRPr="00C60ED1">
        <w:rPr>
          <w:sz w:val="22"/>
          <w:szCs w:val="22"/>
          <w:lang w:val="sk-SK"/>
        </w:rPr>
        <w:t xml:space="preserve"> sa ukázalo, že </w:t>
      </w:r>
      <w:r w:rsidR="00AE7AAF" w:rsidRPr="00C60ED1">
        <w:rPr>
          <w:sz w:val="22"/>
          <w:szCs w:val="22"/>
          <w:lang w:val="sk-SK"/>
        </w:rPr>
        <w:t>v</w:t>
      </w:r>
      <w:r w:rsidR="00AE7AAF" w:rsidRPr="00C60ED1">
        <w:rPr>
          <w:sz w:val="22"/>
          <w:szCs w:val="22"/>
          <w:lang w:val="sk-SK" w:eastAsia="sk-SK"/>
        </w:rPr>
        <w:t>alpro</w:t>
      </w:r>
      <w:r w:rsidR="002513E8" w:rsidRPr="00C60ED1">
        <w:rPr>
          <w:sz w:val="22"/>
          <w:szCs w:val="22"/>
          <w:lang w:val="sk-SK" w:eastAsia="sk-SK"/>
        </w:rPr>
        <w:t>át</w:t>
      </w:r>
      <w:r w:rsidR="00AE7AAF" w:rsidRPr="00C60ED1">
        <w:rPr>
          <w:sz w:val="22"/>
          <w:szCs w:val="22"/>
          <w:lang w:val="sk-SK" w:eastAsia="sk-SK"/>
        </w:rPr>
        <w:t xml:space="preserve"> sodný </w:t>
      </w:r>
      <w:r w:rsidRPr="00C60ED1">
        <w:rPr>
          <w:sz w:val="22"/>
          <w:szCs w:val="22"/>
          <w:lang w:val="sk-SK"/>
        </w:rPr>
        <w:t>stimuluje replikáciu vírusu</w:t>
      </w:r>
      <w:r w:rsidR="004B1C0C" w:rsidRPr="00C60ED1">
        <w:rPr>
          <w:sz w:val="22"/>
          <w:szCs w:val="22"/>
          <w:lang w:val="sk-SK"/>
        </w:rPr>
        <w:t xml:space="preserve"> HIV</w:t>
      </w:r>
      <w:r w:rsidRPr="00C60ED1">
        <w:rPr>
          <w:sz w:val="22"/>
          <w:szCs w:val="22"/>
          <w:lang w:val="sk-SK"/>
        </w:rPr>
        <w:t xml:space="preserve">. Klinický význam tohto </w:t>
      </w:r>
      <w:r w:rsidR="009455E9" w:rsidRPr="00C60ED1">
        <w:rPr>
          <w:sz w:val="22"/>
          <w:szCs w:val="22"/>
          <w:lang w:val="sk-SK"/>
        </w:rPr>
        <w:t xml:space="preserve">javu </w:t>
      </w:r>
      <w:r w:rsidRPr="00C60ED1">
        <w:rPr>
          <w:sz w:val="22"/>
          <w:szCs w:val="22"/>
          <w:lang w:val="sk-SK"/>
        </w:rPr>
        <w:t>nie je známy.</w:t>
      </w:r>
    </w:p>
    <w:p w14:paraId="767B64C7" w14:textId="77777777" w:rsidR="00D62B1B" w:rsidRPr="00C60ED1" w:rsidRDefault="00D62B1B" w:rsidP="00C50996">
      <w:pPr>
        <w:pStyle w:val="Zarkazkladnhotextu"/>
        <w:keepLines w:val="0"/>
        <w:tabs>
          <w:tab w:val="left" w:pos="0"/>
        </w:tabs>
        <w:ind w:left="0"/>
        <w:rPr>
          <w:sz w:val="22"/>
          <w:szCs w:val="22"/>
          <w:lang w:val="sk-SK"/>
        </w:rPr>
      </w:pPr>
    </w:p>
    <w:p w14:paraId="76D60F44" w14:textId="77777777" w:rsidR="00D62B1B" w:rsidRPr="00C60ED1" w:rsidRDefault="00D62B1B" w:rsidP="00C50996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C60ED1">
        <w:rPr>
          <w:b/>
          <w:sz w:val="22"/>
          <w:szCs w:val="22"/>
          <w:lang w:val="sk-SK"/>
        </w:rPr>
        <w:t>4.5</w:t>
      </w:r>
      <w:r w:rsidRPr="00C60ED1">
        <w:rPr>
          <w:b/>
          <w:sz w:val="22"/>
          <w:szCs w:val="22"/>
          <w:lang w:val="sk-SK"/>
        </w:rPr>
        <w:tab/>
        <w:t>Liekové a iné interakcie</w:t>
      </w:r>
    </w:p>
    <w:p w14:paraId="66285AC2" w14:textId="77777777" w:rsidR="00824516" w:rsidRPr="00C60ED1" w:rsidRDefault="00824516" w:rsidP="00C50996">
      <w:pPr>
        <w:keepNext/>
        <w:tabs>
          <w:tab w:val="left" w:pos="426"/>
        </w:tabs>
        <w:rPr>
          <w:b/>
          <w:sz w:val="22"/>
          <w:szCs w:val="22"/>
          <w:lang w:val="sk-SK"/>
        </w:rPr>
      </w:pPr>
    </w:p>
    <w:p w14:paraId="4E36E356" w14:textId="39CB2176" w:rsidR="00C50996" w:rsidRPr="00C60ED1" w:rsidRDefault="001E3DE7" w:rsidP="00C50996">
      <w:pPr>
        <w:keepNext/>
        <w:keepLines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Pri kombinácii </w:t>
      </w:r>
      <w:r w:rsidR="00AE7AAF" w:rsidRPr="00C60ED1">
        <w:rPr>
          <w:sz w:val="22"/>
          <w:szCs w:val="22"/>
          <w:lang w:val="sk-SK"/>
        </w:rPr>
        <w:t>valpro</w:t>
      </w:r>
      <w:r w:rsidR="002513E8" w:rsidRPr="00C60ED1">
        <w:rPr>
          <w:sz w:val="22"/>
          <w:szCs w:val="22"/>
          <w:lang w:val="sk-SK"/>
        </w:rPr>
        <w:t>át</w:t>
      </w:r>
      <w:r w:rsidR="00AE7AAF" w:rsidRPr="00C60ED1">
        <w:rPr>
          <w:sz w:val="22"/>
          <w:szCs w:val="22"/>
          <w:lang w:val="sk-SK"/>
        </w:rPr>
        <w:t xml:space="preserve">u sodného </w:t>
      </w:r>
      <w:r w:rsidR="00D62B1B" w:rsidRPr="00C60ED1">
        <w:rPr>
          <w:sz w:val="22"/>
          <w:szCs w:val="22"/>
          <w:lang w:val="sk-SK"/>
        </w:rPr>
        <w:t>s inými antiepileptikami je možné obojstranné ovplyvnenie plazmatických hladín: antiepileptiká, ktoré indukujú vznik enzýmov, ako fenobarbital, fenytoín a karbamazepín môžu viesť k zvýšené</w:t>
      </w:r>
      <w:r w:rsidRPr="00C60ED1">
        <w:rPr>
          <w:sz w:val="22"/>
          <w:szCs w:val="22"/>
          <w:lang w:val="sk-SK"/>
        </w:rPr>
        <w:t xml:space="preserve">mu vylučovaniu </w:t>
      </w:r>
      <w:r w:rsidR="00AE7AAF" w:rsidRPr="00C60ED1">
        <w:rPr>
          <w:sz w:val="22"/>
          <w:szCs w:val="22"/>
          <w:lang w:val="sk-SK"/>
        </w:rPr>
        <w:t>v</w:t>
      </w:r>
      <w:r w:rsidR="00AE7AAF" w:rsidRPr="00C60ED1">
        <w:rPr>
          <w:sz w:val="22"/>
          <w:szCs w:val="22"/>
          <w:lang w:val="sk-SK" w:eastAsia="sk-SK"/>
        </w:rPr>
        <w:t>alpro</w:t>
      </w:r>
      <w:r w:rsidR="00751FEF" w:rsidRPr="00C60ED1">
        <w:rPr>
          <w:sz w:val="22"/>
          <w:szCs w:val="22"/>
          <w:lang w:val="sk-SK" w:eastAsia="sk-SK"/>
        </w:rPr>
        <w:t>átu</w:t>
      </w:r>
      <w:r w:rsidR="00AE7AAF" w:rsidRPr="00C60ED1">
        <w:rPr>
          <w:sz w:val="22"/>
          <w:szCs w:val="22"/>
          <w:lang w:val="sk-SK" w:eastAsia="sk-SK"/>
        </w:rPr>
        <w:t xml:space="preserve"> sodného </w:t>
      </w:r>
      <w:r w:rsidR="00D62B1B" w:rsidRPr="00C60ED1">
        <w:rPr>
          <w:sz w:val="22"/>
          <w:szCs w:val="22"/>
          <w:lang w:val="sk-SK"/>
        </w:rPr>
        <w:t>a tým znižovať jeho účinnosť. Sú</w:t>
      </w:r>
      <w:r w:rsidR="00824516" w:rsidRPr="00C60ED1">
        <w:rPr>
          <w:sz w:val="22"/>
          <w:szCs w:val="22"/>
          <w:lang w:val="sk-SK"/>
        </w:rPr>
        <w:t>bežné</w:t>
      </w:r>
      <w:r w:rsidR="00D62B1B" w:rsidRPr="00C60ED1">
        <w:rPr>
          <w:sz w:val="22"/>
          <w:szCs w:val="22"/>
          <w:lang w:val="sk-SK"/>
        </w:rPr>
        <w:t xml:space="preserve"> užívanie s indukujúcimi liekmi môže zvýšiť riziko </w:t>
      </w:r>
      <w:proofErr w:type="spellStart"/>
      <w:r w:rsidR="00D62B1B" w:rsidRPr="00C60ED1">
        <w:rPr>
          <w:sz w:val="22"/>
          <w:szCs w:val="22"/>
          <w:lang w:val="sk-SK"/>
        </w:rPr>
        <w:t>hepatotoxicity</w:t>
      </w:r>
      <w:proofErr w:type="spellEnd"/>
      <w:r w:rsidR="00D62B1B" w:rsidRPr="00C60ED1">
        <w:rPr>
          <w:sz w:val="22"/>
          <w:szCs w:val="22"/>
          <w:lang w:val="sk-SK"/>
        </w:rPr>
        <w:t xml:space="preserve"> a </w:t>
      </w:r>
      <w:proofErr w:type="spellStart"/>
      <w:r w:rsidR="00D62B1B" w:rsidRPr="00C60ED1">
        <w:rPr>
          <w:sz w:val="22"/>
          <w:szCs w:val="22"/>
          <w:lang w:val="sk-SK"/>
        </w:rPr>
        <w:t>hyperamon</w:t>
      </w:r>
      <w:r w:rsidR="009455E9" w:rsidRPr="00C60ED1">
        <w:rPr>
          <w:sz w:val="22"/>
          <w:szCs w:val="22"/>
          <w:lang w:val="sk-SK"/>
        </w:rPr>
        <w:t>i</w:t>
      </w:r>
      <w:r w:rsidR="00D62B1B" w:rsidRPr="00C60ED1">
        <w:rPr>
          <w:sz w:val="22"/>
          <w:szCs w:val="22"/>
          <w:lang w:val="sk-SK"/>
        </w:rPr>
        <w:t>émie</w:t>
      </w:r>
      <w:proofErr w:type="spellEnd"/>
      <w:r w:rsidR="00D62B1B" w:rsidRPr="00C60ED1">
        <w:rPr>
          <w:sz w:val="22"/>
          <w:szCs w:val="22"/>
          <w:lang w:val="sk-SK"/>
        </w:rPr>
        <w:t>.</w:t>
      </w:r>
    </w:p>
    <w:p w14:paraId="30D4C316" w14:textId="40CF845C" w:rsidR="00D62B1B" w:rsidRPr="00C60ED1" w:rsidRDefault="00D62B1B" w:rsidP="00C50996">
      <w:pPr>
        <w:keepLines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Felbamát zvyšuje v závislosti na dávke plazmatickú koncentráciu </w:t>
      </w:r>
      <w:r w:rsidR="00AE7AAF" w:rsidRPr="00C60ED1">
        <w:rPr>
          <w:sz w:val="22"/>
          <w:szCs w:val="22"/>
          <w:lang w:val="sk-SK"/>
        </w:rPr>
        <w:t>v</w:t>
      </w:r>
      <w:r w:rsidR="00AE7AAF" w:rsidRPr="00C60ED1">
        <w:rPr>
          <w:sz w:val="22"/>
          <w:szCs w:val="22"/>
          <w:lang w:val="sk-SK" w:eastAsia="sk-SK"/>
        </w:rPr>
        <w:t>alpro</w:t>
      </w:r>
      <w:r w:rsidR="00751FEF" w:rsidRPr="00C60ED1">
        <w:rPr>
          <w:sz w:val="22"/>
          <w:szCs w:val="22"/>
          <w:lang w:val="sk-SK" w:eastAsia="sk-SK"/>
        </w:rPr>
        <w:t>át</w:t>
      </w:r>
      <w:r w:rsidR="00AE7AAF" w:rsidRPr="00C60ED1">
        <w:rPr>
          <w:sz w:val="22"/>
          <w:szCs w:val="22"/>
          <w:lang w:val="sk-SK" w:eastAsia="sk-SK"/>
        </w:rPr>
        <w:t xml:space="preserve">u sodného </w:t>
      </w:r>
      <w:r w:rsidRPr="00C60ED1">
        <w:rPr>
          <w:sz w:val="22"/>
          <w:szCs w:val="22"/>
          <w:lang w:val="sk-SK"/>
        </w:rPr>
        <w:t>lineárne o 18 %.</w:t>
      </w:r>
    </w:p>
    <w:p w14:paraId="3DE5650B" w14:textId="741584C0" w:rsidR="00D62B1B" w:rsidRPr="00C60ED1" w:rsidRDefault="00D62B1B" w:rsidP="00C50996">
      <w:pPr>
        <w:keepLines/>
        <w:rPr>
          <w:sz w:val="22"/>
          <w:szCs w:val="22"/>
          <w:lang w:val="sk-SK"/>
        </w:rPr>
      </w:pPr>
      <w:proofErr w:type="spellStart"/>
      <w:r w:rsidRPr="00C60ED1">
        <w:rPr>
          <w:sz w:val="22"/>
          <w:szCs w:val="22"/>
          <w:lang w:val="sk-SK"/>
        </w:rPr>
        <w:t>Mefloquin</w:t>
      </w:r>
      <w:proofErr w:type="spellEnd"/>
      <w:r w:rsidRPr="00C60ED1">
        <w:rPr>
          <w:sz w:val="22"/>
          <w:szCs w:val="22"/>
          <w:lang w:val="sk-SK"/>
        </w:rPr>
        <w:t xml:space="preserve"> zvyšuje odbúravanie </w:t>
      </w:r>
      <w:r w:rsidR="00AE7AAF" w:rsidRPr="00C60ED1">
        <w:rPr>
          <w:sz w:val="22"/>
          <w:szCs w:val="22"/>
          <w:lang w:val="sk-SK"/>
        </w:rPr>
        <w:t>v</w:t>
      </w:r>
      <w:r w:rsidR="00AE7AAF" w:rsidRPr="00C60ED1">
        <w:rPr>
          <w:sz w:val="22"/>
          <w:szCs w:val="22"/>
          <w:lang w:val="sk-SK" w:eastAsia="sk-SK"/>
        </w:rPr>
        <w:t>alpro</w:t>
      </w:r>
      <w:r w:rsidR="00751FEF" w:rsidRPr="00C60ED1">
        <w:rPr>
          <w:sz w:val="22"/>
          <w:szCs w:val="22"/>
          <w:lang w:val="sk-SK" w:eastAsia="sk-SK"/>
        </w:rPr>
        <w:t>át</w:t>
      </w:r>
      <w:r w:rsidR="00AE7AAF" w:rsidRPr="00C60ED1">
        <w:rPr>
          <w:sz w:val="22"/>
          <w:szCs w:val="22"/>
          <w:lang w:val="sk-SK" w:eastAsia="sk-SK"/>
        </w:rPr>
        <w:t xml:space="preserve">u sodného, </w:t>
      </w:r>
      <w:r w:rsidRPr="00C60ED1">
        <w:rPr>
          <w:sz w:val="22"/>
          <w:szCs w:val="22"/>
          <w:lang w:val="sk-SK"/>
        </w:rPr>
        <w:t>a tým obmedzuje je</w:t>
      </w:r>
      <w:r w:rsidR="00934F0E" w:rsidRPr="00C60ED1">
        <w:rPr>
          <w:sz w:val="22"/>
          <w:szCs w:val="22"/>
          <w:lang w:val="sk-SK"/>
        </w:rPr>
        <w:t>ho</w:t>
      </w:r>
      <w:r w:rsidRPr="00C60ED1">
        <w:rPr>
          <w:sz w:val="22"/>
          <w:szCs w:val="22"/>
          <w:lang w:val="sk-SK"/>
        </w:rPr>
        <w:t xml:space="preserve"> </w:t>
      </w:r>
      <w:proofErr w:type="spellStart"/>
      <w:r w:rsidRPr="00C60ED1">
        <w:rPr>
          <w:sz w:val="22"/>
          <w:szCs w:val="22"/>
          <w:lang w:val="sk-SK"/>
        </w:rPr>
        <w:t>protizáchvatovú</w:t>
      </w:r>
      <w:proofErr w:type="spellEnd"/>
      <w:r w:rsidRPr="00C60ED1">
        <w:rPr>
          <w:sz w:val="22"/>
          <w:szCs w:val="22"/>
          <w:lang w:val="sk-SK"/>
        </w:rPr>
        <w:t xml:space="preserve"> účinnosť. Ich sú</w:t>
      </w:r>
      <w:r w:rsidR="00824516" w:rsidRPr="00C60ED1">
        <w:rPr>
          <w:sz w:val="22"/>
          <w:szCs w:val="22"/>
          <w:lang w:val="sk-SK"/>
        </w:rPr>
        <w:t>bež</w:t>
      </w:r>
      <w:r w:rsidRPr="00C60ED1">
        <w:rPr>
          <w:sz w:val="22"/>
          <w:szCs w:val="22"/>
          <w:lang w:val="sk-SK"/>
        </w:rPr>
        <w:t>né podávanie môže preto viesť k vyvolaniu epileptických záchvatov.</w:t>
      </w:r>
    </w:p>
    <w:p w14:paraId="640429EA" w14:textId="7892B6F4" w:rsidR="00D62B1B" w:rsidRPr="00C60ED1" w:rsidRDefault="00D62B1B" w:rsidP="00C50996">
      <w:pPr>
        <w:keepLines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Sérová koncentrácia </w:t>
      </w:r>
      <w:r w:rsidR="00AE7AAF" w:rsidRPr="00C60ED1">
        <w:rPr>
          <w:sz w:val="22"/>
          <w:szCs w:val="22"/>
          <w:lang w:val="sk-SK"/>
        </w:rPr>
        <w:t>v</w:t>
      </w:r>
      <w:r w:rsidR="00AE7AAF" w:rsidRPr="00C60ED1">
        <w:rPr>
          <w:sz w:val="22"/>
          <w:szCs w:val="22"/>
          <w:lang w:val="sk-SK" w:eastAsia="sk-SK"/>
        </w:rPr>
        <w:t>alpro</w:t>
      </w:r>
      <w:r w:rsidR="00751FEF" w:rsidRPr="00C60ED1">
        <w:rPr>
          <w:sz w:val="22"/>
          <w:szCs w:val="22"/>
          <w:lang w:val="sk-SK" w:eastAsia="sk-SK"/>
        </w:rPr>
        <w:t>át</w:t>
      </w:r>
      <w:r w:rsidR="00AE7AAF" w:rsidRPr="00C60ED1">
        <w:rPr>
          <w:sz w:val="22"/>
          <w:szCs w:val="22"/>
          <w:lang w:val="sk-SK" w:eastAsia="sk-SK"/>
        </w:rPr>
        <w:t xml:space="preserve">u sodného </w:t>
      </w:r>
      <w:r w:rsidRPr="00C60ED1">
        <w:rPr>
          <w:sz w:val="22"/>
          <w:szCs w:val="22"/>
          <w:lang w:val="sk-SK"/>
        </w:rPr>
        <w:t>môže byť zvýšená sú</w:t>
      </w:r>
      <w:r w:rsidR="00824516" w:rsidRPr="00C60ED1">
        <w:rPr>
          <w:sz w:val="22"/>
          <w:szCs w:val="22"/>
          <w:lang w:val="sk-SK"/>
        </w:rPr>
        <w:t>bežným</w:t>
      </w:r>
      <w:r w:rsidRPr="00C60ED1">
        <w:rPr>
          <w:sz w:val="22"/>
          <w:szCs w:val="22"/>
          <w:lang w:val="sk-SK"/>
        </w:rPr>
        <w:t xml:space="preserve"> podávaním </w:t>
      </w:r>
      <w:proofErr w:type="spellStart"/>
      <w:r w:rsidRPr="00C60ED1">
        <w:rPr>
          <w:sz w:val="22"/>
          <w:szCs w:val="22"/>
          <w:lang w:val="sk-SK"/>
        </w:rPr>
        <w:t>cimetidínu</w:t>
      </w:r>
      <w:proofErr w:type="spellEnd"/>
      <w:r w:rsidRPr="00C60ED1">
        <w:rPr>
          <w:sz w:val="22"/>
          <w:szCs w:val="22"/>
          <w:lang w:val="sk-SK"/>
        </w:rPr>
        <w:t xml:space="preserve">, </w:t>
      </w:r>
      <w:proofErr w:type="spellStart"/>
      <w:r w:rsidRPr="00C60ED1">
        <w:rPr>
          <w:sz w:val="22"/>
          <w:szCs w:val="22"/>
          <w:lang w:val="sk-SK"/>
        </w:rPr>
        <w:t>fluoxetínu</w:t>
      </w:r>
      <w:proofErr w:type="spellEnd"/>
      <w:r w:rsidRPr="00C60ED1">
        <w:rPr>
          <w:sz w:val="22"/>
          <w:szCs w:val="22"/>
          <w:lang w:val="sk-SK"/>
        </w:rPr>
        <w:t xml:space="preserve"> a </w:t>
      </w:r>
      <w:proofErr w:type="spellStart"/>
      <w:r w:rsidRPr="00C60ED1">
        <w:rPr>
          <w:sz w:val="22"/>
          <w:szCs w:val="22"/>
          <w:lang w:val="sk-SK"/>
        </w:rPr>
        <w:t>erytromycínu</w:t>
      </w:r>
      <w:proofErr w:type="spellEnd"/>
      <w:r w:rsidRPr="00C60ED1">
        <w:rPr>
          <w:sz w:val="22"/>
          <w:szCs w:val="22"/>
          <w:lang w:val="sk-SK"/>
        </w:rPr>
        <w:t>.</w:t>
      </w:r>
    </w:p>
    <w:p w14:paraId="4CC2DC7F" w14:textId="70CA3F04" w:rsidR="00D62B1B" w:rsidRPr="00C60ED1" w:rsidRDefault="00417922" w:rsidP="00C50996">
      <w:pPr>
        <w:pStyle w:val="Zkladntext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Sú</w:t>
      </w:r>
      <w:r w:rsidR="00824516" w:rsidRPr="00C60ED1">
        <w:rPr>
          <w:sz w:val="22"/>
          <w:szCs w:val="22"/>
          <w:lang w:val="sk-SK"/>
        </w:rPr>
        <w:t>bežné</w:t>
      </w:r>
      <w:r w:rsidRPr="00C60ED1">
        <w:rPr>
          <w:sz w:val="22"/>
          <w:szCs w:val="22"/>
          <w:lang w:val="sk-SK"/>
        </w:rPr>
        <w:t xml:space="preserve"> podávanie </w:t>
      </w:r>
      <w:r w:rsidR="00AE7AAF" w:rsidRPr="00C60ED1">
        <w:rPr>
          <w:sz w:val="22"/>
          <w:szCs w:val="22"/>
          <w:lang w:val="sk-SK"/>
        </w:rPr>
        <w:t>v</w:t>
      </w:r>
      <w:r w:rsidR="00AE7AAF" w:rsidRPr="00C60ED1">
        <w:rPr>
          <w:sz w:val="22"/>
          <w:szCs w:val="22"/>
          <w:lang w:val="sk-SK" w:eastAsia="sk-SK"/>
        </w:rPr>
        <w:t>alpro</w:t>
      </w:r>
      <w:r w:rsidR="00751FEF" w:rsidRPr="00C60ED1">
        <w:rPr>
          <w:sz w:val="22"/>
          <w:szCs w:val="22"/>
          <w:lang w:val="sk-SK" w:eastAsia="sk-SK"/>
        </w:rPr>
        <w:t>át</w:t>
      </w:r>
      <w:r w:rsidR="00AE7AAF" w:rsidRPr="00C60ED1">
        <w:rPr>
          <w:sz w:val="22"/>
          <w:szCs w:val="22"/>
          <w:lang w:val="sk-SK" w:eastAsia="sk-SK"/>
        </w:rPr>
        <w:t xml:space="preserve">u sodného </w:t>
      </w:r>
      <w:r w:rsidRPr="00C60ED1">
        <w:rPr>
          <w:sz w:val="22"/>
          <w:szCs w:val="22"/>
          <w:lang w:val="sk-SK"/>
        </w:rPr>
        <w:t xml:space="preserve">a karbapenémov spôsobilo zníženie hladiny </w:t>
      </w:r>
      <w:r w:rsidR="00AE7AAF" w:rsidRPr="00C60ED1">
        <w:rPr>
          <w:sz w:val="22"/>
          <w:szCs w:val="22"/>
          <w:lang w:val="sk-SK"/>
        </w:rPr>
        <w:t>v</w:t>
      </w:r>
      <w:r w:rsidR="00AE7AAF" w:rsidRPr="00C60ED1">
        <w:rPr>
          <w:sz w:val="22"/>
          <w:szCs w:val="22"/>
          <w:lang w:val="sk-SK" w:eastAsia="sk-SK"/>
        </w:rPr>
        <w:t>alpro</w:t>
      </w:r>
      <w:r w:rsidR="00751FEF" w:rsidRPr="00C60ED1">
        <w:rPr>
          <w:sz w:val="22"/>
          <w:szCs w:val="22"/>
          <w:lang w:val="sk-SK" w:eastAsia="sk-SK"/>
        </w:rPr>
        <w:t>át</w:t>
      </w:r>
      <w:r w:rsidR="00AE7AAF" w:rsidRPr="00C60ED1">
        <w:rPr>
          <w:sz w:val="22"/>
          <w:szCs w:val="22"/>
          <w:lang w:val="sk-SK" w:eastAsia="sk-SK"/>
        </w:rPr>
        <w:t xml:space="preserve">u sodného </w:t>
      </w:r>
      <w:r w:rsidRPr="00C60ED1">
        <w:rPr>
          <w:sz w:val="22"/>
          <w:szCs w:val="22"/>
          <w:lang w:val="sk-SK"/>
        </w:rPr>
        <w:t>v krvi ( 60 – 100 % zníženie v priebehu dvoch dní). Z dôvodu rýchleho nástupu a rozsahu tohto poklesu sa sú</w:t>
      </w:r>
      <w:r w:rsidR="00824516" w:rsidRPr="00C60ED1">
        <w:rPr>
          <w:sz w:val="22"/>
          <w:szCs w:val="22"/>
          <w:lang w:val="sk-SK"/>
        </w:rPr>
        <w:t>bežné</w:t>
      </w:r>
      <w:r w:rsidRPr="00C60ED1">
        <w:rPr>
          <w:sz w:val="22"/>
          <w:szCs w:val="22"/>
          <w:lang w:val="sk-SK"/>
        </w:rPr>
        <w:t xml:space="preserve"> podávanie karbapenémov u pacientov stabilizovaných na </w:t>
      </w:r>
      <w:proofErr w:type="spellStart"/>
      <w:r w:rsidR="00AE7AAF" w:rsidRPr="00C60ED1">
        <w:rPr>
          <w:sz w:val="22"/>
          <w:szCs w:val="22"/>
          <w:lang w:val="sk-SK"/>
        </w:rPr>
        <w:t>v</w:t>
      </w:r>
      <w:r w:rsidR="00AE7AAF" w:rsidRPr="00C60ED1">
        <w:rPr>
          <w:sz w:val="22"/>
          <w:szCs w:val="22"/>
          <w:lang w:val="sk-SK" w:eastAsia="sk-SK"/>
        </w:rPr>
        <w:t>alpro</w:t>
      </w:r>
      <w:r w:rsidR="00751FEF" w:rsidRPr="00C60ED1">
        <w:rPr>
          <w:sz w:val="22"/>
          <w:szCs w:val="22"/>
          <w:lang w:val="sk-SK" w:eastAsia="sk-SK"/>
        </w:rPr>
        <w:t>áte</w:t>
      </w:r>
      <w:proofErr w:type="spellEnd"/>
      <w:r w:rsidR="00AE7AAF" w:rsidRPr="00C60ED1">
        <w:rPr>
          <w:sz w:val="22"/>
          <w:szCs w:val="22"/>
          <w:lang w:val="sk-SK" w:eastAsia="sk-SK"/>
        </w:rPr>
        <w:t xml:space="preserve"> sodnom </w:t>
      </w:r>
      <w:r w:rsidRPr="00C60ED1">
        <w:rPr>
          <w:sz w:val="22"/>
          <w:szCs w:val="22"/>
          <w:lang w:val="sk-SK"/>
        </w:rPr>
        <w:t xml:space="preserve">nepovažuje za zvládnuteľné, preto je potrebné </w:t>
      </w:r>
      <w:r w:rsidR="00A341AE" w:rsidRPr="00C60ED1">
        <w:rPr>
          <w:sz w:val="22"/>
          <w:szCs w:val="22"/>
          <w:lang w:val="sk-SK"/>
        </w:rPr>
        <w:t xml:space="preserve">sa mu </w:t>
      </w:r>
      <w:r w:rsidRPr="00C60ED1">
        <w:rPr>
          <w:sz w:val="22"/>
          <w:szCs w:val="22"/>
          <w:lang w:val="sk-SK"/>
        </w:rPr>
        <w:t xml:space="preserve">vyhnúť (pozri časť 4.4.). </w:t>
      </w:r>
    </w:p>
    <w:p w14:paraId="6A91E534" w14:textId="77777777" w:rsidR="00D62B1B" w:rsidRPr="00C60ED1" w:rsidRDefault="00D62B1B" w:rsidP="00C50996">
      <w:pPr>
        <w:keepLines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V kombinovanej liečbe s lítiom je potrebné pravidelné sle</w:t>
      </w:r>
      <w:r w:rsidR="009B15BE" w:rsidRPr="00C60ED1">
        <w:rPr>
          <w:sz w:val="22"/>
          <w:szCs w:val="22"/>
          <w:lang w:val="sk-SK"/>
        </w:rPr>
        <w:t>dovanie koncentrácií oboch lieči</w:t>
      </w:r>
      <w:r w:rsidRPr="00C60ED1">
        <w:rPr>
          <w:sz w:val="22"/>
          <w:szCs w:val="22"/>
          <w:lang w:val="sk-SK"/>
        </w:rPr>
        <w:t>v v plazme.</w:t>
      </w:r>
    </w:p>
    <w:p w14:paraId="7A12D966" w14:textId="77777777" w:rsidR="00D62B1B" w:rsidRPr="00C60ED1" w:rsidRDefault="00D62B1B" w:rsidP="00C50996">
      <w:pPr>
        <w:suppressAutoHyphens/>
        <w:rPr>
          <w:sz w:val="22"/>
          <w:szCs w:val="22"/>
          <w:lang w:val="sk-SK"/>
        </w:rPr>
      </w:pPr>
    </w:p>
    <w:p w14:paraId="402B1245" w14:textId="48CD650B" w:rsidR="00D62B1B" w:rsidRPr="00C60ED1" w:rsidRDefault="00D62B1B" w:rsidP="00C50996">
      <w:pPr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Predovšetkým klinicky významné je zvýšenie koncentrácie fenobarbitalu pri sú</w:t>
      </w:r>
      <w:r w:rsidR="00824516" w:rsidRPr="00C60ED1">
        <w:rPr>
          <w:sz w:val="22"/>
          <w:szCs w:val="22"/>
          <w:lang w:val="sk-SK"/>
        </w:rPr>
        <w:t>bežnom</w:t>
      </w:r>
      <w:r w:rsidR="009446D7" w:rsidRPr="00C60ED1">
        <w:rPr>
          <w:sz w:val="22"/>
          <w:szCs w:val="22"/>
          <w:lang w:val="sk-SK"/>
        </w:rPr>
        <w:t xml:space="preserve"> podávaní </w:t>
      </w:r>
      <w:r w:rsidR="00AE7AAF" w:rsidRPr="00C60ED1">
        <w:rPr>
          <w:sz w:val="22"/>
          <w:szCs w:val="22"/>
          <w:lang w:val="sk-SK"/>
        </w:rPr>
        <w:t>v</w:t>
      </w:r>
      <w:r w:rsidR="00AE7AAF" w:rsidRPr="00C60ED1">
        <w:rPr>
          <w:sz w:val="22"/>
          <w:szCs w:val="22"/>
          <w:lang w:val="sk-SK" w:eastAsia="sk-SK"/>
        </w:rPr>
        <w:t>alpro</w:t>
      </w:r>
      <w:r w:rsidR="00751FEF" w:rsidRPr="00C60ED1">
        <w:rPr>
          <w:sz w:val="22"/>
          <w:szCs w:val="22"/>
          <w:lang w:val="sk-SK" w:eastAsia="sk-SK"/>
        </w:rPr>
        <w:t>átu</w:t>
      </w:r>
      <w:r w:rsidR="00AE7AAF" w:rsidRPr="00C60ED1">
        <w:rPr>
          <w:sz w:val="22"/>
          <w:szCs w:val="22"/>
          <w:lang w:val="sk-SK" w:eastAsia="sk-SK"/>
        </w:rPr>
        <w:t xml:space="preserve"> sodného</w:t>
      </w:r>
      <w:r w:rsidRPr="00C60ED1">
        <w:rPr>
          <w:sz w:val="22"/>
          <w:szCs w:val="22"/>
          <w:lang w:val="sk-SK"/>
        </w:rPr>
        <w:t>, čo sa prejavuje silným zvýšením sedatívneho účinku. V takýchto prípadoch treba znížiť dávkovanie fenobarbitalu alebo primidónu (</w:t>
      </w:r>
      <w:proofErr w:type="spellStart"/>
      <w:r w:rsidRPr="00C60ED1">
        <w:rPr>
          <w:sz w:val="22"/>
          <w:szCs w:val="22"/>
          <w:lang w:val="sk-SK"/>
        </w:rPr>
        <w:t>primidón</w:t>
      </w:r>
      <w:proofErr w:type="spellEnd"/>
      <w:r w:rsidRPr="00C60ED1">
        <w:rPr>
          <w:sz w:val="22"/>
          <w:szCs w:val="22"/>
          <w:lang w:val="sk-SK"/>
        </w:rPr>
        <w:t xml:space="preserve"> sa </w:t>
      </w:r>
      <w:r w:rsidR="00417922" w:rsidRPr="00C60ED1">
        <w:rPr>
          <w:sz w:val="22"/>
          <w:szCs w:val="22"/>
          <w:lang w:val="sk-SK"/>
        </w:rPr>
        <w:t xml:space="preserve">čiastočne </w:t>
      </w:r>
      <w:r w:rsidRPr="00C60ED1">
        <w:rPr>
          <w:sz w:val="22"/>
          <w:szCs w:val="22"/>
          <w:lang w:val="sk-SK"/>
        </w:rPr>
        <w:t xml:space="preserve">metabolizuje </w:t>
      </w:r>
      <w:r w:rsidR="00DA11F1" w:rsidRPr="00C60ED1">
        <w:rPr>
          <w:sz w:val="22"/>
          <w:szCs w:val="22"/>
          <w:lang w:val="sk-SK"/>
        </w:rPr>
        <w:t xml:space="preserve">na </w:t>
      </w:r>
      <w:r w:rsidRPr="00C60ED1">
        <w:rPr>
          <w:sz w:val="22"/>
          <w:szCs w:val="22"/>
          <w:lang w:val="sk-SK"/>
        </w:rPr>
        <w:t>fenobarbital).</w:t>
      </w:r>
      <w:r w:rsidR="00417922" w:rsidRPr="00C60ED1">
        <w:rPr>
          <w:sz w:val="22"/>
          <w:szCs w:val="22"/>
          <w:lang w:val="sk-SK"/>
        </w:rPr>
        <w:t xml:space="preserve"> </w:t>
      </w:r>
      <w:r w:rsidR="00AE7AAF" w:rsidRPr="00C60ED1">
        <w:rPr>
          <w:sz w:val="22"/>
          <w:szCs w:val="22"/>
          <w:lang w:val="sk-SK"/>
        </w:rPr>
        <w:t>V</w:t>
      </w:r>
      <w:r w:rsidR="00AE7AAF" w:rsidRPr="00C60ED1">
        <w:rPr>
          <w:sz w:val="22"/>
          <w:szCs w:val="22"/>
          <w:lang w:val="sk-SK" w:eastAsia="sk-SK"/>
        </w:rPr>
        <w:t>alpr</w:t>
      </w:r>
      <w:r w:rsidR="00751FEF" w:rsidRPr="00C60ED1">
        <w:rPr>
          <w:sz w:val="22"/>
          <w:szCs w:val="22"/>
          <w:lang w:val="sk-SK" w:eastAsia="sk-SK"/>
        </w:rPr>
        <w:t>oát</w:t>
      </w:r>
      <w:r w:rsidR="00AE7AAF" w:rsidRPr="00C60ED1">
        <w:rPr>
          <w:sz w:val="22"/>
          <w:szCs w:val="22"/>
          <w:lang w:val="sk-SK" w:eastAsia="sk-SK"/>
        </w:rPr>
        <w:t xml:space="preserve"> sodný </w:t>
      </w:r>
      <w:r w:rsidRPr="00C60ED1">
        <w:rPr>
          <w:sz w:val="22"/>
          <w:szCs w:val="22"/>
          <w:lang w:val="sk-SK"/>
        </w:rPr>
        <w:t>môže spôsobiť prechodné značné zvýšenie hladín voľného (neviazaného) fenytoínu, ale výsledkom sú</w:t>
      </w:r>
      <w:r w:rsidR="00824516" w:rsidRPr="00C60ED1">
        <w:rPr>
          <w:sz w:val="22"/>
          <w:szCs w:val="22"/>
          <w:lang w:val="sk-SK"/>
        </w:rPr>
        <w:t>bež</w:t>
      </w:r>
      <w:r w:rsidRPr="00C60ED1">
        <w:rPr>
          <w:sz w:val="22"/>
          <w:szCs w:val="22"/>
          <w:lang w:val="sk-SK"/>
        </w:rPr>
        <w:t xml:space="preserve">ného užívania sa celkové hladiny fenytoínu znížia. Toto však zvyčajne nie je klinicky významné, keďže množstvo voľného fenytoínu zostáva dostatočné. </w:t>
      </w:r>
      <w:r w:rsidR="00AE7AAF" w:rsidRPr="00C60ED1">
        <w:rPr>
          <w:sz w:val="22"/>
          <w:szCs w:val="22"/>
          <w:lang w:val="sk-SK"/>
        </w:rPr>
        <w:t>V</w:t>
      </w:r>
      <w:r w:rsidR="00AE7AAF" w:rsidRPr="00C60ED1">
        <w:rPr>
          <w:sz w:val="22"/>
          <w:szCs w:val="22"/>
          <w:lang w:val="sk-SK" w:eastAsia="sk-SK"/>
        </w:rPr>
        <w:t>alpro</w:t>
      </w:r>
      <w:r w:rsidR="00751FEF" w:rsidRPr="00C60ED1">
        <w:rPr>
          <w:sz w:val="22"/>
          <w:szCs w:val="22"/>
          <w:lang w:val="sk-SK" w:eastAsia="sk-SK"/>
        </w:rPr>
        <w:t>át</w:t>
      </w:r>
      <w:r w:rsidR="00AE7AAF" w:rsidRPr="00C60ED1">
        <w:rPr>
          <w:sz w:val="22"/>
          <w:szCs w:val="22"/>
          <w:lang w:val="sk-SK" w:eastAsia="sk-SK"/>
        </w:rPr>
        <w:t xml:space="preserve"> sodný </w:t>
      </w:r>
      <w:r w:rsidRPr="00C60ED1">
        <w:rPr>
          <w:sz w:val="22"/>
          <w:szCs w:val="22"/>
          <w:lang w:val="sk-SK"/>
        </w:rPr>
        <w:t>môže zvýšiť hladiny karbamazepín-10,11-epoxidu na toxickú úroveň, hoci je hladina karbamazepínu v terapeutickom rozsahu. Pri sú</w:t>
      </w:r>
      <w:r w:rsidR="00824516" w:rsidRPr="00C60ED1">
        <w:rPr>
          <w:sz w:val="22"/>
          <w:szCs w:val="22"/>
          <w:lang w:val="sk-SK"/>
        </w:rPr>
        <w:t>bež</w:t>
      </w:r>
      <w:r w:rsidRPr="00C60ED1">
        <w:rPr>
          <w:sz w:val="22"/>
          <w:szCs w:val="22"/>
          <w:lang w:val="sk-SK"/>
        </w:rPr>
        <w:t xml:space="preserve">nom užívaní sa môže výrazne zvýšiť hladina </w:t>
      </w:r>
      <w:proofErr w:type="spellStart"/>
      <w:r w:rsidRPr="00C60ED1">
        <w:rPr>
          <w:sz w:val="22"/>
          <w:szCs w:val="22"/>
          <w:lang w:val="sk-SK"/>
        </w:rPr>
        <w:t>nimodipínu</w:t>
      </w:r>
      <w:proofErr w:type="spellEnd"/>
      <w:r w:rsidRPr="00C60ED1">
        <w:rPr>
          <w:sz w:val="22"/>
          <w:szCs w:val="22"/>
          <w:lang w:val="sk-SK"/>
        </w:rPr>
        <w:t xml:space="preserve"> kvôli brzdeniu metabolizmu. Ovplyvnený je aj metabolizmus a väzba na plazmatické bielkoviny aj u iných účinných látok ako je napr. kodeín.</w:t>
      </w:r>
    </w:p>
    <w:p w14:paraId="4F68B06A" w14:textId="77777777" w:rsidR="00D62B1B" w:rsidRPr="00C60ED1" w:rsidRDefault="00D62B1B" w:rsidP="00C50996">
      <w:pPr>
        <w:tabs>
          <w:tab w:val="left" w:pos="426"/>
        </w:tabs>
        <w:rPr>
          <w:sz w:val="22"/>
          <w:szCs w:val="22"/>
          <w:lang w:val="sk-SK"/>
        </w:rPr>
      </w:pPr>
    </w:p>
    <w:p w14:paraId="7E44BA0E" w14:textId="0AAA2274" w:rsidR="00D62B1B" w:rsidRPr="00C60ED1" w:rsidRDefault="00D62B1B" w:rsidP="00C50996">
      <w:pPr>
        <w:tabs>
          <w:tab w:val="left" w:pos="426"/>
        </w:tabs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V kombinácii s barbiturátmi, </w:t>
      </w:r>
      <w:proofErr w:type="spellStart"/>
      <w:r w:rsidRPr="00C60ED1">
        <w:rPr>
          <w:sz w:val="22"/>
          <w:szCs w:val="22"/>
          <w:lang w:val="sk-SK"/>
        </w:rPr>
        <w:t>benzodiazepínmi</w:t>
      </w:r>
      <w:proofErr w:type="spellEnd"/>
      <w:r w:rsidRPr="00C60ED1">
        <w:rPr>
          <w:sz w:val="22"/>
          <w:szCs w:val="22"/>
          <w:lang w:val="sk-SK"/>
        </w:rPr>
        <w:t xml:space="preserve"> (napr. </w:t>
      </w:r>
      <w:proofErr w:type="spellStart"/>
      <w:r w:rsidRPr="00C60ED1">
        <w:rPr>
          <w:sz w:val="22"/>
          <w:szCs w:val="22"/>
          <w:lang w:val="sk-SK"/>
        </w:rPr>
        <w:t>diazepam</w:t>
      </w:r>
      <w:proofErr w:type="spellEnd"/>
      <w:r w:rsidRPr="00C60ED1">
        <w:rPr>
          <w:sz w:val="22"/>
          <w:szCs w:val="22"/>
          <w:lang w:val="sk-SK"/>
        </w:rPr>
        <w:t xml:space="preserve">, </w:t>
      </w:r>
      <w:proofErr w:type="spellStart"/>
      <w:r w:rsidRPr="00C60ED1">
        <w:rPr>
          <w:sz w:val="22"/>
          <w:szCs w:val="22"/>
          <w:lang w:val="sk-SK"/>
        </w:rPr>
        <w:t>lorazepam</w:t>
      </w:r>
      <w:proofErr w:type="spellEnd"/>
      <w:r w:rsidRPr="00C60ED1">
        <w:rPr>
          <w:sz w:val="22"/>
          <w:szCs w:val="22"/>
          <w:lang w:val="sk-SK"/>
        </w:rPr>
        <w:t xml:space="preserve">, </w:t>
      </w:r>
      <w:r w:rsidR="004D0EFA" w:rsidRPr="00C60ED1">
        <w:rPr>
          <w:sz w:val="22"/>
          <w:szCs w:val="22"/>
          <w:lang w:val="sk-SK"/>
        </w:rPr>
        <w:t>k</w:t>
      </w:r>
      <w:r w:rsidRPr="00C60ED1">
        <w:rPr>
          <w:sz w:val="22"/>
          <w:szCs w:val="22"/>
          <w:lang w:val="sk-SK"/>
        </w:rPr>
        <w:t xml:space="preserve">lonazepam), </w:t>
      </w:r>
      <w:proofErr w:type="spellStart"/>
      <w:r w:rsidRPr="00C60ED1">
        <w:rPr>
          <w:sz w:val="22"/>
          <w:szCs w:val="22"/>
          <w:lang w:val="sk-SK"/>
        </w:rPr>
        <w:t>neuroleptikami</w:t>
      </w:r>
      <w:proofErr w:type="spellEnd"/>
      <w:r w:rsidRPr="00C60ED1">
        <w:rPr>
          <w:sz w:val="22"/>
          <w:szCs w:val="22"/>
          <w:lang w:val="sk-SK"/>
        </w:rPr>
        <w:t xml:space="preserve"> alebo </w:t>
      </w:r>
      <w:proofErr w:type="spellStart"/>
      <w:r w:rsidRPr="00C60ED1">
        <w:rPr>
          <w:sz w:val="22"/>
          <w:szCs w:val="22"/>
          <w:lang w:val="sk-SK"/>
        </w:rPr>
        <w:t>ant</w:t>
      </w:r>
      <w:r w:rsidR="009B15BE" w:rsidRPr="00C60ED1">
        <w:rPr>
          <w:sz w:val="22"/>
          <w:szCs w:val="22"/>
          <w:lang w:val="sk-SK"/>
        </w:rPr>
        <w:t>idepresívami</w:t>
      </w:r>
      <w:proofErr w:type="spellEnd"/>
      <w:r w:rsidR="009B15BE" w:rsidRPr="00C60ED1">
        <w:rPr>
          <w:sz w:val="22"/>
          <w:szCs w:val="22"/>
          <w:lang w:val="sk-SK"/>
        </w:rPr>
        <w:t xml:space="preserve"> môže </w:t>
      </w:r>
      <w:r w:rsidR="00AE7AAF" w:rsidRPr="00C60ED1">
        <w:rPr>
          <w:sz w:val="22"/>
          <w:szCs w:val="22"/>
          <w:lang w:val="sk-SK"/>
        </w:rPr>
        <w:t>v</w:t>
      </w:r>
      <w:r w:rsidR="00AE7AAF" w:rsidRPr="00C60ED1">
        <w:rPr>
          <w:sz w:val="22"/>
          <w:szCs w:val="22"/>
          <w:lang w:val="sk-SK" w:eastAsia="sk-SK"/>
        </w:rPr>
        <w:t>alpro</w:t>
      </w:r>
      <w:r w:rsidR="00751FEF" w:rsidRPr="00C60ED1">
        <w:rPr>
          <w:sz w:val="22"/>
          <w:szCs w:val="22"/>
          <w:lang w:val="sk-SK" w:eastAsia="sk-SK"/>
        </w:rPr>
        <w:t>át</w:t>
      </w:r>
      <w:r w:rsidR="00AE7AAF" w:rsidRPr="00C60ED1">
        <w:rPr>
          <w:sz w:val="22"/>
          <w:szCs w:val="22"/>
          <w:lang w:val="sk-SK" w:eastAsia="sk-SK"/>
        </w:rPr>
        <w:t xml:space="preserve"> sodný </w:t>
      </w:r>
      <w:r w:rsidRPr="00C60ED1">
        <w:rPr>
          <w:sz w:val="22"/>
          <w:szCs w:val="22"/>
          <w:lang w:val="sk-SK"/>
        </w:rPr>
        <w:t>zvyšovať ich centrálny tlmivý efekt.</w:t>
      </w:r>
    </w:p>
    <w:p w14:paraId="2DA2AC57" w14:textId="77777777" w:rsidR="00D62B1B" w:rsidRPr="00C60ED1" w:rsidRDefault="00D62B1B" w:rsidP="00C50996">
      <w:pPr>
        <w:tabs>
          <w:tab w:val="left" w:pos="426"/>
        </w:tabs>
        <w:rPr>
          <w:sz w:val="22"/>
          <w:szCs w:val="22"/>
          <w:lang w:val="sk-SK"/>
        </w:rPr>
      </w:pPr>
    </w:p>
    <w:p w14:paraId="09155652" w14:textId="50CD38D9" w:rsidR="00D62B1B" w:rsidRPr="00C60ED1" w:rsidRDefault="00D62B1B" w:rsidP="00C50996">
      <w:pPr>
        <w:tabs>
          <w:tab w:val="left" w:pos="426"/>
        </w:tabs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Pri sú</w:t>
      </w:r>
      <w:r w:rsidR="00824516" w:rsidRPr="00C60ED1">
        <w:rPr>
          <w:sz w:val="22"/>
          <w:szCs w:val="22"/>
          <w:lang w:val="sk-SK"/>
        </w:rPr>
        <w:t>bež</w:t>
      </w:r>
      <w:r w:rsidR="009B15BE" w:rsidRPr="00C60ED1">
        <w:rPr>
          <w:sz w:val="22"/>
          <w:szCs w:val="22"/>
          <w:lang w:val="sk-SK"/>
        </w:rPr>
        <w:t xml:space="preserve">nom podávaní </w:t>
      </w:r>
      <w:r w:rsidR="00AE7AAF" w:rsidRPr="00C60ED1">
        <w:rPr>
          <w:sz w:val="22"/>
          <w:szCs w:val="22"/>
          <w:lang w:val="sk-SK"/>
        </w:rPr>
        <w:t>v</w:t>
      </w:r>
      <w:r w:rsidR="00AE7AAF" w:rsidRPr="00C60ED1">
        <w:rPr>
          <w:sz w:val="22"/>
          <w:szCs w:val="22"/>
          <w:lang w:val="sk-SK" w:eastAsia="sk-SK"/>
        </w:rPr>
        <w:t>alpro</w:t>
      </w:r>
      <w:r w:rsidR="00751FEF" w:rsidRPr="00C60ED1">
        <w:rPr>
          <w:sz w:val="22"/>
          <w:szCs w:val="22"/>
          <w:lang w:val="sk-SK" w:eastAsia="sk-SK"/>
        </w:rPr>
        <w:t>átu</w:t>
      </w:r>
      <w:r w:rsidR="00AE7AAF" w:rsidRPr="00C60ED1">
        <w:rPr>
          <w:sz w:val="22"/>
          <w:szCs w:val="22"/>
          <w:lang w:val="sk-SK" w:eastAsia="sk-SK"/>
        </w:rPr>
        <w:t xml:space="preserve"> sodného </w:t>
      </w:r>
      <w:r w:rsidRPr="00C60ED1">
        <w:rPr>
          <w:sz w:val="22"/>
          <w:szCs w:val="22"/>
          <w:lang w:val="sk-SK"/>
        </w:rPr>
        <w:t xml:space="preserve">s </w:t>
      </w:r>
      <w:proofErr w:type="spellStart"/>
      <w:r w:rsidRPr="00C60ED1">
        <w:rPr>
          <w:sz w:val="22"/>
          <w:szCs w:val="22"/>
          <w:lang w:val="sk-SK"/>
        </w:rPr>
        <w:t>antikoagulanciami</w:t>
      </w:r>
      <w:proofErr w:type="spellEnd"/>
      <w:r w:rsidRPr="00C60ED1">
        <w:rPr>
          <w:sz w:val="22"/>
          <w:szCs w:val="22"/>
          <w:lang w:val="sk-SK"/>
        </w:rPr>
        <w:t xml:space="preserve"> alebo kyselinou </w:t>
      </w:r>
      <w:proofErr w:type="spellStart"/>
      <w:r w:rsidRPr="00C60ED1">
        <w:rPr>
          <w:sz w:val="22"/>
          <w:szCs w:val="22"/>
          <w:lang w:val="sk-SK"/>
        </w:rPr>
        <w:t>acetylsalicylovou</w:t>
      </w:r>
      <w:proofErr w:type="spellEnd"/>
      <w:r w:rsidRPr="00C60ED1">
        <w:rPr>
          <w:sz w:val="22"/>
          <w:szCs w:val="22"/>
          <w:lang w:val="sk-SK"/>
        </w:rPr>
        <w:t xml:space="preserve"> sa môže zvýšiť náchylnosť ku krvácaniu. Takisto kyselina acetylsalicylová znižuje väzbu </w:t>
      </w:r>
      <w:r w:rsidR="00AE7AAF" w:rsidRPr="00C60ED1">
        <w:rPr>
          <w:sz w:val="22"/>
          <w:szCs w:val="22"/>
          <w:lang w:val="sk-SK"/>
        </w:rPr>
        <w:t>v</w:t>
      </w:r>
      <w:r w:rsidR="00AE7AAF" w:rsidRPr="00C60ED1">
        <w:rPr>
          <w:sz w:val="22"/>
          <w:szCs w:val="22"/>
          <w:lang w:val="sk-SK" w:eastAsia="sk-SK"/>
        </w:rPr>
        <w:t>alpro</w:t>
      </w:r>
      <w:r w:rsidR="00751FEF" w:rsidRPr="00C60ED1">
        <w:rPr>
          <w:sz w:val="22"/>
          <w:szCs w:val="22"/>
          <w:lang w:val="sk-SK" w:eastAsia="sk-SK"/>
        </w:rPr>
        <w:t>át</w:t>
      </w:r>
      <w:r w:rsidR="00AE7AAF" w:rsidRPr="00C60ED1">
        <w:rPr>
          <w:sz w:val="22"/>
          <w:szCs w:val="22"/>
          <w:lang w:val="sk-SK" w:eastAsia="sk-SK"/>
        </w:rPr>
        <w:t xml:space="preserve">u sodného </w:t>
      </w:r>
      <w:r w:rsidRPr="00C60ED1">
        <w:rPr>
          <w:sz w:val="22"/>
          <w:szCs w:val="22"/>
          <w:lang w:val="sk-SK"/>
        </w:rPr>
        <w:t>na plazmatické bielkoviny. Preto sa pri sú</w:t>
      </w:r>
      <w:r w:rsidR="00824516" w:rsidRPr="00C60ED1">
        <w:rPr>
          <w:sz w:val="22"/>
          <w:szCs w:val="22"/>
          <w:lang w:val="sk-SK"/>
        </w:rPr>
        <w:t>bež</w:t>
      </w:r>
      <w:r w:rsidRPr="00C60ED1">
        <w:rPr>
          <w:sz w:val="22"/>
          <w:szCs w:val="22"/>
          <w:lang w:val="sk-SK"/>
        </w:rPr>
        <w:t>nom podávaní týchto liekov odporúčajú pravidelné kontroly krvných koagulačných parametrov. Sú</w:t>
      </w:r>
      <w:r w:rsidR="00824516" w:rsidRPr="00C60ED1">
        <w:rPr>
          <w:sz w:val="22"/>
          <w:szCs w:val="22"/>
          <w:lang w:val="sk-SK"/>
        </w:rPr>
        <w:t>bež</w:t>
      </w:r>
      <w:r w:rsidR="009446D7" w:rsidRPr="00C60ED1">
        <w:rPr>
          <w:sz w:val="22"/>
          <w:szCs w:val="22"/>
          <w:lang w:val="sk-SK"/>
        </w:rPr>
        <w:t xml:space="preserve">né podávanie </w:t>
      </w:r>
      <w:r w:rsidR="00AE7AAF" w:rsidRPr="00C60ED1">
        <w:rPr>
          <w:sz w:val="22"/>
          <w:szCs w:val="22"/>
          <w:lang w:val="sk-SK"/>
        </w:rPr>
        <w:t>v</w:t>
      </w:r>
      <w:r w:rsidR="00AE7AAF" w:rsidRPr="00C60ED1">
        <w:rPr>
          <w:sz w:val="22"/>
          <w:szCs w:val="22"/>
          <w:lang w:val="sk-SK" w:eastAsia="sk-SK"/>
        </w:rPr>
        <w:t>alpro</w:t>
      </w:r>
      <w:r w:rsidR="00751FEF" w:rsidRPr="00C60ED1">
        <w:rPr>
          <w:sz w:val="22"/>
          <w:szCs w:val="22"/>
          <w:lang w:val="sk-SK" w:eastAsia="sk-SK"/>
        </w:rPr>
        <w:t>át</w:t>
      </w:r>
      <w:r w:rsidR="00AE7AAF" w:rsidRPr="00C60ED1">
        <w:rPr>
          <w:sz w:val="22"/>
          <w:szCs w:val="22"/>
          <w:lang w:val="sk-SK" w:eastAsia="sk-SK"/>
        </w:rPr>
        <w:t xml:space="preserve">u sodného </w:t>
      </w:r>
      <w:r w:rsidRPr="00C60ED1">
        <w:rPr>
          <w:sz w:val="22"/>
          <w:szCs w:val="22"/>
          <w:lang w:val="sk-SK"/>
        </w:rPr>
        <w:t xml:space="preserve">a kyseliny </w:t>
      </w:r>
      <w:proofErr w:type="spellStart"/>
      <w:r w:rsidRPr="00C60ED1">
        <w:rPr>
          <w:sz w:val="22"/>
          <w:szCs w:val="22"/>
          <w:lang w:val="sk-SK"/>
        </w:rPr>
        <w:t>acetylsalicylovej</w:t>
      </w:r>
      <w:proofErr w:type="spellEnd"/>
      <w:r w:rsidRPr="00C60ED1">
        <w:rPr>
          <w:sz w:val="22"/>
          <w:szCs w:val="22"/>
          <w:lang w:val="sk-SK"/>
        </w:rPr>
        <w:t xml:space="preserve"> pri horúčkach a bolestiach treba vylúčiť obzvlášť u </w:t>
      </w:r>
      <w:r w:rsidR="004D0EFA" w:rsidRPr="00C60ED1">
        <w:rPr>
          <w:sz w:val="22"/>
          <w:szCs w:val="22"/>
          <w:lang w:val="sk-SK"/>
        </w:rPr>
        <w:t xml:space="preserve">dojčiat </w:t>
      </w:r>
      <w:r w:rsidRPr="00C60ED1">
        <w:rPr>
          <w:sz w:val="22"/>
          <w:szCs w:val="22"/>
          <w:lang w:val="sk-SK"/>
        </w:rPr>
        <w:t>a malých detí.</w:t>
      </w:r>
    </w:p>
    <w:p w14:paraId="18B1F132" w14:textId="77777777" w:rsidR="00C50996" w:rsidRPr="00C60ED1" w:rsidRDefault="00C50996" w:rsidP="00C50996">
      <w:pPr>
        <w:tabs>
          <w:tab w:val="left" w:pos="426"/>
        </w:tabs>
        <w:rPr>
          <w:sz w:val="22"/>
          <w:szCs w:val="22"/>
          <w:lang w:val="sk-SK"/>
        </w:rPr>
      </w:pPr>
    </w:p>
    <w:p w14:paraId="129D30C7" w14:textId="6C0AC08F" w:rsidR="00D62B1B" w:rsidRPr="00C60ED1" w:rsidRDefault="00AE7AAF" w:rsidP="00C50996">
      <w:pPr>
        <w:keepLines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V</w:t>
      </w:r>
      <w:r w:rsidRPr="00C60ED1">
        <w:rPr>
          <w:sz w:val="22"/>
          <w:szCs w:val="22"/>
          <w:lang w:val="sk-SK" w:eastAsia="sk-SK"/>
        </w:rPr>
        <w:t>alpro</w:t>
      </w:r>
      <w:r w:rsidR="00751FEF" w:rsidRPr="00C60ED1">
        <w:rPr>
          <w:sz w:val="22"/>
          <w:szCs w:val="22"/>
          <w:lang w:val="sk-SK" w:eastAsia="sk-SK"/>
        </w:rPr>
        <w:t>át</w:t>
      </w:r>
      <w:r w:rsidRPr="00C60ED1">
        <w:rPr>
          <w:sz w:val="22"/>
          <w:szCs w:val="22"/>
          <w:lang w:val="sk-SK" w:eastAsia="sk-SK"/>
        </w:rPr>
        <w:t xml:space="preserve"> sodný </w:t>
      </w:r>
      <w:proofErr w:type="spellStart"/>
      <w:r w:rsidR="002E6932" w:rsidRPr="00C60ED1">
        <w:rPr>
          <w:sz w:val="22"/>
          <w:szCs w:val="22"/>
          <w:lang w:val="sk-SK"/>
        </w:rPr>
        <w:t>inhibuje</w:t>
      </w:r>
      <w:proofErr w:type="spellEnd"/>
      <w:r w:rsidR="00D62B1B" w:rsidRPr="00C60ED1">
        <w:rPr>
          <w:sz w:val="22"/>
          <w:szCs w:val="22"/>
          <w:lang w:val="sk-SK"/>
        </w:rPr>
        <w:t xml:space="preserve"> metabolizmus lamotrigínu, preto sa pri sú</w:t>
      </w:r>
      <w:r w:rsidR="00824516" w:rsidRPr="00C60ED1">
        <w:rPr>
          <w:sz w:val="22"/>
          <w:szCs w:val="22"/>
          <w:lang w:val="sk-SK"/>
        </w:rPr>
        <w:t>bež</w:t>
      </w:r>
      <w:r w:rsidR="00D62B1B" w:rsidRPr="00C60ED1">
        <w:rPr>
          <w:sz w:val="22"/>
          <w:szCs w:val="22"/>
          <w:lang w:val="sk-SK"/>
        </w:rPr>
        <w:t>nom užívaní musí znížiť dávkovanie lamotrigínu.</w:t>
      </w:r>
    </w:p>
    <w:p w14:paraId="3365037B" w14:textId="738A2515" w:rsidR="00D62B1B" w:rsidRPr="00C60ED1" w:rsidRDefault="00D62B1B" w:rsidP="00C50996">
      <w:pPr>
        <w:keepLines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Zdá sa, že pri kombinovanej liečbe liekmi obsahujúcimi </w:t>
      </w:r>
      <w:r w:rsidR="00AE7AAF" w:rsidRPr="00C60ED1">
        <w:rPr>
          <w:sz w:val="22"/>
          <w:szCs w:val="22"/>
          <w:lang w:val="sk-SK"/>
        </w:rPr>
        <w:t>v</w:t>
      </w:r>
      <w:r w:rsidR="00AE7AAF" w:rsidRPr="00C60ED1">
        <w:rPr>
          <w:sz w:val="22"/>
          <w:szCs w:val="22"/>
          <w:lang w:val="sk-SK" w:eastAsia="sk-SK"/>
        </w:rPr>
        <w:t>alpro</w:t>
      </w:r>
      <w:r w:rsidR="00751FEF" w:rsidRPr="00C60ED1">
        <w:rPr>
          <w:sz w:val="22"/>
          <w:szCs w:val="22"/>
          <w:lang w:val="sk-SK" w:eastAsia="sk-SK"/>
        </w:rPr>
        <w:t>át</w:t>
      </w:r>
      <w:r w:rsidR="00AE7AAF" w:rsidRPr="00C60ED1">
        <w:rPr>
          <w:sz w:val="22"/>
          <w:szCs w:val="22"/>
          <w:lang w:val="sk-SK" w:eastAsia="sk-SK"/>
        </w:rPr>
        <w:t xml:space="preserve"> sodný </w:t>
      </w:r>
      <w:r w:rsidRPr="00C60ED1">
        <w:rPr>
          <w:sz w:val="22"/>
          <w:szCs w:val="22"/>
          <w:lang w:val="sk-SK"/>
        </w:rPr>
        <w:t>a </w:t>
      </w:r>
      <w:proofErr w:type="spellStart"/>
      <w:r w:rsidRPr="00C60ED1">
        <w:rPr>
          <w:sz w:val="22"/>
          <w:szCs w:val="22"/>
          <w:lang w:val="sk-SK"/>
        </w:rPr>
        <w:t>lamotrigín</w:t>
      </w:r>
      <w:proofErr w:type="spellEnd"/>
      <w:r w:rsidRPr="00C60ED1">
        <w:rPr>
          <w:sz w:val="22"/>
          <w:szCs w:val="22"/>
          <w:lang w:val="sk-SK"/>
        </w:rPr>
        <w:t xml:space="preserve"> sa zvyšuje riziko kožných reakcií.</w:t>
      </w:r>
    </w:p>
    <w:p w14:paraId="45436092" w14:textId="77777777" w:rsidR="00D62B1B" w:rsidRPr="00C60ED1" w:rsidRDefault="00D62B1B" w:rsidP="00C50996">
      <w:pPr>
        <w:keepLines/>
        <w:rPr>
          <w:sz w:val="22"/>
          <w:szCs w:val="22"/>
          <w:lang w:val="sk-SK"/>
        </w:rPr>
      </w:pPr>
    </w:p>
    <w:p w14:paraId="44DCA78A" w14:textId="15BD8FA4" w:rsidR="00D62B1B" w:rsidRPr="00C60ED1" w:rsidRDefault="00AE7AAF" w:rsidP="00C50996">
      <w:pPr>
        <w:keepLines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lastRenderedPageBreak/>
        <w:t>V</w:t>
      </w:r>
      <w:r w:rsidRPr="00C60ED1">
        <w:rPr>
          <w:sz w:val="22"/>
          <w:szCs w:val="22"/>
          <w:lang w:val="sk-SK" w:eastAsia="sk-SK"/>
        </w:rPr>
        <w:t>alpro</w:t>
      </w:r>
      <w:r w:rsidR="00751FEF" w:rsidRPr="00C60ED1">
        <w:rPr>
          <w:sz w:val="22"/>
          <w:szCs w:val="22"/>
          <w:lang w:val="sk-SK" w:eastAsia="sk-SK"/>
        </w:rPr>
        <w:t>át</w:t>
      </w:r>
      <w:r w:rsidRPr="00C60ED1">
        <w:rPr>
          <w:sz w:val="22"/>
          <w:szCs w:val="22"/>
          <w:lang w:val="sk-SK" w:eastAsia="sk-SK"/>
        </w:rPr>
        <w:t xml:space="preserve"> sodný </w:t>
      </w:r>
      <w:r w:rsidR="00D62B1B" w:rsidRPr="00C60ED1">
        <w:rPr>
          <w:sz w:val="22"/>
          <w:szCs w:val="22"/>
          <w:lang w:val="sk-SK"/>
        </w:rPr>
        <w:t xml:space="preserve">zvyšuje koncentráciu </w:t>
      </w:r>
      <w:proofErr w:type="spellStart"/>
      <w:r w:rsidR="00D62B1B" w:rsidRPr="00C60ED1">
        <w:rPr>
          <w:sz w:val="22"/>
          <w:szCs w:val="22"/>
          <w:lang w:val="sk-SK"/>
        </w:rPr>
        <w:t>etosuximidu</w:t>
      </w:r>
      <w:proofErr w:type="spellEnd"/>
      <w:r w:rsidR="00D62B1B" w:rsidRPr="00C60ED1">
        <w:rPr>
          <w:sz w:val="22"/>
          <w:szCs w:val="22"/>
          <w:lang w:val="sk-SK"/>
        </w:rPr>
        <w:t xml:space="preserve"> v plazme, s rizikom nežiad</w:t>
      </w:r>
      <w:r w:rsidR="00BC63B0" w:rsidRPr="00C60ED1">
        <w:rPr>
          <w:sz w:val="22"/>
          <w:szCs w:val="22"/>
          <w:lang w:val="sk-SK"/>
        </w:rPr>
        <w:t>u</w:t>
      </w:r>
      <w:r w:rsidR="00D62B1B" w:rsidRPr="00C60ED1">
        <w:rPr>
          <w:sz w:val="22"/>
          <w:szCs w:val="22"/>
          <w:lang w:val="sk-SK"/>
        </w:rPr>
        <w:t xml:space="preserve">cich účinkov. Pri kombinovanej liečbe týmito dvoma liekmi sa odporúča kontrola plazmatických hladín </w:t>
      </w:r>
      <w:proofErr w:type="spellStart"/>
      <w:r w:rsidR="00D62B1B" w:rsidRPr="00C60ED1">
        <w:rPr>
          <w:sz w:val="22"/>
          <w:szCs w:val="22"/>
          <w:lang w:val="sk-SK"/>
        </w:rPr>
        <w:t>etosuximidu</w:t>
      </w:r>
      <w:proofErr w:type="spellEnd"/>
      <w:r w:rsidR="00D62B1B" w:rsidRPr="00C60ED1">
        <w:rPr>
          <w:sz w:val="22"/>
          <w:szCs w:val="22"/>
          <w:lang w:val="sk-SK"/>
        </w:rPr>
        <w:t>.</w:t>
      </w:r>
    </w:p>
    <w:p w14:paraId="6014458D" w14:textId="77777777" w:rsidR="00D62B1B" w:rsidRPr="00C60ED1" w:rsidRDefault="00D62B1B" w:rsidP="00C50996">
      <w:pPr>
        <w:keepLines/>
        <w:rPr>
          <w:sz w:val="22"/>
          <w:szCs w:val="22"/>
          <w:lang w:val="sk-SK"/>
        </w:rPr>
      </w:pPr>
    </w:p>
    <w:p w14:paraId="04BD2C0F" w14:textId="243C478B" w:rsidR="00D62B1B" w:rsidRPr="00C60ED1" w:rsidRDefault="00AE7AAF" w:rsidP="00C50996">
      <w:pPr>
        <w:keepLines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V</w:t>
      </w:r>
      <w:r w:rsidRPr="00C60ED1">
        <w:rPr>
          <w:sz w:val="22"/>
          <w:szCs w:val="22"/>
          <w:lang w:val="sk-SK" w:eastAsia="sk-SK"/>
        </w:rPr>
        <w:t>alpro</w:t>
      </w:r>
      <w:r w:rsidR="00751FEF" w:rsidRPr="00C60ED1">
        <w:rPr>
          <w:sz w:val="22"/>
          <w:szCs w:val="22"/>
          <w:lang w:val="sk-SK" w:eastAsia="sk-SK"/>
        </w:rPr>
        <w:t>át</w:t>
      </w:r>
      <w:r w:rsidRPr="00C60ED1">
        <w:rPr>
          <w:sz w:val="22"/>
          <w:szCs w:val="22"/>
          <w:lang w:val="sk-SK" w:eastAsia="sk-SK"/>
        </w:rPr>
        <w:t xml:space="preserve"> sodný </w:t>
      </w:r>
      <w:r w:rsidR="00D62B1B" w:rsidRPr="00C60ED1">
        <w:rPr>
          <w:sz w:val="22"/>
          <w:szCs w:val="22"/>
          <w:lang w:val="sk-SK"/>
        </w:rPr>
        <w:t>môže zvýšiť plazmatickú hladinu zidovudínu, so zvýšeným rizikom toxických reakcií.</w:t>
      </w:r>
    </w:p>
    <w:p w14:paraId="684FFC43" w14:textId="77777777" w:rsidR="00D62B1B" w:rsidRPr="00C60ED1" w:rsidRDefault="00D62B1B" w:rsidP="00C50996">
      <w:pPr>
        <w:keepLines/>
        <w:rPr>
          <w:sz w:val="22"/>
          <w:szCs w:val="22"/>
          <w:lang w:val="sk-SK"/>
        </w:rPr>
      </w:pPr>
    </w:p>
    <w:p w14:paraId="5F8D74BF" w14:textId="3791657B" w:rsidR="00D62B1B" w:rsidRPr="00C60ED1" w:rsidRDefault="00AE7AAF" w:rsidP="00C50996">
      <w:pPr>
        <w:keepLines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V</w:t>
      </w:r>
      <w:r w:rsidRPr="00C60ED1">
        <w:rPr>
          <w:sz w:val="22"/>
          <w:szCs w:val="22"/>
          <w:lang w:val="sk-SK" w:eastAsia="sk-SK"/>
        </w:rPr>
        <w:t>alpro</w:t>
      </w:r>
      <w:r w:rsidR="00751FEF" w:rsidRPr="00C60ED1">
        <w:rPr>
          <w:sz w:val="22"/>
          <w:szCs w:val="22"/>
          <w:lang w:val="sk-SK" w:eastAsia="sk-SK"/>
        </w:rPr>
        <w:t>át</w:t>
      </w:r>
      <w:r w:rsidRPr="00C60ED1">
        <w:rPr>
          <w:sz w:val="22"/>
          <w:szCs w:val="22"/>
          <w:lang w:val="sk-SK" w:eastAsia="sk-SK"/>
        </w:rPr>
        <w:t xml:space="preserve"> sodný </w:t>
      </w:r>
      <w:r w:rsidR="00D62B1B" w:rsidRPr="00C60ED1">
        <w:rPr>
          <w:sz w:val="22"/>
          <w:szCs w:val="22"/>
          <w:lang w:val="sk-SK"/>
        </w:rPr>
        <w:t>môže zvýšiť plazmatickú hladinu felbamátu o približne 50 %.</w:t>
      </w:r>
    </w:p>
    <w:p w14:paraId="50C4BE7E" w14:textId="77777777" w:rsidR="00D62B1B" w:rsidRPr="00C60ED1" w:rsidRDefault="00D62B1B" w:rsidP="00C50996">
      <w:pPr>
        <w:tabs>
          <w:tab w:val="left" w:pos="426"/>
        </w:tabs>
        <w:rPr>
          <w:sz w:val="22"/>
          <w:szCs w:val="22"/>
          <w:lang w:val="sk-SK"/>
        </w:rPr>
      </w:pPr>
    </w:p>
    <w:p w14:paraId="26CCD253" w14:textId="5FEEEC2F" w:rsidR="00D62B1B" w:rsidRPr="00C60ED1" w:rsidRDefault="00AE7AAF" w:rsidP="00C50996">
      <w:pPr>
        <w:tabs>
          <w:tab w:val="left" w:pos="426"/>
        </w:tabs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V</w:t>
      </w:r>
      <w:r w:rsidRPr="00C60ED1">
        <w:rPr>
          <w:sz w:val="22"/>
          <w:szCs w:val="22"/>
          <w:lang w:val="sk-SK" w:eastAsia="sk-SK"/>
        </w:rPr>
        <w:t>alpro</w:t>
      </w:r>
      <w:r w:rsidR="00751FEF" w:rsidRPr="00C60ED1">
        <w:rPr>
          <w:sz w:val="22"/>
          <w:szCs w:val="22"/>
          <w:lang w:val="sk-SK" w:eastAsia="sk-SK"/>
        </w:rPr>
        <w:t>át</w:t>
      </w:r>
      <w:r w:rsidRPr="00C60ED1">
        <w:rPr>
          <w:sz w:val="22"/>
          <w:szCs w:val="22"/>
          <w:lang w:val="sk-SK" w:eastAsia="sk-SK"/>
        </w:rPr>
        <w:t xml:space="preserve"> sodný </w:t>
      </w:r>
      <w:r w:rsidR="00D62B1B" w:rsidRPr="00C60ED1">
        <w:rPr>
          <w:sz w:val="22"/>
          <w:szCs w:val="22"/>
          <w:lang w:val="sk-SK"/>
        </w:rPr>
        <w:t xml:space="preserve">je čiastočne metabolizovaný </w:t>
      </w:r>
      <w:r w:rsidR="00635576" w:rsidRPr="00C60ED1">
        <w:rPr>
          <w:sz w:val="22"/>
          <w:szCs w:val="22"/>
          <w:lang w:val="sk-SK"/>
        </w:rPr>
        <w:t>na</w:t>
      </w:r>
      <w:r w:rsidR="00D62B1B" w:rsidRPr="00C60ED1">
        <w:rPr>
          <w:sz w:val="22"/>
          <w:szCs w:val="22"/>
          <w:lang w:val="sk-SK"/>
        </w:rPr>
        <w:t xml:space="preserve"> ketónové látky a preto u diabetikov môže viesť k podozreniu na </w:t>
      </w:r>
      <w:proofErr w:type="spellStart"/>
      <w:r w:rsidR="00D62B1B" w:rsidRPr="00C60ED1">
        <w:rPr>
          <w:sz w:val="22"/>
          <w:szCs w:val="22"/>
          <w:lang w:val="sk-SK"/>
        </w:rPr>
        <w:t>ketoacidózu</w:t>
      </w:r>
      <w:proofErr w:type="spellEnd"/>
      <w:r w:rsidR="00D62B1B" w:rsidRPr="00C60ED1">
        <w:rPr>
          <w:sz w:val="22"/>
          <w:szCs w:val="22"/>
          <w:lang w:val="sk-SK"/>
        </w:rPr>
        <w:t xml:space="preserve"> s falošne pozitívnym testom na určenie vylučovania </w:t>
      </w:r>
      <w:proofErr w:type="spellStart"/>
      <w:r w:rsidR="00D62B1B" w:rsidRPr="00C60ED1">
        <w:rPr>
          <w:sz w:val="22"/>
          <w:szCs w:val="22"/>
          <w:lang w:val="sk-SK"/>
        </w:rPr>
        <w:t>ketolátok</w:t>
      </w:r>
      <w:proofErr w:type="spellEnd"/>
      <w:r w:rsidR="00D62B1B" w:rsidRPr="00C60ED1">
        <w:rPr>
          <w:sz w:val="22"/>
          <w:szCs w:val="22"/>
          <w:lang w:val="sk-SK"/>
        </w:rPr>
        <w:t>.</w:t>
      </w:r>
    </w:p>
    <w:p w14:paraId="1AAD78DF" w14:textId="77777777" w:rsidR="00D62B1B" w:rsidRPr="00C60ED1" w:rsidRDefault="00D62B1B" w:rsidP="00C50996">
      <w:pPr>
        <w:tabs>
          <w:tab w:val="left" w:pos="426"/>
        </w:tabs>
        <w:rPr>
          <w:sz w:val="22"/>
          <w:szCs w:val="22"/>
          <w:lang w:val="sk-SK"/>
        </w:rPr>
      </w:pPr>
    </w:p>
    <w:p w14:paraId="0C02B7C4" w14:textId="6BE7B25F" w:rsidR="00D62B1B" w:rsidRPr="00C60ED1" w:rsidRDefault="00D62B1B" w:rsidP="00C50996">
      <w:pPr>
        <w:tabs>
          <w:tab w:val="left" w:pos="426"/>
        </w:tabs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U žien užívajúcich </w:t>
      </w:r>
      <w:r w:rsidR="00001482" w:rsidRPr="00C60ED1">
        <w:rPr>
          <w:sz w:val="22"/>
          <w:szCs w:val="22"/>
          <w:lang w:val="sk-SK"/>
        </w:rPr>
        <w:t>hormonál</w:t>
      </w:r>
      <w:r w:rsidR="00927827" w:rsidRPr="00C60ED1">
        <w:rPr>
          <w:sz w:val="22"/>
          <w:szCs w:val="22"/>
          <w:lang w:val="sk-SK"/>
        </w:rPr>
        <w:t>n</w:t>
      </w:r>
      <w:r w:rsidR="00001482" w:rsidRPr="00C60ED1">
        <w:rPr>
          <w:sz w:val="22"/>
          <w:szCs w:val="22"/>
          <w:lang w:val="sk-SK"/>
        </w:rPr>
        <w:t xml:space="preserve">u </w:t>
      </w:r>
      <w:r w:rsidR="009B15BE" w:rsidRPr="00C60ED1">
        <w:rPr>
          <w:sz w:val="22"/>
          <w:szCs w:val="22"/>
          <w:lang w:val="sk-SK"/>
        </w:rPr>
        <w:t>antikoncep</w:t>
      </w:r>
      <w:r w:rsidR="00001482" w:rsidRPr="00C60ED1">
        <w:rPr>
          <w:sz w:val="22"/>
          <w:szCs w:val="22"/>
          <w:lang w:val="sk-SK"/>
        </w:rPr>
        <w:t>ciu</w:t>
      </w:r>
      <w:r w:rsidRPr="00C60ED1">
        <w:rPr>
          <w:sz w:val="22"/>
          <w:szCs w:val="22"/>
          <w:lang w:val="sk-SK"/>
        </w:rPr>
        <w:t xml:space="preserve"> nebola zistená žiadna tendencia zníženia plazmatických koncentrácií per</w:t>
      </w:r>
      <w:r w:rsidR="009B15BE" w:rsidRPr="00C60ED1">
        <w:rPr>
          <w:sz w:val="22"/>
          <w:szCs w:val="22"/>
          <w:lang w:val="sk-SK"/>
        </w:rPr>
        <w:t>orálnych antikoncepčných lie</w:t>
      </w:r>
      <w:r w:rsidRPr="00C60ED1">
        <w:rPr>
          <w:sz w:val="22"/>
          <w:szCs w:val="22"/>
          <w:lang w:val="sk-SK"/>
        </w:rPr>
        <w:t>kov, keďže</w:t>
      </w:r>
      <w:r w:rsidR="002E6932" w:rsidRPr="00C60ED1">
        <w:rPr>
          <w:sz w:val="22"/>
          <w:szCs w:val="22"/>
          <w:lang w:val="sk-SK"/>
        </w:rPr>
        <w:t xml:space="preserve"> </w:t>
      </w:r>
      <w:r w:rsidR="00AE7AAF" w:rsidRPr="00C60ED1">
        <w:rPr>
          <w:sz w:val="22"/>
          <w:szCs w:val="22"/>
          <w:lang w:val="sk-SK"/>
        </w:rPr>
        <w:t>v</w:t>
      </w:r>
      <w:r w:rsidR="00AE7AAF" w:rsidRPr="00C60ED1">
        <w:rPr>
          <w:sz w:val="22"/>
          <w:szCs w:val="22"/>
          <w:lang w:val="sk-SK" w:eastAsia="sk-SK"/>
        </w:rPr>
        <w:t>alpro</w:t>
      </w:r>
      <w:r w:rsidR="00751FEF" w:rsidRPr="00C60ED1">
        <w:rPr>
          <w:sz w:val="22"/>
          <w:szCs w:val="22"/>
          <w:lang w:val="sk-SK" w:eastAsia="sk-SK"/>
        </w:rPr>
        <w:t>át</w:t>
      </w:r>
      <w:r w:rsidR="00AE7AAF" w:rsidRPr="00C60ED1">
        <w:rPr>
          <w:sz w:val="22"/>
          <w:szCs w:val="22"/>
          <w:lang w:val="sk-SK" w:eastAsia="sk-SK"/>
        </w:rPr>
        <w:t xml:space="preserve"> sodný </w:t>
      </w:r>
      <w:r w:rsidRPr="00C60ED1">
        <w:rPr>
          <w:sz w:val="22"/>
          <w:szCs w:val="22"/>
          <w:lang w:val="sk-SK"/>
        </w:rPr>
        <w:t xml:space="preserve">neindukuje </w:t>
      </w:r>
      <w:r w:rsidR="00001482" w:rsidRPr="00C60ED1">
        <w:rPr>
          <w:sz w:val="22"/>
          <w:szCs w:val="22"/>
          <w:lang w:val="sk-SK"/>
        </w:rPr>
        <w:t xml:space="preserve">aktivitu </w:t>
      </w:r>
      <w:r w:rsidRPr="00C60ED1">
        <w:rPr>
          <w:sz w:val="22"/>
          <w:szCs w:val="22"/>
          <w:lang w:val="sk-SK"/>
        </w:rPr>
        <w:t>žiadnych enzýmov.</w:t>
      </w:r>
    </w:p>
    <w:p w14:paraId="5F5088E2" w14:textId="77777777" w:rsidR="00D62B1B" w:rsidRPr="00C60ED1" w:rsidRDefault="00D62B1B" w:rsidP="00C50996">
      <w:pPr>
        <w:tabs>
          <w:tab w:val="left" w:pos="426"/>
        </w:tabs>
        <w:rPr>
          <w:sz w:val="22"/>
          <w:szCs w:val="22"/>
          <w:lang w:val="sk-SK"/>
        </w:rPr>
      </w:pPr>
    </w:p>
    <w:p w14:paraId="2FA02629" w14:textId="32B2C48C" w:rsidR="00D62B1B" w:rsidRPr="00C60ED1" w:rsidRDefault="00D62B1B" w:rsidP="00C50996">
      <w:pPr>
        <w:tabs>
          <w:tab w:val="left" w:pos="426"/>
        </w:tabs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Je možné, že potenciálne </w:t>
      </w:r>
      <w:proofErr w:type="spellStart"/>
      <w:r w:rsidRPr="00C60ED1">
        <w:rPr>
          <w:sz w:val="22"/>
          <w:szCs w:val="22"/>
          <w:lang w:val="sk-SK"/>
        </w:rPr>
        <w:t>hepatotoxické</w:t>
      </w:r>
      <w:proofErr w:type="spellEnd"/>
      <w:r w:rsidRPr="00C60ED1">
        <w:rPr>
          <w:sz w:val="22"/>
          <w:szCs w:val="22"/>
          <w:lang w:val="sk-SK"/>
        </w:rPr>
        <w:t xml:space="preserve"> látky, vrátane alkoholu, môžu zvyšovať </w:t>
      </w:r>
      <w:proofErr w:type="spellStart"/>
      <w:r w:rsidRPr="00C60ED1">
        <w:rPr>
          <w:sz w:val="22"/>
          <w:szCs w:val="22"/>
          <w:lang w:val="sk-SK"/>
        </w:rPr>
        <w:t>hepatotoxické</w:t>
      </w:r>
      <w:proofErr w:type="spellEnd"/>
      <w:r w:rsidRPr="00C60ED1">
        <w:rPr>
          <w:sz w:val="22"/>
          <w:szCs w:val="22"/>
          <w:lang w:val="sk-SK"/>
        </w:rPr>
        <w:t xml:space="preserve"> účinky </w:t>
      </w:r>
      <w:r w:rsidR="00AE7AAF" w:rsidRPr="00C60ED1">
        <w:rPr>
          <w:sz w:val="22"/>
          <w:szCs w:val="22"/>
          <w:lang w:val="sk-SK"/>
        </w:rPr>
        <w:t>v</w:t>
      </w:r>
      <w:r w:rsidR="00AE7AAF" w:rsidRPr="00C60ED1">
        <w:rPr>
          <w:sz w:val="22"/>
          <w:szCs w:val="22"/>
          <w:lang w:val="sk-SK" w:eastAsia="sk-SK"/>
        </w:rPr>
        <w:t>alpro</w:t>
      </w:r>
      <w:r w:rsidR="00751FEF" w:rsidRPr="00C60ED1">
        <w:rPr>
          <w:sz w:val="22"/>
          <w:szCs w:val="22"/>
          <w:lang w:val="sk-SK" w:eastAsia="sk-SK"/>
        </w:rPr>
        <w:t>át</w:t>
      </w:r>
      <w:r w:rsidR="00AE7AAF" w:rsidRPr="00C60ED1">
        <w:rPr>
          <w:sz w:val="22"/>
          <w:szCs w:val="22"/>
          <w:lang w:val="sk-SK" w:eastAsia="sk-SK"/>
        </w:rPr>
        <w:t>u sodného</w:t>
      </w:r>
      <w:r w:rsidRPr="00C60ED1">
        <w:rPr>
          <w:sz w:val="22"/>
          <w:szCs w:val="22"/>
          <w:lang w:val="sk-SK"/>
        </w:rPr>
        <w:t>.</w:t>
      </w:r>
    </w:p>
    <w:p w14:paraId="2DE4C77D" w14:textId="77777777" w:rsidR="00D62B1B" w:rsidRPr="00C60ED1" w:rsidRDefault="00D62B1B" w:rsidP="00C50996">
      <w:pPr>
        <w:tabs>
          <w:tab w:val="left" w:pos="426"/>
        </w:tabs>
        <w:rPr>
          <w:b/>
          <w:sz w:val="22"/>
          <w:szCs w:val="22"/>
          <w:lang w:val="sk-SK"/>
        </w:rPr>
      </w:pPr>
    </w:p>
    <w:p w14:paraId="3CC5E306" w14:textId="1032CD6D" w:rsidR="00D62B1B" w:rsidRPr="00C60ED1" w:rsidRDefault="009B15BE" w:rsidP="00C50996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C60ED1">
        <w:rPr>
          <w:b/>
          <w:sz w:val="22"/>
          <w:szCs w:val="22"/>
          <w:lang w:val="sk-SK"/>
        </w:rPr>
        <w:t>4.6</w:t>
      </w:r>
      <w:r w:rsidRPr="00C60ED1">
        <w:rPr>
          <w:b/>
          <w:sz w:val="22"/>
          <w:szCs w:val="22"/>
          <w:lang w:val="sk-SK"/>
        </w:rPr>
        <w:tab/>
      </w:r>
      <w:r w:rsidR="00037231" w:rsidRPr="00C60ED1">
        <w:rPr>
          <w:b/>
          <w:bCs/>
          <w:sz w:val="22"/>
          <w:szCs w:val="22"/>
          <w:lang w:val="sk-SK"/>
        </w:rPr>
        <w:t>Fertilita, g</w:t>
      </w:r>
      <w:r w:rsidRPr="00C60ED1">
        <w:rPr>
          <w:b/>
          <w:sz w:val="22"/>
          <w:szCs w:val="22"/>
          <w:lang w:val="sk-SK"/>
        </w:rPr>
        <w:t>ravidit</w:t>
      </w:r>
      <w:r w:rsidR="00001482" w:rsidRPr="00C60ED1">
        <w:rPr>
          <w:b/>
          <w:sz w:val="22"/>
          <w:szCs w:val="22"/>
          <w:lang w:val="sk-SK"/>
        </w:rPr>
        <w:t>a</w:t>
      </w:r>
      <w:r w:rsidR="00D62B1B" w:rsidRPr="00C60ED1">
        <w:rPr>
          <w:b/>
          <w:sz w:val="22"/>
          <w:szCs w:val="22"/>
          <w:lang w:val="sk-SK"/>
        </w:rPr>
        <w:t xml:space="preserve"> a</w:t>
      </w:r>
      <w:r w:rsidRPr="00C60ED1">
        <w:rPr>
          <w:b/>
          <w:sz w:val="22"/>
          <w:szCs w:val="22"/>
          <w:lang w:val="sk-SK"/>
        </w:rPr>
        <w:t> laktáci</w:t>
      </w:r>
      <w:r w:rsidR="00001482" w:rsidRPr="00C60ED1">
        <w:rPr>
          <w:b/>
          <w:sz w:val="22"/>
          <w:szCs w:val="22"/>
          <w:lang w:val="sk-SK"/>
        </w:rPr>
        <w:t>a</w:t>
      </w:r>
    </w:p>
    <w:p w14:paraId="4181537E" w14:textId="77777777" w:rsidR="00BB7E46" w:rsidRPr="00C60ED1" w:rsidRDefault="00BB7E46" w:rsidP="00C50996">
      <w:pPr>
        <w:keepNext/>
        <w:outlineLvl w:val="0"/>
        <w:rPr>
          <w:sz w:val="22"/>
          <w:szCs w:val="22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1"/>
      </w:tblGrid>
      <w:tr w:rsidR="00C60ED1" w:rsidRPr="00C60ED1" w14:paraId="333D3F26" w14:textId="77777777" w:rsidTr="00BF40AE">
        <w:tc>
          <w:tcPr>
            <w:tcW w:w="9211" w:type="dxa"/>
          </w:tcPr>
          <w:p w14:paraId="0E3F7376" w14:textId="118D97E9" w:rsidR="00BF40AE" w:rsidRPr="00C60ED1" w:rsidRDefault="00BF40AE" w:rsidP="00932456">
            <w:pPr>
              <w:outlineLvl w:val="0"/>
              <w:rPr>
                <w:sz w:val="22"/>
                <w:szCs w:val="22"/>
                <w:lang w:val="sk-SK"/>
              </w:rPr>
            </w:pPr>
            <w:r w:rsidRPr="00C60ED1">
              <w:rPr>
                <w:sz w:val="22"/>
                <w:szCs w:val="22"/>
                <w:lang w:val="sk-SK"/>
              </w:rPr>
              <w:t>Valpro</w:t>
            </w:r>
            <w:r w:rsidR="00751FEF" w:rsidRPr="00C60ED1">
              <w:rPr>
                <w:sz w:val="22"/>
                <w:szCs w:val="22"/>
                <w:lang w:val="sk-SK"/>
              </w:rPr>
              <w:t>át</w:t>
            </w:r>
            <w:r w:rsidRPr="00C60ED1">
              <w:rPr>
                <w:sz w:val="22"/>
                <w:szCs w:val="22"/>
                <w:lang w:val="sk-SK"/>
              </w:rPr>
              <w:t xml:space="preserve"> je kontraindikovaný na liečbu bipolárnej poruchy počas tehotenstva. Valpro</w:t>
            </w:r>
            <w:r w:rsidR="00751FEF" w:rsidRPr="00C60ED1">
              <w:rPr>
                <w:sz w:val="22"/>
                <w:szCs w:val="22"/>
                <w:lang w:val="sk-SK"/>
              </w:rPr>
              <w:t>át</w:t>
            </w:r>
            <w:r w:rsidRPr="00C60ED1">
              <w:rPr>
                <w:sz w:val="22"/>
                <w:szCs w:val="22"/>
                <w:lang w:val="sk-SK"/>
              </w:rPr>
              <w:t xml:space="preserve"> je kontraindikovaný na liečbu epilepsie počas tehotenstva, pokiaľ existuje iná alternatívna liečba epilepsie. Valpro</w:t>
            </w:r>
            <w:r w:rsidR="00751FEF" w:rsidRPr="00C60ED1">
              <w:rPr>
                <w:sz w:val="22"/>
                <w:szCs w:val="22"/>
                <w:lang w:val="sk-SK"/>
              </w:rPr>
              <w:t>át</w:t>
            </w:r>
            <w:r w:rsidRPr="00C60ED1">
              <w:rPr>
                <w:sz w:val="22"/>
                <w:szCs w:val="22"/>
                <w:lang w:val="sk-SK"/>
              </w:rPr>
              <w:t xml:space="preserve"> je kontraindikovaný u žien vo fertilnom veku, pokiaľ nie sú splnené podmienky Programu </w:t>
            </w:r>
            <w:r w:rsidR="00932456" w:rsidRPr="00C60ED1">
              <w:rPr>
                <w:sz w:val="22"/>
                <w:szCs w:val="22"/>
                <w:lang w:val="sk-SK"/>
              </w:rPr>
              <w:t>prevencie</w:t>
            </w:r>
            <w:r w:rsidRPr="00C60ED1">
              <w:rPr>
                <w:sz w:val="22"/>
                <w:szCs w:val="22"/>
                <w:lang w:val="sk-SK"/>
              </w:rPr>
              <w:t xml:space="preserve"> tehotenstva (pozri časti 4.3 a 4.4).</w:t>
            </w:r>
          </w:p>
        </w:tc>
      </w:tr>
    </w:tbl>
    <w:p w14:paraId="7F082C2E" w14:textId="77777777" w:rsidR="00BB7E46" w:rsidRPr="00C60ED1" w:rsidRDefault="00BB7E46" w:rsidP="00C50996">
      <w:pPr>
        <w:outlineLvl w:val="0"/>
        <w:rPr>
          <w:sz w:val="22"/>
          <w:szCs w:val="22"/>
          <w:lang w:val="sk-SK"/>
        </w:rPr>
      </w:pPr>
    </w:p>
    <w:p w14:paraId="7793E6AE" w14:textId="5C2EDF41" w:rsidR="00BB7E46" w:rsidRPr="00C60ED1" w:rsidRDefault="00BB7E46" w:rsidP="00C50996">
      <w:pPr>
        <w:keepNext/>
        <w:outlineLvl w:val="0"/>
        <w:rPr>
          <w:i/>
          <w:sz w:val="22"/>
          <w:szCs w:val="22"/>
          <w:lang w:val="sk-SK"/>
        </w:rPr>
      </w:pPr>
      <w:r w:rsidRPr="00C60ED1">
        <w:rPr>
          <w:i/>
          <w:sz w:val="22"/>
          <w:szCs w:val="22"/>
          <w:lang w:val="sk-SK"/>
        </w:rPr>
        <w:t>Gravidita a riziko spojené s užívaním valpro</w:t>
      </w:r>
      <w:r w:rsidR="00751FEF" w:rsidRPr="00C60ED1">
        <w:rPr>
          <w:i/>
          <w:sz w:val="22"/>
          <w:szCs w:val="22"/>
          <w:lang w:val="sk-SK"/>
        </w:rPr>
        <w:t>át</w:t>
      </w:r>
      <w:r w:rsidRPr="00C60ED1">
        <w:rPr>
          <w:i/>
          <w:sz w:val="22"/>
          <w:szCs w:val="22"/>
          <w:lang w:val="sk-SK"/>
        </w:rPr>
        <w:t>u</w:t>
      </w:r>
    </w:p>
    <w:p w14:paraId="000598BA" w14:textId="19FC3514" w:rsidR="0088250C" w:rsidRPr="00C60ED1" w:rsidRDefault="0088250C" w:rsidP="00C50996">
      <w:pPr>
        <w:keepNext/>
        <w:outlineLvl w:val="0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Užívanie valpro</w:t>
      </w:r>
      <w:r w:rsidR="00751FEF" w:rsidRPr="00C60ED1">
        <w:rPr>
          <w:sz w:val="22"/>
          <w:szCs w:val="22"/>
          <w:lang w:val="sk-SK"/>
        </w:rPr>
        <w:t>át</w:t>
      </w:r>
      <w:r w:rsidRPr="00C60ED1">
        <w:rPr>
          <w:sz w:val="22"/>
          <w:szCs w:val="22"/>
          <w:lang w:val="sk-SK"/>
        </w:rPr>
        <w:t xml:space="preserve">u samotného alebo v kombinácii s inými liekmi je spojené s poruchami u detí po narodení. Dostupné údaje naznačujú, že pri </w:t>
      </w:r>
      <w:proofErr w:type="spellStart"/>
      <w:r w:rsidRPr="00C60ED1">
        <w:rPr>
          <w:sz w:val="22"/>
          <w:szCs w:val="22"/>
          <w:lang w:val="sk-SK"/>
        </w:rPr>
        <w:t>antiepileptickej</w:t>
      </w:r>
      <w:proofErr w:type="spellEnd"/>
      <w:r w:rsidRPr="00C60ED1">
        <w:rPr>
          <w:sz w:val="22"/>
          <w:szCs w:val="22"/>
          <w:lang w:val="sk-SK"/>
        </w:rPr>
        <w:t xml:space="preserve"> </w:t>
      </w:r>
      <w:proofErr w:type="spellStart"/>
      <w:r w:rsidRPr="00C60ED1">
        <w:rPr>
          <w:sz w:val="22"/>
          <w:szCs w:val="22"/>
          <w:lang w:val="sk-SK"/>
        </w:rPr>
        <w:t>polyterapii</w:t>
      </w:r>
      <w:proofErr w:type="spellEnd"/>
      <w:r w:rsidRPr="00C60ED1">
        <w:rPr>
          <w:sz w:val="22"/>
          <w:szCs w:val="22"/>
          <w:lang w:val="sk-SK"/>
        </w:rPr>
        <w:t xml:space="preserve"> s </w:t>
      </w:r>
      <w:proofErr w:type="spellStart"/>
      <w:r w:rsidRPr="00C60ED1">
        <w:rPr>
          <w:sz w:val="22"/>
          <w:szCs w:val="22"/>
          <w:lang w:val="sk-SK"/>
        </w:rPr>
        <w:t>valpro</w:t>
      </w:r>
      <w:r w:rsidR="00751FEF" w:rsidRPr="00C60ED1">
        <w:rPr>
          <w:sz w:val="22"/>
          <w:szCs w:val="22"/>
          <w:lang w:val="sk-SK"/>
        </w:rPr>
        <w:t>áto</w:t>
      </w:r>
      <w:r w:rsidRPr="00C60ED1">
        <w:rPr>
          <w:sz w:val="22"/>
          <w:szCs w:val="22"/>
          <w:lang w:val="sk-SK"/>
        </w:rPr>
        <w:t>m</w:t>
      </w:r>
      <w:proofErr w:type="spellEnd"/>
      <w:r w:rsidRPr="00C60ED1">
        <w:rPr>
          <w:sz w:val="22"/>
          <w:szCs w:val="22"/>
          <w:lang w:val="sk-SK"/>
        </w:rPr>
        <w:t xml:space="preserve"> je vyššie riziko výskytu </w:t>
      </w:r>
      <w:proofErr w:type="spellStart"/>
      <w:r w:rsidRPr="00C60ED1">
        <w:rPr>
          <w:sz w:val="22"/>
          <w:szCs w:val="22"/>
          <w:lang w:val="sk-SK"/>
        </w:rPr>
        <w:t>kongenitálnych</w:t>
      </w:r>
      <w:proofErr w:type="spellEnd"/>
      <w:r w:rsidRPr="00C60ED1">
        <w:rPr>
          <w:sz w:val="22"/>
          <w:szCs w:val="22"/>
          <w:lang w:val="sk-SK"/>
        </w:rPr>
        <w:t xml:space="preserve"> </w:t>
      </w:r>
      <w:proofErr w:type="spellStart"/>
      <w:r w:rsidRPr="00C60ED1">
        <w:rPr>
          <w:sz w:val="22"/>
          <w:szCs w:val="22"/>
          <w:lang w:val="sk-SK"/>
        </w:rPr>
        <w:t>malformácií</w:t>
      </w:r>
      <w:proofErr w:type="spellEnd"/>
      <w:r w:rsidRPr="00C60ED1">
        <w:rPr>
          <w:sz w:val="22"/>
          <w:szCs w:val="22"/>
          <w:lang w:val="sk-SK"/>
        </w:rPr>
        <w:t xml:space="preserve"> ako pri užívaní valpro</w:t>
      </w:r>
      <w:r w:rsidR="00751FEF" w:rsidRPr="00C60ED1">
        <w:rPr>
          <w:sz w:val="22"/>
          <w:szCs w:val="22"/>
          <w:lang w:val="sk-SK"/>
        </w:rPr>
        <w:t>át</w:t>
      </w:r>
      <w:r w:rsidR="00AE7AAF" w:rsidRPr="00C60ED1">
        <w:rPr>
          <w:sz w:val="22"/>
          <w:szCs w:val="22"/>
          <w:lang w:val="sk-SK"/>
        </w:rPr>
        <w:t>u</w:t>
      </w:r>
      <w:r w:rsidRPr="00C60ED1">
        <w:rPr>
          <w:sz w:val="22"/>
          <w:szCs w:val="22"/>
          <w:lang w:val="sk-SK"/>
        </w:rPr>
        <w:t xml:space="preserve"> samotného.</w:t>
      </w:r>
    </w:p>
    <w:p w14:paraId="71C0C041" w14:textId="77777777" w:rsidR="00BB7E46" w:rsidRPr="00C60ED1" w:rsidRDefault="00BB7E46" w:rsidP="00C50996">
      <w:pPr>
        <w:outlineLvl w:val="0"/>
        <w:rPr>
          <w:sz w:val="22"/>
          <w:szCs w:val="22"/>
          <w:lang w:val="sk-SK"/>
        </w:rPr>
      </w:pPr>
    </w:p>
    <w:p w14:paraId="0A9C6FA9" w14:textId="77777777" w:rsidR="0088250C" w:rsidRPr="00C60ED1" w:rsidRDefault="0088250C" w:rsidP="00C50996">
      <w:pPr>
        <w:keepNext/>
        <w:outlineLvl w:val="0"/>
        <w:rPr>
          <w:i/>
          <w:sz w:val="22"/>
          <w:szCs w:val="22"/>
          <w:lang w:val="sk-SK"/>
        </w:rPr>
      </w:pPr>
      <w:proofErr w:type="spellStart"/>
      <w:r w:rsidRPr="00C60ED1">
        <w:rPr>
          <w:i/>
          <w:sz w:val="22"/>
          <w:szCs w:val="22"/>
          <w:lang w:val="sk-SK"/>
        </w:rPr>
        <w:t>Kongenitálne</w:t>
      </w:r>
      <w:proofErr w:type="spellEnd"/>
      <w:r w:rsidRPr="00C60ED1">
        <w:rPr>
          <w:i/>
          <w:sz w:val="22"/>
          <w:szCs w:val="22"/>
          <w:lang w:val="sk-SK"/>
        </w:rPr>
        <w:t xml:space="preserve"> </w:t>
      </w:r>
      <w:proofErr w:type="spellStart"/>
      <w:r w:rsidRPr="00C60ED1">
        <w:rPr>
          <w:i/>
          <w:sz w:val="22"/>
          <w:szCs w:val="22"/>
          <w:lang w:val="sk-SK"/>
        </w:rPr>
        <w:t>malformácie</w:t>
      </w:r>
      <w:proofErr w:type="spellEnd"/>
    </w:p>
    <w:p w14:paraId="2E7452FA" w14:textId="7B8D01D3" w:rsidR="00CA267C" w:rsidRPr="00C60ED1" w:rsidRDefault="00CA267C" w:rsidP="00C50996">
      <w:pPr>
        <w:keepNext/>
        <w:outlineLvl w:val="0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Údaje získané z </w:t>
      </w:r>
      <w:proofErr w:type="spellStart"/>
      <w:r w:rsidRPr="00C60ED1">
        <w:rPr>
          <w:sz w:val="22"/>
          <w:szCs w:val="22"/>
          <w:lang w:val="sk-SK"/>
        </w:rPr>
        <w:t>metaanalýzy</w:t>
      </w:r>
      <w:proofErr w:type="spellEnd"/>
      <w:r w:rsidRPr="00C60ED1">
        <w:rPr>
          <w:sz w:val="22"/>
          <w:szCs w:val="22"/>
          <w:lang w:val="sk-SK"/>
        </w:rPr>
        <w:t xml:space="preserve"> (vrátane registrov a </w:t>
      </w:r>
      <w:proofErr w:type="spellStart"/>
      <w:r w:rsidRPr="00C60ED1">
        <w:rPr>
          <w:sz w:val="22"/>
          <w:szCs w:val="22"/>
          <w:lang w:val="sk-SK"/>
        </w:rPr>
        <w:t>kohortových</w:t>
      </w:r>
      <w:proofErr w:type="spellEnd"/>
      <w:r w:rsidRPr="00C60ED1">
        <w:rPr>
          <w:sz w:val="22"/>
          <w:szCs w:val="22"/>
          <w:lang w:val="sk-SK"/>
        </w:rPr>
        <w:t xml:space="preserve"> štúdií) ukázali, že 10,73 % detí matiek s epilepsiou, ktoré užívali v priebehu gravidity valpro</w:t>
      </w:r>
      <w:r w:rsidR="00751FEF" w:rsidRPr="00C60ED1">
        <w:rPr>
          <w:sz w:val="22"/>
          <w:szCs w:val="22"/>
          <w:lang w:val="sk-SK"/>
        </w:rPr>
        <w:t>át</w:t>
      </w:r>
      <w:r w:rsidRPr="00C60ED1">
        <w:rPr>
          <w:sz w:val="22"/>
          <w:szCs w:val="22"/>
          <w:lang w:val="sk-SK"/>
        </w:rPr>
        <w:t xml:space="preserve"> samotný, majú vrodené poruchy (95 % CI: 8,16 - 13,29). Jedná sa o vyššie riziko závažných </w:t>
      </w:r>
      <w:proofErr w:type="spellStart"/>
      <w:r w:rsidRPr="00C60ED1">
        <w:rPr>
          <w:sz w:val="22"/>
          <w:szCs w:val="22"/>
          <w:lang w:val="sk-SK"/>
        </w:rPr>
        <w:t>malformácií</w:t>
      </w:r>
      <w:proofErr w:type="spellEnd"/>
      <w:r w:rsidRPr="00C60ED1">
        <w:rPr>
          <w:sz w:val="22"/>
          <w:szCs w:val="22"/>
          <w:lang w:val="sk-SK"/>
        </w:rPr>
        <w:t xml:space="preserve"> ako u bežnej populácie, u ktorej sa toto riziko pohybuje okolo 2-3 %. Riziko je závislé od dávky, avšak nie je možné stanoviť prahovú dávku, pod ktorou by žiadne riziko neexistovalo.</w:t>
      </w:r>
    </w:p>
    <w:p w14:paraId="3FA01D95" w14:textId="77777777" w:rsidR="00CA267C" w:rsidRPr="00C60ED1" w:rsidRDefault="00CA267C" w:rsidP="00C50996">
      <w:pPr>
        <w:outlineLvl w:val="0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Dostupné údaje ukazujú zvýšený výskyt menej závažných aj ťažkých </w:t>
      </w:r>
      <w:proofErr w:type="spellStart"/>
      <w:r w:rsidRPr="00C60ED1">
        <w:rPr>
          <w:sz w:val="22"/>
          <w:szCs w:val="22"/>
          <w:lang w:val="sk-SK"/>
        </w:rPr>
        <w:t>malformácií</w:t>
      </w:r>
      <w:proofErr w:type="spellEnd"/>
      <w:r w:rsidRPr="00C60ED1">
        <w:rPr>
          <w:sz w:val="22"/>
          <w:szCs w:val="22"/>
          <w:lang w:val="sk-SK"/>
        </w:rPr>
        <w:t xml:space="preserve">. Medzi najčastejšie typy </w:t>
      </w:r>
      <w:proofErr w:type="spellStart"/>
      <w:r w:rsidRPr="00C60ED1">
        <w:rPr>
          <w:sz w:val="22"/>
          <w:szCs w:val="22"/>
          <w:lang w:val="sk-SK"/>
        </w:rPr>
        <w:t>malformácií</w:t>
      </w:r>
      <w:proofErr w:type="spellEnd"/>
      <w:r w:rsidRPr="00C60ED1">
        <w:rPr>
          <w:sz w:val="22"/>
          <w:szCs w:val="22"/>
          <w:lang w:val="sk-SK"/>
        </w:rPr>
        <w:t xml:space="preserve"> patria poruchy </w:t>
      </w:r>
      <w:proofErr w:type="spellStart"/>
      <w:r w:rsidRPr="00C60ED1">
        <w:rPr>
          <w:sz w:val="22"/>
          <w:szCs w:val="22"/>
          <w:lang w:val="sk-SK"/>
        </w:rPr>
        <w:t>neurálnej</w:t>
      </w:r>
      <w:proofErr w:type="spellEnd"/>
      <w:r w:rsidRPr="00C60ED1">
        <w:rPr>
          <w:sz w:val="22"/>
          <w:szCs w:val="22"/>
          <w:lang w:val="sk-SK"/>
        </w:rPr>
        <w:t xml:space="preserve"> trubice, </w:t>
      </w:r>
      <w:proofErr w:type="spellStart"/>
      <w:r w:rsidRPr="00C60ED1">
        <w:rPr>
          <w:sz w:val="22"/>
          <w:szCs w:val="22"/>
          <w:lang w:val="sk-SK"/>
        </w:rPr>
        <w:t>dysmorfizmus</w:t>
      </w:r>
      <w:proofErr w:type="spellEnd"/>
      <w:r w:rsidRPr="00C60ED1">
        <w:rPr>
          <w:sz w:val="22"/>
          <w:szCs w:val="22"/>
          <w:lang w:val="sk-SK"/>
        </w:rPr>
        <w:t xml:space="preserve"> tváre, rázštep pery a podnebia, </w:t>
      </w:r>
      <w:proofErr w:type="spellStart"/>
      <w:r w:rsidRPr="00C60ED1">
        <w:rPr>
          <w:sz w:val="22"/>
          <w:szCs w:val="22"/>
          <w:lang w:val="sk-SK"/>
        </w:rPr>
        <w:t>kraniostenóza</w:t>
      </w:r>
      <w:proofErr w:type="spellEnd"/>
      <w:r w:rsidRPr="00C60ED1">
        <w:rPr>
          <w:sz w:val="22"/>
          <w:szCs w:val="22"/>
          <w:lang w:val="sk-SK"/>
        </w:rPr>
        <w:t>, poruchy srdca, obličiek a </w:t>
      </w:r>
      <w:proofErr w:type="spellStart"/>
      <w:r w:rsidRPr="00C60ED1">
        <w:rPr>
          <w:sz w:val="22"/>
          <w:szCs w:val="22"/>
          <w:lang w:val="sk-SK"/>
        </w:rPr>
        <w:t>urogenitálneho</w:t>
      </w:r>
      <w:proofErr w:type="spellEnd"/>
      <w:r w:rsidRPr="00C60ED1">
        <w:rPr>
          <w:sz w:val="22"/>
          <w:szCs w:val="22"/>
          <w:lang w:val="sk-SK"/>
        </w:rPr>
        <w:t xml:space="preserve"> traktu, poruchy končatín (vrátane bilaterálnej </w:t>
      </w:r>
      <w:proofErr w:type="spellStart"/>
      <w:r w:rsidRPr="00C60ED1">
        <w:rPr>
          <w:sz w:val="22"/>
          <w:szCs w:val="22"/>
          <w:lang w:val="sk-SK"/>
        </w:rPr>
        <w:t>aplázie</w:t>
      </w:r>
      <w:proofErr w:type="spellEnd"/>
      <w:r w:rsidRPr="00C60ED1">
        <w:rPr>
          <w:sz w:val="22"/>
          <w:szCs w:val="22"/>
          <w:lang w:val="sk-SK"/>
        </w:rPr>
        <w:t xml:space="preserve"> rádia) a viacpočetné anomálie zahŕňajúce rôzne telesné systémy.</w:t>
      </w:r>
    </w:p>
    <w:p w14:paraId="7C9BB205" w14:textId="77777777" w:rsidR="0088250C" w:rsidRPr="00C60ED1" w:rsidRDefault="0088250C" w:rsidP="00C50996">
      <w:pPr>
        <w:outlineLvl w:val="0"/>
        <w:rPr>
          <w:sz w:val="22"/>
          <w:szCs w:val="22"/>
          <w:lang w:val="sk-SK"/>
        </w:rPr>
      </w:pPr>
    </w:p>
    <w:p w14:paraId="7C09624C" w14:textId="6B8BF961" w:rsidR="00CA267C" w:rsidRPr="00C60ED1" w:rsidRDefault="00BF40AE" w:rsidP="00C50996">
      <w:pPr>
        <w:keepNext/>
        <w:outlineLvl w:val="0"/>
        <w:rPr>
          <w:i/>
          <w:sz w:val="22"/>
          <w:szCs w:val="22"/>
          <w:lang w:val="sk-SK"/>
        </w:rPr>
      </w:pPr>
      <w:proofErr w:type="spellStart"/>
      <w:r w:rsidRPr="00C60ED1">
        <w:rPr>
          <w:i/>
          <w:sz w:val="22"/>
          <w:szCs w:val="22"/>
          <w:lang w:val="sk-SK"/>
        </w:rPr>
        <w:t>Teratogenita</w:t>
      </w:r>
      <w:proofErr w:type="spellEnd"/>
      <w:r w:rsidRPr="00C60ED1">
        <w:rPr>
          <w:i/>
          <w:sz w:val="22"/>
          <w:szCs w:val="22"/>
          <w:lang w:val="sk-SK"/>
        </w:rPr>
        <w:t xml:space="preserve"> a účinky na vývoj</w:t>
      </w:r>
    </w:p>
    <w:p w14:paraId="0F0D00D0" w14:textId="18051440" w:rsidR="00CA267C" w:rsidRPr="00C60ED1" w:rsidRDefault="00CA267C" w:rsidP="00C50996">
      <w:pPr>
        <w:keepNext/>
        <w:outlineLvl w:val="0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Údaje naznačujú, že expozícia valpro</w:t>
      </w:r>
      <w:r w:rsidR="00751FEF" w:rsidRPr="00C60ED1">
        <w:rPr>
          <w:sz w:val="22"/>
          <w:szCs w:val="22"/>
          <w:lang w:val="sk-SK"/>
        </w:rPr>
        <w:t>átu</w:t>
      </w:r>
      <w:r w:rsidRPr="00C60ED1">
        <w:rPr>
          <w:sz w:val="22"/>
          <w:szCs w:val="22"/>
          <w:lang w:val="sk-SK"/>
        </w:rPr>
        <w:t xml:space="preserve"> </w:t>
      </w:r>
      <w:r w:rsidRPr="00C60ED1">
        <w:rPr>
          <w:i/>
          <w:sz w:val="22"/>
          <w:szCs w:val="22"/>
          <w:lang w:val="sk-SK"/>
        </w:rPr>
        <w:t xml:space="preserve">in </w:t>
      </w:r>
      <w:proofErr w:type="spellStart"/>
      <w:r w:rsidRPr="00C60ED1">
        <w:rPr>
          <w:i/>
          <w:sz w:val="22"/>
          <w:szCs w:val="22"/>
          <w:lang w:val="sk-SK"/>
        </w:rPr>
        <w:t>utero</w:t>
      </w:r>
      <w:proofErr w:type="spellEnd"/>
      <w:r w:rsidRPr="00C60ED1">
        <w:rPr>
          <w:sz w:val="22"/>
          <w:szCs w:val="22"/>
          <w:lang w:val="sk-SK"/>
        </w:rPr>
        <w:t xml:space="preserve"> môže mať nežiaduce účinky na duševný a fyzický vývin exponovaných detí. Zdá sa, že riziko je závislé od dávky, avšak na základe dostupných údajov nemožno stanoviť prahovú dávku, pod ktorou riziko nehrozí. Presné </w:t>
      </w:r>
      <w:proofErr w:type="spellStart"/>
      <w:r w:rsidRPr="00C60ED1">
        <w:rPr>
          <w:sz w:val="22"/>
          <w:szCs w:val="22"/>
          <w:lang w:val="sk-SK"/>
        </w:rPr>
        <w:t>gestačné</w:t>
      </w:r>
      <w:proofErr w:type="spellEnd"/>
      <w:r w:rsidRPr="00C60ED1">
        <w:rPr>
          <w:sz w:val="22"/>
          <w:szCs w:val="22"/>
          <w:lang w:val="sk-SK"/>
        </w:rPr>
        <w:t xml:space="preserve"> obdobie tohto rizika je nejasné a možnosť rizika v priebehu celej gravidity nemožno vylúčiť.</w:t>
      </w:r>
    </w:p>
    <w:p w14:paraId="00E4E124" w14:textId="4AF8307B" w:rsidR="00CA267C" w:rsidRPr="00C60ED1" w:rsidRDefault="00CA267C" w:rsidP="00C50996">
      <w:pPr>
        <w:outlineLvl w:val="0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Štúdie u detí predškolského veku vystavených valpro</w:t>
      </w:r>
      <w:r w:rsidR="00751FEF" w:rsidRPr="00C60ED1">
        <w:rPr>
          <w:sz w:val="22"/>
          <w:szCs w:val="22"/>
          <w:lang w:val="sk-SK"/>
        </w:rPr>
        <w:t>átu</w:t>
      </w:r>
      <w:r w:rsidRPr="00C60ED1">
        <w:rPr>
          <w:sz w:val="22"/>
          <w:szCs w:val="22"/>
          <w:lang w:val="sk-SK"/>
        </w:rPr>
        <w:t xml:space="preserve"> </w:t>
      </w:r>
      <w:r w:rsidRPr="00C60ED1">
        <w:rPr>
          <w:i/>
          <w:sz w:val="22"/>
          <w:szCs w:val="22"/>
          <w:lang w:val="sk-SK"/>
        </w:rPr>
        <w:t xml:space="preserve">in </w:t>
      </w:r>
      <w:proofErr w:type="spellStart"/>
      <w:r w:rsidRPr="00C60ED1">
        <w:rPr>
          <w:i/>
          <w:sz w:val="22"/>
          <w:szCs w:val="22"/>
          <w:lang w:val="sk-SK"/>
        </w:rPr>
        <w:t>utero</w:t>
      </w:r>
      <w:proofErr w:type="spellEnd"/>
      <w:r w:rsidRPr="00C60ED1">
        <w:rPr>
          <w:sz w:val="22"/>
          <w:szCs w:val="22"/>
          <w:lang w:val="sk-SK"/>
        </w:rPr>
        <w:t xml:space="preserve"> ukazujú, že až 30-40 % vykazuje oneskorenie v ranom vývine, ako napr. rozprávanie a neskôr chôdza, znížené intelektuálne schopnosti, slabé jazykové zručnosti (rozprávanie a porozumenie) a problémy s pamäťou.</w:t>
      </w:r>
    </w:p>
    <w:p w14:paraId="679DD0AE" w14:textId="77CFBB7D" w:rsidR="00CA267C" w:rsidRPr="00C60ED1" w:rsidRDefault="00CA267C" w:rsidP="00C50996">
      <w:pPr>
        <w:outlineLvl w:val="0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Inteligenčný kvocient (</w:t>
      </w:r>
      <w:proofErr w:type="spellStart"/>
      <w:r w:rsidRPr="00C60ED1">
        <w:rPr>
          <w:sz w:val="22"/>
          <w:szCs w:val="22"/>
          <w:lang w:val="sk-SK"/>
        </w:rPr>
        <w:t>IQ</w:t>
      </w:r>
      <w:proofErr w:type="spellEnd"/>
      <w:r w:rsidRPr="00C60ED1">
        <w:rPr>
          <w:sz w:val="22"/>
          <w:szCs w:val="22"/>
          <w:lang w:val="sk-SK"/>
        </w:rPr>
        <w:t>) meraný u detí v školskom veku (6 rokov), ktoré boli vystavené valpro</w:t>
      </w:r>
      <w:r w:rsidR="00751FEF" w:rsidRPr="00C60ED1">
        <w:rPr>
          <w:sz w:val="22"/>
          <w:szCs w:val="22"/>
          <w:lang w:val="sk-SK"/>
        </w:rPr>
        <w:t>átu</w:t>
      </w:r>
      <w:r w:rsidRPr="00C60ED1">
        <w:rPr>
          <w:sz w:val="22"/>
          <w:szCs w:val="22"/>
          <w:lang w:val="sk-SK"/>
        </w:rPr>
        <w:t xml:space="preserve"> </w:t>
      </w:r>
      <w:r w:rsidRPr="00C60ED1">
        <w:rPr>
          <w:i/>
          <w:sz w:val="22"/>
          <w:szCs w:val="22"/>
          <w:lang w:val="sk-SK"/>
        </w:rPr>
        <w:t xml:space="preserve">in </w:t>
      </w:r>
      <w:proofErr w:type="spellStart"/>
      <w:r w:rsidRPr="00C60ED1">
        <w:rPr>
          <w:i/>
          <w:sz w:val="22"/>
          <w:szCs w:val="22"/>
          <w:lang w:val="sk-SK"/>
        </w:rPr>
        <w:t>utero</w:t>
      </w:r>
      <w:proofErr w:type="spellEnd"/>
      <w:r w:rsidRPr="00C60ED1">
        <w:rPr>
          <w:sz w:val="22"/>
          <w:szCs w:val="22"/>
          <w:lang w:val="sk-SK"/>
        </w:rPr>
        <w:t xml:space="preserve">, bol v priemere o 7-10 bodov nižší ako u detí, ktoré boli vystavené iným </w:t>
      </w:r>
      <w:proofErr w:type="spellStart"/>
      <w:r w:rsidRPr="00C60ED1">
        <w:rPr>
          <w:sz w:val="22"/>
          <w:szCs w:val="22"/>
          <w:lang w:val="sk-SK"/>
        </w:rPr>
        <w:t>antiepileptikám</w:t>
      </w:r>
      <w:proofErr w:type="spellEnd"/>
      <w:r w:rsidRPr="00C60ED1">
        <w:rPr>
          <w:sz w:val="22"/>
          <w:szCs w:val="22"/>
          <w:lang w:val="sk-SK"/>
        </w:rPr>
        <w:t>. Hoci pôsobenie ďalších faktorov nemožno vylúčiť, existujú dôkazy, že riziko mentálnej poruchy u detí vystavených valpro</w:t>
      </w:r>
      <w:r w:rsidR="00751FEF" w:rsidRPr="00C60ED1">
        <w:rPr>
          <w:sz w:val="22"/>
          <w:szCs w:val="22"/>
          <w:lang w:val="sk-SK"/>
        </w:rPr>
        <w:t>átu</w:t>
      </w:r>
      <w:r w:rsidRPr="00C60ED1">
        <w:rPr>
          <w:sz w:val="22"/>
          <w:szCs w:val="22"/>
          <w:lang w:val="sk-SK"/>
        </w:rPr>
        <w:t xml:space="preserve"> môže byť nezávislé na materskom </w:t>
      </w:r>
      <w:proofErr w:type="spellStart"/>
      <w:r w:rsidRPr="00C60ED1">
        <w:rPr>
          <w:sz w:val="22"/>
          <w:szCs w:val="22"/>
          <w:lang w:val="sk-SK"/>
        </w:rPr>
        <w:t>IQ</w:t>
      </w:r>
      <w:proofErr w:type="spellEnd"/>
      <w:r w:rsidRPr="00C60ED1">
        <w:rPr>
          <w:sz w:val="22"/>
          <w:szCs w:val="22"/>
          <w:lang w:val="sk-SK"/>
        </w:rPr>
        <w:t>.</w:t>
      </w:r>
    </w:p>
    <w:p w14:paraId="2C5BA2AB" w14:textId="77777777" w:rsidR="00CA267C" w:rsidRPr="00C60ED1" w:rsidRDefault="00CA267C" w:rsidP="00C50996">
      <w:pPr>
        <w:outlineLvl w:val="0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K dispozícii sú iba obmedzené údaje o dlhodobých výsledkoch.</w:t>
      </w:r>
    </w:p>
    <w:p w14:paraId="527C37F0" w14:textId="20344AAD" w:rsidR="00CA267C" w:rsidRPr="00C60ED1" w:rsidRDefault="00CA267C" w:rsidP="00C50996">
      <w:pPr>
        <w:outlineLvl w:val="0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Dostupné údaje naznačujú, že deti vystavené valpro</w:t>
      </w:r>
      <w:r w:rsidR="00751FEF" w:rsidRPr="00C60ED1">
        <w:rPr>
          <w:sz w:val="22"/>
          <w:szCs w:val="22"/>
          <w:lang w:val="sk-SK"/>
        </w:rPr>
        <w:t>átu</w:t>
      </w:r>
      <w:r w:rsidRPr="00C60ED1">
        <w:rPr>
          <w:sz w:val="22"/>
          <w:szCs w:val="22"/>
          <w:lang w:val="sk-SK"/>
        </w:rPr>
        <w:t xml:space="preserve"> </w:t>
      </w:r>
      <w:r w:rsidRPr="00C60ED1">
        <w:rPr>
          <w:i/>
          <w:sz w:val="22"/>
          <w:szCs w:val="22"/>
          <w:lang w:val="sk-SK"/>
        </w:rPr>
        <w:t xml:space="preserve">in </w:t>
      </w:r>
      <w:proofErr w:type="spellStart"/>
      <w:r w:rsidRPr="00C60ED1">
        <w:rPr>
          <w:i/>
          <w:sz w:val="22"/>
          <w:szCs w:val="22"/>
          <w:lang w:val="sk-SK"/>
        </w:rPr>
        <w:t>utero</w:t>
      </w:r>
      <w:proofErr w:type="spellEnd"/>
      <w:r w:rsidRPr="00C60ED1">
        <w:rPr>
          <w:sz w:val="22"/>
          <w:szCs w:val="22"/>
          <w:lang w:val="sk-SK"/>
        </w:rPr>
        <w:t xml:space="preserve"> majú zvýšené riziko porúch </w:t>
      </w:r>
      <w:proofErr w:type="spellStart"/>
      <w:r w:rsidRPr="00C60ED1">
        <w:rPr>
          <w:sz w:val="22"/>
          <w:szCs w:val="22"/>
          <w:lang w:val="sk-SK"/>
        </w:rPr>
        <w:t>autistického</w:t>
      </w:r>
      <w:proofErr w:type="spellEnd"/>
      <w:r w:rsidRPr="00C60ED1">
        <w:rPr>
          <w:sz w:val="22"/>
          <w:szCs w:val="22"/>
          <w:lang w:val="sk-SK"/>
        </w:rPr>
        <w:t xml:space="preserve"> spektra (približne trojnásobne) a detského autizmu (približne päťnásobne) v porovnaní s bežnou populáciou zahrnutou v štúdii.</w:t>
      </w:r>
    </w:p>
    <w:p w14:paraId="027AC669" w14:textId="4DB9BA03" w:rsidR="00CA267C" w:rsidRPr="00C60ED1" w:rsidRDefault="00CA267C" w:rsidP="00C50996">
      <w:pPr>
        <w:outlineLvl w:val="0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lastRenderedPageBreak/>
        <w:t>Obmedzené údaje naznačujú, že u detí vystavených valpro</w:t>
      </w:r>
      <w:r w:rsidR="00751FEF" w:rsidRPr="00C60ED1">
        <w:rPr>
          <w:sz w:val="22"/>
          <w:szCs w:val="22"/>
          <w:lang w:val="sk-SK"/>
        </w:rPr>
        <w:t>átu</w:t>
      </w:r>
      <w:r w:rsidRPr="00C60ED1">
        <w:rPr>
          <w:sz w:val="22"/>
          <w:szCs w:val="22"/>
          <w:lang w:val="sk-SK"/>
        </w:rPr>
        <w:t xml:space="preserve"> </w:t>
      </w:r>
      <w:r w:rsidRPr="00C60ED1">
        <w:rPr>
          <w:i/>
          <w:sz w:val="22"/>
          <w:szCs w:val="22"/>
          <w:lang w:val="sk-SK"/>
        </w:rPr>
        <w:t xml:space="preserve">in </w:t>
      </w:r>
      <w:proofErr w:type="spellStart"/>
      <w:r w:rsidRPr="00C60ED1">
        <w:rPr>
          <w:i/>
          <w:sz w:val="22"/>
          <w:szCs w:val="22"/>
          <w:lang w:val="sk-SK"/>
        </w:rPr>
        <w:t>utero</w:t>
      </w:r>
      <w:proofErr w:type="spellEnd"/>
      <w:r w:rsidRPr="00C60ED1">
        <w:rPr>
          <w:sz w:val="22"/>
          <w:szCs w:val="22"/>
          <w:lang w:val="sk-SK"/>
        </w:rPr>
        <w:t xml:space="preserve"> sa môžu s väčšou pravdepodobnosťou vyvinúť príznaky poruchy pozornosti/</w:t>
      </w:r>
      <w:proofErr w:type="spellStart"/>
      <w:r w:rsidRPr="00C60ED1">
        <w:rPr>
          <w:sz w:val="22"/>
          <w:szCs w:val="22"/>
          <w:lang w:val="sk-SK"/>
        </w:rPr>
        <w:t>hyperaktivity</w:t>
      </w:r>
      <w:proofErr w:type="spellEnd"/>
      <w:r w:rsidRPr="00C60ED1">
        <w:rPr>
          <w:sz w:val="22"/>
          <w:szCs w:val="22"/>
          <w:lang w:val="sk-SK"/>
        </w:rPr>
        <w:t xml:space="preserve"> (</w:t>
      </w:r>
      <w:proofErr w:type="spellStart"/>
      <w:r w:rsidRPr="00C60ED1">
        <w:rPr>
          <w:sz w:val="22"/>
          <w:szCs w:val="22"/>
          <w:lang w:val="sk-SK"/>
        </w:rPr>
        <w:t>ADHD</w:t>
      </w:r>
      <w:proofErr w:type="spellEnd"/>
      <w:r w:rsidRPr="00C60ED1">
        <w:rPr>
          <w:sz w:val="22"/>
          <w:szCs w:val="22"/>
          <w:lang w:val="sk-SK"/>
        </w:rPr>
        <w:t xml:space="preserve">, </w:t>
      </w:r>
      <w:proofErr w:type="spellStart"/>
      <w:r w:rsidRPr="00C60ED1">
        <w:rPr>
          <w:sz w:val="22"/>
          <w:szCs w:val="22"/>
          <w:lang w:val="sk-SK"/>
        </w:rPr>
        <w:t>Attention</w:t>
      </w:r>
      <w:proofErr w:type="spellEnd"/>
      <w:r w:rsidRPr="00C60ED1">
        <w:rPr>
          <w:sz w:val="22"/>
          <w:szCs w:val="22"/>
          <w:lang w:val="sk-SK"/>
        </w:rPr>
        <w:t xml:space="preserve"> Deficit </w:t>
      </w:r>
      <w:proofErr w:type="spellStart"/>
      <w:r w:rsidRPr="00C60ED1">
        <w:rPr>
          <w:sz w:val="22"/>
          <w:szCs w:val="22"/>
          <w:lang w:val="sk-SK"/>
        </w:rPr>
        <w:t>Hyperactivity</w:t>
      </w:r>
      <w:proofErr w:type="spellEnd"/>
      <w:r w:rsidRPr="00C60ED1">
        <w:rPr>
          <w:sz w:val="22"/>
          <w:szCs w:val="22"/>
          <w:lang w:val="sk-SK"/>
        </w:rPr>
        <w:t xml:space="preserve"> </w:t>
      </w:r>
      <w:proofErr w:type="spellStart"/>
      <w:r w:rsidRPr="00C60ED1">
        <w:rPr>
          <w:sz w:val="22"/>
          <w:szCs w:val="22"/>
          <w:lang w:val="sk-SK"/>
        </w:rPr>
        <w:t>Disorder</w:t>
      </w:r>
      <w:proofErr w:type="spellEnd"/>
      <w:r w:rsidRPr="00C60ED1">
        <w:rPr>
          <w:sz w:val="22"/>
          <w:szCs w:val="22"/>
          <w:lang w:val="sk-SK"/>
        </w:rPr>
        <w:t>).</w:t>
      </w:r>
    </w:p>
    <w:p w14:paraId="3B1A63EA" w14:textId="77777777" w:rsidR="00CA267C" w:rsidRPr="00C60ED1" w:rsidRDefault="00CA267C" w:rsidP="00C50996">
      <w:pPr>
        <w:outlineLvl w:val="0"/>
        <w:rPr>
          <w:sz w:val="22"/>
          <w:szCs w:val="22"/>
          <w:lang w:val="sk-SK"/>
        </w:rPr>
      </w:pPr>
    </w:p>
    <w:p w14:paraId="7E77E392" w14:textId="6921F182" w:rsidR="00CA267C" w:rsidRPr="00C60ED1" w:rsidRDefault="00CA267C" w:rsidP="005F5DB2">
      <w:pPr>
        <w:widowControl w:val="0"/>
        <w:outlineLvl w:val="0"/>
        <w:rPr>
          <w:i/>
          <w:sz w:val="22"/>
          <w:szCs w:val="22"/>
          <w:lang w:val="sk-SK"/>
        </w:rPr>
      </w:pPr>
      <w:r w:rsidRPr="00C60ED1">
        <w:rPr>
          <w:i/>
          <w:sz w:val="22"/>
          <w:szCs w:val="22"/>
          <w:lang w:val="sk-SK"/>
        </w:rPr>
        <w:t>Dievčatá v detskom veku, ženy vo fertilnom veku (pozri vyššie a časť 4.4)</w:t>
      </w:r>
    </w:p>
    <w:p w14:paraId="58624788" w14:textId="77777777" w:rsidR="00CA267C" w:rsidRPr="00C60ED1" w:rsidRDefault="00CA267C" w:rsidP="005F5DB2">
      <w:pPr>
        <w:widowControl w:val="0"/>
        <w:outlineLvl w:val="0"/>
        <w:rPr>
          <w:sz w:val="22"/>
          <w:szCs w:val="22"/>
          <w:lang w:val="sk-SK"/>
        </w:rPr>
      </w:pPr>
    </w:p>
    <w:p w14:paraId="4D5F1109" w14:textId="563B020F" w:rsidR="006250C3" w:rsidRPr="00C60ED1" w:rsidRDefault="00BF40AE" w:rsidP="005F5DB2">
      <w:pPr>
        <w:widowControl w:val="0"/>
        <w:outlineLvl w:val="0"/>
        <w:rPr>
          <w:i/>
          <w:sz w:val="22"/>
          <w:szCs w:val="22"/>
          <w:lang w:val="sk-SK"/>
        </w:rPr>
      </w:pPr>
      <w:r w:rsidRPr="00C60ED1">
        <w:rPr>
          <w:i/>
          <w:sz w:val="22"/>
          <w:szCs w:val="22"/>
          <w:lang w:val="sk-SK"/>
        </w:rPr>
        <w:t>Pokiaľ žena plánuje tehotenstvo</w:t>
      </w:r>
    </w:p>
    <w:p w14:paraId="40FAEBC8" w14:textId="7D252B50" w:rsidR="00BF40AE" w:rsidRPr="00C60ED1" w:rsidRDefault="00BF40AE" w:rsidP="005F5DB2">
      <w:pPr>
        <w:widowControl w:val="0"/>
        <w:outlineLvl w:val="0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Pokiaľ žena s epilepsiou plánuje otehotnieť, musí špecialista so skúsenosťami s liečbou epilepsie prehodnotiť liečbu </w:t>
      </w:r>
      <w:proofErr w:type="spellStart"/>
      <w:r w:rsidRPr="00C60ED1">
        <w:rPr>
          <w:sz w:val="22"/>
          <w:szCs w:val="22"/>
          <w:lang w:val="sk-SK"/>
        </w:rPr>
        <w:t>valpro</w:t>
      </w:r>
      <w:r w:rsidR="00751FEF" w:rsidRPr="00C60ED1">
        <w:rPr>
          <w:sz w:val="22"/>
          <w:szCs w:val="22"/>
          <w:lang w:val="sk-SK"/>
        </w:rPr>
        <w:t>átom</w:t>
      </w:r>
      <w:proofErr w:type="spellEnd"/>
      <w:r w:rsidRPr="00C60ED1">
        <w:rPr>
          <w:sz w:val="22"/>
          <w:szCs w:val="22"/>
          <w:lang w:val="sk-SK"/>
        </w:rPr>
        <w:t xml:space="preserve"> a zvážiť alternatívne možnosti liečby. Má sa vynaložiť všetko úsilie na prechod na vhodnú alternatívnu liečbu pred počatím a vysadením antikoncepcie (pozri časť 4.6). Ak nie je zmena liečby možná, má žena dostať ďalšie poradenstvo týkajúce sa rizík valpro</w:t>
      </w:r>
      <w:r w:rsidR="00751FEF" w:rsidRPr="00C60ED1">
        <w:rPr>
          <w:sz w:val="22"/>
          <w:szCs w:val="22"/>
          <w:lang w:val="sk-SK"/>
        </w:rPr>
        <w:t>átu</w:t>
      </w:r>
      <w:r w:rsidRPr="00C60ED1">
        <w:rPr>
          <w:sz w:val="22"/>
          <w:szCs w:val="22"/>
          <w:lang w:val="sk-SK"/>
        </w:rPr>
        <w:t xml:space="preserve"> pre nenarodené dieťa, ktoré jej dopomôžu k informovanému rozhodnutiu o plánovaní rodiny.</w:t>
      </w:r>
    </w:p>
    <w:p w14:paraId="75343610" w14:textId="0A244F10" w:rsidR="00BF40AE" w:rsidRPr="00C60ED1" w:rsidRDefault="00BF40AE" w:rsidP="005F5DB2">
      <w:pPr>
        <w:widowControl w:val="0"/>
        <w:outlineLvl w:val="0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Pokiaľ žena s bipolárnou poruchou plánuje otehotnieť, musí sa poradiť so špecialistom so skúsenosťami s liečbou bipolárnej poruchy a liečba </w:t>
      </w:r>
      <w:proofErr w:type="spellStart"/>
      <w:r w:rsidRPr="00C60ED1">
        <w:rPr>
          <w:sz w:val="22"/>
          <w:szCs w:val="22"/>
          <w:lang w:val="sk-SK"/>
        </w:rPr>
        <w:t>valpro</w:t>
      </w:r>
      <w:r w:rsidR="00751FEF" w:rsidRPr="00C60ED1">
        <w:rPr>
          <w:sz w:val="22"/>
          <w:szCs w:val="22"/>
          <w:lang w:val="sk-SK"/>
        </w:rPr>
        <w:t>átom</w:t>
      </w:r>
      <w:proofErr w:type="spellEnd"/>
      <w:r w:rsidRPr="00C60ED1">
        <w:rPr>
          <w:sz w:val="22"/>
          <w:szCs w:val="22"/>
          <w:lang w:val="sk-SK"/>
        </w:rPr>
        <w:t xml:space="preserve"> má byť prerušená a podľa potreby nahradená alternatívnou liečbou v období pred počatím a pred vysadením antikoncepcie.</w:t>
      </w:r>
    </w:p>
    <w:p w14:paraId="6F0AFEEB" w14:textId="77777777" w:rsidR="00BF40AE" w:rsidRPr="00C60ED1" w:rsidRDefault="00BF40AE" w:rsidP="005F5DB2">
      <w:pPr>
        <w:widowControl w:val="0"/>
        <w:outlineLvl w:val="0"/>
        <w:rPr>
          <w:sz w:val="22"/>
          <w:szCs w:val="22"/>
          <w:lang w:val="sk-SK"/>
        </w:rPr>
      </w:pPr>
    </w:p>
    <w:p w14:paraId="13E267FF" w14:textId="77777777" w:rsidR="00BF40AE" w:rsidRPr="00C60ED1" w:rsidRDefault="00BF40AE" w:rsidP="005F5DB2">
      <w:pPr>
        <w:widowControl w:val="0"/>
        <w:outlineLvl w:val="0"/>
        <w:rPr>
          <w:i/>
          <w:sz w:val="22"/>
          <w:szCs w:val="22"/>
          <w:lang w:val="sk-SK"/>
        </w:rPr>
      </w:pPr>
      <w:r w:rsidRPr="00C60ED1">
        <w:rPr>
          <w:i/>
          <w:sz w:val="22"/>
          <w:szCs w:val="22"/>
          <w:lang w:val="sk-SK"/>
        </w:rPr>
        <w:t>Tehotné ženy</w:t>
      </w:r>
    </w:p>
    <w:p w14:paraId="6FBC6764" w14:textId="3CA6090C" w:rsidR="00BF40AE" w:rsidRPr="00C60ED1" w:rsidRDefault="00BF40AE" w:rsidP="005F5DB2">
      <w:pPr>
        <w:widowControl w:val="0"/>
        <w:outlineLvl w:val="0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Valpro</w:t>
      </w:r>
      <w:r w:rsidR="00751FEF" w:rsidRPr="00C60ED1">
        <w:rPr>
          <w:sz w:val="22"/>
          <w:szCs w:val="22"/>
          <w:lang w:val="sk-SK"/>
        </w:rPr>
        <w:t>át</w:t>
      </w:r>
      <w:r w:rsidRPr="00C60ED1">
        <w:rPr>
          <w:sz w:val="22"/>
          <w:szCs w:val="22"/>
          <w:lang w:val="sk-SK"/>
        </w:rPr>
        <w:t xml:space="preserve"> je kontraindikovaný na liečbu bipolárnej poruchy počas tehotenstva. Valpro</w:t>
      </w:r>
      <w:r w:rsidR="00751FEF" w:rsidRPr="00C60ED1">
        <w:rPr>
          <w:sz w:val="22"/>
          <w:szCs w:val="22"/>
          <w:lang w:val="sk-SK"/>
        </w:rPr>
        <w:t>át</w:t>
      </w:r>
      <w:r w:rsidRPr="00C60ED1">
        <w:rPr>
          <w:sz w:val="22"/>
          <w:szCs w:val="22"/>
          <w:lang w:val="sk-SK"/>
        </w:rPr>
        <w:t xml:space="preserve"> je kontraindikovaný na liečbu epilepsie počas tehotenstva, pokiaľ existuje vhodná alternatívna liečba (pozri časti 4.3 a 4.4).</w:t>
      </w:r>
    </w:p>
    <w:p w14:paraId="29D76BA7" w14:textId="03F06D84" w:rsidR="00BF40AE" w:rsidRPr="00C60ED1" w:rsidRDefault="00BF40AE" w:rsidP="005F5DB2">
      <w:pPr>
        <w:widowControl w:val="0"/>
        <w:outlineLvl w:val="0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Ak pacientka užívajúca valpro</w:t>
      </w:r>
      <w:r w:rsidR="00751FEF" w:rsidRPr="00C60ED1">
        <w:rPr>
          <w:sz w:val="22"/>
          <w:szCs w:val="22"/>
          <w:lang w:val="sk-SK"/>
        </w:rPr>
        <w:t>át</w:t>
      </w:r>
      <w:r w:rsidRPr="00C60ED1">
        <w:rPr>
          <w:sz w:val="22"/>
          <w:szCs w:val="22"/>
          <w:lang w:val="sk-SK"/>
        </w:rPr>
        <w:t xml:space="preserve"> otehotnie, musí byť okamžite odoslaná k lekárovi, ktorý zváži alternatívne možnosti liečby. Počas tehotenstva môžu materské tonicko-</w:t>
      </w:r>
      <w:proofErr w:type="spellStart"/>
      <w:r w:rsidRPr="00C60ED1">
        <w:rPr>
          <w:sz w:val="22"/>
          <w:szCs w:val="22"/>
          <w:lang w:val="sk-SK"/>
        </w:rPr>
        <w:t>klonické</w:t>
      </w:r>
      <w:proofErr w:type="spellEnd"/>
      <w:r w:rsidRPr="00C60ED1">
        <w:rPr>
          <w:sz w:val="22"/>
          <w:szCs w:val="22"/>
          <w:lang w:val="sk-SK"/>
        </w:rPr>
        <w:t xml:space="preserve"> záchvaty a </w:t>
      </w:r>
      <w:r w:rsidRPr="00C60ED1">
        <w:rPr>
          <w:i/>
          <w:sz w:val="22"/>
          <w:szCs w:val="22"/>
          <w:lang w:val="sk-SK"/>
        </w:rPr>
        <w:t xml:space="preserve">status </w:t>
      </w:r>
      <w:proofErr w:type="spellStart"/>
      <w:r w:rsidRPr="00C60ED1">
        <w:rPr>
          <w:i/>
          <w:sz w:val="22"/>
          <w:szCs w:val="22"/>
          <w:lang w:val="sk-SK"/>
        </w:rPr>
        <w:t>epilepticus</w:t>
      </w:r>
      <w:proofErr w:type="spellEnd"/>
      <w:r w:rsidRPr="00C60ED1">
        <w:rPr>
          <w:sz w:val="22"/>
          <w:szCs w:val="22"/>
          <w:lang w:val="sk-SK"/>
        </w:rPr>
        <w:t xml:space="preserve"> s </w:t>
      </w:r>
      <w:proofErr w:type="spellStart"/>
      <w:r w:rsidRPr="00C60ED1">
        <w:rPr>
          <w:sz w:val="22"/>
          <w:szCs w:val="22"/>
          <w:lang w:val="sk-SK"/>
        </w:rPr>
        <w:t>hypoxiou</w:t>
      </w:r>
      <w:proofErr w:type="spellEnd"/>
      <w:r w:rsidRPr="00C60ED1">
        <w:rPr>
          <w:sz w:val="22"/>
          <w:szCs w:val="22"/>
          <w:lang w:val="sk-SK"/>
        </w:rPr>
        <w:t xml:space="preserve"> predstavovať veľké riziko úmrtia pre matku a nenarodené dieťa.</w:t>
      </w:r>
    </w:p>
    <w:p w14:paraId="3E42A3DB" w14:textId="17B70771" w:rsidR="004A45D0" w:rsidRPr="00C60ED1" w:rsidRDefault="00BF40AE" w:rsidP="005F5DB2">
      <w:pPr>
        <w:widowControl w:val="0"/>
        <w:outlineLvl w:val="0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Pokiaľ tehotná žena, napriek známym rizikám valpro</w:t>
      </w:r>
      <w:r w:rsidR="00751FEF" w:rsidRPr="00C60ED1">
        <w:rPr>
          <w:sz w:val="22"/>
          <w:szCs w:val="22"/>
          <w:lang w:val="sk-SK"/>
        </w:rPr>
        <w:t>átu</w:t>
      </w:r>
      <w:r w:rsidRPr="00C60ED1">
        <w:rPr>
          <w:sz w:val="22"/>
          <w:szCs w:val="22"/>
          <w:lang w:val="sk-SK"/>
        </w:rPr>
        <w:t xml:space="preserve"> počas tehotenstva a po dôkladnom zvážení alternatívnej liečby, musí za výnimočných okolností valpro</w:t>
      </w:r>
      <w:r w:rsidR="00751FEF" w:rsidRPr="00C60ED1">
        <w:rPr>
          <w:sz w:val="22"/>
          <w:szCs w:val="22"/>
          <w:lang w:val="sk-SK"/>
        </w:rPr>
        <w:t>át</w:t>
      </w:r>
      <w:r w:rsidRPr="00C60ED1">
        <w:rPr>
          <w:sz w:val="22"/>
          <w:szCs w:val="22"/>
          <w:lang w:val="sk-SK"/>
        </w:rPr>
        <w:t xml:space="preserve"> užívať, odporúča sa:</w:t>
      </w:r>
    </w:p>
    <w:p w14:paraId="1D94EAA4" w14:textId="210C566E" w:rsidR="004A45D0" w:rsidRPr="00C60ED1" w:rsidRDefault="00CA3E0C" w:rsidP="00C50996">
      <w:pPr>
        <w:pStyle w:val="Odsekzoznamu"/>
        <w:numPr>
          <w:ilvl w:val="0"/>
          <w:numId w:val="16"/>
        </w:numPr>
        <w:ind w:left="567" w:hanging="567"/>
        <w:outlineLvl w:val="0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užívať najnižšiu účinnú dávku a rozdeliť dennú dávku do niekoľkých malých dávok užívaných v priebehu dňa. Použitie liekovej formy s predĺženým uvoľňovaním môže byť výhodnejšie ako iné liekové formy, aby sa zabránilo vysokým vrcholovým plazmatickým koncentráciám (pozri časť 4.2).</w:t>
      </w:r>
    </w:p>
    <w:p w14:paraId="5823433A" w14:textId="77777777" w:rsidR="007F756D" w:rsidRPr="00C60ED1" w:rsidRDefault="007F756D" w:rsidP="007F756D">
      <w:pPr>
        <w:outlineLvl w:val="0"/>
        <w:rPr>
          <w:sz w:val="22"/>
          <w:szCs w:val="22"/>
          <w:lang w:val="sk-SK"/>
        </w:rPr>
      </w:pPr>
    </w:p>
    <w:p w14:paraId="4E7288CF" w14:textId="0BC6694E" w:rsidR="00CA3E0C" w:rsidRPr="00C60ED1" w:rsidRDefault="00CA3E0C" w:rsidP="00C50996">
      <w:pPr>
        <w:outlineLvl w:val="0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Všetky pacientky, ktoré boli vystavené účinku valpro</w:t>
      </w:r>
      <w:r w:rsidR="00751FEF" w:rsidRPr="00C60ED1">
        <w:rPr>
          <w:sz w:val="22"/>
          <w:szCs w:val="22"/>
          <w:lang w:val="sk-SK"/>
        </w:rPr>
        <w:t>át</w:t>
      </w:r>
      <w:r w:rsidRPr="00C60ED1">
        <w:rPr>
          <w:sz w:val="22"/>
          <w:szCs w:val="22"/>
          <w:lang w:val="sk-SK"/>
        </w:rPr>
        <w:t xml:space="preserve">u počas tehotenstva a taktiež ich partneri musia byť odoslaní k špecialistovi so skúsenosťami v </w:t>
      </w:r>
      <w:proofErr w:type="spellStart"/>
      <w:r w:rsidRPr="00C60ED1">
        <w:rPr>
          <w:sz w:val="22"/>
          <w:szCs w:val="22"/>
          <w:lang w:val="sk-SK"/>
        </w:rPr>
        <w:t>teratológii</w:t>
      </w:r>
      <w:proofErr w:type="spellEnd"/>
      <w:r w:rsidRPr="00C60ED1">
        <w:rPr>
          <w:sz w:val="22"/>
          <w:szCs w:val="22"/>
          <w:lang w:val="sk-SK"/>
        </w:rPr>
        <w:t xml:space="preserve"> kvôli zhodnoteniu situácie a poradenstvu ohľadne exponovaného tehotenstva. Musí sa uskutočniť špecializované prenatálne monitorovanie, aby sa zaistil možný výskyt defektov </w:t>
      </w:r>
      <w:proofErr w:type="spellStart"/>
      <w:r w:rsidRPr="00C60ED1">
        <w:rPr>
          <w:sz w:val="22"/>
          <w:szCs w:val="22"/>
          <w:lang w:val="sk-SK"/>
        </w:rPr>
        <w:t>neurálnej</w:t>
      </w:r>
      <w:proofErr w:type="spellEnd"/>
      <w:r w:rsidRPr="00C60ED1">
        <w:rPr>
          <w:sz w:val="22"/>
          <w:szCs w:val="22"/>
          <w:lang w:val="sk-SK"/>
        </w:rPr>
        <w:t xml:space="preserve"> trubice alebo iných </w:t>
      </w:r>
      <w:proofErr w:type="spellStart"/>
      <w:r w:rsidRPr="00C60ED1">
        <w:rPr>
          <w:sz w:val="22"/>
          <w:szCs w:val="22"/>
          <w:lang w:val="sk-SK"/>
        </w:rPr>
        <w:t>malformácií</w:t>
      </w:r>
      <w:proofErr w:type="spellEnd"/>
      <w:r w:rsidRPr="00C60ED1">
        <w:rPr>
          <w:sz w:val="22"/>
          <w:szCs w:val="22"/>
          <w:lang w:val="sk-SK"/>
        </w:rPr>
        <w:t xml:space="preserve">. Podávanie kyseliny listovej pred otehotnením môže znížiť riziko defektov </w:t>
      </w:r>
      <w:proofErr w:type="spellStart"/>
      <w:r w:rsidRPr="00C60ED1">
        <w:rPr>
          <w:sz w:val="22"/>
          <w:szCs w:val="22"/>
          <w:lang w:val="sk-SK"/>
        </w:rPr>
        <w:t>neurálnej</w:t>
      </w:r>
      <w:proofErr w:type="spellEnd"/>
      <w:r w:rsidRPr="00C60ED1">
        <w:rPr>
          <w:sz w:val="22"/>
          <w:szCs w:val="22"/>
          <w:lang w:val="sk-SK"/>
        </w:rPr>
        <w:t xml:space="preserve"> trubice, ktoré sa môžu vyskytnúť u všetkých tehotenstiev. Dostupné údaje však nenaznačujú, že je podávanie kyseliny listovej prevenciou výskytu vrodených porúch alebo </w:t>
      </w:r>
      <w:proofErr w:type="spellStart"/>
      <w:r w:rsidRPr="00C60ED1">
        <w:rPr>
          <w:sz w:val="22"/>
          <w:szCs w:val="22"/>
          <w:lang w:val="sk-SK"/>
        </w:rPr>
        <w:t>malformácií</w:t>
      </w:r>
      <w:proofErr w:type="spellEnd"/>
      <w:r w:rsidRPr="00C60ED1">
        <w:rPr>
          <w:sz w:val="22"/>
          <w:szCs w:val="22"/>
          <w:lang w:val="sk-SK"/>
        </w:rPr>
        <w:t xml:space="preserve"> spôsobených </w:t>
      </w:r>
      <w:proofErr w:type="spellStart"/>
      <w:r w:rsidRPr="00C60ED1">
        <w:rPr>
          <w:sz w:val="22"/>
          <w:szCs w:val="22"/>
          <w:lang w:val="sk-SK"/>
        </w:rPr>
        <w:t>valpro</w:t>
      </w:r>
      <w:r w:rsidR="00751FEF" w:rsidRPr="00C60ED1">
        <w:rPr>
          <w:sz w:val="22"/>
          <w:szCs w:val="22"/>
          <w:lang w:val="sk-SK"/>
        </w:rPr>
        <w:t>áto</w:t>
      </w:r>
      <w:r w:rsidRPr="00C60ED1">
        <w:rPr>
          <w:sz w:val="22"/>
          <w:szCs w:val="22"/>
          <w:lang w:val="sk-SK"/>
        </w:rPr>
        <w:t>m</w:t>
      </w:r>
      <w:proofErr w:type="spellEnd"/>
      <w:r w:rsidRPr="00C60ED1">
        <w:rPr>
          <w:sz w:val="22"/>
          <w:szCs w:val="22"/>
          <w:lang w:val="sk-SK"/>
        </w:rPr>
        <w:t>.</w:t>
      </w:r>
    </w:p>
    <w:p w14:paraId="1AF74EE9" w14:textId="77777777" w:rsidR="00CA3E0C" w:rsidRPr="00C60ED1" w:rsidRDefault="00CA3E0C" w:rsidP="00C50996">
      <w:pPr>
        <w:outlineLvl w:val="0"/>
        <w:rPr>
          <w:sz w:val="22"/>
          <w:szCs w:val="22"/>
          <w:lang w:val="sk-SK"/>
        </w:rPr>
      </w:pPr>
    </w:p>
    <w:p w14:paraId="16D7986F" w14:textId="77777777" w:rsidR="00EF24DA" w:rsidRPr="00C60ED1" w:rsidRDefault="00EF24DA" w:rsidP="00C50996">
      <w:pPr>
        <w:keepNext/>
        <w:outlineLvl w:val="0"/>
        <w:rPr>
          <w:sz w:val="22"/>
          <w:szCs w:val="22"/>
          <w:u w:val="single"/>
          <w:lang w:val="sk-SK"/>
        </w:rPr>
      </w:pPr>
      <w:r w:rsidRPr="00C60ED1">
        <w:rPr>
          <w:sz w:val="22"/>
          <w:szCs w:val="22"/>
          <w:u w:val="single"/>
          <w:lang w:val="sk-SK"/>
        </w:rPr>
        <w:t>Riziko u novorodencov</w:t>
      </w:r>
    </w:p>
    <w:p w14:paraId="67FF9F08" w14:textId="55C288A9" w:rsidR="00EF24DA" w:rsidRPr="00C60ED1" w:rsidRDefault="00EF24DA" w:rsidP="00C50996">
      <w:pPr>
        <w:pStyle w:val="Odsekzoznamu"/>
        <w:keepNext/>
        <w:numPr>
          <w:ilvl w:val="0"/>
          <w:numId w:val="17"/>
        </w:numPr>
        <w:ind w:left="567" w:hanging="567"/>
        <w:outlineLvl w:val="0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U novorodencov, ktorých matky užívali valpro</w:t>
      </w:r>
      <w:r w:rsidR="00751FEF" w:rsidRPr="00C60ED1">
        <w:rPr>
          <w:sz w:val="22"/>
          <w:szCs w:val="22"/>
          <w:lang w:val="sk-SK"/>
        </w:rPr>
        <w:t>át</w:t>
      </w:r>
      <w:r w:rsidRPr="00C60ED1">
        <w:rPr>
          <w:sz w:val="22"/>
          <w:szCs w:val="22"/>
          <w:lang w:val="sk-SK"/>
        </w:rPr>
        <w:t xml:space="preserve"> počas gravidity, boli hlásené s frekvenciou výskytu veľmi zriedkavo prípady </w:t>
      </w:r>
      <w:proofErr w:type="spellStart"/>
      <w:r w:rsidRPr="00C60ED1">
        <w:rPr>
          <w:sz w:val="22"/>
          <w:szCs w:val="22"/>
          <w:lang w:val="sk-SK"/>
        </w:rPr>
        <w:t>hemoragického</w:t>
      </w:r>
      <w:proofErr w:type="spellEnd"/>
      <w:r w:rsidRPr="00C60ED1">
        <w:rPr>
          <w:sz w:val="22"/>
          <w:szCs w:val="22"/>
          <w:lang w:val="sk-SK"/>
        </w:rPr>
        <w:t xml:space="preserve"> syndrómu. Tento </w:t>
      </w:r>
      <w:proofErr w:type="spellStart"/>
      <w:r w:rsidRPr="00C60ED1">
        <w:rPr>
          <w:sz w:val="22"/>
          <w:szCs w:val="22"/>
          <w:lang w:val="sk-SK"/>
        </w:rPr>
        <w:t>hemoragický</w:t>
      </w:r>
      <w:proofErr w:type="spellEnd"/>
      <w:r w:rsidRPr="00C60ED1">
        <w:rPr>
          <w:sz w:val="22"/>
          <w:szCs w:val="22"/>
          <w:lang w:val="sk-SK"/>
        </w:rPr>
        <w:t xml:space="preserve"> syndróm súvisí s </w:t>
      </w:r>
      <w:proofErr w:type="spellStart"/>
      <w:r w:rsidRPr="00C60ED1">
        <w:rPr>
          <w:sz w:val="22"/>
          <w:szCs w:val="22"/>
          <w:lang w:val="sk-SK"/>
        </w:rPr>
        <w:t>trombocytopéniou</w:t>
      </w:r>
      <w:proofErr w:type="spellEnd"/>
      <w:r w:rsidRPr="00C60ED1">
        <w:rPr>
          <w:sz w:val="22"/>
          <w:szCs w:val="22"/>
          <w:lang w:val="sk-SK"/>
        </w:rPr>
        <w:t xml:space="preserve">, </w:t>
      </w:r>
      <w:proofErr w:type="spellStart"/>
      <w:r w:rsidRPr="00C60ED1">
        <w:rPr>
          <w:sz w:val="22"/>
          <w:szCs w:val="22"/>
          <w:lang w:val="sk-SK"/>
        </w:rPr>
        <w:t>hypofibrinogenémiou</w:t>
      </w:r>
      <w:proofErr w:type="spellEnd"/>
      <w:r w:rsidRPr="00C60ED1">
        <w:rPr>
          <w:sz w:val="22"/>
          <w:szCs w:val="22"/>
          <w:lang w:val="sk-SK"/>
        </w:rPr>
        <w:t xml:space="preserve"> a/alebo znížením ďalších koagulačných faktorov. Taktiež bola hlásená </w:t>
      </w:r>
      <w:proofErr w:type="spellStart"/>
      <w:r w:rsidRPr="00C60ED1">
        <w:rPr>
          <w:sz w:val="22"/>
          <w:szCs w:val="22"/>
          <w:lang w:val="sk-SK"/>
        </w:rPr>
        <w:t>afibrinogenémia</w:t>
      </w:r>
      <w:proofErr w:type="spellEnd"/>
      <w:r w:rsidRPr="00C60ED1">
        <w:rPr>
          <w:sz w:val="22"/>
          <w:szCs w:val="22"/>
          <w:lang w:val="sk-SK"/>
        </w:rPr>
        <w:t xml:space="preserve">, ktorá môže byť fatálna. Avšak tento syndróm je potrebné odlíšiť od poklesu faktorov vitamínu K vyvolaných </w:t>
      </w:r>
      <w:proofErr w:type="spellStart"/>
      <w:r w:rsidRPr="00C60ED1">
        <w:rPr>
          <w:sz w:val="22"/>
          <w:szCs w:val="22"/>
          <w:lang w:val="sk-SK"/>
        </w:rPr>
        <w:t>fenobarbitalom</w:t>
      </w:r>
      <w:proofErr w:type="spellEnd"/>
      <w:r w:rsidRPr="00C60ED1">
        <w:rPr>
          <w:sz w:val="22"/>
          <w:szCs w:val="22"/>
          <w:lang w:val="sk-SK"/>
        </w:rPr>
        <w:t xml:space="preserve"> a enzymatickými induktormi. Preto sa musí u novorodencov vyšetriť počet krvných doštičiek, hladina </w:t>
      </w:r>
      <w:proofErr w:type="spellStart"/>
      <w:r w:rsidRPr="00C60ED1">
        <w:rPr>
          <w:sz w:val="22"/>
          <w:szCs w:val="22"/>
          <w:lang w:val="sk-SK"/>
        </w:rPr>
        <w:t>fibronogénu</w:t>
      </w:r>
      <w:proofErr w:type="spellEnd"/>
      <w:r w:rsidRPr="00C60ED1">
        <w:rPr>
          <w:sz w:val="22"/>
          <w:szCs w:val="22"/>
          <w:lang w:val="sk-SK"/>
        </w:rPr>
        <w:t xml:space="preserve"> v plazme, koagulačné faktory a urobiť koagulačné testy.</w:t>
      </w:r>
    </w:p>
    <w:p w14:paraId="5484E566" w14:textId="2301A57F" w:rsidR="00EF24DA" w:rsidRPr="00C60ED1" w:rsidRDefault="00EF24DA" w:rsidP="00C50996">
      <w:pPr>
        <w:pStyle w:val="Odsekzoznamu"/>
        <w:numPr>
          <w:ilvl w:val="0"/>
          <w:numId w:val="17"/>
        </w:numPr>
        <w:ind w:left="567" w:hanging="567"/>
        <w:outlineLvl w:val="0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U novorodencov, ktorých matky užívali valpro</w:t>
      </w:r>
      <w:r w:rsidR="00751FEF" w:rsidRPr="00C60ED1">
        <w:rPr>
          <w:sz w:val="22"/>
          <w:szCs w:val="22"/>
          <w:lang w:val="sk-SK"/>
        </w:rPr>
        <w:t>át</w:t>
      </w:r>
      <w:r w:rsidRPr="00C60ED1">
        <w:rPr>
          <w:sz w:val="22"/>
          <w:szCs w:val="22"/>
          <w:lang w:val="sk-SK"/>
        </w:rPr>
        <w:t xml:space="preserve"> počas tretieho </w:t>
      </w:r>
      <w:proofErr w:type="spellStart"/>
      <w:r w:rsidRPr="00C60ED1">
        <w:rPr>
          <w:sz w:val="22"/>
          <w:szCs w:val="22"/>
          <w:lang w:val="sk-SK"/>
        </w:rPr>
        <w:t>trimestra</w:t>
      </w:r>
      <w:proofErr w:type="spellEnd"/>
      <w:r w:rsidRPr="00C60ED1">
        <w:rPr>
          <w:sz w:val="22"/>
          <w:szCs w:val="22"/>
          <w:lang w:val="sk-SK"/>
        </w:rPr>
        <w:t xml:space="preserve"> gravidity, boli hlásené prípady </w:t>
      </w:r>
      <w:proofErr w:type="spellStart"/>
      <w:r w:rsidRPr="00C60ED1">
        <w:rPr>
          <w:sz w:val="22"/>
          <w:szCs w:val="22"/>
          <w:lang w:val="sk-SK"/>
        </w:rPr>
        <w:t>hypoglykémie</w:t>
      </w:r>
      <w:proofErr w:type="spellEnd"/>
      <w:r w:rsidRPr="00C60ED1">
        <w:rPr>
          <w:sz w:val="22"/>
          <w:szCs w:val="22"/>
          <w:lang w:val="sk-SK"/>
        </w:rPr>
        <w:t>.</w:t>
      </w:r>
    </w:p>
    <w:p w14:paraId="09615EB0" w14:textId="1136B468" w:rsidR="00EF24DA" w:rsidRPr="00C60ED1" w:rsidRDefault="00EF24DA" w:rsidP="00C50996">
      <w:pPr>
        <w:pStyle w:val="Odsekzoznamu"/>
        <w:numPr>
          <w:ilvl w:val="0"/>
          <w:numId w:val="17"/>
        </w:numPr>
        <w:ind w:left="567" w:hanging="567"/>
        <w:outlineLvl w:val="0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U novorodencov, ktorých matky užívali valpro</w:t>
      </w:r>
      <w:r w:rsidR="00751FEF" w:rsidRPr="00C60ED1">
        <w:rPr>
          <w:sz w:val="22"/>
          <w:szCs w:val="22"/>
          <w:lang w:val="sk-SK"/>
        </w:rPr>
        <w:t>át</w:t>
      </w:r>
      <w:r w:rsidRPr="00C60ED1">
        <w:rPr>
          <w:sz w:val="22"/>
          <w:szCs w:val="22"/>
          <w:lang w:val="sk-SK"/>
        </w:rPr>
        <w:t xml:space="preserve"> počas gravidity, boli hlásené prípady </w:t>
      </w:r>
      <w:proofErr w:type="spellStart"/>
      <w:r w:rsidRPr="00C60ED1">
        <w:rPr>
          <w:sz w:val="22"/>
          <w:szCs w:val="22"/>
          <w:lang w:val="sk-SK"/>
        </w:rPr>
        <w:t>hypotyreózy</w:t>
      </w:r>
      <w:proofErr w:type="spellEnd"/>
      <w:r w:rsidRPr="00C60ED1">
        <w:rPr>
          <w:sz w:val="22"/>
          <w:szCs w:val="22"/>
          <w:lang w:val="sk-SK"/>
        </w:rPr>
        <w:t>.</w:t>
      </w:r>
    </w:p>
    <w:p w14:paraId="777A373D" w14:textId="7AB3C741" w:rsidR="00EF24DA" w:rsidRPr="00C60ED1" w:rsidRDefault="00EF24DA" w:rsidP="00C50996">
      <w:pPr>
        <w:pStyle w:val="Odsekzoznamu"/>
        <w:numPr>
          <w:ilvl w:val="0"/>
          <w:numId w:val="17"/>
        </w:numPr>
        <w:ind w:left="567" w:hanging="567"/>
        <w:outlineLvl w:val="0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U novorodencov, ktorých matky užívali valpro</w:t>
      </w:r>
      <w:r w:rsidR="00751FEF" w:rsidRPr="00C60ED1">
        <w:rPr>
          <w:sz w:val="22"/>
          <w:szCs w:val="22"/>
          <w:lang w:val="sk-SK"/>
        </w:rPr>
        <w:t>át</w:t>
      </w:r>
      <w:r w:rsidRPr="00C60ED1">
        <w:rPr>
          <w:sz w:val="22"/>
          <w:szCs w:val="22"/>
          <w:lang w:val="sk-SK"/>
        </w:rPr>
        <w:t xml:space="preserve"> počas tretieho </w:t>
      </w:r>
      <w:proofErr w:type="spellStart"/>
      <w:r w:rsidRPr="00C60ED1">
        <w:rPr>
          <w:sz w:val="22"/>
          <w:szCs w:val="22"/>
          <w:lang w:val="sk-SK"/>
        </w:rPr>
        <w:t>trimestra</w:t>
      </w:r>
      <w:proofErr w:type="spellEnd"/>
      <w:r w:rsidRPr="00C60ED1">
        <w:rPr>
          <w:sz w:val="22"/>
          <w:szCs w:val="22"/>
          <w:lang w:val="sk-SK"/>
        </w:rPr>
        <w:t xml:space="preserve"> gravidity, sa môže vyskytnúť syndróm z vysadenia (ako je najmä nepokoj, podráždenosť, nadmerná </w:t>
      </w:r>
      <w:proofErr w:type="spellStart"/>
      <w:r w:rsidRPr="00C60ED1">
        <w:rPr>
          <w:sz w:val="22"/>
          <w:szCs w:val="22"/>
          <w:lang w:val="sk-SK"/>
        </w:rPr>
        <w:t>vzrušivosť</w:t>
      </w:r>
      <w:proofErr w:type="spellEnd"/>
      <w:r w:rsidRPr="00C60ED1">
        <w:rPr>
          <w:sz w:val="22"/>
          <w:szCs w:val="22"/>
          <w:lang w:val="sk-SK"/>
        </w:rPr>
        <w:t xml:space="preserve">, nervozita, </w:t>
      </w:r>
      <w:proofErr w:type="spellStart"/>
      <w:r w:rsidRPr="00C60ED1">
        <w:rPr>
          <w:sz w:val="22"/>
          <w:szCs w:val="22"/>
          <w:lang w:val="sk-SK"/>
        </w:rPr>
        <w:t>hyperkinéza</w:t>
      </w:r>
      <w:proofErr w:type="spellEnd"/>
      <w:r w:rsidRPr="00C60ED1">
        <w:rPr>
          <w:sz w:val="22"/>
          <w:szCs w:val="22"/>
          <w:lang w:val="sk-SK"/>
        </w:rPr>
        <w:t>, tonické poruchy, tras, kŕče a poruchy kŕmenia).</w:t>
      </w:r>
    </w:p>
    <w:p w14:paraId="26A60CEF" w14:textId="77777777" w:rsidR="00EF24DA" w:rsidRPr="00C60ED1" w:rsidRDefault="00EF24DA" w:rsidP="00C50996">
      <w:pPr>
        <w:outlineLvl w:val="0"/>
        <w:rPr>
          <w:sz w:val="22"/>
          <w:szCs w:val="22"/>
          <w:lang w:val="sk-SK"/>
        </w:rPr>
      </w:pPr>
    </w:p>
    <w:p w14:paraId="4B4AE459" w14:textId="77777777" w:rsidR="00EF24DA" w:rsidRPr="00C60ED1" w:rsidRDefault="00766086" w:rsidP="00C50996">
      <w:pPr>
        <w:keepNext/>
        <w:outlineLvl w:val="0"/>
        <w:rPr>
          <w:sz w:val="22"/>
          <w:szCs w:val="22"/>
          <w:u w:val="single"/>
          <w:lang w:val="sk-SK"/>
        </w:rPr>
      </w:pPr>
      <w:r w:rsidRPr="00C60ED1">
        <w:rPr>
          <w:sz w:val="22"/>
          <w:szCs w:val="22"/>
          <w:u w:val="single"/>
          <w:lang w:val="sk-SK"/>
        </w:rPr>
        <w:lastRenderedPageBreak/>
        <w:t>Dojčenie</w:t>
      </w:r>
    </w:p>
    <w:p w14:paraId="1326F4AA" w14:textId="5DF001C5" w:rsidR="00766086" w:rsidRPr="00C60ED1" w:rsidRDefault="00766086" w:rsidP="00C50996">
      <w:pPr>
        <w:keepNext/>
        <w:outlineLvl w:val="0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Valpro</w:t>
      </w:r>
      <w:r w:rsidR="00751FEF" w:rsidRPr="00C60ED1">
        <w:rPr>
          <w:sz w:val="22"/>
          <w:szCs w:val="22"/>
          <w:lang w:val="sk-SK"/>
        </w:rPr>
        <w:t>át</w:t>
      </w:r>
      <w:r w:rsidRPr="00C60ED1">
        <w:rPr>
          <w:sz w:val="22"/>
          <w:szCs w:val="22"/>
          <w:lang w:val="sk-SK"/>
        </w:rPr>
        <w:t xml:space="preserve"> sa vylučuje do materského mlieka s koncentráciou v rozmedzí od 1 % do 10 % hladiny v sére matky. U kojených novorodencov/dojčiat liečených žien boli hlásené hematologické poruchy (pozri časť 4.8).</w:t>
      </w:r>
    </w:p>
    <w:p w14:paraId="5884D86D" w14:textId="77777777" w:rsidR="00766086" w:rsidRPr="00C60ED1" w:rsidRDefault="00766086" w:rsidP="00C50996">
      <w:pPr>
        <w:outlineLvl w:val="0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Rozhodnutie, či ukončiť dojčenie alebo ukončiť/prerušiť liečbu liekom </w:t>
      </w:r>
      <w:proofErr w:type="spellStart"/>
      <w:r w:rsidRPr="00C60ED1">
        <w:rPr>
          <w:sz w:val="22"/>
          <w:szCs w:val="22"/>
          <w:lang w:val="sk-SK"/>
        </w:rPr>
        <w:t>Orfiril</w:t>
      </w:r>
      <w:proofErr w:type="spellEnd"/>
      <w:r w:rsidRPr="00C60ED1">
        <w:rPr>
          <w:sz w:val="22"/>
          <w:szCs w:val="22"/>
          <w:lang w:val="sk-SK"/>
        </w:rPr>
        <w:t xml:space="preserve"> </w:t>
      </w:r>
      <w:r w:rsidR="007967FC" w:rsidRPr="00C60ED1">
        <w:rPr>
          <w:sz w:val="22"/>
          <w:szCs w:val="22"/>
          <w:lang w:val="sk-SK"/>
        </w:rPr>
        <w:t>150/300/600</w:t>
      </w:r>
      <w:r w:rsidRPr="00C60ED1">
        <w:rPr>
          <w:sz w:val="22"/>
          <w:szCs w:val="22"/>
          <w:lang w:val="sk-SK"/>
        </w:rPr>
        <w:t xml:space="preserve"> sa má urobiť po zvážení prínosu dojčenia pre dieťa oproti prínosu liečby pre ženu.</w:t>
      </w:r>
    </w:p>
    <w:p w14:paraId="7B6FB00D" w14:textId="77777777" w:rsidR="00766086" w:rsidRPr="00C60ED1" w:rsidRDefault="00766086" w:rsidP="00C50996">
      <w:pPr>
        <w:outlineLvl w:val="0"/>
        <w:rPr>
          <w:sz w:val="22"/>
          <w:szCs w:val="22"/>
          <w:lang w:val="sk-SK"/>
        </w:rPr>
      </w:pPr>
    </w:p>
    <w:p w14:paraId="06C1D67E" w14:textId="77777777" w:rsidR="00A2639E" w:rsidRPr="00C60ED1" w:rsidRDefault="00A2639E" w:rsidP="00C50996">
      <w:pPr>
        <w:keepNext/>
        <w:outlineLvl w:val="0"/>
        <w:rPr>
          <w:sz w:val="22"/>
          <w:szCs w:val="22"/>
          <w:u w:val="single"/>
          <w:lang w:val="sk-SK"/>
        </w:rPr>
      </w:pPr>
      <w:r w:rsidRPr="00C60ED1">
        <w:rPr>
          <w:sz w:val="22"/>
          <w:szCs w:val="22"/>
          <w:u w:val="single"/>
          <w:lang w:val="sk-SK"/>
        </w:rPr>
        <w:t>Fertilita</w:t>
      </w:r>
    </w:p>
    <w:p w14:paraId="554E4550" w14:textId="78E4C41E" w:rsidR="00A2639E" w:rsidRPr="00C60ED1" w:rsidRDefault="00A2639E" w:rsidP="00C50996">
      <w:pPr>
        <w:keepNext/>
        <w:outlineLvl w:val="0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U žien užívajúcich valpro</w:t>
      </w:r>
      <w:r w:rsidR="00751FEF" w:rsidRPr="00C60ED1">
        <w:rPr>
          <w:sz w:val="22"/>
          <w:szCs w:val="22"/>
          <w:lang w:val="sk-SK"/>
        </w:rPr>
        <w:t>át</w:t>
      </w:r>
      <w:r w:rsidRPr="00C60ED1">
        <w:rPr>
          <w:sz w:val="22"/>
          <w:szCs w:val="22"/>
          <w:lang w:val="sk-SK"/>
        </w:rPr>
        <w:t xml:space="preserve"> boli hlásené </w:t>
      </w:r>
      <w:proofErr w:type="spellStart"/>
      <w:r w:rsidRPr="00C60ED1">
        <w:rPr>
          <w:sz w:val="22"/>
          <w:szCs w:val="22"/>
          <w:lang w:val="sk-SK"/>
        </w:rPr>
        <w:t>amenorea</w:t>
      </w:r>
      <w:proofErr w:type="spellEnd"/>
      <w:r w:rsidRPr="00C60ED1">
        <w:rPr>
          <w:sz w:val="22"/>
          <w:szCs w:val="22"/>
          <w:lang w:val="sk-SK"/>
        </w:rPr>
        <w:t xml:space="preserve">, </w:t>
      </w:r>
      <w:proofErr w:type="spellStart"/>
      <w:r w:rsidRPr="00C60ED1">
        <w:rPr>
          <w:sz w:val="22"/>
          <w:szCs w:val="22"/>
          <w:lang w:val="sk-SK"/>
        </w:rPr>
        <w:t>polycystické</w:t>
      </w:r>
      <w:proofErr w:type="spellEnd"/>
      <w:r w:rsidRPr="00C60ED1">
        <w:rPr>
          <w:sz w:val="22"/>
          <w:szCs w:val="22"/>
          <w:lang w:val="sk-SK"/>
        </w:rPr>
        <w:t xml:space="preserve"> vaječníky a zvýšené hladiny </w:t>
      </w:r>
      <w:proofErr w:type="spellStart"/>
      <w:r w:rsidRPr="00C60ED1">
        <w:rPr>
          <w:sz w:val="22"/>
          <w:szCs w:val="22"/>
          <w:lang w:val="sk-SK"/>
        </w:rPr>
        <w:t>testosterónu</w:t>
      </w:r>
      <w:proofErr w:type="spellEnd"/>
      <w:r w:rsidRPr="00C60ED1">
        <w:rPr>
          <w:sz w:val="22"/>
          <w:szCs w:val="22"/>
          <w:lang w:val="sk-SK"/>
        </w:rPr>
        <w:t xml:space="preserve"> (pozri časť 4.8). Podávanie valpro</w:t>
      </w:r>
      <w:r w:rsidR="00751FEF" w:rsidRPr="00C60ED1">
        <w:rPr>
          <w:sz w:val="22"/>
          <w:szCs w:val="22"/>
          <w:lang w:val="sk-SK"/>
        </w:rPr>
        <w:t>át</w:t>
      </w:r>
      <w:r w:rsidRPr="00C60ED1">
        <w:rPr>
          <w:sz w:val="22"/>
          <w:szCs w:val="22"/>
          <w:lang w:val="sk-SK"/>
        </w:rPr>
        <w:t xml:space="preserve">u môže taktiež narušiť </w:t>
      </w:r>
      <w:proofErr w:type="spellStart"/>
      <w:r w:rsidRPr="00C60ED1">
        <w:rPr>
          <w:sz w:val="22"/>
          <w:szCs w:val="22"/>
          <w:lang w:val="sk-SK"/>
        </w:rPr>
        <w:t>fertilitu</w:t>
      </w:r>
      <w:proofErr w:type="spellEnd"/>
      <w:r w:rsidRPr="00C60ED1">
        <w:rPr>
          <w:sz w:val="22"/>
          <w:szCs w:val="22"/>
          <w:lang w:val="sk-SK"/>
        </w:rPr>
        <w:t xml:space="preserve"> mužov (pozri časť 4.8). Kazuistiky ukazujú, že poruchy </w:t>
      </w:r>
      <w:proofErr w:type="spellStart"/>
      <w:r w:rsidRPr="00C60ED1">
        <w:rPr>
          <w:sz w:val="22"/>
          <w:szCs w:val="22"/>
          <w:lang w:val="sk-SK"/>
        </w:rPr>
        <w:t>fertility</w:t>
      </w:r>
      <w:proofErr w:type="spellEnd"/>
      <w:r w:rsidRPr="00C60ED1">
        <w:rPr>
          <w:sz w:val="22"/>
          <w:szCs w:val="22"/>
          <w:lang w:val="sk-SK"/>
        </w:rPr>
        <w:t xml:space="preserve"> sú po ukončení liečby reverzibilné.</w:t>
      </w:r>
    </w:p>
    <w:p w14:paraId="36C5E7FA" w14:textId="77777777" w:rsidR="00A2639E" w:rsidRPr="00C60ED1" w:rsidRDefault="00A2639E" w:rsidP="00C50996">
      <w:pPr>
        <w:outlineLvl w:val="0"/>
        <w:rPr>
          <w:sz w:val="22"/>
          <w:szCs w:val="22"/>
          <w:lang w:val="sk-SK"/>
        </w:rPr>
      </w:pPr>
    </w:p>
    <w:p w14:paraId="3C386614" w14:textId="77777777" w:rsidR="00D62B1B" w:rsidRPr="00C60ED1" w:rsidRDefault="00D62B1B" w:rsidP="00C50996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C60ED1">
        <w:rPr>
          <w:b/>
          <w:sz w:val="22"/>
          <w:szCs w:val="22"/>
          <w:lang w:val="sk-SK"/>
        </w:rPr>
        <w:t>4.7</w:t>
      </w:r>
      <w:r w:rsidRPr="00C60ED1">
        <w:rPr>
          <w:b/>
          <w:sz w:val="22"/>
          <w:szCs w:val="22"/>
          <w:lang w:val="sk-SK"/>
        </w:rPr>
        <w:tab/>
        <w:t>Ovplyvnenie schopnosti viesť vozidlá a obsluhovať stroje</w:t>
      </w:r>
    </w:p>
    <w:p w14:paraId="6719EBAD" w14:textId="77777777" w:rsidR="0071036C" w:rsidRPr="00C60ED1" w:rsidRDefault="0071036C" w:rsidP="00C50996">
      <w:pPr>
        <w:keepNext/>
        <w:tabs>
          <w:tab w:val="left" w:pos="426"/>
        </w:tabs>
        <w:rPr>
          <w:b/>
          <w:sz w:val="22"/>
          <w:szCs w:val="22"/>
          <w:lang w:val="sk-SK"/>
        </w:rPr>
      </w:pPr>
    </w:p>
    <w:p w14:paraId="5AB0EA40" w14:textId="7B44A682" w:rsidR="00D62B1B" w:rsidRPr="00C60ED1" w:rsidRDefault="00D62B1B" w:rsidP="00C50996">
      <w:pPr>
        <w:pStyle w:val="Zkladntext"/>
        <w:keepNext/>
        <w:tabs>
          <w:tab w:val="left" w:pos="-426"/>
        </w:tabs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Na za</w:t>
      </w:r>
      <w:r w:rsidR="009B15BE" w:rsidRPr="00C60ED1">
        <w:rPr>
          <w:sz w:val="22"/>
          <w:szCs w:val="22"/>
          <w:lang w:val="sk-SK"/>
        </w:rPr>
        <w:t xml:space="preserve">čiatku terapie </w:t>
      </w:r>
      <w:proofErr w:type="spellStart"/>
      <w:r w:rsidR="00AE7AAF" w:rsidRPr="00C60ED1">
        <w:rPr>
          <w:sz w:val="22"/>
          <w:szCs w:val="22"/>
          <w:lang w:val="sk-SK"/>
        </w:rPr>
        <w:t>v</w:t>
      </w:r>
      <w:r w:rsidR="00AE7AAF" w:rsidRPr="00C60ED1">
        <w:rPr>
          <w:sz w:val="22"/>
          <w:szCs w:val="22"/>
          <w:lang w:val="sk-SK" w:eastAsia="sk-SK"/>
        </w:rPr>
        <w:t>alpro</w:t>
      </w:r>
      <w:r w:rsidR="00751FEF" w:rsidRPr="00C60ED1">
        <w:rPr>
          <w:sz w:val="22"/>
          <w:szCs w:val="22"/>
          <w:lang w:val="sk-SK" w:eastAsia="sk-SK"/>
        </w:rPr>
        <w:t>áto</w:t>
      </w:r>
      <w:r w:rsidR="00AE7AAF" w:rsidRPr="00C60ED1">
        <w:rPr>
          <w:sz w:val="22"/>
          <w:szCs w:val="22"/>
          <w:lang w:val="sk-SK" w:eastAsia="sk-SK"/>
        </w:rPr>
        <w:t>m</w:t>
      </w:r>
      <w:proofErr w:type="spellEnd"/>
      <w:r w:rsidR="00AE7AAF" w:rsidRPr="00C60ED1">
        <w:rPr>
          <w:sz w:val="22"/>
          <w:szCs w:val="22"/>
          <w:lang w:val="sk-SK" w:eastAsia="sk-SK"/>
        </w:rPr>
        <w:t xml:space="preserve"> sodným</w:t>
      </w:r>
      <w:r w:rsidRPr="00C60ED1">
        <w:rPr>
          <w:sz w:val="22"/>
          <w:szCs w:val="22"/>
          <w:lang w:val="sk-SK"/>
        </w:rPr>
        <w:t xml:space="preserve">, pri vyšších dávkach alebo pri kombináciách s inými liekmi, ktoré majú vplyv na centrálny nervový systém, ako aj s alkoholom, sa môžu natoľko zmeniť reakčné schopnosti – nezávisle od základného ochorenia – že schopnosť </w:t>
      </w:r>
      <w:r w:rsidR="00AE7AAF" w:rsidRPr="00C60ED1">
        <w:rPr>
          <w:sz w:val="22"/>
          <w:szCs w:val="22"/>
          <w:lang w:val="sk-SK"/>
        </w:rPr>
        <w:t xml:space="preserve">viesť </w:t>
      </w:r>
      <w:r w:rsidRPr="00C60ED1">
        <w:rPr>
          <w:sz w:val="22"/>
          <w:szCs w:val="22"/>
          <w:lang w:val="sk-SK"/>
        </w:rPr>
        <w:t>vozidl</w:t>
      </w:r>
      <w:r w:rsidR="00AE7AAF" w:rsidRPr="00C60ED1">
        <w:rPr>
          <w:sz w:val="22"/>
          <w:szCs w:val="22"/>
          <w:lang w:val="sk-SK"/>
        </w:rPr>
        <w:t>á</w:t>
      </w:r>
      <w:r w:rsidRPr="00C60ED1">
        <w:rPr>
          <w:sz w:val="22"/>
          <w:szCs w:val="22"/>
          <w:lang w:val="sk-SK"/>
        </w:rPr>
        <w:t xml:space="preserve"> alebo obsluhovať stroje je znížená. Pre alkohol to platí ešte vo zvýšenej miere.</w:t>
      </w:r>
    </w:p>
    <w:p w14:paraId="5017830C" w14:textId="77777777" w:rsidR="00D62B1B" w:rsidRPr="00C60ED1" w:rsidRDefault="00D62B1B" w:rsidP="00C60ED1">
      <w:pPr>
        <w:tabs>
          <w:tab w:val="left" w:pos="426"/>
        </w:tabs>
        <w:rPr>
          <w:b/>
          <w:sz w:val="22"/>
          <w:szCs w:val="22"/>
          <w:lang w:val="sk-SK"/>
        </w:rPr>
      </w:pPr>
    </w:p>
    <w:p w14:paraId="310B4F7B" w14:textId="77777777" w:rsidR="00D62B1B" w:rsidRPr="00C60ED1" w:rsidRDefault="009B15BE" w:rsidP="00C50996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C60ED1">
        <w:rPr>
          <w:b/>
          <w:sz w:val="22"/>
          <w:szCs w:val="22"/>
          <w:lang w:val="sk-SK"/>
        </w:rPr>
        <w:t>4.8</w:t>
      </w:r>
      <w:r w:rsidRPr="00C60ED1">
        <w:rPr>
          <w:b/>
          <w:sz w:val="22"/>
          <w:szCs w:val="22"/>
          <w:lang w:val="sk-SK"/>
        </w:rPr>
        <w:tab/>
        <w:t>Nežiadu</w:t>
      </w:r>
      <w:r w:rsidR="00D62B1B" w:rsidRPr="00C60ED1">
        <w:rPr>
          <w:b/>
          <w:sz w:val="22"/>
          <w:szCs w:val="22"/>
          <w:lang w:val="sk-SK"/>
        </w:rPr>
        <w:t>ce účinky</w:t>
      </w:r>
    </w:p>
    <w:p w14:paraId="3FF2FD0C" w14:textId="77777777" w:rsidR="0071036C" w:rsidRPr="00C60ED1" w:rsidRDefault="0071036C" w:rsidP="00C50996">
      <w:pPr>
        <w:keepNext/>
        <w:tabs>
          <w:tab w:val="left" w:pos="426"/>
        </w:tabs>
        <w:rPr>
          <w:sz w:val="22"/>
          <w:szCs w:val="22"/>
          <w:lang w:val="sk-SK"/>
        </w:rPr>
      </w:pPr>
    </w:p>
    <w:p w14:paraId="19F4FFA5" w14:textId="13B4D3EC" w:rsidR="00D62B1B" w:rsidRPr="00C60ED1" w:rsidRDefault="009B15BE" w:rsidP="00C50996">
      <w:pPr>
        <w:pStyle w:val="Zkladntext"/>
        <w:keepNext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Najčastejšie hlásené nežiaduce účinky pre </w:t>
      </w:r>
      <w:r w:rsidR="00AE7AAF" w:rsidRPr="00C60ED1">
        <w:rPr>
          <w:sz w:val="22"/>
          <w:szCs w:val="22"/>
          <w:lang w:val="sk-SK"/>
        </w:rPr>
        <w:t>v</w:t>
      </w:r>
      <w:r w:rsidR="00AE7AAF" w:rsidRPr="00C60ED1">
        <w:rPr>
          <w:sz w:val="22"/>
          <w:szCs w:val="22"/>
          <w:lang w:val="sk-SK" w:eastAsia="sk-SK"/>
        </w:rPr>
        <w:t>alpro</w:t>
      </w:r>
      <w:r w:rsidR="00751FEF" w:rsidRPr="00C60ED1">
        <w:rPr>
          <w:sz w:val="22"/>
          <w:szCs w:val="22"/>
          <w:lang w:val="sk-SK" w:eastAsia="sk-SK"/>
        </w:rPr>
        <w:t>át</w:t>
      </w:r>
      <w:r w:rsidR="00AE7AAF" w:rsidRPr="00C60ED1">
        <w:rPr>
          <w:sz w:val="22"/>
          <w:szCs w:val="22"/>
          <w:lang w:val="sk-SK" w:eastAsia="sk-SK"/>
        </w:rPr>
        <w:t xml:space="preserve"> sodný </w:t>
      </w:r>
      <w:r w:rsidR="00D62B1B" w:rsidRPr="00C60ED1">
        <w:rPr>
          <w:sz w:val="22"/>
          <w:szCs w:val="22"/>
          <w:lang w:val="sk-SK"/>
        </w:rPr>
        <w:t>sú gastrointestinálne poruchy, ktoré sa vyskytujú približne u</w:t>
      </w:r>
      <w:r w:rsidR="005A409B" w:rsidRPr="00C60ED1">
        <w:rPr>
          <w:sz w:val="22"/>
          <w:szCs w:val="22"/>
          <w:lang w:val="sk-SK"/>
        </w:rPr>
        <w:t> </w:t>
      </w:r>
      <w:r w:rsidR="00D62B1B" w:rsidRPr="00C60ED1">
        <w:rPr>
          <w:sz w:val="22"/>
          <w:szCs w:val="22"/>
          <w:lang w:val="sk-SK"/>
        </w:rPr>
        <w:t>20</w:t>
      </w:r>
      <w:r w:rsidR="005A409B" w:rsidRPr="00C60ED1">
        <w:rPr>
          <w:sz w:val="22"/>
          <w:szCs w:val="22"/>
          <w:lang w:val="sk-SK"/>
        </w:rPr>
        <w:t xml:space="preserve"> </w:t>
      </w:r>
      <w:r w:rsidR="00D62B1B" w:rsidRPr="00C60ED1">
        <w:rPr>
          <w:sz w:val="22"/>
          <w:szCs w:val="22"/>
          <w:lang w:val="sk-SK"/>
        </w:rPr>
        <w:t>% pacientov.</w:t>
      </w:r>
      <w:r w:rsidR="00D62B1B" w:rsidRPr="00C60ED1">
        <w:rPr>
          <w:noProof/>
          <w:sz w:val="22"/>
          <w:szCs w:val="22"/>
          <w:lang w:val="sk-SK"/>
        </w:rPr>
        <w:t xml:space="preserve"> Častým </w:t>
      </w:r>
      <w:r w:rsidR="00310026" w:rsidRPr="00C60ED1">
        <w:rPr>
          <w:noProof/>
          <w:sz w:val="22"/>
          <w:szCs w:val="22"/>
          <w:lang w:val="sk-SK"/>
        </w:rPr>
        <w:t xml:space="preserve">nežiaducim </w:t>
      </w:r>
      <w:r w:rsidR="00D62B1B" w:rsidRPr="00C60ED1">
        <w:rPr>
          <w:noProof/>
          <w:sz w:val="22"/>
          <w:szCs w:val="22"/>
          <w:lang w:val="sk-SK"/>
        </w:rPr>
        <w:t>účinkom je nárast hmotnosti</w:t>
      </w:r>
      <w:r w:rsidR="00D62B1B" w:rsidRPr="00C60ED1">
        <w:rPr>
          <w:sz w:val="22"/>
          <w:szCs w:val="22"/>
          <w:lang w:val="sk-SK"/>
        </w:rPr>
        <w:t xml:space="preserve"> (</w:t>
      </w:r>
      <w:r w:rsidR="00D62B1B" w:rsidRPr="00C60ED1">
        <w:rPr>
          <w:sz w:val="22"/>
          <w:szCs w:val="22"/>
          <w:lang w:val="sk-SK"/>
        </w:rPr>
        <w:sym w:font="Symbol" w:char="F0B3"/>
      </w:r>
      <w:r w:rsidR="00D62B1B" w:rsidRPr="00C60ED1">
        <w:rPr>
          <w:sz w:val="22"/>
          <w:szCs w:val="22"/>
          <w:lang w:val="sk-SK"/>
        </w:rPr>
        <w:t>1</w:t>
      </w:r>
      <w:r w:rsidR="005A409B" w:rsidRPr="00C60ED1">
        <w:rPr>
          <w:sz w:val="22"/>
          <w:szCs w:val="22"/>
          <w:lang w:val="sk-SK"/>
        </w:rPr>
        <w:t xml:space="preserve"> </w:t>
      </w:r>
      <w:r w:rsidR="00D62B1B" w:rsidRPr="00C60ED1">
        <w:rPr>
          <w:sz w:val="22"/>
          <w:szCs w:val="22"/>
          <w:lang w:val="sk-SK"/>
        </w:rPr>
        <w:t>% - &lt;10</w:t>
      </w:r>
      <w:r w:rsidR="005A409B" w:rsidRPr="00C60ED1">
        <w:rPr>
          <w:sz w:val="22"/>
          <w:szCs w:val="22"/>
          <w:lang w:val="sk-SK"/>
        </w:rPr>
        <w:t xml:space="preserve"> </w:t>
      </w:r>
      <w:r w:rsidR="00D62B1B" w:rsidRPr="00C60ED1">
        <w:rPr>
          <w:sz w:val="22"/>
          <w:szCs w:val="22"/>
          <w:lang w:val="sk-SK"/>
        </w:rPr>
        <w:t>%). Prípady ťažkého (dokonca</w:t>
      </w:r>
      <w:r w:rsidR="00310026" w:rsidRPr="00C60ED1">
        <w:rPr>
          <w:sz w:val="22"/>
          <w:szCs w:val="22"/>
          <w:lang w:val="sk-SK"/>
        </w:rPr>
        <w:t xml:space="preserve"> aj</w:t>
      </w:r>
      <w:r w:rsidR="00D62B1B" w:rsidRPr="00C60ED1">
        <w:rPr>
          <w:sz w:val="22"/>
          <w:szCs w:val="22"/>
          <w:lang w:val="sk-SK"/>
        </w:rPr>
        <w:t xml:space="preserve"> smrteľného) poškodenia pečene boli pozorované najmä u detí liečených vysokými dávkami alebo v kombinácii s inými antiepileptikami.</w:t>
      </w:r>
    </w:p>
    <w:p w14:paraId="67002E3D" w14:textId="77777777" w:rsidR="00D62B1B" w:rsidRPr="00C60ED1" w:rsidRDefault="00D62B1B" w:rsidP="00C50996">
      <w:pPr>
        <w:keepLines/>
        <w:rPr>
          <w:sz w:val="22"/>
          <w:szCs w:val="22"/>
          <w:lang w:val="sk-SK"/>
        </w:rPr>
      </w:pPr>
    </w:p>
    <w:p w14:paraId="0CFAB713" w14:textId="77777777" w:rsidR="00D62B1B" w:rsidRPr="00C60ED1" w:rsidRDefault="00310026" w:rsidP="00C50996">
      <w:pPr>
        <w:keepLines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Nežiaduce </w:t>
      </w:r>
      <w:r w:rsidR="00D62B1B" w:rsidRPr="00C60ED1">
        <w:rPr>
          <w:sz w:val="22"/>
          <w:szCs w:val="22"/>
          <w:lang w:val="sk-SK"/>
        </w:rPr>
        <w:t>účinky boli klasifikované v poradí podľa frekvencie spomenutou konvenciou: veľmi časté (</w:t>
      </w:r>
      <w:r w:rsidR="00D62B1B" w:rsidRPr="00C60ED1">
        <w:rPr>
          <w:sz w:val="22"/>
          <w:szCs w:val="22"/>
          <w:lang w:val="sk-SK"/>
        </w:rPr>
        <w:sym w:font="Symbol" w:char="F03E"/>
      </w:r>
      <w:r w:rsidR="00D62B1B" w:rsidRPr="00C60ED1">
        <w:rPr>
          <w:sz w:val="22"/>
          <w:szCs w:val="22"/>
          <w:lang w:val="sk-SK"/>
        </w:rPr>
        <w:t>1/10); časté (</w:t>
      </w:r>
      <w:r w:rsidR="00D62B1B" w:rsidRPr="00C60ED1">
        <w:rPr>
          <w:sz w:val="22"/>
          <w:szCs w:val="22"/>
          <w:lang w:val="sk-SK"/>
        </w:rPr>
        <w:sym w:font="Symbol" w:char="F03E"/>
      </w:r>
      <w:r w:rsidR="00D62B1B" w:rsidRPr="00C60ED1">
        <w:rPr>
          <w:sz w:val="22"/>
          <w:szCs w:val="22"/>
          <w:lang w:val="sk-SK"/>
        </w:rPr>
        <w:t>1/100</w:t>
      </w:r>
      <w:r w:rsidR="005A409B" w:rsidRPr="00C60ED1">
        <w:rPr>
          <w:sz w:val="22"/>
          <w:szCs w:val="22"/>
          <w:lang w:val="sk-SK"/>
        </w:rPr>
        <w:t xml:space="preserve"> až</w:t>
      </w:r>
      <w:r w:rsidR="00D62B1B" w:rsidRPr="00C60ED1">
        <w:rPr>
          <w:sz w:val="22"/>
          <w:szCs w:val="22"/>
          <w:lang w:val="sk-SK"/>
        </w:rPr>
        <w:t xml:space="preserve"> </w:t>
      </w:r>
      <w:r w:rsidR="00D62B1B" w:rsidRPr="00C60ED1">
        <w:rPr>
          <w:sz w:val="22"/>
          <w:szCs w:val="22"/>
          <w:lang w:val="sk-SK"/>
        </w:rPr>
        <w:sym w:font="Symbol" w:char="F03C"/>
      </w:r>
      <w:r w:rsidR="00D62B1B" w:rsidRPr="00C60ED1">
        <w:rPr>
          <w:sz w:val="22"/>
          <w:szCs w:val="22"/>
          <w:lang w:val="sk-SK"/>
        </w:rPr>
        <w:t>1/10); menej časté (</w:t>
      </w:r>
      <w:r w:rsidR="00D62B1B" w:rsidRPr="00C60ED1">
        <w:rPr>
          <w:sz w:val="22"/>
          <w:szCs w:val="22"/>
          <w:lang w:val="sk-SK"/>
        </w:rPr>
        <w:sym w:font="Symbol" w:char="F03E"/>
      </w:r>
      <w:r w:rsidR="00D62B1B" w:rsidRPr="00C60ED1">
        <w:rPr>
          <w:sz w:val="22"/>
          <w:szCs w:val="22"/>
          <w:lang w:val="sk-SK"/>
        </w:rPr>
        <w:t>1/1000</w:t>
      </w:r>
      <w:r w:rsidR="005A409B" w:rsidRPr="00C60ED1">
        <w:rPr>
          <w:sz w:val="22"/>
          <w:szCs w:val="22"/>
          <w:lang w:val="sk-SK"/>
        </w:rPr>
        <w:t xml:space="preserve"> až</w:t>
      </w:r>
      <w:r w:rsidR="00D62B1B" w:rsidRPr="00C60ED1">
        <w:rPr>
          <w:sz w:val="22"/>
          <w:szCs w:val="22"/>
          <w:lang w:val="sk-SK"/>
        </w:rPr>
        <w:t xml:space="preserve"> </w:t>
      </w:r>
      <w:r w:rsidR="00D62B1B" w:rsidRPr="00C60ED1">
        <w:rPr>
          <w:sz w:val="22"/>
          <w:szCs w:val="22"/>
          <w:lang w:val="sk-SK"/>
        </w:rPr>
        <w:sym w:font="Symbol" w:char="F03C"/>
      </w:r>
      <w:r w:rsidR="00D62B1B" w:rsidRPr="00C60ED1">
        <w:rPr>
          <w:sz w:val="22"/>
          <w:szCs w:val="22"/>
          <w:lang w:val="sk-SK"/>
        </w:rPr>
        <w:t>1/100); zriedkavé (</w:t>
      </w:r>
      <w:r w:rsidR="00D62B1B" w:rsidRPr="00C60ED1">
        <w:rPr>
          <w:sz w:val="22"/>
          <w:szCs w:val="22"/>
          <w:lang w:val="sk-SK"/>
        </w:rPr>
        <w:sym w:font="Symbol" w:char="F03E"/>
      </w:r>
      <w:r w:rsidR="00D62B1B" w:rsidRPr="00C60ED1">
        <w:rPr>
          <w:sz w:val="22"/>
          <w:szCs w:val="22"/>
          <w:lang w:val="sk-SK"/>
        </w:rPr>
        <w:t>1/10</w:t>
      </w:r>
      <w:r w:rsidRPr="00C60ED1">
        <w:rPr>
          <w:sz w:val="22"/>
          <w:szCs w:val="22"/>
          <w:lang w:val="sk-SK"/>
        </w:rPr>
        <w:t xml:space="preserve"> </w:t>
      </w:r>
      <w:r w:rsidR="00D62B1B" w:rsidRPr="00C60ED1">
        <w:rPr>
          <w:sz w:val="22"/>
          <w:szCs w:val="22"/>
          <w:lang w:val="sk-SK"/>
        </w:rPr>
        <w:t>000</w:t>
      </w:r>
      <w:r w:rsidR="005A409B" w:rsidRPr="00C60ED1">
        <w:rPr>
          <w:sz w:val="22"/>
          <w:szCs w:val="22"/>
          <w:lang w:val="sk-SK"/>
        </w:rPr>
        <w:t xml:space="preserve"> až</w:t>
      </w:r>
      <w:r w:rsidR="00D62B1B" w:rsidRPr="00C60ED1">
        <w:rPr>
          <w:sz w:val="22"/>
          <w:szCs w:val="22"/>
          <w:lang w:val="sk-SK"/>
        </w:rPr>
        <w:t xml:space="preserve"> </w:t>
      </w:r>
      <w:r w:rsidR="00D62B1B" w:rsidRPr="00C60ED1">
        <w:rPr>
          <w:sz w:val="22"/>
          <w:szCs w:val="22"/>
          <w:lang w:val="sk-SK"/>
        </w:rPr>
        <w:sym w:font="Symbol" w:char="F03C"/>
      </w:r>
      <w:r w:rsidR="00D62B1B" w:rsidRPr="00C60ED1">
        <w:rPr>
          <w:sz w:val="22"/>
          <w:szCs w:val="22"/>
          <w:lang w:val="sk-SK"/>
        </w:rPr>
        <w:t>1/1000); veľmi zriedkavé (</w:t>
      </w:r>
      <w:r w:rsidR="00D62B1B" w:rsidRPr="00C60ED1">
        <w:rPr>
          <w:sz w:val="22"/>
          <w:szCs w:val="22"/>
          <w:lang w:val="sk-SK"/>
        </w:rPr>
        <w:sym w:font="Symbol" w:char="F03C"/>
      </w:r>
      <w:r w:rsidR="00D62B1B" w:rsidRPr="00C60ED1">
        <w:rPr>
          <w:sz w:val="22"/>
          <w:szCs w:val="22"/>
          <w:lang w:val="sk-SK"/>
        </w:rPr>
        <w:t>1/10</w:t>
      </w:r>
      <w:r w:rsidRPr="00C60ED1">
        <w:rPr>
          <w:sz w:val="22"/>
          <w:szCs w:val="22"/>
          <w:lang w:val="sk-SK"/>
        </w:rPr>
        <w:t xml:space="preserve"> </w:t>
      </w:r>
      <w:r w:rsidR="00D62B1B" w:rsidRPr="00C60ED1">
        <w:rPr>
          <w:sz w:val="22"/>
          <w:szCs w:val="22"/>
          <w:lang w:val="sk-SK"/>
        </w:rPr>
        <w:t>000), zahŕňajúce jednotlivé hlásenia.</w:t>
      </w:r>
    </w:p>
    <w:p w14:paraId="094E1060" w14:textId="77777777" w:rsidR="00D62B1B" w:rsidRPr="00C60ED1" w:rsidRDefault="00D62B1B" w:rsidP="00C50996">
      <w:pPr>
        <w:keepLines/>
        <w:rPr>
          <w:sz w:val="22"/>
          <w:szCs w:val="22"/>
          <w:lang w:val="sk-SK"/>
        </w:rPr>
      </w:pPr>
    </w:p>
    <w:p w14:paraId="12D6D665" w14:textId="77777777" w:rsidR="00D62B1B" w:rsidRPr="00C60ED1" w:rsidRDefault="00D62B1B" w:rsidP="00C50996">
      <w:pPr>
        <w:pStyle w:val="Nadpis1"/>
        <w:ind w:left="0"/>
        <w:rPr>
          <w:i/>
          <w:sz w:val="22"/>
          <w:szCs w:val="22"/>
          <w:lang w:val="sk-SK"/>
        </w:rPr>
      </w:pPr>
      <w:r w:rsidRPr="00C60ED1">
        <w:rPr>
          <w:i/>
          <w:sz w:val="22"/>
          <w:szCs w:val="22"/>
          <w:lang w:val="sk-SK"/>
        </w:rPr>
        <w:t>Poruchy krvi a lymfatického systému</w:t>
      </w:r>
    </w:p>
    <w:p w14:paraId="56EB97EA" w14:textId="77777777" w:rsidR="00D62B1B" w:rsidRPr="00C60ED1" w:rsidRDefault="00D62B1B" w:rsidP="00C50996">
      <w:pPr>
        <w:keepNext/>
        <w:keepLines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Časté: Trombocytopénia, </w:t>
      </w:r>
      <w:proofErr w:type="spellStart"/>
      <w:r w:rsidRPr="00C60ED1">
        <w:rPr>
          <w:sz w:val="22"/>
          <w:szCs w:val="22"/>
          <w:lang w:val="sk-SK"/>
        </w:rPr>
        <w:t>leukopénia</w:t>
      </w:r>
      <w:proofErr w:type="spellEnd"/>
      <w:r w:rsidRPr="00C60ED1">
        <w:rPr>
          <w:sz w:val="22"/>
          <w:szCs w:val="22"/>
          <w:lang w:val="sk-SK"/>
        </w:rPr>
        <w:t>.</w:t>
      </w:r>
    </w:p>
    <w:p w14:paraId="272FC0D4" w14:textId="77777777" w:rsidR="00D62B1B" w:rsidRPr="00C60ED1" w:rsidRDefault="00D62B1B" w:rsidP="00C50996">
      <w:pPr>
        <w:keepLines/>
        <w:rPr>
          <w:sz w:val="22"/>
          <w:szCs w:val="22"/>
          <w:lang w:val="sk-SK"/>
        </w:rPr>
      </w:pPr>
    </w:p>
    <w:p w14:paraId="6E05502B" w14:textId="77777777" w:rsidR="00D62B1B" w:rsidRPr="00C60ED1" w:rsidRDefault="00D62B1B" w:rsidP="00C50996">
      <w:pPr>
        <w:keepLines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Menej časté: Krvácanie</w:t>
      </w:r>
    </w:p>
    <w:p w14:paraId="5CE16294" w14:textId="77777777" w:rsidR="00D62B1B" w:rsidRPr="00C60ED1" w:rsidRDefault="00D62B1B" w:rsidP="00C50996">
      <w:pPr>
        <w:keepLines/>
        <w:rPr>
          <w:sz w:val="22"/>
          <w:szCs w:val="22"/>
          <w:lang w:val="sk-SK"/>
        </w:rPr>
      </w:pPr>
    </w:p>
    <w:p w14:paraId="4D8FA367" w14:textId="77777777" w:rsidR="00D62B1B" w:rsidRPr="00C60ED1" w:rsidRDefault="00D62B1B" w:rsidP="00C50996">
      <w:pPr>
        <w:pStyle w:val="Zkladntext21"/>
        <w:jc w:val="left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Veľmi zriedkavé: Potlačenie funkcie kostnej drene, zníženie koncentrácie </w:t>
      </w:r>
      <w:proofErr w:type="spellStart"/>
      <w:r w:rsidRPr="00C60ED1">
        <w:rPr>
          <w:sz w:val="22"/>
          <w:szCs w:val="22"/>
          <w:lang w:val="sk-SK"/>
        </w:rPr>
        <w:t>fibrinogénu</w:t>
      </w:r>
      <w:proofErr w:type="spellEnd"/>
      <w:r w:rsidRPr="00C60ED1">
        <w:rPr>
          <w:sz w:val="22"/>
          <w:szCs w:val="22"/>
          <w:lang w:val="sk-SK"/>
        </w:rPr>
        <w:t xml:space="preserve"> a/alebo koagulačného faktoru VIII, spomalenie sekundárnej fázy </w:t>
      </w:r>
      <w:proofErr w:type="spellStart"/>
      <w:r w:rsidRPr="00C60ED1">
        <w:rPr>
          <w:sz w:val="22"/>
          <w:szCs w:val="22"/>
          <w:lang w:val="sk-SK"/>
        </w:rPr>
        <w:t>agregácie</w:t>
      </w:r>
      <w:proofErr w:type="spellEnd"/>
      <w:r w:rsidRPr="00C60ED1">
        <w:rPr>
          <w:sz w:val="22"/>
          <w:szCs w:val="22"/>
          <w:lang w:val="sk-SK"/>
        </w:rPr>
        <w:t xml:space="preserve"> krvných doštičiek, predĺženie času krvácania, </w:t>
      </w:r>
      <w:proofErr w:type="spellStart"/>
      <w:r w:rsidRPr="00C60ED1">
        <w:rPr>
          <w:sz w:val="22"/>
          <w:szCs w:val="22"/>
          <w:lang w:val="sk-SK"/>
        </w:rPr>
        <w:t>lymfocytopénia</w:t>
      </w:r>
      <w:proofErr w:type="spellEnd"/>
      <w:r w:rsidRPr="00C60ED1">
        <w:rPr>
          <w:sz w:val="22"/>
          <w:szCs w:val="22"/>
          <w:lang w:val="sk-SK"/>
        </w:rPr>
        <w:t xml:space="preserve">, </w:t>
      </w:r>
      <w:proofErr w:type="spellStart"/>
      <w:r w:rsidRPr="00C60ED1">
        <w:rPr>
          <w:sz w:val="22"/>
          <w:szCs w:val="22"/>
          <w:lang w:val="sk-SK"/>
        </w:rPr>
        <w:t>neutropénia</w:t>
      </w:r>
      <w:proofErr w:type="spellEnd"/>
      <w:r w:rsidRPr="00C60ED1">
        <w:rPr>
          <w:sz w:val="22"/>
          <w:szCs w:val="22"/>
          <w:lang w:val="sk-SK"/>
        </w:rPr>
        <w:t>, pancytopénia, anémia.</w:t>
      </w:r>
    </w:p>
    <w:p w14:paraId="1A7C85E1" w14:textId="77777777" w:rsidR="00D62B1B" w:rsidRPr="00C60ED1" w:rsidRDefault="00D62B1B" w:rsidP="00C50996">
      <w:pPr>
        <w:pStyle w:val="Zkladntext21"/>
        <w:jc w:val="left"/>
        <w:rPr>
          <w:sz w:val="22"/>
          <w:szCs w:val="22"/>
          <w:lang w:val="sk-SK"/>
        </w:rPr>
      </w:pPr>
    </w:p>
    <w:p w14:paraId="3628CBF3" w14:textId="77777777" w:rsidR="00D62B1B" w:rsidRPr="00C60ED1" w:rsidRDefault="00D62B1B" w:rsidP="00C50996">
      <w:pPr>
        <w:pStyle w:val="Nadpis1"/>
        <w:ind w:left="0"/>
        <w:rPr>
          <w:i/>
          <w:sz w:val="22"/>
          <w:szCs w:val="22"/>
          <w:lang w:val="sk-SK"/>
        </w:rPr>
      </w:pPr>
      <w:r w:rsidRPr="00C60ED1">
        <w:rPr>
          <w:i/>
          <w:sz w:val="22"/>
          <w:szCs w:val="22"/>
          <w:lang w:val="sk-SK"/>
        </w:rPr>
        <w:t>Poruchy imunitného systému</w:t>
      </w:r>
    </w:p>
    <w:p w14:paraId="5625007E" w14:textId="77777777" w:rsidR="00D62B1B" w:rsidRPr="00C60ED1" w:rsidRDefault="00D62B1B" w:rsidP="00C50996">
      <w:pPr>
        <w:pStyle w:val="Nadpis2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Zriedkavé: Lupus </w:t>
      </w:r>
      <w:proofErr w:type="spellStart"/>
      <w:r w:rsidRPr="00C60ED1">
        <w:rPr>
          <w:sz w:val="22"/>
          <w:szCs w:val="22"/>
          <w:lang w:val="sk-SK"/>
        </w:rPr>
        <w:t>erythematodes</w:t>
      </w:r>
      <w:proofErr w:type="spellEnd"/>
      <w:r w:rsidRPr="00C60ED1">
        <w:rPr>
          <w:sz w:val="22"/>
          <w:szCs w:val="22"/>
          <w:lang w:val="sk-SK"/>
        </w:rPr>
        <w:t xml:space="preserve"> a </w:t>
      </w:r>
      <w:proofErr w:type="spellStart"/>
      <w:r w:rsidRPr="00C60ED1">
        <w:rPr>
          <w:sz w:val="22"/>
          <w:szCs w:val="22"/>
          <w:lang w:val="sk-SK"/>
        </w:rPr>
        <w:t>vaskulitída</w:t>
      </w:r>
      <w:proofErr w:type="spellEnd"/>
    </w:p>
    <w:p w14:paraId="6490CC18" w14:textId="77777777" w:rsidR="00D62B1B" w:rsidRPr="00C60ED1" w:rsidRDefault="00D62B1B" w:rsidP="00C50996">
      <w:pPr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Hlásené boli alergické reakcie (pozri tiež Poruchy kože a podkožného tkaniva).</w:t>
      </w:r>
    </w:p>
    <w:p w14:paraId="21F2AB42" w14:textId="77777777" w:rsidR="00D62B1B" w:rsidRPr="00C60ED1" w:rsidRDefault="00D62B1B" w:rsidP="00C50996">
      <w:pPr>
        <w:keepLines/>
        <w:rPr>
          <w:sz w:val="22"/>
          <w:szCs w:val="22"/>
          <w:u w:val="single"/>
          <w:lang w:val="sk-SK"/>
        </w:rPr>
      </w:pPr>
    </w:p>
    <w:p w14:paraId="75A0C416" w14:textId="77777777" w:rsidR="00D62B1B" w:rsidRPr="00C60ED1" w:rsidRDefault="00D62B1B" w:rsidP="00C50996">
      <w:pPr>
        <w:pStyle w:val="Nadpis1"/>
        <w:ind w:left="0"/>
        <w:rPr>
          <w:i/>
          <w:sz w:val="22"/>
          <w:szCs w:val="22"/>
          <w:lang w:val="sk-SK"/>
        </w:rPr>
      </w:pPr>
      <w:r w:rsidRPr="00C60ED1">
        <w:rPr>
          <w:i/>
          <w:sz w:val="22"/>
          <w:szCs w:val="22"/>
          <w:lang w:val="sk-SK"/>
        </w:rPr>
        <w:t>Poruchy endokrinného systému</w:t>
      </w:r>
    </w:p>
    <w:p w14:paraId="338F7A47" w14:textId="77777777" w:rsidR="00D62B1B" w:rsidRPr="00C60ED1" w:rsidRDefault="00D62B1B" w:rsidP="00C50996">
      <w:pPr>
        <w:pStyle w:val="Zkladntext"/>
        <w:keepNext/>
        <w:keepLines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Zriedkavé: </w:t>
      </w:r>
      <w:proofErr w:type="spellStart"/>
      <w:r w:rsidRPr="00C60ED1">
        <w:rPr>
          <w:sz w:val="22"/>
          <w:szCs w:val="22"/>
          <w:lang w:val="sk-SK"/>
        </w:rPr>
        <w:t>Hyperandrogenizmus</w:t>
      </w:r>
      <w:proofErr w:type="spellEnd"/>
      <w:r w:rsidRPr="00C60ED1">
        <w:rPr>
          <w:sz w:val="22"/>
          <w:szCs w:val="22"/>
          <w:lang w:val="sk-SK"/>
        </w:rPr>
        <w:t>.</w:t>
      </w:r>
    </w:p>
    <w:p w14:paraId="2252BA0E" w14:textId="77777777" w:rsidR="00D62B1B" w:rsidRPr="00C60ED1" w:rsidRDefault="00D62B1B" w:rsidP="00C50996">
      <w:pPr>
        <w:keepLines/>
        <w:ind w:firstLine="708"/>
        <w:rPr>
          <w:sz w:val="22"/>
          <w:szCs w:val="22"/>
          <w:u w:val="single"/>
          <w:lang w:val="sk-SK"/>
        </w:rPr>
      </w:pPr>
    </w:p>
    <w:p w14:paraId="5AB870C5" w14:textId="77777777" w:rsidR="00D62B1B" w:rsidRPr="00C60ED1" w:rsidRDefault="00D62B1B" w:rsidP="00C50996">
      <w:pPr>
        <w:pStyle w:val="Nadpis1"/>
        <w:ind w:left="0"/>
        <w:rPr>
          <w:i/>
          <w:sz w:val="22"/>
          <w:szCs w:val="22"/>
          <w:lang w:val="sk-SK"/>
        </w:rPr>
      </w:pPr>
      <w:r w:rsidRPr="00C60ED1">
        <w:rPr>
          <w:i/>
          <w:sz w:val="22"/>
          <w:szCs w:val="22"/>
          <w:lang w:val="sk-SK"/>
        </w:rPr>
        <w:t>Poruchy metabolizmu a výživy</w:t>
      </w:r>
    </w:p>
    <w:p w14:paraId="70CB0C8E" w14:textId="77777777" w:rsidR="00D62B1B" w:rsidRPr="00C60ED1" w:rsidRDefault="00D62B1B" w:rsidP="00C50996">
      <w:pPr>
        <w:pStyle w:val="Zarkazkladnhotextu"/>
        <w:keepNext/>
        <w:ind w:left="0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Časté: </w:t>
      </w:r>
      <w:proofErr w:type="spellStart"/>
      <w:r w:rsidRPr="00C60ED1">
        <w:rPr>
          <w:sz w:val="22"/>
          <w:szCs w:val="22"/>
          <w:lang w:val="sk-SK"/>
        </w:rPr>
        <w:t>Hyperamon</w:t>
      </w:r>
      <w:r w:rsidR="005A409B" w:rsidRPr="00C60ED1">
        <w:rPr>
          <w:sz w:val="22"/>
          <w:szCs w:val="22"/>
          <w:lang w:val="sk-SK"/>
        </w:rPr>
        <w:t>i</w:t>
      </w:r>
      <w:r w:rsidRPr="00C60ED1">
        <w:rPr>
          <w:sz w:val="22"/>
          <w:szCs w:val="22"/>
          <w:lang w:val="sk-SK"/>
        </w:rPr>
        <w:t>émia</w:t>
      </w:r>
      <w:proofErr w:type="spellEnd"/>
      <w:r w:rsidRPr="00C60ED1">
        <w:rPr>
          <w:sz w:val="22"/>
          <w:szCs w:val="22"/>
          <w:lang w:val="sk-SK"/>
        </w:rPr>
        <w:t>, vzostup alebo pokles telesnej hmotnosti, zvýšenie alebo zníženie chuti do jedla.</w:t>
      </w:r>
    </w:p>
    <w:p w14:paraId="38AD9F5E" w14:textId="77777777" w:rsidR="00D62B1B" w:rsidRPr="00C60ED1" w:rsidRDefault="00D62B1B" w:rsidP="00C50996">
      <w:pPr>
        <w:keepLines/>
        <w:ind w:firstLine="708"/>
        <w:rPr>
          <w:sz w:val="22"/>
          <w:szCs w:val="22"/>
          <w:lang w:val="sk-SK"/>
        </w:rPr>
      </w:pPr>
    </w:p>
    <w:p w14:paraId="77C7B5AF" w14:textId="77777777" w:rsidR="00D62B1B" w:rsidRPr="00C60ED1" w:rsidRDefault="00D62B1B" w:rsidP="00C50996">
      <w:pPr>
        <w:keepLines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Zriedkavé: </w:t>
      </w:r>
      <w:proofErr w:type="spellStart"/>
      <w:r w:rsidRPr="00C60ED1">
        <w:rPr>
          <w:sz w:val="22"/>
          <w:szCs w:val="22"/>
          <w:lang w:val="sk-SK"/>
        </w:rPr>
        <w:t>Hyperinzulinémia</w:t>
      </w:r>
      <w:proofErr w:type="spellEnd"/>
      <w:r w:rsidRPr="00C60ED1">
        <w:rPr>
          <w:sz w:val="22"/>
          <w:szCs w:val="22"/>
          <w:lang w:val="sk-SK"/>
        </w:rPr>
        <w:t>, nízke hladiny inzulínu podobného rastového faktoru viažuceho proteín I, opuchy, hypotermia.</w:t>
      </w:r>
    </w:p>
    <w:p w14:paraId="4391E0ED" w14:textId="77777777" w:rsidR="00D62B1B" w:rsidRPr="00C60ED1" w:rsidRDefault="00D62B1B" w:rsidP="00C50996">
      <w:pPr>
        <w:keepLines/>
        <w:rPr>
          <w:sz w:val="22"/>
          <w:szCs w:val="22"/>
          <w:lang w:val="sk-SK"/>
        </w:rPr>
      </w:pPr>
    </w:p>
    <w:p w14:paraId="4E6EC2BB" w14:textId="77777777" w:rsidR="00D62B1B" w:rsidRPr="00C60ED1" w:rsidRDefault="00D62B1B" w:rsidP="00C50996">
      <w:pPr>
        <w:keepLines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Veľmi zriedkavé: Hlásené boli abnormálne nálezy v testoch funkcie štítnej žľazy. Ich klinická relevancia nie je jasná. </w:t>
      </w:r>
    </w:p>
    <w:p w14:paraId="0A316996" w14:textId="77777777" w:rsidR="00D62B1B" w:rsidRPr="00C60ED1" w:rsidRDefault="00D62B1B" w:rsidP="00C50996">
      <w:pPr>
        <w:keepLines/>
        <w:ind w:firstLine="708"/>
        <w:rPr>
          <w:sz w:val="22"/>
          <w:szCs w:val="22"/>
          <w:u w:val="single"/>
          <w:lang w:val="sk-SK"/>
        </w:rPr>
      </w:pPr>
    </w:p>
    <w:p w14:paraId="24AC5751" w14:textId="77777777" w:rsidR="00D62B1B" w:rsidRPr="00C60ED1" w:rsidRDefault="00D62B1B" w:rsidP="00C50996">
      <w:pPr>
        <w:pStyle w:val="Nadpis1"/>
        <w:ind w:left="0"/>
        <w:rPr>
          <w:i/>
          <w:sz w:val="22"/>
          <w:szCs w:val="22"/>
          <w:lang w:val="sk-SK"/>
        </w:rPr>
      </w:pPr>
      <w:r w:rsidRPr="00C60ED1">
        <w:rPr>
          <w:i/>
          <w:sz w:val="22"/>
          <w:szCs w:val="22"/>
          <w:lang w:val="sk-SK"/>
        </w:rPr>
        <w:lastRenderedPageBreak/>
        <w:t>Psychické poruchy</w:t>
      </w:r>
    </w:p>
    <w:p w14:paraId="029E7E45" w14:textId="77777777" w:rsidR="00D62B1B" w:rsidRPr="00C60ED1" w:rsidRDefault="00D62B1B" w:rsidP="00C50996">
      <w:pPr>
        <w:keepNext/>
        <w:keepLines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Zriedkavé: Dráždivosť, halucinácie, konfúzia.</w:t>
      </w:r>
    </w:p>
    <w:p w14:paraId="155EC741" w14:textId="77777777" w:rsidR="00D62B1B" w:rsidRPr="00C60ED1" w:rsidRDefault="00D62B1B" w:rsidP="00C50996">
      <w:pPr>
        <w:keepLines/>
        <w:rPr>
          <w:sz w:val="22"/>
          <w:szCs w:val="22"/>
          <w:u w:val="single"/>
          <w:lang w:val="sk-SK"/>
        </w:rPr>
      </w:pPr>
    </w:p>
    <w:p w14:paraId="700EC634" w14:textId="77777777" w:rsidR="00D62B1B" w:rsidRPr="00C60ED1" w:rsidRDefault="00D62B1B" w:rsidP="00C50996">
      <w:pPr>
        <w:pStyle w:val="Nadpis1"/>
        <w:ind w:left="0"/>
        <w:rPr>
          <w:i/>
          <w:sz w:val="22"/>
          <w:szCs w:val="22"/>
          <w:lang w:val="sk-SK"/>
        </w:rPr>
      </w:pPr>
      <w:r w:rsidRPr="00C60ED1">
        <w:rPr>
          <w:i/>
          <w:sz w:val="22"/>
          <w:szCs w:val="22"/>
          <w:lang w:val="sk-SK"/>
        </w:rPr>
        <w:t>Poruchy nervového systému</w:t>
      </w:r>
    </w:p>
    <w:p w14:paraId="01D6B593" w14:textId="77777777" w:rsidR="00D62B1B" w:rsidRPr="00C60ED1" w:rsidRDefault="00D62B1B" w:rsidP="00C50996">
      <w:pPr>
        <w:keepNext/>
        <w:keepLines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Časté: Ospalosť, </w:t>
      </w:r>
      <w:proofErr w:type="spellStart"/>
      <w:r w:rsidRPr="00C60ED1">
        <w:rPr>
          <w:sz w:val="22"/>
          <w:szCs w:val="22"/>
          <w:lang w:val="sk-SK"/>
        </w:rPr>
        <w:t>tremor</w:t>
      </w:r>
      <w:proofErr w:type="spellEnd"/>
      <w:r w:rsidRPr="00C60ED1">
        <w:rPr>
          <w:sz w:val="22"/>
          <w:szCs w:val="22"/>
          <w:lang w:val="sk-SK"/>
        </w:rPr>
        <w:t xml:space="preserve">, parestézia. </w:t>
      </w:r>
    </w:p>
    <w:p w14:paraId="25008579" w14:textId="77777777" w:rsidR="00D62B1B" w:rsidRPr="00C60ED1" w:rsidRDefault="00D62B1B" w:rsidP="00C50996">
      <w:pPr>
        <w:keepLines/>
        <w:rPr>
          <w:sz w:val="22"/>
          <w:szCs w:val="22"/>
          <w:lang w:val="sk-SK"/>
        </w:rPr>
      </w:pPr>
    </w:p>
    <w:p w14:paraId="200D27DC" w14:textId="77777777" w:rsidR="00D62B1B" w:rsidRPr="00C60ED1" w:rsidRDefault="00D62B1B" w:rsidP="00C50996">
      <w:pPr>
        <w:pStyle w:val="Zarkazkladnhotextu"/>
        <w:ind w:left="0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Menej časté: Prechodná kóma, v niektorých prípadoch spojená so zvýšenou frekvenciou </w:t>
      </w:r>
      <w:r w:rsidR="005A409B" w:rsidRPr="00C60ED1">
        <w:rPr>
          <w:sz w:val="22"/>
          <w:szCs w:val="22"/>
          <w:lang w:val="sk-SK"/>
        </w:rPr>
        <w:t xml:space="preserve">epileptických </w:t>
      </w:r>
      <w:r w:rsidRPr="00C60ED1">
        <w:rPr>
          <w:sz w:val="22"/>
          <w:szCs w:val="22"/>
          <w:lang w:val="sk-SK"/>
        </w:rPr>
        <w:t>záchvatov.</w:t>
      </w:r>
    </w:p>
    <w:p w14:paraId="33BEF68B" w14:textId="77777777" w:rsidR="00D62B1B" w:rsidRPr="00C60ED1" w:rsidRDefault="00D62B1B" w:rsidP="00C50996">
      <w:pPr>
        <w:keepLines/>
        <w:ind w:firstLine="708"/>
        <w:rPr>
          <w:sz w:val="22"/>
          <w:szCs w:val="22"/>
          <w:lang w:val="sk-SK"/>
        </w:rPr>
      </w:pPr>
    </w:p>
    <w:p w14:paraId="4005013F" w14:textId="77777777" w:rsidR="00D62B1B" w:rsidRPr="00C60ED1" w:rsidRDefault="00D62B1B" w:rsidP="00C50996">
      <w:pPr>
        <w:keepLines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Zriedkavé: Bolesti hlavy, hyperaktivita, </w:t>
      </w:r>
      <w:proofErr w:type="spellStart"/>
      <w:r w:rsidRPr="00C60ED1">
        <w:rPr>
          <w:sz w:val="22"/>
          <w:szCs w:val="22"/>
          <w:lang w:val="sk-SK"/>
        </w:rPr>
        <w:t>spasticita</w:t>
      </w:r>
      <w:proofErr w:type="spellEnd"/>
      <w:r w:rsidRPr="00C60ED1">
        <w:rPr>
          <w:sz w:val="22"/>
          <w:szCs w:val="22"/>
          <w:lang w:val="sk-SK"/>
        </w:rPr>
        <w:t xml:space="preserve">, ataxia, </w:t>
      </w:r>
      <w:proofErr w:type="spellStart"/>
      <w:r w:rsidRPr="00C60ED1">
        <w:rPr>
          <w:sz w:val="22"/>
          <w:szCs w:val="22"/>
          <w:lang w:val="sk-SK"/>
        </w:rPr>
        <w:t>stupor</w:t>
      </w:r>
      <w:proofErr w:type="spellEnd"/>
      <w:r w:rsidRPr="00C60ED1">
        <w:rPr>
          <w:sz w:val="22"/>
          <w:szCs w:val="22"/>
          <w:lang w:val="sk-SK"/>
        </w:rPr>
        <w:t>, zvýšené slinenie.</w:t>
      </w:r>
    </w:p>
    <w:p w14:paraId="1B0DA40F" w14:textId="77777777" w:rsidR="00D62B1B" w:rsidRPr="00C60ED1" w:rsidRDefault="00D62B1B" w:rsidP="00C50996">
      <w:pPr>
        <w:keepLines/>
        <w:rPr>
          <w:sz w:val="22"/>
          <w:szCs w:val="22"/>
          <w:lang w:val="sk-SK"/>
        </w:rPr>
      </w:pPr>
    </w:p>
    <w:p w14:paraId="755B8294" w14:textId="77777777" w:rsidR="00D62B1B" w:rsidRPr="00C60ED1" w:rsidRDefault="0003011C" w:rsidP="00C50996">
      <w:pPr>
        <w:keepLines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Veľmi zriedkavé: Encefalopatia</w:t>
      </w:r>
      <w:r w:rsidR="00135CCC" w:rsidRPr="00C60ED1">
        <w:rPr>
          <w:sz w:val="22"/>
          <w:szCs w:val="22"/>
          <w:lang w:val="sk-SK"/>
        </w:rPr>
        <w:t>*</w:t>
      </w:r>
      <w:r w:rsidR="00135CCC" w:rsidRPr="00C60ED1">
        <w:rPr>
          <w:sz w:val="22"/>
          <w:szCs w:val="22"/>
          <w:vertAlign w:val="superscript"/>
          <w:lang w:val="sk-SK"/>
        </w:rPr>
        <w:t>1</w:t>
      </w:r>
      <w:r w:rsidR="00D62B1B" w:rsidRPr="00C60ED1">
        <w:rPr>
          <w:sz w:val="22"/>
          <w:szCs w:val="22"/>
          <w:lang w:val="sk-SK"/>
        </w:rPr>
        <w:t xml:space="preserve">, demencia spojená s cerebrálnou atrofiou, </w:t>
      </w:r>
      <w:proofErr w:type="spellStart"/>
      <w:r w:rsidR="00D62B1B" w:rsidRPr="00C60ED1">
        <w:rPr>
          <w:sz w:val="22"/>
          <w:szCs w:val="22"/>
          <w:lang w:val="sk-SK"/>
        </w:rPr>
        <w:t>parkinsonovský</w:t>
      </w:r>
      <w:proofErr w:type="spellEnd"/>
      <w:r w:rsidR="00D62B1B" w:rsidRPr="00C60ED1">
        <w:rPr>
          <w:sz w:val="22"/>
          <w:szCs w:val="22"/>
          <w:lang w:val="sk-SK"/>
        </w:rPr>
        <w:t xml:space="preserve"> syndróm (reverzibilný), zhoršenie sluchu, tinnitus.</w:t>
      </w:r>
    </w:p>
    <w:p w14:paraId="52AD4B45" w14:textId="77777777" w:rsidR="00D62B1B" w:rsidRPr="00C60ED1" w:rsidRDefault="00D62B1B" w:rsidP="00C50996">
      <w:pPr>
        <w:keepLines/>
        <w:rPr>
          <w:sz w:val="22"/>
          <w:szCs w:val="22"/>
          <w:u w:val="single"/>
          <w:lang w:val="sk-SK"/>
        </w:rPr>
      </w:pPr>
    </w:p>
    <w:p w14:paraId="5D2D784C" w14:textId="77777777" w:rsidR="00D62B1B" w:rsidRPr="00C60ED1" w:rsidRDefault="002D4484" w:rsidP="00C50996">
      <w:pPr>
        <w:pStyle w:val="Nadpis1"/>
        <w:ind w:left="0"/>
        <w:rPr>
          <w:i/>
          <w:sz w:val="22"/>
          <w:szCs w:val="22"/>
          <w:lang w:val="sk-SK"/>
        </w:rPr>
      </w:pPr>
      <w:r w:rsidRPr="00C60ED1">
        <w:rPr>
          <w:i/>
          <w:sz w:val="22"/>
          <w:szCs w:val="22"/>
          <w:lang w:val="sk-SK"/>
        </w:rPr>
        <w:t>Poruchy g</w:t>
      </w:r>
      <w:r w:rsidR="00D62B1B" w:rsidRPr="00C60ED1">
        <w:rPr>
          <w:i/>
          <w:sz w:val="22"/>
          <w:szCs w:val="22"/>
          <w:lang w:val="sk-SK"/>
        </w:rPr>
        <w:t>astrointestinálne</w:t>
      </w:r>
      <w:r w:rsidRPr="00C60ED1">
        <w:rPr>
          <w:i/>
          <w:sz w:val="22"/>
          <w:szCs w:val="22"/>
          <w:lang w:val="sk-SK"/>
        </w:rPr>
        <w:t>ho</w:t>
      </w:r>
      <w:r w:rsidR="00D62B1B" w:rsidRPr="00C60ED1">
        <w:rPr>
          <w:i/>
          <w:sz w:val="22"/>
          <w:szCs w:val="22"/>
          <w:lang w:val="sk-SK"/>
        </w:rPr>
        <w:t xml:space="preserve"> </w:t>
      </w:r>
      <w:r w:rsidRPr="00C60ED1">
        <w:rPr>
          <w:i/>
          <w:sz w:val="22"/>
          <w:szCs w:val="22"/>
          <w:lang w:val="sk-SK"/>
        </w:rPr>
        <w:t>traktu</w:t>
      </w:r>
    </w:p>
    <w:p w14:paraId="346CDA78" w14:textId="77777777" w:rsidR="00D62B1B" w:rsidRPr="00C60ED1" w:rsidRDefault="00D62B1B" w:rsidP="00C50996">
      <w:pPr>
        <w:pStyle w:val="Zkladntext"/>
        <w:keepNext/>
        <w:keepLines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Veľmi časté: Bolesť, nauzea, vracanie.</w:t>
      </w:r>
    </w:p>
    <w:p w14:paraId="4F0605C9" w14:textId="77777777" w:rsidR="00D62B1B" w:rsidRPr="00C60ED1" w:rsidRDefault="00D62B1B" w:rsidP="00C50996">
      <w:pPr>
        <w:keepLines/>
        <w:rPr>
          <w:sz w:val="22"/>
          <w:szCs w:val="22"/>
          <w:lang w:val="sk-SK"/>
        </w:rPr>
      </w:pPr>
    </w:p>
    <w:p w14:paraId="3518C1D8" w14:textId="77777777" w:rsidR="00D62B1B" w:rsidRPr="00C60ED1" w:rsidRDefault="00D62B1B" w:rsidP="00C50996">
      <w:pPr>
        <w:keepLines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Zriedkavé: Hnačky, pankreatitída.</w:t>
      </w:r>
    </w:p>
    <w:p w14:paraId="11D13C6F" w14:textId="77777777" w:rsidR="00D62B1B" w:rsidRPr="00C60ED1" w:rsidRDefault="00D62B1B" w:rsidP="00C50996">
      <w:pPr>
        <w:keepLines/>
        <w:rPr>
          <w:sz w:val="22"/>
          <w:szCs w:val="22"/>
          <w:u w:val="single"/>
          <w:lang w:val="sk-SK"/>
        </w:rPr>
      </w:pPr>
    </w:p>
    <w:p w14:paraId="2308344F" w14:textId="77777777" w:rsidR="00D62B1B" w:rsidRPr="00C60ED1" w:rsidRDefault="00D62B1B" w:rsidP="00C50996">
      <w:pPr>
        <w:pStyle w:val="Nadpis1"/>
        <w:ind w:left="0"/>
        <w:rPr>
          <w:i/>
          <w:sz w:val="22"/>
          <w:szCs w:val="22"/>
          <w:lang w:val="sk-SK"/>
        </w:rPr>
      </w:pPr>
      <w:r w:rsidRPr="00C60ED1">
        <w:rPr>
          <w:i/>
          <w:sz w:val="22"/>
          <w:szCs w:val="22"/>
          <w:lang w:val="sk-SK"/>
        </w:rPr>
        <w:t>Poruchy pečene a žlčových ciest</w:t>
      </w:r>
    </w:p>
    <w:p w14:paraId="0CCB8734" w14:textId="77777777" w:rsidR="00D62B1B" w:rsidRPr="00C60ED1" w:rsidRDefault="00D62B1B" w:rsidP="00C50996">
      <w:pPr>
        <w:pStyle w:val="Zkladntext"/>
        <w:keepNext/>
        <w:keepLines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Časté: Zmeny pečeňových testov.</w:t>
      </w:r>
    </w:p>
    <w:p w14:paraId="770E9AD2" w14:textId="77777777" w:rsidR="00D62B1B" w:rsidRPr="00C60ED1" w:rsidRDefault="00D62B1B" w:rsidP="00C50996">
      <w:pPr>
        <w:keepNext/>
        <w:keepLines/>
        <w:rPr>
          <w:sz w:val="22"/>
          <w:szCs w:val="22"/>
          <w:u w:val="single"/>
          <w:lang w:val="sk-SK"/>
        </w:rPr>
      </w:pPr>
    </w:p>
    <w:p w14:paraId="06566EB1" w14:textId="77777777" w:rsidR="00D62B1B" w:rsidRPr="00C60ED1" w:rsidRDefault="00D62B1B" w:rsidP="00C50996">
      <w:pPr>
        <w:keepLines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Zri</w:t>
      </w:r>
      <w:r w:rsidR="0003011C" w:rsidRPr="00C60ED1">
        <w:rPr>
          <w:sz w:val="22"/>
          <w:szCs w:val="22"/>
          <w:lang w:val="sk-SK"/>
        </w:rPr>
        <w:t xml:space="preserve">edkavé: </w:t>
      </w:r>
      <w:r w:rsidR="005A409B" w:rsidRPr="00C60ED1">
        <w:rPr>
          <w:sz w:val="22"/>
          <w:szCs w:val="22"/>
          <w:lang w:val="sk-SK"/>
        </w:rPr>
        <w:t>Závaž</w:t>
      </w:r>
      <w:r w:rsidR="0003011C" w:rsidRPr="00C60ED1">
        <w:rPr>
          <w:sz w:val="22"/>
          <w:szCs w:val="22"/>
          <w:lang w:val="sk-SK"/>
        </w:rPr>
        <w:t>n</w:t>
      </w:r>
      <w:r w:rsidR="005A409B" w:rsidRPr="00C60ED1">
        <w:rPr>
          <w:sz w:val="22"/>
          <w:szCs w:val="22"/>
          <w:lang w:val="sk-SK"/>
        </w:rPr>
        <w:t>é</w:t>
      </w:r>
      <w:r w:rsidR="0003011C" w:rsidRPr="00C60ED1">
        <w:rPr>
          <w:sz w:val="22"/>
          <w:szCs w:val="22"/>
          <w:lang w:val="sk-SK"/>
        </w:rPr>
        <w:t xml:space="preserve"> poškodenie pečene</w:t>
      </w:r>
      <w:r w:rsidR="00135CCC" w:rsidRPr="00C60ED1">
        <w:rPr>
          <w:sz w:val="22"/>
          <w:szCs w:val="22"/>
          <w:lang w:val="sk-SK"/>
        </w:rPr>
        <w:t>*</w:t>
      </w:r>
      <w:r w:rsidR="00135CCC" w:rsidRPr="00C60ED1">
        <w:rPr>
          <w:sz w:val="22"/>
          <w:szCs w:val="22"/>
          <w:vertAlign w:val="superscript"/>
          <w:lang w:val="sk-SK"/>
        </w:rPr>
        <w:t>2</w:t>
      </w:r>
      <w:r w:rsidR="0003011C" w:rsidRPr="00C60ED1">
        <w:rPr>
          <w:sz w:val="22"/>
          <w:szCs w:val="22"/>
          <w:lang w:val="sk-SK"/>
        </w:rPr>
        <w:t>.</w:t>
      </w:r>
    </w:p>
    <w:p w14:paraId="3CE12E47" w14:textId="77777777" w:rsidR="00D62B1B" w:rsidRPr="00C60ED1" w:rsidRDefault="00D62B1B" w:rsidP="00C50996">
      <w:pPr>
        <w:keepLines/>
        <w:rPr>
          <w:sz w:val="22"/>
          <w:szCs w:val="22"/>
          <w:u w:val="single"/>
          <w:lang w:val="sk-SK"/>
        </w:rPr>
      </w:pPr>
    </w:p>
    <w:p w14:paraId="25B9398E" w14:textId="77777777" w:rsidR="00D62B1B" w:rsidRPr="00C60ED1" w:rsidRDefault="00D62B1B" w:rsidP="00C50996">
      <w:pPr>
        <w:pStyle w:val="Nadpis1"/>
        <w:ind w:left="0"/>
        <w:rPr>
          <w:i/>
          <w:sz w:val="22"/>
          <w:szCs w:val="22"/>
          <w:lang w:val="sk-SK"/>
        </w:rPr>
      </w:pPr>
      <w:r w:rsidRPr="00C60ED1">
        <w:rPr>
          <w:i/>
          <w:sz w:val="22"/>
          <w:szCs w:val="22"/>
          <w:lang w:val="sk-SK"/>
        </w:rPr>
        <w:t>Poruchy kože a podkožného tkaniva</w:t>
      </w:r>
    </w:p>
    <w:p w14:paraId="4DE1B54E" w14:textId="77777777" w:rsidR="00D62B1B" w:rsidRPr="00C60ED1" w:rsidRDefault="00D62B1B" w:rsidP="00C50996">
      <w:pPr>
        <w:pStyle w:val="Zkladntext"/>
        <w:keepNext/>
        <w:keepLines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Časté: Prechodná strata vlasov, blednutie vlasov a kučeravenie vlasov.</w:t>
      </w:r>
    </w:p>
    <w:p w14:paraId="66F55E6E" w14:textId="77777777" w:rsidR="00D62B1B" w:rsidRPr="00C60ED1" w:rsidRDefault="00D62B1B" w:rsidP="00C50996">
      <w:pPr>
        <w:keepLines/>
        <w:rPr>
          <w:sz w:val="22"/>
          <w:szCs w:val="22"/>
          <w:lang w:val="sk-SK"/>
        </w:rPr>
      </w:pPr>
    </w:p>
    <w:p w14:paraId="6E348DC8" w14:textId="77777777" w:rsidR="00D62B1B" w:rsidRPr="00C60ED1" w:rsidRDefault="00D62B1B" w:rsidP="00C50996">
      <w:pPr>
        <w:keepLines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Zriedkavé: Exantém, </w:t>
      </w:r>
      <w:proofErr w:type="spellStart"/>
      <w:r w:rsidRPr="00C60ED1">
        <w:rPr>
          <w:sz w:val="22"/>
          <w:szCs w:val="22"/>
          <w:lang w:val="sk-SK"/>
        </w:rPr>
        <w:t>multiform</w:t>
      </w:r>
      <w:r w:rsidR="005A409B" w:rsidRPr="00C60ED1">
        <w:rPr>
          <w:sz w:val="22"/>
          <w:szCs w:val="22"/>
          <w:lang w:val="sk-SK"/>
        </w:rPr>
        <w:t>ný</w:t>
      </w:r>
      <w:proofErr w:type="spellEnd"/>
      <w:r w:rsidR="005A409B" w:rsidRPr="00C60ED1">
        <w:rPr>
          <w:sz w:val="22"/>
          <w:szCs w:val="22"/>
          <w:lang w:val="sk-SK"/>
        </w:rPr>
        <w:t xml:space="preserve"> </w:t>
      </w:r>
      <w:proofErr w:type="spellStart"/>
      <w:r w:rsidR="005A409B" w:rsidRPr="00C60ED1">
        <w:rPr>
          <w:sz w:val="22"/>
          <w:szCs w:val="22"/>
          <w:lang w:val="sk-SK"/>
        </w:rPr>
        <w:t>erytém</w:t>
      </w:r>
      <w:proofErr w:type="spellEnd"/>
      <w:r w:rsidRPr="00C60ED1">
        <w:rPr>
          <w:sz w:val="22"/>
          <w:szCs w:val="22"/>
          <w:lang w:val="sk-SK"/>
        </w:rPr>
        <w:t>.</w:t>
      </w:r>
    </w:p>
    <w:p w14:paraId="71301A1B" w14:textId="77777777" w:rsidR="00D62B1B" w:rsidRPr="00C60ED1" w:rsidRDefault="00D62B1B" w:rsidP="00C50996">
      <w:pPr>
        <w:keepLines/>
        <w:rPr>
          <w:sz w:val="22"/>
          <w:szCs w:val="22"/>
          <w:lang w:val="sk-SK"/>
        </w:rPr>
      </w:pPr>
    </w:p>
    <w:p w14:paraId="5D665FBD" w14:textId="77777777" w:rsidR="00D62B1B" w:rsidRPr="00C60ED1" w:rsidRDefault="00D62B1B" w:rsidP="00C50996">
      <w:pPr>
        <w:keepLines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Veľmi zriedkavé: Stevens</w:t>
      </w:r>
      <w:r w:rsidR="002D4484" w:rsidRPr="00C60ED1">
        <w:rPr>
          <w:sz w:val="22"/>
          <w:szCs w:val="22"/>
          <w:lang w:val="sk-SK"/>
        </w:rPr>
        <w:t>ov</w:t>
      </w:r>
      <w:r w:rsidRPr="00C60ED1">
        <w:rPr>
          <w:sz w:val="22"/>
          <w:szCs w:val="22"/>
          <w:lang w:val="sk-SK"/>
        </w:rPr>
        <w:t>-</w:t>
      </w:r>
      <w:proofErr w:type="spellStart"/>
      <w:r w:rsidRPr="00C60ED1">
        <w:rPr>
          <w:sz w:val="22"/>
          <w:szCs w:val="22"/>
          <w:lang w:val="sk-SK"/>
        </w:rPr>
        <w:t>Johnsonov</w:t>
      </w:r>
      <w:proofErr w:type="spellEnd"/>
      <w:r w:rsidRPr="00C60ED1">
        <w:rPr>
          <w:sz w:val="22"/>
          <w:szCs w:val="22"/>
          <w:lang w:val="sk-SK"/>
        </w:rPr>
        <w:t xml:space="preserve"> syndróm, </w:t>
      </w:r>
      <w:proofErr w:type="spellStart"/>
      <w:r w:rsidRPr="00C60ED1">
        <w:rPr>
          <w:sz w:val="22"/>
          <w:szCs w:val="22"/>
          <w:lang w:val="sk-SK"/>
        </w:rPr>
        <w:t>Lyellov</w:t>
      </w:r>
      <w:proofErr w:type="spellEnd"/>
      <w:r w:rsidRPr="00C60ED1">
        <w:rPr>
          <w:sz w:val="22"/>
          <w:szCs w:val="22"/>
          <w:lang w:val="sk-SK"/>
        </w:rPr>
        <w:t xml:space="preserve"> syndróm.</w:t>
      </w:r>
    </w:p>
    <w:p w14:paraId="3B73BF16" w14:textId="77777777" w:rsidR="00D62B1B" w:rsidRPr="00C60ED1" w:rsidRDefault="00D62B1B" w:rsidP="00C50996">
      <w:pPr>
        <w:keepLines/>
        <w:rPr>
          <w:sz w:val="22"/>
          <w:szCs w:val="22"/>
          <w:u w:val="single"/>
          <w:lang w:val="sk-SK"/>
        </w:rPr>
      </w:pPr>
    </w:p>
    <w:p w14:paraId="62767845" w14:textId="77777777" w:rsidR="00D62B1B" w:rsidRPr="00C60ED1" w:rsidRDefault="00D62B1B" w:rsidP="00C50996">
      <w:pPr>
        <w:pStyle w:val="Nadpis1"/>
        <w:ind w:left="0"/>
        <w:rPr>
          <w:i/>
          <w:sz w:val="22"/>
          <w:szCs w:val="22"/>
          <w:lang w:val="sk-SK"/>
        </w:rPr>
      </w:pPr>
      <w:r w:rsidRPr="00C60ED1">
        <w:rPr>
          <w:i/>
          <w:sz w:val="22"/>
          <w:szCs w:val="22"/>
          <w:lang w:val="sk-SK"/>
        </w:rPr>
        <w:t>Poruchy obličiek a močových ciest</w:t>
      </w:r>
    </w:p>
    <w:p w14:paraId="75F0E1A1" w14:textId="77777777" w:rsidR="00D62B1B" w:rsidRPr="00C60ED1" w:rsidRDefault="00D62B1B" w:rsidP="00C50996">
      <w:pPr>
        <w:keepNext/>
        <w:keepLines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Veľmi zriedkavé: Fanconiho syndróm, </w:t>
      </w:r>
      <w:proofErr w:type="spellStart"/>
      <w:r w:rsidRPr="00C60ED1">
        <w:rPr>
          <w:sz w:val="22"/>
          <w:szCs w:val="22"/>
          <w:lang w:val="sk-SK"/>
        </w:rPr>
        <w:t>enuréza</w:t>
      </w:r>
      <w:proofErr w:type="spellEnd"/>
      <w:r w:rsidRPr="00C60ED1">
        <w:rPr>
          <w:sz w:val="22"/>
          <w:szCs w:val="22"/>
          <w:lang w:val="sk-SK"/>
        </w:rPr>
        <w:t xml:space="preserve"> u detí.</w:t>
      </w:r>
    </w:p>
    <w:p w14:paraId="350CD347" w14:textId="77777777" w:rsidR="00D62B1B" w:rsidRPr="00C60ED1" w:rsidRDefault="00D62B1B" w:rsidP="00C50996">
      <w:pPr>
        <w:keepLines/>
        <w:rPr>
          <w:sz w:val="22"/>
          <w:szCs w:val="22"/>
          <w:u w:val="single"/>
          <w:lang w:val="sk-SK"/>
        </w:rPr>
      </w:pPr>
    </w:p>
    <w:p w14:paraId="481212F3" w14:textId="77777777" w:rsidR="00D62B1B" w:rsidRPr="00C60ED1" w:rsidRDefault="00D62B1B" w:rsidP="00C50996">
      <w:pPr>
        <w:pStyle w:val="Nadpis1"/>
        <w:ind w:left="0"/>
        <w:rPr>
          <w:i/>
          <w:sz w:val="22"/>
          <w:szCs w:val="22"/>
          <w:lang w:val="sk-SK"/>
        </w:rPr>
      </w:pPr>
      <w:r w:rsidRPr="00C60ED1">
        <w:rPr>
          <w:i/>
          <w:sz w:val="22"/>
          <w:szCs w:val="22"/>
          <w:lang w:val="sk-SK"/>
        </w:rPr>
        <w:t>Poruchy reprodukčného systému a prsníkov</w:t>
      </w:r>
    </w:p>
    <w:p w14:paraId="786DCB0B" w14:textId="77777777" w:rsidR="00D62B1B" w:rsidRPr="00C60ED1" w:rsidRDefault="00D62B1B" w:rsidP="00C50996">
      <w:pPr>
        <w:pStyle w:val="Zkladntext21"/>
        <w:keepNext/>
        <w:keepLines/>
        <w:tabs>
          <w:tab w:val="clear" w:pos="-720"/>
        </w:tabs>
        <w:suppressAutoHyphens w:val="0"/>
        <w:jc w:val="left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Časté: </w:t>
      </w:r>
      <w:proofErr w:type="spellStart"/>
      <w:r w:rsidRPr="00C60ED1">
        <w:rPr>
          <w:sz w:val="22"/>
          <w:szCs w:val="22"/>
          <w:lang w:val="sk-SK"/>
        </w:rPr>
        <w:t>Amenorea</w:t>
      </w:r>
      <w:proofErr w:type="spellEnd"/>
      <w:r w:rsidRPr="00C60ED1">
        <w:rPr>
          <w:sz w:val="22"/>
          <w:szCs w:val="22"/>
          <w:lang w:val="sk-SK"/>
        </w:rPr>
        <w:t>.</w:t>
      </w:r>
    </w:p>
    <w:p w14:paraId="27134BE0" w14:textId="77777777" w:rsidR="00D62B1B" w:rsidRPr="00C60ED1" w:rsidRDefault="00D62B1B" w:rsidP="00C50996">
      <w:pPr>
        <w:rPr>
          <w:sz w:val="22"/>
          <w:szCs w:val="22"/>
          <w:lang w:val="sk-SK"/>
        </w:rPr>
      </w:pPr>
    </w:p>
    <w:p w14:paraId="61613A75" w14:textId="77777777" w:rsidR="001437F5" w:rsidRPr="00C60ED1" w:rsidRDefault="001437F5" w:rsidP="00C50996">
      <w:pPr>
        <w:keepNext/>
        <w:rPr>
          <w:i/>
          <w:sz w:val="22"/>
          <w:szCs w:val="22"/>
          <w:lang w:val="sk-SK"/>
        </w:rPr>
      </w:pPr>
      <w:r w:rsidRPr="00C60ED1">
        <w:rPr>
          <w:i/>
          <w:sz w:val="22"/>
          <w:szCs w:val="22"/>
          <w:lang w:val="sk-SK"/>
        </w:rPr>
        <w:t>Vrodené, familiárne a genetické poruchy</w:t>
      </w:r>
    </w:p>
    <w:p w14:paraId="6A0C9622" w14:textId="77777777" w:rsidR="001437F5" w:rsidRPr="00C60ED1" w:rsidRDefault="001437F5" w:rsidP="00C50996">
      <w:pPr>
        <w:keepNext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Vrodené </w:t>
      </w:r>
      <w:proofErr w:type="spellStart"/>
      <w:r w:rsidRPr="00C60ED1">
        <w:rPr>
          <w:sz w:val="22"/>
          <w:szCs w:val="22"/>
          <w:lang w:val="sk-SK"/>
        </w:rPr>
        <w:t>malformácie</w:t>
      </w:r>
      <w:proofErr w:type="spellEnd"/>
      <w:r w:rsidRPr="00C60ED1">
        <w:rPr>
          <w:sz w:val="22"/>
          <w:szCs w:val="22"/>
          <w:lang w:val="sk-SK"/>
        </w:rPr>
        <w:t xml:space="preserve"> a vývinové poruchy (pozri časť 4.4 a časť 4.6).</w:t>
      </w:r>
    </w:p>
    <w:p w14:paraId="7FE88B50" w14:textId="77777777" w:rsidR="001437F5" w:rsidRPr="00C60ED1" w:rsidRDefault="001437F5" w:rsidP="00C50996">
      <w:pPr>
        <w:rPr>
          <w:sz w:val="22"/>
          <w:szCs w:val="22"/>
          <w:lang w:val="sk-SK"/>
        </w:rPr>
      </w:pPr>
    </w:p>
    <w:p w14:paraId="2A5292FD" w14:textId="1B32C09B" w:rsidR="00D62B1B" w:rsidRPr="00C60ED1" w:rsidRDefault="00D62B1B">
      <w:pPr>
        <w:pStyle w:val="Zkladntext"/>
        <w:rPr>
          <w:noProof/>
          <w:sz w:val="22"/>
          <w:szCs w:val="22"/>
          <w:lang w:val="sk-SK"/>
        </w:rPr>
      </w:pPr>
      <w:r w:rsidRPr="00C60ED1">
        <w:rPr>
          <w:noProof/>
          <w:sz w:val="22"/>
          <w:szCs w:val="22"/>
          <w:lang w:val="sk-SK"/>
        </w:rPr>
        <w:t>V spojení s nárastom hmotnosti alebo hyperandrogenizmom u niektorých žien boli pozorované prípady polycystických ovárií. Príčinná sú</w:t>
      </w:r>
      <w:r w:rsidR="009B15BE" w:rsidRPr="00C60ED1">
        <w:rPr>
          <w:noProof/>
          <w:sz w:val="22"/>
          <w:szCs w:val="22"/>
          <w:lang w:val="sk-SK"/>
        </w:rPr>
        <w:t xml:space="preserve">vislosť medzi </w:t>
      </w:r>
      <w:proofErr w:type="spellStart"/>
      <w:r w:rsidR="00AE7AAF" w:rsidRPr="00C60ED1">
        <w:rPr>
          <w:sz w:val="22"/>
          <w:szCs w:val="22"/>
          <w:lang w:val="sk-SK"/>
        </w:rPr>
        <w:t>v</w:t>
      </w:r>
      <w:r w:rsidR="00AE7AAF" w:rsidRPr="00C60ED1">
        <w:rPr>
          <w:sz w:val="22"/>
          <w:szCs w:val="22"/>
          <w:lang w:val="sk-SK" w:eastAsia="sk-SK"/>
        </w:rPr>
        <w:t>alpro</w:t>
      </w:r>
      <w:r w:rsidR="00932456" w:rsidRPr="00C60ED1">
        <w:rPr>
          <w:sz w:val="22"/>
          <w:szCs w:val="22"/>
          <w:lang w:val="sk-SK" w:eastAsia="sk-SK"/>
        </w:rPr>
        <w:t>átom</w:t>
      </w:r>
      <w:proofErr w:type="spellEnd"/>
      <w:r w:rsidR="00AE7AAF" w:rsidRPr="00C60ED1">
        <w:rPr>
          <w:sz w:val="22"/>
          <w:szCs w:val="22"/>
          <w:lang w:val="sk-SK" w:eastAsia="sk-SK"/>
        </w:rPr>
        <w:t xml:space="preserve"> sodným</w:t>
      </w:r>
      <w:r w:rsidR="00932456" w:rsidRPr="00C60ED1">
        <w:rPr>
          <w:sz w:val="22"/>
          <w:szCs w:val="22"/>
          <w:lang w:val="sk-SK" w:eastAsia="sk-SK"/>
        </w:rPr>
        <w:t xml:space="preserve"> </w:t>
      </w:r>
      <w:r w:rsidRPr="00C60ED1">
        <w:rPr>
          <w:noProof/>
          <w:sz w:val="22"/>
          <w:szCs w:val="22"/>
          <w:lang w:val="sk-SK"/>
        </w:rPr>
        <w:t>a polycystickými ováriami nie je dokázaná.</w:t>
      </w:r>
    </w:p>
    <w:p w14:paraId="3CDDB9BE" w14:textId="77777777" w:rsidR="00D62B1B" w:rsidRPr="00C60ED1" w:rsidRDefault="00D62B1B" w:rsidP="00C50996">
      <w:pPr>
        <w:rPr>
          <w:sz w:val="22"/>
          <w:szCs w:val="22"/>
          <w:lang w:val="sk-SK"/>
        </w:rPr>
      </w:pPr>
    </w:p>
    <w:p w14:paraId="212B92F4" w14:textId="0513B2CF" w:rsidR="00D62B1B" w:rsidRPr="00C60ED1" w:rsidRDefault="00135CCC" w:rsidP="00C50996">
      <w:pPr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*</w:t>
      </w:r>
      <w:proofErr w:type="spellStart"/>
      <w:r w:rsidRPr="00C60ED1">
        <w:rPr>
          <w:sz w:val="22"/>
          <w:szCs w:val="22"/>
          <w:vertAlign w:val="superscript"/>
          <w:lang w:val="sk-SK"/>
        </w:rPr>
        <w:t>1</w:t>
      </w:r>
      <w:r w:rsidR="00D62B1B" w:rsidRPr="00C60ED1">
        <w:rPr>
          <w:sz w:val="22"/>
          <w:szCs w:val="22"/>
          <w:lang w:val="sk-SK"/>
        </w:rPr>
        <w:t>Zriedka</w:t>
      </w:r>
      <w:proofErr w:type="spellEnd"/>
      <w:r w:rsidR="002D4484" w:rsidRPr="00C60ED1">
        <w:rPr>
          <w:sz w:val="22"/>
          <w:szCs w:val="22"/>
          <w:lang w:val="sk-SK"/>
        </w:rPr>
        <w:t>,</w:t>
      </w:r>
      <w:r w:rsidR="00D62B1B" w:rsidRPr="00C60ED1">
        <w:rPr>
          <w:sz w:val="22"/>
          <w:szCs w:val="22"/>
          <w:lang w:val="sk-SK"/>
        </w:rPr>
        <w:t xml:space="preserve"> krátko po užití lieku obsahujúceho</w:t>
      </w:r>
      <w:r w:rsidR="005A409B" w:rsidRPr="00C60ED1">
        <w:rPr>
          <w:sz w:val="22"/>
          <w:szCs w:val="22"/>
          <w:lang w:val="sk-SK"/>
        </w:rPr>
        <w:t xml:space="preserve"> </w:t>
      </w:r>
      <w:r w:rsidR="00AE7AAF" w:rsidRPr="00C60ED1">
        <w:rPr>
          <w:sz w:val="22"/>
          <w:szCs w:val="22"/>
          <w:lang w:val="sk-SK"/>
        </w:rPr>
        <w:t>v</w:t>
      </w:r>
      <w:r w:rsidR="00AE7AAF" w:rsidRPr="00C60ED1">
        <w:rPr>
          <w:sz w:val="22"/>
          <w:szCs w:val="22"/>
          <w:lang w:val="sk-SK" w:eastAsia="sk-SK"/>
        </w:rPr>
        <w:t>alpro</w:t>
      </w:r>
      <w:r w:rsidR="00932456" w:rsidRPr="00C60ED1">
        <w:rPr>
          <w:sz w:val="22"/>
          <w:szCs w:val="22"/>
          <w:lang w:val="sk-SK" w:eastAsia="sk-SK"/>
        </w:rPr>
        <w:t>át</w:t>
      </w:r>
      <w:r w:rsidR="00AE7AAF" w:rsidRPr="00C60ED1">
        <w:rPr>
          <w:sz w:val="22"/>
          <w:szCs w:val="22"/>
          <w:lang w:val="sk-SK" w:eastAsia="sk-SK"/>
        </w:rPr>
        <w:t xml:space="preserve"> sodný </w:t>
      </w:r>
      <w:r w:rsidR="00D62B1B" w:rsidRPr="00C60ED1">
        <w:rPr>
          <w:sz w:val="22"/>
          <w:szCs w:val="22"/>
          <w:lang w:val="sk-SK"/>
        </w:rPr>
        <w:t xml:space="preserve">boli pozorované prípady </w:t>
      </w:r>
      <w:proofErr w:type="spellStart"/>
      <w:r w:rsidR="00D62B1B" w:rsidRPr="00C60ED1">
        <w:rPr>
          <w:sz w:val="22"/>
          <w:szCs w:val="22"/>
          <w:lang w:val="sk-SK"/>
        </w:rPr>
        <w:t>encefalopatie</w:t>
      </w:r>
      <w:proofErr w:type="spellEnd"/>
      <w:r w:rsidR="00D62B1B" w:rsidRPr="00C60ED1">
        <w:rPr>
          <w:sz w:val="22"/>
          <w:szCs w:val="22"/>
          <w:lang w:val="sk-SK"/>
        </w:rPr>
        <w:t>, ktorej patogenéza je nejasná a po vysadení lieku je reverzibilná. V niekoľkých takých prípadoch pritom bola opisovaná zvýšená hladina amoniaku a v prípadoch kombinovanej liečby s </w:t>
      </w:r>
      <w:proofErr w:type="spellStart"/>
      <w:r w:rsidR="00D62B1B" w:rsidRPr="00C60ED1">
        <w:rPr>
          <w:sz w:val="22"/>
          <w:szCs w:val="22"/>
          <w:lang w:val="sk-SK"/>
        </w:rPr>
        <w:t>fenobarbitalom</w:t>
      </w:r>
      <w:proofErr w:type="spellEnd"/>
      <w:r w:rsidR="00D62B1B" w:rsidRPr="00C60ED1">
        <w:rPr>
          <w:sz w:val="22"/>
          <w:szCs w:val="22"/>
          <w:lang w:val="sk-SK"/>
        </w:rPr>
        <w:t xml:space="preserve"> aj zvýšená hladina fenobarbitalu. V </w:t>
      </w:r>
      <w:r w:rsidR="00D62B1B" w:rsidRPr="00C60ED1">
        <w:rPr>
          <w:sz w:val="22"/>
          <w:szCs w:val="22"/>
          <w:u w:val="single"/>
          <w:lang w:val="sk-SK"/>
        </w:rPr>
        <w:t>ojedinelých prípadoch</w:t>
      </w:r>
      <w:r w:rsidR="00D62B1B" w:rsidRPr="00C60ED1">
        <w:rPr>
          <w:sz w:val="22"/>
          <w:szCs w:val="22"/>
          <w:lang w:val="sk-SK"/>
        </w:rPr>
        <w:t xml:space="preserve">, predovšetkým pri vyšších dávkach alebo pri kombináciách s inými antiepileptikami sa môže vyskytnúť chronická encefalopatia s neurologickou </w:t>
      </w:r>
      <w:proofErr w:type="spellStart"/>
      <w:r w:rsidR="00D62B1B" w:rsidRPr="00C60ED1">
        <w:rPr>
          <w:sz w:val="22"/>
          <w:szCs w:val="22"/>
          <w:lang w:val="sk-SK"/>
        </w:rPr>
        <w:t>symptomatológiou</w:t>
      </w:r>
      <w:proofErr w:type="spellEnd"/>
      <w:r w:rsidR="00D62B1B" w:rsidRPr="00C60ED1">
        <w:rPr>
          <w:sz w:val="22"/>
          <w:szCs w:val="22"/>
          <w:lang w:val="sk-SK"/>
        </w:rPr>
        <w:t xml:space="preserve"> a poruchami vyšších </w:t>
      </w:r>
      <w:proofErr w:type="spellStart"/>
      <w:r w:rsidR="00D62B1B" w:rsidRPr="00C60ED1">
        <w:rPr>
          <w:sz w:val="22"/>
          <w:szCs w:val="22"/>
          <w:lang w:val="sk-SK"/>
        </w:rPr>
        <w:t>kortikálnych</w:t>
      </w:r>
      <w:proofErr w:type="spellEnd"/>
      <w:r w:rsidR="00D62B1B" w:rsidRPr="00C60ED1">
        <w:rPr>
          <w:sz w:val="22"/>
          <w:szCs w:val="22"/>
          <w:lang w:val="sk-SK"/>
        </w:rPr>
        <w:t xml:space="preserve"> funkcií, ktorých vznik taktiež doteraz nebol uspokojivo objasnený.</w:t>
      </w:r>
    </w:p>
    <w:p w14:paraId="1FB167D2" w14:textId="77777777" w:rsidR="00D62B1B" w:rsidRPr="00C60ED1" w:rsidRDefault="00D62B1B" w:rsidP="00C50996">
      <w:pPr>
        <w:keepLines/>
        <w:rPr>
          <w:sz w:val="22"/>
          <w:szCs w:val="22"/>
          <w:lang w:val="sk-SK"/>
        </w:rPr>
      </w:pPr>
    </w:p>
    <w:p w14:paraId="73E89A35" w14:textId="45F96EB5" w:rsidR="00D62B1B" w:rsidRPr="00C60ED1" w:rsidRDefault="00135CCC" w:rsidP="00C50996">
      <w:pPr>
        <w:keepLines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lastRenderedPageBreak/>
        <w:t>*</w:t>
      </w:r>
      <w:proofErr w:type="spellStart"/>
      <w:r w:rsidRPr="00C60ED1">
        <w:rPr>
          <w:sz w:val="22"/>
          <w:szCs w:val="22"/>
          <w:vertAlign w:val="superscript"/>
          <w:lang w:val="sk-SK"/>
        </w:rPr>
        <w:t>2</w:t>
      </w:r>
      <w:r w:rsidR="00D62B1B" w:rsidRPr="00C60ED1">
        <w:rPr>
          <w:sz w:val="22"/>
          <w:szCs w:val="22"/>
          <w:lang w:val="sk-SK"/>
        </w:rPr>
        <w:t>Zvláštnu</w:t>
      </w:r>
      <w:proofErr w:type="spellEnd"/>
      <w:r w:rsidR="00D62B1B" w:rsidRPr="00C60ED1">
        <w:rPr>
          <w:sz w:val="22"/>
          <w:szCs w:val="22"/>
          <w:lang w:val="sk-SK"/>
        </w:rPr>
        <w:t xml:space="preserve"> pozornosť si vyžadujú nasled</w:t>
      </w:r>
      <w:r w:rsidR="00AE7AAF" w:rsidRPr="00C60ED1">
        <w:rPr>
          <w:sz w:val="22"/>
          <w:szCs w:val="22"/>
          <w:lang w:val="sk-SK"/>
        </w:rPr>
        <w:t>ovné</w:t>
      </w:r>
      <w:r w:rsidR="00D62B1B" w:rsidRPr="00C60ED1">
        <w:rPr>
          <w:sz w:val="22"/>
          <w:szCs w:val="22"/>
          <w:lang w:val="sk-SK"/>
        </w:rPr>
        <w:t xml:space="preserve"> príznaky poškodenia pečene: zníženie </w:t>
      </w:r>
      <w:proofErr w:type="spellStart"/>
      <w:r w:rsidR="00D62B1B" w:rsidRPr="00C60ED1">
        <w:rPr>
          <w:sz w:val="22"/>
          <w:szCs w:val="22"/>
          <w:lang w:val="sk-SK"/>
        </w:rPr>
        <w:t>antiepileptického</w:t>
      </w:r>
      <w:proofErr w:type="spellEnd"/>
      <w:r w:rsidR="00D62B1B" w:rsidRPr="00C60ED1">
        <w:rPr>
          <w:sz w:val="22"/>
          <w:szCs w:val="22"/>
          <w:lang w:val="sk-SK"/>
        </w:rPr>
        <w:t xml:space="preserve"> účinku, ktoré sa prejaví </w:t>
      </w:r>
      <w:r w:rsidR="002D4484" w:rsidRPr="00C60ED1">
        <w:rPr>
          <w:sz w:val="22"/>
          <w:szCs w:val="22"/>
          <w:lang w:val="sk-SK"/>
        </w:rPr>
        <w:t xml:space="preserve">zvýšením počtu </w:t>
      </w:r>
      <w:r w:rsidR="00D62B1B" w:rsidRPr="00C60ED1">
        <w:rPr>
          <w:sz w:val="22"/>
          <w:szCs w:val="22"/>
          <w:lang w:val="sk-SK"/>
        </w:rPr>
        <w:t>epileptických záchvatov alebo ich opätovným výskytom, pocit telesnej slabosti, nechutenstvo, nevoľnosť alebo opakované dávenie, bolesti v </w:t>
      </w:r>
      <w:proofErr w:type="spellStart"/>
      <w:r w:rsidR="00D62B1B" w:rsidRPr="00C60ED1">
        <w:rPr>
          <w:sz w:val="22"/>
          <w:szCs w:val="22"/>
          <w:lang w:val="sk-SK"/>
        </w:rPr>
        <w:t>nadbruší</w:t>
      </w:r>
      <w:proofErr w:type="spellEnd"/>
      <w:r w:rsidR="00D62B1B" w:rsidRPr="00C60ED1">
        <w:rPr>
          <w:sz w:val="22"/>
          <w:szCs w:val="22"/>
          <w:lang w:val="sk-SK"/>
        </w:rPr>
        <w:t xml:space="preserve"> nejasnej etiológie, množiace sa opuchy celého tela alebo jeho častí, </w:t>
      </w:r>
      <w:r w:rsidR="005A409B" w:rsidRPr="00C60ED1">
        <w:rPr>
          <w:sz w:val="22"/>
          <w:szCs w:val="22"/>
          <w:lang w:val="sk-SK"/>
        </w:rPr>
        <w:t>ľahostaj</w:t>
      </w:r>
      <w:r w:rsidR="00D62B1B" w:rsidRPr="00C60ED1">
        <w:rPr>
          <w:sz w:val="22"/>
          <w:szCs w:val="22"/>
          <w:lang w:val="sk-SK"/>
        </w:rPr>
        <w:t xml:space="preserve">nosť, poruchy vedomia so zmätenosťou, nepokoj a poruchy pohyblivosti. Vo veľmi zriedkavých prípadoch sa môžu podobné príznaky vyskytnúť aj pri poškodení pankreasu. Podobné príznaky musia byť veľmi pozorne sledované u dojčiat a detí. Ak sú vyššie uvedené príznaky silné alebo pretrvávajúce, potrebné je okrem dôkladného klinického vyšetrenia vykonať príslušné laboratórne vyšetrenia (pozri </w:t>
      </w:r>
      <w:r w:rsidR="005A409B" w:rsidRPr="00C60ED1">
        <w:rPr>
          <w:sz w:val="22"/>
          <w:szCs w:val="22"/>
          <w:lang w:val="sk-SK"/>
        </w:rPr>
        <w:t>časť</w:t>
      </w:r>
      <w:r w:rsidR="00D62B1B" w:rsidRPr="00C60ED1">
        <w:rPr>
          <w:sz w:val="22"/>
          <w:szCs w:val="22"/>
          <w:lang w:val="sk-SK"/>
        </w:rPr>
        <w:t xml:space="preserve"> 4.4 Osobitné upozornenia a opatrenia pri používaní).</w:t>
      </w:r>
    </w:p>
    <w:p w14:paraId="7851369B" w14:textId="77777777" w:rsidR="00C4087C" w:rsidRDefault="00C4087C" w:rsidP="00C4087C">
      <w:pPr>
        <w:tabs>
          <w:tab w:val="left" w:pos="426"/>
        </w:tabs>
        <w:rPr>
          <w:sz w:val="22"/>
          <w:szCs w:val="22"/>
          <w:lang w:val="sk-SK"/>
        </w:rPr>
      </w:pPr>
    </w:p>
    <w:p w14:paraId="5EA8D0CB" w14:textId="77777777" w:rsidR="00C4087C" w:rsidRPr="00E01944" w:rsidRDefault="00C4087C" w:rsidP="00C4087C">
      <w:pPr>
        <w:tabs>
          <w:tab w:val="left" w:pos="426"/>
        </w:tabs>
        <w:rPr>
          <w:sz w:val="22"/>
          <w:szCs w:val="22"/>
          <w:u w:val="single"/>
          <w:lang w:val="sk-SK"/>
        </w:rPr>
      </w:pPr>
      <w:r w:rsidRPr="00E01944">
        <w:rPr>
          <w:sz w:val="22"/>
          <w:szCs w:val="22"/>
          <w:u w:val="single"/>
          <w:lang w:val="sk-SK"/>
        </w:rPr>
        <w:t>Pediatrická populácia</w:t>
      </w:r>
    </w:p>
    <w:p w14:paraId="0D5EE420" w14:textId="77777777" w:rsidR="00C4087C" w:rsidRDefault="00C4087C" w:rsidP="00C4087C">
      <w:pPr>
        <w:tabs>
          <w:tab w:val="left" w:pos="426"/>
        </w:tabs>
        <w:rPr>
          <w:sz w:val="22"/>
          <w:szCs w:val="22"/>
          <w:lang w:val="sk-SK"/>
        </w:rPr>
      </w:pPr>
      <w:r w:rsidRPr="00E01944">
        <w:rPr>
          <w:sz w:val="22"/>
          <w:szCs w:val="22"/>
          <w:lang w:val="sk-SK"/>
        </w:rPr>
        <w:t xml:space="preserve">Bezpečnostný profil valproátu u pediatrickej populácie je porovnateľný s dospelými, niektoré vedľajšie reakcie sú však v pediatrickej populácii závažnejšie, prípadne sa pozorujú najmä v tejto populácii. U dojčiat a malých detí, najmä mladších ako 3 roky, existuje osobitné riziko vážneho poškodenia pečene. Malé deti sú tiež vystavené osobitnému riziku </w:t>
      </w:r>
      <w:proofErr w:type="spellStart"/>
      <w:r w:rsidRPr="00E01944">
        <w:rPr>
          <w:sz w:val="22"/>
          <w:szCs w:val="22"/>
          <w:lang w:val="sk-SK"/>
        </w:rPr>
        <w:t>pankreatitídy</w:t>
      </w:r>
      <w:proofErr w:type="spellEnd"/>
      <w:r w:rsidRPr="00E01944">
        <w:rPr>
          <w:sz w:val="22"/>
          <w:szCs w:val="22"/>
          <w:lang w:val="sk-SK"/>
        </w:rPr>
        <w:t>. Tieto riziká sa znižujú so zvyšujúcim sa vekom (pozri časť 4.4). Psychiatrické poruchy, ako sú agresia, agitácia, poruchy pozornosti, abnormálne správanie, psychomotorická hyperaktivita a poruchy učenia sa pozorujú najmä v pediatrickej populácii.</w:t>
      </w:r>
    </w:p>
    <w:p w14:paraId="3D70E8ED" w14:textId="77777777" w:rsidR="00D62B1B" w:rsidRPr="00C60ED1" w:rsidRDefault="00D62B1B" w:rsidP="00C50996">
      <w:pPr>
        <w:tabs>
          <w:tab w:val="left" w:pos="426"/>
        </w:tabs>
        <w:rPr>
          <w:sz w:val="22"/>
          <w:szCs w:val="22"/>
          <w:lang w:val="sk-SK"/>
        </w:rPr>
      </w:pPr>
    </w:p>
    <w:p w14:paraId="17356AA9" w14:textId="77777777" w:rsidR="001437F5" w:rsidRPr="00C60ED1" w:rsidRDefault="001437F5" w:rsidP="00C50996">
      <w:pPr>
        <w:keepNext/>
        <w:tabs>
          <w:tab w:val="left" w:pos="426"/>
        </w:tabs>
        <w:rPr>
          <w:sz w:val="22"/>
          <w:szCs w:val="22"/>
          <w:u w:val="single"/>
          <w:lang w:val="sk-SK"/>
        </w:rPr>
      </w:pPr>
      <w:r w:rsidRPr="00C60ED1">
        <w:rPr>
          <w:sz w:val="22"/>
          <w:szCs w:val="22"/>
          <w:u w:val="single"/>
          <w:lang w:val="sk-SK"/>
        </w:rPr>
        <w:t>Hlásenie podozrení na nežiaduce reakcie</w:t>
      </w:r>
    </w:p>
    <w:p w14:paraId="5BAA1DF5" w14:textId="12EE6127" w:rsidR="001437F5" w:rsidRPr="00C60ED1" w:rsidRDefault="001437F5" w:rsidP="00C50996">
      <w:pPr>
        <w:keepNext/>
        <w:tabs>
          <w:tab w:val="left" w:pos="426"/>
        </w:tabs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71036C" w:rsidRPr="00C60ED1">
        <w:rPr>
          <w:sz w:val="22"/>
          <w:szCs w:val="22"/>
          <w:lang w:val="sk-SK"/>
        </w:rPr>
        <w:t xml:space="preserve">na </w:t>
      </w:r>
      <w:r w:rsidRPr="00C60ED1">
        <w:rPr>
          <w:sz w:val="22"/>
          <w:szCs w:val="22"/>
          <w:highlight w:val="lightGray"/>
          <w:lang w:val="sk-SK"/>
        </w:rPr>
        <w:t>národné</w:t>
      </w:r>
      <w:r w:rsidR="0071036C" w:rsidRPr="00C60ED1">
        <w:rPr>
          <w:sz w:val="22"/>
          <w:szCs w:val="22"/>
          <w:highlight w:val="lightGray"/>
          <w:lang w:val="sk-SK"/>
        </w:rPr>
        <w:t xml:space="preserve"> centrum </w:t>
      </w:r>
      <w:r w:rsidRPr="00C60ED1">
        <w:rPr>
          <w:sz w:val="22"/>
          <w:szCs w:val="22"/>
          <w:highlight w:val="lightGray"/>
          <w:lang w:val="sk-SK"/>
        </w:rPr>
        <w:t xml:space="preserve">hlásenia uvedené v </w:t>
      </w:r>
      <w:hyperlink r:id="rId7" w:history="1">
        <w:r w:rsidR="0071036C" w:rsidRPr="00C60ED1">
          <w:rPr>
            <w:rStyle w:val="Hypertextovprepojenie"/>
            <w:color w:val="auto"/>
            <w:sz w:val="22"/>
            <w:szCs w:val="22"/>
            <w:highlight w:val="lightGray"/>
            <w:lang w:val="sk-SK"/>
          </w:rPr>
          <w:t>Prílohe V</w:t>
        </w:r>
      </w:hyperlink>
      <w:r w:rsidRPr="00C60ED1">
        <w:rPr>
          <w:sz w:val="22"/>
          <w:szCs w:val="22"/>
          <w:highlight w:val="lightGray"/>
          <w:lang w:val="sk-SK"/>
        </w:rPr>
        <w:t>.</w:t>
      </w:r>
    </w:p>
    <w:p w14:paraId="284C296E" w14:textId="77777777" w:rsidR="001437F5" w:rsidRPr="00C60ED1" w:rsidRDefault="001437F5" w:rsidP="00C50996">
      <w:pPr>
        <w:tabs>
          <w:tab w:val="left" w:pos="426"/>
        </w:tabs>
        <w:rPr>
          <w:sz w:val="22"/>
          <w:szCs w:val="22"/>
          <w:lang w:val="sk-SK"/>
        </w:rPr>
      </w:pPr>
    </w:p>
    <w:p w14:paraId="2FA4A7BC" w14:textId="77777777" w:rsidR="00D62B1B" w:rsidRPr="00C60ED1" w:rsidRDefault="00D62B1B" w:rsidP="00C50996">
      <w:pPr>
        <w:keepNext/>
        <w:tabs>
          <w:tab w:val="left" w:pos="567"/>
        </w:tabs>
        <w:rPr>
          <w:sz w:val="22"/>
          <w:szCs w:val="22"/>
          <w:lang w:val="sk-SK"/>
        </w:rPr>
      </w:pPr>
      <w:r w:rsidRPr="00C60ED1">
        <w:rPr>
          <w:b/>
          <w:sz w:val="22"/>
          <w:szCs w:val="22"/>
          <w:lang w:val="sk-SK"/>
        </w:rPr>
        <w:t>4.9</w:t>
      </w:r>
      <w:r w:rsidRPr="00C60ED1">
        <w:rPr>
          <w:b/>
          <w:sz w:val="22"/>
          <w:szCs w:val="22"/>
          <w:lang w:val="sk-SK"/>
        </w:rPr>
        <w:tab/>
        <w:t>Predávkovanie</w:t>
      </w:r>
    </w:p>
    <w:p w14:paraId="3F72A4A2" w14:textId="77777777" w:rsidR="00194526" w:rsidRPr="00C60ED1" w:rsidRDefault="00194526" w:rsidP="00C50996">
      <w:pPr>
        <w:pStyle w:val="Zkladntext"/>
        <w:keepNext/>
        <w:rPr>
          <w:sz w:val="22"/>
          <w:szCs w:val="22"/>
          <w:lang w:val="sk-SK"/>
        </w:rPr>
      </w:pPr>
    </w:p>
    <w:p w14:paraId="5AC3B6C1" w14:textId="77777777" w:rsidR="005A409B" w:rsidRPr="00C60ED1" w:rsidRDefault="005A409B" w:rsidP="00C50996">
      <w:pPr>
        <w:pStyle w:val="Zkladntext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Pri hodnotení každej intoxikácie je potrebné zvážiť aj možnosť viacnásobnej intoxikácie, napr. požitie viacerých liekov so samovražedným úmyslom.</w:t>
      </w:r>
    </w:p>
    <w:p w14:paraId="2146F3B0" w14:textId="5FBF6106" w:rsidR="005A409B" w:rsidRPr="00C60ED1" w:rsidRDefault="00AE7AAF" w:rsidP="00C50996">
      <w:pPr>
        <w:rPr>
          <w:snapToGrid w:val="0"/>
          <w:sz w:val="22"/>
          <w:szCs w:val="22"/>
          <w:lang w:val="sk-SK" w:eastAsia="cs-CZ"/>
        </w:rPr>
      </w:pPr>
      <w:r w:rsidRPr="00C60ED1">
        <w:rPr>
          <w:sz w:val="22"/>
          <w:szCs w:val="22"/>
          <w:lang w:val="sk-SK"/>
        </w:rPr>
        <w:t>V</w:t>
      </w:r>
      <w:r w:rsidRPr="00C60ED1">
        <w:rPr>
          <w:sz w:val="22"/>
          <w:szCs w:val="22"/>
          <w:lang w:val="sk-SK" w:eastAsia="sk-SK"/>
        </w:rPr>
        <w:t>alpro</w:t>
      </w:r>
      <w:r w:rsidR="00751FEF" w:rsidRPr="00C60ED1">
        <w:rPr>
          <w:sz w:val="22"/>
          <w:szCs w:val="22"/>
          <w:lang w:val="sk-SK" w:eastAsia="sk-SK"/>
        </w:rPr>
        <w:t>át</w:t>
      </w:r>
      <w:r w:rsidRPr="00C60ED1">
        <w:rPr>
          <w:sz w:val="22"/>
          <w:szCs w:val="22"/>
          <w:lang w:val="sk-SK" w:eastAsia="sk-SK"/>
        </w:rPr>
        <w:t xml:space="preserve"> sodný </w:t>
      </w:r>
      <w:r w:rsidR="005A409B" w:rsidRPr="00C60ED1">
        <w:rPr>
          <w:snapToGrid w:val="0"/>
          <w:sz w:val="22"/>
          <w:szCs w:val="22"/>
          <w:lang w:val="sk-SK" w:eastAsia="cs-CZ"/>
        </w:rPr>
        <w:t xml:space="preserve">v rozmedzí terapeutickej hladiny (50-100 </w:t>
      </w:r>
      <w:r w:rsidR="005A409B" w:rsidRPr="00C60ED1">
        <w:rPr>
          <w:sz w:val="22"/>
          <w:szCs w:val="22"/>
          <w:lang w:val="sk-SK"/>
        </w:rPr>
        <w:t>µg/ml</w:t>
      </w:r>
      <w:r w:rsidR="005A409B" w:rsidRPr="00C60ED1">
        <w:rPr>
          <w:snapToGrid w:val="0"/>
          <w:sz w:val="22"/>
          <w:szCs w:val="22"/>
          <w:lang w:val="sk-SK" w:eastAsia="cs-CZ"/>
        </w:rPr>
        <w:t xml:space="preserve">) má pomerne nízku toxicitu. </w:t>
      </w:r>
    </w:p>
    <w:p w14:paraId="39FF7E28" w14:textId="4BFA1B5D" w:rsidR="00D62B1B" w:rsidRPr="00C60ED1" w:rsidRDefault="00D62B1B" w:rsidP="00C50996">
      <w:pPr>
        <w:rPr>
          <w:snapToGrid w:val="0"/>
          <w:sz w:val="22"/>
          <w:szCs w:val="22"/>
          <w:lang w:val="sk-SK" w:eastAsia="cs-CZ"/>
        </w:rPr>
      </w:pPr>
      <w:r w:rsidRPr="00C60ED1">
        <w:rPr>
          <w:snapToGrid w:val="0"/>
          <w:sz w:val="22"/>
          <w:szCs w:val="22"/>
          <w:lang w:val="sk-SK" w:eastAsia="cs-CZ"/>
        </w:rPr>
        <w:t>Veľmi zriedka sa stretávame pri akútnych i</w:t>
      </w:r>
      <w:r w:rsidR="00BB151A" w:rsidRPr="00C60ED1">
        <w:rPr>
          <w:snapToGrid w:val="0"/>
          <w:sz w:val="22"/>
          <w:szCs w:val="22"/>
          <w:lang w:val="sk-SK" w:eastAsia="cs-CZ"/>
        </w:rPr>
        <w:t xml:space="preserve">ntoxikáciách </w:t>
      </w:r>
      <w:proofErr w:type="spellStart"/>
      <w:r w:rsidR="00AE7AAF" w:rsidRPr="00C60ED1">
        <w:rPr>
          <w:sz w:val="22"/>
          <w:szCs w:val="22"/>
          <w:lang w:val="sk-SK"/>
        </w:rPr>
        <w:t>v</w:t>
      </w:r>
      <w:r w:rsidR="00AE7AAF" w:rsidRPr="00C60ED1">
        <w:rPr>
          <w:sz w:val="22"/>
          <w:szCs w:val="22"/>
          <w:lang w:val="sk-SK" w:eastAsia="sk-SK"/>
        </w:rPr>
        <w:t>alpro</w:t>
      </w:r>
      <w:r w:rsidR="00751FEF" w:rsidRPr="00C60ED1">
        <w:rPr>
          <w:sz w:val="22"/>
          <w:szCs w:val="22"/>
          <w:lang w:val="sk-SK" w:eastAsia="sk-SK"/>
        </w:rPr>
        <w:t>átom</w:t>
      </w:r>
      <w:proofErr w:type="spellEnd"/>
      <w:r w:rsidR="00AE7AAF" w:rsidRPr="00C60ED1">
        <w:rPr>
          <w:sz w:val="22"/>
          <w:szCs w:val="22"/>
          <w:lang w:val="sk-SK" w:eastAsia="sk-SK"/>
        </w:rPr>
        <w:t xml:space="preserve"> sodným</w:t>
      </w:r>
      <w:r w:rsidR="00751FEF" w:rsidRPr="00C60ED1">
        <w:rPr>
          <w:sz w:val="22"/>
          <w:szCs w:val="22"/>
          <w:lang w:val="sk-SK" w:eastAsia="sk-SK"/>
        </w:rPr>
        <w:t xml:space="preserve"> </w:t>
      </w:r>
      <w:r w:rsidRPr="00C60ED1">
        <w:rPr>
          <w:snapToGrid w:val="0"/>
          <w:sz w:val="22"/>
          <w:szCs w:val="22"/>
          <w:lang w:val="sk-SK" w:eastAsia="cs-CZ"/>
        </w:rPr>
        <w:t xml:space="preserve">u detí a dospelých s vyššou plazmatickou hladinou ako 100 </w:t>
      </w:r>
      <w:r w:rsidRPr="00C60ED1">
        <w:rPr>
          <w:sz w:val="22"/>
          <w:szCs w:val="22"/>
          <w:lang w:val="sk-SK"/>
        </w:rPr>
        <w:t>µg/ml.</w:t>
      </w:r>
      <w:r w:rsidRPr="00C60ED1">
        <w:rPr>
          <w:snapToGrid w:val="0"/>
          <w:sz w:val="22"/>
          <w:szCs w:val="22"/>
          <w:lang w:val="sk-SK" w:eastAsia="cs-CZ"/>
        </w:rPr>
        <w:t xml:space="preserve"> V literatúre bolo popísaných niekoľko prípadov akútneho a chronického predávkovania so smrteľným koncom.</w:t>
      </w:r>
    </w:p>
    <w:p w14:paraId="1997887E" w14:textId="77777777" w:rsidR="00D62B1B" w:rsidRPr="00C60ED1" w:rsidRDefault="00D62B1B" w:rsidP="00C50996">
      <w:pPr>
        <w:rPr>
          <w:snapToGrid w:val="0"/>
          <w:sz w:val="22"/>
          <w:szCs w:val="22"/>
          <w:lang w:val="sk-SK" w:eastAsia="cs-CZ"/>
        </w:rPr>
      </w:pPr>
    </w:p>
    <w:p w14:paraId="655C19F2" w14:textId="77777777" w:rsidR="00D62B1B" w:rsidRPr="00C60ED1" w:rsidRDefault="00D62B1B" w:rsidP="00C50996">
      <w:pPr>
        <w:rPr>
          <w:snapToGrid w:val="0"/>
          <w:sz w:val="22"/>
          <w:szCs w:val="22"/>
          <w:lang w:val="sk-SK" w:eastAsia="cs-CZ"/>
        </w:rPr>
      </w:pPr>
      <w:r w:rsidRPr="00C60ED1">
        <w:rPr>
          <w:snapToGrid w:val="0"/>
          <w:sz w:val="22"/>
          <w:szCs w:val="22"/>
          <w:lang w:val="sk-SK" w:eastAsia="cs-CZ"/>
        </w:rPr>
        <w:t xml:space="preserve">Klinický obraz otravy charakterizujú stavy zmätenosti, útlm až komatózny stav, svalová slabosť, </w:t>
      </w:r>
      <w:proofErr w:type="spellStart"/>
      <w:r w:rsidRPr="00C60ED1">
        <w:rPr>
          <w:snapToGrid w:val="0"/>
          <w:sz w:val="22"/>
          <w:szCs w:val="22"/>
          <w:lang w:val="sk-SK" w:eastAsia="cs-CZ"/>
        </w:rPr>
        <w:t>hypo</w:t>
      </w:r>
      <w:proofErr w:type="spellEnd"/>
      <w:r w:rsidR="005A409B" w:rsidRPr="00C60ED1">
        <w:rPr>
          <w:snapToGrid w:val="0"/>
          <w:sz w:val="22"/>
          <w:szCs w:val="22"/>
          <w:lang w:val="sk-SK" w:eastAsia="cs-CZ"/>
        </w:rPr>
        <w:t>-</w:t>
      </w:r>
      <w:r w:rsidRPr="00C60ED1">
        <w:rPr>
          <w:snapToGrid w:val="0"/>
          <w:sz w:val="22"/>
          <w:szCs w:val="22"/>
          <w:lang w:val="sk-SK" w:eastAsia="cs-CZ"/>
        </w:rPr>
        <w:t xml:space="preserve"> až </w:t>
      </w:r>
      <w:proofErr w:type="spellStart"/>
      <w:r w:rsidRPr="00C60ED1">
        <w:rPr>
          <w:snapToGrid w:val="0"/>
          <w:sz w:val="22"/>
          <w:szCs w:val="22"/>
          <w:lang w:val="sk-SK" w:eastAsia="cs-CZ"/>
        </w:rPr>
        <w:t>areflexia</w:t>
      </w:r>
      <w:proofErr w:type="spellEnd"/>
      <w:r w:rsidRPr="00C60ED1">
        <w:rPr>
          <w:snapToGrid w:val="0"/>
          <w:sz w:val="22"/>
          <w:szCs w:val="22"/>
          <w:lang w:val="sk-SK" w:eastAsia="cs-CZ"/>
        </w:rPr>
        <w:t xml:space="preserve">. V jednotlivých prípadoch bola pozorovaná hypotenzia, mióza, poruchy dýchania a srdcovej činnosti, mozgový edém, metabolická acidóza, </w:t>
      </w:r>
      <w:proofErr w:type="spellStart"/>
      <w:r w:rsidRPr="00C60ED1">
        <w:rPr>
          <w:snapToGrid w:val="0"/>
          <w:sz w:val="22"/>
          <w:szCs w:val="22"/>
          <w:lang w:val="sk-SK" w:eastAsia="cs-CZ"/>
        </w:rPr>
        <w:t>hypokalc</w:t>
      </w:r>
      <w:r w:rsidR="005A409B" w:rsidRPr="00C60ED1">
        <w:rPr>
          <w:snapToGrid w:val="0"/>
          <w:sz w:val="22"/>
          <w:szCs w:val="22"/>
          <w:lang w:val="sk-SK" w:eastAsia="cs-CZ"/>
        </w:rPr>
        <w:t>i</w:t>
      </w:r>
      <w:r w:rsidRPr="00C60ED1">
        <w:rPr>
          <w:snapToGrid w:val="0"/>
          <w:sz w:val="22"/>
          <w:szCs w:val="22"/>
          <w:lang w:val="sk-SK" w:eastAsia="cs-CZ"/>
        </w:rPr>
        <w:t>émia</w:t>
      </w:r>
      <w:proofErr w:type="spellEnd"/>
      <w:r w:rsidRPr="00C60ED1">
        <w:rPr>
          <w:snapToGrid w:val="0"/>
          <w:sz w:val="22"/>
          <w:szCs w:val="22"/>
          <w:lang w:val="sk-SK" w:eastAsia="cs-CZ"/>
        </w:rPr>
        <w:t xml:space="preserve"> a </w:t>
      </w:r>
      <w:proofErr w:type="spellStart"/>
      <w:r w:rsidRPr="00C60ED1">
        <w:rPr>
          <w:snapToGrid w:val="0"/>
          <w:sz w:val="22"/>
          <w:szCs w:val="22"/>
          <w:lang w:val="sk-SK" w:eastAsia="cs-CZ"/>
        </w:rPr>
        <w:t>hypernatr</w:t>
      </w:r>
      <w:r w:rsidR="002D4484" w:rsidRPr="00C60ED1">
        <w:rPr>
          <w:snapToGrid w:val="0"/>
          <w:sz w:val="22"/>
          <w:szCs w:val="22"/>
          <w:lang w:val="sk-SK" w:eastAsia="cs-CZ"/>
        </w:rPr>
        <w:t>i</w:t>
      </w:r>
      <w:r w:rsidRPr="00C60ED1">
        <w:rPr>
          <w:snapToGrid w:val="0"/>
          <w:sz w:val="22"/>
          <w:szCs w:val="22"/>
          <w:lang w:val="sk-SK" w:eastAsia="cs-CZ"/>
        </w:rPr>
        <w:t>émia</w:t>
      </w:r>
      <w:proofErr w:type="spellEnd"/>
      <w:r w:rsidRPr="00C60ED1">
        <w:rPr>
          <w:snapToGrid w:val="0"/>
          <w:sz w:val="22"/>
          <w:szCs w:val="22"/>
          <w:lang w:val="sk-SK" w:eastAsia="cs-CZ"/>
        </w:rPr>
        <w:t>.</w:t>
      </w:r>
    </w:p>
    <w:p w14:paraId="195C4065" w14:textId="77777777" w:rsidR="00D62B1B" w:rsidRPr="00C60ED1" w:rsidRDefault="00D62B1B" w:rsidP="00C50996">
      <w:pPr>
        <w:rPr>
          <w:snapToGrid w:val="0"/>
          <w:sz w:val="22"/>
          <w:szCs w:val="22"/>
          <w:lang w:val="sk-SK" w:eastAsia="cs-CZ"/>
        </w:rPr>
      </w:pPr>
    </w:p>
    <w:p w14:paraId="031F1040" w14:textId="77777777" w:rsidR="00D62B1B" w:rsidRPr="00C60ED1" w:rsidRDefault="00D62B1B" w:rsidP="00C50996">
      <w:pPr>
        <w:rPr>
          <w:snapToGrid w:val="0"/>
          <w:sz w:val="22"/>
          <w:szCs w:val="22"/>
          <w:lang w:val="sk-SK" w:eastAsia="cs-CZ"/>
        </w:rPr>
      </w:pPr>
      <w:r w:rsidRPr="00C60ED1">
        <w:rPr>
          <w:snapToGrid w:val="0"/>
          <w:sz w:val="22"/>
          <w:szCs w:val="22"/>
          <w:lang w:val="sk-SK" w:eastAsia="cs-CZ"/>
        </w:rPr>
        <w:t xml:space="preserve">Vysoká plazmatická hladina môže u detí a dospelých vyvolať abnormálne neurologické prejavy a zmeny </w:t>
      </w:r>
      <w:r w:rsidR="002D4484" w:rsidRPr="00C60ED1">
        <w:rPr>
          <w:snapToGrid w:val="0"/>
          <w:sz w:val="22"/>
          <w:szCs w:val="22"/>
          <w:lang w:val="sk-SK" w:eastAsia="cs-CZ"/>
        </w:rPr>
        <w:t>správania</w:t>
      </w:r>
      <w:r w:rsidRPr="00C60ED1">
        <w:rPr>
          <w:snapToGrid w:val="0"/>
          <w:sz w:val="22"/>
          <w:szCs w:val="22"/>
          <w:lang w:val="sk-SK" w:eastAsia="cs-CZ"/>
        </w:rPr>
        <w:t>.</w:t>
      </w:r>
    </w:p>
    <w:p w14:paraId="59BF2B82" w14:textId="77777777" w:rsidR="00D62B1B" w:rsidRPr="00C60ED1" w:rsidRDefault="00D62B1B" w:rsidP="00C50996">
      <w:pPr>
        <w:rPr>
          <w:snapToGrid w:val="0"/>
          <w:sz w:val="22"/>
          <w:szCs w:val="22"/>
          <w:lang w:val="sk-SK" w:eastAsia="cs-CZ"/>
        </w:rPr>
      </w:pPr>
    </w:p>
    <w:p w14:paraId="15F50647" w14:textId="11D4DDD7" w:rsidR="00D62B1B" w:rsidRPr="00C60ED1" w:rsidRDefault="00D62B1B" w:rsidP="00C50996">
      <w:pPr>
        <w:rPr>
          <w:snapToGrid w:val="0"/>
          <w:sz w:val="22"/>
          <w:szCs w:val="22"/>
          <w:lang w:val="sk-SK" w:eastAsia="cs-CZ"/>
        </w:rPr>
      </w:pPr>
      <w:r w:rsidRPr="00C60ED1">
        <w:rPr>
          <w:snapToGrid w:val="0"/>
          <w:sz w:val="22"/>
          <w:szCs w:val="22"/>
          <w:lang w:val="sk-SK" w:eastAsia="cs-CZ"/>
        </w:rPr>
        <w:t xml:space="preserve">Špecifické </w:t>
      </w:r>
      <w:proofErr w:type="spellStart"/>
      <w:r w:rsidRPr="00C60ED1">
        <w:rPr>
          <w:snapToGrid w:val="0"/>
          <w:sz w:val="22"/>
          <w:szCs w:val="22"/>
          <w:lang w:val="sk-SK" w:eastAsia="cs-CZ"/>
        </w:rPr>
        <w:t>antidotum</w:t>
      </w:r>
      <w:proofErr w:type="spellEnd"/>
      <w:r w:rsidRPr="00C60ED1">
        <w:rPr>
          <w:snapToGrid w:val="0"/>
          <w:sz w:val="22"/>
          <w:szCs w:val="22"/>
          <w:lang w:val="sk-SK" w:eastAsia="cs-CZ"/>
        </w:rPr>
        <w:t xml:space="preserve"> nie je známe. Liečba musí pozostávať zo snahy odstrániť liečivo z organizmu a zo zabezpečenia vitálnych funkcií. Ak je to možné, v priebehu 30 min. po užití vyvoláme vracanie alebo vykonáme výplach žalúdka a podáme dávku </w:t>
      </w:r>
      <w:r w:rsidR="00C74CD1" w:rsidRPr="00C60ED1">
        <w:rPr>
          <w:snapToGrid w:val="0"/>
          <w:sz w:val="22"/>
          <w:szCs w:val="22"/>
          <w:lang w:val="sk-SK" w:eastAsia="cs-CZ"/>
        </w:rPr>
        <w:t>akt</w:t>
      </w:r>
      <w:r w:rsidRPr="00C60ED1">
        <w:rPr>
          <w:snapToGrid w:val="0"/>
          <w:sz w:val="22"/>
          <w:szCs w:val="22"/>
          <w:lang w:val="sk-SK" w:eastAsia="cs-CZ"/>
        </w:rPr>
        <w:t>í</w:t>
      </w:r>
      <w:r w:rsidR="00C74CD1" w:rsidRPr="00C60ED1">
        <w:rPr>
          <w:snapToGrid w:val="0"/>
          <w:sz w:val="22"/>
          <w:szCs w:val="22"/>
          <w:lang w:val="sk-SK" w:eastAsia="cs-CZ"/>
        </w:rPr>
        <w:t>v</w:t>
      </w:r>
      <w:r w:rsidRPr="00C60ED1">
        <w:rPr>
          <w:snapToGrid w:val="0"/>
          <w:sz w:val="22"/>
          <w:szCs w:val="22"/>
          <w:lang w:val="sk-SK" w:eastAsia="cs-CZ"/>
        </w:rPr>
        <w:t>neho uhlia. Sú</w:t>
      </w:r>
      <w:r w:rsidR="00824516" w:rsidRPr="00C60ED1">
        <w:rPr>
          <w:snapToGrid w:val="0"/>
          <w:sz w:val="22"/>
          <w:szCs w:val="22"/>
          <w:lang w:val="sk-SK" w:eastAsia="cs-CZ"/>
        </w:rPr>
        <w:t>bež</w:t>
      </w:r>
      <w:r w:rsidRPr="00C60ED1">
        <w:rPr>
          <w:snapToGrid w:val="0"/>
          <w:sz w:val="22"/>
          <w:szCs w:val="22"/>
          <w:lang w:val="sk-SK" w:eastAsia="cs-CZ"/>
        </w:rPr>
        <w:t>n</w:t>
      </w:r>
      <w:r w:rsidR="00E72048" w:rsidRPr="00C60ED1">
        <w:rPr>
          <w:snapToGrid w:val="0"/>
          <w:sz w:val="22"/>
          <w:szCs w:val="22"/>
          <w:lang w:val="sk-SK" w:eastAsia="cs-CZ"/>
        </w:rPr>
        <w:t>e</w:t>
      </w:r>
      <w:r w:rsidRPr="00C60ED1">
        <w:rPr>
          <w:snapToGrid w:val="0"/>
          <w:sz w:val="22"/>
          <w:szCs w:val="22"/>
          <w:lang w:val="sk-SK" w:eastAsia="cs-CZ"/>
        </w:rPr>
        <w:t xml:space="preserve"> je nutné neustále sledovanie pacienta.</w:t>
      </w:r>
    </w:p>
    <w:p w14:paraId="73FE996C" w14:textId="77777777" w:rsidR="00D62B1B" w:rsidRPr="00C60ED1" w:rsidRDefault="00D62B1B" w:rsidP="00C50996">
      <w:pPr>
        <w:rPr>
          <w:snapToGrid w:val="0"/>
          <w:sz w:val="22"/>
          <w:szCs w:val="22"/>
          <w:lang w:val="sk-SK" w:eastAsia="cs-CZ"/>
        </w:rPr>
      </w:pPr>
    </w:p>
    <w:p w14:paraId="0950B6F4" w14:textId="77777777" w:rsidR="00D62B1B" w:rsidRPr="00C60ED1" w:rsidRDefault="00D62B1B" w:rsidP="00C50996">
      <w:pPr>
        <w:tabs>
          <w:tab w:val="left" w:pos="426"/>
        </w:tabs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Podľa potreby môže byť účinná hemodialýza a forsírovaná </w:t>
      </w:r>
      <w:proofErr w:type="spellStart"/>
      <w:r w:rsidRPr="00C60ED1">
        <w:rPr>
          <w:sz w:val="22"/>
          <w:szCs w:val="22"/>
          <w:lang w:val="sk-SK"/>
        </w:rPr>
        <w:t>diuréza</w:t>
      </w:r>
      <w:proofErr w:type="spellEnd"/>
      <w:r w:rsidRPr="00C60ED1">
        <w:rPr>
          <w:sz w:val="22"/>
          <w:szCs w:val="22"/>
          <w:lang w:val="sk-SK"/>
        </w:rPr>
        <w:t xml:space="preserve">. </w:t>
      </w:r>
      <w:proofErr w:type="spellStart"/>
      <w:r w:rsidRPr="00C60ED1">
        <w:rPr>
          <w:sz w:val="22"/>
          <w:szCs w:val="22"/>
          <w:lang w:val="sk-SK"/>
        </w:rPr>
        <w:t>Peritoneálna</w:t>
      </w:r>
      <w:proofErr w:type="spellEnd"/>
      <w:r w:rsidRPr="00C60ED1">
        <w:rPr>
          <w:sz w:val="22"/>
          <w:szCs w:val="22"/>
          <w:lang w:val="sk-SK"/>
        </w:rPr>
        <w:t xml:space="preserve"> dialýza je málo účinná.</w:t>
      </w:r>
    </w:p>
    <w:p w14:paraId="788765B6" w14:textId="77777777" w:rsidR="00D62B1B" w:rsidRPr="00C60ED1" w:rsidRDefault="00D62B1B" w:rsidP="00C50996">
      <w:pPr>
        <w:tabs>
          <w:tab w:val="left" w:pos="426"/>
        </w:tabs>
        <w:rPr>
          <w:sz w:val="22"/>
          <w:szCs w:val="22"/>
          <w:lang w:val="sk-SK"/>
        </w:rPr>
      </w:pPr>
    </w:p>
    <w:p w14:paraId="7D55E45C" w14:textId="77777777" w:rsidR="00D62B1B" w:rsidRPr="00C60ED1" w:rsidRDefault="00D62B1B" w:rsidP="00C50996">
      <w:pPr>
        <w:tabs>
          <w:tab w:val="left" w:pos="426"/>
        </w:tabs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S účinnosťou </w:t>
      </w:r>
      <w:proofErr w:type="spellStart"/>
      <w:r w:rsidRPr="00C60ED1">
        <w:rPr>
          <w:sz w:val="22"/>
          <w:szCs w:val="22"/>
          <w:lang w:val="sk-SK"/>
        </w:rPr>
        <w:t>hematog</w:t>
      </w:r>
      <w:r w:rsidR="00C74CD1" w:rsidRPr="00C60ED1">
        <w:rPr>
          <w:sz w:val="22"/>
          <w:szCs w:val="22"/>
          <w:lang w:val="sk-SK"/>
        </w:rPr>
        <w:t>é</w:t>
      </w:r>
      <w:r w:rsidRPr="00C60ED1">
        <w:rPr>
          <w:sz w:val="22"/>
          <w:szCs w:val="22"/>
          <w:lang w:val="sk-SK"/>
        </w:rPr>
        <w:t>nnej</w:t>
      </w:r>
      <w:proofErr w:type="spellEnd"/>
      <w:r w:rsidRPr="00C60ED1">
        <w:rPr>
          <w:sz w:val="22"/>
          <w:szCs w:val="22"/>
          <w:lang w:val="sk-SK"/>
        </w:rPr>
        <w:t xml:space="preserve"> </w:t>
      </w:r>
      <w:proofErr w:type="spellStart"/>
      <w:r w:rsidRPr="00C60ED1">
        <w:rPr>
          <w:sz w:val="22"/>
          <w:szCs w:val="22"/>
          <w:lang w:val="sk-SK"/>
        </w:rPr>
        <w:t>perfúzie</w:t>
      </w:r>
      <w:proofErr w:type="spellEnd"/>
      <w:r w:rsidRPr="00C60ED1">
        <w:rPr>
          <w:sz w:val="22"/>
          <w:szCs w:val="22"/>
          <w:lang w:val="sk-SK"/>
        </w:rPr>
        <w:t xml:space="preserve"> cez aktívne uhlie, ako aj s kompletnou substitúciou plazmy a transfúziou nie sú dostatočné skúsenosti. Z týchto dôvodov, obzvlášť u detí sa odporúča intenzívna internistická terapia, bez špecifických </w:t>
      </w:r>
      <w:proofErr w:type="spellStart"/>
      <w:r w:rsidRPr="00C60ED1">
        <w:rPr>
          <w:sz w:val="22"/>
          <w:szCs w:val="22"/>
          <w:lang w:val="sk-SK"/>
        </w:rPr>
        <w:t>detoxikačných</w:t>
      </w:r>
      <w:proofErr w:type="spellEnd"/>
      <w:r w:rsidRPr="00C60ED1">
        <w:rPr>
          <w:sz w:val="22"/>
          <w:szCs w:val="22"/>
          <w:lang w:val="sk-SK"/>
        </w:rPr>
        <w:t xml:space="preserve"> postupov ale s  monitorovaním plazmatickej koncentrácie.</w:t>
      </w:r>
    </w:p>
    <w:p w14:paraId="63269754" w14:textId="77777777" w:rsidR="00D62B1B" w:rsidRPr="00C60ED1" w:rsidRDefault="00D62B1B" w:rsidP="00C50996">
      <w:pPr>
        <w:tabs>
          <w:tab w:val="left" w:pos="426"/>
        </w:tabs>
        <w:rPr>
          <w:sz w:val="22"/>
          <w:szCs w:val="22"/>
          <w:lang w:val="sk-SK"/>
        </w:rPr>
      </w:pPr>
    </w:p>
    <w:p w14:paraId="5A885FBC" w14:textId="77777777" w:rsidR="00D62B1B" w:rsidRPr="00C60ED1" w:rsidRDefault="00D62B1B" w:rsidP="00C50996">
      <w:pPr>
        <w:tabs>
          <w:tab w:val="left" w:pos="426"/>
        </w:tabs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V jednom prípade bolo opísané ako úspešné, intravenózne podanie </w:t>
      </w:r>
      <w:proofErr w:type="spellStart"/>
      <w:r w:rsidRPr="00C60ED1">
        <w:rPr>
          <w:sz w:val="22"/>
          <w:szCs w:val="22"/>
          <w:lang w:val="sk-SK"/>
        </w:rPr>
        <w:t>nalox</w:t>
      </w:r>
      <w:r w:rsidR="002D4484" w:rsidRPr="00C60ED1">
        <w:rPr>
          <w:sz w:val="22"/>
          <w:szCs w:val="22"/>
          <w:lang w:val="sk-SK"/>
        </w:rPr>
        <w:t>ó</w:t>
      </w:r>
      <w:r w:rsidRPr="00C60ED1">
        <w:rPr>
          <w:sz w:val="22"/>
          <w:szCs w:val="22"/>
          <w:lang w:val="sk-SK"/>
        </w:rPr>
        <w:t>nu</w:t>
      </w:r>
      <w:proofErr w:type="spellEnd"/>
      <w:r w:rsidRPr="00C60ED1">
        <w:rPr>
          <w:sz w:val="22"/>
          <w:szCs w:val="22"/>
          <w:lang w:val="sk-SK"/>
        </w:rPr>
        <w:t xml:space="preserve"> na zlepšenie vedomia.</w:t>
      </w:r>
    </w:p>
    <w:p w14:paraId="3CCD908E" w14:textId="77777777" w:rsidR="00D62B1B" w:rsidRPr="00C60ED1" w:rsidRDefault="00D62B1B" w:rsidP="00C50996">
      <w:pPr>
        <w:tabs>
          <w:tab w:val="left" w:pos="426"/>
        </w:tabs>
        <w:rPr>
          <w:sz w:val="22"/>
          <w:szCs w:val="22"/>
          <w:lang w:val="sk-SK"/>
        </w:rPr>
      </w:pPr>
    </w:p>
    <w:p w14:paraId="352F6896" w14:textId="77777777" w:rsidR="00D62B1B" w:rsidRPr="00C60ED1" w:rsidRDefault="00D62B1B" w:rsidP="00C50996">
      <w:pPr>
        <w:tabs>
          <w:tab w:val="left" w:pos="426"/>
        </w:tabs>
        <w:rPr>
          <w:sz w:val="22"/>
          <w:szCs w:val="22"/>
          <w:lang w:val="sk-SK"/>
        </w:rPr>
      </w:pPr>
    </w:p>
    <w:p w14:paraId="76CC0387" w14:textId="77777777" w:rsidR="00D62B1B" w:rsidRPr="00C60ED1" w:rsidRDefault="00D62B1B" w:rsidP="00C50996">
      <w:pPr>
        <w:keepNext/>
        <w:tabs>
          <w:tab w:val="left" w:pos="426"/>
        </w:tabs>
        <w:rPr>
          <w:sz w:val="22"/>
          <w:szCs w:val="22"/>
          <w:lang w:val="sk-SK"/>
        </w:rPr>
      </w:pPr>
      <w:r w:rsidRPr="00C60ED1">
        <w:rPr>
          <w:b/>
          <w:sz w:val="22"/>
          <w:szCs w:val="22"/>
          <w:lang w:val="sk-SK"/>
        </w:rPr>
        <w:lastRenderedPageBreak/>
        <w:t>5.</w:t>
      </w:r>
      <w:r w:rsidRPr="00C60ED1">
        <w:rPr>
          <w:b/>
          <w:sz w:val="22"/>
          <w:szCs w:val="22"/>
          <w:lang w:val="sk-SK"/>
        </w:rPr>
        <w:tab/>
        <w:t>FARMAKOLOGICKÉ VLASTNOSTI</w:t>
      </w:r>
    </w:p>
    <w:p w14:paraId="0BB0455C" w14:textId="77777777" w:rsidR="00BB151A" w:rsidRPr="002B11B8" w:rsidRDefault="00BB151A" w:rsidP="00C50996">
      <w:pPr>
        <w:keepNext/>
        <w:tabs>
          <w:tab w:val="left" w:pos="426"/>
        </w:tabs>
        <w:rPr>
          <w:sz w:val="22"/>
          <w:szCs w:val="22"/>
          <w:lang w:val="sk-SK"/>
        </w:rPr>
      </w:pPr>
    </w:p>
    <w:p w14:paraId="0461A2E2" w14:textId="77777777" w:rsidR="00D62B1B" w:rsidRPr="00C60ED1" w:rsidRDefault="00D62B1B" w:rsidP="00C50996">
      <w:pPr>
        <w:keepNext/>
        <w:tabs>
          <w:tab w:val="left" w:pos="426"/>
        </w:tabs>
        <w:rPr>
          <w:b/>
          <w:sz w:val="22"/>
          <w:szCs w:val="22"/>
          <w:lang w:val="sk-SK"/>
        </w:rPr>
      </w:pPr>
      <w:r w:rsidRPr="00C60ED1">
        <w:rPr>
          <w:b/>
          <w:sz w:val="22"/>
          <w:szCs w:val="22"/>
          <w:lang w:val="sk-SK"/>
        </w:rPr>
        <w:t>5.1</w:t>
      </w:r>
      <w:r w:rsidRPr="00C60ED1">
        <w:rPr>
          <w:b/>
          <w:sz w:val="22"/>
          <w:szCs w:val="22"/>
          <w:lang w:val="sk-SK"/>
        </w:rPr>
        <w:tab/>
      </w:r>
      <w:proofErr w:type="spellStart"/>
      <w:r w:rsidRPr="00C60ED1">
        <w:rPr>
          <w:b/>
          <w:sz w:val="22"/>
          <w:szCs w:val="22"/>
          <w:lang w:val="sk-SK"/>
        </w:rPr>
        <w:t>Farmakodynamické</w:t>
      </w:r>
      <w:proofErr w:type="spellEnd"/>
      <w:r w:rsidRPr="00C60ED1">
        <w:rPr>
          <w:b/>
          <w:sz w:val="22"/>
          <w:szCs w:val="22"/>
          <w:lang w:val="sk-SK"/>
        </w:rPr>
        <w:t xml:space="preserve"> vlastnosti</w:t>
      </w:r>
    </w:p>
    <w:p w14:paraId="13B455D4" w14:textId="77777777" w:rsidR="00E72048" w:rsidRPr="00C60ED1" w:rsidRDefault="00E72048" w:rsidP="00C50996">
      <w:pPr>
        <w:keepNext/>
        <w:tabs>
          <w:tab w:val="left" w:pos="426"/>
        </w:tabs>
        <w:rPr>
          <w:sz w:val="22"/>
          <w:szCs w:val="22"/>
          <w:lang w:val="sk-SK"/>
        </w:rPr>
      </w:pPr>
    </w:p>
    <w:p w14:paraId="30B25E04" w14:textId="152875A1" w:rsidR="00D62B1B" w:rsidRPr="00C60ED1" w:rsidRDefault="00D62B1B" w:rsidP="00C50996">
      <w:pPr>
        <w:rPr>
          <w:sz w:val="22"/>
          <w:szCs w:val="22"/>
          <w:lang w:val="sk-SK"/>
        </w:rPr>
      </w:pPr>
      <w:proofErr w:type="spellStart"/>
      <w:r w:rsidRPr="00C60ED1">
        <w:rPr>
          <w:i/>
          <w:sz w:val="22"/>
          <w:szCs w:val="22"/>
          <w:lang w:val="sk-SK"/>
        </w:rPr>
        <w:t>Farmakoterapeutická</w:t>
      </w:r>
      <w:proofErr w:type="spellEnd"/>
      <w:r w:rsidRPr="00C60ED1">
        <w:rPr>
          <w:i/>
          <w:sz w:val="22"/>
          <w:szCs w:val="22"/>
          <w:lang w:val="sk-SK"/>
        </w:rPr>
        <w:t xml:space="preserve"> skupina</w:t>
      </w:r>
      <w:r w:rsidR="00BB151A" w:rsidRPr="00C60ED1">
        <w:rPr>
          <w:sz w:val="22"/>
          <w:szCs w:val="22"/>
          <w:lang w:val="sk-SK"/>
        </w:rPr>
        <w:t>: antiepileptik</w:t>
      </w:r>
      <w:r w:rsidR="00E72048" w:rsidRPr="00C60ED1">
        <w:rPr>
          <w:sz w:val="22"/>
          <w:szCs w:val="22"/>
          <w:lang w:val="sk-SK"/>
        </w:rPr>
        <w:t>á</w:t>
      </w:r>
      <w:r w:rsidRPr="00C60ED1">
        <w:rPr>
          <w:sz w:val="22"/>
          <w:szCs w:val="22"/>
          <w:lang w:val="sk-SK"/>
        </w:rPr>
        <w:t xml:space="preserve"> </w:t>
      </w:r>
      <w:r w:rsidR="00135CCC" w:rsidRPr="00C60ED1">
        <w:rPr>
          <w:sz w:val="22"/>
          <w:szCs w:val="22"/>
          <w:lang w:val="sk-SK"/>
        </w:rPr>
        <w:t>,</w:t>
      </w:r>
      <w:r w:rsidR="00BB151A" w:rsidRPr="00C60ED1">
        <w:rPr>
          <w:sz w:val="22"/>
          <w:szCs w:val="22"/>
          <w:lang w:val="sk-SK"/>
        </w:rPr>
        <w:t xml:space="preserve">deriváty </w:t>
      </w:r>
      <w:r w:rsidR="00E72048" w:rsidRPr="00C60ED1">
        <w:rPr>
          <w:sz w:val="22"/>
          <w:szCs w:val="22"/>
          <w:lang w:val="sk-SK"/>
        </w:rPr>
        <w:t xml:space="preserve">vyšších alifatických </w:t>
      </w:r>
      <w:r w:rsidR="00BB151A" w:rsidRPr="00C60ED1">
        <w:rPr>
          <w:sz w:val="22"/>
          <w:szCs w:val="22"/>
          <w:lang w:val="sk-SK"/>
        </w:rPr>
        <w:t>kysel</w:t>
      </w:r>
      <w:r w:rsidR="00E72048" w:rsidRPr="00C60ED1">
        <w:rPr>
          <w:sz w:val="22"/>
          <w:szCs w:val="22"/>
          <w:lang w:val="sk-SK"/>
        </w:rPr>
        <w:t>ín</w:t>
      </w:r>
    </w:p>
    <w:p w14:paraId="45CD95D8" w14:textId="77777777" w:rsidR="00D62B1B" w:rsidRPr="00C60ED1" w:rsidRDefault="00D62B1B" w:rsidP="00C50996">
      <w:pPr>
        <w:tabs>
          <w:tab w:val="left" w:pos="426"/>
        </w:tabs>
        <w:rPr>
          <w:sz w:val="22"/>
          <w:szCs w:val="22"/>
          <w:lang w:val="sk-SK"/>
        </w:rPr>
      </w:pPr>
      <w:proofErr w:type="spellStart"/>
      <w:r w:rsidRPr="00C60ED1">
        <w:rPr>
          <w:sz w:val="22"/>
          <w:szCs w:val="22"/>
          <w:lang w:val="sk-SK"/>
        </w:rPr>
        <w:t>ATC</w:t>
      </w:r>
      <w:proofErr w:type="spellEnd"/>
      <w:r w:rsidRPr="00C60ED1">
        <w:rPr>
          <w:sz w:val="22"/>
          <w:szCs w:val="22"/>
          <w:lang w:val="sk-SK"/>
        </w:rPr>
        <w:t xml:space="preserve"> kód:</w:t>
      </w:r>
      <w:r w:rsidRPr="00C60ED1">
        <w:rPr>
          <w:b/>
          <w:sz w:val="22"/>
          <w:szCs w:val="22"/>
          <w:lang w:val="sk-SK"/>
        </w:rPr>
        <w:t xml:space="preserve"> </w:t>
      </w:r>
      <w:proofErr w:type="spellStart"/>
      <w:r w:rsidR="00BB151A" w:rsidRPr="00C60ED1">
        <w:rPr>
          <w:sz w:val="22"/>
          <w:szCs w:val="22"/>
          <w:lang w:val="sk-SK"/>
        </w:rPr>
        <w:t>N03A</w:t>
      </w:r>
      <w:r w:rsidRPr="00C60ED1">
        <w:rPr>
          <w:sz w:val="22"/>
          <w:szCs w:val="22"/>
          <w:lang w:val="sk-SK"/>
        </w:rPr>
        <w:t>G01</w:t>
      </w:r>
      <w:proofErr w:type="spellEnd"/>
    </w:p>
    <w:p w14:paraId="0D2DE1A2" w14:textId="77777777" w:rsidR="00AE7AAF" w:rsidRPr="00C60ED1" w:rsidRDefault="00AE7AAF" w:rsidP="00C50996">
      <w:pPr>
        <w:tabs>
          <w:tab w:val="left" w:pos="426"/>
        </w:tabs>
        <w:rPr>
          <w:sz w:val="22"/>
          <w:szCs w:val="22"/>
          <w:lang w:val="sk-SK"/>
        </w:rPr>
      </w:pPr>
    </w:p>
    <w:p w14:paraId="7AFA69DD" w14:textId="62096C84" w:rsidR="00D62B1B" w:rsidRPr="00C60ED1" w:rsidRDefault="00AE7AAF" w:rsidP="00C50996">
      <w:pPr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V</w:t>
      </w:r>
      <w:r w:rsidRPr="00C60ED1">
        <w:rPr>
          <w:sz w:val="22"/>
          <w:szCs w:val="22"/>
          <w:lang w:val="sk-SK" w:eastAsia="sk-SK"/>
        </w:rPr>
        <w:t>alpro</w:t>
      </w:r>
      <w:r w:rsidR="00751FEF" w:rsidRPr="00C60ED1">
        <w:rPr>
          <w:sz w:val="22"/>
          <w:szCs w:val="22"/>
          <w:lang w:val="sk-SK" w:eastAsia="sk-SK"/>
        </w:rPr>
        <w:t>át</w:t>
      </w:r>
      <w:r w:rsidRPr="00C60ED1">
        <w:rPr>
          <w:sz w:val="22"/>
          <w:szCs w:val="22"/>
          <w:lang w:val="sk-SK" w:eastAsia="sk-SK"/>
        </w:rPr>
        <w:t xml:space="preserve"> sodný </w:t>
      </w:r>
      <w:r w:rsidR="00D62B1B" w:rsidRPr="00C60ED1">
        <w:rPr>
          <w:sz w:val="22"/>
          <w:szCs w:val="22"/>
          <w:lang w:val="sk-SK"/>
        </w:rPr>
        <w:t xml:space="preserve">je </w:t>
      </w:r>
      <w:proofErr w:type="spellStart"/>
      <w:r w:rsidR="00D62B1B" w:rsidRPr="00C60ED1">
        <w:rPr>
          <w:sz w:val="22"/>
          <w:szCs w:val="22"/>
          <w:lang w:val="sk-SK"/>
        </w:rPr>
        <w:t>antiepileptikum</w:t>
      </w:r>
      <w:proofErr w:type="spellEnd"/>
      <w:r w:rsidR="00D62B1B" w:rsidRPr="00C60ED1">
        <w:rPr>
          <w:sz w:val="22"/>
          <w:szCs w:val="22"/>
          <w:lang w:val="sk-SK"/>
        </w:rPr>
        <w:t xml:space="preserve">, ktoré nemá žiadnu štrukturálnu podobnosť s aktívnymi látkami iných </w:t>
      </w:r>
      <w:proofErr w:type="spellStart"/>
      <w:r w:rsidR="00D62B1B" w:rsidRPr="00C60ED1">
        <w:rPr>
          <w:sz w:val="22"/>
          <w:szCs w:val="22"/>
          <w:lang w:val="sk-SK"/>
        </w:rPr>
        <w:t>antikonvulzív</w:t>
      </w:r>
      <w:proofErr w:type="spellEnd"/>
      <w:r w:rsidR="00D62B1B" w:rsidRPr="00C60ED1">
        <w:rPr>
          <w:sz w:val="22"/>
          <w:szCs w:val="22"/>
          <w:lang w:val="sk-SK"/>
        </w:rPr>
        <w:t xml:space="preserve">. </w:t>
      </w:r>
      <w:r w:rsidR="00D62B1B" w:rsidRPr="00C60ED1">
        <w:rPr>
          <w:spacing w:val="1"/>
          <w:sz w:val="22"/>
          <w:szCs w:val="22"/>
          <w:lang w:val="sk-SK"/>
        </w:rPr>
        <w:t xml:space="preserve">V experimentálnych a klinických štúdiách preukázal </w:t>
      </w:r>
      <w:r w:rsidRPr="00C60ED1">
        <w:rPr>
          <w:sz w:val="22"/>
          <w:szCs w:val="22"/>
          <w:lang w:val="sk-SK"/>
        </w:rPr>
        <w:t>v</w:t>
      </w:r>
      <w:r w:rsidRPr="00C60ED1">
        <w:rPr>
          <w:sz w:val="22"/>
          <w:szCs w:val="22"/>
          <w:lang w:val="sk-SK" w:eastAsia="sk-SK"/>
        </w:rPr>
        <w:t>alpro</w:t>
      </w:r>
      <w:r w:rsidR="00751FEF" w:rsidRPr="00C60ED1">
        <w:rPr>
          <w:sz w:val="22"/>
          <w:szCs w:val="22"/>
          <w:lang w:val="sk-SK" w:eastAsia="sk-SK"/>
        </w:rPr>
        <w:t>át</w:t>
      </w:r>
      <w:r w:rsidRPr="00C60ED1">
        <w:rPr>
          <w:sz w:val="22"/>
          <w:szCs w:val="22"/>
          <w:lang w:val="sk-SK" w:eastAsia="sk-SK"/>
        </w:rPr>
        <w:t xml:space="preserve"> sodný </w:t>
      </w:r>
      <w:proofErr w:type="spellStart"/>
      <w:r w:rsidR="00D62B1B" w:rsidRPr="00C60ED1">
        <w:rPr>
          <w:spacing w:val="1"/>
          <w:sz w:val="22"/>
          <w:szCs w:val="22"/>
          <w:lang w:val="sk-SK"/>
        </w:rPr>
        <w:t>antikonvulzívnu</w:t>
      </w:r>
      <w:proofErr w:type="spellEnd"/>
      <w:r w:rsidR="00D62B1B" w:rsidRPr="00C60ED1">
        <w:rPr>
          <w:spacing w:val="1"/>
          <w:sz w:val="22"/>
          <w:szCs w:val="22"/>
          <w:lang w:val="sk-SK"/>
        </w:rPr>
        <w:t xml:space="preserve"> účinnosť</w:t>
      </w:r>
      <w:r w:rsidR="00D62B1B" w:rsidRPr="00C60ED1">
        <w:rPr>
          <w:spacing w:val="3"/>
          <w:sz w:val="22"/>
          <w:szCs w:val="22"/>
          <w:lang w:val="sk-SK"/>
        </w:rPr>
        <w:t xml:space="preserve">. </w:t>
      </w:r>
      <w:r w:rsidR="00D62B1B" w:rsidRPr="00C60ED1">
        <w:rPr>
          <w:sz w:val="22"/>
          <w:szCs w:val="22"/>
          <w:lang w:val="sk-SK"/>
        </w:rPr>
        <w:t xml:space="preserve">Akceptovaným vysvetlením pre </w:t>
      </w:r>
      <w:proofErr w:type="spellStart"/>
      <w:r w:rsidR="00D62B1B" w:rsidRPr="00C60ED1">
        <w:rPr>
          <w:sz w:val="22"/>
          <w:szCs w:val="22"/>
          <w:lang w:val="sk-SK"/>
        </w:rPr>
        <w:t>antikonvulzívnu</w:t>
      </w:r>
      <w:proofErr w:type="spellEnd"/>
      <w:r w:rsidR="00D62B1B" w:rsidRPr="00C60ED1">
        <w:rPr>
          <w:sz w:val="22"/>
          <w:szCs w:val="22"/>
          <w:lang w:val="sk-SK"/>
        </w:rPr>
        <w:t xml:space="preserve"> účinnosť je zvýšenie GABA-</w:t>
      </w:r>
      <w:proofErr w:type="spellStart"/>
      <w:r w:rsidR="00D62B1B" w:rsidRPr="00C60ED1">
        <w:rPr>
          <w:sz w:val="22"/>
          <w:szCs w:val="22"/>
          <w:lang w:val="sk-SK"/>
        </w:rPr>
        <w:t>mediátorovej</w:t>
      </w:r>
      <w:proofErr w:type="spellEnd"/>
      <w:r w:rsidR="00D62B1B" w:rsidRPr="00C60ED1">
        <w:rPr>
          <w:sz w:val="22"/>
          <w:szCs w:val="22"/>
          <w:lang w:val="sk-SK"/>
        </w:rPr>
        <w:t xml:space="preserve"> inhibície cestou </w:t>
      </w:r>
      <w:proofErr w:type="spellStart"/>
      <w:r w:rsidR="00D62B1B" w:rsidRPr="00C60ED1">
        <w:rPr>
          <w:sz w:val="22"/>
          <w:szCs w:val="22"/>
          <w:lang w:val="sk-SK"/>
        </w:rPr>
        <w:t>presynaptického</w:t>
      </w:r>
      <w:proofErr w:type="spellEnd"/>
      <w:r w:rsidR="00D62B1B" w:rsidRPr="00C60ED1">
        <w:rPr>
          <w:sz w:val="22"/>
          <w:szCs w:val="22"/>
          <w:lang w:val="sk-SK"/>
        </w:rPr>
        <w:t xml:space="preserve"> efektu na GABA metabolizmus a/alebo a priamy </w:t>
      </w:r>
      <w:proofErr w:type="spellStart"/>
      <w:r w:rsidR="00D62B1B" w:rsidRPr="00C60ED1">
        <w:rPr>
          <w:sz w:val="22"/>
          <w:szCs w:val="22"/>
          <w:lang w:val="sk-SK"/>
        </w:rPr>
        <w:t>postsynaptický</w:t>
      </w:r>
      <w:proofErr w:type="spellEnd"/>
      <w:r w:rsidR="00D62B1B" w:rsidRPr="00C60ED1">
        <w:rPr>
          <w:sz w:val="22"/>
          <w:szCs w:val="22"/>
          <w:lang w:val="sk-SK"/>
        </w:rPr>
        <w:t xml:space="preserve"> efekt na iónové kanály </w:t>
      </w:r>
      <w:proofErr w:type="spellStart"/>
      <w:r w:rsidR="00D62B1B" w:rsidRPr="00C60ED1">
        <w:rPr>
          <w:sz w:val="22"/>
          <w:szCs w:val="22"/>
          <w:lang w:val="sk-SK"/>
        </w:rPr>
        <w:t>neuronálnych</w:t>
      </w:r>
      <w:proofErr w:type="spellEnd"/>
      <w:r w:rsidR="00D62B1B" w:rsidRPr="00C60ED1">
        <w:rPr>
          <w:sz w:val="22"/>
          <w:szCs w:val="22"/>
          <w:lang w:val="sk-SK"/>
        </w:rPr>
        <w:t xml:space="preserve"> membrán.</w:t>
      </w:r>
    </w:p>
    <w:p w14:paraId="73BC40CA" w14:textId="77777777" w:rsidR="00D62B1B" w:rsidRPr="00C60ED1" w:rsidRDefault="00D62B1B" w:rsidP="00C50996">
      <w:pPr>
        <w:rPr>
          <w:sz w:val="22"/>
          <w:szCs w:val="22"/>
          <w:lang w:val="sk-SK"/>
        </w:rPr>
      </w:pPr>
    </w:p>
    <w:p w14:paraId="180E68D1" w14:textId="53CD9B39" w:rsidR="00D62B1B" w:rsidRPr="00C60ED1" w:rsidRDefault="00D62B1B" w:rsidP="00C50996">
      <w:pPr>
        <w:rPr>
          <w:sz w:val="22"/>
          <w:szCs w:val="22"/>
          <w:lang w:val="sk-SK"/>
        </w:rPr>
      </w:pPr>
      <w:proofErr w:type="spellStart"/>
      <w:r w:rsidRPr="00C60ED1">
        <w:rPr>
          <w:sz w:val="22"/>
          <w:szCs w:val="22"/>
          <w:lang w:val="sk-SK"/>
        </w:rPr>
        <w:t>Viacliekové</w:t>
      </w:r>
      <w:proofErr w:type="spellEnd"/>
      <w:r w:rsidRPr="00C60ED1">
        <w:rPr>
          <w:sz w:val="22"/>
          <w:szCs w:val="22"/>
          <w:lang w:val="sk-SK"/>
        </w:rPr>
        <w:t xml:space="preserve"> transportné proteíny odstraňujú lieky z mozgu a môžu znížiť koncentráciu </w:t>
      </w:r>
      <w:proofErr w:type="spellStart"/>
      <w:r w:rsidRPr="00C60ED1">
        <w:rPr>
          <w:sz w:val="22"/>
          <w:szCs w:val="22"/>
          <w:lang w:val="sk-SK"/>
        </w:rPr>
        <w:t>antiepileptických</w:t>
      </w:r>
      <w:proofErr w:type="spellEnd"/>
      <w:r w:rsidRPr="00C60ED1">
        <w:rPr>
          <w:sz w:val="22"/>
          <w:szCs w:val="22"/>
          <w:lang w:val="sk-SK"/>
        </w:rPr>
        <w:t xml:space="preserve"> liekov na mieste pôsobenia. </w:t>
      </w:r>
      <w:proofErr w:type="spellStart"/>
      <w:r w:rsidRPr="00C60ED1">
        <w:rPr>
          <w:sz w:val="22"/>
          <w:szCs w:val="22"/>
          <w:lang w:val="sk-SK"/>
        </w:rPr>
        <w:t>Expresia</w:t>
      </w:r>
      <w:proofErr w:type="spellEnd"/>
      <w:r w:rsidRPr="00C60ED1">
        <w:rPr>
          <w:sz w:val="22"/>
          <w:szCs w:val="22"/>
          <w:lang w:val="sk-SK"/>
        </w:rPr>
        <w:t xml:space="preserve"> príliš veľkého počtu týchto </w:t>
      </w:r>
      <w:proofErr w:type="spellStart"/>
      <w:r w:rsidRPr="00C60ED1">
        <w:rPr>
          <w:sz w:val="22"/>
          <w:szCs w:val="22"/>
          <w:lang w:val="sk-SK"/>
        </w:rPr>
        <w:t>viacliekových</w:t>
      </w:r>
      <w:proofErr w:type="spellEnd"/>
      <w:r w:rsidRPr="00C60ED1">
        <w:rPr>
          <w:sz w:val="22"/>
          <w:szCs w:val="22"/>
          <w:lang w:val="sk-SK"/>
        </w:rPr>
        <w:t xml:space="preserve"> transportérov môže mať za následok rezistenciu voči lieku a preto vyvinutie epileptického stavu alebo epilepsie rezistentnej na liečbu. Predklinické a </w:t>
      </w:r>
      <w:r w:rsidRPr="00C60ED1">
        <w:rPr>
          <w:i/>
          <w:sz w:val="22"/>
          <w:szCs w:val="22"/>
          <w:lang w:val="sk-SK"/>
        </w:rPr>
        <w:t>in vitr</w:t>
      </w:r>
      <w:r w:rsidR="009446D7" w:rsidRPr="00C60ED1">
        <w:rPr>
          <w:i/>
          <w:sz w:val="22"/>
          <w:szCs w:val="22"/>
          <w:lang w:val="sk-SK"/>
        </w:rPr>
        <w:t>o</w:t>
      </w:r>
      <w:r w:rsidR="009446D7" w:rsidRPr="00C60ED1">
        <w:rPr>
          <w:sz w:val="22"/>
          <w:szCs w:val="22"/>
          <w:lang w:val="sk-SK"/>
        </w:rPr>
        <w:t xml:space="preserve"> štúdie preukázali, že valpro</w:t>
      </w:r>
      <w:r w:rsidR="00751FEF" w:rsidRPr="00C60ED1">
        <w:rPr>
          <w:sz w:val="22"/>
          <w:szCs w:val="22"/>
          <w:lang w:val="sk-SK"/>
        </w:rPr>
        <w:t>át</w:t>
      </w:r>
      <w:r w:rsidRPr="00C60ED1">
        <w:rPr>
          <w:sz w:val="22"/>
          <w:szCs w:val="22"/>
          <w:lang w:val="sk-SK"/>
        </w:rPr>
        <w:t xml:space="preserve"> sa neodstraňuje z mozgu cestou </w:t>
      </w:r>
      <w:proofErr w:type="spellStart"/>
      <w:r w:rsidRPr="00C60ED1">
        <w:rPr>
          <w:sz w:val="22"/>
          <w:szCs w:val="22"/>
          <w:lang w:val="sk-SK"/>
        </w:rPr>
        <w:t>viacliekových</w:t>
      </w:r>
      <w:proofErr w:type="spellEnd"/>
      <w:r w:rsidRPr="00C60ED1">
        <w:rPr>
          <w:sz w:val="22"/>
          <w:szCs w:val="22"/>
          <w:lang w:val="sk-SK"/>
        </w:rPr>
        <w:t xml:space="preserve"> transportérov. Preto vytvorenie rezistencie voči liečbe </w:t>
      </w:r>
      <w:proofErr w:type="spellStart"/>
      <w:r w:rsidRPr="00C60ED1">
        <w:rPr>
          <w:sz w:val="22"/>
          <w:szCs w:val="22"/>
          <w:lang w:val="sk-SK"/>
        </w:rPr>
        <w:t>viacliekový</w:t>
      </w:r>
      <w:r w:rsidR="009446D7" w:rsidRPr="00C60ED1">
        <w:rPr>
          <w:sz w:val="22"/>
          <w:szCs w:val="22"/>
          <w:lang w:val="sk-SK"/>
        </w:rPr>
        <w:t>mi</w:t>
      </w:r>
      <w:proofErr w:type="spellEnd"/>
      <w:r w:rsidR="009446D7" w:rsidRPr="00C60ED1">
        <w:rPr>
          <w:sz w:val="22"/>
          <w:szCs w:val="22"/>
          <w:lang w:val="sk-SK"/>
        </w:rPr>
        <w:t xml:space="preserve"> transportérmi je pri </w:t>
      </w:r>
      <w:proofErr w:type="spellStart"/>
      <w:r w:rsidR="009446D7" w:rsidRPr="00C60ED1">
        <w:rPr>
          <w:sz w:val="22"/>
          <w:szCs w:val="22"/>
          <w:lang w:val="sk-SK"/>
        </w:rPr>
        <w:t>valpro</w:t>
      </w:r>
      <w:r w:rsidR="00751FEF" w:rsidRPr="00C60ED1">
        <w:rPr>
          <w:sz w:val="22"/>
          <w:szCs w:val="22"/>
          <w:lang w:val="sk-SK"/>
        </w:rPr>
        <w:t>áte</w:t>
      </w:r>
      <w:proofErr w:type="spellEnd"/>
      <w:r w:rsidRPr="00C60ED1">
        <w:rPr>
          <w:sz w:val="22"/>
          <w:szCs w:val="22"/>
          <w:lang w:val="sk-SK"/>
        </w:rPr>
        <w:t xml:space="preserve"> nepravdepodobné.</w:t>
      </w:r>
    </w:p>
    <w:p w14:paraId="7BD7CEE6" w14:textId="11C8B7BF" w:rsidR="00D62B1B" w:rsidRPr="00C60ED1" w:rsidRDefault="00D62B1B" w:rsidP="00C50996">
      <w:pPr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Kyselina valproová je vo vode veľmi ťažko r</w:t>
      </w:r>
      <w:r w:rsidR="009446D7" w:rsidRPr="00C60ED1">
        <w:rPr>
          <w:sz w:val="22"/>
          <w:szCs w:val="22"/>
          <w:lang w:val="sk-SK"/>
        </w:rPr>
        <w:t xml:space="preserve">ozpustná (1:800), </w:t>
      </w:r>
      <w:r w:rsidR="00AE7AAF" w:rsidRPr="00C60ED1">
        <w:rPr>
          <w:sz w:val="22"/>
          <w:szCs w:val="22"/>
          <w:lang w:val="sk-SK"/>
        </w:rPr>
        <w:t>v</w:t>
      </w:r>
      <w:r w:rsidR="00AE7AAF" w:rsidRPr="00C60ED1">
        <w:rPr>
          <w:sz w:val="22"/>
          <w:szCs w:val="22"/>
          <w:lang w:val="sk-SK" w:eastAsia="sk-SK"/>
        </w:rPr>
        <w:t>alpro</w:t>
      </w:r>
      <w:r w:rsidR="00751FEF" w:rsidRPr="00C60ED1">
        <w:rPr>
          <w:sz w:val="22"/>
          <w:szCs w:val="22"/>
          <w:lang w:val="sk-SK" w:eastAsia="sk-SK"/>
        </w:rPr>
        <w:t>át</w:t>
      </w:r>
      <w:r w:rsidR="00AE7AAF" w:rsidRPr="00C60ED1">
        <w:rPr>
          <w:sz w:val="22"/>
          <w:szCs w:val="22"/>
          <w:lang w:val="sk-SK" w:eastAsia="sk-SK"/>
        </w:rPr>
        <w:t xml:space="preserve"> sodný </w:t>
      </w:r>
      <w:r w:rsidRPr="00C60ED1">
        <w:rPr>
          <w:sz w:val="22"/>
          <w:szCs w:val="22"/>
          <w:lang w:val="sk-SK"/>
        </w:rPr>
        <w:t>je vo vode veľmi ľahko rozpustný (1:0,4).</w:t>
      </w:r>
    </w:p>
    <w:p w14:paraId="21293781" w14:textId="77777777" w:rsidR="00BB151A" w:rsidRPr="00C60ED1" w:rsidRDefault="00BB151A" w:rsidP="00C50996">
      <w:pPr>
        <w:tabs>
          <w:tab w:val="left" w:pos="426"/>
        </w:tabs>
        <w:rPr>
          <w:b/>
          <w:sz w:val="22"/>
          <w:szCs w:val="22"/>
          <w:lang w:val="sk-SK"/>
        </w:rPr>
      </w:pPr>
    </w:p>
    <w:p w14:paraId="454323B5" w14:textId="77777777" w:rsidR="00D62B1B" w:rsidRPr="00C60ED1" w:rsidRDefault="00D62B1B" w:rsidP="00C50996">
      <w:pPr>
        <w:keepNext/>
        <w:tabs>
          <w:tab w:val="left" w:pos="426"/>
        </w:tabs>
        <w:rPr>
          <w:b/>
          <w:sz w:val="22"/>
          <w:szCs w:val="22"/>
          <w:lang w:val="sk-SK"/>
        </w:rPr>
      </w:pPr>
      <w:r w:rsidRPr="00C60ED1">
        <w:rPr>
          <w:b/>
          <w:sz w:val="22"/>
          <w:szCs w:val="22"/>
          <w:lang w:val="sk-SK"/>
        </w:rPr>
        <w:t xml:space="preserve">5.2 </w:t>
      </w:r>
      <w:r w:rsidRPr="00C60ED1">
        <w:rPr>
          <w:b/>
          <w:sz w:val="22"/>
          <w:szCs w:val="22"/>
          <w:lang w:val="sk-SK"/>
        </w:rPr>
        <w:tab/>
      </w:r>
      <w:proofErr w:type="spellStart"/>
      <w:r w:rsidRPr="00C60ED1">
        <w:rPr>
          <w:b/>
          <w:sz w:val="22"/>
          <w:szCs w:val="22"/>
          <w:lang w:val="sk-SK"/>
        </w:rPr>
        <w:t>Farmakokinetické</w:t>
      </w:r>
      <w:proofErr w:type="spellEnd"/>
      <w:r w:rsidRPr="00C60ED1">
        <w:rPr>
          <w:b/>
          <w:sz w:val="22"/>
          <w:szCs w:val="22"/>
          <w:lang w:val="sk-SK"/>
        </w:rPr>
        <w:t xml:space="preserve"> vlastnosti</w:t>
      </w:r>
    </w:p>
    <w:p w14:paraId="636EAA9E" w14:textId="77777777" w:rsidR="00E72048" w:rsidRPr="00C60ED1" w:rsidRDefault="00E72048" w:rsidP="00C50996">
      <w:pPr>
        <w:keepNext/>
        <w:tabs>
          <w:tab w:val="left" w:pos="426"/>
        </w:tabs>
        <w:rPr>
          <w:sz w:val="22"/>
          <w:szCs w:val="22"/>
          <w:lang w:val="sk-SK"/>
        </w:rPr>
      </w:pPr>
    </w:p>
    <w:p w14:paraId="29DB3F56" w14:textId="5B198854" w:rsidR="00E72048" w:rsidRPr="00C60ED1" w:rsidRDefault="00E72048" w:rsidP="00C50996">
      <w:pPr>
        <w:keepNext/>
        <w:tabs>
          <w:tab w:val="left" w:pos="426"/>
        </w:tabs>
        <w:rPr>
          <w:sz w:val="22"/>
          <w:szCs w:val="22"/>
          <w:lang w:val="sk-SK"/>
        </w:rPr>
      </w:pPr>
      <w:r w:rsidRPr="00C60ED1">
        <w:rPr>
          <w:noProof/>
          <w:sz w:val="22"/>
          <w:szCs w:val="22"/>
          <w:u w:val="single"/>
          <w:lang w:val="sk-SK"/>
        </w:rPr>
        <w:t>Absorpcia</w:t>
      </w:r>
    </w:p>
    <w:p w14:paraId="3BBDBA69" w14:textId="77777777" w:rsidR="00D62B1B" w:rsidRPr="00C60ED1" w:rsidRDefault="00D62B1B" w:rsidP="00C50996">
      <w:pPr>
        <w:pStyle w:val="Zkladntext"/>
        <w:keepNext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Po perorálnej aplikácií sa kyselina valproová a jej nátriová soľ z GIT rýchl</w:t>
      </w:r>
      <w:r w:rsidR="00C573B6" w:rsidRPr="00C60ED1">
        <w:rPr>
          <w:sz w:val="22"/>
          <w:szCs w:val="22"/>
          <w:lang w:val="sk-SK"/>
        </w:rPr>
        <w:t>o</w:t>
      </w:r>
      <w:r w:rsidRPr="00C60ED1">
        <w:rPr>
          <w:sz w:val="22"/>
          <w:szCs w:val="22"/>
          <w:lang w:val="sk-SK"/>
        </w:rPr>
        <w:t xml:space="preserve"> a skoro úplne absorbujú. </w:t>
      </w:r>
      <w:r w:rsidR="008636DF" w:rsidRPr="00C60ED1">
        <w:rPr>
          <w:snapToGrid w:val="0"/>
          <w:sz w:val="22"/>
          <w:szCs w:val="22"/>
          <w:lang w:val="sk-SK" w:eastAsia="cs-CZ"/>
        </w:rPr>
        <w:t xml:space="preserve">Maximálna plazmatická koncentrácia </w:t>
      </w:r>
      <w:r w:rsidRPr="00C60ED1">
        <w:rPr>
          <w:snapToGrid w:val="0"/>
          <w:sz w:val="22"/>
          <w:szCs w:val="22"/>
          <w:lang w:val="sk-SK" w:eastAsia="cs-CZ"/>
        </w:rPr>
        <w:t>závisí od liekovej formy: u </w:t>
      </w:r>
      <w:proofErr w:type="spellStart"/>
      <w:r w:rsidRPr="00C60ED1">
        <w:rPr>
          <w:snapToGrid w:val="0"/>
          <w:sz w:val="22"/>
          <w:szCs w:val="22"/>
          <w:lang w:val="sk-SK" w:eastAsia="cs-CZ"/>
        </w:rPr>
        <w:t>enterosolventných</w:t>
      </w:r>
      <w:proofErr w:type="spellEnd"/>
      <w:r w:rsidRPr="00C60ED1">
        <w:rPr>
          <w:snapToGrid w:val="0"/>
          <w:sz w:val="22"/>
          <w:szCs w:val="22"/>
          <w:lang w:val="sk-SK" w:eastAsia="cs-CZ"/>
        </w:rPr>
        <w:t xml:space="preserve"> prípravkov sa dosiahne v priebehu 1 - 4 hodín. </w:t>
      </w:r>
      <w:r w:rsidRPr="00C60ED1">
        <w:rPr>
          <w:sz w:val="22"/>
          <w:szCs w:val="22"/>
          <w:lang w:val="sk-SK"/>
        </w:rPr>
        <w:t xml:space="preserve">Medzi dávkou a plazmatickou koncentráciou existuje lineárna súvislosť. Stredná terapeutická šírka plazmatickej koncentrácie je udávaná v rozmedzí 50 - 100 </w:t>
      </w:r>
      <w:r w:rsidRPr="00C60ED1">
        <w:rPr>
          <w:sz w:val="22"/>
          <w:szCs w:val="22"/>
          <w:lang w:val="sk-SK"/>
        </w:rPr>
        <w:sym w:font="Symbol" w:char="F06D"/>
      </w:r>
      <w:r w:rsidRPr="00C60ED1">
        <w:rPr>
          <w:sz w:val="22"/>
          <w:szCs w:val="22"/>
          <w:lang w:val="sk-SK"/>
        </w:rPr>
        <w:t xml:space="preserve">g /ml. Presiahnutie hornej hranice 100 </w:t>
      </w:r>
      <w:r w:rsidRPr="00C60ED1">
        <w:rPr>
          <w:sz w:val="22"/>
          <w:szCs w:val="22"/>
          <w:lang w:val="sk-SK"/>
        </w:rPr>
        <w:sym w:font="Symbol" w:char="F06D"/>
      </w:r>
      <w:r w:rsidRPr="00C60ED1">
        <w:rPr>
          <w:sz w:val="22"/>
          <w:szCs w:val="22"/>
          <w:lang w:val="sk-SK"/>
        </w:rPr>
        <w:t xml:space="preserve">g/ml zvyšuje </w:t>
      </w:r>
      <w:r w:rsidR="00C573B6" w:rsidRPr="00C60ED1">
        <w:rPr>
          <w:sz w:val="22"/>
          <w:szCs w:val="22"/>
          <w:lang w:val="sk-SK"/>
        </w:rPr>
        <w:t xml:space="preserve">nežiaduce </w:t>
      </w:r>
      <w:r w:rsidRPr="00C60ED1">
        <w:rPr>
          <w:sz w:val="22"/>
          <w:szCs w:val="22"/>
          <w:lang w:val="sk-SK"/>
        </w:rPr>
        <w:t xml:space="preserve">účinky až k intoxikácii. </w:t>
      </w:r>
      <w:r w:rsidR="00C74CD1" w:rsidRPr="00C60ED1">
        <w:rPr>
          <w:sz w:val="22"/>
          <w:szCs w:val="22"/>
          <w:lang w:val="sk-SK"/>
        </w:rPr>
        <w:t xml:space="preserve">Rovnovážny </w:t>
      </w:r>
      <w:r w:rsidRPr="00C60ED1">
        <w:rPr>
          <w:sz w:val="22"/>
          <w:szCs w:val="22"/>
          <w:lang w:val="sk-SK"/>
        </w:rPr>
        <w:t>sta</w:t>
      </w:r>
      <w:r w:rsidR="00C74CD1" w:rsidRPr="00C60ED1">
        <w:rPr>
          <w:sz w:val="22"/>
          <w:szCs w:val="22"/>
          <w:lang w:val="sk-SK"/>
        </w:rPr>
        <w:t>v</w:t>
      </w:r>
      <w:r w:rsidRPr="00C60ED1">
        <w:rPr>
          <w:sz w:val="22"/>
          <w:szCs w:val="22"/>
          <w:lang w:val="sk-SK"/>
        </w:rPr>
        <w:t xml:space="preserve"> plazmatick</w:t>
      </w:r>
      <w:r w:rsidR="00E741C9" w:rsidRPr="00C60ED1">
        <w:rPr>
          <w:sz w:val="22"/>
          <w:szCs w:val="22"/>
          <w:lang w:val="sk-SK"/>
        </w:rPr>
        <w:t>ej</w:t>
      </w:r>
      <w:r w:rsidRPr="00C60ED1">
        <w:rPr>
          <w:sz w:val="22"/>
          <w:szCs w:val="22"/>
          <w:lang w:val="sk-SK"/>
        </w:rPr>
        <w:t xml:space="preserve"> hladin</w:t>
      </w:r>
      <w:r w:rsidR="00E741C9" w:rsidRPr="00C60ED1">
        <w:rPr>
          <w:sz w:val="22"/>
          <w:szCs w:val="22"/>
          <w:lang w:val="sk-SK"/>
        </w:rPr>
        <w:t>y sa</w:t>
      </w:r>
      <w:r w:rsidRPr="00C60ED1">
        <w:rPr>
          <w:sz w:val="22"/>
          <w:szCs w:val="22"/>
          <w:lang w:val="sk-SK"/>
        </w:rPr>
        <w:t xml:space="preserve"> dosahuje v priebehu 3 – 4 dní.</w:t>
      </w:r>
    </w:p>
    <w:p w14:paraId="78A517F2" w14:textId="77777777" w:rsidR="00D62B1B" w:rsidRPr="00C60ED1" w:rsidRDefault="00D62B1B" w:rsidP="00C50996">
      <w:pPr>
        <w:tabs>
          <w:tab w:val="left" w:pos="0"/>
        </w:tabs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V </w:t>
      </w:r>
      <w:proofErr w:type="spellStart"/>
      <w:r w:rsidRPr="00C60ED1">
        <w:rPr>
          <w:sz w:val="22"/>
          <w:szCs w:val="22"/>
          <w:lang w:val="sk-SK"/>
        </w:rPr>
        <w:t>cerebrospinálnom</w:t>
      </w:r>
      <w:proofErr w:type="spellEnd"/>
      <w:r w:rsidRPr="00C60ED1">
        <w:rPr>
          <w:sz w:val="22"/>
          <w:szCs w:val="22"/>
          <w:lang w:val="sk-SK"/>
        </w:rPr>
        <w:t xml:space="preserve"> </w:t>
      </w:r>
      <w:proofErr w:type="spellStart"/>
      <w:r w:rsidRPr="00C60ED1">
        <w:rPr>
          <w:sz w:val="22"/>
          <w:szCs w:val="22"/>
          <w:lang w:val="sk-SK"/>
        </w:rPr>
        <w:t>likvore</w:t>
      </w:r>
      <w:proofErr w:type="spellEnd"/>
      <w:r w:rsidRPr="00C60ED1">
        <w:rPr>
          <w:sz w:val="22"/>
          <w:szCs w:val="22"/>
          <w:lang w:val="sk-SK"/>
        </w:rPr>
        <w:t xml:space="preserve"> predstavuje koncentrácia kyseliny valproovej 10 % aktuálnej plazmatickej koncentrácie.</w:t>
      </w:r>
    </w:p>
    <w:p w14:paraId="0D147D4B" w14:textId="77777777" w:rsidR="00E72048" w:rsidRPr="00C60ED1" w:rsidRDefault="00E72048" w:rsidP="00C50996">
      <w:pPr>
        <w:tabs>
          <w:tab w:val="left" w:pos="0"/>
        </w:tabs>
        <w:rPr>
          <w:sz w:val="22"/>
          <w:szCs w:val="22"/>
          <w:lang w:val="sk-SK"/>
        </w:rPr>
      </w:pPr>
    </w:p>
    <w:p w14:paraId="66175320" w14:textId="27DCEB43" w:rsidR="00E72048" w:rsidRPr="00C60ED1" w:rsidRDefault="00E72048" w:rsidP="00C50996">
      <w:pPr>
        <w:keepNext/>
        <w:tabs>
          <w:tab w:val="left" w:pos="0"/>
        </w:tabs>
        <w:rPr>
          <w:sz w:val="22"/>
          <w:szCs w:val="22"/>
          <w:lang w:val="sk-SK"/>
        </w:rPr>
      </w:pPr>
      <w:r w:rsidRPr="00C60ED1">
        <w:rPr>
          <w:noProof/>
          <w:sz w:val="22"/>
          <w:szCs w:val="22"/>
          <w:u w:val="single"/>
          <w:lang w:val="sk-SK"/>
        </w:rPr>
        <w:t>Distribúcia</w:t>
      </w:r>
    </w:p>
    <w:p w14:paraId="70949BE4" w14:textId="77777777" w:rsidR="00C74CD1" w:rsidRPr="00C60ED1" w:rsidRDefault="00D62B1B" w:rsidP="00C50996">
      <w:pPr>
        <w:keepNext/>
        <w:tabs>
          <w:tab w:val="left" w:pos="0"/>
        </w:tabs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Distribučný objem </w:t>
      </w:r>
      <w:r w:rsidR="00C74CD1" w:rsidRPr="00C60ED1">
        <w:rPr>
          <w:sz w:val="22"/>
          <w:szCs w:val="22"/>
          <w:lang w:val="sk-SK"/>
        </w:rPr>
        <w:t xml:space="preserve">je závislý </w:t>
      </w:r>
      <w:r w:rsidR="002632EF" w:rsidRPr="00C60ED1">
        <w:rPr>
          <w:sz w:val="22"/>
          <w:szCs w:val="22"/>
          <w:lang w:val="sk-SK"/>
        </w:rPr>
        <w:t xml:space="preserve">od </w:t>
      </w:r>
      <w:r w:rsidRPr="00C60ED1">
        <w:rPr>
          <w:sz w:val="22"/>
          <w:szCs w:val="22"/>
          <w:lang w:val="sk-SK"/>
        </w:rPr>
        <w:t xml:space="preserve">veku </w:t>
      </w:r>
      <w:r w:rsidR="00C74CD1" w:rsidRPr="00C60ED1">
        <w:rPr>
          <w:sz w:val="22"/>
          <w:szCs w:val="22"/>
          <w:lang w:val="sk-SK"/>
        </w:rPr>
        <w:t>pacienta</w:t>
      </w:r>
      <w:r w:rsidR="002632EF" w:rsidRPr="00C60ED1">
        <w:rPr>
          <w:sz w:val="22"/>
          <w:szCs w:val="22"/>
          <w:lang w:val="sk-SK"/>
        </w:rPr>
        <w:t>,</w:t>
      </w:r>
      <w:r w:rsidR="00C74CD1" w:rsidRPr="00C60ED1">
        <w:rPr>
          <w:sz w:val="22"/>
          <w:szCs w:val="22"/>
          <w:lang w:val="sk-SK"/>
        </w:rPr>
        <w:t xml:space="preserve"> </w:t>
      </w:r>
      <w:r w:rsidRPr="00C60ED1">
        <w:rPr>
          <w:sz w:val="22"/>
          <w:szCs w:val="22"/>
          <w:lang w:val="sk-SK"/>
        </w:rPr>
        <w:t>spravidla od 0,13 – 0,23 l/kg, u mladistvých 0,13 – 0,19 l/kg.</w:t>
      </w:r>
    </w:p>
    <w:p w14:paraId="102D7922" w14:textId="5C3DCC4A" w:rsidR="00D62B1B" w:rsidRPr="00C60ED1" w:rsidRDefault="00AE7AAF" w:rsidP="00C50996">
      <w:pPr>
        <w:tabs>
          <w:tab w:val="left" w:pos="0"/>
        </w:tabs>
        <w:rPr>
          <w:spacing w:val="1"/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V</w:t>
      </w:r>
      <w:r w:rsidRPr="00C60ED1">
        <w:rPr>
          <w:sz w:val="22"/>
          <w:szCs w:val="22"/>
          <w:lang w:val="sk-SK" w:eastAsia="sk-SK"/>
        </w:rPr>
        <w:t>alpro</w:t>
      </w:r>
      <w:r w:rsidR="00751FEF" w:rsidRPr="00C60ED1">
        <w:rPr>
          <w:sz w:val="22"/>
          <w:szCs w:val="22"/>
          <w:lang w:val="sk-SK" w:eastAsia="sk-SK"/>
        </w:rPr>
        <w:t>át</w:t>
      </w:r>
      <w:r w:rsidRPr="00C60ED1">
        <w:rPr>
          <w:sz w:val="22"/>
          <w:szCs w:val="22"/>
          <w:lang w:val="sk-SK" w:eastAsia="sk-SK"/>
        </w:rPr>
        <w:t xml:space="preserve"> sodný </w:t>
      </w:r>
      <w:r w:rsidR="00D62B1B" w:rsidRPr="00C60ED1">
        <w:rPr>
          <w:sz w:val="22"/>
          <w:szCs w:val="22"/>
          <w:lang w:val="sk-SK"/>
        </w:rPr>
        <w:t>je v 90 - 95 % viazan</w:t>
      </w:r>
      <w:r w:rsidR="00C74CD1" w:rsidRPr="00C60ED1">
        <w:rPr>
          <w:sz w:val="22"/>
          <w:szCs w:val="22"/>
          <w:lang w:val="sk-SK"/>
        </w:rPr>
        <w:t>ý</w:t>
      </w:r>
      <w:r w:rsidR="00D62B1B" w:rsidRPr="00C60ED1">
        <w:rPr>
          <w:sz w:val="22"/>
          <w:szCs w:val="22"/>
          <w:lang w:val="sk-SK"/>
        </w:rPr>
        <w:t xml:space="preserve"> na bielkoviny plazmy, predovšetkým na albumín. Pri vyššom dávkovaní väzba na bielkoviny klesá. Tiež u starších pacientov ako aj u pacientov s poruchou </w:t>
      </w:r>
      <w:proofErr w:type="spellStart"/>
      <w:r w:rsidR="00D62B1B" w:rsidRPr="00C60ED1">
        <w:rPr>
          <w:sz w:val="22"/>
          <w:szCs w:val="22"/>
          <w:lang w:val="sk-SK"/>
        </w:rPr>
        <w:t>renálnych</w:t>
      </w:r>
      <w:proofErr w:type="spellEnd"/>
      <w:r w:rsidR="00D62B1B" w:rsidRPr="00C60ED1">
        <w:rPr>
          <w:sz w:val="22"/>
          <w:szCs w:val="22"/>
          <w:lang w:val="sk-SK"/>
        </w:rPr>
        <w:t xml:space="preserve"> a </w:t>
      </w:r>
      <w:proofErr w:type="spellStart"/>
      <w:r w:rsidR="00D62B1B" w:rsidRPr="00C60ED1">
        <w:rPr>
          <w:sz w:val="22"/>
          <w:szCs w:val="22"/>
          <w:lang w:val="sk-SK"/>
        </w:rPr>
        <w:t>hepatálnych</w:t>
      </w:r>
      <w:proofErr w:type="spellEnd"/>
      <w:r w:rsidR="00D62B1B" w:rsidRPr="00C60ED1">
        <w:rPr>
          <w:sz w:val="22"/>
          <w:szCs w:val="22"/>
          <w:lang w:val="sk-SK"/>
        </w:rPr>
        <w:t xml:space="preserve"> funkcií je väzba na bielkoviny plazmy nižšia. </w:t>
      </w:r>
      <w:r w:rsidR="00D62B1B" w:rsidRPr="00C60ED1">
        <w:rPr>
          <w:spacing w:val="1"/>
          <w:sz w:val="22"/>
          <w:szCs w:val="22"/>
          <w:lang w:val="sk-SK"/>
        </w:rPr>
        <w:t>V jednej štúdii bola pozorovaná zvýšená hladina voľnej účinnej látky (8,5 až nad 20 %) u pacientov so signifikantne zníženou funkciou obličiek.</w:t>
      </w:r>
    </w:p>
    <w:p w14:paraId="6617486C" w14:textId="77777777" w:rsidR="00E72048" w:rsidRPr="00C60ED1" w:rsidRDefault="00E72048" w:rsidP="00C50996">
      <w:pPr>
        <w:tabs>
          <w:tab w:val="left" w:pos="0"/>
        </w:tabs>
        <w:rPr>
          <w:spacing w:val="1"/>
          <w:sz w:val="22"/>
          <w:szCs w:val="22"/>
          <w:lang w:val="sk-SK"/>
        </w:rPr>
      </w:pPr>
    </w:p>
    <w:p w14:paraId="26424874" w14:textId="57E24F39" w:rsidR="00E72048" w:rsidRPr="00C60ED1" w:rsidRDefault="00E72048" w:rsidP="00C50996">
      <w:pPr>
        <w:keepNext/>
        <w:tabs>
          <w:tab w:val="left" w:pos="0"/>
        </w:tabs>
        <w:rPr>
          <w:sz w:val="22"/>
          <w:szCs w:val="22"/>
          <w:lang w:val="sk-SK"/>
        </w:rPr>
      </w:pPr>
      <w:r w:rsidRPr="00C60ED1">
        <w:rPr>
          <w:noProof/>
          <w:sz w:val="22"/>
          <w:szCs w:val="22"/>
          <w:u w:val="single"/>
          <w:lang w:val="sk-SK"/>
        </w:rPr>
        <w:t>Biotransformácia</w:t>
      </w:r>
    </w:p>
    <w:p w14:paraId="3B8CD835" w14:textId="49D30BAC" w:rsidR="00D62B1B" w:rsidRPr="00C60ED1" w:rsidRDefault="00D62B1B" w:rsidP="00C50996">
      <w:pPr>
        <w:pStyle w:val="Zarkazkladnhotextu"/>
        <w:keepNext/>
        <w:keepLines w:val="0"/>
        <w:tabs>
          <w:tab w:val="left" w:pos="0"/>
        </w:tabs>
        <w:ind w:left="0"/>
        <w:rPr>
          <w:sz w:val="22"/>
          <w:szCs w:val="22"/>
          <w:lang w:val="sk-SK"/>
        </w:rPr>
      </w:pPr>
      <w:proofErr w:type="spellStart"/>
      <w:r w:rsidRPr="00C60ED1">
        <w:rPr>
          <w:sz w:val="22"/>
          <w:szCs w:val="22"/>
          <w:lang w:val="sk-SK"/>
        </w:rPr>
        <w:t>Biotransformácia</w:t>
      </w:r>
      <w:proofErr w:type="spellEnd"/>
      <w:r w:rsidRPr="00C60ED1">
        <w:rPr>
          <w:sz w:val="22"/>
          <w:szCs w:val="22"/>
          <w:lang w:val="sk-SK"/>
        </w:rPr>
        <w:t xml:space="preserve"> prebieha cez </w:t>
      </w:r>
      <w:proofErr w:type="spellStart"/>
      <w:r w:rsidRPr="00C60ED1">
        <w:rPr>
          <w:sz w:val="22"/>
          <w:szCs w:val="22"/>
          <w:lang w:val="sk-SK"/>
        </w:rPr>
        <w:t>glukuronizáciu</w:t>
      </w:r>
      <w:proofErr w:type="spellEnd"/>
      <w:r w:rsidRPr="00C60ED1">
        <w:rPr>
          <w:sz w:val="22"/>
          <w:szCs w:val="22"/>
          <w:lang w:val="sk-SK"/>
        </w:rPr>
        <w:t xml:space="preserve"> ako aj beta-, omega- a omega-1-oxidáciu. Asi 20 % aplikovanej dávky sa vylučuje ako ester-</w:t>
      </w:r>
      <w:proofErr w:type="spellStart"/>
      <w:r w:rsidRPr="00C60ED1">
        <w:rPr>
          <w:sz w:val="22"/>
          <w:szCs w:val="22"/>
          <w:lang w:val="sk-SK"/>
        </w:rPr>
        <w:t>glukuronid</w:t>
      </w:r>
      <w:proofErr w:type="spellEnd"/>
      <w:r w:rsidRPr="00C60ED1">
        <w:rPr>
          <w:sz w:val="22"/>
          <w:szCs w:val="22"/>
          <w:lang w:val="sk-SK"/>
        </w:rPr>
        <w:t xml:space="preserve"> močom. Existuje viac ako 20 </w:t>
      </w:r>
      <w:proofErr w:type="spellStart"/>
      <w:r w:rsidRPr="00C60ED1">
        <w:rPr>
          <w:sz w:val="22"/>
          <w:szCs w:val="22"/>
          <w:lang w:val="sk-SK"/>
        </w:rPr>
        <w:t>metabolitov</w:t>
      </w:r>
      <w:proofErr w:type="spellEnd"/>
      <w:r w:rsidRPr="00C60ED1">
        <w:rPr>
          <w:sz w:val="22"/>
          <w:szCs w:val="22"/>
          <w:lang w:val="sk-SK"/>
        </w:rPr>
        <w:t xml:space="preserve">, ktoré sa omega-oxidáciou stávajú </w:t>
      </w:r>
      <w:proofErr w:type="spellStart"/>
      <w:r w:rsidRPr="00C60ED1">
        <w:rPr>
          <w:sz w:val="22"/>
          <w:szCs w:val="22"/>
          <w:lang w:val="sk-SK"/>
        </w:rPr>
        <w:t>hepatotoxickými</w:t>
      </w:r>
      <w:proofErr w:type="spellEnd"/>
      <w:r w:rsidRPr="00C60ED1">
        <w:rPr>
          <w:sz w:val="22"/>
          <w:szCs w:val="22"/>
          <w:lang w:val="sk-SK"/>
        </w:rPr>
        <w:t xml:space="preserve">. Menej ako 5 % aplikovanej dávky </w:t>
      </w:r>
      <w:r w:rsidR="00AE7AAF" w:rsidRPr="00C60ED1">
        <w:rPr>
          <w:sz w:val="22"/>
          <w:szCs w:val="22"/>
          <w:lang w:val="sk-SK"/>
        </w:rPr>
        <w:t>v</w:t>
      </w:r>
      <w:r w:rsidR="00AE7AAF" w:rsidRPr="00C60ED1">
        <w:rPr>
          <w:sz w:val="22"/>
          <w:szCs w:val="22"/>
          <w:lang w:val="sk-SK" w:eastAsia="sk-SK"/>
        </w:rPr>
        <w:t>alpro</w:t>
      </w:r>
      <w:r w:rsidR="00932456" w:rsidRPr="00C60ED1">
        <w:rPr>
          <w:sz w:val="22"/>
          <w:szCs w:val="22"/>
          <w:lang w:val="sk-SK" w:eastAsia="sk-SK"/>
        </w:rPr>
        <w:t>át</w:t>
      </w:r>
      <w:r w:rsidR="00AE7AAF" w:rsidRPr="00C60ED1">
        <w:rPr>
          <w:sz w:val="22"/>
          <w:szCs w:val="22"/>
          <w:lang w:val="sk-SK" w:eastAsia="sk-SK"/>
        </w:rPr>
        <w:t xml:space="preserve">u sodného </w:t>
      </w:r>
      <w:r w:rsidRPr="00C60ED1">
        <w:rPr>
          <w:sz w:val="22"/>
          <w:szCs w:val="22"/>
          <w:lang w:val="sk-SK"/>
        </w:rPr>
        <w:t xml:space="preserve">odchádza v nezmenenej forme močom. Hlavným </w:t>
      </w:r>
      <w:proofErr w:type="spellStart"/>
      <w:r w:rsidRPr="00C60ED1">
        <w:rPr>
          <w:sz w:val="22"/>
          <w:szCs w:val="22"/>
          <w:lang w:val="sk-SK"/>
        </w:rPr>
        <w:t>metabolitom</w:t>
      </w:r>
      <w:proofErr w:type="spellEnd"/>
      <w:r w:rsidRPr="00C60ED1">
        <w:rPr>
          <w:sz w:val="22"/>
          <w:szCs w:val="22"/>
          <w:lang w:val="sk-SK"/>
        </w:rPr>
        <w:t xml:space="preserve"> je 3-</w:t>
      </w:r>
      <w:proofErr w:type="spellStart"/>
      <w:r w:rsidRPr="00C60ED1">
        <w:rPr>
          <w:sz w:val="22"/>
          <w:szCs w:val="22"/>
          <w:lang w:val="sk-SK"/>
        </w:rPr>
        <w:t>keto</w:t>
      </w:r>
      <w:proofErr w:type="spellEnd"/>
      <w:r w:rsidRPr="00C60ED1">
        <w:rPr>
          <w:sz w:val="22"/>
          <w:szCs w:val="22"/>
          <w:lang w:val="sk-SK"/>
        </w:rPr>
        <w:t xml:space="preserve">-valproová kyselina, ktorá sa v 3-60 % nachádza v moči. Tento </w:t>
      </w:r>
      <w:proofErr w:type="spellStart"/>
      <w:r w:rsidRPr="00C60ED1">
        <w:rPr>
          <w:sz w:val="22"/>
          <w:szCs w:val="22"/>
          <w:lang w:val="sk-SK"/>
        </w:rPr>
        <w:t>metabolit</w:t>
      </w:r>
      <w:proofErr w:type="spellEnd"/>
      <w:r w:rsidRPr="00C60ED1">
        <w:rPr>
          <w:sz w:val="22"/>
          <w:szCs w:val="22"/>
          <w:lang w:val="sk-SK"/>
        </w:rPr>
        <w:t xml:space="preserve"> má u myší </w:t>
      </w:r>
      <w:proofErr w:type="spellStart"/>
      <w:r w:rsidRPr="00C60ED1">
        <w:rPr>
          <w:sz w:val="22"/>
          <w:szCs w:val="22"/>
          <w:lang w:val="sk-SK"/>
        </w:rPr>
        <w:t>antikonvulzívny</w:t>
      </w:r>
      <w:proofErr w:type="spellEnd"/>
      <w:r w:rsidRPr="00C60ED1">
        <w:rPr>
          <w:sz w:val="22"/>
          <w:szCs w:val="22"/>
          <w:lang w:val="sk-SK"/>
        </w:rPr>
        <w:t xml:space="preserve"> účinok, u ľudí ešte účinok nebol objasnený.</w:t>
      </w:r>
    </w:p>
    <w:p w14:paraId="5452734A" w14:textId="77777777" w:rsidR="00E72048" w:rsidRPr="00C60ED1" w:rsidRDefault="00E72048" w:rsidP="00C50996">
      <w:pPr>
        <w:pStyle w:val="Zarkazkladnhotextu"/>
        <w:keepLines w:val="0"/>
        <w:tabs>
          <w:tab w:val="left" w:pos="0"/>
        </w:tabs>
        <w:ind w:left="0"/>
        <w:rPr>
          <w:sz w:val="22"/>
          <w:szCs w:val="22"/>
          <w:lang w:val="sk-SK"/>
        </w:rPr>
      </w:pPr>
    </w:p>
    <w:p w14:paraId="7A1DD0F8" w14:textId="64E6BA4B" w:rsidR="00E72048" w:rsidRPr="00C60ED1" w:rsidRDefault="00E72048" w:rsidP="00C50996">
      <w:pPr>
        <w:pStyle w:val="Zarkazkladnhotextu"/>
        <w:keepNext/>
        <w:keepLines w:val="0"/>
        <w:tabs>
          <w:tab w:val="left" w:pos="0"/>
        </w:tabs>
        <w:ind w:left="0"/>
        <w:rPr>
          <w:sz w:val="22"/>
          <w:szCs w:val="22"/>
          <w:lang w:val="sk-SK"/>
        </w:rPr>
      </w:pPr>
      <w:r w:rsidRPr="00C60ED1">
        <w:rPr>
          <w:noProof/>
          <w:sz w:val="22"/>
          <w:szCs w:val="22"/>
          <w:u w:val="single"/>
          <w:lang w:val="sk-SK"/>
        </w:rPr>
        <w:t>Eliminácia</w:t>
      </w:r>
    </w:p>
    <w:p w14:paraId="69B18536" w14:textId="15A2E67F" w:rsidR="00D62B1B" w:rsidRPr="00C60ED1" w:rsidRDefault="00D62B1B" w:rsidP="00C50996">
      <w:pPr>
        <w:tabs>
          <w:tab w:val="left" w:pos="0"/>
        </w:tabs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Plazmatický </w:t>
      </w:r>
      <w:proofErr w:type="spellStart"/>
      <w:r w:rsidRPr="00C60ED1">
        <w:rPr>
          <w:sz w:val="22"/>
          <w:szCs w:val="22"/>
          <w:lang w:val="sk-SK"/>
        </w:rPr>
        <w:t>klírens</w:t>
      </w:r>
      <w:proofErr w:type="spellEnd"/>
      <w:r w:rsidRPr="00C60ED1">
        <w:rPr>
          <w:sz w:val="22"/>
          <w:szCs w:val="22"/>
          <w:lang w:val="sk-SK"/>
        </w:rPr>
        <w:t xml:space="preserve"> bol v jednej štúdii u pacientov s epilepsiou 12,7 ml/min</w:t>
      </w:r>
      <w:r w:rsidR="002B11B8">
        <w:rPr>
          <w:sz w:val="22"/>
          <w:szCs w:val="22"/>
          <w:lang w:val="sk-SK"/>
        </w:rPr>
        <w:t>; u zdravých sa pohybuje od 5</w:t>
      </w:r>
      <w:r w:rsidR="002B11B8">
        <w:rPr>
          <w:sz w:val="22"/>
          <w:szCs w:val="22"/>
          <w:lang w:val="sk-SK"/>
        </w:rPr>
        <w:noBreakHyphen/>
      </w:r>
      <w:r w:rsidRPr="00C60ED1">
        <w:rPr>
          <w:sz w:val="22"/>
          <w:szCs w:val="22"/>
          <w:lang w:val="sk-SK"/>
        </w:rPr>
        <w:t xml:space="preserve">10 ml/min; pri užívaní antiepileptika s pozitívnou enzymatickou indukciou stúpa. Plazmatický polčas </w:t>
      </w:r>
      <w:r w:rsidR="00E256B3" w:rsidRPr="00C60ED1">
        <w:rPr>
          <w:sz w:val="22"/>
          <w:szCs w:val="22"/>
          <w:lang w:val="sk-SK"/>
        </w:rPr>
        <w:t>j</w:t>
      </w:r>
      <w:r w:rsidRPr="00C60ED1">
        <w:rPr>
          <w:sz w:val="22"/>
          <w:szCs w:val="22"/>
          <w:lang w:val="sk-SK"/>
        </w:rPr>
        <w:t xml:space="preserve">e u </w:t>
      </w:r>
      <w:proofErr w:type="spellStart"/>
      <w:r w:rsidRPr="00C60ED1">
        <w:rPr>
          <w:sz w:val="22"/>
          <w:szCs w:val="22"/>
          <w:lang w:val="sk-SK"/>
        </w:rPr>
        <w:t>monoterapie</w:t>
      </w:r>
      <w:proofErr w:type="spellEnd"/>
      <w:r w:rsidRPr="00C60ED1">
        <w:rPr>
          <w:sz w:val="22"/>
          <w:szCs w:val="22"/>
          <w:lang w:val="sk-SK"/>
        </w:rPr>
        <w:t xml:space="preserve"> priemerne medzi 12 - 16 hodinami a ostáva aj pri dlhodobej terapii konštantný.</w:t>
      </w:r>
    </w:p>
    <w:p w14:paraId="4C4761DC" w14:textId="77777777" w:rsidR="00C4087C" w:rsidRPr="00E01944" w:rsidRDefault="00D62B1B" w:rsidP="00C4087C">
      <w:pPr>
        <w:tabs>
          <w:tab w:val="left" w:pos="0"/>
        </w:tabs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lastRenderedPageBreak/>
        <w:t>V kombinácii s inými liekmi (</w:t>
      </w:r>
      <w:proofErr w:type="spellStart"/>
      <w:r w:rsidRPr="00C60ED1">
        <w:rPr>
          <w:sz w:val="22"/>
          <w:szCs w:val="22"/>
          <w:lang w:val="sk-SK"/>
        </w:rPr>
        <w:t>primidón</w:t>
      </w:r>
      <w:proofErr w:type="spellEnd"/>
      <w:r w:rsidRPr="00C60ED1">
        <w:rPr>
          <w:sz w:val="22"/>
          <w:szCs w:val="22"/>
          <w:lang w:val="sk-SK"/>
        </w:rPr>
        <w:t xml:space="preserve">, fenytoín, fenobarbital alebo karbamazepín) klesá polčas na hodnoty medzi </w:t>
      </w:r>
      <w:smartTag w:uri="urn:schemas-microsoft-com:office:smarttags" w:element="metricconverter">
        <w:smartTagPr>
          <w:attr w:name="ProductID" w:val="4 a"/>
        </w:smartTagPr>
        <w:r w:rsidRPr="00C60ED1">
          <w:rPr>
            <w:sz w:val="22"/>
            <w:szCs w:val="22"/>
            <w:lang w:val="sk-SK"/>
          </w:rPr>
          <w:t>4 a</w:t>
        </w:r>
      </w:smartTag>
      <w:r w:rsidRPr="00C60ED1">
        <w:rPr>
          <w:sz w:val="22"/>
          <w:szCs w:val="22"/>
          <w:lang w:val="sk-SK"/>
        </w:rPr>
        <w:t xml:space="preserve"> 9 hodinami, v závislosti od enzymatickej indukcie. </w:t>
      </w:r>
    </w:p>
    <w:p w14:paraId="02748CBA" w14:textId="4B904A7F" w:rsidR="00C4087C" w:rsidRDefault="00C4087C" w:rsidP="00C4087C">
      <w:pPr>
        <w:tabs>
          <w:tab w:val="left" w:pos="0"/>
        </w:tabs>
        <w:rPr>
          <w:sz w:val="22"/>
          <w:szCs w:val="22"/>
          <w:lang w:val="sk-SK"/>
        </w:rPr>
      </w:pPr>
      <w:r w:rsidRPr="00E01944">
        <w:rPr>
          <w:sz w:val="22"/>
          <w:szCs w:val="22"/>
          <w:lang w:val="sk-SK"/>
        </w:rPr>
        <w:t xml:space="preserve">Deti vo veku nad 10 rokov a dospievajúci majú </w:t>
      </w:r>
      <w:proofErr w:type="spellStart"/>
      <w:r w:rsidRPr="00E01944">
        <w:rPr>
          <w:sz w:val="22"/>
          <w:szCs w:val="22"/>
          <w:lang w:val="sk-SK"/>
        </w:rPr>
        <w:t>klírens</w:t>
      </w:r>
      <w:proofErr w:type="spellEnd"/>
      <w:r w:rsidR="00F80534">
        <w:rPr>
          <w:sz w:val="22"/>
          <w:szCs w:val="22"/>
          <w:lang w:val="sk-SK"/>
        </w:rPr>
        <w:t xml:space="preserve"> valproátu podobný ako dospelí. </w:t>
      </w:r>
      <w:r w:rsidRPr="00E01944">
        <w:rPr>
          <w:sz w:val="22"/>
          <w:szCs w:val="22"/>
          <w:lang w:val="sk-SK"/>
        </w:rPr>
        <w:t xml:space="preserve">U detských pacientov mladších ako 10 rokov sa systémový </w:t>
      </w:r>
      <w:proofErr w:type="spellStart"/>
      <w:r w:rsidRPr="00E01944">
        <w:rPr>
          <w:sz w:val="22"/>
          <w:szCs w:val="22"/>
          <w:lang w:val="sk-SK"/>
        </w:rPr>
        <w:t>klírens</w:t>
      </w:r>
      <w:proofErr w:type="spellEnd"/>
      <w:r w:rsidRPr="00E01944">
        <w:rPr>
          <w:sz w:val="22"/>
          <w:szCs w:val="22"/>
          <w:lang w:val="sk-SK"/>
        </w:rPr>
        <w:t xml:space="preserve"> valproátu mení s vekom.</w:t>
      </w:r>
      <w:r>
        <w:rPr>
          <w:sz w:val="22"/>
          <w:szCs w:val="22"/>
          <w:lang w:val="sk-SK"/>
        </w:rPr>
        <w:t xml:space="preserve"> </w:t>
      </w:r>
      <w:r w:rsidRPr="00E01944">
        <w:rPr>
          <w:sz w:val="22"/>
          <w:szCs w:val="22"/>
          <w:lang w:val="sk-SK"/>
        </w:rPr>
        <w:t xml:space="preserve">U novorodencov a dojčiat do 2 mesiacov je </w:t>
      </w:r>
      <w:proofErr w:type="spellStart"/>
      <w:r w:rsidRPr="00E01944">
        <w:rPr>
          <w:sz w:val="22"/>
          <w:szCs w:val="22"/>
          <w:lang w:val="sk-SK"/>
        </w:rPr>
        <w:t>klírens</w:t>
      </w:r>
      <w:proofErr w:type="spellEnd"/>
      <w:r w:rsidRPr="00E01944">
        <w:rPr>
          <w:sz w:val="22"/>
          <w:szCs w:val="22"/>
          <w:lang w:val="sk-SK"/>
        </w:rPr>
        <w:t xml:space="preserve"> valproátu v porovnaní s dospelými znížený a je najnižší bezprostredne po narodení. V prehľade vedeckej literatúry sa ukázala značná variabilita polčasu valproátu u dojčiat mladších ako dva mesiace v rozmedzí od 1 do 67 hodín. U detí vo veku 2 až 10 rokov je </w:t>
      </w:r>
      <w:proofErr w:type="spellStart"/>
      <w:r w:rsidRPr="00E01944">
        <w:rPr>
          <w:sz w:val="22"/>
          <w:szCs w:val="22"/>
          <w:lang w:val="sk-SK"/>
        </w:rPr>
        <w:t>klírens</w:t>
      </w:r>
      <w:proofErr w:type="spellEnd"/>
      <w:r w:rsidRPr="00E01944">
        <w:rPr>
          <w:sz w:val="22"/>
          <w:szCs w:val="22"/>
          <w:lang w:val="sk-SK"/>
        </w:rPr>
        <w:t xml:space="preserve"> valproátu o 50 % vyšší ako u dospelých.</w:t>
      </w:r>
    </w:p>
    <w:p w14:paraId="7CFFB414" w14:textId="77777777" w:rsidR="00D62B1B" w:rsidRPr="00C60ED1" w:rsidRDefault="00D62B1B" w:rsidP="00C50996">
      <w:pPr>
        <w:tabs>
          <w:tab w:val="left" w:pos="0"/>
        </w:tabs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U pacientov s poškodením pečene je polčas predĺžený. V prípadoch predávkovania boli pozorované hodnoty </w:t>
      </w:r>
      <w:r w:rsidR="00C74CD1" w:rsidRPr="00C60ED1">
        <w:rPr>
          <w:sz w:val="22"/>
          <w:szCs w:val="22"/>
          <w:lang w:val="sk-SK"/>
        </w:rPr>
        <w:t xml:space="preserve">polčasu </w:t>
      </w:r>
      <w:r w:rsidRPr="00C60ED1">
        <w:rPr>
          <w:sz w:val="22"/>
          <w:szCs w:val="22"/>
          <w:lang w:val="sk-SK"/>
        </w:rPr>
        <w:t>až 30 hodín.</w:t>
      </w:r>
    </w:p>
    <w:p w14:paraId="78AC4D23" w14:textId="77777777" w:rsidR="00D62B1B" w:rsidRPr="00C60ED1" w:rsidRDefault="00D62B1B" w:rsidP="00C50996">
      <w:pPr>
        <w:tabs>
          <w:tab w:val="left" w:pos="0"/>
        </w:tabs>
        <w:rPr>
          <w:sz w:val="22"/>
          <w:szCs w:val="22"/>
          <w:lang w:val="sk-SK"/>
        </w:rPr>
      </w:pPr>
    </w:p>
    <w:p w14:paraId="05182AE2" w14:textId="77777777" w:rsidR="00D62B1B" w:rsidRPr="00C60ED1" w:rsidRDefault="00D62B1B" w:rsidP="00C50996">
      <w:pPr>
        <w:tabs>
          <w:tab w:val="left" w:pos="0"/>
        </w:tabs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V tehotenstve stúpajú v treťom </w:t>
      </w:r>
      <w:proofErr w:type="spellStart"/>
      <w:r w:rsidRPr="00C60ED1">
        <w:rPr>
          <w:sz w:val="22"/>
          <w:szCs w:val="22"/>
          <w:lang w:val="sk-SK"/>
        </w:rPr>
        <w:t>trimestri</w:t>
      </w:r>
      <w:proofErr w:type="spellEnd"/>
      <w:r w:rsidRPr="00C60ED1">
        <w:rPr>
          <w:sz w:val="22"/>
          <w:szCs w:val="22"/>
          <w:lang w:val="sk-SK"/>
        </w:rPr>
        <w:t xml:space="preserve"> hodnoty </w:t>
      </w:r>
      <w:proofErr w:type="spellStart"/>
      <w:r w:rsidRPr="00C60ED1">
        <w:rPr>
          <w:sz w:val="22"/>
          <w:szCs w:val="22"/>
          <w:lang w:val="sk-SK"/>
        </w:rPr>
        <w:t>hepatálneho</w:t>
      </w:r>
      <w:proofErr w:type="spellEnd"/>
      <w:r w:rsidRPr="00C60ED1">
        <w:rPr>
          <w:sz w:val="22"/>
          <w:szCs w:val="22"/>
          <w:lang w:val="sk-SK"/>
        </w:rPr>
        <w:t xml:space="preserve"> a </w:t>
      </w:r>
      <w:proofErr w:type="spellStart"/>
      <w:r w:rsidRPr="00C60ED1">
        <w:rPr>
          <w:sz w:val="22"/>
          <w:szCs w:val="22"/>
          <w:lang w:val="sk-SK"/>
        </w:rPr>
        <w:t>renálneho</w:t>
      </w:r>
      <w:proofErr w:type="spellEnd"/>
      <w:r w:rsidRPr="00C60ED1">
        <w:rPr>
          <w:sz w:val="22"/>
          <w:szCs w:val="22"/>
          <w:lang w:val="sk-SK"/>
        </w:rPr>
        <w:t xml:space="preserve"> </w:t>
      </w:r>
      <w:proofErr w:type="spellStart"/>
      <w:r w:rsidRPr="00C60ED1">
        <w:rPr>
          <w:sz w:val="22"/>
          <w:szCs w:val="22"/>
          <w:lang w:val="sk-SK"/>
        </w:rPr>
        <w:t>klírensu</w:t>
      </w:r>
      <w:proofErr w:type="spellEnd"/>
      <w:r w:rsidRPr="00C60ED1">
        <w:rPr>
          <w:sz w:val="22"/>
          <w:szCs w:val="22"/>
          <w:lang w:val="sk-SK"/>
        </w:rPr>
        <w:t xml:space="preserve"> so zvýšením distribučného objemu, s možným znížením plazmatickej koncentrácie pri tej istej dávke.</w:t>
      </w:r>
    </w:p>
    <w:p w14:paraId="0B31DAA0" w14:textId="77777777" w:rsidR="00D62B1B" w:rsidRPr="00C60ED1" w:rsidRDefault="00D62B1B" w:rsidP="00C50996">
      <w:pPr>
        <w:tabs>
          <w:tab w:val="left" w:pos="0"/>
        </w:tabs>
        <w:rPr>
          <w:sz w:val="22"/>
          <w:szCs w:val="22"/>
          <w:lang w:val="sk-SK"/>
        </w:rPr>
      </w:pPr>
    </w:p>
    <w:p w14:paraId="129CDA49" w14:textId="4073A8B1" w:rsidR="00D62B1B" w:rsidRPr="00C60ED1" w:rsidRDefault="00AE7AAF" w:rsidP="00C50996">
      <w:pPr>
        <w:tabs>
          <w:tab w:val="left" w:pos="0"/>
        </w:tabs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V</w:t>
      </w:r>
      <w:r w:rsidRPr="00C60ED1">
        <w:rPr>
          <w:sz w:val="22"/>
          <w:szCs w:val="22"/>
          <w:lang w:val="sk-SK" w:eastAsia="sk-SK"/>
        </w:rPr>
        <w:t>alpro</w:t>
      </w:r>
      <w:r w:rsidR="00932456" w:rsidRPr="00C60ED1">
        <w:rPr>
          <w:sz w:val="22"/>
          <w:szCs w:val="22"/>
          <w:lang w:val="sk-SK" w:eastAsia="sk-SK"/>
        </w:rPr>
        <w:t>át</w:t>
      </w:r>
      <w:r w:rsidRPr="00C60ED1">
        <w:rPr>
          <w:sz w:val="22"/>
          <w:szCs w:val="22"/>
          <w:lang w:val="sk-SK" w:eastAsia="sk-SK"/>
        </w:rPr>
        <w:t xml:space="preserve"> sodný </w:t>
      </w:r>
      <w:r w:rsidR="00D62B1B" w:rsidRPr="00C60ED1">
        <w:rPr>
          <w:sz w:val="22"/>
          <w:szCs w:val="22"/>
          <w:lang w:val="sk-SK"/>
        </w:rPr>
        <w:t xml:space="preserve">prechádza cez placentu a dostáva sa do materského mlieka. V </w:t>
      </w:r>
      <w:r w:rsidR="00C74CD1" w:rsidRPr="00C60ED1">
        <w:rPr>
          <w:sz w:val="22"/>
          <w:szCs w:val="22"/>
          <w:lang w:val="sk-SK"/>
        </w:rPr>
        <w:t>rovnovážnom</w:t>
      </w:r>
      <w:r w:rsidR="00D62B1B" w:rsidRPr="00C60ED1">
        <w:rPr>
          <w:sz w:val="22"/>
          <w:szCs w:val="22"/>
          <w:lang w:val="sk-SK"/>
        </w:rPr>
        <w:t xml:space="preserve"> sta</w:t>
      </w:r>
      <w:r w:rsidR="00C74CD1" w:rsidRPr="00C60ED1">
        <w:rPr>
          <w:sz w:val="22"/>
          <w:szCs w:val="22"/>
          <w:lang w:val="sk-SK"/>
        </w:rPr>
        <w:t>v</w:t>
      </w:r>
      <w:r w:rsidR="00D62B1B" w:rsidRPr="00C60ED1">
        <w:rPr>
          <w:sz w:val="22"/>
          <w:szCs w:val="22"/>
          <w:lang w:val="sk-SK"/>
        </w:rPr>
        <w:t>e je koncentrácia v materskom mlieku približne 10 % plazmatickej koncentrácie.</w:t>
      </w:r>
    </w:p>
    <w:p w14:paraId="266ED1CD" w14:textId="77777777" w:rsidR="00D62B1B" w:rsidRPr="00C60ED1" w:rsidRDefault="00D62B1B" w:rsidP="00C50996">
      <w:pPr>
        <w:tabs>
          <w:tab w:val="left" w:pos="0"/>
        </w:tabs>
        <w:rPr>
          <w:sz w:val="22"/>
          <w:szCs w:val="22"/>
          <w:lang w:val="sk-SK"/>
        </w:rPr>
      </w:pPr>
    </w:p>
    <w:p w14:paraId="0473708E" w14:textId="48433239" w:rsidR="00D62B1B" w:rsidRPr="00C60ED1" w:rsidRDefault="00D62B1B" w:rsidP="00C50996">
      <w:pPr>
        <w:keepNext/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  <w:r w:rsidRPr="00C60ED1">
        <w:rPr>
          <w:b/>
          <w:sz w:val="22"/>
          <w:szCs w:val="22"/>
          <w:lang w:val="sk-SK"/>
        </w:rPr>
        <w:t>5.3</w:t>
      </w:r>
      <w:r w:rsidRPr="00C60ED1">
        <w:rPr>
          <w:b/>
          <w:sz w:val="22"/>
          <w:szCs w:val="22"/>
          <w:lang w:val="sk-SK"/>
        </w:rPr>
        <w:tab/>
        <w:t>Predklinické údaje o</w:t>
      </w:r>
      <w:r w:rsidR="00E72048" w:rsidRPr="00C60ED1">
        <w:rPr>
          <w:b/>
          <w:sz w:val="22"/>
          <w:szCs w:val="22"/>
          <w:lang w:val="sk-SK"/>
        </w:rPr>
        <w:t> </w:t>
      </w:r>
      <w:r w:rsidRPr="00C60ED1">
        <w:rPr>
          <w:b/>
          <w:sz w:val="22"/>
          <w:szCs w:val="22"/>
          <w:lang w:val="sk-SK"/>
        </w:rPr>
        <w:t>bezpečnosti</w:t>
      </w:r>
    </w:p>
    <w:p w14:paraId="15F3D80C" w14:textId="77777777" w:rsidR="00E72048" w:rsidRPr="00C60ED1" w:rsidRDefault="00E72048" w:rsidP="00C50996">
      <w:pPr>
        <w:keepNext/>
        <w:widowControl w:val="0"/>
        <w:tabs>
          <w:tab w:val="left" w:pos="426"/>
          <w:tab w:val="left" w:pos="709"/>
        </w:tabs>
        <w:rPr>
          <w:b/>
          <w:sz w:val="22"/>
          <w:szCs w:val="22"/>
          <w:lang w:val="sk-SK"/>
        </w:rPr>
      </w:pPr>
    </w:p>
    <w:p w14:paraId="5BB1AB36" w14:textId="77777777" w:rsidR="00D62B1B" w:rsidRPr="00C60ED1" w:rsidRDefault="00D62B1B" w:rsidP="00C50996">
      <w:pPr>
        <w:keepLines/>
        <w:tabs>
          <w:tab w:val="left" w:pos="0"/>
        </w:tabs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Štúdie akútnej toxicity u rôznych druhov zvierat nepreukázali zvláštnu citlivosť. V závislosti od druhu zvierat </w:t>
      </w:r>
      <w:r w:rsidR="00E256B3" w:rsidRPr="00C60ED1">
        <w:rPr>
          <w:sz w:val="22"/>
          <w:szCs w:val="22"/>
          <w:lang w:val="sk-SK"/>
        </w:rPr>
        <w:t>j</w:t>
      </w:r>
      <w:r w:rsidRPr="00C60ED1">
        <w:rPr>
          <w:sz w:val="22"/>
          <w:szCs w:val="22"/>
          <w:lang w:val="sk-SK"/>
        </w:rPr>
        <w:t xml:space="preserve">e hodnota </w:t>
      </w:r>
      <w:proofErr w:type="spellStart"/>
      <w:r w:rsidRPr="00C60ED1">
        <w:rPr>
          <w:sz w:val="22"/>
          <w:szCs w:val="22"/>
          <w:lang w:val="sk-SK"/>
        </w:rPr>
        <w:t>LD</w:t>
      </w:r>
      <w:proofErr w:type="spellEnd"/>
      <w:r w:rsidRPr="00C60ED1">
        <w:rPr>
          <w:position w:val="-6"/>
          <w:sz w:val="22"/>
          <w:szCs w:val="22"/>
          <w:vertAlign w:val="subscript"/>
          <w:lang w:val="sk-SK"/>
        </w:rPr>
        <w:t>50</w:t>
      </w:r>
      <w:r w:rsidRPr="00C60ED1">
        <w:rPr>
          <w:sz w:val="22"/>
          <w:szCs w:val="22"/>
          <w:vertAlign w:val="subscript"/>
          <w:lang w:val="sk-SK"/>
        </w:rPr>
        <w:t xml:space="preserve"> </w:t>
      </w:r>
      <w:r w:rsidRPr="00C60ED1">
        <w:rPr>
          <w:sz w:val="22"/>
          <w:szCs w:val="22"/>
          <w:lang w:val="sk-SK"/>
        </w:rPr>
        <w:t>medzi 0,5 – 1,5 g/kg telesnej hmotnosti.</w:t>
      </w:r>
    </w:p>
    <w:p w14:paraId="4A02163A" w14:textId="77777777" w:rsidR="00D62B1B" w:rsidRPr="00C60ED1" w:rsidRDefault="00D62B1B" w:rsidP="00C50996">
      <w:pPr>
        <w:widowControl w:val="0"/>
        <w:tabs>
          <w:tab w:val="left" w:pos="0"/>
        </w:tabs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V štúdiách chronickej toxicity pri dávkovaní od 250 mg/kg potkanom a od 90 mg/kg psom sa zistila atrofia </w:t>
      </w:r>
      <w:proofErr w:type="spellStart"/>
      <w:r w:rsidRPr="00C60ED1">
        <w:rPr>
          <w:sz w:val="22"/>
          <w:szCs w:val="22"/>
          <w:lang w:val="sk-SK"/>
        </w:rPr>
        <w:t>testes</w:t>
      </w:r>
      <w:proofErr w:type="spellEnd"/>
      <w:r w:rsidRPr="00C60ED1">
        <w:rPr>
          <w:sz w:val="22"/>
          <w:szCs w:val="22"/>
          <w:lang w:val="sk-SK"/>
        </w:rPr>
        <w:t xml:space="preserve">, degenerácia </w:t>
      </w:r>
      <w:proofErr w:type="spellStart"/>
      <w:r w:rsidR="00C74CD1" w:rsidRPr="00C60ED1">
        <w:rPr>
          <w:sz w:val="22"/>
          <w:szCs w:val="22"/>
          <w:lang w:val="sk-SK"/>
        </w:rPr>
        <w:t>ductu</w:t>
      </w:r>
      <w:r w:rsidRPr="00C60ED1">
        <w:rPr>
          <w:sz w:val="22"/>
          <w:szCs w:val="22"/>
          <w:lang w:val="sk-SK"/>
        </w:rPr>
        <w:t>s</w:t>
      </w:r>
      <w:proofErr w:type="spellEnd"/>
      <w:r w:rsidRPr="00C60ED1">
        <w:rPr>
          <w:sz w:val="22"/>
          <w:szCs w:val="22"/>
          <w:lang w:val="sk-SK"/>
        </w:rPr>
        <w:t xml:space="preserve"> </w:t>
      </w:r>
      <w:proofErr w:type="spellStart"/>
      <w:r w:rsidRPr="00C60ED1">
        <w:rPr>
          <w:sz w:val="22"/>
          <w:szCs w:val="22"/>
          <w:lang w:val="sk-SK"/>
        </w:rPr>
        <w:t>deferens</w:t>
      </w:r>
      <w:proofErr w:type="spellEnd"/>
      <w:r w:rsidRPr="00C60ED1">
        <w:rPr>
          <w:sz w:val="22"/>
          <w:szCs w:val="22"/>
          <w:lang w:val="sk-SK"/>
        </w:rPr>
        <w:t xml:space="preserve">, </w:t>
      </w:r>
      <w:proofErr w:type="spellStart"/>
      <w:r w:rsidRPr="00C60ED1">
        <w:rPr>
          <w:sz w:val="22"/>
          <w:szCs w:val="22"/>
          <w:lang w:val="sk-SK"/>
        </w:rPr>
        <w:t>insuficiencia</w:t>
      </w:r>
      <w:proofErr w:type="spellEnd"/>
      <w:r w:rsidRPr="00C60ED1">
        <w:rPr>
          <w:sz w:val="22"/>
          <w:szCs w:val="22"/>
          <w:lang w:val="sk-SK"/>
        </w:rPr>
        <w:t xml:space="preserve"> </w:t>
      </w:r>
      <w:proofErr w:type="spellStart"/>
      <w:r w:rsidRPr="00C60ED1">
        <w:rPr>
          <w:sz w:val="22"/>
          <w:szCs w:val="22"/>
          <w:lang w:val="sk-SK"/>
        </w:rPr>
        <w:t>spermatogenézy</w:t>
      </w:r>
      <w:proofErr w:type="spellEnd"/>
      <w:r w:rsidRPr="00C60ED1">
        <w:rPr>
          <w:sz w:val="22"/>
          <w:szCs w:val="22"/>
          <w:lang w:val="sk-SK"/>
        </w:rPr>
        <w:t xml:space="preserve"> ako aj zmeny na prostate a pľúcach.</w:t>
      </w:r>
    </w:p>
    <w:p w14:paraId="4D1B8038" w14:textId="77777777" w:rsidR="00D62B1B" w:rsidRPr="00C60ED1" w:rsidRDefault="00D62B1B" w:rsidP="00C50996">
      <w:pPr>
        <w:widowControl w:val="0"/>
        <w:tabs>
          <w:tab w:val="left" w:pos="0"/>
        </w:tabs>
        <w:rPr>
          <w:sz w:val="22"/>
          <w:szCs w:val="22"/>
          <w:lang w:val="sk-SK"/>
        </w:rPr>
      </w:pPr>
    </w:p>
    <w:p w14:paraId="3312B352" w14:textId="77777777" w:rsidR="00D62B1B" w:rsidRPr="00C60ED1" w:rsidRDefault="00D62B1B" w:rsidP="00C50996">
      <w:pPr>
        <w:keepNext/>
        <w:widowControl w:val="0"/>
        <w:tabs>
          <w:tab w:val="left" w:pos="0"/>
        </w:tabs>
        <w:rPr>
          <w:sz w:val="22"/>
          <w:szCs w:val="22"/>
          <w:lang w:val="sk-SK"/>
        </w:rPr>
      </w:pPr>
      <w:r w:rsidRPr="00C60ED1">
        <w:rPr>
          <w:i/>
          <w:sz w:val="22"/>
          <w:szCs w:val="22"/>
          <w:lang w:val="sk-SK"/>
        </w:rPr>
        <w:t>Karcinogénny a mutagénny potenciál</w:t>
      </w:r>
    </w:p>
    <w:p w14:paraId="6F76157F" w14:textId="301B54A9" w:rsidR="00D62B1B" w:rsidRPr="00C60ED1" w:rsidRDefault="00AE7AAF" w:rsidP="00C50996">
      <w:pPr>
        <w:pStyle w:val="Zarkazkladnhotextu"/>
        <w:keepNext/>
        <w:tabs>
          <w:tab w:val="left" w:pos="0"/>
        </w:tabs>
        <w:ind w:left="0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V</w:t>
      </w:r>
      <w:r w:rsidRPr="00C60ED1">
        <w:rPr>
          <w:sz w:val="22"/>
          <w:szCs w:val="22"/>
          <w:lang w:val="sk-SK" w:eastAsia="sk-SK"/>
        </w:rPr>
        <w:t>alpro</w:t>
      </w:r>
      <w:r w:rsidR="00751FEF" w:rsidRPr="00C60ED1">
        <w:rPr>
          <w:sz w:val="22"/>
          <w:szCs w:val="22"/>
          <w:lang w:val="sk-SK" w:eastAsia="sk-SK"/>
        </w:rPr>
        <w:t>át</w:t>
      </w:r>
      <w:r w:rsidRPr="00C60ED1">
        <w:rPr>
          <w:sz w:val="22"/>
          <w:szCs w:val="22"/>
          <w:lang w:val="sk-SK" w:eastAsia="sk-SK"/>
        </w:rPr>
        <w:t xml:space="preserve"> sodný </w:t>
      </w:r>
      <w:r w:rsidR="00D62B1B" w:rsidRPr="00C60ED1">
        <w:rPr>
          <w:sz w:val="22"/>
          <w:szCs w:val="22"/>
          <w:lang w:val="sk-SK"/>
        </w:rPr>
        <w:t xml:space="preserve">pôsobí </w:t>
      </w:r>
      <w:proofErr w:type="spellStart"/>
      <w:r w:rsidR="00D62B1B" w:rsidRPr="00C60ED1">
        <w:rPr>
          <w:sz w:val="22"/>
          <w:szCs w:val="22"/>
          <w:lang w:val="sk-SK"/>
        </w:rPr>
        <w:t>teratogénne</w:t>
      </w:r>
      <w:proofErr w:type="spellEnd"/>
      <w:r w:rsidR="00D62B1B" w:rsidRPr="00C60ED1">
        <w:rPr>
          <w:sz w:val="22"/>
          <w:szCs w:val="22"/>
          <w:lang w:val="sk-SK"/>
        </w:rPr>
        <w:t xml:space="preserve"> u myší, potkanov a králikov. Štúdie mutagénneho potenciálu nepreukázali mutagénny účinok. V štúdiách karcinog</w:t>
      </w:r>
      <w:r w:rsidR="00C74CD1" w:rsidRPr="00C60ED1">
        <w:rPr>
          <w:sz w:val="22"/>
          <w:szCs w:val="22"/>
          <w:lang w:val="sk-SK"/>
        </w:rPr>
        <w:t>e</w:t>
      </w:r>
      <w:r w:rsidR="00D62B1B" w:rsidRPr="00C60ED1">
        <w:rPr>
          <w:sz w:val="22"/>
          <w:szCs w:val="22"/>
          <w:lang w:val="sk-SK"/>
        </w:rPr>
        <w:t>ni</w:t>
      </w:r>
      <w:r w:rsidR="00C74CD1" w:rsidRPr="00C60ED1">
        <w:rPr>
          <w:sz w:val="22"/>
          <w:szCs w:val="22"/>
          <w:lang w:val="sk-SK"/>
        </w:rPr>
        <w:t>ty</w:t>
      </w:r>
      <w:r w:rsidR="00D62B1B" w:rsidRPr="00C60ED1">
        <w:rPr>
          <w:sz w:val="22"/>
          <w:szCs w:val="22"/>
          <w:lang w:val="sk-SK"/>
        </w:rPr>
        <w:t xml:space="preserve"> na potkanoch a myšiach bol pri vysokých dávkach pozorovaný zvýšený výskyt </w:t>
      </w:r>
      <w:proofErr w:type="spellStart"/>
      <w:r w:rsidR="00D62B1B" w:rsidRPr="00C60ED1">
        <w:rPr>
          <w:sz w:val="22"/>
          <w:szCs w:val="22"/>
          <w:lang w:val="sk-SK"/>
        </w:rPr>
        <w:t>subkutánneho</w:t>
      </w:r>
      <w:proofErr w:type="spellEnd"/>
      <w:r w:rsidR="00D62B1B" w:rsidRPr="00C60ED1">
        <w:rPr>
          <w:sz w:val="22"/>
          <w:szCs w:val="22"/>
          <w:lang w:val="sk-SK"/>
        </w:rPr>
        <w:t xml:space="preserve"> </w:t>
      </w:r>
      <w:proofErr w:type="spellStart"/>
      <w:r w:rsidR="00D62B1B" w:rsidRPr="00C60ED1">
        <w:rPr>
          <w:sz w:val="22"/>
          <w:szCs w:val="22"/>
          <w:lang w:val="sk-SK"/>
        </w:rPr>
        <w:t>fibrosarkómu</w:t>
      </w:r>
      <w:proofErr w:type="spellEnd"/>
      <w:r w:rsidR="00D62B1B" w:rsidRPr="00C60ED1">
        <w:rPr>
          <w:sz w:val="22"/>
          <w:szCs w:val="22"/>
          <w:lang w:val="sk-SK"/>
        </w:rPr>
        <w:t xml:space="preserve"> u potkaních samcov.</w:t>
      </w:r>
    </w:p>
    <w:p w14:paraId="202398A2" w14:textId="77777777" w:rsidR="00D62B1B" w:rsidRPr="00C60ED1" w:rsidRDefault="00D62B1B" w:rsidP="00C50996">
      <w:pPr>
        <w:tabs>
          <w:tab w:val="left" w:pos="0"/>
        </w:tabs>
        <w:rPr>
          <w:sz w:val="22"/>
          <w:szCs w:val="22"/>
          <w:lang w:val="sk-SK"/>
        </w:rPr>
      </w:pPr>
    </w:p>
    <w:p w14:paraId="03B41440" w14:textId="77777777" w:rsidR="00E72048" w:rsidRPr="00C60ED1" w:rsidRDefault="00E72048" w:rsidP="00C50996">
      <w:pPr>
        <w:tabs>
          <w:tab w:val="left" w:pos="0"/>
        </w:tabs>
        <w:rPr>
          <w:sz w:val="22"/>
          <w:szCs w:val="22"/>
          <w:lang w:val="sk-SK"/>
        </w:rPr>
      </w:pPr>
    </w:p>
    <w:p w14:paraId="10A33D1F" w14:textId="77777777" w:rsidR="00D62B1B" w:rsidRPr="00C60ED1" w:rsidRDefault="00D62B1B" w:rsidP="00C50996">
      <w:pPr>
        <w:keepNext/>
        <w:ind w:left="567" w:hanging="567"/>
        <w:rPr>
          <w:b/>
          <w:sz w:val="22"/>
          <w:szCs w:val="22"/>
          <w:lang w:val="sk-SK"/>
        </w:rPr>
      </w:pPr>
      <w:r w:rsidRPr="00C60ED1">
        <w:rPr>
          <w:b/>
          <w:sz w:val="22"/>
          <w:szCs w:val="22"/>
          <w:lang w:val="sk-SK"/>
        </w:rPr>
        <w:t>6.</w:t>
      </w:r>
      <w:r w:rsidRPr="00C60ED1">
        <w:rPr>
          <w:b/>
          <w:sz w:val="22"/>
          <w:szCs w:val="22"/>
          <w:lang w:val="sk-SK"/>
        </w:rPr>
        <w:tab/>
        <w:t>FARMACEUTICKÉ INFORMÁCIE</w:t>
      </w:r>
    </w:p>
    <w:p w14:paraId="616C7F90" w14:textId="77777777" w:rsidR="00D62B1B" w:rsidRPr="00C60ED1" w:rsidRDefault="00D62B1B" w:rsidP="00C50996">
      <w:pPr>
        <w:keepNext/>
        <w:tabs>
          <w:tab w:val="left" w:pos="0"/>
        </w:tabs>
        <w:rPr>
          <w:sz w:val="22"/>
          <w:szCs w:val="22"/>
          <w:lang w:val="sk-SK"/>
        </w:rPr>
      </w:pPr>
    </w:p>
    <w:p w14:paraId="1A66A516" w14:textId="77777777" w:rsidR="00D62B1B" w:rsidRPr="00C60ED1" w:rsidRDefault="00D62B1B" w:rsidP="00C50996">
      <w:pPr>
        <w:pStyle w:val="Hlavika"/>
        <w:keepNext/>
        <w:tabs>
          <w:tab w:val="clear" w:pos="4536"/>
          <w:tab w:val="clear" w:pos="9072"/>
          <w:tab w:val="left" w:pos="567"/>
        </w:tabs>
        <w:rPr>
          <w:b/>
          <w:sz w:val="22"/>
          <w:szCs w:val="22"/>
          <w:lang w:val="sk-SK"/>
        </w:rPr>
      </w:pPr>
      <w:r w:rsidRPr="00C60ED1">
        <w:rPr>
          <w:b/>
          <w:sz w:val="22"/>
          <w:szCs w:val="22"/>
          <w:lang w:val="sk-SK"/>
        </w:rPr>
        <w:t>6.1</w:t>
      </w:r>
      <w:r w:rsidRPr="00C60ED1">
        <w:rPr>
          <w:b/>
          <w:sz w:val="22"/>
          <w:szCs w:val="22"/>
          <w:lang w:val="sk-SK"/>
        </w:rPr>
        <w:tab/>
        <w:t>Zoznam pomocných látok</w:t>
      </w:r>
    </w:p>
    <w:p w14:paraId="6CEC607E" w14:textId="77777777" w:rsidR="00E24B24" w:rsidRPr="00C60ED1" w:rsidRDefault="00E24B24" w:rsidP="00C50996">
      <w:pPr>
        <w:pStyle w:val="Hlavika"/>
        <w:keepNext/>
        <w:tabs>
          <w:tab w:val="clear" w:pos="4536"/>
          <w:tab w:val="clear" w:pos="9072"/>
          <w:tab w:val="left" w:pos="567"/>
        </w:tabs>
        <w:rPr>
          <w:b/>
          <w:sz w:val="22"/>
          <w:szCs w:val="22"/>
          <w:lang w:val="sk-SK"/>
        </w:rPr>
      </w:pPr>
    </w:p>
    <w:p w14:paraId="7B6427FE" w14:textId="08C947F0" w:rsidR="00683EE6" w:rsidRDefault="00683EE6" w:rsidP="00C50996">
      <w:pPr>
        <w:keepNext/>
        <w:ind w:firstLine="1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</w:t>
      </w:r>
      <w:r w:rsidR="00AE7AAF" w:rsidRPr="00C60ED1">
        <w:rPr>
          <w:sz w:val="22"/>
          <w:szCs w:val="22"/>
          <w:lang w:val="sk-SK"/>
        </w:rPr>
        <w:t>alcium</w:t>
      </w:r>
      <w:r w:rsidR="00C60ED1">
        <w:rPr>
          <w:sz w:val="22"/>
          <w:szCs w:val="22"/>
          <w:lang w:val="sk-SK"/>
        </w:rPr>
        <w:noBreakHyphen/>
      </w:r>
      <w:proofErr w:type="spellStart"/>
      <w:r w:rsidR="00AE7AAF" w:rsidRPr="00C60ED1">
        <w:rPr>
          <w:sz w:val="22"/>
          <w:szCs w:val="22"/>
          <w:lang w:val="sk-SK"/>
        </w:rPr>
        <w:t>behenát</w:t>
      </w:r>
      <w:proofErr w:type="spellEnd"/>
    </w:p>
    <w:p w14:paraId="1E324600" w14:textId="2CD96841" w:rsidR="00683EE6" w:rsidRDefault="00AE7AAF" w:rsidP="00C50996">
      <w:pPr>
        <w:keepNext/>
        <w:ind w:firstLine="1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mikrokryštalická celulóza</w:t>
      </w:r>
    </w:p>
    <w:p w14:paraId="5DF7D6B5" w14:textId="2B814395" w:rsidR="00683EE6" w:rsidRDefault="00AE7AAF" w:rsidP="00C50996">
      <w:pPr>
        <w:keepNext/>
        <w:ind w:firstLine="1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hydrolyzovaná želatína</w:t>
      </w:r>
    </w:p>
    <w:p w14:paraId="717F2EBA" w14:textId="190A66ED" w:rsidR="00683EE6" w:rsidRDefault="00AE7AAF" w:rsidP="00C50996">
      <w:pPr>
        <w:keepNext/>
        <w:ind w:firstLine="1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makrogol 6000</w:t>
      </w:r>
    </w:p>
    <w:p w14:paraId="7D1619D7" w14:textId="3F1B43A0" w:rsidR="00683EE6" w:rsidRDefault="00AE7AAF" w:rsidP="00C50996">
      <w:pPr>
        <w:keepNext/>
        <w:ind w:firstLine="1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disperzia </w:t>
      </w:r>
      <w:proofErr w:type="spellStart"/>
      <w:r w:rsidR="00C60ED1">
        <w:rPr>
          <w:sz w:val="22"/>
          <w:szCs w:val="22"/>
          <w:lang w:val="sk-SK"/>
        </w:rPr>
        <w:t>metakrylátového</w:t>
      </w:r>
      <w:proofErr w:type="spellEnd"/>
      <w:r w:rsidR="00C60ED1">
        <w:rPr>
          <w:sz w:val="22"/>
          <w:szCs w:val="22"/>
          <w:lang w:val="sk-SK"/>
        </w:rPr>
        <w:t xml:space="preserve"> kopolyméru L 30 </w:t>
      </w:r>
      <w:r w:rsidRPr="00C60ED1">
        <w:rPr>
          <w:sz w:val="22"/>
          <w:szCs w:val="22"/>
          <w:lang w:val="sk-SK"/>
        </w:rPr>
        <w:t>%</w:t>
      </w:r>
    </w:p>
    <w:p w14:paraId="7F33C5CF" w14:textId="13FE2D71" w:rsidR="00683EE6" w:rsidRDefault="00AE7AAF" w:rsidP="00C50996">
      <w:pPr>
        <w:keepNext/>
        <w:ind w:firstLine="1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oxid kremičitý, koloidný bezvodý</w:t>
      </w:r>
    </w:p>
    <w:p w14:paraId="73F0DB53" w14:textId="1921F323" w:rsidR="00683EE6" w:rsidRDefault="00AE7AAF" w:rsidP="00C50996">
      <w:pPr>
        <w:keepNext/>
        <w:ind w:firstLine="1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mastenec</w:t>
      </w:r>
    </w:p>
    <w:p w14:paraId="743B6B22" w14:textId="46794A33" w:rsidR="00683EE6" w:rsidRDefault="00AE7AAF" w:rsidP="00C50996">
      <w:pPr>
        <w:keepNext/>
        <w:ind w:firstLine="1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oxid titaničitý (</w:t>
      </w:r>
      <w:proofErr w:type="spellStart"/>
      <w:r w:rsidRPr="00C60ED1">
        <w:rPr>
          <w:sz w:val="22"/>
          <w:szCs w:val="22"/>
          <w:lang w:val="sk-SK"/>
        </w:rPr>
        <w:t>E171</w:t>
      </w:r>
      <w:proofErr w:type="spellEnd"/>
      <w:r w:rsidRPr="00C60ED1">
        <w:rPr>
          <w:sz w:val="22"/>
          <w:szCs w:val="22"/>
          <w:lang w:val="sk-SK"/>
        </w:rPr>
        <w:t>)</w:t>
      </w:r>
    </w:p>
    <w:p w14:paraId="55415962" w14:textId="3620611E" w:rsidR="00683EE6" w:rsidRDefault="00AE7AAF" w:rsidP="00C50996">
      <w:pPr>
        <w:keepNext/>
        <w:ind w:firstLine="1"/>
        <w:rPr>
          <w:sz w:val="22"/>
          <w:szCs w:val="22"/>
          <w:lang w:val="sk-SK"/>
        </w:rPr>
      </w:pPr>
      <w:proofErr w:type="spellStart"/>
      <w:r w:rsidRPr="00C60ED1">
        <w:rPr>
          <w:sz w:val="22"/>
          <w:szCs w:val="22"/>
          <w:lang w:val="sk-SK"/>
        </w:rPr>
        <w:t>triacetín</w:t>
      </w:r>
      <w:proofErr w:type="spellEnd"/>
    </w:p>
    <w:p w14:paraId="3E78F6C1" w14:textId="133A8688" w:rsidR="00683EE6" w:rsidRDefault="00AE7AAF" w:rsidP="00C50996">
      <w:pPr>
        <w:keepNext/>
        <w:ind w:firstLine="1"/>
        <w:rPr>
          <w:sz w:val="22"/>
          <w:szCs w:val="22"/>
          <w:lang w:val="sk-SK"/>
        </w:rPr>
      </w:pPr>
      <w:proofErr w:type="spellStart"/>
      <w:r w:rsidRPr="00C60ED1">
        <w:rPr>
          <w:sz w:val="22"/>
          <w:szCs w:val="22"/>
          <w:lang w:val="sk-SK"/>
        </w:rPr>
        <w:t>laurylsíran</w:t>
      </w:r>
      <w:proofErr w:type="spellEnd"/>
      <w:r w:rsidRPr="00C60ED1">
        <w:rPr>
          <w:sz w:val="22"/>
          <w:szCs w:val="22"/>
          <w:lang w:val="sk-SK"/>
        </w:rPr>
        <w:t xml:space="preserve"> sodný</w:t>
      </w:r>
    </w:p>
    <w:p w14:paraId="6ED7F470" w14:textId="419F30D7" w:rsidR="00D62B1B" w:rsidRPr="00C60ED1" w:rsidRDefault="00AE7AAF" w:rsidP="00C50996">
      <w:pPr>
        <w:keepNext/>
        <w:ind w:firstLine="1"/>
        <w:rPr>
          <w:sz w:val="22"/>
          <w:szCs w:val="22"/>
          <w:lang w:val="sk-SK"/>
        </w:rPr>
      </w:pPr>
      <w:proofErr w:type="spellStart"/>
      <w:r w:rsidRPr="00C60ED1">
        <w:rPr>
          <w:sz w:val="22"/>
          <w:szCs w:val="22"/>
          <w:lang w:val="sk-SK"/>
        </w:rPr>
        <w:t>polysorbát</w:t>
      </w:r>
      <w:proofErr w:type="spellEnd"/>
      <w:r w:rsidRPr="00C60ED1">
        <w:rPr>
          <w:sz w:val="22"/>
          <w:szCs w:val="22"/>
          <w:lang w:val="sk-SK"/>
        </w:rPr>
        <w:t xml:space="preserve"> 80.</w:t>
      </w:r>
    </w:p>
    <w:p w14:paraId="6DC95669" w14:textId="77777777" w:rsidR="00D62B1B" w:rsidRPr="00C60ED1" w:rsidRDefault="00D62B1B" w:rsidP="00C50996">
      <w:pPr>
        <w:tabs>
          <w:tab w:val="left" w:pos="426"/>
        </w:tabs>
        <w:rPr>
          <w:sz w:val="22"/>
          <w:szCs w:val="22"/>
          <w:lang w:val="sk-SK"/>
        </w:rPr>
      </w:pPr>
    </w:p>
    <w:p w14:paraId="6004DF5F" w14:textId="77777777" w:rsidR="00D62B1B" w:rsidRPr="00C60ED1" w:rsidRDefault="00D62B1B" w:rsidP="00C50996">
      <w:pPr>
        <w:tabs>
          <w:tab w:val="left" w:pos="567"/>
        </w:tabs>
        <w:rPr>
          <w:b/>
          <w:sz w:val="22"/>
          <w:szCs w:val="22"/>
          <w:lang w:val="sk-SK"/>
        </w:rPr>
      </w:pPr>
      <w:r w:rsidRPr="00C60ED1">
        <w:rPr>
          <w:b/>
          <w:sz w:val="22"/>
          <w:szCs w:val="22"/>
          <w:lang w:val="sk-SK"/>
        </w:rPr>
        <w:t>6.2</w:t>
      </w:r>
      <w:r w:rsidRPr="00C60ED1">
        <w:rPr>
          <w:b/>
          <w:sz w:val="22"/>
          <w:szCs w:val="22"/>
          <w:lang w:val="sk-SK"/>
        </w:rPr>
        <w:tab/>
        <w:t>Inkompatibility</w:t>
      </w:r>
    </w:p>
    <w:p w14:paraId="0DE167D9" w14:textId="77777777" w:rsidR="00E24B24" w:rsidRPr="00C60ED1" w:rsidRDefault="00E24B24" w:rsidP="00C50996">
      <w:pPr>
        <w:tabs>
          <w:tab w:val="left" w:pos="426"/>
        </w:tabs>
        <w:rPr>
          <w:sz w:val="22"/>
          <w:szCs w:val="22"/>
          <w:lang w:val="sk-SK"/>
        </w:rPr>
      </w:pPr>
    </w:p>
    <w:p w14:paraId="58F5C8FC" w14:textId="2855C936" w:rsidR="00D62B1B" w:rsidRPr="00C60ED1" w:rsidRDefault="00E24B24" w:rsidP="00C50996">
      <w:pPr>
        <w:tabs>
          <w:tab w:val="left" w:pos="426"/>
        </w:tabs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Neaplikovateľné. </w:t>
      </w:r>
    </w:p>
    <w:p w14:paraId="6DE055DE" w14:textId="77777777" w:rsidR="00C50996" w:rsidRPr="002B11B8" w:rsidRDefault="00C50996" w:rsidP="00C50996">
      <w:pPr>
        <w:tabs>
          <w:tab w:val="left" w:pos="426"/>
        </w:tabs>
        <w:rPr>
          <w:sz w:val="22"/>
          <w:szCs w:val="22"/>
          <w:lang w:val="sk-SK"/>
        </w:rPr>
      </w:pPr>
    </w:p>
    <w:p w14:paraId="682C483B" w14:textId="77777777" w:rsidR="00D62B1B" w:rsidRPr="00C60ED1" w:rsidRDefault="00D62B1B" w:rsidP="00C50996">
      <w:pPr>
        <w:keepNext/>
        <w:tabs>
          <w:tab w:val="left" w:pos="0"/>
          <w:tab w:val="left" w:pos="567"/>
        </w:tabs>
        <w:rPr>
          <w:b/>
          <w:sz w:val="22"/>
          <w:szCs w:val="22"/>
          <w:lang w:val="sk-SK"/>
        </w:rPr>
      </w:pPr>
      <w:r w:rsidRPr="00C60ED1">
        <w:rPr>
          <w:b/>
          <w:sz w:val="22"/>
          <w:szCs w:val="22"/>
          <w:lang w:val="sk-SK"/>
        </w:rPr>
        <w:t>6.3</w:t>
      </w:r>
      <w:r w:rsidRPr="00C60ED1">
        <w:rPr>
          <w:b/>
          <w:sz w:val="22"/>
          <w:szCs w:val="22"/>
          <w:lang w:val="sk-SK"/>
        </w:rPr>
        <w:tab/>
        <w:t>Čas použiteľnosti</w:t>
      </w:r>
    </w:p>
    <w:p w14:paraId="131D1446" w14:textId="77777777" w:rsidR="00E24B24" w:rsidRPr="00C60ED1" w:rsidRDefault="00E24B24" w:rsidP="00C50996">
      <w:pPr>
        <w:keepNext/>
        <w:tabs>
          <w:tab w:val="left" w:pos="0"/>
          <w:tab w:val="left" w:pos="426"/>
        </w:tabs>
        <w:rPr>
          <w:sz w:val="22"/>
          <w:szCs w:val="22"/>
          <w:lang w:val="sk-SK"/>
        </w:rPr>
      </w:pPr>
    </w:p>
    <w:p w14:paraId="05DBF3BA" w14:textId="77777777" w:rsidR="00D62B1B" w:rsidRPr="00C60ED1" w:rsidRDefault="00BB151A" w:rsidP="00C50996">
      <w:pPr>
        <w:tabs>
          <w:tab w:val="left" w:pos="426"/>
        </w:tabs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60 mesiacov</w:t>
      </w:r>
    </w:p>
    <w:p w14:paraId="472CD63D" w14:textId="77777777" w:rsidR="00D62B1B" w:rsidRPr="00C60ED1" w:rsidRDefault="00D62B1B" w:rsidP="00C50996">
      <w:pPr>
        <w:tabs>
          <w:tab w:val="left" w:pos="426"/>
        </w:tabs>
        <w:rPr>
          <w:b/>
          <w:sz w:val="22"/>
          <w:szCs w:val="22"/>
          <w:lang w:val="sk-SK"/>
        </w:rPr>
      </w:pPr>
    </w:p>
    <w:p w14:paraId="1E23C18C" w14:textId="77777777" w:rsidR="00D62B1B" w:rsidRPr="00C60ED1" w:rsidRDefault="00D62B1B" w:rsidP="002B11B8">
      <w:pPr>
        <w:keepNext/>
        <w:tabs>
          <w:tab w:val="left" w:pos="567"/>
        </w:tabs>
        <w:rPr>
          <w:sz w:val="22"/>
          <w:szCs w:val="22"/>
          <w:lang w:val="sk-SK"/>
        </w:rPr>
      </w:pPr>
      <w:r w:rsidRPr="00C60ED1">
        <w:rPr>
          <w:b/>
          <w:sz w:val="22"/>
          <w:szCs w:val="22"/>
          <w:lang w:val="sk-SK"/>
        </w:rPr>
        <w:lastRenderedPageBreak/>
        <w:t>6.4</w:t>
      </w:r>
      <w:r w:rsidRPr="00C60ED1">
        <w:rPr>
          <w:b/>
          <w:sz w:val="22"/>
          <w:szCs w:val="22"/>
          <w:lang w:val="sk-SK"/>
        </w:rPr>
        <w:tab/>
        <w:t>Špeciálne upozornenia na uchovávanie</w:t>
      </w:r>
    </w:p>
    <w:p w14:paraId="64D088A7" w14:textId="77777777" w:rsidR="00751FEF" w:rsidRPr="00C60ED1" w:rsidRDefault="00751FEF" w:rsidP="002B11B8">
      <w:pPr>
        <w:keepNext/>
        <w:rPr>
          <w:noProof/>
          <w:sz w:val="22"/>
          <w:szCs w:val="22"/>
          <w:lang w:val="sk-SK"/>
        </w:rPr>
      </w:pPr>
    </w:p>
    <w:p w14:paraId="77EE6552" w14:textId="77777777" w:rsidR="00AE7AAF" w:rsidRPr="00C60ED1" w:rsidRDefault="00AE7AAF" w:rsidP="002B11B8">
      <w:pPr>
        <w:keepNext/>
        <w:rPr>
          <w:noProof/>
          <w:sz w:val="22"/>
          <w:szCs w:val="22"/>
          <w:lang w:val="sk-SK"/>
        </w:rPr>
      </w:pPr>
      <w:r w:rsidRPr="00C60ED1">
        <w:rPr>
          <w:noProof/>
          <w:sz w:val="22"/>
          <w:szCs w:val="22"/>
          <w:lang w:val="sk-SK"/>
        </w:rPr>
        <w:t xml:space="preserve">Uchovávajte v pôvodnom obale. </w:t>
      </w:r>
    </w:p>
    <w:p w14:paraId="0FB1EEA2" w14:textId="77777777" w:rsidR="00AE7AAF" w:rsidRPr="00C60ED1" w:rsidRDefault="00AE7AAF" w:rsidP="002B11B8">
      <w:pPr>
        <w:keepNext/>
        <w:rPr>
          <w:noProof/>
          <w:sz w:val="22"/>
          <w:szCs w:val="22"/>
          <w:lang w:val="sk-SK"/>
        </w:rPr>
      </w:pPr>
      <w:r w:rsidRPr="00C60ED1">
        <w:rPr>
          <w:noProof/>
          <w:sz w:val="22"/>
          <w:szCs w:val="22"/>
          <w:lang w:val="sk-SK"/>
        </w:rPr>
        <w:t xml:space="preserve">Obal udržiavajte dôkladne uzatvorený. </w:t>
      </w:r>
    </w:p>
    <w:p w14:paraId="0609C4C9" w14:textId="77777777" w:rsidR="00D62B1B" w:rsidRPr="00C60ED1" w:rsidRDefault="00D62B1B" w:rsidP="00C50996">
      <w:pPr>
        <w:tabs>
          <w:tab w:val="left" w:pos="-142"/>
        </w:tabs>
        <w:rPr>
          <w:sz w:val="22"/>
          <w:szCs w:val="22"/>
          <w:lang w:val="sk-SK"/>
        </w:rPr>
      </w:pPr>
    </w:p>
    <w:p w14:paraId="3FCF169B" w14:textId="1B1429D3" w:rsidR="00D62B1B" w:rsidRPr="00C60ED1" w:rsidRDefault="00D62B1B" w:rsidP="00C50996">
      <w:pPr>
        <w:keepNext/>
        <w:numPr>
          <w:ilvl w:val="1"/>
          <w:numId w:val="4"/>
        </w:numPr>
        <w:tabs>
          <w:tab w:val="clear" w:pos="420"/>
          <w:tab w:val="left" w:pos="567"/>
        </w:tabs>
        <w:rPr>
          <w:b/>
          <w:sz w:val="22"/>
          <w:szCs w:val="22"/>
          <w:lang w:val="sk-SK"/>
        </w:rPr>
      </w:pPr>
      <w:r w:rsidRPr="00C60ED1">
        <w:rPr>
          <w:b/>
          <w:sz w:val="22"/>
          <w:szCs w:val="22"/>
          <w:lang w:val="sk-SK"/>
        </w:rPr>
        <w:t>Druh obalu a </w:t>
      </w:r>
      <w:r w:rsidR="00E24B24" w:rsidRPr="00C60ED1">
        <w:rPr>
          <w:b/>
          <w:sz w:val="22"/>
          <w:szCs w:val="22"/>
          <w:lang w:val="sk-SK"/>
        </w:rPr>
        <w:t>obsah</w:t>
      </w:r>
      <w:r w:rsidRPr="00C60ED1">
        <w:rPr>
          <w:b/>
          <w:sz w:val="22"/>
          <w:szCs w:val="22"/>
          <w:lang w:val="sk-SK"/>
        </w:rPr>
        <w:t xml:space="preserve"> balenia</w:t>
      </w:r>
    </w:p>
    <w:p w14:paraId="5CEB5E95" w14:textId="77777777" w:rsidR="00E24B24" w:rsidRPr="00C60ED1" w:rsidRDefault="00E24B24" w:rsidP="00C50996">
      <w:pPr>
        <w:keepNext/>
        <w:rPr>
          <w:sz w:val="22"/>
          <w:szCs w:val="22"/>
          <w:lang w:val="sk-SK"/>
        </w:rPr>
      </w:pPr>
    </w:p>
    <w:p w14:paraId="772A7CB9" w14:textId="77777777" w:rsidR="00C60ED1" w:rsidRPr="00C60ED1" w:rsidRDefault="00E87C2E">
      <w:pPr>
        <w:rPr>
          <w:sz w:val="22"/>
          <w:szCs w:val="22"/>
          <w:u w:val="single"/>
          <w:lang w:val="sk-SK"/>
        </w:rPr>
      </w:pPr>
      <w:r w:rsidRPr="00C60ED1">
        <w:rPr>
          <w:sz w:val="22"/>
          <w:szCs w:val="22"/>
          <w:u w:val="single"/>
          <w:lang w:val="sk-SK"/>
        </w:rPr>
        <w:t xml:space="preserve">Druh obalu: </w:t>
      </w:r>
    </w:p>
    <w:p w14:paraId="06A30C02" w14:textId="33FFBE24" w:rsidR="00E87C2E" w:rsidRDefault="00E87C2E">
      <w:pPr>
        <w:rPr>
          <w:sz w:val="22"/>
          <w:szCs w:val="22"/>
          <w:lang w:val="sk-SK"/>
        </w:rPr>
      </w:pPr>
      <w:proofErr w:type="spellStart"/>
      <w:r w:rsidRPr="00C60ED1">
        <w:rPr>
          <w:sz w:val="22"/>
          <w:szCs w:val="22"/>
          <w:lang w:val="sk-SK"/>
        </w:rPr>
        <w:t>50x150</w:t>
      </w:r>
      <w:proofErr w:type="spellEnd"/>
      <w:r w:rsidRPr="00C60ED1">
        <w:rPr>
          <w:sz w:val="22"/>
          <w:szCs w:val="22"/>
          <w:lang w:val="sk-SK"/>
        </w:rPr>
        <w:t xml:space="preserve"> mg a </w:t>
      </w:r>
      <w:proofErr w:type="spellStart"/>
      <w:r w:rsidRPr="00C60ED1">
        <w:rPr>
          <w:sz w:val="22"/>
          <w:szCs w:val="22"/>
          <w:lang w:val="sk-SK"/>
        </w:rPr>
        <w:t>50x300</w:t>
      </w:r>
      <w:proofErr w:type="spellEnd"/>
      <w:r w:rsidRPr="00C60ED1">
        <w:rPr>
          <w:sz w:val="22"/>
          <w:szCs w:val="22"/>
          <w:lang w:val="sk-SK"/>
        </w:rPr>
        <w:t xml:space="preserve"> mg: liekovka z bezfarebného skla, uzavretá plastovým uzáverom z polyetylénu bielej farby, papierová škatuľka, písomná informácia pre používateľ</w:t>
      </w:r>
      <w:r w:rsidR="00AE7AAF" w:rsidRPr="00C60ED1">
        <w:rPr>
          <w:sz w:val="22"/>
          <w:szCs w:val="22"/>
          <w:lang w:val="sk-SK"/>
        </w:rPr>
        <w:t>a</w:t>
      </w:r>
      <w:r w:rsidRPr="00C60ED1">
        <w:rPr>
          <w:sz w:val="22"/>
          <w:szCs w:val="22"/>
          <w:lang w:val="sk-SK"/>
        </w:rPr>
        <w:t>.</w:t>
      </w:r>
    </w:p>
    <w:p w14:paraId="752E4B82" w14:textId="77777777" w:rsidR="00C60ED1" w:rsidRPr="00C60ED1" w:rsidRDefault="00C60ED1">
      <w:pPr>
        <w:rPr>
          <w:sz w:val="22"/>
          <w:szCs w:val="22"/>
          <w:lang w:val="sk-SK"/>
        </w:rPr>
      </w:pPr>
    </w:p>
    <w:p w14:paraId="38105815" w14:textId="4B32C5EE" w:rsidR="00E87C2E" w:rsidRDefault="00E87C2E">
      <w:pPr>
        <w:rPr>
          <w:sz w:val="22"/>
          <w:szCs w:val="22"/>
          <w:lang w:val="sk-SK"/>
        </w:rPr>
      </w:pPr>
      <w:proofErr w:type="spellStart"/>
      <w:r w:rsidRPr="00C60ED1">
        <w:rPr>
          <w:sz w:val="22"/>
          <w:szCs w:val="22"/>
          <w:lang w:val="sk-SK"/>
        </w:rPr>
        <w:t>100x150</w:t>
      </w:r>
      <w:proofErr w:type="spellEnd"/>
      <w:r w:rsidRPr="00C60ED1">
        <w:rPr>
          <w:sz w:val="22"/>
          <w:szCs w:val="22"/>
          <w:lang w:val="sk-SK"/>
        </w:rPr>
        <w:t xml:space="preserve"> mg, </w:t>
      </w:r>
      <w:proofErr w:type="spellStart"/>
      <w:r w:rsidRPr="00C60ED1">
        <w:rPr>
          <w:sz w:val="22"/>
          <w:szCs w:val="22"/>
          <w:lang w:val="sk-SK"/>
        </w:rPr>
        <w:t>100x300</w:t>
      </w:r>
      <w:proofErr w:type="spellEnd"/>
      <w:r w:rsidRPr="00C60ED1">
        <w:rPr>
          <w:sz w:val="22"/>
          <w:szCs w:val="22"/>
          <w:lang w:val="sk-SK"/>
        </w:rPr>
        <w:t xml:space="preserve"> mg a </w:t>
      </w:r>
      <w:proofErr w:type="spellStart"/>
      <w:r w:rsidRPr="00C60ED1">
        <w:rPr>
          <w:sz w:val="22"/>
          <w:szCs w:val="22"/>
          <w:lang w:val="sk-SK"/>
        </w:rPr>
        <w:t>50x600</w:t>
      </w:r>
      <w:proofErr w:type="spellEnd"/>
      <w:r w:rsidRPr="00C60ED1">
        <w:rPr>
          <w:sz w:val="22"/>
          <w:szCs w:val="22"/>
          <w:lang w:val="sk-SK"/>
        </w:rPr>
        <w:t xml:space="preserve"> mg: plastový obal z polypropylénu bielej farby, uzavretý plastovým uzáverom z polyetylénu bielej farby, papierová škatuľka, písomná informácia pre používateľ</w:t>
      </w:r>
      <w:r w:rsidR="00AE7AAF" w:rsidRPr="00C60ED1">
        <w:rPr>
          <w:sz w:val="22"/>
          <w:szCs w:val="22"/>
          <w:lang w:val="sk-SK"/>
        </w:rPr>
        <w:t>a</w:t>
      </w:r>
      <w:r w:rsidRPr="00C60ED1">
        <w:rPr>
          <w:sz w:val="22"/>
          <w:szCs w:val="22"/>
          <w:lang w:val="sk-SK"/>
        </w:rPr>
        <w:t xml:space="preserve"> </w:t>
      </w:r>
    </w:p>
    <w:p w14:paraId="0C13B1AA" w14:textId="77777777" w:rsidR="00C60ED1" w:rsidRPr="00C60ED1" w:rsidRDefault="00C60ED1">
      <w:pPr>
        <w:rPr>
          <w:sz w:val="22"/>
          <w:szCs w:val="22"/>
          <w:lang w:val="sk-SK"/>
        </w:rPr>
      </w:pPr>
    </w:p>
    <w:p w14:paraId="660FEFAC" w14:textId="48BBFC33" w:rsidR="00E87C2E" w:rsidRPr="00C60ED1" w:rsidRDefault="00A266E5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100x150</w:t>
      </w:r>
      <w:proofErr w:type="spellEnd"/>
      <w:r>
        <w:rPr>
          <w:sz w:val="22"/>
          <w:szCs w:val="22"/>
          <w:lang w:val="sk-SK"/>
        </w:rPr>
        <w:t xml:space="preserve"> mg, </w:t>
      </w:r>
      <w:proofErr w:type="spellStart"/>
      <w:r>
        <w:rPr>
          <w:sz w:val="22"/>
          <w:szCs w:val="22"/>
          <w:lang w:val="sk-SK"/>
        </w:rPr>
        <w:t>100x300</w:t>
      </w:r>
      <w:proofErr w:type="spellEnd"/>
      <w:r>
        <w:rPr>
          <w:sz w:val="22"/>
          <w:szCs w:val="22"/>
          <w:lang w:val="sk-SK"/>
        </w:rPr>
        <w:t xml:space="preserve"> mg a </w:t>
      </w:r>
      <w:proofErr w:type="spellStart"/>
      <w:r>
        <w:rPr>
          <w:sz w:val="22"/>
          <w:szCs w:val="22"/>
          <w:lang w:val="sk-SK"/>
        </w:rPr>
        <w:t>10</w:t>
      </w:r>
      <w:bookmarkStart w:id="0" w:name="_GoBack"/>
      <w:bookmarkEnd w:id="0"/>
      <w:r w:rsidR="00E87C2E" w:rsidRPr="00C60ED1">
        <w:rPr>
          <w:sz w:val="22"/>
          <w:szCs w:val="22"/>
          <w:lang w:val="sk-SK"/>
        </w:rPr>
        <w:t>0x600</w:t>
      </w:r>
      <w:proofErr w:type="spellEnd"/>
      <w:r w:rsidR="00E87C2E" w:rsidRPr="00C60ED1">
        <w:rPr>
          <w:sz w:val="22"/>
          <w:szCs w:val="22"/>
          <w:lang w:val="sk-SK"/>
        </w:rPr>
        <w:t xml:space="preserve"> mg: plastový obal z polyetylénu bielej farby, uzavretý plastovým uzáverom z polypropylénu bielej farby, papierová škatuľka, písomná informácia pre používateľ</w:t>
      </w:r>
      <w:r w:rsidR="00AE7AAF" w:rsidRPr="00C60ED1">
        <w:rPr>
          <w:sz w:val="22"/>
          <w:szCs w:val="22"/>
          <w:lang w:val="sk-SK"/>
        </w:rPr>
        <w:t>a</w:t>
      </w:r>
      <w:r w:rsidR="00E87C2E" w:rsidRPr="00C60ED1">
        <w:rPr>
          <w:sz w:val="22"/>
          <w:szCs w:val="22"/>
          <w:lang w:val="sk-SK"/>
        </w:rPr>
        <w:t xml:space="preserve"> </w:t>
      </w:r>
    </w:p>
    <w:p w14:paraId="0B27BF47" w14:textId="77777777" w:rsidR="00E24B24" w:rsidRPr="00C60ED1" w:rsidRDefault="00E24B24">
      <w:pPr>
        <w:rPr>
          <w:sz w:val="22"/>
          <w:szCs w:val="22"/>
          <w:lang w:val="sk-SK"/>
        </w:rPr>
      </w:pPr>
    </w:p>
    <w:p w14:paraId="0C6A95B8" w14:textId="77777777" w:rsidR="006A76F2" w:rsidRPr="00C60ED1" w:rsidRDefault="006A76F2">
      <w:pPr>
        <w:rPr>
          <w:sz w:val="22"/>
          <w:szCs w:val="22"/>
          <w:u w:val="single"/>
          <w:lang w:val="sk-SK"/>
        </w:rPr>
      </w:pPr>
      <w:r w:rsidRPr="00C60ED1">
        <w:rPr>
          <w:sz w:val="22"/>
          <w:szCs w:val="22"/>
          <w:u w:val="single"/>
          <w:lang w:val="sk-SK"/>
        </w:rPr>
        <w:t xml:space="preserve">Veľkosť balenia: </w:t>
      </w:r>
    </w:p>
    <w:p w14:paraId="6FFE6D76" w14:textId="77777777" w:rsidR="00D62B1B" w:rsidRPr="00C60ED1" w:rsidRDefault="00D62B1B">
      <w:pPr>
        <w:rPr>
          <w:sz w:val="22"/>
          <w:szCs w:val="22"/>
          <w:lang w:val="sk-SK"/>
        </w:rPr>
      </w:pPr>
      <w:proofErr w:type="spellStart"/>
      <w:r w:rsidRPr="00C60ED1">
        <w:rPr>
          <w:sz w:val="22"/>
          <w:szCs w:val="22"/>
          <w:lang w:val="sk-SK"/>
        </w:rPr>
        <w:t>Orfiril</w:t>
      </w:r>
      <w:proofErr w:type="spellEnd"/>
      <w:r w:rsidRPr="00C60ED1">
        <w:rPr>
          <w:sz w:val="22"/>
          <w:szCs w:val="22"/>
          <w:lang w:val="sk-SK"/>
        </w:rPr>
        <w:t xml:space="preserve"> 150: Balenie obsahujúce </w:t>
      </w:r>
      <w:smartTag w:uri="urn:schemas-microsoft-com:office:smarttags" w:element="metricconverter">
        <w:smartTagPr>
          <w:attr w:name="ProductID" w:val="50 a"/>
        </w:smartTagPr>
        <w:r w:rsidRPr="00C60ED1">
          <w:rPr>
            <w:sz w:val="22"/>
            <w:szCs w:val="22"/>
            <w:lang w:val="sk-SK"/>
          </w:rPr>
          <w:t>50 a</w:t>
        </w:r>
      </w:smartTag>
      <w:r w:rsidR="006A76F2" w:rsidRPr="00C60ED1">
        <w:rPr>
          <w:sz w:val="22"/>
          <w:szCs w:val="22"/>
          <w:lang w:val="sk-SK"/>
        </w:rPr>
        <w:t xml:space="preserve"> 100 </w:t>
      </w:r>
      <w:proofErr w:type="spellStart"/>
      <w:r w:rsidR="00354EC9" w:rsidRPr="00C60ED1">
        <w:rPr>
          <w:sz w:val="22"/>
          <w:szCs w:val="22"/>
          <w:lang w:val="sk-SK"/>
        </w:rPr>
        <w:t>gas</w:t>
      </w:r>
      <w:r w:rsidR="00C573B6" w:rsidRPr="00C60ED1">
        <w:rPr>
          <w:sz w:val="22"/>
          <w:szCs w:val="22"/>
          <w:lang w:val="sk-SK"/>
        </w:rPr>
        <w:t>t</w:t>
      </w:r>
      <w:r w:rsidR="00354EC9" w:rsidRPr="00C60ED1">
        <w:rPr>
          <w:sz w:val="22"/>
          <w:szCs w:val="22"/>
          <w:lang w:val="sk-SK"/>
        </w:rPr>
        <w:t>rorezistentných</w:t>
      </w:r>
      <w:proofErr w:type="spellEnd"/>
      <w:r w:rsidR="00354EC9" w:rsidRPr="00C60ED1">
        <w:rPr>
          <w:sz w:val="22"/>
          <w:szCs w:val="22"/>
          <w:lang w:val="sk-SK"/>
        </w:rPr>
        <w:t xml:space="preserve"> tabliet</w:t>
      </w:r>
    </w:p>
    <w:p w14:paraId="0EBA3BDC" w14:textId="77777777" w:rsidR="00D62B1B" w:rsidRPr="00C60ED1" w:rsidRDefault="00D62B1B">
      <w:pPr>
        <w:rPr>
          <w:sz w:val="22"/>
          <w:szCs w:val="22"/>
          <w:lang w:val="sk-SK"/>
        </w:rPr>
      </w:pPr>
      <w:proofErr w:type="spellStart"/>
      <w:r w:rsidRPr="00C60ED1">
        <w:rPr>
          <w:sz w:val="22"/>
          <w:szCs w:val="22"/>
          <w:lang w:val="sk-SK"/>
        </w:rPr>
        <w:t>Orfiril</w:t>
      </w:r>
      <w:proofErr w:type="spellEnd"/>
      <w:r w:rsidRPr="00C60ED1">
        <w:rPr>
          <w:sz w:val="22"/>
          <w:szCs w:val="22"/>
          <w:lang w:val="sk-SK"/>
        </w:rPr>
        <w:t xml:space="preserve"> 300: Balenie obsahujúce </w:t>
      </w:r>
      <w:smartTag w:uri="urn:schemas-microsoft-com:office:smarttags" w:element="metricconverter">
        <w:smartTagPr>
          <w:attr w:name="ProductID" w:val="50 a"/>
        </w:smartTagPr>
        <w:r w:rsidRPr="00C60ED1">
          <w:rPr>
            <w:sz w:val="22"/>
            <w:szCs w:val="22"/>
            <w:lang w:val="sk-SK"/>
          </w:rPr>
          <w:t>50 a</w:t>
        </w:r>
      </w:smartTag>
      <w:r w:rsidR="006A76F2" w:rsidRPr="00C60ED1">
        <w:rPr>
          <w:sz w:val="22"/>
          <w:szCs w:val="22"/>
          <w:lang w:val="sk-SK"/>
        </w:rPr>
        <w:t xml:space="preserve"> 100 </w:t>
      </w:r>
      <w:proofErr w:type="spellStart"/>
      <w:r w:rsidR="00354EC9" w:rsidRPr="00C60ED1">
        <w:rPr>
          <w:sz w:val="22"/>
          <w:szCs w:val="22"/>
          <w:lang w:val="sk-SK"/>
        </w:rPr>
        <w:t>gas</w:t>
      </w:r>
      <w:r w:rsidR="00C573B6" w:rsidRPr="00C60ED1">
        <w:rPr>
          <w:sz w:val="22"/>
          <w:szCs w:val="22"/>
          <w:lang w:val="sk-SK"/>
        </w:rPr>
        <w:t>t</w:t>
      </w:r>
      <w:r w:rsidR="00354EC9" w:rsidRPr="00C60ED1">
        <w:rPr>
          <w:sz w:val="22"/>
          <w:szCs w:val="22"/>
          <w:lang w:val="sk-SK"/>
        </w:rPr>
        <w:t>rorezistentných</w:t>
      </w:r>
      <w:proofErr w:type="spellEnd"/>
      <w:r w:rsidR="00354EC9" w:rsidRPr="00C60ED1">
        <w:rPr>
          <w:sz w:val="22"/>
          <w:szCs w:val="22"/>
          <w:lang w:val="sk-SK"/>
        </w:rPr>
        <w:t xml:space="preserve"> tabliet</w:t>
      </w:r>
    </w:p>
    <w:p w14:paraId="1997214B" w14:textId="77777777" w:rsidR="00D62B1B" w:rsidRPr="00C60ED1" w:rsidRDefault="00D62B1B">
      <w:pPr>
        <w:rPr>
          <w:sz w:val="22"/>
          <w:szCs w:val="22"/>
          <w:lang w:val="sk-SK"/>
        </w:rPr>
      </w:pPr>
      <w:proofErr w:type="spellStart"/>
      <w:r w:rsidRPr="00C60ED1">
        <w:rPr>
          <w:sz w:val="22"/>
          <w:szCs w:val="22"/>
          <w:lang w:val="sk-SK"/>
        </w:rPr>
        <w:t>Orfiril</w:t>
      </w:r>
      <w:proofErr w:type="spellEnd"/>
      <w:r w:rsidRPr="00C60ED1">
        <w:rPr>
          <w:sz w:val="22"/>
          <w:szCs w:val="22"/>
          <w:lang w:val="sk-SK"/>
        </w:rPr>
        <w:t xml:space="preserve"> 600: Balenie obsahujúce </w:t>
      </w:r>
      <w:smartTag w:uri="urn:schemas-microsoft-com:office:smarttags" w:element="metricconverter">
        <w:smartTagPr>
          <w:attr w:name="ProductID" w:val="50 a"/>
        </w:smartTagPr>
        <w:r w:rsidRPr="00C60ED1">
          <w:rPr>
            <w:sz w:val="22"/>
            <w:szCs w:val="22"/>
            <w:lang w:val="sk-SK"/>
          </w:rPr>
          <w:t>50 a</w:t>
        </w:r>
      </w:smartTag>
      <w:r w:rsidR="006A76F2" w:rsidRPr="00C60ED1">
        <w:rPr>
          <w:sz w:val="22"/>
          <w:szCs w:val="22"/>
          <w:lang w:val="sk-SK"/>
        </w:rPr>
        <w:t xml:space="preserve"> 100 </w:t>
      </w:r>
      <w:proofErr w:type="spellStart"/>
      <w:r w:rsidR="00354EC9" w:rsidRPr="00C60ED1">
        <w:rPr>
          <w:sz w:val="22"/>
          <w:szCs w:val="22"/>
          <w:lang w:val="sk-SK"/>
        </w:rPr>
        <w:t>gas</w:t>
      </w:r>
      <w:r w:rsidR="00C573B6" w:rsidRPr="00C60ED1">
        <w:rPr>
          <w:sz w:val="22"/>
          <w:szCs w:val="22"/>
          <w:lang w:val="sk-SK"/>
        </w:rPr>
        <w:t>t</w:t>
      </w:r>
      <w:r w:rsidR="00354EC9" w:rsidRPr="00C60ED1">
        <w:rPr>
          <w:sz w:val="22"/>
          <w:szCs w:val="22"/>
          <w:lang w:val="sk-SK"/>
        </w:rPr>
        <w:t>rorezistentných</w:t>
      </w:r>
      <w:proofErr w:type="spellEnd"/>
      <w:r w:rsidR="00354EC9" w:rsidRPr="00C60ED1">
        <w:rPr>
          <w:sz w:val="22"/>
          <w:szCs w:val="22"/>
          <w:lang w:val="sk-SK"/>
        </w:rPr>
        <w:t xml:space="preserve"> tabliet</w:t>
      </w:r>
    </w:p>
    <w:p w14:paraId="55E500D4" w14:textId="77777777" w:rsidR="00D62B1B" w:rsidRPr="00C60ED1" w:rsidRDefault="00D62B1B" w:rsidP="00C50996">
      <w:pPr>
        <w:pStyle w:val="Zkladntext"/>
        <w:tabs>
          <w:tab w:val="left" w:pos="426"/>
          <w:tab w:val="left" w:pos="567"/>
        </w:tabs>
        <w:rPr>
          <w:sz w:val="22"/>
          <w:szCs w:val="22"/>
          <w:lang w:val="sk-SK"/>
        </w:rPr>
      </w:pPr>
    </w:p>
    <w:p w14:paraId="4D5DA2E6" w14:textId="31FCACDE" w:rsidR="00D62B1B" w:rsidRPr="00C60ED1" w:rsidRDefault="00D62B1B" w:rsidP="00C50996">
      <w:pPr>
        <w:keepNext/>
        <w:tabs>
          <w:tab w:val="left" w:pos="567"/>
        </w:tabs>
        <w:rPr>
          <w:b/>
          <w:sz w:val="22"/>
          <w:szCs w:val="22"/>
          <w:lang w:val="sk-SK"/>
        </w:rPr>
      </w:pPr>
      <w:r w:rsidRPr="00C60ED1">
        <w:rPr>
          <w:b/>
          <w:caps/>
          <w:sz w:val="22"/>
          <w:szCs w:val="22"/>
          <w:lang w:val="sk-SK"/>
        </w:rPr>
        <w:t>6.6</w:t>
      </w:r>
      <w:r w:rsidRPr="00C60ED1">
        <w:rPr>
          <w:b/>
          <w:caps/>
          <w:sz w:val="22"/>
          <w:szCs w:val="22"/>
          <w:lang w:val="sk-SK"/>
        </w:rPr>
        <w:tab/>
      </w:r>
      <w:r w:rsidR="00E24B24" w:rsidRPr="00C60ED1">
        <w:rPr>
          <w:b/>
          <w:bCs/>
          <w:noProof/>
          <w:sz w:val="22"/>
          <w:szCs w:val="22"/>
          <w:lang w:val="sk-SK"/>
        </w:rPr>
        <w:t>Špeciálne opatrenia na likvidáciu</w:t>
      </w:r>
      <w:r w:rsidR="00E24B24" w:rsidRPr="00C60ED1">
        <w:rPr>
          <w:b/>
          <w:sz w:val="22"/>
          <w:szCs w:val="22"/>
          <w:lang w:val="sk-SK"/>
        </w:rPr>
        <w:t xml:space="preserve"> </w:t>
      </w:r>
      <w:r w:rsidR="00E24B24" w:rsidRPr="00C60ED1">
        <w:rPr>
          <w:b/>
          <w:bCs/>
          <w:noProof/>
          <w:sz w:val="22"/>
          <w:szCs w:val="22"/>
          <w:lang w:val="sk-SK"/>
        </w:rPr>
        <w:t xml:space="preserve">a iné zaobchádzanie s liekom </w:t>
      </w:r>
    </w:p>
    <w:p w14:paraId="60F26952" w14:textId="77777777" w:rsidR="00AE7AAF" w:rsidRPr="002B11B8" w:rsidRDefault="00AE7AAF" w:rsidP="00C50996">
      <w:pPr>
        <w:keepNext/>
        <w:tabs>
          <w:tab w:val="left" w:pos="567"/>
        </w:tabs>
        <w:rPr>
          <w:caps/>
          <w:sz w:val="22"/>
          <w:szCs w:val="22"/>
          <w:lang w:val="sk-SK"/>
        </w:rPr>
      </w:pPr>
    </w:p>
    <w:p w14:paraId="1C3F4240" w14:textId="77777777" w:rsidR="00D62B1B" w:rsidRDefault="00D62B1B" w:rsidP="00C50996">
      <w:pPr>
        <w:keepNext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Žiadne zvláštne požiadavky.</w:t>
      </w:r>
    </w:p>
    <w:p w14:paraId="348BA804" w14:textId="77777777" w:rsidR="001D2F3B" w:rsidRPr="00C60ED1" w:rsidRDefault="001D2F3B" w:rsidP="00C50996">
      <w:pPr>
        <w:keepNext/>
        <w:rPr>
          <w:sz w:val="22"/>
          <w:szCs w:val="22"/>
          <w:lang w:val="sk-SK"/>
        </w:rPr>
      </w:pPr>
    </w:p>
    <w:p w14:paraId="5D21CEFD" w14:textId="750EA0DD" w:rsidR="00E24B24" w:rsidRPr="00C60ED1" w:rsidRDefault="00E24B24" w:rsidP="00C50996">
      <w:pPr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Všetok nepoužitý liek alebo odpad vzniknutý z lieku sa má zlikvidovať v súlade s národnými požiadavkami.</w:t>
      </w:r>
    </w:p>
    <w:p w14:paraId="41DD4BEB" w14:textId="77777777" w:rsidR="00D62B1B" w:rsidRPr="00C60ED1" w:rsidRDefault="00D62B1B" w:rsidP="00C50996">
      <w:pPr>
        <w:rPr>
          <w:sz w:val="22"/>
          <w:szCs w:val="22"/>
          <w:lang w:val="sk-SK"/>
        </w:rPr>
      </w:pPr>
    </w:p>
    <w:p w14:paraId="2712E2A6" w14:textId="77777777" w:rsidR="00E24B24" w:rsidRPr="00C60ED1" w:rsidRDefault="00E24B24" w:rsidP="00C50996">
      <w:pPr>
        <w:keepNext/>
        <w:rPr>
          <w:sz w:val="22"/>
          <w:szCs w:val="22"/>
          <w:lang w:val="sk-SK"/>
        </w:rPr>
      </w:pPr>
    </w:p>
    <w:p w14:paraId="61B658D3" w14:textId="77777777" w:rsidR="00D62B1B" w:rsidRPr="00C60ED1" w:rsidRDefault="00D62B1B" w:rsidP="00C60ED1">
      <w:pPr>
        <w:keepNext/>
        <w:tabs>
          <w:tab w:val="left" w:pos="567"/>
        </w:tabs>
        <w:rPr>
          <w:b/>
          <w:caps/>
          <w:sz w:val="22"/>
          <w:szCs w:val="22"/>
          <w:lang w:val="sk-SK"/>
        </w:rPr>
      </w:pPr>
      <w:r w:rsidRPr="00C60ED1">
        <w:rPr>
          <w:b/>
          <w:caps/>
          <w:sz w:val="22"/>
          <w:szCs w:val="22"/>
          <w:lang w:val="sk-SK"/>
        </w:rPr>
        <w:t>7.</w:t>
      </w:r>
      <w:r w:rsidRPr="00C60ED1">
        <w:rPr>
          <w:b/>
          <w:caps/>
          <w:sz w:val="22"/>
          <w:szCs w:val="22"/>
          <w:lang w:val="sk-SK"/>
        </w:rPr>
        <w:tab/>
      </w:r>
      <w:r w:rsidRPr="00C60ED1">
        <w:rPr>
          <w:b/>
          <w:sz w:val="22"/>
          <w:szCs w:val="22"/>
          <w:lang w:val="sk-SK"/>
        </w:rPr>
        <w:t>DRŽITEĽ ROZHODNUTIA O REGISTRÁCII</w:t>
      </w:r>
    </w:p>
    <w:p w14:paraId="1A8DCD54" w14:textId="77777777" w:rsidR="00E24B24" w:rsidRPr="00C60ED1" w:rsidRDefault="00E24B24" w:rsidP="00C60ED1">
      <w:pPr>
        <w:keepNext/>
        <w:tabs>
          <w:tab w:val="left" w:pos="-142"/>
        </w:tabs>
        <w:rPr>
          <w:sz w:val="22"/>
          <w:szCs w:val="22"/>
          <w:lang w:val="sk-SK"/>
        </w:rPr>
      </w:pPr>
    </w:p>
    <w:p w14:paraId="2B7A8A6B" w14:textId="458095FE" w:rsidR="00D62B1B" w:rsidRPr="00C60ED1" w:rsidRDefault="00D62B1B" w:rsidP="00C60ED1">
      <w:pPr>
        <w:keepNext/>
        <w:tabs>
          <w:tab w:val="left" w:pos="-142"/>
        </w:tabs>
        <w:rPr>
          <w:sz w:val="22"/>
          <w:szCs w:val="22"/>
          <w:lang w:val="sk-SK"/>
        </w:rPr>
      </w:pPr>
      <w:proofErr w:type="spellStart"/>
      <w:r w:rsidRPr="00C60ED1">
        <w:rPr>
          <w:sz w:val="22"/>
          <w:szCs w:val="22"/>
          <w:lang w:val="sk-SK"/>
        </w:rPr>
        <w:t>Desitin</w:t>
      </w:r>
      <w:proofErr w:type="spellEnd"/>
      <w:r w:rsidRPr="00C60ED1">
        <w:rPr>
          <w:sz w:val="22"/>
          <w:szCs w:val="22"/>
          <w:lang w:val="sk-SK"/>
        </w:rPr>
        <w:t xml:space="preserve"> </w:t>
      </w:r>
      <w:proofErr w:type="spellStart"/>
      <w:r w:rsidRPr="00C60ED1">
        <w:rPr>
          <w:sz w:val="22"/>
          <w:szCs w:val="22"/>
          <w:lang w:val="sk-SK"/>
        </w:rPr>
        <w:t>Arzneimittel</w:t>
      </w:r>
      <w:proofErr w:type="spellEnd"/>
      <w:r w:rsidRPr="00C60ED1">
        <w:rPr>
          <w:sz w:val="22"/>
          <w:szCs w:val="22"/>
          <w:lang w:val="sk-SK"/>
        </w:rPr>
        <w:t xml:space="preserve"> GmbH</w:t>
      </w:r>
    </w:p>
    <w:p w14:paraId="2DDE9CFF" w14:textId="710706D7" w:rsidR="00AE7AAF" w:rsidRPr="00C60ED1" w:rsidRDefault="00D62B1B" w:rsidP="00C60ED1">
      <w:pPr>
        <w:keepNext/>
        <w:tabs>
          <w:tab w:val="left" w:pos="-142"/>
        </w:tabs>
        <w:rPr>
          <w:sz w:val="22"/>
          <w:szCs w:val="22"/>
          <w:lang w:val="sk-SK"/>
        </w:rPr>
      </w:pPr>
      <w:proofErr w:type="spellStart"/>
      <w:r w:rsidRPr="00C60ED1">
        <w:rPr>
          <w:sz w:val="22"/>
          <w:szCs w:val="22"/>
          <w:lang w:val="sk-SK"/>
        </w:rPr>
        <w:t>Weg</w:t>
      </w:r>
      <w:proofErr w:type="spellEnd"/>
      <w:r w:rsidRPr="00C60ED1">
        <w:rPr>
          <w:sz w:val="22"/>
          <w:szCs w:val="22"/>
          <w:lang w:val="sk-SK"/>
        </w:rPr>
        <w:t xml:space="preserve"> </w:t>
      </w:r>
      <w:proofErr w:type="spellStart"/>
      <w:r w:rsidRPr="00C60ED1">
        <w:rPr>
          <w:sz w:val="22"/>
          <w:szCs w:val="22"/>
          <w:lang w:val="sk-SK"/>
        </w:rPr>
        <w:t>beim</w:t>
      </w:r>
      <w:proofErr w:type="spellEnd"/>
      <w:r w:rsidRPr="00C60ED1">
        <w:rPr>
          <w:sz w:val="22"/>
          <w:szCs w:val="22"/>
          <w:lang w:val="sk-SK"/>
        </w:rPr>
        <w:t xml:space="preserve"> </w:t>
      </w:r>
      <w:proofErr w:type="spellStart"/>
      <w:r w:rsidRPr="00C60ED1">
        <w:rPr>
          <w:sz w:val="22"/>
          <w:szCs w:val="22"/>
          <w:lang w:val="sk-SK"/>
        </w:rPr>
        <w:t>Jäger</w:t>
      </w:r>
      <w:proofErr w:type="spellEnd"/>
      <w:r w:rsidRPr="00C60ED1">
        <w:rPr>
          <w:sz w:val="22"/>
          <w:szCs w:val="22"/>
          <w:lang w:val="sk-SK"/>
        </w:rPr>
        <w:t xml:space="preserve"> 214</w:t>
      </w:r>
    </w:p>
    <w:p w14:paraId="171CF6B4" w14:textId="359E5094" w:rsidR="00D62B1B" w:rsidRPr="00C60ED1" w:rsidRDefault="00D62B1B" w:rsidP="00C60ED1">
      <w:pPr>
        <w:keepNext/>
        <w:tabs>
          <w:tab w:val="left" w:pos="-142"/>
        </w:tabs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D-22335  Hamburg</w:t>
      </w:r>
    </w:p>
    <w:p w14:paraId="4D3103F9" w14:textId="77777777" w:rsidR="00D62B1B" w:rsidRPr="00C60ED1" w:rsidRDefault="00D62B1B" w:rsidP="00C60ED1">
      <w:pPr>
        <w:pStyle w:val="Hlavika"/>
        <w:keepNext/>
        <w:tabs>
          <w:tab w:val="clear" w:pos="4536"/>
          <w:tab w:val="clear" w:pos="9072"/>
          <w:tab w:val="left" w:pos="-142"/>
        </w:tabs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>Nemecko</w:t>
      </w:r>
    </w:p>
    <w:p w14:paraId="6C724437" w14:textId="77777777" w:rsidR="00D62B1B" w:rsidRPr="002B11B8" w:rsidRDefault="00D62B1B">
      <w:pPr>
        <w:tabs>
          <w:tab w:val="left" w:pos="426"/>
        </w:tabs>
        <w:rPr>
          <w:sz w:val="22"/>
          <w:szCs w:val="22"/>
          <w:lang w:val="sk-SK"/>
        </w:rPr>
      </w:pPr>
    </w:p>
    <w:p w14:paraId="4D0ACCE2" w14:textId="77777777" w:rsidR="00E24B24" w:rsidRPr="002B11B8" w:rsidRDefault="00E24B24">
      <w:pPr>
        <w:tabs>
          <w:tab w:val="left" w:pos="426"/>
        </w:tabs>
        <w:rPr>
          <w:sz w:val="22"/>
          <w:szCs w:val="22"/>
          <w:lang w:val="sk-SK"/>
        </w:rPr>
      </w:pPr>
    </w:p>
    <w:p w14:paraId="76AFED3C" w14:textId="2F16B6AC" w:rsidR="00D62B1B" w:rsidRPr="00C60ED1" w:rsidRDefault="00D62B1B" w:rsidP="00C50996">
      <w:pPr>
        <w:keepNext/>
        <w:tabs>
          <w:tab w:val="left" w:pos="567"/>
        </w:tabs>
        <w:rPr>
          <w:b/>
          <w:caps/>
          <w:sz w:val="22"/>
          <w:szCs w:val="22"/>
          <w:lang w:val="sk-SK"/>
        </w:rPr>
      </w:pPr>
      <w:r w:rsidRPr="00C60ED1">
        <w:rPr>
          <w:b/>
          <w:caps/>
          <w:sz w:val="22"/>
          <w:szCs w:val="22"/>
          <w:lang w:val="sk-SK"/>
        </w:rPr>
        <w:t>8.</w:t>
      </w:r>
      <w:r w:rsidRPr="00C60ED1">
        <w:rPr>
          <w:b/>
          <w:caps/>
          <w:sz w:val="22"/>
          <w:szCs w:val="22"/>
          <w:lang w:val="sk-SK"/>
        </w:rPr>
        <w:tab/>
      </w:r>
      <w:r w:rsidRPr="00C60ED1">
        <w:rPr>
          <w:b/>
          <w:sz w:val="22"/>
          <w:szCs w:val="22"/>
          <w:lang w:val="sk-SK"/>
        </w:rPr>
        <w:t>REGISTRAČNÉ ČÍSL</w:t>
      </w:r>
      <w:r w:rsidR="002B11B8">
        <w:rPr>
          <w:b/>
          <w:sz w:val="22"/>
          <w:szCs w:val="22"/>
          <w:lang w:val="sk-SK"/>
        </w:rPr>
        <w:t>A</w:t>
      </w:r>
    </w:p>
    <w:p w14:paraId="3262CAE0" w14:textId="77777777" w:rsidR="00E24B24" w:rsidRPr="00C60ED1" w:rsidRDefault="00E24B24" w:rsidP="00C50996">
      <w:pPr>
        <w:keepNext/>
        <w:keepLines/>
        <w:rPr>
          <w:sz w:val="22"/>
          <w:szCs w:val="22"/>
          <w:lang w:val="sk-SK"/>
        </w:rPr>
      </w:pPr>
    </w:p>
    <w:p w14:paraId="562D0F5B" w14:textId="77777777" w:rsidR="00D62B1B" w:rsidRPr="00C60ED1" w:rsidRDefault="00D62B1B">
      <w:pPr>
        <w:keepLines/>
        <w:rPr>
          <w:sz w:val="22"/>
          <w:szCs w:val="22"/>
          <w:lang w:val="sk-SK"/>
        </w:rPr>
      </w:pPr>
      <w:proofErr w:type="spellStart"/>
      <w:r w:rsidRPr="00C60ED1">
        <w:rPr>
          <w:sz w:val="22"/>
          <w:szCs w:val="22"/>
          <w:lang w:val="sk-SK"/>
        </w:rPr>
        <w:t>Orfiril</w:t>
      </w:r>
      <w:proofErr w:type="spellEnd"/>
      <w:r w:rsidRPr="00C60ED1">
        <w:rPr>
          <w:sz w:val="22"/>
          <w:szCs w:val="22"/>
          <w:lang w:val="sk-SK"/>
        </w:rPr>
        <w:t xml:space="preserve"> 150: 21/0142/92-S</w:t>
      </w:r>
    </w:p>
    <w:p w14:paraId="19B2F9F1" w14:textId="7DCC7734" w:rsidR="00D62B1B" w:rsidRPr="00C60ED1" w:rsidRDefault="002B11B8">
      <w:pPr>
        <w:tabs>
          <w:tab w:val="left" w:pos="426"/>
        </w:tabs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Orfiril</w:t>
      </w:r>
      <w:proofErr w:type="spellEnd"/>
      <w:r>
        <w:rPr>
          <w:sz w:val="22"/>
          <w:szCs w:val="22"/>
          <w:lang w:val="sk-SK"/>
        </w:rPr>
        <w:t xml:space="preserve"> 300:</w:t>
      </w:r>
      <w:r w:rsidR="003956BD">
        <w:rPr>
          <w:sz w:val="22"/>
          <w:szCs w:val="22"/>
          <w:lang w:val="sk-SK"/>
        </w:rPr>
        <w:t xml:space="preserve"> </w:t>
      </w:r>
      <w:r w:rsidR="003956BD" w:rsidRPr="003956BD">
        <w:rPr>
          <w:sz w:val="22"/>
          <w:szCs w:val="22"/>
          <w:lang w:val="sk-SK"/>
        </w:rPr>
        <w:t>21/0197/20-S</w:t>
      </w:r>
    </w:p>
    <w:p w14:paraId="022B4AE7" w14:textId="65F49A28" w:rsidR="00D62B1B" w:rsidRPr="00C60ED1" w:rsidRDefault="002B11B8">
      <w:pPr>
        <w:tabs>
          <w:tab w:val="left" w:pos="426"/>
        </w:tabs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Orfiril</w:t>
      </w:r>
      <w:proofErr w:type="spellEnd"/>
      <w:r>
        <w:rPr>
          <w:sz w:val="22"/>
          <w:szCs w:val="22"/>
          <w:lang w:val="sk-SK"/>
        </w:rPr>
        <w:t xml:space="preserve"> 600:</w:t>
      </w:r>
      <w:r w:rsidR="003956BD">
        <w:rPr>
          <w:sz w:val="22"/>
          <w:szCs w:val="22"/>
          <w:lang w:val="sk-SK"/>
        </w:rPr>
        <w:t xml:space="preserve"> </w:t>
      </w:r>
      <w:r w:rsidR="003956BD" w:rsidRPr="003956BD">
        <w:rPr>
          <w:sz w:val="22"/>
          <w:szCs w:val="22"/>
          <w:lang w:val="sk-SK"/>
        </w:rPr>
        <w:t>21/0198/20-S</w:t>
      </w:r>
    </w:p>
    <w:p w14:paraId="51E523CF" w14:textId="77777777" w:rsidR="00D62B1B" w:rsidRPr="00C60ED1" w:rsidRDefault="00D62B1B">
      <w:pPr>
        <w:tabs>
          <w:tab w:val="left" w:pos="426"/>
        </w:tabs>
        <w:rPr>
          <w:sz w:val="22"/>
          <w:szCs w:val="22"/>
          <w:lang w:val="sk-SK"/>
        </w:rPr>
      </w:pPr>
    </w:p>
    <w:p w14:paraId="4CFC42D8" w14:textId="77777777" w:rsidR="00E24B24" w:rsidRPr="00C60ED1" w:rsidRDefault="00E24B24">
      <w:pPr>
        <w:tabs>
          <w:tab w:val="left" w:pos="426"/>
        </w:tabs>
        <w:rPr>
          <w:sz w:val="22"/>
          <w:szCs w:val="22"/>
          <w:lang w:val="sk-SK"/>
        </w:rPr>
      </w:pPr>
    </w:p>
    <w:p w14:paraId="5E9B9644" w14:textId="15861BF4" w:rsidR="00D62B1B" w:rsidRPr="00C60ED1" w:rsidRDefault="00D62B1B" w:rsidP="00C50996">
      <w:pPr>
        <w:tabs>
          <w:tab w:val="left" w:pos="567"/>
        </w:tabs>
        <w:rPr>
          <w:b/>
          <w:caps/>
          <w:sz w:val="22"/>
          <w:szCs w:val="22"/>
          <w:lang w:val="sk-SK"/>
        </w:rPr>
      </w:pPr>
      <w:r w:rsidRPr="00C60ED1">
        <w:rPr>
          <w:b/>
          <w:caps/>
          <w:sz w:val="22"/>
          <w:szCs w:val="22"/>
          <w:lang w:val="sk-SK"/>
        </w:rPr>
        <w:t>9.</w:t>
      </w:r>
      <w:r w:rsidRPr="00C60ED1">
        <w:rPr>
          <w:b/>
          <w:caps/>
          <w:sz w:val="22"/>
          <w:szCs w:val="22"/>
          <w:lang w:val="sk-SK"/>
        </w:rPr>
        <w:tab/>
      </w:r>
      <w:r w:rsidRPr="00C60ED1">
        <w:rPr>
          <w:b/>
          <w:sz w:val="22"/>
          <w:szCs w:val="22"/>
          <w:lang w:val="sk-SK"/>
        </w:rPr>
        <w:t>DÁTUM PRVEJ REGISTRÁCIE/PREDĹŽENIA REGISTRÁCIE</w:t>
      </w:r>
    </w:p>
    <w:p w14:paraId="049D26FF" w14:textId="77777777" w:rsidR="00E24B24" w:rsidRPr="00C60ED1" w:rsidRDefault="00E24B24">
      <w:pPr>
        <w:keepLines/>
        <w:rPr>
          <w:sz w:val="22"/>
          <w:szCs w:val="22"/>
          <w:lang w:val="sk-SK"/>
        </w:rPr>
      </w:pPr>
    </w:p>
    <w:p w14:paraId="11E085EC" w14:textId="1469217B" w:rsidR="00D62B1B" w:rsidRPr="00C60ED1" w:rsidRDefault="00E24B24">
      <w:pPr>
        <w:keepLines/>
        <w:ind w:left="2268" w:hanging="2268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Dátum prvej registrácie: </w:t>
      </w:r>
      <w:proofErr w:type="spellStart"/>
      <w:r w:rsidR="00D62B1B" w:rsidRPr="00C60ED1">
        <w:rPr>
          <w:sz w:val="22"/>
          <w:szCs w:val="22"/>
          <w:lang w:val="sk-SK"/>
        </w:rPr>
        <w:t>Orfiril</w:t>
      </w:r>
      <w:proofErr w:type="spellEnd"/>
      <w:r w:rsidR="002B5AC2" w:rsidRPr="00C60ED1">
        <w:rPr>
          <w:sz w:val="22"/>
          <w:szCs w:val="22"/>
          <w:lang w:val="sk-SK"/>
        </w:rPr>
        <w:t xml:space="preserve"> 150: 7. júl</w:t>
      </w:r>
      <w:r w:rsidRPr="00C60ED1">
        <w:rPr>
          <w:sz w:val="22"/>
          <w:szCs w:val="22"/>
          <w:lang w:val="sk-SK"/>
        </w:rPr>
        <w:t>a</w:t>
      </w:r>
      <w:r w:rsidR="002B5AC2" w:rsidRPr="00C60ED1">
        <w:rPr>
          <w:sz w:val="22"/>
          <w:szCs w:val="22"/>
          <w:lang w:val="sk-SK"/>
        </w:rPr>
        <w:t xml:space="preserve"> 1992 </w:t>
      </w:r>
    </w:p>
    <w:p w14:paraId="6D7E72B1" w14:textId="0BCDEA6A" w:rsidR="00D62B1B" w:rsidRPr="00C60ED1" w:rsidRDefault="00D62B1B">
      <w:pPr>
        <w:tabs>
          <w:tab w:val="left" w:pos="426"/>
        </w:tabs>
        <w:ind w:left="2268"/>
        <w:rPr>
          <w:sz w:val="22"/>
          <w:szCs w:val="22"/>
          <w:lang w:val="sk-SK"/>
        </w:rPr>
      </w:pPr>
      <w:proofErr w:type="spellStart"/>
      <w:r w:rsidRPr="00C60ED1">
        <w:rPr>
          <w:sz w:val="22"/>
          <w:szCs w:val="22"/>
          <w:lang w:val="sk-SK"/>
        </w:rPr>
        <w:t>Orfiril</w:t>
      </w:r>
      <w:proofErr w:type="spellEnd"/>
      <w:r w:rsidRPr="00C60ED1">
        <w:rPr>
          <w:sz w:val="22"/>
          <w:szCs w:val="22"/>
          <w:lang w:val="sk-SK"/>
        </w:rPr>
        <w:t xml:space="preserve"> 300</w:t>
      </w:r>
      <w:r w:rsidR="002B5AC2" w:rsidRPr="00C60ED1">
        <w:rPr>
          <w:sz w:val="22"/>
          <w:szCs w:val="22"/>
          <w:lang w:val="sk-SK"/>
        </w:rPr>
        <w:t>: 7. júl</w:t>
      </w:r>
      <w:r w:rsidR="00E24B24" w:rsidRPr="00C60ED1">
        <w:rPr>
          <w:sz w:val="22"/>
          <w:szCs w:val="22"/>
          <w:lang w:val="sk-SK"/>
        </w:rPr>
        <w:t>a</w:t>
      </w:r>
      <w:r w:rsidR="002B5AC2" w:rsidRPr="00C60ED1">
        <w:rPr>
          <w:sz w:val="22"/>
          <w:szCs w:val="22"/>
          <w:lang w:val="sk-SK"/>
        </w:rPr>
        <w:t xml:space="preserve"> 1992 </w:t>
      </w:r>
    </w:p>
    <w:p w14:paraId="2702E6D7" w14:textId="75A6A086" w:rsidR="00D62B1B" w:rsidRPr="00C60ED1" w:rsidRDefault="00D62B1B">
      <w:pPr>
        <w:tabs>
          <w:tab w:val="left" w:pos="426"/>
        </w:tabs>
        <w:ind w:left="2268"/>
        <w:rPr>
          <w:sz w:val="22"/>
          <w:szCs w:val="22"/>
          <w:lang w:val="sk-SK"/>
        </w:rPr>
      </w:pPr>
      <w:proofErr w:type="spellStart"/>
      <w:r w:rsidRPr="00C60ED1">
        <w:rPr>
          <w:sz w:val="22"/>
          <w:szCs w:val="22"/>
          <w:lang w:val="sk-SK"/>
        </w:rPr>
        <w:t>Orfiril</w:t>
      </w:r>
      <w:proofErr w:type="spellEnd"/>
      <w:r w:rsidR="00F41B86" w:rsidRPr="00C60ED1">
        <w:rPr>
          <w:sz w:val="22"/>
          <w:szCs w:val="22"/>
          <w:lang w:val="sk-SK"/>
        </w:rPr>
        <w:t xml:space="preserve"> </w:t>
      </w:r>
      <w:r w:rsidRPr="00C60ED1">
        <w:rPr>
          <w:sz w:val="22"/>
          <w:szCs w:val="22"/>
          <w:lang w:val="sk-SK"/>
        </w:rPr>
        <w:t>6</w:t>
      </w:r>
      <w:r w:rsidR="002B5AC2" w:rsidRPr="00C60ED1">
        <w:rPr>
          <w:sz w:val="22"/>
          <w:szCs w:val="22"/>
          <w:lang w:val="sk-SK"/>
        </w:rPr>
        <w:t>00: 7. júl</w:t>
      </w:r>
      <w:r w:rsidR="00E24B24" w:rsidRPr="00C60ED1">
        <w:rPr>
          <w:sz w:val="22"/>
          <w:szCs w:val="22"/>
          <w:lang w:val="sk-SK"/>
        </w:rPr>
        <w:t>a</w:t>
      </w:r>
      <w:r w:rsidR="002B5AC2" w:rsidRPr="00C60ED1">
        <w:rPr>
          <w:sz w:val="22"/>
          <w:szCs w:val="22"/>
          <w:lang w:val="sk-SK"/>
        </w:rPr>
        <w:t xml:space="preserve"> 1992 </w:t>
      </w:r>
    </w:p>
    <w:p w14:paraId="2F176056" w14:textId="77777777" w:rsidR="00751FEF" w:rsidRPr="00C60ED1" w:rsidRDefault="00751FEF">
      <w:pPr>
        <w:tabs>
          <w:tab w:val="left" w:pos="426"/>
        </w:tabs>
        <w:ind w:left="2268"/>
        <w:rPr>
          <w:sz w:val="22"/>
          <w:szCs w:val="22"/>
          <w:lang w:val="sk-SK"/>
        </w:rPr>
      </w:pPr>
    </w:p>
    <w:p w14:paraId="16B977E6" w14:textId="7C2D0F6A" w:rsidR="00E24B24" w:rsidRPr="00C60ED1" w:rsidRDefault="00E24B24">
      <w:pPr>
        <w:keepLines/>
        <w:ind w:left="2268" w:hanging="2268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Dátum posledného predĺženia registrácie: </w:t>
      </w:r>
      <w:proofErr w:type="spellStart"/>
      <w:r w:rsidRPr="00C60ED1">
        <w:rPr>
          <w:sz w:val="22"/>
          <w:szCs w:val="22"/>
          <w:lang w:val="sk-SK"/>
        </w:rPr>
        <w:t>Orfiril</w:t>
      </w:r>
      <w:proofErr w:type="spellEnd"/>
      <w:r w:rsidRPr="00C60ED1">
        <w:rPr>
          <w:sz w:val="22"/>
          <w:szCs w:val="22"/>
          <w:lang w:val="sk-SK"/>
        </w:rPr>
        <w:t xml:space="preserve"> 150: 31. januára 2007</w:t>
      </w:r>
    </w:p>
    <w:p w14:paraId="643974F0" w14:textId="0DACDEB4" w:rsidR="00E24B24" w:rsidRPr="00C60ED1" w:rsidRDefault="00E24B24">
      <w:pPr>
        <w:tabs>
          <w:tab w:val="left" w:pos="426"/>
        </w:tabs>
        <w:ind w:left="3686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 </w:t>
      </w:r>
      <w:proofErr w:type="spellStart"/>
      <w:r w:rsidRPr="00C60ED1">
        <w:rPr>
          <w:sz w:val="22"/>
          <w:szCs w:val="22"/>
          <w:lang w:val="sk-SK"/>
        </w:rPr>
        <w:t>Orfiril</w:t>
      </w:r>
      <w:proofErr w:type="spellEnd"/>
      <w:r w:rsidRPr="00C60ED1">
        <w:rPr>
          <w:sz w:val="22"/>
          <w:szCs w:val="22"/>
          <w:lang w:val="sk-SK"/>
        </w:rPr>
        <w:t xml:space="preserve"> 300: 31. januára 2007</w:t>
      </w:r>
    </w:p>
    <w:p w14:paraId="0B4818D9" w14:textId="72DB0376" w:rsidR="00E24B24" w:rsidRPr="00C60ED1" w:rsidRDefault="00E24B24">
      <w:pPr>
        <w:tabs>
          <w:tab w:val="left" w:pos="426"/>
        </w:tabs>
        <w:ind w:left="3686"/>
        <w:rPr>
          <w:sz w:val="22"/>
          <w:szCs w:val="22"/>
          <w:lang w:val="sk-SK"/>
        </w:rPr>
      </w:pPr>
      <w:r w:rsidRPr="00C60ED1">
        <w:rPr>
          <w:sz w:val="22"/>
          <w:szCs w:val="22"/>
          <w:lang w:val="sk-SK"/>
        </w:rPr>
        <w:t xml:space="preserve"> </w:t>
      </w:r>
      <w:proofErr w:type="spellStart"/>
      <w:r w:rsidRPr="00C60ED1">
        <w:rPr>
          <w:sz w:val="22"/>
          <w:szCs w:val="22"/>
          <w:lang w:val="sk-SK"/>
        </w:rPr>
        <w:t>Orfiril</w:t>
      </w:r>
      <w:proofErr w:type="spellEnd"/>
      <w:r w:rsidRPr="00C60ED1">
        <w:rPr>
          <w:sz w:val="22"/>
          <w:szCs w:val="22"/>
          <w:lang w:val="sk-SK"/>
        </w:rPr>
        <w:t xml:space="preserve"> 600: 31. januára 2007 </w:t>
      </w:r>
    </w:p>
    <w:p w14:paraId="355E875E" w14:textId="77777777" w:rsidR="00895F50" w:rsidRPr="002B11B8" w:rsidRDefault="00895F50">
      <w:pPr>
        <w:tabs>
          <w:tab w:val="left" w:pos="426"/>
        </w:tabs>
        <w:rPr>
          <w:caps/>
          <w:sz w:val="22"/>
          <w:szCs w:val="22"/>
          <w:lang w:val="sk-SK"/>
        </w:rPr>
      </w:pPr>
    </w:p>
    <w:p w14:paraId="067C0302" w14:textId="77777777" w:rsidR="00D62B1B" w:rsidRPr="00C60ED1" w:rsidRDefault="00D62B1B" w:rsidP="00C50996">
      <w:pPr>
        <w:keepNext/>
        <w:tabs>
          <w:tab w:val="left" w:pos="567"/>
        </w:tabs>
        <w:rPr>
          <w:caps/>
          <w:sz w:val="22"/>
          <w:szCs w:val="22"/>
          <w:lang w:val="sk-SK"/>
        </w:rPr>
      </w:pPr>
      <w:r w:rsidRPr="00C60ED1">
        <w:rPr>
          <w:b/>
          <w:caps/>
          <w:sz w:val="22"/>
          <w:szCs w:val="22"/>
          <w:lang w:val="sk-SK"/>
        </w:rPr>
        <w:lastRenderedPageBreak/>
        <w:t>10.</w:t>
      </w:r>
      <w:r w:rsidRPr="00C60ED1">
        <w:rPr>
          <w:b/>
          <w:caps/>
          <w:sz w:val="22"/>
          <w:szCs w:val="22"/>
          <w:lang w:val="sk-SK"/>
        </w:rPr>
        <w:tab/>
      </w:r>
      <w:r w:rsidRPr="00C60ED1">
        <w:rPr>
          <w:b/>
          <w:sz w:val="22"/>
          <w:szCs w:val="22"/>
          <w:lang w:val="sk-SK"/>
        </w:rPr>
        <w:t>DÁTUM REVÍZIE TEXTU</w:t>
      </w:r>
    </w:p>
    <w:p w14:paraId="5751C947" w14:textId="23D16F87" w:rsidR="00AE7AAF" w:rsidRPr="00C60ED1" w:rsidRDefault="00AE7AAF" w:rsidP="00C50996">
      <w:pPr>
        <w:keepNext/>
        <w:tabs>
          <w:tab w:val="left" w:pos="0"/>
        </w:tabs>
        <w:rPr>
          <w:sz w:val="22"/>
          <w:szCs w:val="22"/>
          <w:lang w:val="sk-SK"/>
        </w:rPr>
      </w:pPr>
    </w:p>
    <w:p w14:paraId="5E8C1FBE" w14:textId="3731B492" w:rsidR="00D62B1B" w:rsidRPr="00C60ED1" w:rsidRDefault="002B11B8" w:rsidP="00C50996">
      <w:pPr>
        <w:keepNext/>
        <w:tabs>
          <w:tab w:val="left" w:pos="0"/>
        </w:tabs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09</w:t>
      </w:r>
      <w:r w:rsidR="001D2F3B">
        <w:rPr>
          <w:sz w:val="22"/>
          <w:szCs w:val="22"/>
          <w:lang w:val="sk-SK"/>
        </w:rPr>
        <w:t>/2020</w:t>
      </w:r>
    </w:p>
    <w:p w14:paraId="034627D4" w14:textId="77777777" w:rsidR="00C60ED1" w:rsidRPr="00C60ED1" w:rsidRDefault="00C60ED1">
      <w:pPr>
        <w:keepNext/>
        <w:tabs>
          <w:tab w:val="left" w:pos="0"/>
        </w:tabs>
        <w:rPr>
          <w:sz w:val="22"/>
          <w:szCs w:val="22"/>
          <w:lang w:val="sk-SK"/>
        </w:rPr>
      </w:pPr>
    </w:p>
    <w:sectPr w:rsidR="00C60ED1" w:rsidRPr="00C60ED1" w:rsidSect="00C60ED1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1418" w:bottom="1134" w:left="1418" w:header="737" w:footer="737" w:gutter="0"/>
      <w:paperSrc w:first="7" w:other="7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292782" w16cid:durableId="1ECE0740"/>
  <w16cid:commentId w16cid:paraId="398079D5" w16cid:durableId="1ECE0741"/>
  <w16cid:commentId w16cid:paraId="2F681AD8" w16cid:durableId="1ECE0742"/>
  <w16cid:commentId w16cid:paraId="55C115E1" w16cid:durableId="1ECE0743"/>
  <w16cid:commentId w16cid:paraId="6A5BF273" w16cid:durableId="1ECE0744"/>
  <w16cid:commentId w16cid:paraId="71B47274" w16cid:durableId="1ECE0745"/>
  <w16cid:commentId w16cid:paraId="3E42A38A" w16cid:durableId="1ECE0746"/>
  <w16cid:commentId w16cid:paraId="2657A296" w16cid:durableId="1ECE074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909098" w14:textId="77777777" w:rsidR="00C4087C" w:rsidRDefault="00C4087C">
      <w:r>
        <w:separator/>
      </w:r>
    </w:p>
  </w:endnote>
  <w:endnote w:type="continuationSeparator" w:id="0">
    <w:p w14:paraId="5393705F" w14:textId="77777777" w:rsidR="00C4087C" w:rsidRDefault="00C4087C">
      <w:r>
        <w:continuationSeparator/>
      </w:r>
    </w:p>
  </w:endnote>
  <w:endnote w:type="continuationNotice" w:id="1">
    <w:p w14:paraId="036E67F0" w14:textId="77777777" w:rsidR="00C4087C" w:rsidRDefault="00C408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F2B38" w14:textId="77777777" w:rsidR="00C4087C" w:rsidRDefault="00C4087C">
    <w:pPr>
      <w:spacing w:line="240" w:lineRule="exact"/>
      <w:rPr>
        <w:rFonts w:ascii="Courier" w:hAnsi="Courier"/>
        <w:sz w:val="24"/>
      </w:rPr>
    </w:pPr>
    <w:r>
      <w:rPr>
        <w:rFonts w:ascii="Courier" w:hAnsi="Courier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AD951" w14:textId="3692C613" w:rsidR="00C4087C" w:rsidRPr="002B11B8" w:rsidRDefault="00C4087C">
    <w:pPr>
      <w:spacing w:line="240" w:lineRule="exact"/>
      <w:jc w:val="center"/>
      <w:rPr>
        <w:sz w:val="18"/>
        <w:szCs w:val="18"/>
      </w:rPr>
    </w:pPr>
    <w:r w:rsidRPr="002B11B8">
      <w:rPr>
        <w:sz w:val="18"/>
        <w:szCs w:val="18"/>
      </w:rPr>
      <w:t xml:space="preserve"> </w:t>
    </w:r>
    <w:r w:rsidRPr="002B11B8">
      <w:rPr>
        <w:rStyle w:val="slostrany"/>
        <w:sz w:val="18"/>
        <w:szCs w:val="18"/>
      </w:rPr>
      <w:fldChar w:fldCharType="begin"/>
    </w:r>
    <w:r w:rsidRPr="002B11B8">
      <w:rPr>
        <w:rStyle w:val="slostrany"/>
        <w:sz w:val="18"/>
        <w:szCs w:val="18"/>
      </w:rPr>
      <w:instrText xml:space="preserve"> PAGE </w:instrText>
    </w:r>
    <w:r w:rsidRPr="002B11B8">
      <w:rPr>
        <w:rStyle w:val="slostrany"/>
        <w:sz w:val="18"/>
        <w:szCs w:val="18"/>
      </w:rPr>
      <w:fldChar w:fldCharType="separate"/>
    </w:r>
    <w:r w:rsidR="00A266E5">
      <w:rPr>
        <w:rStyle w:val="slostrany"/>
        <w:noProof/>
        <w:sz w:val="18"/>
        <w:szCs w:val="18"/>
      </w:rPr>
      <w:t>16</w:t>
    </w:r>
    <w:r w:rsidRPr="002B11B8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B0D96" w14:textId="77777777" w:rsidR="00C4087C" w:rsidRDefault="00C4087C">
      <w:r>
        <w:separator/>
      </w:r>
    </w:p>
  </w:footnote>
  <w:footnote w:type="continuationSeparator" w:id="0">
    <w:p w14:paraId="2EACA5D0" w14:textId="77777777" w:rsidR="00C4087C" w:rsidRDefault="00C4087C">
      <w:r>
        <w:continuationSeparator/>
      </w:r>
    </w:p>
  </w:footnote>
  <w:footnote w:type="continuationNotice" w:id="1">
    <w:p w14:paraId="39EE96D0" w14:textId="77777777" w:rsidR="00C4087C" w:rsidRDefault="00C4087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AA8D2" w14:textId="77777777" w:rsidR="00C4087C" w:rsidRDefault="00C4087C">
    <w:pPr>
      <w:spacing w:line="240" w:lineRule="exact"/>
      <w:rPr>
        <w:rFonts w:ascii="Courier" w:hAnsi="Courier"/>
        <w:sz w:val="24"/>
      </w:rPr>
    </w:pPr>
    <w:r>
      <w:rPr>
        <w:rFonts w:ascii="Courier" w:hAnsi="Courier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206BC" w14:textId="73E361EA" w:rsidR="00C4087C" w:rsidRPr="002B11B8" w:rsidRDefault="00C4087C">
    <w:pPr>
      <w:spacing w:line="240" w:lineRule="exact"/>
      <w:rPr>
        <w:sz w:val="18"/>
        <w:szCs w:val="18"/>
      </w:rPr>
    </w:pPr>
    <w:proofErr w:type="spellStart"/>
    <w:r w:rsidRPr="00C50996">
      <w:rPr>
        <w:sz w:val="18"/>
        <w:szCs w:val="18"/>
      </w:rPr>
      <w:t>Príloha</w:t>
    </w:r>
    <w:proofErr w:type="spellEnd"/>
    <w:r w:rsidRPr="00C50996">
      <w:rPr>
        <w:sz w:val="18"/>
        <w:szCs w:val="18"/>
      </w:rPr>
      <w:t xml:space="preserve"> </w:t>
    </w:r>
    <w:proofErr w:type="spellStart"/>
    <w:r w:rsidRPr="00C50996">
      <w:rPr>
        <w:rFonts w:hint="eastAsia"/>
        <w:sz w:val="18"/>
        <w:szCs w:val="18"/>
      </w:rPr>
      <w:t>č</w:t>
    </w:r>
    <w:r w:rsidRPr="00C50996">
      <w:rPr>
        <w:sz w:val="18"/>
        <w:szCs w:val="18"/>
      </w:rPr>
      <w:t>.1</w:t>
    </w:r>
    <w:proofErr w:type="spellEnd"/>
    <w:r w:rsidRPr="00C50996">
      <w:rPr>
        <w:sz w:val="18"/>
        <w:szCs w:val="18"/>
      </w:rPr>
      <w:t xml:space="preserve"> k </w:t>
    </w:r>
    <w:proofErr w:type="spellStart"/>
    <w:r w:rsidRPr="002B11B8">
      <w:rPr>
        <w:sz w:val="18"/>
        <w:szCs w:val="18"/>
      </w:rPr>
      <w:t>notifikácii</w:t>
    </w:r>
    <w:proofErr w:type="spellEnd"/>
    <w:r w:rsidRPr="002B11B8">
      <w:rPr>
        <w:sz w:val="18"/>
        <w:szCs w:val="18"/>
      </w:rPr>
      <w:t xml:space="preserve"> o </w:t>
    </w:r>
    <w:proofErr w:type="spellStart"/>
    <w:r w:rsidRPr="002B11B8">
      <w:rPr>
        <w:sz w:val="18"/>
        <w:szCs w:val="18"/>
      </w:rPr>
      <w:t>zmene</w:t>
    </w:r>
    <w:proofErr w:type="spellEnd"/>
    <w:r w:rsidRPr="002B11B8">
      <w:rPr>
        <w:sz w:val="18"/>
        <w:szCs w:val="18"/>
      </w:rPr>
      <w:t xml:space="preserve">, </w:t>
    </w:r>
    <w:proofErr w:type="gramStart"/>
    <w:r w:rsidRPr="002B11B8">
      <w:rPr>
        <w:sz w:val="18"/>
        <w:szCs w:val="18"/>
      </w:rPr>
      <w:t>ev.</w:t>
    </w:r>
    <w:r w:rsidRPr="002B11B8">
      <w:rPr>
        <w:rFonts w:hint="eastAsia"/>
        <w:sz w:val="18"/>
        <w:szCs w:val="18"/>
      </w:rPr>
      <w:t>č</w:t>
    </w:r>
    <w:r w:rsidRPr="002B11B8">
      <w:rPr>
        <w:sz w:val="18"/>
        <w:szCs w:val="18"/>
      </w:rPr>
      <w:t>.:</w:t>
    </w:r>
    <w:proofErr w:type="gramEnd"/>
    <w:r w:rsidRPr="002B11B8">
      <w:rPr>
        <w:sz w:val="18"/>
        <w:szCs w:val="18"/>
      </w:rPr>
      <w:t xml:space="preserve"> 2020/03851-</w:t>
    </w:r>
    <w:proofErr w:type="spellStart"/>
    <w:r w:rsidRPr="002B11B8">
      <w:rPr>
        <w:sz w:val="18"/>
        <w:szCs w:val="18"/>
      </w:rPr>
      <w:t>ZIB</w:t>
    </w:r>
    <w:proofErr w:type="spellEnd"/>
  </w:p>
  <w:p w14:paraId="5954776D" w14:textId="77777777" w:rsidR="00C4087C" w:rsidRDefault="00C4087C">
    <w:pPr>
      <w:spacing w:line="240" w:lineRule="exac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C0987"/>
    <w:multiLevelType w:val="hybridMultilevel"/>
    <w:tmpl w:val="719A99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D3987"/>
    <w:multiLevelType w:val="multilevel"/>
    <w:tmpl w:val="C2084130"/>
    <w:lvl w:ilvl="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17ED0"/>
    <w:multiLevelType w:val="hybridMultilevel"/>
    <w:tmpl w:val="AB428B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925FFB"/>
    <w:multiLevelType w:val="singleLevel"/>
    <w:tmpl w:val="0407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6C210B6"/>
    <w:multiLevelType w:val="hybridMultilevel"/>
    <w:tmpl w:val="04128DAA"/>
    <w:lvl w:ilvl="0" w:tplc="5CF20E5C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 w:hint="default"/>
        <w:b/>
      </w:rPr>
    </w:lvl>
    <w:lvl w:ilvl="1" w:tplc="638663CA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  <w:b/>
      </w:rPr>
    </w:lvl>
    <w:lvl w:ilvl="2" w:tplc="D32E39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CC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AE8D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E0F3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2276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38B8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7414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11921"/>
    <w:multiLevelType w:val="hybridMultilevel"/>
    <w:tmpl w:val="5AC808E2"/>
    <w:lvl w:ilvl="0" w:tplc="68282F1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60B0AA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028A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BC2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D251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9CC3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083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D406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A489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9091A"/>
    <w:multiLevelType w:val="hybridMultilevel"/>
    <w:tmpl w:val="A77CC2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F2EAB"/>
    <w:multiLevelType w:val="hybridMultilevel"/>
    <w:tmpl w:val="2EE42FA4"/>
    <w:lvl w:ilvl="0" w:tplc="68E221CE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 w:hint="default"/>
        <w:b/>
      </w:rPr>
    </w:lvl>
    <w:lvl w:ilvl="1" w:tplc="4FB68BBA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  <w:b/>
      </w:rPr>
    </w:lvl>
    <w:lvl w:ilvl="2" w:tplc="E80A8B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605F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88E7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523C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B082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5C7B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4855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F530B"/>
    <w:multiLevelType w:val="multilevel"/>
    <w:tmpl w:val="C2084130"/>
    <w:lvl w:ilvl="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63066"/>
    <w:multiLevelType w:val="hybridMultilevel"/>
    <w:tmpl w:val="B9EE64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D2BE9"/>
    <w:multiLevelType w:val="hybridMultilevel"/>
    <w:tmpl w:val="4D341AAC"/>
    <w:lvl w:ilvl="0" w:tplc="27FC61FC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611FA"/>
    <w:multiLevelType w:val="singleLevel"/>
    <w:tmpl w:val="C69CC6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FE01B10"/>
    <w:multiLevelType w:val="hybridMultilevel"/>
    <w:tmpl w:val="C2084130"/>
    <w:lvl w:ilvl="0" w:tplc="035AE8AC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 w:hint="default"/>
        <w:b/>
      </w:rPr>
    </w:lvl>
    <w:lvl w:ilvl="1" w:tplc="91C484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FC00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90A1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72DE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722F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62F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7AE5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66A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D3CDE"/>
    <w:multiLevelType w:val="hybridMultilevel"/>
    <w:tmpl w:val="63C02E2C"/>
    <w:lvl w:ilvl="0" w:tplc="BDBA2932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 w:hint="default"/>
        <w:b/>
      </w:rPr>
    </w:lvl>
    <w:lvl w:ilvl="1" w:tplc="BC9AF5B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9921CE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EA8C2F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CC155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70C998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7D8BD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4A89B1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FAA149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A00AF8"/>
    <w:multiLevelType w:val="multilevel"/>
    <w:tmpl w:val="F9F83662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6B0EC7"/>
    <w:multiLevelType w:val="multilevel"/>
    <w:tmpl w:val="337A4C5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4C15FE6"/>
    <w:multiLevelType w:val="multilevel"/>
    <w:tmpl w:val="5AC808E2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F2B2B"/>
    <w:multiLevelType w:val="singleLevel"/>
    <w:tmpl w:val="0407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65F7DFA"/>
    <w:multiLevelType w:val="hybridMultilevel"/>
    <w:tmpl w:val="45A65C46"/>
    <w:lvl w:ilvl="0" w:tplc="FFFFFFFF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 w:hint="default"/>
        <w:b/>
      </w:rPr>
    </w:lvl>
    <w:lvl w:ilvl="1" w:tplc="BC9AF5B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9921CE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EA8C2F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CC155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70C998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7D8BD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4A89B1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FAA149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6C5D8C"/>
    <w:multiLevelType w:val="multilevel"/>
    <w:tmpl w:val="2A0219D4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9365BCF"/>
    <w:multiLevelType w:val="hybridMultilevel"/>
    <w:tmpl w:val="A1B64A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5"/>
  </w:num>
  <w:num w:numId="4">
    <w:abstractNumId w:val="19"/>
  </w:num>
  <w:num w:numId="5">
    <w:abstractNumId w:val="3"/>
  </w:num>
  <w:num w:numId="6">
    <w:abstractNumId w:val="11"/>
  </w:num>
  <w:num w:numId="7">
    <w:abstractNumId w:val="5"/>
  </w:num>
  <w:num w:numId="8">
    <w:abstractNumId w:val="16"/>
  </w:num>
  <w:num w:numId="9">
    <w:abstractNumId w:val="12"/>
  </w:num>
  <w:num w:numId="10">
    <w:abstractNumId w:val="13"/>
  </w:num>
  <w:num w:numId="11">
    <w:abstractNumId w:val="1"/>
  </w:num>
  <w:num w:numId="12">
    <w:abstractNumId w:val="7"/>
  </w:num>
  <w:num w:numId="13">
    <w:abstractNumId w:val="8"/>
  </w:num>
  <w:num w:numId="14">
    <w:abstractNumId w:val="4"/>
  </w:num>
  <w:num w:numId="15">
    <w:abstractNumId w:val="20"/>
  </w:num>
  <w:num w:numId="16">
    <w:abstractNumId w:val="2"/>
  </w:num>
  <w:num w:numId="17">
    <w:abstractNumId w:val="0"/>
  </w:num>
  <w:num w:numId="18">
    <w:abstractNumId w:val="6"/>
  </w:num>
  <w:num w:numId="19">
    <w:abstractNumId w:val="10"/>
  </w:num>
  <w:num w:numId="20">
    <w:abstractNumId w:val="1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7E"/>
    <w:rsid w:val="00001482"/>
    <w:rsid w:val="0001723E"/>
    <w:rsid w:val="0003011C"/>
    <w:rsid w:val="00037231"/>
    <w:rsid w:val="00045061"/>
    <w:rsid w:val="000873D4"/>
    <w:rsid w:val="00091118"/>
    <w:rsid w:val="000935E3"/>
    <w:rsid w:val="000A1408"/>
    <w:rsid w:val="000B1696"/>
    <w:rsid w:val="000B4419"/>
    <w:rsid w:val="000F69A8"/>
    <w:rsid w:val="00115DD9"/>
    <w:rsid w:val="00121C1F"/>
    <w:rsid w:val="00126022"/>
    <w:rsid w:val="00135CCC"/>
    <w:rsid w:val="001367B5"/>
    <w:rsid w:val="001437F5"/>
    <w:rsid w:val="00155790"/>
    <w:rsid w:val="00172E4B"/>
    <w:rsid w:val="00194526"/>
    <w:rsid w:val="001A6ABE"/>
    <w:rsid w:val="001C3A3B"/>
    <w:rsid w:val="001D2DD8"/>
    <w:rsid w:val="001D2F3B"/>
    <w:rsid w:val="001E3DE7"/>
    <w:rsid w:val="001F1F07"/>
    <w:rsid w:val="001F3E92"/>
    <w:rsid w:val="00211447"/>
    <w:rsid w:val="00230883"/>
    <w:rsid w:val="00232F67"/>
    <w:rsid w:val="00236E10"/>
    <w:rsid w:val="002513E8"/>
    <w:rsid w:val="002632EF"/>
    <w:rsid w:val="00292853"/>
    <w:rsid w:val="002A1676"/>
    <w:rsid w:val="002B0FCE"/>
    <w:rsid w:val="002B11B8"/>
    <w:rsid w:val="002B2DA4"/>
    <w:rsid w:val="002B5AC2"/>
    <w:rsid w:val="002C34EF"/>
    <w:rsid w:val="002D2D8D"/>
    <w:rsid w:val="002D4484"/>
    <w:rsid w:val="002D4D78"/>
    <w:rsid w:val="002E6932"/>
    <w:rsid w:val="00310026"/>
    <w:rsid w:val="003134B7"/>
    <w:rsid w:val="00354EC9"/>
    <w:rsid w:val="0036148A"/>
    <w:rsid w:val="00393A2A"/>
    <w:rsid w:val="003956BD"/>
    <w:rsid w:val="00397345"/>
    <w:rsid w:val="003A733F"/>
    <w:rsid w:val="003B1A2C"/>
    <w:rsid w:val="003B3AA7"/>
    <w:rsid w:val="003B4F12"/>
    <w:rsid w:val="003D7E62"/>
    <w:rsid w:val="003E18AD"/>
    <w:rsid w:val="0040491F"/>
    <w:rsid w:val="00406241"/>
    <w:rsid w:val="00417922"/>
    <w:rsid w:val="00423DC7"/>
    <w:rsid w:val="00434D38"/>
    <w:rsid w:val="0047032F"/>
    <w:rsid w:val="00485E37"/>
    <w:rsid w:val="00486C66"/>
    <w:rsid w:val="00497F74"/>
    <w:rsid w:val="004A45D0"/>
    <w:rsid w:val="004A5F4A"/>
    <w:rsid w:val="004B1C0C"/>
    <w:rsid w:val="004B42A1"/>
    <w:rsid w:val="004D0EFA"/>
    <w:rsid w:val="004E35AE"/>
    <w:rsid w:val="00521FC6"/>
    <w:rsid w:val="00526183"/>
    <w:rsid w:val="005375D0"/>
    <w:rsid w:val="00561F53"/>
    <w:rsid w:val="00585FB4"/>
    <w:rsid w:val="005A0AA6"/>
    <w:rsid w:val="005A409B"/>
    <w:rsid w:val="005C7F93"/>
    <w:rsid w:val="005E005F"/>
    <w:rsid w:val="005E7BE2"/>
    <w:rsid w:val="005F5DB2"/>
    <w:rsid w:val="00606728"/>
    <w:rsid w:val="00620CD7"/>
    <w:rsid w:val="006250C3"/>
    <w:rsid w:val="00632D9D"/>
    <w:rsid w:val="00635576"/>
    <w:rsid w:val="00640E0E"/>
    <w:rsid w:val="00671E99"/>
    <w:rsid w:val="00683EE6"/>
    <w:rsid w:val="006A76F2"/>
    <w:rsid w:val="006B2E1D"/>
    <w:rsid w:val="006C587F"/>
    <w:rsid w:val="006D6F0B"/>
    <w:rsid w:val="006F2A59"/>
    <w:rsid w:val="00704A80"/>
    <w:rsid w:val="0071036C"/>
    <w:rsid w:val="00732F34"/>
    <w:rsid w:val="00751FEF"/>
    <w:rsid w:val="00766086"/>
    <w:rsid w:val="007967AE"/>
    <w:rsid w:val="007967FC"/>
    <w:rsid w:val="00796CC1"/>
    <w:rsid w:val="007B316C"/>
    <w:rsid w:val="007D780E"/>
    <w:rsid w:val="007E06FB"/>
    <w:rsid w:val="007F0E62"/>
    <w:rsid w:val="007F1D63"/>
    <w:rsid w:val="007F756D"/>
    <w:rsid w:val="007F79FC"/>
    <w:rsid w:val="008042DA"/>
    <w:rsid w:val="00804943"/>
    <w:rsid w:val="00805930"/>
    <w:rsid w:val="0080717E"/>
    <w:rsid w:val="00824516"/>
    <w:rsid w:val="008616F6"/>
    <w:rsid w:val="008636DF"/>
    <w:rsid w:val="0088250C"/>
    <w:rsid w:val="00895F50"/>
    <w:rsid w:val="008A4238"/>
    <w:rsid w:val="008A7740"/>
    <w:rsid w:val="008C3B90"/>
    <w:rsid w:val="008E7C30"/>
    <w:rsid w:val="00910791"/>
    <w:rsid w:val="00922CF7"/>
    <w:rsid w:val="00927827"/>
    <w:rsid w:val="00931FEE"/>
    <w:rsid w:val="00932456"/>
    <w:rsid w:val="00934F0E"/>
    <w:rsid w:val="00935A08"/>
    <w:rsid w:val="009446D7"/>
    <w:rsid w:val="009455E9"/>
    <w:rsid w:val="00972DA0"/>
    <w:rsid w:val="0099580E"/>
    <w:rsid w:val="009B15BE"/>
    <w:rsid w:val="009C1E3D"/>
    <w:rsid w:val="009C4F33"/>
    <w:rsid w:val="009E1448"/>
    <w:rsid w:val="009F7839"/>
    <w:rsid w:val="00A02C1E"/>
    <w:rsid w:val="00A02C6C"/>
    <w:rsid w:val="00A12847"/>
    <w:rsid w:val="00A2639E"/>
    <w:rsid w:val="00A266E5"/>
    <w:rsid w:val="00A341AE"/>
    <w:rsid w:val="00A7699B"/>
    <w:rsid w:val="00A913CA"/>
    <w:rsid w:val="00A97C47"/>
    <w:rsid w:val="00AA7F17"/>
    <w:rsid w:val="00AC3D16"/>
    <w:rsid w:val="00AD1ECF"/>
    <w:rsid w:val="00AE1E1E"/>
    <w:rsid w:val="00AE7AAF"/>
    <w:rsid w:val="00AF73A8"/>
    <w:rsid w:val="00B136C4"/>
    <w:rsid w:val="00B24787"/>
    <w:rsid w:val="00B336B2"/>
    <w:rsid w:val="00B565A0"/>
    <w:rsid w:val="00BB151A"/>
    <w:rsid w:val="00BB7E46"/>
    <w:rsid w:val="00BC25BB"/>
    <w:rsid w:val="00BC4D39"/>
    <w:rsid w:val="00BC63B0"/>
    <w:rsid w:val="00BE327F"/>
    <w:rsid w:val="00BF40AE"/>
    <w:rsid w:val="00C4087C"/>
    <w:rsid w:val="00C50996"/>
    <w:rsid w:val="00C57202"/>
    <w:rsid w:val="00C573B6"/>
    <w:rsid w:val="00C60ED1"/>
    <w:rsid w:val="00C67C41"/>
    <w:rsid w:val="00C74237"/>
    <w:rsid w:val="00C7446C"/>
    <w:rsid w:val="00C74CD1"/>
    <w:rsid w:val="00CA03E9"/>
    <w:rsid w:val="00CA267C"/>
    <w:rsid w:val="00CA3E0C"/>
    <w:rsid w:val="00CD4177"/>
    <w:rsid w:val="00CD5AD5"/>
    <w:rsid w:val="00CF003F"/>
    <w:rsid w:val="00D17617"/>
    <w:rsid w:val="00D23749"/>
    <w:rsid w:val="00D551C7"/>
    <w:rsid w:val="00D62B1B"/>
    <w:rsid w:val="00D7725A"/>
    <w:rsid w:val="00DA11F1"/>
    <w:rsid w:val="00DA7019"/>
    <w:rsid w:val="00DB2853"/>
    <w:rsid w:val="00DD12E8"/>
    <w:rsid w:val="00DE36A1"/>
    <w:rsid w:val="00E209AE"/>
    <w:rsid w:val="00E24B24"/>
    <w:rsid w:val="00E256B3"/>
    <w:rsid w:val="00E40882"/>
    <w:rsid w:val="00E51629"/>
    <w:rsid w:val="00E52F21"/>
    <w:rsid w:val="00E72048"/>
    <w:rsid w:val="00E741C9"/>
    <w:rsid w:val="00E815EC"/>
    <w:rsid w:val="00E84D19"/>
    <w:rsid w:val="00E87C2E"/>
    <w:rsid w:val="00E9444A"/>
    <w:rsid w:val="00EA3359"/>
    <w:rsid w:val="00EA711A"/>
    <w:rsid w:val="00EB255C"/>
    <w:rsid w:val="00EF24DA"/>
    <w:rsid w:val="00EF6598"/>
    <w:rsid w:val="00F0117E"/>
    <w:rsid w:val="00F217CA"/>
    <w:rsid w:val="00F333D8"/>
    <w:rsid w:val="00F41B86"/>
    <w:rsid w:val="00F43E3B"/>
    <w:rsid w:val="00F80534"/>
    <w:rsid w:val="00F846C9"/>
    <w:rsid w:val="00FA2404"/>
    <w:rsid w:val="00FC18F5"/>
    <w:rsid w:val="00FC5466"/>
    <w:rsid w:val="00FD0A85"/>
    <w:rsid w:val="00FD7CFF"/>
    <w:rsid w:val="00FE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3E2440"/>
  <w15:docId w15:val="{90492CEF-76F3-4C7E-BC33-7659D373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de-DE" w:eastAsia="de-DE"/>
    </w:rPr>
  </w:style>
  <w:style w:type="paragraph" w:styleId="Nadpis1">
    <w:name w:val="heading 1"/>
    <w:basedOn w:val="Normlny"/>
    <w:next w:val="Normlny"/>
    <w:qFormat/>
    <w:pPr>
      <w:keepNext/>
      <w:ind w:left="426"/>
      <w:outlineLvl w:val="0"/>
    </w:pPr>
    <w:rPr>
      <w:sz w:val="24"/>
      <w:szCs w:val="24"/>
      <w:u w:val="single"/>
      <w:lang w:val="en-US"/>
    </w:rPr>
  </w:style>
  <w:style w:type="paragraph" w:styleId="Nadpis2">
    <w:name w:val="heading 2"/>
    <w:basedOn w:val="Normlny"/>
    <w:next w:val="Normlny"/>
    <w:qFormat/>
    <w:pPr>
      <w:keepNext/>
      <w:keepLines/>
      <w:outlineLvl w:val="1"/>
    </w:pPr>
    <w:rPr>
      <w:sz w:val="24"/>
      <w:szCs w:val="24"/>
      <w:lang w:val="en-GB"/>
    </w:rPr>
  </w:style>
  <w:style w:type="paragraph" w:styleId="Nadpis3">
    <w:name w:val="heading 3"/>
    <w:basedOn w:val="Normlny"/>
    <w:next w:val="Normlny"/>
    <w:qFormat/>
    <w:pPr>
      <w:keepNext/>
      <w:tabs>
        <w:tab w:val="left" w:pos="426"/>
      </w:tabs>
      <w:ind w:left="426"/>
      <w:outlineLvl w:val="2"/>
    </w:pPr>
    <w:rPr>
      <w:sz w:val="24"/>
      <w:szCs w:val="24"/>
      <w:lang w:val="en-GB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i/>
      <w:iCs/>
      <w:sz w:val="24"/>
      <w:szCs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keepLines/>
      <w:jc w:val="center"/>
    </w:pPr>
    <w:rPr>
      <w:b/>
      <w:bCs/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">
    <w:name w:val="Body Text"/>
    <w:basedOn w:val="Normlny"/>
    <w:rPr>
      <w:sz w:val="24"/>
      <w:szCs w:val="24"/>
      <w:lang w:val="en-GB"/>
    </w:rPr>
  </w:style>
  <w:style w:type="paragraph" w:styleId="Zkladntext2">
    <w:name w:val="Body Text 2"/>
    <w:basedOn w:val="Normlny"/>
    <w:pPr>
      <w:keepLines/>
      <w:jc w:val="both"/>
    </w:pPr>
    <w:rPr>
      <w:color w:val="000000"/>
      <w:sz w:val="24"/>
      <w:szCs w:val="24"/>
    </w:rPr>
  </w:style>
  <w:style w:type="paragraph" w:styleId="Zarkazkladnhotextu3">
    <w:name w:val="Body Text Indent 3"/>
    <w:basedOn w:val="Normlny"/>
    <w:link w:val="Zarkazkladnhotextu3Char"/>
    <w:pPr>
      <w:keepLines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left="567" w:hanging="141"/>
    </w:pPr>
    <w:rPr>
      <w:sz w:val="24"/>
      <w:szCs w:val="24"/>
      <w:lang w:val="en-GB"/>
    </w:rPr>
  </w:style>
  <w:style w:type="paragraph" w:styleId="Zarkazkladnhotextu">
    <w:name w:val="Body Text Indent"/>
    <w:basedOn w:val="Normlny"/>
    <w:pPr>
      <w:keepLines/>
      <w:ind w:left="426"/>
    </w:pPr>
    <w:rPr>
      <w:sz w:val="24"/>
      <w:szCs w:val="24"/>
      <w:lang w:val="en-GB"/>
    </w:rPr>
  </w:style>
  <w:style w:type="paragraph" w:customStyle="1" w:styleId="Zkladntext21">
    <w:name w:val="Základný text 21"/>
    <w:basedOn w:val="Normlny"/>
    <w:pPr>
      <w:tabs>
        <w:tab w:val="left" w:pos="-720"/>
      </w:tabs>
      <w:suppressAutoHyphens/>
      <w:jc w:val="both"/>
    </w:pPr>
    <w:rPr>
      <w:sz w:val="24"/>
      <w:szCs w:val="24"/>
    </w:rPr>
  </w:style>
  <w:style w:type="paragraph" w:customStyle="1" w:styleId="knZulassung02">
    <w:name w:val="knZulassung02"/>
    <w:basedOn w:val="Normlny"/>
    <w:pPr>
      <w:ind w:left="1843" w:right="284"/>
    </w:pPr>
    <w:rPr>
      <w:rFonts w:ascii="Courier" w:hAnsi="Courier"/>
      <w:sz w:val="24"/>
      <w:szCs w:val="24"/>
    </w:rPr>
  </w:style>
  <w:style w:type="paragraph" w:styleId="Zarkazkladnhotextu2">
    <w:name w:val="Body Text Indent 2"/>
    <w:basedOn w:val="Normlny"/>
    <w:pPr>
      <w:tabs>
        <w:tab w:val="left" w:pos="284"/>
      </w:tabs>
      <w:suppressAutoHyphens/>
      <w:ind w:left="567" w:hanging="141"/>
    </w:pPr>
    <w:rPr>
      <w:sz w:val="24"/>
      <w:szCs w:val="24"/>
      <w:lang w:val="en-GB"/>
    </w:rPr>
  </w:style>
  <w:style w:type="character" w:styleId="slostrany">
    <w:name w:val="page number"/>
    <w:basedOn w:val="Predvolenpsmoodseku"/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sz w:val="22"/>
      <w:lang w:val="en-US" w:eastAsia="en-US"/>
    </w:rPr>
  </w:style>
  <w:style w:type="paragraph" w:customStyle="1" w:styleId="Sprechblasentext1">
    <w:name w:val="Sprechblasentext1"/>
    <w:basedOn w:val="Normlny"/>
    <w:semiHidden/>
    <w:rPr>
      <w:rFonts w:ascii="Tahoma" w:hAnsi="Tahoma" w:cs="Tahoma"/>
      <w:sz w:val="16"/>
      <w:szCs w:val="16"/>
    </w:rPr>
  </w:style>
  <w:style w:type="paragraph" w:styleId="Textbubliny">
    <w:name w:val="Balloon Text"/>
    <w:basedOn w:val="Normlny"/>
    <w:semiHidden/>
    <w:rsid w:val="0040491F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8042DA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8042DA"/>
  </w:style>
  <w:style w:type="paragraph" w:styleId="Predmetkomentra">
    <w:name w:val="annotation subject"/>
    <w:basedOn w:val="Textkomentra"/>
    <w:next w:val="Textkomentra"/>
    <w:semiHidden/>
    <w:rsid w:val="008042DA"/>
    <w:rPr>
      <w:b/>
      <w:bCs/>
    </w:rPr>
  </w:style>
  <w:style w:type="paragraph" w:styleId="Pta">
    <w:name w:val="footer"/>
    <w:basedOn w:val="Normlny"/>
    <w:rsid w:val="000B1696"/>
    <w:pPr>
      <w:tabs>
        <w:tab w:val="center" w:pos="4536"/>
        <w:tab w:val="right" w:pos="9072"/>
      </w:tabs>
    </w:pPr>
  </w:style>
  <w:style w:type="paragraph" w:customStyle="1" w:styleId="Sprechblasentext10">
    <w:name w:val="Sprechblasentext1"/>
    <w:basedOn w:val="Normlny"/>
    <w:semiHidden/>
    <w:rsid w:val="00704A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04A80"/>
    <w:pPr>
      <w:ind w:left="720"/>
      <w:contextualSpacing/>
    </w:pPr>
  </w:style>
  <w:style w:type="paragraph" w:styleId="truktradokumentu">
    <w:name w:val="Document Map"/>
    <w:basedOn w:val="Normlny"/>
    <w:link w:val="truktradokumentuChar"/>
    <w:rsid w:val="00704A80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704A80"/>
    <w:rPr>
      <w:rFonts w:ascii="Tahoma" w:hAnsi="Tahoma" w:cs="Tahoma"/>
      <w:sz w:val="16"/>
      <w:szCs w:val="16"/>
      <w:lang w:val="de-DE" w:eastAsia="de-DE"/>
    </w:rPr>
  </w:style>
  <w:style w:type="character" w:styleId="Hypertextovprepojenie">
    <w:name w:val="Hyperlink"/>
    <w:rsid w:val="0071036C"/>
    <w:rPr>
      <w:color w:val="0000FF"/>
      <w:u w:val="single"/>
    </w:rPr>
  </w:style>
  <w:style w:type="paragraph" w:customStyle="1" w:styleId="Default">
    <w:name w:val="Default"/>
    <w:rsid w:val="00FC18F5"/>
    <w:pPr>
      <w:autoSpaceDE w:val="0"/>
      <w:autoSpaceDN w:val="0"/>
      <w:adjustRightInd w:val="0"/>
    </w:pPr>
    <w:rPr>
      <w:rFonts w:ascii="Verdana" w:eastAsia="MS Mincho" w:hAnsi="Verdana" w:cs="Verdana"/>
      <w:color w:val="000000"/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semiHidden/>
    <w:rsid w:val="00C67C41"/>
    <w:rPr>
      <w:lang w:val="de-DE" w:eastAsia="de-DE"/>
    </w:rPr>
  </w:style>
  <w:style w:type="character" w:customStyle="1" w:styleId="shorttext">
    <w:name w:val="short_text"/>
    <w:rsid w:val="00C67C41"/>
  </w:style>
  <w:style w:type="character" w:customStyle="1" w:styleId="Zarkazkladnhotextu3Char">
    <w:name w:val="Zarážka základného textu 3 Char"/>
    <w:link w:val="Zarkazkladnhotextu3"/>
    <w:rsid w:val="003D7E62"/>
    <w:rPr>
      <w:sz w:val="24"/>
      <w:szCs w:val="24"/>
      <w:lang w:val="en-GB" w:eastAsia="de-DE"/>
    </w:rPr>
  </w:style>
  <w:style w:type="table" w:styleId="Mriekatabuky">
    <w:name w:val="Table Grid"/>
    <w:basedOn w:val="Normlnatabuka"/>
    <w:uiPriority w:val="59"/>
    <w:rsid w:val="00BF4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6281</Words>
  <Characters>41083</Characters>
  <Application>Microsoft Office Word</Application>
  <DocSecurity>0</DocSecurity>
  <Lines>342</Lines>
  <Paragraphs>94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SUMMARY OF PRODUCT CHARACTERISTICS</vt:lpstr>
      <vt:lpstr>SUMMARY OF PRODUCT CHARACTERISTICS</vt:lpstr>
      <vt:lpstr>SUMMARY OF PRODUCT CHARACTERISTICS</vt:lpstr>
    </vt:vector>
  </TitlesOfParts>
  <Company>EN/SK</Company>
  <LinksUpToDate>false</LinksUpToDate>
  <CharactersWithSpaces>47270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</dc:title>
  <dc:subject>Orfiril 150/300/600</dc:subject>
  <dc:creator>Rainer Heinsohn</dc:creator>
  <cp:lastModifiedBy>Skladaná, Judita</cp:lastModifiedBy>
  <cp:revision>4</cp:revision>
  <cp:lastPrinted>2008-11-21T11:34:00Z</cp:lastPrinted>
  <dcterms:created xsi:type="dcterms:W3CDTF">2020-09-04T08:33:00Z</dcterms:created>
  <dcterms:modified xsi:type="dcterms:W3CDTF">2020-09-21T08:03:00Z</dcterms:modified>
</cp:coreProperties>
</file>