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65766" w14:textId="77777777" w:rsidR="0016098C" w:rsidRPr="004A237A" w:rsidRDefault="0016098C" w:rsidP="009F08FE">
      <w:pPr>
        <w:spacing w:after="0" w:line="200" w:lineRule="exact"/>
        <w:rPr>
          <w:sz w:val="20"/>
        </w:rPr>
      </w:pPr>
    </w:p>
    <w:p w14:paraId="61F3BA98" w14:textId="77777777" w:rsidR="0016098C" w:rsidRPr="004A237A" w:rsidRDefault="0016098C" w:rsidP="009F08FE">
      <w:pPr>
        <w:spacing w:after="0" w:line="200" w:lineRule="exact"/>
        <w:rPr>
          <w:sz w:val="20"/>
        </w:rPr>
      </w:pPr>
    </w:p>
    <w:p w14:paraId="74A93A0A" w14:textId="77777777" w:rsidR="00EC4190" w:rsidRPr="004A237A" w:rsidRDefault="00EC4190" w:rsidP="00EC4190">
      <w:pPr>
        <w:spacing w:before="32" w:after="0"/>
        <w:ind w:left="1836" w:right="-20"/>
      </w:pPr>
      <w:r>
        <w:rPr>
          <w:b/>
          <w:bCs/>
          <w:lang w:val="sk"/>
        </w:rPr>
        <w:t>SÚHRN CHARAKTERISTICKÝCH VLASTNOSTÍ LIEKU</w:t>
      </w:r>
    </w:p>
    <w:p w14:paraId="5E4A518D" w14:textId="77777777" w:rsidR="0016098C" w:rsidRPr="004A237A" w:rsidRDefault="0016098C" w:rsidP="009F08FE">
      <w:pPr>
        <w:spacing w:after="0" w:line="200" w:lineRule="exact"/>
        <w:rPr>
          <w:sz w:val="20"/>
        </w:rPr>
      </w:pPr>
    </w:p>
    <w:p w14:paraId="6427837C" w14:textId="77777777" w:rsidR="0016098C" w:rsidRPr="004A237A" w:rsidRDefault="0016098C" w:rsidP="009F08FE">
      <w:pPr>
        <w:spacing w:after="0" w:line="200" w:lineRule="exact"/>
        <w:rPr>
          <w:sz w:val="20"/>
        </w:rPr>
      </w:pPr>
    </w:p>
    <w:p w14:paraId="5AEC1026" w14:textId="77777777" w:rsidR="0016098C" w:rsidRPr="004A237A" w:rsidRDefault="0016098C" w:rsidP="009F08FE">
      <w:pPr>
        <w:spacing w:after="0" w:line="200" w:lineRule="exact"/>
        <w:rPr>
          <w:sz w:val="20"/>
        </w:rPr>
      </w:pPr>
    </w:p>
    <w:p w14:paraId="2D34756C" w14:textId="77777777" w:rsidR="0016098C" w:rsidRPr="004A237A" w:rsidRDefault="0016098C" w:rsidP="009F08FE">
      <w:pPr>
        <w:spacing w:after="0" w:line="200" w:lineRule="exact"/>
        <w:rPr>
          <w:sz w:val="20"/>
        </w:rPr>
      </w:pPr>
    </w:p>
    <w:p w14:paraId="6F4ACFC8" w14:textId="073C1D92" w:rsidR="007B43D7" w:rsidRPr="004A237A" w:rsidRDefault="007B43D7" w:rsidP="00FF664F">
      <w:pPr>
        <w:pStyle w:val="Nadpis1"/>
      </w:pPr>
      <w:r>
        <w:rPr>
          <w:lang w:val="sk"/>
        </w:rPr>
        <w:t>1.</w:t>
      </w:r>
      <w:r>
        <w:rPr>
          <w:lang w:val="sk"/>
        </w:rPr>
        <w:tab/>
        <w:t>NÁZOV LIEKU</w:t>
      </w:r>
    </w:p>
    <w:p w14:paraId="24121AA1" w14:textId="202DDC8F" w:rsidR="00AA7BF0" w:rsidRDefault="00AA7BF0" w:rsidP="00AA7BF0">
      <w:pPr>
        <w:rPr>
          <w:lang w:val="sk"/>
        </w:rPr>
      </w:pPr>
      <w:proofErr w:type="spellStart"/>
      <w:r>
        <w:rPr>
          <w:lang w:val="sk"/>
        </w:rPr>
        <w:t>Nanogam</w:t>
      </w:r>
      <w:proofErr w:type="spellEnd"/>
      <w:r>
        <w:rPr>
          <w:lang w:val="sk"/>
        </w:rPr>
        <w:t xml:space="preserve"> 100 mg/ml</w:t>
      </w:r>
      <w:r w:rsidR="00A622C3">
        <w:rPr>
          <w:lang w:val="sk"/>
        </w:rPr>
        <w:t xml:space="preserve"> infúzny roztok</w:t>
      </w:r>
    </w:p>
    <w:p w14:paraId="10379565" w14:textId="77777777" w:rsidR="007F154A" w:rsidRPr="004A237A" w:rsidRDefault="007F154A" w:rsidP="00AA7BF0"/>
    <w:p w14:paraId="65944669" w14:textId="77777777" w:rsidR="007B43D7" w:rsidRPr="004A237A" w:rsidRDefault="007B43D7" w:rsidP="00FF664F">
      <w:pPr>
        <w:pStyle w:val="Nadpis1"/>
      </w:pPr>
      <w:r>
        <w:rPr>
          <w:lang w:val="sk"/>
        </w:rPr>
        <w:t>2.</w:t>
      </w:r>
      <w:r>
        <w:rPr>
          <w:lang w:val="sk"/>
        </w:rPr>
        <w:tab/>
        <w:t>KVALITATÍVNE A KVANTITATÍVNE ZLOŽENIE</w:t>
      </w:r>
    </w:p>
    <w:p w14:paraId="045E25A1" w14:textId="77777777" w:rsidR="004F6FD8" w:rsidRPr="004A237A" w:rsidRDefault="007B43D7" w:rsidP="00FF664F">
      <w:r>
        <w:rPr>
          <w:lang w:val="sk"/>
        </w:rPr>
        <w:t xml:space="preserve">Normálny ľudský </w:t>
      </w:r>
      <w:proofErr w:type="spellStart"/>
      <w:r>
        <w:rPr>
          <w:lang w:val="sk"/>
        </w:rPr>
        <w:t>imunoglobulín</w:t>
      </w:r>
      <w:proofErr w:type="spellEnd"/>
      <w:r>
        <w:rPr>
          <w:lang w:val="sk"/>
        </w:rPr>
        <w:t xml:space="preserve"> (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>)</w:t>
      </w:r>
    </w:p>
    <w:p w14:paraId="2AD65227" w14:textId="1BE8CBA7" w:rsidR="00D05F6C" w:rsidRPr="004A237A" w:rsidRDefault="007840A7" w:rsidP="00FF664F">
      <w:r>
        <w:rPr>
          <w:lang w:val="sk"/>
        </w:rPr>
        <w:t xml:space="preserve">Jeden ml obsahuje 100 mg normálneho ľudského </w:t>
      </w:r>
      <w:proofErr w:type="spellStart"/>
      <w:r>
        <w:rPr>
          <w:lang w:val="sk"/>
        </w:rPr>
        <w:t>imunoglobulínu</w:t>
      </w:r>
      <w:proofErr w:type="spellEnd"/>
      <w:r>
        <w:rPr>
          <w:lang w:val="sk"/>
        </w:rPr>
        <w:t xml:space="preserve"> (čistota minimálne 95 % </w:t>
      </w:r>
      <w:proofErr w:type="spellStart"/>
      <w:r>
        <w:rPr>
          <w:lang w:val="sk"/>
        </w:rPr>
        <w:t>IgG</w:t>
      </w:r>
      <w:proofErr w:type="spellEnd"/>
      <w:r>
        <w:rPr>
          <w:lang w:val="sk"/>
        </w:rPr>
        <w:t>)</w:t>
      </w:r>
    </w:p>
    <w:p w14:paraId="7545FCB6" w14:textId="4FF5A54C" w:rsidR="001A3EAA" w:rsidRPr="00EB1121" w:rsidRDefault="001A3EAA" w:rsidP="001A3EAA">
      <w:pPr>
        <w:pStyle w:val="Bezriadkovania"/>
      </w:pPr>
      <w:r>
        <w:rPr>
          <w:lang w:val="sk"/>
        </w:rPr>
        <w:t xml:space="preserve">Každá </w:t>
      </w:r>
      <w:r w:rsidR="002E1AB4">
        <w:rPr>
          <w:lang w:val="sk"/>
        </w:rPr>
        <w:t>injekčná liekovka</w:t>
      </w:r>
      <w:r>
        <w:rPr>
          <w:lang w:val="sk"/>
        </w:rPr>
        <w:t xml:space="preserve"> s objemom </w:t>
      </w:r>
      <w:r>
        <w:rPr>
          <w:sz w:val="24"/>
          <w:lang w:val="sk"/>
        </w:rPr>
        <w:t>10 ml</w:t>
      </w:r>
      <w:r>
        <w:rPr>
          <w:lang w:val="sk"/>
        </w:rPr>
        <w:t xml:space="preserve"> obsahuje: </w:t>
      </w:r>
      <w:r>
        <w:rPr>
          <w:lang w:val="sk"/>
        </w:rPr>
        <w:tab/>
        <w:t xml:space="preserve">1 g normálneho ľudského </w:t>
      </w:r>
      <w:proofErr w:type="spellStart"/>
      <w:r>
        <w:rPr>
          <w:lang w:val="sk"/>
        </w:rPr>
        <w:t>imunoglobulínu</w:t>
      </w:r>
      <w:proofErr w:type="spellEnd"/>
    </w:p>
    <w:p w14:paraId="18FCC7C2" w14:textId="6D48BFF2" w:rsidR="001A3EAA" w:rsidRPr="00EB1121" w:rsidRDefault="001A3EAA" w:rsidP="001A3EAA">
      <w:pPr>
        <w:pStyle w:val="Bezriadkovania"/>
      </w:pPr>
      <w:r>
        <w:rPr>
          <w:lang w:val="sk"/>
        </w:rPr>
        <w:t xml:space="preserve">Každá </w:t>
      </w:r>
      <w:r w:rsidR="00217454">
        <w:rPr>
          <w:lang w:val="sk"/>
        </w:rPr>
        <w:t>injekčná liekovka</w:t>
      </w:r>
      <w:r>
        <w:rPr>
          <w:lang w:val="sk"/>
        </w:rPr>
        <w:t xml:space="preserve"> s objemom 25 ml obsahuje: </w:t>
      </w:r>
      <w:r w:rsidR="009D5931">
        <w:rPr>
          <w:lang w:val="sk"/>
        </w:rPr>
        <w:tab/>
      </w:r>
      <w:r>
        <w:rPr>
          <w:lang w:val="sk"/>
        </w:rPr>
        <w:t xml:space="preserve">2,5 g normálneho ľudského </w:t>
      </w:r>
      <w:proofErr w:type="spellStart"/>
      <w:r>
        <w:rPr>
          <w:lang w:val="sk"/>
        </w:rPr>
        <w:t>imunoglobulínu</w:t>
      </w:r>
      <w:proofErr w:type="spellEnd"/>
    </w:p>
    <w:p w14:paraId="348817D9" w14:textId="4E8F2E79" w:rsidR="001A3EAA" w:rsidRPr="00EB1121" w:rsidRDefault="001A3EAA" w:rsidP="001A3EAA">
      <w:pPr>
        <w:pStyle w:val="Bezriadkovania"/>
      </w:pPr>
      <w:r>
        <w:rPr>
          <w:lang w:val="sk"/>
        </w:rPr>
        <w:t xml:space="preserve">Každá </w:t>
      </w:r>
      <w:r w:rsidR="00217454">
        <w:rPr>
          <w:lang w:val="sk"/>
        </w:rPr>
        <w:t>injekčná liekovka</w:t>
      </w:r>
      <w:r>
        <w:rPr>
          <w:lang w:val="sk"/>
        </w:rPr>
        <w:t xml:space="preserve"> s objemom 50 ml obsahuje: </w:t>
      </w:r>
      <w:r>
        <w:rPr>
          <w:lang w:val="sk"/>
        </w:rPr>
        <w:tab/>
        <w:t xml:space="preserve">5 g normálneho ľudského </w:t>
      </w:r>
      <w:proofErr w:type="spellStart"/>
      <w:r>
        <w:rPr>
          <w:lang w:val="sk"/>
        </w:rPr>
        <w:t>imunoglobulínu</w:t>
      </w:r>
      <w:proofErr w:type="spellEnd"/>
    </w:p>
    <w:p w14:paraId="6407A66A" w14:textId="65F6AF06" w:rsidR="001A3EAA" w:rsidRPr="00810EF9" w:rsidRDefault="001A3EAA" w:rsidP="001A3EAA">
      <w:pPr>
        <w:pStyle w:val="Bezriadkovania"/>
      </w:pPr>
      <w:r>
        <w:rPr>
          <w:lang w:val="sk"/>
        </w:rPr>
        <w:t xml:space="preserve">Každá </w:t>
      </w:r>
      <w:r w:rsidR="00217454">
        <w:rPr>
          <w:lang w:val="sk"/>
        </w:rPr>
        <w:t>injekčná liekovka</w:t>
      </w:r>
      <w:r>
        <w:rPr>
          <w:lang w:val="sk"/>
        </w:rPr>
        <w:t xml:space="preserve"> s objemom 100 ml obsahuje:</w:t>
      </w:r>
      <w:r>
        <w:rPr>
          <w:lang w:val="sk"/>
        </w:rPr>
        <w:tab/>
        <w:t xml:space="preserve">10 g normálneho ľudského </w:t>
      </w:r>
      <w:proofErr w:type="spellStart"/>
      <w:r>
        <w:rPr>
          <w:lang w:val="sk"/>
        </w:rPr>
        <w:t>imunoglobulínu</w:t>
      </w:r>
      <w:proofErr w:type="spellEnd"/>
    </w:p>
    <w:p w14:paraId="14880E65" w14:textId="43A55591" w:rsidR="001A3EAA" w:rsidRPr="00EB1121" w:rsidRDefault="001A3EAA" w:rsidP="001A3EAA">
      <w:pPr>
        <w:pStyle w:val="Bezriadkovania"/>
      </w:pPr>
      <w:r>
        <w:rPr>
          <w:lang w:val="sk"/>
        </w:rPr>
        <w:t xml:space="preserve">Každá </w:t>
      </w:r>
      <w:r w:rsidR="00217454">
        <w:rPr>
          <w:lang w:val="sk"/>
        </w:rPr>
        <w:t>injekčná liekovka</w:t>
      </w:r>
      <w:r>
        <w:rPr>
          <w:lang w:val="sk"/>
        </w:rPr>
        <w:t xml:space="preserve"> s objemom 200 ml obsahuje: </w:t>
      </w:r>
      <w:r>
        <w:rPr>
          <w:lang w:val="sk"/>
        </w:rPr>
        <w:tab/>
        <w:t xml:space="preserve">20 g normálneho ľudského </w:t>
      </w:r>
      <w:proofErr w:type="spellStart"/>
      <w:r>
        <w:rPr>
          <w:lang w:val="sk"/>
        </w:rPr>
        <w:t>imunoglobulínu</w:t>
      </w:r>
      <w:proofErr w:type="spellEnd"/>
    </w:p>
    <w:p w14:paraId="429D0305" w14:textId="38D07418" w:rsidR="001A3EAA" w:rsidRPr="00EB1121" w:rsidRDefault="001A3EAA" w:rsidP="001A3EAA">
      <w:pPr>
        <w:pStyle w:val="Bezriadkovania"/>
      </w:pPr>
      <w:r>
        <w:rPr>
          <w:lang w:val="sk"/>
        </w:rPr>
        <w:t xml:space="preserve">Každá </w:t>
      </w:r>
      <w:r w:rsidR="00217454">
        <w:rPr>
          <w:lang w:val="sk"/>
        </w:rPr>
        <w:t>injekčná liekovka</w:t>
      </w:r>
      <w:r>
        <w:rPr>
          <w:lang w:val="sk"/>
        </w:rPr>
        <w:t xml:space="preserve"> s objemom 300 ml obsahuje: </w:t>
      </w:r>
      <w:r>
        <w:rPr>
          <w:lang w:val="sk"/>
        </w:rPr>
        <w:tab/>
        <w:t xml:space="preserve">30 g normálneho ľudského </w:t>
      </w:r>
      <w:proofErr w:type="spellStart"/>
      <w:r>
        <w:rPr>
          <w:lang w:val="sk"/>
        </w:rPr>
        <w:t>imunoglobulínu</w:t>
      </w:r>
      <w:proofErr w:type="spellEnd"/>
    </w:p>
    <w:p w14:paraId="28B3C881" w14:textId="2D6D467E" w:rsidR="007B43D7" w:rsidRPr="00EB1121" w:rsidRDefault="007B43D7" w:rsidP="00155D88">
      <w:pPr>
        <w:spacing w:before="240"/>
      </w:pPr>
      <w:r>
        <w:rPr>
          <w:lang w:val="sk"/>
        </w:rPr>
        <w:t xml:space="preserve">Distribúcia podtried </w:t>
      </w:r>
      <w:proofErr w:type="spellStart"/>
      <w:r>
        <w:rPr>
          <w:lang w:val="sk"/>
        </w:rPr>
        <w:t>IgG</w:t>
      </w:r>
      <w:proofErr w:type="spellEnd"/>
      <w:r>
        <w:rPr>
          <w:lang w:val="sk"/>
        </w:rPr>
        <w:t xml:space="preserve"> (pribl</w:t>
      </w:r>
      <w:r w:rsidR="00EC4190">
        <w:rPr>
          <w:lang w:val="sk"/>
        </w:rPr>
        <w:t>ižné</w:t>
      </w:r>
      <w:r>
        <w:rPr>
          <w:lang w:val="sk"/>
        </w:rPr>
        <w:t xml:space="preserve"> hodnoty):</w:t>
      </w:r>
    </w:p>
    <w:p w14:paraId="141FCB17" w14:textId="77777777" w:rsidR="007B43D7" w:rsidRPr="00EB1121" w:rsidRDefault="007B43D7" w:rsidP="009640B9">
      <w:pPr>
        <w:pStyle w:val="Bezriadkovania"/>
        <w:tabs>
          <w:tab w:val="left" w:pos="709"/>
        </w:tabs>
      </w:pPr>
      <w:r>
        <w:rPr>
          <w:lang w:val="sk"/>
        </w:rPr>
        <w:t>IgG</w:t>
      </w:r>
      <w:r>
        <w:rPr>
          <w:vertAlign w:val="subscript"/>
          <w:lang w:val="sk"/>
        </w:rPr>
        <w:t>1</w:t>
      </w:r>
      <w:r>
        <w:rPr>
          <w:lang w:val="sk"/>
        </w:rPr>
        <w:tab/>
        <w:t>64,9 %</w:t>
      </w:r>
    </w:p>
    <w:p w14:paraId="22BEFD1C" w14:textId="77777777" w:rsidR="007B43D7" w:rsidRPr="004A237A" w:rsidRDefault="007B43D7" w:rsidP="009640B9">
      <w:pPr>
        <w:pStyle w:val="Bezriadkovania"/>
        <w:tabs>
          <w:tab w:val="left" w:pos="709"/>
        </w:tabs>
      </w:pPr>
      <w:r>
        <w:rPr>
          <w:lang w:val="sk"/>
        </w:rPr>
        <w:t>IgG</w:t>
      </w:r>
      <w:r>
        <w:rPr>
          <w:vertAlign w:val="subscript"/>
          <w:lang w:val="sk"/>
        </w:rPr>
        <w:t>2</w:t>
      </w:r>
      <w:r>
        <w:rPr>
          <w:lang w:val="sk"/>
        </w:rPr>
        <w:tab/>
        <w:t>31,8 %</w:t>
      </w:r>
    </w:p>
    <w:p w14:paraId="1400E727" w14:textId="77777777" w:rsidR="007B43D7" w:rsidRPr="004A237A" w:rsidRDefault="007B43D7" w:rsidP="009640B9">
      <w:pPr>
        <w:pStyle w:val="Bezriadkovania"/>
        <w:tabs>
          <w:tab w:val="left" w:pos="709"/>
        </w:tabs>
      </w:pPr>
      <w:r>
        <w:rPr>
          <w:lang w:val="sk"/>
        </w:rPr>
        <w:t>IgG</w:t>
      </w:r>
      <w:r>
        <w:rPr>
          <w:vertAlign w:val="subscript"/>
          <w:lang w:val="sk"/>
        </w:rPr>
        <w:t>3</w:t>
      </w:r>
      <w:r>
        <w:rPr>
          <w:lang w:val="sk"/>
        </w:rPr>
        <w:tab/>
        <w:t>2,8 %</w:t>
      </w:r>
    </w:p>
    <w:p w14:paraId="01B07DB1" w14:textId="77777777" w:rsidR="007B43D7" w:rsidRPr="004A237A" w:rsidRDefault="007B43D7" w:rsidP="009640B9">
      <w:pPr>
        <w:pStyle w:val="Bezriadkovania"/>
        <w:tabs>
          <w:tab w:val="left" w:pos="709"/>
        </w:tabs>
      </w:pPr>
      <w:r>
        <w:rPr>
          <w:lang w:val="sk"/>
        </w:rPr>
        <w:t>IgG</w:t>
      </w:r>
      <w:r>
        <w:rPr>
          <w:vertAlign w:val="subscript"/>
          <w:lang w:val="sk"/>
        </w:rPr>
        <w:t>4</w:t>
      </w:r>
      <w:r>
        <w:rPr>
          <w:lang w:val="sk"/>
        </w:rPr>
        <w:tab/>
        <w:t>0,5 %</w:t>
      </w:r>
    </w:p>
    <w:p w14:paraId="6AD29D74" w14:textId="30027D15" w:rsidR="0016098C" w:rsidRPr="004A237A" w:rsidRDefault="00A36899" w:rsidP="003C1537">
      <w:pPr>
        <w:spacing w:before="240"/>
      </w:pPr>
      <w:r>
        <w:rPr>
          <w:lang w:val="sk"/>
        </w:rPr>
        <w:t xml:space="preserve">Maximálny obsah </w:t>
      </w:r>
      <w:proofErr w:type="spellStart"/>
      <w:r>
        <w:rPr>
          <w:lang w:val="sk"/>
        </w:rPr>
        <w:t>Ig</w:t>
      </w:r>
      <w:r w:rsidR="007F154A">
        <w:rPr>
          <w:lang w:val="sk"/>
        </w:rPr>
        <w:t>A</w:t>
      </w:r>
      <w:proofErr w:type="spellEnd"/>
      <w:r>
        <w:rPr>
          <w:lang w:val="sk"/>
        </w:rPr>
        <w:t xml:space="preserve"> je 12 µg/ml.</w:t>
      </w:r>
    </w:p>
    <w:p w14:paraId="2CEF6727" w14:textId="77777777" w:rsidR="0028013F" w:rsidRPr="004A237A" w:rsidRDefault="0028013F" w:rsidP="00FF664F">
      <w:r>
        <w:rPr>
          <w:lang w:val="sk"/>
        </w:rPr>
        <w:t>Vyrobený z plazmy ľudských darcov.</w:t>
      </w:r>
    </w:p>
    <w:p w14:paraId="7754FEE2" w14:textId="6A856997" w:rsidR="009032FF" w:rsidRPr="004A237A" w:rsidRDefault="009032FF" w:rsidP="00FF664F">
      <w:r>
        <w:rPr>
          <w:lang w:val="sk"/>
        </w:rPr>
        <w:t>Pomocná látka so známym účinkom: glukóza.</w:t>
      </w:r>
    </w:p>
    <w:p w14:paraId="12C31B64" w14:textId="77777777" w:rsidR="007B43D7" w:rsidRDefault="007B43D7" w:rsidP="00FF664F">
      <w:pPr>
        <w:rPr>
          <w:lang w:val="sk"/>
        </w:rPr>
      </w:pPr>
      <w:r>
        <w:rPr>
          <w:lang w:val="sk"/>
        </w:rPr>
        <w:t>Úplný zoznam pomocných látok, pozri časť 6.1.</w:t>
      </w:r>
    </w:p>
    <w:p w14:paraId="24454367" w14:textId="77777777" w:rsidR="007F154A" w:rsidRPr="00EB1121" w:rsidRDefault="007F154A" w:rsidP="00FF664F"/>
    <w:p w14:paraId="61FE8565" w14:textId="7949CC16" w:rsidR="007B43D7" w:rsidRDefault="007B43D7" w:rsidP="00FF664F">
      <w:pPr>
        <w:pStyle w:val="Nadpis1"/>
        <w:rPr>
          <w:lang w:val="sk"/>
        </w:rPr>
      </w:pPr>
      <w:r>
        <w:rPr>
          <w:lang w:val="sk"/>
        </w:rPr>
        <w:t>3.</w:t>
      </w:r>
      <w:r>
        <w:rPr>
          <w:lang w:val="sk"/>
        </w:rPr>
        <w:tab/>
        <w:t>LIEKOVÁ FORMA</w:t>
      </w:r>
    </w:p>
    <w:p w14:paraId="7C506B20" w14:textId="77777777" w:rsidR="007B43D7" w:rsidRPr="004A237A" w:rsidRDefault="007B43D7" w:rsidP="00FF664F">
      <w:r>
        <w:rPr>
          <w:lang w:val="sk"/>
        </w:rPr>
        <w:t>Infúzny roztok</w:t>
      </w:r>
    </w:p>
    <w:p w14:paraId="342A98FF" w14:textId="77777777" w:rsidR="007B43D7" w:rsidRDefault="007B43D7" w:rsidP="00FF664F">
      <w:pPr>
        <w:rPr>
          <w:lang w:val="sk"/>
        </w:rPr>
      </w:pPr>
      <w:r>
        <w:rPr>
          <w:lang w:val="sk"/>
        </w:rPr>
        <w:t>Roztok je priehľadný alebo zľahka zakalený, bezfarebný alebo bledožltý.</w:t>
      </w:r>
    </w:p>
    <w:p w14:paraId="3ABF6BC6" w14:textId="77777777" w:rsidR="00450224" w:rsidRPr="00EB1121" w:rsidRDefault="00450224" w:rsidP="00FF664F"/>
    <w:p w14:paraId="613C378A" w14:textId="77777777" w:rsidR="007B43D7" w:rsidRPr="004A237A" w:rsidRDefault="007B43D7" w:rsidP="00FF664F">
      <w:pPr>
        <w:pStyle w:val="Nadpis1"/>
      </w:pPr>
      <w:r>
        <w:rPr>
          <w:lang w:val="sk"/>
        </w:rPr>
        <w:t>4.</w:t>
      </w:r>
      <w:r>
        <w:rPr>
          <w:lang w:val="sk"/>
        </w:rPr>
        <w:tab/>
        <w:t>KLINICKÉ ÚDAJE</w:t>
      </w:r>
    </w:p>
    <w:p w14:paraId="5E2B9F38" w14:textId="77777777" w:rsidR="007B43D7" w:rsidRPr="004A237A" w:rsidRDefault="007B43D7" w:rsidP="00062519">
      <w:pPr>
        <w:pStyle w:val="Nadpis2"/>
      </w:pPr>
      <w:r>
        <w:rPr>
          <w:lang w:val="sk"/>
        </w:rPr>
        <w:t>4.1</w:t>
      </w:r>
      <w:r>
        <w:rPr>
          <w:lang w:val="sk"/>
        </w:rPr>
        <w:tab/>
        <w:t>Terapeutické indikácie</w:t>
      </w:r>
    </w:p>
    <w:p w14:paraId="4A880B5F" w14:textId="77777777" w:rsidR="0028013F" w:rsidRPr="004A237A" w:rsidRDefault="0028013F" w:rsidP="00FF664F">
      <w:pPr>
        <w:pStyle w:val="Nadpis3"/>
      </w:pPr>
      <w:r>
        <w:rPr>
          <w:bCs w:val="0"/>
          <w:lang w:val="sk"/>
        </w:rPr>
        <w:t>Náhradná terapia u dospelých, detí a dospievajúcich (0 – 18 rokov) s nasledujúcimi stavmi:</w:t>
      </w:r>
    </w:p>
    <w:p w14:paraId="60292828" w14:textId="77777777" w:rsidR="0028013F" w:rsidRPr="004A237A" w:rsidRDefault="0028013F" w:rsidP="00FF664F">
      <w:pPr>
        <w:pStyle w:val="Odsekzoznamu"/>
        <w:numPr>
          <w:ilvl w:val="0"/>
          <w:numId w:val="20"/>
        </w:numPr>
      </w:pPr>
      <w:r>
        <w:rPr>
          <w:lang w:val="sk"/>
        </w:rPr>
        <w:t xml:space="preserve">Syndrómy primárnej </w:t>
      </w:r>
      <w:proofErr w:type="spellStart"/>
      <w:r>
        <w:rPr>
          <w:lang w:val="sk"/>
        </w:rPr>
        <w:t>imunodeficiencie</w:t>
      </w:r>
      <w:proofErr w:type="spellEnd"/>
      <w:r>
        <w:rPr>
          <w:lang w:val="sk"/>
        </w:rPr>
        <w:t xml:space="preserve"> (PID) s narušenou tvorbou protilátok (pozri časť 4.4).</w:t>
      </w:r>
    </w:p>
    <w:p w14:paraId="25F66EE9" w14:textId="365C5F74" w:rsidR="00D05F6C" w:rsidRPr="00EB1121" w:rsidRDefault="00D05F6C" w:rsidP="00D05F6C">
      <w:pPr>
        <w:pStyle w:val="Odsekzoznamu"/>
        <w:numPr>
          <w:ilvl w:val="0"/>
          <w:numId w:val="20"/>
        </w:numPr>
      </w:pPr>
      <w:r>
        <w:rPr>
          <w:lang w:val="sk"/>
        </w:rPr>
        <w:t xml:space="preserve">Sekundárne </w:t>
      </w:r>
      <w:proofErr w:type="spellStart"/>
      <w:r>
        <w:rPr>
          <w:lang w:val="sk"/>
        </w:rPr>
        <w:t>imunodeficiencie</w:t>
      </w:r>
      <w:proofErr w:type="spellEnd"/>
      <w:r>
        <w:rPr>
          <w:lang w:val="sk"/>
        </w:rPr>
        <w:t xml:space="preserve"> (SID) u</w:t>
      </w:r>
      <w:r w:rsidR="00EB4D95">
        <w:rPr>
          <w:lang w:val="sk"/>
        </w:rPr>
        <w:t> </w:t>
      </w:r>
      <w:r>
        <w:rPr>
          <w:lang w:val="sk"/>
        </w:rPr>
        <w:t>pacientov</w:t>
      </w:r>
      <w:r w:rsidR="00EB4D95">
        <w:rPr>
          <w:lang w:val="sk"/>
        </w:rPr>
        <w:t>, ktorí majú</w:t>
      </w:r>
      <w:r>
        <w:rPr>
          <w:lang w:val="sk"/>
        </w:rPr>
        <w:t xml:space="preserve"> závažné alebo </w:t>
      </w:r>
      <w:proofErr w:type="spellStart"/>
      <w:r>
        <w:rPr>
          <w:lang w:val="sk"/>
        </w:rPr>
        <w:t>rekurentné</w:t>
      </w:r>
      <w:proofErr w:type="spellEnd"/>
      <w:r>
        <w:rPr>
          <w:lang w:val="sk"/>
        </w:rPr>
        <w:t xml:space="preserve"> infekcie, s </w:t>
      </w:r>
      <w:proofErr w:type="spellStart"/>
      <w:r>
        <w:rPr>
          <w:lang w:val="sk"/>
        </w:rPr>
        <w:t>inefektívnou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antimikrobiálnou</w:t>
      </w:r>
      <w:proofErr w:type="spellEnd"/>
      <w:r>
        <w:rPr>
          <w:lang w:val="sk"/>
        </w:rPr>
        <w:t xml:space="preserve"> terapiou a preukázaným zlyhaním špecifických protilátok (PSAF)* či sérovou hladinou </w:t>
      </w:r>
      <w:proofErr w:type="spellStart"/>
      <w:r>
        <w:rPr>
          <w:lang w:val="sk"/>
        </w:rPr>
        <w:t>IgG</w:t>
      </w:r>
      <w:proofErr w:type="spellEnd"/>
      <w:r>
        <w:rPr>
          <w:lang w:val="sk"/>
        </w:rPr>
        <w:t xml:space="preserve"> &lt; 4 g/l.</w:t>
      </w:r>
    </w:p>
    <w:p w14:paraId="5C900ED8" w14:textId="77777777" w:rsidR="00D05F6C" w:rsidRPr="005909A1" w:rsidRDefault="00D05F6C" w:rsidP="000E4BAB">
      <w:r>
        <w:rPr>
          <w:lang w:val="sk"/>
        </w:rPr>
        <w:lastRenderedPageBreak/>
        <w:t xml:space="preserve">* PSAF = neschopnosť dosiahnuť aspoň 2-násobný nárast </w:t>
      </w:r>
      <w:proofErr w:type="spellStart"/>
      <w:r>
        <w:rPr>
          <w:lang w:val="sk"/>
        </w:rPr>
        <w:t>titru</w:t>
      </w:r>
      <w:proofErr w:type="spellEnd"/>
      <w:r>
        <w:rPr>
          <w:lang w:val="sk"/>
        </w:rPr>
        <w:t xml:space="preserve"> protilátok </w:t>
      </w:r>
      <w:proofErr w:type="spellStart"/>
      <w:r>
        <w:rPr>
          <w:lang w:val="sk"/>
        </w:rPr>
        <w:t>IgG</w:t>
      </w:r>
      <w:proofErr w:type="spellEnd"/>
      <w:r>
        <w:rPr>
          <w:lang w:val="sk"/>
        </w:rPr>
        <w:t xml:space="preserve"> voči vakcínam s </w:t>
      </w:r>
      <w:proofErr w:type="spellStart"/>
      <w:r>
        <w:rPr>
          <w:lang w:val="sk"/>
        </w:rPr>
        <w:t>pneumokokovým</w:t>
      </w:r>
      <w:proofErr w:type="spellEnd"/>
      <w:r>
        <w:rPr>
          <w:lang w:val="sk"/>
        </w:rPr>
        <w:t xml:space="preserve"> polysacharidom a </w:t>
      </w:r>
      <w:proofErr w:type="spellStart"/>
      <w:r>
        <w:rPr>
          <w:lang w:val="sk"/>
        </w:rPr>
        <w:t>polypeptidovým</w:t>
      </w:r>
      <w:proofErr w:type="spellEnd"/>
      <w:r>
        <w:rPr>
          <w:lang w:val="sk"/>
        </w:rPr>
        <w:t xml:space="preserve"> antigénom</w:t>
      </w:r>
    </w:p>
    <w:p w14:paraId="1D964F6F" w14:textId="77777777" w:rsidR="0028013F" w:rsidRPr="004A237A" w:rsidRDefault="0028013F" w:rsidP="00FF664F">
      <w:pPr>
        <w:pStyle w:val="Nadpis3"/>
      </w:pPr>
      <w:proofErr w:type="spellStart"/>
      <w:r>
        <w:rPr>
          <w:bCs w:val="0"/>
          <w:lang w:val="sk"/>
        </w:rPr>
        <w:t>Imunomodulácia</w:t>
      </w:r>
      <w:proofErr w:type="spellEnd"/>
      <w:r>
        <w:rPr>
          <w:bCs w:val="0"/>
          <w:lang w:val="sk"/>
        </w:rPr>
        <w:t xml:space="preserve"> u dospelých, detí a dospievajúcich (0 – 18 rokov) s nasledujúcimi stavmi:</w:t>
      </w:r>
    </w:p>
    <w:p w14:paraId="2A721C6F" w14:textId="77777777" w:rsidR="0028013F" w:rsidRPr="004A237A" w:rsidRDefault="0028013F" w:rsidP="00FF664F">
      <w:pPr>
        <w:pStyle w:val="Odsekzoznamu"/>
        <w:numPr>
          <w:ilvl w:val="0"/>
          <w:numId w:val="21"/>
        </w:numPr>
      </w:pPr>
      <w:r>
        <w:rPr>
          <w:lang w:val="sk"/>
        </w:rPr>
        <w:t xml:space="preserve">Primárna imunitná </w:t>
      </w:r>
      <w:proofErr w:type="spellStart"/>
      <w:r>
        <w:rPr>
          <w:lang w:val="sk"/>
        </w:rPr>
        <w:t>trombocytopénia</w:t>
      </w:r>
      <w:proofErr w:type="spellEnd"/>
      <w:r>
        <w:rPr>
          <w:lang w:val="sk"/>
        </w:rPr>
        <w:t xml:space="preserve"> (ITP), u pacientov s rizikom krvácania alebo pred zákrokom s cieľom korigovať počet trombocytov.</w:t>
      </w:r>
    </w:p>
    <w:p w14:paraId="76B99042" w14:textId="68F7C8C4" w:rsidR="0028013F" w:rsidRPr="00EB1121" w:rsidRDefault="0028013F" w:rsidP="00FF664F">
      <w:pPr>
        <w:pStyle w:val="Odsekzoznamu"/>
        <w:numPr>
          <w:ilvl w:val="0"/>
          <w:numId w:val="21"/>
        </w:numPr>
      </w:pPr>
      <w:proofErr w:type="spellStart"/>
      <w:r>
        <w:rPr>
          <w:lang w:val="sk"/>
        </w:rPr>
        <w:t>Guillain</w:t>
      </w:r>
      <w:r w:rsidR="001F2497">
        <w:rPr>
          <w:lang w:val="sk"/>
        </w:rPr>
        <w:t>ov</w:t>
      </w:r>
      <w:r>
        <w:rPr>
          <w:lang w:val="sk"/>
        </w:rPr>
        <w:t>-Barrého</w:t>
      </w:r>
      <w:proofErr w:type="spellEnd"/>
      <w:r>
        <w:rPr>
          <w:lang w:val="sk"/>
        </w:rPr>
        <w:t xml:space="preserve"> syndróm.</w:t>
      </w:r>
    </w:p>
    <w:p w14:paraId="47E02E2F" w14:textId="2C32BBA9" w:rsidR="00480018" w:rsidRPr="005909A1" w:rsidRDefault="0028013F" w:rsidP="004B3CC3">
      <w:pPr>
        <w:pStyle w:val="Odsekzoznamu"/>
        <w:numPr>
          <w:ilvl w:val="0"/>
          <w:numId w:val="21"/>
        </w:numPr>
      </w:pPr>
      <w:proofErr w:type="spellStart"/>
      <w:r>
        <w:rPr>
          <w:lang w:val="sk"/>
        </w:rPr>
        <w:t>Kawasakiho</w:t>
      </w:r>
      <w:proofErr w:type="spellEnd"/>
      <w:r>
        <w:rPr>
          <w:lang w:val="sk"/>
        </w:rPr>
        <w:t xml:space="preserve"> choroba (v kombinácii s kyselinou </w:t>
      </w:r>
      <w:proofErr w:type="spellStart"/>
      <w:r>
        <w:rPr>
          <w:lang w:val="sk"/>
        </w:rPr>
        <w:t>acetylsalicylovou</w:t>
      </w:r>
      <w:proofErr w:type="spellEnd"/>
      <w:r>
        <w:rPr>
          <w:lang w:val="sk"/>
        </w:rPr>
        <w:t>; pozri časť 4.2).</w:t>
      </w:r>
    </w:p>
    <w:p w14:paraId="7E58A4CD" w14:textId="657EF757" w:rsidR="004B3CC3" w:rsidRPr="005909A1" w:rsidRDefault="004B3CC3" w:rsidP="004B3CC3">
      <w:pPr>
        <w:pStyle w:val="Odsekzoznamu"/>
        <w:numPr>
          <w:ilvl w:val="0"/>
          <w:numId w:val="21"/>
        </w:numPr>
      </w:pPr>
      <w:r>
        <w:rPr>
          <w:lang w:val="sk"/>
        </w:rPr>
        <w:t xml:space="preserve">Chronická zápalová </w:t>
      </w:r>
      <w:proofErr w:type="spellStart"/>
      <w:r>
        <w:rPr>
          <w:lang w:val="sk"/>
        </w:rPr>
        <w:t>demyelinizačná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polyradikuloneuropatia</w:t>
      </w:r>
      <w:proofErr w:type="spellEnd"/>
      <w:r>
        <w:rPr>
          <w:lang w:val="sk"/>
        </w:rPr>
        <w:t xml:space="preserve"> (CIDP).</w:t>
      </w:r>
    </w:p>
    <w:p w14:paraId="29B7439C" w14:textId="3CD5389B" w:rsidR="004B3CC3" w:rsidRPr="005909A1" w:rsidRDefault="004B3CC3" w:rsidP="004B3CC3">
      <w:pPr>
        <w:pStyle w:val="Odsekzoznamu"/>
        <w:numPr>
          <w:ilvl w:val="0"/>
          <w:numId w:val="21"/>
        </w:numPr>
      </w:pPr>
      <w:proofErr w:type="spellStart"/>
      <w:r>
        <w:rPr>
          <w:lang w:val="sk"/>
        </w:rPr>
        <w:t>Multifokálna</w:t>
      </w:r>
      <w:proofErr w:type="spellEnd"/>
      <w:r>
        <w:rPr>
          <w:lang w:val="sk"/>
        </w:rPr>
        <w:t xml:space="preserve"> motorická </w:t>
      </w:r>
      <w:proofErr w:type="spellStart"/>
      <w:r>
        <w:rPr>
          <w:lang w:val="sk"/>
        </w:rPr>
        <w:t>neuropatia</w:t>
      </w:r>
      <w:proofErr w:type="spellEnd"/>
      <w:r>
        <w:rPr>
          <w:lang w:val="sk"/>
        </w:rPr>
        <w:t xml:space="preserve"> (MMN).</w:t>
      </w:r>
    </w:p>
    <w:p w14:paraId="76A98A51" w14:textId="77777777" w:rsidR="007B43D7" w:rsidRPr="004A237A" w:rsidRDefault="007B43D7" w:rsidP="00062519">
      <w:pPr>
        <w:pStyle w:val="Nadpis2"/>
      </w:pPr>
      <w:r>
        <w:rPr>
          <w:lang w:val="sk"/>
        </w:rPr>
        <w:t>4.2</w:t>
      </w:r>
      <w:r>
        <w:rPr>
          <w:lang w:val="sk"/>
        </w:rPr>
        <w:tab/>
        <w:t>Dávkovanie a spôsob podávania</w:t>
      </w:r>
    </w:p>
    <w:p w14:paraId="612C2CAD" w14:textId="77777777" w:rsidR="002676B2" w:rsidRPr="004A237A" w:rsidRDefault="002676B2" w:rsidP="00FF664F">
      <w:pPr>
        <w:pStyle w:val="Nadpis3"/>
      </w:pPr>
      <w:r>
        <w:rPr>
          <w:bCs w:val="0"/>
          <w:lang w:val="sk"/>
        </w:rPr>
        <w:t>Dávkovanie</w:t>
      </w:r>
    </w:p>
    <w:p w14:paraId="76BACE5F" w14:textId="77777777" w:rsidR="007B43D7" w:rsidRPr="004A237A" w:rsidRDefault="007B43D7" w:rsidP="00FF664F">
      <w:r>
        <w:rPr>
          <w:lang w:val="sk"/>
        </w:rPr>
        <w:t>Dávka a dávkovací režim závisia od indikácie.</w:t>
      </w:r>
    </w:p>
    <w:p w14:paraId="778C176E" w14:textId="10C6B8FD" w:rsidR="00A0738D" w:rsidRPr="009D5931" w:rsidRDefault="006A7141" w:rsidP="00FF664F">
      <w:pPr>
        <w:rPr>
          <w:lang w:val="sk"/>
        </w:rPr>
      </w:pPr>
      <w:r>
        <w:rPr>
          <w:lang w:val="sk"/>
        </w:rPr>
        <w:t xml:space="preserve">Dávku môže byť </w:t>
      </w:r>
      <w:r w:rsidR="009F7A42">
        <w:rPr>
          <w:lang w:val="sk"/>
        </w:rPr>
        <w:t>potrebné pri</w:t>
      </w:r>
      <w:r w:rsidR="004E341C">
        <w:rPr>
          <w:lang w:val="sk"/>
        </w:rPr>
        <w:t>spôsobiť</w:t>
      </w:r>
      <w:r w:rsidR="009F7A42">
        <w:rPr>
          <w:lang w:val="sk"/>
        </w:rPr>
        <w:t xml:space="preserve"> </w:t>
      </w:r>
      <w:r>
        <w:rPr>
          <w:lang w:val="sk"/>
        </w:rPr>
        <w:t>pre každého pacienta v závislosti od klinickej odpovede. Dávku</w:t>
      </w:r>
      <w:r w:rsidR="00A35A55">
        <w:rPr>
          <w:lang w:val="sk"/>
        </w:rPr>
        <w:t>, ktorá závisí</w:t>
      </w:r>
      <w:r>
        <w:rPr>
          <w:lang w:val="sk"/>
        </w:rPr>
        <w:t xml:space="preserve">  od telesnej hmotnosti</w:t>
      </w:r>
      <w:r w:rsidR="00A35A55">
        <w:rPr>
          <w:lang w:val="sk"/>
        </w:rPr>
        <w:t>,</w:t>
      </w:r>
      <w:r>
        <w:rPr>
          <w:lang w:val="sk"/>
        </w:rPr>
        <w:t xml:space="preserve"> môže byť nutné upraviť u pacientov s príliš nízkou alebo vysokou hmotnosťou. </w:t>
      </w:r>
    </w:p>
    <w:p w14:paraId="546BE027" w14:textId="77777777" w:rsidR="004B3CC3" w:rsidRPr="009D5931" w:rsidRDefault="00A0738D" w:rsidP="00FF664F">
      <w:pPr>
        <w:rPr>
          <w:lang w:val="sk"/>
        </w:rPr>
      </w:pPr>
      <w:r>
        <w:rPr>
          <w:lang w:val="sk"/>
        </w:rPr>
        <w:t>Nasledujúce dávkové režimy predstavujú iba orientačné odporúčania.</w:t>
      </w:r>
    </w:p>
    <w:p w14:paraId="4983287C" w14:textId="77777777" w:rsidR="005B5E70" w:rsidRPr="009D5931" w:rsidRDefault="005B5E70" w:rsidP="00FF664F">
      <w:pPr>
        <w:pStyle w:val="Nadpis4"/>
        <w:rPr>
          <w:lang w:val="sk"/>
        </w:rPr>
      </w:pPr>
      <w:r>
        <w:rPr>
          <w:iCs/>
          <w:lang w:val="sk"/>
        </w:rPr>
        <w:t>Náhradná terapia</w:t>
      </w:r>
    </w:p>
    <w:p w14:paraId="47B5019A" w14:textId="77777777" w:rsidR="005B5E70" w:rsidRPr="009D5931" w:rsidRDefault="005B5E70" w:rsidP="00FF664F">
      <w:pPr>
        <w:rPr>
          <w:lang w:val="sk"/>
        </w:rPr>
      </w:pPr>
      <w:r>
        <w:rPr>
          <w:lang w:val="sk"/>
        </w:rPr>
        <w:t xml:space="preserve">Náhradnú terapiu je nutné začať a sledovať pod dohľadom lekára so skúsenosťami s liečbou </w:t>
      </w:r>
      <w:proofErr w:type="spellStart"/>
      <w:r>
        <w:rPr>
          <w:lang w:val="sk"/>
        </w:rPr>
        <w:t>imunodeficiencií</w:t>
      </w:r>
      <w:proofErr w:type="spellEnd"/>
      <w:r>
        <w:rPr>
          <w:lang w:val="sk"/>
        </w:rPr>
        <w:t>.</w:t>
      </w:r>
    </w:p>
    <w:p w14:paraId="78E22277" w14:textId="3CDDDB76" w:rsidR="007B43D7" w:rsidRPr="009D5931" w:rsidRDefault="007B43D7" w:rsidP="000E4BAB">
      <w:pPr>
        <w:rPr>
          <w:lang w:val="sk"/>
        </w:rPr>
      </w:pPr>
      <w:r>
        <w:rPr>
          <w:i/>
          <w:iCs/>
          <w:lang w:val="sk"/>
        </w:rPr>
        <w:t xml:space="preserve">Náhradná terapia pri syndrómoch primárnej </w:t>
      </w:r>
      <w:proofErr w:type="spellStart"/>
      <w:r>
        <w:rPr>
          <w:i/>
          <w:iCs/>
          <w:lang w:val="sk"/>
        </w:rPr>
        <w:t>imunodeficiencie</w:t>
      </w:r>
      <w:proofErr w:type="spellEnd"/>
    </w:p>
    <w:p w14:paraId="16513308" w14:textId="1C09E919" w:rsidR="007B43D7" w:rsidRPr="009D5931" w:rsidRDefault="007B43D7" w:rsidP="00FF664F">
      <w:pPr>
        <w:rPr>
          <w:lang w:val="sk"/>
        </w:rPr>
      </w:pPr>
      <w:r>
        <w:rPr>
          <w:lang w:val="sk"/>
        </w:rPr>
        <w:t>Dávkový režim m</w:t>
      </w:r>
      <w:r w:rsidR="00A35A55">
        <w:rPr>
          <w:lang w:val="sk"/>
        </w:rPr>
        <w:t>á</w:t>
      </w:r>
      <w:r>
        <w:rPr>
          <w:lang w:val="sk"/>
        </w:rPr>
        <w:t xml:space="preserve"> zaistiť minimálnu hladinu </w:t>
      </w:r>
      <w:proofErr w:type="spellStart"/>
      <w:r>
        <w:rPr>
          <w:lang w:val="sk"/>
        </w:rPr>
        <w:t>IgG</w:t>
      </w:r>
      <w:proofErr w:type="spellEnd"/>
      <w:r>
        <w:rPr>
          <w:lang w:val="sk"/>
        </w:rPr>
        <w:t xml:space="preserve"> (meranú pred ďalšou infúziou) aspoň 6 g/l alebo v rámci normálneho referenčného rozmedzia pre populačný vek. </w:t>
      </w:r>
      <w:proofErr w:type="spellStart"/>
      <w:r>
        <w:rPr>
          <w:lang w:val="sk"/>
        </w:rPr>
        <w:t>Ekvilibrium</w:t>
      </w:r>
      <w:proofErr w:type="spellEnd"/>
      <w:r>
        <w:rPr>
          <w:lang w:val="sk"/>
        </w:rPr>
        <w:t xml:space="preserve"> ( hladiny </w:t>
      </w:r>
      <w:proofErr w:type="spellStart"/>
      <w:r>
        <w:rPr>
          <w:lang w:val="sk"/>
        </w:rPr>
        <w:t>IgG</w:t>
      </w:r>
      <w:proofErr w:type="spellEnd"/>
      <w:r w:rsidR="002935AB">
        <w:rPr>
          <w:lang w:val="sk"/>
        </w:rPr>
        <w:t xml:space="preserve"> v rovnovážnom stave</w:t>
      </w:r>
      <w:r>
        <w:rPr>
          <w:lang w:val="sk"/>
        </w:rPr>
        <w:t>) bude po začatí terapie dosiahnuté po 3 až 6 mesiacoch. Odpor</w:t>
      </w:r>
      <w:r w:rsidR="00666F49">
        <w:rPr>
          <w:lang w:val="sk"/>
        </w:rPr>
        <w:t>účaná úvodná dávka je 0,4 – 0,8 </w:t>
      </w:r>
      <w:r>
        <w:rPr>
          <w:lang w:val="sk"/>
        </w:rPr>
        <w:t>g/kg podávaná jeden</w:t>
      </w:r>
      <w:r w:rsidR="00666F49">
        <w:rPr>
          <w:lang w:val="sk"/>
        </w:rPr>
        <w:t>krát, nasledovaná minimálne 0,2 </w:t>
      </w:r>
      <w:r>
        <w:rPr>
          <w:lang w:val="sk"/>
        </w:rPr>
        <w:t>g/kg podávan</w:t>
      </w:r>
      <w:r w:rsidR="002935AB">
        <w:rPr>
          <w:lang w:val="sk"/>
        </w:rPr>
        <w:t>á</w:t>
      </w:r>
      <w:r>
        <w:rPr>
          <w:lang w:val="sk"/>
        </w:rPr>
        <w:t xml:space="preserve"> raz za 3 až 4 týždne.</w:t>
      </w:r>
    </w:p>
    <w:p w14:paraId="441F80DD" w14:textId="10529267" w:rsidR="007B43D7" w:rsidRPr="009D5931" w:rsidRDefault="007B43D7" w:rsidP="00FF664F">
      <w:pPr>
        <w:rPr>
          <w:lang w:val="sk"/>
        </w:rPr>
      </w:pPr>
      <w:r>
        <w:rPr>
          <w:lang w:val="sk"/>
        </w:rPr>
        <w:t xml:space="preserve">Dávka potrebná na dosiahnutie minimálnej úrovne </w:t>
      </w:r>
      <w:proofErr w:type="spellStart"/>
      <w:r>
        <w:rPr>
          <w:lang w:val="sk"/>
        </w:rPr>
        <w:t>IgG</w:t>
      </w:r>
      <w:proofErr w:type="spellEnd"/>
      <w:r>
        <w:rPr>
          <w:lang w:val="sk"/>
        </w:rPr>
        <w:t xml:space="preserve"> 6 g/l je 0,2 – 0,8 g/kg/mesiac. Interval dávok po dosiahnutí </w:t>
      </w:r>
      <w:r w:rsidR="002935AB">
        <w:rPr>
          <w:lang w:val="sk"/>
        </w:rPr>
        <w:t>rovnovážneho</w:t>
      </w:r>
      <w:r>
        <w:rPr>
          <w:lang w:val="sk"/>
        </w:rPr>
        <w:t xml:space="preserve"> stavu kolí</w:t>
      </w:r>
      <w:r w:rsidR="002935AB">
        <w:rPr>
          <w:lang w:val="sk"/>
        </w:rPr>
        <w:t>še</w:t>
      </w:r>
      <w:r>
        <w:rPr>
          <w:lang w:val="sk"/>
        </w:rPr>
        <w:t xml:space="preserve"> v rozmedzí od 3 do 4 týždňov.</w:t>
      </w:r>
    </w:p>
    <w:p w14:paraId="079F78A7" w14:textId="4AC74326" w:rsidR="007B43D7" w:rsidRPr="009D5931" w:rsidRDefault="00A137DC" w:rsidP="00FF664F">
      <w:pPr>
        <w:rPr>
          <w:lang w:val="sk"/>
        </w:rPr>
      </w:pPr>
      <w:r>
        <w:rPr>
          <w:lang w:val="sk"/>
        </w:rPr>
        <w:t xml:space="preserve">Minimálne hladiny </w:t>
      </w:r>
      <w:proofErr w:type="spellStart"/>
      <w:r>
        <w:rPr>
          <w:lang w:val="sk"/>
        </w:rPr>
        <w:t>IgG</w:t>
      </w:r>
      <w:proofErr w:type="spellEnd"/>
      <w:r>
        <w:rPr>
          <w:lang w:val="sk"/>
        </w:rPr>
        <w:t xml:space="preserve"> je nutné merať a hodnotiť v kombinácii s </w:t>
      </w:r>
      <w:proofErr w:type="spellStart"/>
      <w:r>
        <w:rPr>
          <w:lang w:val="sk"/>
        </w:rPr>
        <w:t>incidenciou</w:t>
      </w:r>
      <w:proofErr w:type="spellEnd"/>
      <w:r>
        <w:rPr>
          <w:lang w:val="sk"/>
        </w:rPr>
        <w:t xml:space="preserve"> infekcií. Môže byť </w:t>
      </w:r>
      <w:r w:rsidR="002935AB">
        <w:rPr>
          <w:lang w:val="sk"/>
        </w:rPr>
        <w:t>potrebné</w:t>
      </w:r>
      <w:r>
        <w:rPr>
          <w:lang w:val="sk"/>
        </w:rPr>
        <w:t xml:space="preserve"> zvýšiť dávku s cieľom dosiahnuť vyššie minimálne hladiny a znížiť výskyt bakteriálnych infekcií.</w:t>
      </w:r>
    </w:p>
    <w:p w14:paraId="5186633C" w14:textId="2F8ABA01" w:rsidR="00A137DC" w:rsidRPr="009D5931" w:rsidRDefault="00A137DC" w:rsidP="00FF664F">
      <w:pPr>
        <w:pStyle w:val="Nadpis5"/>
        <w:rPr>
          <w:i w:val="0"/>
          <w:lang w:val="sk"/>
        </w:rPr>
      </w:pPr>
      <w:r>
        <w:rPr>
          <w:iCs/>
          <w:lang w:val="sk"/>
        </w:rPr>
        <w:t xml:space="preserve">Sekundárne </w:t>
      </w:r>
      <w:proofErr w:type="spellStart"/>
      <w:r>
        <w:rPr>
          <w:iCs/>
          <w:lang w:val="sk"/>
        </w:rPr>
        <w:t>imunodeficiencie</w:t>
      </w:r>
      <w:proofErr w:type="spellEnd"/>
      <w:r>
        <w:rPr>
          <w:iCs/>
          <w:lang w:val="sk"/>
        </w:rPr>
        <w:t xml:space="preserve"> (podľa definície v časti 4.1)</w:t>
      </w:r>
    </w:p>
    <w:p w14:paraId="2B99C5A5" w14:textId="31D0CB64" w:rsidR="007B43D7" w:rsidRPr="009D5931" w:rsidRDefault="00666F49" w:rsidP="00A137DC">
      <w:pPr>
        <w:rPr>
          <w:lang w:val="sk"/>
        </w:rPr>
      </w:pPr>
      <w:r>
        <w:rPr>
          <w:lang w:val="sk"/>
        </w:rPr>
        <w:t>Odporúčaná dávka je 0,2 – 0,4 </w:t>
      </w:r>
      <w:r w:rsidR="007B43D7">
        <w:rPr>
          <w:lang w:val="sk"/>
        </w:rPr>
        <w:t>g/kg raz za 3 až 4 týždne.</w:t>
      </w:r>
    </w:p>
    <w:p w14:paraId="42310474" w14:textId="4411F941" w:rsidR="008224C3" w:rsidRPr="009D5931" w:rsidRDefault="00A137DC" w:rsidP="00FF664F">
      <w:pPr>
        <w:rPr>
          <w:lang w:val="sk"/>
        </w:rPr>
      </w:pPr>
      <w:r>
        <w:rPr>
          <w:lang w:val="sk"/>
        </w:rPr>
        <w:t xml:space="preserve">Minimálne hladiny </w:t>
      </w:r>
      <w:proofErr w:type="spellStart"/>
      <w:r>
        <w:rPr>
          <w:lang w:val="sk"/>
        </w:rPr>
        <w:t>IgG</w:t>
      </w:r>
      <w:proofErr w:type="spellEnd"/>
      <w:r>
        <w:rPr>
          <w:lang w:val="sk"/>
        </w:rPr>
        <w:t xml:space="preserve"> je nutné merať a hodnotiť v kombinácii s </w:t>
      </w:r>
      <w:proofErr w:type="spellStart"/>
      <w:r>
        <w:rPr>
          <w:lang w:val="sk"/>
        </w:rPr>
        <w:t>incidenciou</w:t>
      </w:r>
      <w:proofErr w:type="spellEnd"/>
      <w:r>
        <w:rPr>
          <w:lang w:val="sk"/>
        </w:rPr>
        <w:t xml:space="preserve"> infekcií. Dávku je nutné upraviť podľa potrieb s cieľom dosiahnuť optimálnu ochranu proti infekciám. U pacientov s </w:t>
      </w:r>
      <w:proofErr w:type="spellStart"/>
      <w:r>
        <w:rPr>
          <w:lang w:val="sk"/>
        </w:rPr>
        <w:t>perzistentnou</w:t>
      </w:r>
      <w:proofErr w:type="spellEnd"/>
      <w:r>
        <w:rPr>
          <w:lang w:val="sk"/>
        </w:rPr>
        <w:t xml:space="preserve"> infekciou môže byť nutné zvýšenie</w:t>
      </w:r>
      <w:r w:rsidR="00EB4D95">
        <w:rPr>
          <w:lang w:val="sk"/>
        </w:rPr>
        <w:t xml:space="preserve"> dávky</w:t>
      </w:r>
      <w:r>
        <w:rPr>
          <w:lang w:val="sk"/>
        </w:rPr>
        <w:t>. U pacientov, ktorí sú dlhší čas bez infekcií, je možné zvážiť zníženie dávky.</w:t>
      </w:r>
    </w:p>
    <w:p w14:paraId="6D84A27D" w14:textId="77777777" w:rsidR="00A079B7" w:rsidRPr="009D5931" w:rsidRDefault="00A079B7" w:rsidP="00FF664F">
      <w:pPr>
        <w:pStyle w:val="Nadpis4"/>
        <w:rPr>
          <w:lang w:val="sk"/>
        </w:rPr>
      </w:pPr>
      <w:proofErr w:type="spellStart"/>
      <w:r>
        <w:rPr>
          <w:iCs/>
          <w:lang w:val="sk"/>
        </w:rPr>
        <w:t>Imunomodulácia</w:t>
      </w:r>
      <w:proofErr w:type="spellEnd"/>
    </w:p>
    <w:p w14:paraId="145A9923" w14:textId="77777777" w:rsidR="008224C3" w:rsidRPr="009D5931" w:rsidRDefault="008224C3" w:rsidP="00FF664F">
      <w:pPr>
        <w:pStyle w:val="Nadpis5"/>
        <w:rPr>
          <w:lang w:val="sk"/>
        </w:rPr>
      </w:pPr>
      <w:r>
        <w:rPr>
          <w:iCs/>
          <w:lang w:val="sk"/>
        </w:rPr>
        <w:t xml:space="preserve">Primárna imunitná </w:t>
      </w:r>
      <w:proofErr w:type="spellStart"/>
      <w:r>
        <w:rPr>
          <w:iCs/>
          <w:lang w:val="sk"/>
        </w:rPr>
        <w:t>trombocytopénia</w:t>
      </w:r>
      <w:proofErr w:type="spellEnd"/>
    </w:p>
    <w:p w14:paraId="72B193C7" w14:textId="3E418351" w:rsidR="008224C3" w:rsidRPr="009D5931" w:rsidRDefault="008224C3" w:rsidP="00FF664F">
      <w:pPr>
        <w:rPr>
          <w:lang w:val="sk"/>
        </w:rPr>
      </w:pPr>
      <w:r>
        <w:rPr>
          <w:lang w:val="sk"/>
        </w:rPr>
        <w:t>Existujú dva alternatívne liečebné harmonogramy:</w:t>
      </w:r>
    </w:p>
    <w:p w14:paraId="217F1EC0" w14:textId="27F3B026" w:rsidR="008224C3" w:rsidRPr="009D5931" w:rsidRDefault="00666F49" w:rsidP="00FF664F">
      <w:pPr>
        <w:pStyle w:val="Odsekzoznamu"/>
        <w:numPr>
          <w:ilvl w:val="0"/>
          <w:numId w:val="22"/>
        </w:numPr>
        <w:rPr>
          <w:lang w:val="sk"/>
        </w:rPr>
      </w:pPr>
      <w:r>
        <w:rPr>
          <w:lang w:val="sk"/>
        </w:rPr>
        <w:t>0,8 – 1 </w:t>
      </w:r>
      <w:r w:rsidR="008224C3">
        <w:rPr>
          <w:lang w:val="sk"/>
        </w:rPr>
        <w:t>g/kg podávaných v deň 1; túto dávku je možné opakovať raz v priebehu 3 dní</w:t>
      </w:r>
    </w:p>
    <w:p w14:paraId="24CB5D21" w14:textId="48A6BC2A" w:rsidR="008224C3" w:rsidRPr="009D5931" w:rsidRDefault="00666F49" w:rsidP="00FF664F">
      <w:pPr>
        <w:pStyle w:val="Odsekzoznamu"/>
        <w:numPr>
          <w:ilvl w:val="0"/>
          <w:numId w:val="22"/>
        </w:numPr>
        <w:rPr>
          <w:lang w:val="sk"/>
        </w:rPr>
      </w:pPr>
      <w:r>
        <w:rPr>
          <w:lang w:val="sk"/>
        </w:rPr>
        <w:t>0,4 </w:t>
      </w:r>
      <w:r w:rsidR="008224C3">
        <w:rPr>
          <w:lang w:val="sk"/>
        </w:rPr>
        <w:t>g/kg podávaných denne počas 2 až 5 dní.</w:t>
      </w:r>
    </w:p>
    <w:p w14:paraId="28C0895D" w14:textId="77777777" w:rsidR="008224C3" w:rsidRPr="009D5931" w:rsidRDefault="008224C3" w:rsidP="00FF664F">
      <w:pPr>
        <w:rPr>
          <w:lang w:val="nl-NL"/>
        </w:rPr>
      </w:pPr>
      <w:r>
        <w:rPr>
          <w:lang w:val="sk"/>
        </w:rPr>
        <w:t xml:space="preserve">Liečbu je možné v prípade </w:t>
      </w:r>
      <w:proofErr w:type="spellStart"/>
      <w:r>
        <w:rPr>
          <w:lang w:val="sk"/>
        </w:rPr>
        <w:t>relapsu</w:t>
      </w:r>
      <w:proofErr w:type="spellEnd"/>
      <w:r>
        <w:rPr>
          <w:lang w:val="sk"/>
        </w:rPr>
        <w:t xml:space="preserve"> opakovať.</w:t>
      </w:r>
    </w:p>
    <w:p w14:paraId="7D628E79" w14:textId="00941C57" w:rsidR="007B43D7" w:rsidRPr="009D5931" w:rsidRDefault="007B43D7" w:rsidP="00FF664F">
      <w:pPr>
        <w:pStyle w:val="Nadpis5"/>
        <w:rPr>
          <w:lang w:val="nl-NL"/>
        </w:rPr>
      </w:pPr>
      <w:proofErr w:type="spellStart"/>
      <w:r>
        <w:rPr>
          <w:iCs/>
          <w:lang w:val="sk"/>
        </w:rPr>
        <w:lastRenderedPageBreak/>
        <w:t>Guillain</w:t>
      </w:r>
      <w:r w:rsidR="00EB4D95">
        <w:rPr>
          <w:iCs/>
          <w:lang w:val="sk"/>
        </w:rPr>
        <w:t>ov</w:t>
      </w:r>
      <w:r>
        <w:rPr>
          <w:iCs/>
          <w:lang w:val="sk"/>
        </w:rPr>
        <w:t>-Barrého</w:t>
      </w:r>
      <w:proofErr w:type="spellEnd"/>
      <w:r>
        <w:rPr>
          <w:iCs/>
          <w:lang w:val="sk"/>
        </w:rPr>
        <w:t xml:space="preserve"> syndróm</w:t>
      </w:r>
    </w:p>
    <w:p w14:paraId="4900A20E" w14:textId="23F43922" w:rsidR="007B43D7" w:rsidRPr="009D5931" w:rsidRDefault="00666F49" w:rsidP="00FF664F">
      <w:pPr>
        <w:rPr>
          <w:lang w:val="nl-NL"/>
        </w:rPr>
      </w:pPr>
      <w:r>
        <w:rPr>
          <w:lang w:val="sk"/>
        </w:rPr>
        <w:t>0,4 </w:t>
      </w:r>
      <w:r w:rsidR="007B43D7">
        <w:rPr>
          <w:lang w:val="sk"/>
        </w:rPr>
        <w:t xml:space="preserve">g/kg/deň počas 5 dní (dávku je možné v prípade </w:t>
      </w:r>
      <w:proofErr w:type="spellStart"/>
      <w:r w:rsidR="007B43D7">
        <w:rPr>
          <w:lang w:val="sk"/>
        </w:rPr>
        <w:t>relapsu</w:t>
      </w:r>
      <w:proofErr w:type="spellEnd"/>
      <w:r w:rsidR="007B43D7">
        <w:rPr>
          <w:lang w:val="sk"/>
        </w:rPr>
        <w:t xml:space="preserve"> zopakovať).</w:t>
      </w:r>
    </w:p>
    <w:p w14:paraId="3855D4B8" w14:textId="77777777" w:rsidR="007B43D7" w:rsidRPr="009D5931" w:rsidRDefault="007B43D7" w:rsidP="00FF664F">
      <w:pPr>
        <w:pStyle w:val="Nadpis5"/>
        <w:rPr>
          <w:lang w:val="nl-NL"/>
        </w:rPr>
      </w:pPr>
      <w:proofErr w:type="spellStart"/>
      <w:r>
        <w:rPr>
          <w:iCs/>
          <w:lang w:val="sk"/>
        </w:rPr>
        <w:t>Kawasakiho</w:t>
      </w:r>
      <w:proofErr w:type="spellEnd"/>
      <w:r>
        <w:rPr>
          <w:iCs/>
          <w:lang w:val="sk"/>
        </w:rPr>
        <w:t xml:space="preserve"> choroba</w:t>
      </w:r>
    </w:p>
    <w:p w14:paraId="4FCE6452" w14:textId="776C104B" w:rsidR="00A92E12" w:rsidRPr="00AD4BA5" w:rsidRDefault="00666F49" w:rsidP="00FF664F">
      <w:pPr>
        <w:rPr>
          <w:lang w:val="sk"/>
        </w:rPr>
      </w:pPr>
      <w:r>
        <w:rPr>
          <w:lang w:val="sk"/>
        </w:rPr>
        <w:t>2 </w:t>
      </w:r>
      <w:r w:rsidR="007B43D7">
        <w:rPr>
          <w:lang w:val="sk"/>
        </w:rPr>
        <w:t>kg/kg je nutné podať ako jednu dávku. Pacienti ma</w:t>
      </w:r>
      <w:r w:rsidR="00EB4D95">
        <w:rPr>
          <w:lang w:val="sk"/>
        </w:rPr>
        <w:t>jú</w:t>
      </w:r>
      <w:r w:rsidR="007B43D7">
        <w:rPr>
          <w:lang w:val="sk"/>
        </w:rPr>
        <w:t xml:space="preserve"> dostávať súbežnú liečbu </w:t>
      </w:r>
      <w:r w:rsidR="00A30ADB">
        <w:rPr>
          <w:lang w:val="sk"/>
        </w:rPr>
        <w:t xml:space="preserve">s kyselinou </w:t>
      </w:r>
      <w:proofErr w:type="spellStart"/>
      <w:r w:rsidR="007B43D7">
        <w:rPr>
          <w:lang w:val="sk"/>
        </w:rPr>
        <w:t>acetylsalicyl</w:t>
      </w:r>
      <w:r w:rsidR="00A30ADB">
        <w:rPr>
          <w:lang w:val="sk"/>
        </w:rPr>
        <w:t>ovou</w:t>
      </w:r>
      <w:proofErr w:type="spellEnd"/>
      <w:r w:rsidR="007B43D7">
        <w:rPr>
          <w:lang w:val="sk"/>
        </w:rPr>
        <w:t>.</w:t>
      </w:r>
    </w:p>
    <w:p w14:paraId="3BEB7096" w14:textId="77777777" w:rsidR="00A137DC" w:rsidRPr="00AD4BA5" w:rsidRDefault="00A137DC" w:rsidP="00A137DC">
      <w:pPr>
        <w:pStyle w:val="Nadpis5"/>
        <w:rPr>
          <w:lang w:val="sk"/>
        </w:rPr>
      </w:pPr>
      <w:r>
        <w:rPr>
          <w:iCs/>
          <w:lang w:val="sk"/>
        </w:rPr>
        <w:t xml:space="preserve">Chronická zápalová </w:t>
      </w:r>
      <w:proofErr w:type="spellStart"/>
      <w:r>
        <w:rPr>
          <w:iCs/>
          <w:lang w:val="sk"/>
        </w:rPr>
        <w:t>demyelinizačná</w:t>
      </w:r>
      <w:proofErr w:type="spellEnd"/>
      <w:r>
        <w:rPr>
          <w:iCs/>
          <w:lang w:val="sk"/>
        </w:rPr>
        <w:t xml:space="preserve"> </w:t>
      </w:r>
      <w:proofErr w:type="spellStart"/>
      <w:r>
        <w:rPr>
          <w:iCs/>
          <w:lang w:val="sk"/>
        </w:rPr>
        <w:t>polyneuropatia</w:t>
      </w:r>
      <w:proofErr w:type="spellEnd"/>
      <w:r>
        <w:rPr>
          <w:iCs/>
          <w:lang w:val="sk"/>
        </w:rPr>
        <w:t xml:space="preserve"> (CIDP)</w:t>
      </w:r>
    </w:p>
    <w:p w14:paraId="524AF951" w14:textId="30635859" w:rsidR="002438D8" w:rsidRPr="00AD4BA5" w:rsidRDefault="00207DFB" w:rsidP="00A137DC">
      <w:pPr>
        <w:suppressAutoHyphens w:val="0"/>
        <w:spacing w:after="0"/>
        <w:rPr>
          <w:lang w:val="sk"/>
        </w:rPr>
      </w:pPr>
      <w:r>
        <w:rPr>
          <w:lang w:val="sk"/>
        </w:rPr>
        <w:t xml:space="preserve">Úvodná dávka: 2 g/kg rozdelených na 2 až 5 po sebe nasledujúcich dní </w:t>
      </w:r>
    </w:p>
    <w:p w14:paraId="214B7590" w14:textId="77777777" w:rsidR="00A137DC" w:rsidRPr="00AD4BA5" w:rsidRDefault="00A137DC" w:rsidP="00A137DC">
      <w:pPr>
        <w:suppressAutoHyphens w:val="0"/>
        <w:spacing w:after="0"/>
        <w:rPr>
          <w:lang w:val="sk"/>
        </w:rPr>
      </w:pPr>
      <w:r>
        <w:rPr>
          <w:lang w:val="sk"/>
        </w:rPr>
        <w:t>Udržiavacia dávka:</w:t>
      </w:r>
    </w:p>
    <w:p w14:paraId="66E9E6AF" w14:textId="2E874E26" w:rsidR="00A137DC" w:rsidRPr="00AD4BA5" w:rsidRDefault="00666F49" w:rsidP="00A137DC">
      <w:pPr>
        <w:suppressAutoHyphens w:val="0"/>
        <w:spacing w:after="0"/>
        <w:rPr>
          <w:lang w:val="sk"/>
        </w:rPr>
      </w:pPr>
      <w:r>
        <w:rPr>
          <w:lang w:val="sk"/>
        </w:rPr>
        <w:t>1 </w:t>
      </w:r>
      <w:r w:rsidR="00207DFB">
        <w:rPr>
          <w:lang w:val="sk"/>
        </w:rPr>
        <w:t>g/kg počas 1 až 2 po sebe nasledujúcich dní raz za 3 týždne.</w:t>
      </w:r>
    </w:p>
    <w:p w14:paraId="3643AB74" w14:textId="77777777" w:rsidR="00A137DC" w:rsidRPr="00AD4BA5" w:rsidRDefault="00A137DC" w:rsidP="00A137DC">
      <w:pPr>
        <w:suppressAutoHyphens w:val="0"/>
        <w:spacing w:after="0"/>
        <w:rPr>
          <w:lang w:val="sk"/>
        </w:rPr>
      </w:pPr>
      <w:r>
        <w:rPr>
          <w:lang w:val="sk"/>
        </w:rPr>
        <w:t>Efekt liečby je nutné vyhodnotiť po každom cykle; ak nie je po 6 mesiacoch pozorovaný žiadny efekt, liečbu ukončite.</w:t>
      </w:r>
    </w:p>
    <w:p w14:paraId="180AF874" w14:textId="5F903335" w:rsidR="00A137DC" w:rsidRPr="009D5931" w:rsidRDefault="00A137DC" w:rsidP="00A137DC">
      <w:pPr>
        <w:suppressAutoHyphens w:val="0"/>
        <w:spacing w:after="0"/>
        <w:rPr>
          <w:lang w:val="sk"/>
        </w:rPr>
      </w:pPr>
      <w:r>
        <w:rPr>
          <w:lang w:val="sk"/>
        </w:rPr>
        <w:t>Ak je liečba efektívna, jej dlhodobé pokračovanie je na uvážení lekára (podľa odpovede pacienta a udržiavacej odpovede). Dávku a interval môže byť potrebné upraviť podľa individuálneho priebehu ochorenia.</w:t>
      </w:r>
    </w:p>
    <w:p w14:paraId="77EA2DD7" w14:textId="77777777" w:rsidR="00A137DC" w:rsidRPr="009D5931" w:rsidRDefault="00A137DC" w:rsidP="002438D8">
      <w:pPr>
        <w:pStyle w:val="Nadpis5"/>
        <w:rPr>
          <w:lang w:val="sk"/>
        </w:rPr>
      </w:pPr>
      <w:proofErr w:type="spellStart"/>
      <w:r>
        <w:rPr>
          <w:iCs/>
          <w:lang w:val="sk"/>
        </w:rPr>
        <w:t>Multifokálna</w:t>
      </w:r>
      <w:proofErr w:type="spellEnd"/>
      <w:r>
        <w:rPr>
          <w:iCs/>
          <w:lang w:val="sk"/>
        </w:rPr>
        <w:t xml:space="preserve"> motorická </w:t>
      </w:r>
      <w:proofErr w:type="spellStart"/>
      <w:r>
        <w:rPr>
          <w:iCs/>
          <w:lang w:val="sk"/>
        </w:rPr>
        <w:t>neuropatia</w:t>
      </w:r>
      <w:proofErr w:type="spellEnd"/>
      <w:r>
        <w:rPr>
          <w:iCs/>
          <w:lang w:val="sk"/>
        </w:rPr>
        <w:t xml:space="preserve"> (MMN)</w:t>
      </w:r>
    </w:p>
    <w:p w14:paraId="6DED77AE" w14:textId="34D46336" w:rsidR="00A137DC" w:rsidRPr="009D5931" w:rsidRDefault="00666F49" w:rsidP="00A137DC">
      <w:pPr>
        <w:suppressAutoHyphens w:val="0"/>
        <w:spacing w:after="0"/>
        <w:rPr>
          <w:lang w:val="sk"/>
        </w:rPr>
      </w:pPr>
      <w:r>
        <w:rPr>
          <w:lang w:val="sk"/>
        </w:rPr>
        <w:t>Úvodná dávka: 2 </w:t>
      </w:r>
      <w:r w:rsidR="00A137DC">
        <w:rPr>
          <w:lang w:val="sk"/>
        </w:rPr>
        <w:t>g/kg podaných počas 2 až 5 po sebe nasledujúcich dní</w:t>
      </w:r>
    </w:p>
    <w:p w14:paraId="4A1541AD" w14:textId="0E874148" w:rsidR="00A137DC" w:rsidRPr="009D5931" w:rsidRDefault="00666F49" w:rsidP="00A137DC">
      <w:pPr>
        <w:suppressAutoHyphens w:val="0"/>
        <w:spacing w:after="0"/>
        <w:rPr>
          <w:lang w:val="sk"/>
        </w:rPr>
      </w:pPr>
      <w:r>
        <w:rPr>
          <w:lang w:val="sk"/>
        </w:rPr>
        <w:t>Udržiavacia dávka: 1 </w:t>
      </w:r>
      <w:r w:rsidR="00A137DC">
        <w:rPr>
          <w:lang w:val="sk"/>
        </w:rPr>
        <w:t>g/</w:t>
      </w:r>
      <w:r>
        <w:rPr>
          <w:lang w:val="sk"/>
        </w:rPr>
        <w:t>kg raz za 2 až 4 týždne alebo 2 </w:t>
      </w:r>
      <w:r w:rsidR="00A137DC">
        <w:rPr>
          <w:lang w:val="sk"/>
        </w:rPr>
        <w:t>g/kg raz za 4 až 8 týždňov.</w:t>
      </w:r>
    </w:p>
    <w:p w14:paraId="2C85603E" w14:textId="77777777" w:rsidR="00A137DC" w:rsidRPr="009D5931" w:rsidRDefault="00A137DC" w:rsidP="00A137DC">
      <w:pPr>
        <w:suppressAutoHyphens w:val="0"/>
        <w:spacing w:after="0"/>
        <w:rPr>
          <w:lang w:val="sk"/>
        </w:rPr>
      </w:pPr>
      <w:r>
        <w:rPr>
          <w:lang w:val="sk"/>
        </w:rPr>
        <w:t>Efekt liečby je nutné vyhodnotiť po každom cykle; ak nie je po 6 mesiacoch pozorovaný žiadny efekt, liečbu ukončite.</w:t>
      </w:r>
    </w:p>
    <w:p w14:paraId="5A7CBFA3" w14:textId="7ED0A45B" w:rsidR="005F2E21" w:rsidRPr="009D5931" w:rsidRDefault="00A137DC" w:rsidP="00A137DC">
      <w:pPr>
        <w:suppressAutoHyphens w:val="0"/>
        <w:spacing w:after="0"/>
        <w:rPr>
          <w:lang w:val="sk"/>
        </w:rPr>
      </w:pPr>
      <w:r>
        <w:rPr>
          <w:lang w:val="sk"/>
        </w:rPr>
        <w:t xml:space="preserve">Ak je liečba efektívna, jej dlhodobé pokračovanie je na uvážení lekára (podľa odpovede pacienta a udržiavacej odpovede). Dávku a interval môže byť potrebné upraviť podľa individuálneho priebehu ochorenia. </w:t>
      </w:r>
    </w:p>
    <w:p w14:paraId="44D1BB17" w14:textId="77777777" w:rsidR="00181DAF" w:rsidRPr="009D5931" w:rsidRDefault="00181DAF" w:rsidP="00A137DC">
      <w:pPr>
        <w:suppressAutoHyphens w:val="0"/>
        <w:spacing w:after="0"/>
        <w:rPr>
          <w:lang w:val="sk"/>
        </w:rPr>
      </w:pPr>
    </w:p>
    <w:p w14:paraId="3D0344B6" w14:textId="77777777" w:rsidR="007B43D7" w:rsidRPr="009D5931" w:rsidRDefault="007B43D7" w:rsidP="00FF664F">
      <w:pPr>
        <w:rPr>
          <w:lang w:val="sk"/>
        </w:rPr>
      </w:pPr>
      <w:r>
        <w:rPr>
          <w:lang w:val="sk"/>
        </w:rPr>
        <w:t>Odporúčania pre dávku sú zhrnuté v nasledujúcej tabuľke: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9"/>
        <w:gridCol w:w="2195"/>
        <w:gridCol w:w="3025"/>
        <w:gridCol w:w="10"/>
      </w:tblGrid>
      <w:tr w:rsidR="0040016F" w:rsidRPr="005909A1" w14:paraId="6CD03F9D" w14:textId="77777777" w:rsidTr="00E374EE">
        <w:trPr>
          <w:gridAfter w:val="1"/>
          <w:wAfter w:w="5" w:type="pct"/>
          <w:cantSplit/>
        </w:trPr>
        <w:tc>
          <w:tcPr>
            <w:tcW w:w="2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8683F56" w14:textId="77777777" w:rsidR="0040016F" w:rsidRPr="005909A1" w:rsidRDefault="0040016F" w:rsidP="0040016F">
            <w:pPr>
              <w:keepNext/>
              <w:rPr>
                <w:b/>
              </w:rPr>
            </w:pPr>
            <w:r>
              <w:rPr>
                <w:b/>
                <w:bCs/>
                <w:lang w:val="sk"/>
              </w:rPr>
              <w:t>Indikácia</w:t>
            </w:r>
          </w:p>
        </w:tc>
        <w:tc>
          <w:tcPr>
            <w:tcW w:w="1142" w:type="pct"/>
            <w:tcBorders>
              <w:top w:val="double" w:sz="4" w:space="0" w:color="auto"/>
              <w:bottom w:val="double" w:sz="4" w:space="0" w:color="auto"/>
            </w:tcBorders>
          </w:tcPr>
          <w:p w14:paraId="1252852F" w14:textId="77777777" w:rsidR="0040016F" w:rsidRPr="005909A1" w:rsidRDefault="0040016F" w:rsidP="0040016F">
            <w:pPr>
              <w:keepNext/>
              <w:rPr>
                <w:b/>
              </w:rPr>
            </w:pPr>
            <w:r>
              <w:rPr>
                <w:b/>
                <w:bCs/>
                <w:lang w:val="sk"/>
              </w:rPr>
              <w:t>Dávka</w:t>
            </w:r>
          </w:p>
        </w:tc>
        <w:tc>
          <w:tcPr>
            <w:tcW w:w="15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CC25BC" w14:textId="77777777" w:rsidR="0040016F" w:rsidRPr="005909A1" w:rsidRDefault="0040016F" w:rsidP="0040016F">
            <w:pPr>
              <w:keepNext/>
              <w:rPr>
                <w:b/>
              </w:rPr>
            </w:pPr>
            <w:r>
              <w:rPr>
                <w:b/>
                <w:bCs/>
                <w:lang w:val="sk"/>
              </w:rPr>
              <w:t>Frekvencia injekčných aplikácií</w:t>
            </w:r>
          </w:p>
        </w:tc>
      </w:tr>
      <w:tr w:rsidR="0040016F" w:rsidRPr="005909A1" w14:paraId="23363F48" w14:textId="77777777" w:rsidTr="00E374EE">
        <w:trPr>
          <w:gridAfter w:val="1"/>
          <w:wAfter w:w="5" w:type="pct"/>
          <w:cantSplit/>
          <w:trHeight w:val="65"/>
        </w:trPr>
        <w:tc>
          <w:tcPr>
            <w:tcW w:w="2279" w:type="pct"/>
            <w:tcBorders>
              <w:top w:val="double" w:sz="4" w:space="0" w:color="auto"/>
              <w:left w:val="double" w:sz="4" w:space="0" w:color="auto"/>
            </w:tcBorders>
          </w:tcPr>
          <w:p w14:paraId="0C254B39" w14:textId="77777777" w:rsidR="0040016F" w:rsidRPr="005909A1" w:rsidRDefault="0040016F" w:rsidP="0040016F">
            <w:pPr>
              <w:pStyle w:val="Nadpis4"/>
              <w:spacing w:before="60" w:after="60"/>
            </w:pPr>
            <w:r>
              <w:rPr>
                <w:iCs/>
                <w:lang w:val="sk"/>
              </w:rPr>
              <w:t>Náhradná terapia</w:t>
            </w:r>
          </w:p>
        </w:tc>
        <w:tc>
          <w:tcPr>
            <w:tcW w:w="1142" w:type="pct"/>
            <w:tcBorders>
              <w:top w:val="double" w:sz="4" w:space="0" w:color="auto"/>
            </w:tcBorders>
          </w:tcPr>
          <w:p w14:paraId="0DC38461" w14:textId="77777777" w:rsidR="0040016F" w:rsidRPr="005909A1" w:rsidRDefault="0040016F" w:rsidP="0040016F">
            <w:pPr>
              <w:rPr>
                <w:i/>
                <w:smallCaps/>
                <w:szCs w:val="22"/>
              </w:rPr>
            </w:pPr>
          </w:p>
        </w:tc>
        <w:tc>
          <w:tcPr>
            <w:tcW w:w="1574" w:type="pct"/>
            <w:tcBorders>
              <w:top w:val="double" w:sz="4" w:space="0" w:color="auto"/>
              <w:right w:val="double" w:sz="4" w:space="0" w:color="auto"/>
            </w:tcBorders>
          </w:tcPr>
          <w:p w14:paraId="20BA3955" w14:textId="77777777" w:rsidR="0040016F" w:rsidRPr="005909A1" w:rsidRDefault="0040016F" w:rsidP="0040016F">
            <w:pPr>
              <w:rPr>
                <w:i/>
                <w:smallCaps/>
                <w:szCs w:val="22"/>
              </w:rPr>
            </w:pPr>
          </w:p>
        </w:tc>
      </w:tr>
      <w:tr w:rsidR="0040016F" w:rsidRPr="005909A1" w14:paraId="7ED66088" w14:textId="77777777" w:rsidTr="00E374EE">
        <w:trPr>
          <w:gridAfter w:val="1"/>
          <w:wAfter w:w="5" w:type="pct"/>
          <w:cantSplit/>
          <w:trHeight w:val="384"/>
        </w:trPr>
        <w:tc>
          <w:tcPr>
            <w:tcW w:w="2279" w:type="pct"/>
            <w:tcBorders>
              <w:left w:val="double" w:sz="4" w:space="0" w:color="auto"/>
              <w:bottom w:val="nil"/>
            </w:tcBorders>
          </w:tcPr>
          <w:p w14:paraId="732678FB" w14:textId="3A7C2EFD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 xml:space="preserve">Syndrómy primárnej </w:t>
            </w:r>
            <w:proofErr w:type="spellStart"/>
            <w:r>
              <w:rPr>
                <w:lang w:val="sk"/>
              </w:rPr>
              <w:t>imunodeficiencie</w:t>
            </w:r>
            <w:proofErr w:type="spellEnd"/>
            <w:r>
              <w:rPr>
                <w:lang w:val="sk"/>
              </w:rPr>
              <w:t xml:space="preserve"> </w:t>
            </w:r>
          </w:p>
        </w:tc>
        <w:tc>
          <w:tcPr>
            <w:tcW w:w="1142" w:type="pct"/>
            <w:tcBorders>
              <w:bottom w:val="nil"/>
            </w:tcBorders>
          </w:tcPr>
          <w:p w14:paraId="25FC2E7F" w14:textId="26ABB1AF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>Úvodná dávka:</w:t>
            </w:r>
            <w:r>
              <w:rPr>
                <w:lang w:val="sk"/>
              </w:rPr>
              <w:br/>
              <w:t>0,4 – 0,8 g/kg</w:t>
            </w:r>
          </w:p>
        </w:tc>
        <w:tc>
          <w:tcPr>
            <w:tcW w:w="1574" w:type="pct"/>
            <w:tcBorders>
              <w:bottom w:val="nil"/>
              <w:right w:val="double" w:sz="4" w:space="0" w:color="auto"/>
            </w:tcBorders>
          </w:tcPr>
          <w:p w14:paraId="5690749C" w14:textId="77777777" w:rsidR="0040016F" w:rsidRPr="005909A1" w:rsidRDefault="0040016F" w:rsidP="0040016F">
            <w:pPr>
              <w:pStyle w:val="Tabletext"/>
            </w:pPr>
          </w:p>
        </w:tc>
      </w:tr>
      <w:tr w:rsidR="0040016F" w:rsidRPr="005909A1" w14:paraId="687B58F6" w14:textId="77777777" w:rsidTr="00E374EE">
        <w:trPr>
          <w:gridAfter w:val="1"/>
          <w:wAfter w:w="5" w:type="pct"/>
          <w:cantSplit/>
          <w:trHeight w:val="598"/>
        </w:trPr>
        <w:tc>
          <w:tcPr>
            <w:tcW w:w="2279" w:type="pct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014235C6" w14:textId="77777777" w:rsidR="0040016F" w:rsidRPr="005909A1" w:rsidRDefault="0040016F" w:rsidP="0040016F">
            <w:pPr>
              <w:pStyle w:val="Tabletext"/>
            </w:pPr>
          </w:p>
        </w:tc>
        <w:tc>
          <w:tcPr>
            <w:tcW w:w="1142" w:type="pct"/>
            <w:tcBorders>
              <w:top w:val="nil"/>
              <w:bottom w:val="single" w:sz="4" w:space="0" w:color="auto"/>
            </w:tcBorders>
          </w:tcPr>
          <w:p w14:paraId="6415A3DA" w14:textId="492364C5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>Udržiavacia dávka:</w:t>
            </w:r>
            <w:r>
              <w:rPr>
                <w:lang w:val="sk"/>
              </w:rPr>
              <w:br/>
              <w:t>0,2 – 0,8 g/kg</w:t>
            </w:r>
          </w:p>
        </w:tc>
        <w:tc>
          <w:tcPr>
            <w:tcW w:w="1574" w:type="pct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D3BC182" w14:textId="745E4512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 xml:space="preserve">raz za 3 – 4 týždne </w:t>
            </w:r>
          </w:p>
        </w:tc>
      </w:tr>
      <w:tr w:rsidR="0040016F" w:rsidRPr="005909A1" w14:paraId="4E2770F6" w14:textId="77777777" w:rsidTr="00E374EE">
        <w:trPr>
          <w:gridAfter w:val="1"/>
          <w:wAfter w:w="5" w:type="pct"/>
          <w:cantSplit/>
          <w:trHeight w:val="397"/>
        </w:trPr>
        <w:tc>
          <w:tcPr>
            <w:tcW w:w="2279" w:type="pct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F10D32C" w14:textId="36D67AD8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 xml:space="preserve">Sekundárne </w:t>
            </w:r>
            <w:proofErr w:type="spellStart"/>
            <w:r>
              <w:rPr>
                <w:lang w:val="sk"/>
              </w:rPr>
              <w:t>imunodeficiencie</w:t>
            </w:r>
            <w:proofErr w:type="spellEnd"/>
            <w:r>
              <w:rPr>
                <w:lang w:val="sk"/>
              </w:rPr>
              <w:t xml:space="preserve"> </w:t>
            </w:r>
            <w:r>
              <w:rPr>
                <w:lang w:val="sk"/>
              </w:rPr>
              <w:br/>
              <w:t>(podľa definície v časti 4.1)</w:t>
            </w:r>
          </w:p>
        </w:tc>
        <w:tc>
          <w:tcPr>
            <w:tcW w:w="1142" w:type="pct"/>
            <w:tcBorders>
              <w:top w:val="nil"/>
              <w:bottom w:val="single" w:sz="4" w:space="0" w:color="auto"/>
            </w:tcBorders>
          </w:tcPr>
          <w:p w14:paraId="238217DA" w14:textId="420F2509" w:rsidR="0040016F" w:rsidRDefault="0040016F" w:rsidP="0040016F">
            <w:pPr>
              <w:pStyle w:val="Tabletext"/>
            </w:pPr>
            <w:r>
              <w:rPr>
                <w:lang w:val="sk"/>
              </w:rPr>
              <w:t>0,2 – 0,4 g/kg</w:t>
            </w:r>
          </w:p>
        </w:tc>
        <w:tc>
          <w:tcPr>
            <w:tcW w:w="1574" w:type="pct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0D9CA01" w14:textId="4B0E255F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>raz za 3 – 4 týždne</w:t>
            </w:r>
          </w:p>
        </w:tc>
      </w:tr>
      <w:tr w:rsidR="0040016F" w:rsidRPr="005909A1" w14:paraId="41896657" w14:textId="77777777" w:rsidTr="00E374EE">
        <w:trPr>
          <w:gridAfter w:val="1"/>
          <w:wAfter w:w="5" w:type="pct"/>
          <w:cantSplit/>
          <w:trHeight w:val="473"/>
        </w:trPr>
        <w:tc>
          <w:tcPr>
            <w:tcW w:w="227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A590877" w14:textId="77777777" w:rsidR="0040016F" w:rsidRPr="005909A1" w:rsidRDefault="0040016F" w:rsidP="0040016F">
            <w:pPr>
              <w:pStyle w:val="Nadpis4"/>
              <w:spacing w:before="60" w:after="60"/>
            </w:pPr>
            <w:proofErr w:type="spellStart"/>
            <w:r>
              <w:rPr>
                <w:iCs/>
                <w:lang w:val="sk"/>
              </w:rPr>
              <w:t>Imunomodulácia</w:t>
            </w:r>
            <w:proofErr w:type="spellEnd"/>
          </w:p>
        </w:tc>
        <w:tc>
          <w:tcPr>
            <w:tcW w:w="1142" w:type="pct"/>
            <w:tcBorders>
              <w:top w:val="double" w:sz="4" w:space="0" w:color="auto"/>
            </w:tcBorders>
          </w:tcPr>
          <w:p w14:paraId="44A6C6B9" w14:textId="77777777" w:rsidR="0040016F" w:rsidRPr="005909A1" w:rsidRDefault="0040016F" w:rsidP="0040016F">
            <w:pPr>
              <w:pStyle w:val="Nadpis4"/>
              <w:spacing w:before="60" w:after="60"/>
            </w:pPr>
          </w:p>
        </w:tc>
        <w:tc>
          <w:tcPr>
            <w:tcW w:w="1574" w:type="pct"/>
            <w:tcBorders>
              <w:top w:val="double" w:sz="4" w:space="0" w:color="auto"/>
              <w:right w:val="double" w:sz="4" w:space="0" w:color="auto"/>
            </w:tcBorders>
          </w:tcPr>
          <w:p w14:paraId="4D228D09" w14:textId="77777777" w:rsidR="0040016F" w:rsidRPr="005909A1" w:rsidRDefault="0040016F" w:rsidP="0040016F">
            <w:pPr>
              <w:pStyle w:val="Nadpis4"/>
              <w:spacing w:before="60" w:after="60"/>
            </w:pPr>
          </w:p>
        </w:tc>
      </w:tr>
      <w:tr w:rsidR="0040016F" w:rsidRPr="005909A1" w14:paraId="1F240E26" w14:textId="77777777" w:rsidTr="00E374EE">
        <w:trPr>
          <w:gridAfter w:val="1"/>
          <w:wAfter w:w="5" w:type="pct"/>
          <w:cantSplit/>
          <w:trHeight w:val="639"/>
        </w:trPr>
        <w:tc>
          <w:tcPr>
            <w:tcW w:w="2279" w:type="pct"/>
            <w:tcBorders>
              <w:left w:val="double" w:sz="4" w:space="0" w:color="auto"/>
              <w:bottom w:val="nil"/>
            </w:tcBorders>
          </w:tcPr>
          <w:p w14:paraId="4F27E9CD" w14:textId="749E4DFC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 xml:space="preserve">Primárna imunitná </w:t>
            </w:r>
            <w:proofErr w:type="spellStart"/>
            <w:r>
              <w:rPr>
                <w:lang w:val="sk"/>
              </w:rPr>
              <w:t>trombocytopénia</w:t>
            </w:r>
            <w:proofErr w:type="spellEnd"/>
          </w:p>
        </w:tc>
        <w:tc>
          <w:tcPr>
            <w:tcW w:w="1142" w:type="pct"/>
            <w:tcBorders>
              <w:bottom w:val="nil"/>
            </w:tcBorders>
          </w:tcPr>
          <w:p w14:paraId="49414147" w14:textId="7822AB10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>0,8 – 1 g/kg</w:t>
            </w:r>
          </w:p>
        </w:tc>
        <w:tc>
          <w:tcPr>
            <w:tcW w:w="1574" w:type="pct"/>
            <w:tcBorders>
              <w:bottom w:val="nil"/>
              <w:right w:val="double" w:sz="4" w:space="0" w:color="auto"/>
            </w:tcBorders>
          </w:tcPr>
          <w:p w14:paraId="67721888" w14:textId="77777777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>v 1. deň, možné opakovať raz za 3 dni</w:t>
            </w:r>
          </w:p>
        </w:tc>
      </w:tr>
      <w:tr w:rsidR="0040016F" w:rsidRPr="005909A1" w14:paraId="3E7A439A" w14:textId="77777777" w:rsidTr="005D127B">
        <w:trPr>
          <w:gridAfter w:val="1"/>
          <w:wAfter w:w="5" w:type="pct"/>
          <w:cantSplit/>
          <w:trHeight w:val="475"/>
        </w:trPr>
        <w:tc>
          <w:tcPr>
            <w:tcW w:w="2279" w:type="pct"/>
            <w:tcBorders>
              <w:top w:val="nil"/>
              <w:left w:val="double" w:sz="4" w:space="0" w:color="auto"/>
            </w:tcBorders>
          </w:tcPr>
          <w:p w14:paraId="453F7B21" w14:textId="77777777" w:rsidR="0040016F" w:rsidRPr="005909A1" w:rsidRDefault="0040016F" w:rsidP="0040016F">
            <w:pPr>
              <w:pStyle w:val="Tabletext"/>
            </w:pPr>
          </w:p>
        </w:tc>
        <w:tc>
          <w:tcPr>
            <w:tcW w:w="1142" w:type="pct"/>
            <w:tcBorders>
              <w:top w:val="nil"/>
            </w:tcBorders>
          </w:tcPr>
          <w:p w14:paraId="2F638B17" w14:textId="1BFE9249" w:rsidR="0040016F" w:rsidRPr="005909A1" w:rsidRDefault="005D127B" w:rsidP="0040016F">
            <w:pPr>
              <w:pStyle w:val="Tabletext"/>
            </w:pPr>
            <w:r>
              <w:rPr>
                <w:lang w:val="sk"/>
              </w:rPr>
              <w:t>alebo</w:t>
            </w:r>
            <w:r>
              <w:rPr>
                <w:lang w:val="sk"/>
              </w:rPr>
              <w:br/>
              <w:t>0,4 g/kg/d</w:t>
            </w:r>
            <w:r w:rsidR="00913280">
              <w:rPr>
                <w:lang w:val="sk"/>
              </w:rPr>
              <w:t>eň</w:t>
            </w:r>
          </w:p>
        </w:tc>
        <w:tc>
          <w:tcPr>
            <w:tcW w:w="1574" w:type="pct"/>
            <w:tcBorders>
              <w:top w:val="nil"/>
              <w:right w:val="double" w:sz="4" w:space="0" w:color="auto"/>
            </w:tcBorders>
          </w:tcPr>
          <w:p w14:paraId="18DBACA0" w14:textId="30BF5663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br/>
              <w:t>počas 2 – 5 dní</w:t>
            </w:r>
          </w:p>
        </w:tc>
      </w:tr>
      <w:tr w:rsidR="0040016F" w:rsidRPr="005909A1" w14:paraId="35112878" w14:textId="77777777" w:rsidTr="00E374EE">
        <w:trPr>
          <w:gridAfter w:val="1"/>
          <w:wAfter w:w="5" w:type="pct"/>
          <w:cantSplit/>
        </w:trPr>
        <w:tc>
          <w:tcPr>
            <w:tcW w:w="2279" w:type="pct"/>
            <w:tcBorders>
              <w:left w:val="double" w:sz="4" w:space="0" w:color="auto"/>
            </w:tcBorders>
          </w:tcPr>
          <w:p w14:paraId="73803DBD" w14:textId="53323871" w:rsidR="0040016F" w:rsidRPr="005909A1" w:rsidRDefault="0040016F" w:rsidP="0040016F">
            <w:pPr>
              <w:pStyle w:val="Tabletext"/>
            </w:pPr>
            <w:proofErr w:type="spellStart"/>
            <w:r>
              <w:rPr>
                <w:lang w:val="sk"/>
              </w:rPr>
              <w:t>Guillain</w:t>
            </w:r>
            <w:r w:rsidR="00913280">
              <w:rPr>
                <w:lang w:val="sk"/>
              </w:rPr>
              <w:t>ov</w:t>
            </w:r>
            <w:r>
              <w:rPr>
                <w:lang w:val="sk"/>
              </w:rPr>
              <w:t>-Barrého</w:t>
            </w:r>
            <w:proofErr w:type="spellEnd"/>
            <w:r>
              <w:rPr>
                <w:lang w:val="sk"/>
              </w:rPr>
              <w:t xml:space="preserve"> syndróm</w:t>
            </w:r>
          </w:p>
        </w:tc>
        <w:tc>
          <w:tcPr>
            <w:tcW w:w="1142" w:type="pct"/>
          </w:tcPr>
          <w:p w14:paraId="19CD70DA" w14:textId="103EC5AD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>0,4 g/kg/d</w:t>
            </w:r>
            <w:r w:rsidR="00913280">
              <w:rPr>
                <w:lang w:val="sk"/>
              </w:rPr>
              <w:t>eň</w:t>
            </w:r>
          </w:p>
        </w:tc>
        <w:tc>
          <w:tcPr>
            <w:tcW w:w="1574" w:type="pct"/>
            <w:tcBorders>
              <w:right w:val="double" w:sz="4" w:space="0" w:color="auto"/>
            </w:tcBorders>
          </w:tcPr>
          <w:p w14:paraId="796F11F7" w14:textId="77777777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>počas 5 dní</w:t>
            </w:r>
          </w:p>
        </w:tc>
      </w:tr>
      <w:tr w:rsidR="0040016F" w:rsidRPr="005909A1" w14:paraId="75AA546C" w14:textId="77777777" w:rsidTr="00E374EE">
        <w:trPr>
          <w:cantSplit/>
          <w:trHeight w:val="340"/>
        </w:trPr>
        <w:tc>
          <w:tcPr>
            <w:tcW w:w="2279" w:type="pct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E4A4142" w14:textId="77777777" w:rsidR="0040016F" w:rsidRPr="005909A1" w:rsidRDefault="0040016F" w:rsidP="0040016F">
            <w:pPr>
              <w:pStyle w:val="Tabletext"/>
            </w:pPr>
            <w:proofErr w:type="spellStart"/>
            <w:r>
              <w:rPr>
                <w:lang w:val="sk"/>
              </w:rPr>
              <w:t>Kawasakiho</w:t>
            </w:r>
            <w:proofErr w:type="spellEnd"/>
            <w:r>
              <w:rPr>
                <w:lang w:val="sk"/>
              </w:rPr>
              <w:t xml:space="preserve"> choroba</w:t>
            </w:r>
          </w:p>
        </w:tc>
        <w:tc>
          <w:tcPr>
            <w:tcW w:w="1142" w:type="pct"/>
            <w:tcBorders>
              <w:top w:val="nil"/>
              <w:bottom w:val="single" w:sz="4" w:space="0" w:color="auto"/>
            </w:tcBorders>
          </w:tcPr>
          <w:p w14:paraId="750CBA44" w14:textId="7BEDD674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>2 g/kg</w:t>
            </w:r>
          </w:p>
        </w:tc>
        <w:tc>
          <w:tcPr>
            <w:tcW w:w="1579" w:type="pct"/>
            <w:gridSpan w:val="2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452C05D" w14:textId="6E492C67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 xml:space="preserve">v 1 dávke v kombinácii s kyselinou </w:t>
            </w:r>
            <w:proofErr w:type="spellStart"/>
            <w:r>
              <w:rPr>
                <w:lang w:val="sk"/>
              </w:rPr>
              <w:t>acetylsalicylovou</w:t>
            </w:r>
            <w:proofErr w:type="spellEnd"/>
          </w:p>
        </w:tc>
      </w:tr>
      <w:tr w:rsidR="006467DE" w:rsidRPr="005909A1" w14:paraId="2575C728" w14:textId="77777777" w:rsidTr="00E374EE">
        <w:trPr>
          <w:cantSplit/>
          <w:trHeight w:val="445"/>
        </w:trPr>
        <w:tc>
          <w:tcPr>
            <w:tcW w:w="2279" w:type="pct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096F390D" w14:textId="34F8D635" w:rsidR="006467DE" w:rsidRPr="005909A1" w:rsidRDefault="006467DE" w:rsidP="0040016F">
            <w:pPr>
              <w:pStyle w:val="Tabletext"/>
            </w:pPr>
            <w:r>
              <w:rPr>
                <w:lang w:val="sk"/>
              </w:rPr>
              <w:t xml:space="preserve">Chronická zápalová </w:t>
            </w:r>
            <w:proofErr w:type="spellStart"/>
            <w:r>
              <w:rPr>
                <w:lang w:val="sk"/>
              </w:rPr>
              <w:t>demyelinizačná</w:t>
            </w:r>
            <w:proofErr w:type="spellEnd"/>
            <w:r>
              <w:rPr>
                <w:lang w:val="sk"/>
              </w:rPr>
              <w:t xml:space="preserve"> </w:t>
            </w:r>
            <w:proofErr w:type="spellStart"/>
            <w:r>
              <w:rPr>
                <w:lang w:val="sk"/>
              </w:rPr>
              <w:t>polyradikuloneuropatia</w:t>
            </w:r>
            <w:proofErr w:type="spellEnd"/>
            <w:r>
              <w:rPr>
                <w:lang w:val="sk"/>
              </w:rPr>
              <w:t xml:space="preserve"> (CIDP)</w:t>
            </w:r>
          </w:p>
        </w:tc>
        <w:tc>
          <w:tcPr>
            <w:tcW w:w="1142" w:type="pct"/>
            <w:tcBorders>
              <w:top w:val="single" w:sz="4" w:space="0" w:color="auto"/>
              <w:bottom w:val="nil"/>
            </w:tcBorders>
          </w:tcPr>
          <w:p w14:paraId="163F4924" w14:textId="77777777" w:rsidR="006467DE" w:rsidRDefault="006467DE" w:rsidP="006467DE">
            <w:pPr>
              <w:pStyle w:val="Tabletext"/>
            </w:pPr>
            <w:r>
              <w:rPr>
                <w:lang w:val="sk"/>
              </w:rPr>
              <w:t xml:space="preserve">Úvodná dávka: </w:t>
            </w:r>
          </w:p>
          <w:p w14:paraId="0AEC5CA1" w14:textId="75A6DEA8" w:rsidR="006467DE" w:rsidRPr="005909A1" w:rsidRDefault="006467DE" w:rsidP="0040016F">
            <w:pPr>
              <w:pStyle w:val="Tabletext"/>
            </w:pPr>
            <w:r>
              <w:rPr>
                <w:lang w:val="sk"/>
              </w:rPr>
              <w:t>2 g/kg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8AA39BD" w14:textId="5E93E5C0" w:rsidR="006467DE" w:rsidRDefault="006467DE" w:rsidP="0040016F">
            <w:pPr>
              <w:pStyle w:val="Tabletext"/>
            </w:pPr>
            <w:r>
              <w:rPr>
                <w:lang w:val="sk"/>
              </w:rPr>
              <w:t>v rozdelených dávkach počas 2 – 5 dní</w:t>
            </w:r>
          </w:p>
        </w:tc>
      </w:tr>
      <w:tr w:rsidR="0040016F" w:rsidRPr="005909A1" w14:paraId="32616E43" w14:textId="77777777" w:rsidTr="00E374EE">
        <w:trPr>
          <w:cantSplit/>
          <w:trHeight w:val="445"/>
        </w:trPr>
        <w:tc>
          <w:tcPr>
            <w:tcW w:w="2279" w:type="pct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DDF8B34" w14:textId="77777777" w:rsidR="0040016F" w:rsidRPr="005909A1" w:rsidRDefault="0040016F" w:rsidP="0040016F">
            <w:pPr>
              <w:pStyle w:val="Tabletext"/>
            </w:pPr>
          </w:p>
        </w:tc>
        <w:tc>
          <w:tcPr>
            <w:tcW w:w="1142" w:type="pct"/>
            <w:tcBorders>
              <w:top w:val="nil"/>
              <w:bottom w:val="single" w:sz="4" w:space="0" w:color="auto"/>
            </w:tcBorders>
          </w:tcPr>
          <w:p w14:paraId="63EC4020" w14:textId="77777777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>Udržiavacia dávka:</w:t>
            </w:r>
            <w:r>
              <w:rPr>
                <w:lang w:val="sk"/>
              </w:rPr>
              <w:br/>
              <w:t>1 g/kg</w:t>
            </w:r>
          </w:p>
        </w:tc>
        <w:tc>
          <w:tcPr>
            <w:tcW w:w="1579" w:type="pct"/>
            <w:gridSpan w:val="2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964FD96" w14:textId="77777777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>raz za 3 týždne počas 1 – 2 dní</w:t>
            </w:r>
          </w:p>
        </w:tc>
      </w:tr>
      <w:tr w:rsidR="0040016F" w:rsidRPr="005909A1" w14:paraId="16C9F00D" w14:textId="77777777" w:rsidTr="00E374EE">
        <w:trPr>
          <w:cantSplit/>
          <w:trHeight w:val="445"/>
        </w:trPr>
        <w:tc>
          <w:tcPr>
            <w:tcW w:w="2279" w:type="pct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5ECFC319" w14:textId="77777777" w:rsidR="0040016F" w:rsidRPr="005909A1" w:rsidRDefault="0040016F" w:rsidP="0040016F">
            <w:pPr>
              <w:pStyle w:val="Tabletext"/>
            </w:pPr>
            <w:proofErr w:type="spellStart"/>
            <w:r>
              <w:rPr>
                <w:lang w:val="sk"/>
              </w:rPr>
              <w:t>Multifokálna</w:t>
            </w:r>
            <w:proofErr w:type="spellEnd"/>
            <w:r>
              <w:rPr>
                <w:lang w:val="sk"/>
              </w:rPr>
              <w:t xml:space="preserve"> motorická </w:t>
            </w:r>
            <w:proofErr w:type="spellStart"/>
            <w:r>
              <w:rPr>
                <w:lang w:val="sk"/>
              </w:rPr>
              <w:t>neuropatia</w:t>
            </w:r>
            <w:proofErr w:type="spellEnd"/>
            <w:r>
              <w:rPr>
                <w:lang w:val="sk"/>
              </w:rPr>
              <w:t xml:space="preserve"> (MMN)</w:t>
            </w:r>
          </w:p>
        </w:tc>
        <w:tc>
          <w:tcPr>
            <w:tcW w:w="1142" w:type="pct"/>
            <w:tcBorders>
              <w:top w:val="single" w:sz="4" w:space="0" w:color="auto"/>
              <w:bottom w:val="nil"/>
            </w:tcBorders>
          </w:tcPr>
          <w:p w14:paraId="637C9037" w14:textId="77777777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>Úvodná dávka:</w:t>
            </w:r>
            <w:r>
              <w:rPr>
                <w:lang w:val="sk"/>
              </w:rPr>
              <w:br/>
              <w:t>2 g/kg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3CB56AAB" w14:textId="77777777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>počas 2 – 5 po sebe nasledujúcich dní</w:t>
            </w:r>
          </w:p>
        </w:tc>
      </w:tr>
      <w:tr w:rsidR="0040016F" w:rsidRPr="005909A1" w14:paraId="6B7538DC" w14:textId="77777777" w:rsidTr="00E374EE">
        <w:trPr>
          <w:cantSplit/>
          <w:trHeight w:val="445"/>
        </w:trPr>
        <w:tc>
          <w:tcPr>
            <w:tcW w:w="2279" w:type="pct"/>
            <w:tcBorders>
              <w:top w:val="nil"/>
              <w:left w:val="double" w:sz="4" w:space="0" w:color="auto"/>
              <w:bottom w:val="nil"/>
            </w:tcBorders>
          </w:tcPr>
          <w:p w14:paraId="5C0AD29A" w14:textId="77777777" w:rsidR="0040016F" w:rsidRPr="005909A1" w:rsidRDefault="0040016F" w:rsidP="0040016F">
            <w:pPr>
              <w:pStyle w:val="Tabletext"/>
            </w:pPr>
          </w:p>
        </w:tc>
        <w:tc>
          <w:tcPr>
            <w:tcW w:w="1142" w:type="pct"/>
            <w:tcBorders>
              <w:top w:val="nil"/>
              <w:bottom w:val="nil"/>
            </w:tcBorders>
          </w:tcPr>
          <w:p w14:paraId="263E3A69" w14:textId="77777777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>Udržiavacia dávka:</w:t>
            </w:r>
            <w:r>
              <w:rPr>
                <w:lang w:val="sk"/>
              </w:rPr>
              <w:br/>
              <w:t>1 g/kg</w:t>
            </w:r>
          </w:p>
        </w:tc>
        <w:tc>
          <w:tcPr>
            <w:tcW w:w="1579" w:type="pct"/>
            <w:gridSpan w:val="2"/>
            <w:tcBorders>
              <w:top w:val="nil"/>
              <w:bottom w:val="nil"/>
              <w:right w:val="double" w:sz="4" w:space="0" w:color="auto"/>
            </w:tcBorders>
          </w:tcPr>
          <w:p w14:paraId="3C53872A" w14:textId="77777777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>raz za 2 – 4 týždne</w:t>
            </w:r>
          </w:p>
        </w:tc>
      </w:tr>
      <w:tr w:rsidR="0040016F" w:rsidRPr="005909A1" w14:paraId="5EC37A52" w14:textId="77777777" w:rsidTr="00E374EE">
        <w:trPr>
          <w:cantSplit/>
          <w:trHeight w:val="445"/>
        </w:trPr>
        <w:tc>
          <w:tcPr>
            <w:tcW w:w="2279" w:type="pct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0B1351A0" w14:textId="77777777" w:rsidR="0040016F" w:rsidRPr="005909A1" w:rsidRDefault="0040016F" w:rsidP="0040016F">
            <w:pPr>
              <w:pStyle w:val="Tabletext"/>
            </w:pPr>
          </w:p>
        </w:tc>
        <w:tc>
          <w:tcPr>
            <w:tcW w:w="1142" w:type="pct"/>
            <w:tcBorders>
              <w:top w:val="nil"/>
              <w:bottom w:val="double" w:sz="4" w:space="0" w:color="auto"/>
            </w:tcBorders>
          </w:tcPr>
          <w:p w14:paraId="7F2F2AC8" w14:textId="77777777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>alebo</w:t>
            </w:r>
            <w:r>
              <w:rPr>
                <w:lang w:val="sk"/>
              </w:rPr>
              <w:br/>
              <w:t>2 g/kg</w:t>
            </w:r>
          </w:p>
        </w:tc>
        <w:tc>
          <w:tcPr>
            <w:tcW w:w="1579" w:type="pct"/>
            <w:gridSpan w:val="2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4F893BAF" w14:textId="77777777" w:rsidR="0040016F" w:rsidRPr="005909A1" w:rsidRDefault="0040016F" w:rsidP="0040016F">
            <w:pPr>
              <w:pStyle w:val="Tabletext"/>
            </w:pPr>
            <w:r>
              <w:rPr>
                <w:lang w:val="sk"/>
              </w:rPr>
              <w:t>alebo</w:t>
            </w:r>
            <w:r>
              <w:rPr>
                <w:lang w:val="sk"/>
              </w:rPr>
              <w:br/>
              <w:t>raz za 4 – 8 týždňov počas 2 – 5 dní</w:t>
            </w:r>
          </w:p>
        </w:tc>
      </w:tr>
    </w:tbl>
    <w:p w14:paraId="25064DF5" w14:textId="77777777" w:rsidR="00875972" w:rsidRPr="005909A1" w:rsidRDefault="00875972" w:rsidP="00FF664F">
      <w:pPr>
        <w:pStyle w:val="Nadpis5"/>
      </w:pPr>
      <w:r>
        <w:rPr>
          <w:iCs/>
          <w:lang w:val="sk"/>
        </w:rPr>
        <w:t>Pediatrická populácia</w:t>
      </w:r>
    </w:p>
    <w:p w14:paraId="7DE98412" w14:textId="77777777" w:rsidR="007B43D7" w:rsidRPr="005909A1" w:rsidRDefault="00875972" w:rsidP="00FF664F">
      <w:r>
        <w:rPr>
          <w:lang w:val="sk"/>
        </w:rPr>
        <w:t>Dávkovanie u detí a dospievajúcich (0 – 18 rokov) sa nelíši od dospelých, keďže je pre každú indikáciu uvedené podľa telesnej hmotnosti a upravované podľa klinického výsledku pri vyššie uvedených stavoch.</w:t>
      </w:r>
    </w:p>
    <w:p w14:paraId="027C9F1A" w14:textId="77777777" w:rsidR="002F0E82" w:rsidRPr="005909A1" w:rsidRDefault="002F0E82" w:rsidP="003D3C61">
      <w:pPr>
        <w:pStyle w:val="Nadpis5"/>
      </w:pPr>
      <w:proofErr w:type="spellStart"/>
      <w:r>
        <w:rPr>
          <w:iCs/>
          <w:lang w:val="sk"/>
        </w:rPr>
        <w:t>Hepatopatia</w:t>
      </w:r>
      <w:proofErr w:type="spellEnd"/>
    </w:p>
    <w:p w14:paraId="01F065F7" w14:textId="77777777" w:rsidR="002F0E82" w:rsidRPr="005909A1" w:rsidRDefault="002F0E82" w:rsidP="002F0E82">
      <w:r>
        <w:rPr>
          <w:lang w:val="sk"/>
        </w:rPr>
        <w:t>Neexistujú žiadne dôkazy o nutnosti upraviť dávku.</w:t>
      </w:r>
    </w:p>
    <w:p w14:paraId="7E846D13" w14:textId="07B9F553" w:rsidR="002F0E82" w:rsidRPr="005909A1" w:rsidRDefault="00913280" w:rsidP="003D3C61">
      <w:pPr>
        <w:pStyle w:val="Nadpis5"/>
      </w:pPr>
      <w:r>
        <w:rPr>
          <w:iCs/>
          <w:lang w:val="sk"/>
        </w:rPr>
        <w:t>Porucha funkcie obličiek</w:t>
      </w:r>
    </w:p>
    <w:p w14:paraId="39597985" w14:textId="77777777" w:rsidR="002F0E82" w:rsidRPr="005909A1" w:rsidRDefault="002F0E82" w:rsidP="002F0E82">
      <w:r>
        <w:rPr>
          <w:lang w:val="sk"/>
        </w:rPr>
        <w:t>Úprava dávky nie je nutná, ak to nevyžaduje klinický stav, pozri časť 4.4.</w:t>
      </w:r>
    </w:p>
    <w:p w14:paraId="3897ACD2" w14:textId="77777777" w:rsidR="002F0E82" w:rsidRPr="005909A1" w:rsidRDefault="002F0E82" w:rsidP="003D3C61">
      <w:pPr>
        <w:pStyle w:val="Nadpis5"/>
      </w:pPr>
      <w:r>
        <w:rPr>
          <w:iCs/>
          <w:lang w:val="sk"/>
        </w:rPr>
        <w:t>Starší pacienti</w:t>
      </w:r>
    </w:p>
    <w:p w14:paraId="2DCDD566" w14:textId="77777777" w:rsidR="002F0E82" w:rsidRPr="005909A1" w:rsidRDefault="002F0E82" w:rsidP="002F0E82">
      <w:r>
        <w:rPr>
          <w:lang w:val="sk"/>
        </w:rPr>
        <w:t>Úprava dávky nie je nutná, ak to nevyžaduje klinický stav, pozri časť 4.4.</w:t>
      </w:r>
    </w:p>
    <w:p w14:paraId="4C806D1D" w14:textId="77777777" w:rsidR="00475838" w:rsidRPr="005A0C58" w:rsidRDefault="007B43D7" w:rsidP="00693C1A">
      <w:pPr>
        <w:pStyle w:val="Nadpis3"/>
      </w:pPr>
      <w:bookmarkStart w:id="0" w:name="OLE_LINK1"/>
      <w:r>
        <w:rPr>
          <w:bCs w:val="0"/>
          <w:lang w:val="sk"/>
        </w:rPr>
        <w:t>Spôsob podávania</w:t>
      </w:r>
    </w:p>
    <w:p w14:paraId="75E6E12D" w14:textId="77777777" w:rsidR="00B070B4" w:rsidRPr="004A237A" w:rsidRDefault="00B070B4" w:rsidP="00FF664F">
      <w:r>
        <w:rPr>
          <w:lang w:val="sk"/>
        </w:rPr>
        <w:t>Na intravenózne použitie.</w:t>
      </w:r>
    </w:p>
    <w:p w14:paraId="35596DEA" w14:textId="0405302C" w:rsidR="007169DB" w:rsidRPr="009D5931" w:rsidRDefault="00F430DE" w:rsidP="002F0E82">
      <w:pPr>
        <w:rPr>
          <w:lang w:val="sk"/>
        </w:rPr>
      </w:pPr>
      <w:r>
        <w:rPr>
          <w:lang w:val="sk"/>
        </w:rPr>
        <w:t xml:space="preserve">Ľudský normálny </w:t>
      </w:r>
      <w:proofErr w:type="spellStart"/>
      <w:r>
        <w:rPr>
          <w:lang w:val="sk"/>
        </w:rPr>
        <w:t>imunoglobulín</w:t>
      </w:r>
      <w:proofErr w:type="spellEnd"/>
      <w:r>
        <w:rPr>
          <w:lang w:val="sk"/>
        </w:rPr>
        <w:t xml:space="preserve"> je nutné podávať infúz</w:t>
      </w:r>
      <w:r w:rsidR="00913280">
        <w:rPr>
          <w:lang w:val="sk"/>
        </w:rPr>
        <w:t>iou</w:t>
      </w:r>
      <w:r>
        <w:rPr>
          <w:lang w:val="sk"/>
        </w:rPr>
        <w:t xml:space="preserve"> intravenózne úvodnou rýchlosťou 0,5 ml/kg/h počas 20 minút. Ak je dobre tolerovaný, rýchlosť aplikácie je možné postupne zvýšiť na 1,0 ml/kg/h počas 20 minút a následne zvýšiť na maximálne 3,0 ml/kg</w:t>
      </w:r>
      <w:r w:rsidR="00CB20A6">
        <w:rPr>
          <w:lang w:val="sk"/>
        </w:rPr>
        <w:t>/h</w:t>
      </w:r>
      <w:r>
        <w:rPr>
          <w:lang w:val="sk"/>
        </w:rPr>
        <w:t xml:space="preserve"> u pacientov, ktorí podstupujú aplikáciu prvýkrát. U dospelých pacientov, ktorí dostávajú </w:t>
      </w:r>
      <w:proofErr w:type="spellStart"/>
      <w:r>
        <w:rPr>
          <w:lang w:val="sk"/>
        </w:rPr>
        <w:t>Nanogam</w:t>
      </w:r>
      <w:proofErr w:type="spellEnd"/>
      <w:r>
        <w:rPr>
          <w:lang w:val="sk"/>
        </w:rPr>
        <w:t xml:space="preserve"> pravidelne a vykazujú dobrú toleranciu, je možné zvýšiť rýchlosť infúzie na maximálne 7,0 ml/kg/h. Pozri časť 4.4. V prípade nežiaducich reakcií je nutné zvýšiť frekvenciu aplikácií alebo infúzie zastaviť.</w:t>
      </w:r>
    </w:p>
    <w:p w14:paraId="42DA7982" w14:textId="5436227E" w:rsidR="007169DB" w:rsidRPr="009D5931" w:rsidRDefault="00F430DE" w:rsidP="007169DB">
      <w:pPr>
        <w:rPr>
          <w:lang w:val="sk"/>
        </w:rPr>
      </w:pPr>
      <w:r>
        <w:rPr>
          <w:lang w:val="sk"/>
        </w:rPr>
        <w:t xml:space="preserve">Pri podávaní veľkého množstva </w:t>
      </w:r>
      <w:proofErr w:type="spellStart"/>
      <w:r>
        <w:rPr>
          <w:lang w:val="sk"/>
        </w:rPr>
        <w:t>Nanogam</w:t>
      </w:r>
      <w:r w:rsidR="00CB20A6">
        <w:rPr>
          <w:lang w:val="sk"/>
        </w:rPr>
        <w:t>u</w:t>
      </w:r>
      <w:proofErr w:type="spellEnd"/>
      <w:r>
        <w:rPr>
          <w:lang w:val="sk"/>
        </w:rPr>
        <w:t xml:space="preserve"> je možné použiť </w:t>
      </w:r>
      <w:r w:rsidR="000C391F">
        <w:rPr>
          <w:lang w:val="sk"/>
        </w:rPr>
        <w:t xml:space="preserve">obal z </w:t>
      </w:r>
      <w:proofErr w:type="spellStart"/>
      <w:r>
        <w:rPr>
          <w:lang w:val="sk"/>
        </w:rPr>
        <w:t>etylvinylacetát</w:t>
      </w:r>
      <w:r w:rsidR="000C391F">
        <w:rPr>
          <w:lang w:val="sk"/>
        </w:rPr>
        <w:t>u</w:t>
      </w:r>
      <w:proofErr w:type="spellEnd"/>
      <w:r w:rsidRPr="000C391F">
        <w:rPr>
          <w:lang w:val="sk"/>
        </w:rPr>
        <w:t>.</w:t>
      </w:r>
      <w:r>
        <w:rPr>
          <w:lang w:val="sk"/>
        </w:rPr>
        <w:t xml:space="preserve"> Pozri časť 6.6.</w:t>
      </w:r>
    </w:p>
    <w:p w14:paraId="52743F5A" w14:textId="73A58BF6" w:rsidR="00381DCE" w:rsidRPr="009D5931" w:rsidRDefault="00381DCE" w:rsidP="007169DB">
      <w:pPr>
        <w:rPr>
          <w:lang w:val="sk"/>
        </w:rPr>
      </w:pPr>
      <w:r>
        <w:rPr>
          <w:lang w:val="sk"/>
        </w:rPr>
        <w:t xml:space="preserve">Pred podaním a počas jeho priebehu môže byť </w:t>
      </w:r>
      <w:r w:rsidR="004A30A2">
        <w:rPr>
          <w:lang w:val="sk"/>
        </w:rPr>
        <w:t>potreb</w:t>
      </w:r>
      <w:r>
        <w:rPr>
          <w:lang w:val="sk"/>
        </w:rPr>
        <w:t>né sledovať bilanciu tekutín, glykémie a sérových elektrolytov (pozri časti 4.4, 4.5, 4.6 a 4.8).</w:t>
      </w:r>
    </w:p>
    <w:p w14:paraId="50AF3257" w14:textId="77777777" w:rsidR="007B43D7" w:rsidRPr="009D5931" w:rsidRDefault="007B43D7" w:rsidP="00062519">
      <w:pPr>
        <w:pStyle w:val="Nadpis2"/>
        <w:rPr>
          <w:lang w:val="sk"/>
        </w:rPr>
      </w:pPr>
      <w:r>
        <w:rPr>
          <w:lang w:val="sk"/>
        </w:rPr>
        <w:t>4.3</w:t>
      </w:r>
      <w:r>
        <w:rPr>
          <w:lang w:val="sk"/>
        </w:rPr>
        <w:tab/>
        <w:t>Kontraindikácie</w:t>
      </w:r>
    </w:p>
    <w:p w14:paraId="6C2B1ADB" w14:textId="0A3BEAB1" w:rsidR="004F6FD8" w:rsidRPr="009D5931" w:rsidRDefault="004F6FD8" w:rsidP="00FF664F">
      <w:pPr>
        <w:rPr>
          <w:lang w:val="sk"/>
        </w:rPr>
      </w:pPr>
      <w:r>
        <w:rPr>
          <w:lang w:val="sk"/>
        </w:rPr>
        <w:t xml:space="preserve">Precitlivenosť na účinnú látku (ľudské </w:t>
      </w:r>
      <w:proofErr w:type="spellStart"/>
      <w:r>
        <w:rPr>
          <w:lang w:val="sk"/>
        </w:rPr>
        <w:t>imunoglobulíny</w:t>
      </w:r>
      <w:proofErr w:type="spellEnd"/>
      <w:r>
        <w:rPr>
          <w:lang w:val="sk"/>
        </w:rPr>
        <w:t>) alebo na ktorúkoľvek z pomocných látok (pozri časti 4.4 a 6.1).</w:t>
      </w:r>
    </w:p>
    <w:p w14:paraId="4CB228F0" w14:textId="30F759A6" w:rsidR="00312629" w:rsidRPr="009D5931" w:rsidRDefault="001E6143" w:rsidP="00312629">
      <w:pPr>
        <w:rPr>
          <w:lang w:val="sk"/>
        </w:rPr>
      </w:pPr>
      <w:r>
        <w:rPr>
          <w:lang w:val="sk"/>
        </w:rPr>
        <w:t xml:space="preserve">Pacienti so selektívnou </w:t>
      </w:r>
      <w:proofErr w:type="spellStart"/>
      <w:r>
        <w:rPr>
          <w:lang w:val="sk"/>
        </w:rPr>
        <w:t>IgA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deficienciou</w:t>
      </w:r>
      <w:proofErr w:type="spellEnd"/>
      <w:r>
        <w:rPr>
          <w:lang w:val="sk"/>
        </w:rPr>
        <w:t xml:space="preserve">, ktorí majú protilátky proti </w:t>
      </w:r>
      <w:proofErr w:type="spellStart"/>
      <w:r>
        <w:rPr>
          <w:lang w:val="sk"/>
        </w:rPr>
        <w:t>IgA</w:t>
      </w:r>
      <w:proofErr w:type="spellEnd"/>
      <w:r>
        <w:rPr>
          <w:lang w:val="sk"/>
        </w:rPr>
        <w:t xml:space="preserve">, keďže podávanie </w:t>
      </w:r>
      <w:r w:rsidR="004A30A2">
        <w:rPr>
          <w:lang w:val="sk"/>
        </w:rPr>
        <w:t>liek</w:t>
      </w:r>
      <w:r>
        <w:rPr>
          <w:lang w:val="sk"/>
        </w:rPr>
        <w:t xml:space="preserve">u obsahujúceho </w:t>
      </w:r>
      <w:proofErr w:type="spellStart"/>
      <w:r>
        <w:rPr>
          <w:lang w:val="sk"/>
        </w:rPr>
        <w:t>IgA</w:t>
      </w:r>
      <w:proofErr w:type="spellEnd"/>
      <w:r>
        <w:rPr>
          <w:lang w:val="sk"/>
        </w:rPr>
        <w:t xml:space="preserve"> môže viesť k </w:t>
      </w:r>
      <w:proofErr w:type="spellStart"/>
      <w:r>
        <w:rPr>
          <w:lang w:val="sk"/>
        </w:rPr>
        <w:t>anafylaxii</w:t>
      </w:r>
      <w:proofErr w:type="spellEnd"/>
      <w:r>
        <w:rPr>
          <w:lang w:val="sk"/>
        </w:rPr>
        <w:t xml:space="preserve">. </w:t>
      </w:r>
    </w:p>
    <w:bookmarkEnd w:id="0"/>
    <w:p w14:paraId="50DA82FE" w14:textId="77777777" w:rsidR="007B43D7" w:rsidRPr="00062519" w:rsidRDefault="007B43D7" w:rsidP="00062519">
      <w:pPr>
        <w:pStyle w:val="Nadpis2"/>
      </w:pPr>
      <w:r>
        <w:rPr>
          <w:lang w:val="sk"/>
        </w:rPr>
        <w:t>4.4</w:t>
      </w:r>
      <w:r>
        <w:rPr>
          <w:lang w:val="sk"/>
        </w:rPr>
        <w:tab/>
        <w:t>Osobitné upozornenia a opatrenia pri používaní</w:t>
      </w:r>
    </w:p>
    <w:p w14:paraId="69E027B5" w14:textId="4FFFAED1" w:rsidR="00AF33D9" w:rsidRPr="009D5931" w:rsidRDefault="00E56ED3" w:rsidP="00FF664F">
      <w:pPr>
        <w:rPr>
          <w:lang w:val="sk"/>
        </w:rPr>
      </w:pPr>
      <w:r>
        <w:rPr>
          <w:lang w:val="sk"/>
        </w:rPr>
        <w:t xml:space="preserve">Tento liek obsahuje 50 mg glukózy na ml ako pomocnú látku. S tým je nutné počítať pri latentnom diabete (kde sa môže objaviť prechodná </w:t>
      </w:r>
      <w:proofErr w:type="spellStart"/>
      <w:r>
        <w:rPr>
          <w:lang w:val="sk"/>
        </w:rPr>
        <w:t>glyko</w:t>
      </w:r>
      <w:r w:rsidR="0008165E">
        <w:rPr>
          <w:lang w:val="sk"/>
        </w:rPr>
        <w:t>z</w:t>
      </w:r>
      <w:r>
        <w:rPr>
          <w:lang w:val="sk"/>
        </w:rPr>
        <w:t>úria</w:t>
      </w:r>
      <w:proofErr w:type="spellEnd"/>
      <w:r>
        <w:rPr>
          <w:lang w:val="sk"/>
        </w:rPr>
        <w:t xml:space="preserve">), diabete alebo u pacientov na </w:t>
      </w:r>
      <w:proofErr w:type="spellStart"/>
      <w:r>
        <w:rPr>
          <w:lang w:val="sk"/>
        </w:rPr>
        <w:t>nízkosacharidovej</w:t>
      </w:r>
      <w:proofErr w:type="spellEnd"/>
      <w:r>
        <w:rPr>
          <w:lang w:val="sk"/>
        </w:rPr>
        <w:t xml:space="preserve"> diéte. Informácie o akútnom </w:t>
      </w:r>
      <w:proofErr w:type="spellStart"/>
      <w:r>
        <w:rPr>
          <w:lang w:val="sk"/>
        </w:rPr>
        <w:t>renálnom</w:t>
      </w:r>
      <w:proofErr w:type="spellEnd"/>
      <w:r>
        <w:rPr>
          <w:lang w:val="sk"/>
        </w:rPr>
        <w:t xml:space="preserve"> zlyhaní nájdete nižšie.</w:t>
      </w:r>
    </w:p>
    <w:p w14:paraId="57603800" w14:textId="3DF7B1F5" w:rsidR="001823F5" w:rsidRPr="009D5931" w:rsidRDefault="001823F5" w:rsidP="00312629">
      <w:pPr>
        <w:pStyle w:val="Nadpis5"/>
        <w:rPr>
          <w:lang w:val="sk"/>
        </w:rPr>
      </w:pPr>
      <w:r>
        <w:rPr>
          <w:iCs/>
          <w:lang w:val="sk"/>
        </w:rPr>
        <w:lastRenderedPageBreak/>
        <w:t>Sledovateľnosť</w:t>
      </w:r>
    </w:p>
    <w:p w14:paraId="21512B66" w14:textId="4E3E8E5D" w:rsidR="00312629" w:rsidRDefault="001823F5" w:rsidP="00312629">
      <w:pPr>
        <w:rPr>
          <w:i/>
          <w:iCs/>
          <w:lang w:val="sk"/>
        </w:rPr>
      </w:pPr>
      <w:r>
        <w:rPr>
          <w:i/>
          <w:iCs/>
          <w:lang w:val="sk"/>
        </w:rPr>
        <w:t>Aby sa zlepšila (do)sledovateľnosť biologického lieku, má sa zrozumiteľne zaznamenať názov a číslo šarže podaného lieku.</w:t>
      </w:r>
    </w:p>
    <w:p w14:paraId="50E86AA3" w14:textId="77777777" w:rsidR="009C2D20" w:rsidRPr="009D5931" w:rsidRDefault="009C2D20" w:rsidP="00312629">
      <w:pPr>
        <w:rPr>
          <w:i/>
          <w:lang w:val="sk"/>
        </w:rPr>
      </w:pPr>
    </w:p>
    <w:p w14:paraId="41FAA1E6" w14:textId="77777777" w:rsidR="001823F5" w:rsidRPr="009D5931" w:rsidRDefault="001823F5" w:rsidP="00312629">
      <w:pPr>
        <w:pStyle w:val="Nadpis5"/>
        <w:rPr>
          <w:lang w:val="sk"/>
        </w:rPr>
      </w:pPr>
      <w:r>
        <w:rPr>
          <w:iCs/>
          <w:lang w:val="sk"/>
        </w:rPr>
        <w:t>Opatrenia pri používaní</w:t>
      </w:r>
    </w:p>
    <w:p w14:paraId="4721D716" w14:textId="77777777" w:rsidR="00F62490" w:rsidRPr="009D5931" w:rsidRDefault="00F62490" w:rsidP="00F62490">
      <w:pPr>
        <w:rPr>
          <w:lang w:val="sk"/>
        </w:rPr>
      </w:pPr>
      <w:r>
        <w:rPr>
          <w:lang w:val="sk"/>
        </w:rPr>
        <w:t>Potenciálnym komplikáciám je možné predísť, ak skontrolujete, či pacienti spĺňajú nasledujúce podmienky:</w:t>
      </w:r>
    </w:p>
    <w:p w14:paraId="78453B5C" w14:textId="77777777" w:rsidR="00F62490" w:rsidRPr="009D5931" w:rsidRDefault="00F62490" w:rsidP="00F62490">
      <w:pPr>
        <w:pStyle w:val="Odsekzoznamu"/>
        <w:numPr>
          <w:ilvl w:val="0"/>
          <w:numId w:val="20"/>
        </w:numPr>
        <w:rPr>
          <w:lang w:val="sk"/>
        </w:rPr>
      </w:pPr>
      <w:r>
        <w:rPr>
          <w:lang w:val="sk"/>
        </w:rPr>
        <w:t xml:space="preserve">nie sú citliví na normálny ľudský </w:t>
      </w:r>
      <w:proofErr w:type="spellStart"/>
      <w:r>
        <w:rPr>
          <w:lang w:val="sk"/>
        </w:rPr>
        <w:t>imunoglobulín</w:t>
      </w:r>
      <w:proofErr w:type="spellEnd"/>
      <w:r>
        <w:rPr>
          <w:lang w:val="sk"/>
        </w:rPr>
        <w:t xml:space="preserve"> – na začiatku podávajte liek pomaly (0,01 ml/kg/min) </w:t>
      </w:r>
    </w:p>
    <w:p w14:paraId="1303267F" w14:textId="6F687B61" w:rsidR="00F62490" w:rsidRPr="009D5931" w:rsidRDefault="00F62490" w:rsidP="000D356C">
      <w:pPr>
        <w:pStyle w:val="Odsekzoznamu"/>
        <w:numPr>
          <w:ilvl w:val="0"/>
          <w:numId w:val="20"/>
        </w:numPr>
        <w:rPr>
          <w:lang w:val="sk"/>
        </w:rPr>
      </w:pPr>
      <w:r>
        <w:rPr>
          <w:lang w:val="sk"/>
        </w:rPr>
        <w:t xml:space="preserve">sú dôsledne sledovaní na výskyt akýchkoľvek príznakov počas celej dĺžky trvania infúzie. Predovšetkým pacienti bez liečby normálnym ľudským </w:t>
      </w:r>
      <w:proofErr w:type="spellStart"/>
      <w:r>
        <w:rPr>
          <w:lang w:val="sk"/>
        </w:rPr>
        <w:t>imunoglobulínom</w:t>
      </w:r>
      <w:proofErr w:type="spellEnd"/>
      <w:r>
        <w:rPr>
          <w:lang w:val="sk"/>
        </w:rPr>
        <w:t xml:space="preserve"> v anamnéze, pacienti prechádzajúci z alternatívneho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 </w:t>
      </w:r>
      <w:r w:rsidR="00350ABF">
        <w:rPr>
          <w:lang w:val="sk"/>
        </w:rPr>
        <w:t>liek</w:t>
      </w:r>
      <w:r>
        <w:rPr>
          <w:lang w:val="sk"/>
        </w:rPr>
        <w:t xml:space="preserve">u alebo pacienti, u ktorých prešiel od predchádzajúcej infúzie dlhší čas, si vyžadujú sledovanie v nemocnici počas prvej infúzie a počas prvej hodiny po prvej infúzii, aby boli identifikované prípadné </w:t>
      </w:r>
      <w:r w:rsidR="0008165E">
        <w:rPr>
          <w:lang w:val="sk"/>
        </w:rPr>
        <w:t>prejav</w:t>
      </w:r>
      <w:r>
        <w:rPr>
          <w:lang w:val="sk"/>
        </w:rPr>
        <w:t>y nežiaducich účinkov. U všetkých ostatných pacientov je nutné zabezpečiť minimálne 20-minútové sledovanie po podaní.</w:t>
      </w:r>
    </w:p>
    <w:p w14:paraId="16DBD497" w14:textId="77777777" w:rsidR="007B43D7" w:rsidRPr="009D5931" w:rsidRDefault="007B43D7" w:rsidP="00FF664F">
      <w:pPr>
        <w:rPr>
          <w:lang w:val="sk"/>
        </w:rPr>
      </w:pPr>
      <w:r>
        <w:rPr>
          <w:lang w:val="sk"/>
        </w:rPr>
        <w:t xml:space="preserve">U všetkých pacientov si podanie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 vyžaduje:</w:t>
      </w:r>
    </w:p>
    <w:p w14:paraId="0A775A95" w14:textId="77777777" w:rsidR="007B43D7" w:rsidRPr="009D5931" w:rsidRDefault="007B43D7" w:rsidP="00FF664F">
      <w:pPr>
        <w:pStyle w:val="Odsekzoznamu"/>
        <w:numPr>
          <w:ilvl w:val="0"/>
          <w:numId w:val="20"/>
        </w:numPr>
        <w:rPr>
          <w:lang w:val="sk"/>
        </w:rPr>
      </w:pPr>
      <w:r>
        <w:rPr>
          <w:lang w:val="sk"/>
        </w:rPr>
        <w:t xml:space="preserve">adekvátnu hydratáciu pred začatím infúzie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>,</w:t>
      </w:r>
    </w:p>
    <w:p w14:paraId="1FDAC2AC" w14:textId="77777777" w:rsidR="007B43D7" w:rsidRDefault="007B43D7" w:rsidP="00FF664F">
      <w:pPr>
        <w:pStyle w:val="Odsekzoznamu"/>
        <w:numPr>
          <w:ilvl w:val="0"/>
          <w:numId w:val="20"/>
        </w:numPr>
      </w:pPr>
      <w:r>
        <w:rPr>
          <w:lang w:val="sk"/>
        </w:rPr>
        <w:t>sledovanie výdaja moču,</w:t>
      </w:r>
    </w:p>
    <w:p w14:paraId="266B1155" w14:textId="77777777" w:rsidR="0073569F" w:rsidRDefault="007B43D7" w:rsidP="0073569F">
      <w:pPr>
        <w:pStyle w:val="Odsekzoznamu"/>
        <w:numPr>
          <w:ilvl w:val="0"/>
          <w:numId w:val="20"/>
        </w:numPr>
      </w:pPr>
      <w:r>
        <w:rPr>
          <w:lang w:val="sk"/>
        </w:rPr>
        <w:t xml:space="preserve">sledovanie sérových hladín </w:t>
      </w:r>
      <w:proofErr w:type="spellStart"/>
      <w:r>
        <w:rPr>
          <w:lang w:val="sk"/>
        </w:rPr>
        <w:t>kreatinínu</w:t>
      </w:r>
      <w:proofErr w:type="spellEnd"/>
      <w:r>
        <w:rPr>
          <w:lang w:val="sk"/>
        </w:rPr>
        <w:t xml:space="preserve">, </w:t>
      </w:r>
    </w:p>
    <w:p w14:paraId="7484C357" w14:textId="16522A22" w:rsidR="006D2A4D" w:rsidRDefault="007B43D7" w:rsidP="0073569F">
      <w:pPr>
        <w:pStyle w:val="Odsekzoznamu"/>
        <w:numPr>
          <w:ilvl w:val="0"/>
          <w:numId w:val="20"/>
        </w:numPr>
      </w:pPr>
      <w:r>
        <w:rPr>
          <w:lang w:val="sk"/>
        </w:rPr>
        <w:t xml:space="preserve">vyhýbanie sa súbežnému použitiu </w:t>
      </w:r>
      <w:proofErr w:type="spellStart"/>
      <w:r w:rsidR="00CB2CCF">
        <w:rPr>
          <w:lang w:val="sk"/>
        </w:rPr>
        <w:t>kľ</w:t>
      </w:r>
      <w:r>
        <w:rPr>
          <w:lang w:val="sk"/>
        </w:rPr>
        <w:t>učkových</w:t>
      </w:r>
      <w:proofErr w:type="spellEnd"/>
      <w:r>
        <w:rPr>
          <w:lang w:val="sk"/>
        </w:rPr>
        <w:t xml:space="preserve"> diuretík (pozri časť 4.5).</w:t>
      </w:r>
    </w:p>
    <w:p w14:paraId="246B4F5B" w14:textId="61D2F33D" w:rsidR="00674350" w:rsidRPr="009D5931" w:rsidRDefault="00674350" w:rsidP="00674350">
      <w:pPr>
        <w:rPr>
          <w:lang w:val="sk"/>
        </w:rPr>
      </w:pPr>
      <w:r>
        <w:rPr>
          <w:lang w:val="sk"/>
        </w:rPr>
        <w:t>V prípade nežiaducich reakcií je nutné zvýšiť frekvenciu aplikácií alebo infúzie zastaviť. Potrebná liečba závisí od charakteru a závažnosti nežiaduce</w:t>
      </w:r>
      <w:r w:rsidR="00ED1882">
        <w:rPr>
          <w:lang w:val="sk"/>
        </w:rPr>
        <w:t>j</w:t>
      </w:r>
      <w:r>
        <w:rPr>
          <w:lang w:val="sk"/>
        </w:rPr>
        <w:t xml:space="preserve"> </w:t>
      </w:r>
      <w:r w:rsidR="00CB2CCF">
        <w:rPr>
          <w:lang w:val="sk"/>
        </w:rPr>
        <w:t>reakcie</w:t>
      </w:r>
      <w:r>
        <w:rPr>
          <w:lang w:val="sk"/>
        </w:rPr>
        <w:t>.</w:t>
      </w:r>
    </w:p>
    <w:p w14:paraId="43D00DF5" w14:textId="77777777" w:rsidR="00674350" w:rsidRPr="009D5931" w:rsidRDefault="00674350" w:rsidP="00674350">
      <w:pPr>
        <w:pStyle w:val="Nadpis3"/>
        <w:rPr>
          <w:lang w:val="sk"/>
        </w:rPr>
      </w:pPr>
      <w:r>
        <w:rPr>
          <w:bCs w:val="0"/>
          <w:lang w:val="sk"/>
        </w:rPr>
        <w:t>Reakcia na infúziu</w:t>
      </w:r>
    </w:p>
    <w:p w14:paraId="1FB436D0" w14:textId="31EFFDC8" w:rsidR="00674350" w:rsidRPr="009D5931" w:rsidRDefault="00674350" w:rsidP="00674350">
      <w:pPr>
        <w:rPr>
          <w:lang w:val="sk"/>
        </w:rPr>
      </w:pPr>
      <w:r>
        <w:rPr>
          <w:lang w:val="sk"/>
        </w:rPr>
        <w:t xml:space="preserve">Určité nežiaduce </w:t>
      </w:r>
      <w:r w:rsidR="00CB2CCF">
        <w:rPr>
          <w:lang w:val="sk"/>
        </w:rPr>
        <w:t>reakcie</w:t>
      </w:r>
      <w:r>
        <w:rPr>
          <w:lang w:val="sk"/>
        </w:rPr>
        <w:t xml:space="preserve"> (napr. boles</w:t>
      </w:r>
      <w:r w:rsidR="00CB2CCF">
        <w:rPr>
          <w:lang w:val="sk"/>
        </w:rPr>
        <w:t>ť</w:t>
      </w:r>
      <w:r>
        <w:rPr>
          <w:lang w:val="sk"/>
        </w:rPr>
        <w:t xml:space="preserve"> hlavy, </w:t>
      </w:r>
      <w:r w:rsidR="00CB2CCF">
        <w:rPr>
          <w:lang w:val="sk"/>
        </w:rPr>
        <w:t>s</w:t>
      </w:r>
      <w:r>
        <w:rPr>
          <w:lang w:val="sk"/>
        </w:rPr>
        <w:t>červen</w:t>
      </w:r>
      <w:r w:rsidR="00CB2CCF">
        <w:rPr>
          <w:lang w:val="sk"/>
        </w:rPr>
        <w:t>e</w:t>
      </w:r>
      <w:r>
        <w:rPr>
          <w:lang w:val="sk"/>
        </w:rPr>
        <w:t xml:space="preserve">nie, zimnica, </w:t>
      </w:r>
      <w:proofErr w:type="spellStart"/>
      <w:r>
        <w:rPr>
          <w:lang w:val="sk"/>
        </w:rPr>
        <w:t>myalgia</w:t>
      </w:r>
      <w:proofErr w:type="spellEnd"/>
      <w:r>
        <w:rPr>
          <w:lang w:val="sk"/>
        </w:rPr>
        <w:t xml:space="preserve">, dýchavičnosť, </w:t>
      </w:r>
      <w:proofErr w:type="spellStart"/>
      <w:r>
        <w:rPr>
          <w:lang w:val="sk"/>
        </w:rPr>
        <w:t>tachykardia</w:t>
      </w:r>
      <w:proofErr w:type="spellEnd"/>
      <w:r>
        <w:rPr>
          <w:lang w:val="sk"/>
        </w:rPr>
        <w:t>, boles</w:t>
      </w:r>
      <w:r w:rsidR="00CB2CCF">
        <w:rPr>
          <w:lang w:val="sk"/>
        </w:rPr>
        <w:t>ť</w:t>
      </w:r>
      <w:r>
        <w:rPr>
          <w:lang w:val="sk"/>
        </w:rPr>
        <w:t xml:space="preserve"> bedrovej chrbtice, nevoľnosť a hypotenzia) môžu byť spojené s rýchlosťou infúzie. Odporúčané rýchlosti infúzie uvádzané v časti 4.2 je nutné starostlivo dodržiavať. Pacienti vyžadujú dôsledné sledovanie prípadných príznakov počas celej dĺžky trvania infúzie.</w:t>
      </w:r>
    </w:p>
    <w:p w14:paraId="5FA795FD" w14:textId="5EE7A983" w:rsidR="00674350" w:rsidRPr="009D5931" w:rsidRDefault="00674350" w:rsidP="00674350">
      <w:pPr>
        <w:rPr>
          <w:lang w:val="sk"/>
        </w:rPr>
      </w:pPr>
      <w:r>
        <w:rPr>
          <w:lang w:val="sk"/>
        </w:rPr>
        <w:t xml:space="preserve">K nežiaducim </w:t>
      </w:r>
      <w:r w:rsidR="00ED2594">
        <w:rPr>
          <w:lang w:val="sk"/>
        </w:rPr>
        <w:t>reakciám</w:t>
      </w:r>
      <w:r>
        <w:rPr>
          <w:lang w:val="sk"/>
        </w:rPr>
        <w:t xml:space="preserve"> môže dochádzať častejšie:</w:t>
      </w:r>
    </w:p>
    <w:p w14:paraId="3B31EF3D" w14:textId="785EE7D8" w:rsidR="00674350" w:rsidRPr="009D5931" w:rsidRDefault="00674350" w:rsidP="00674350">
      <w:pPr>
        <w:pStyle w:val="Odsekzoznamu"/>
        <w:numPr>
          <w:ilvl w:val="0"/>
          <w:numId w:val="20"/>
        </w:numPr>
        <w:rPr>
          <w:lang w:val="sk"/>
        </w:rPr>
      </w:pPr>
      <w:r>
        <w:rPr>
          <w:lang w:val="sk"/>
        </w:rPr>
        <w:t xml:space="preserve">u pacientov, ktorí dostávajú normálny ľudský </w:t>
      </w:r>
      <w:proofErr w:type="spellStart"/>
      <w:r>
        <w:rPr>
          <w:lang w:val="sk"/>
        </w:rPr>
        <w:t>imunoglobulín</w:t>
      </w:r>
      <w:proofErr w:type="spellEnd"/>
      <w:r>
        <w:rPr>
          <w:lang w:val="sk"/>
        </w:rPr>
        <w:t xml:space="preserve"> prvýkrát alebo v zriedkavých prípadoch pri zmene </w:t>
      </w:r>
      <w:r w:rsidR="00ED2594">
        <w:rPr>
          <w:lang w:val="sk"/>
        </w:rPr>
        <w:t>liek</w:t>
      </w:r>
      <w:r>
        <w:rPr>
          <w:lang w:val="sk"/>
        </w:rPr>
        <w:t xml:space="preserve">u na báze normálneho ľudského </w:t>
      </w:r>
      <w:proofErr w:type="spellStart"/>
      <w:r>
        <w:rPr>
          <w:lang w:val="sk"/>
        </w:rPr>
        <w:t>imunoglobulínu</w:t>
      </w:r>
      <w:proofErr w:type="spellEnd"/>
      <w:r>
        <w:rPr>
          <w:lang w:val="sk"/>
        </w:rPr>
        <w:t xml:space="preserve"> alebo v prípade dlhého intervalu od predchádzajúcej infúzie,</w:t>
      </w:r>
    </w:p>
    <w:p w14:paraId="05B3D952" w14:textId="2150EC7E" w:rsidR="00674350" w:rsidRPr="009D5931" w:rsidRDefault="00674350" w:rsidP="00674350">
      <w:pPr>
        <w:pStyle w:val="Odsekzoznamu"/>
        <w:numPr>
          <w:ilvl w:val="0"/>
          <w:numId w:val="20"/>
        </w:numPr>
        <w:rPr>
          <w:lang w:val="sk"/>
        </w:rPr>
      </w:pPr>
      <w:r>
        <w:rPr>
          <w:lang w:val="sk"/>
        </w:rPr>
        <w:t>u</w:t>
      </w:r>
      <w:r w:rsidR="00ED2594">
        <w:rPr>
          <w:lang w:val="sk"/>
        </w:rPr>
        <w:t> </w:t>
      </w:r>
      <w:r>
        <w:rPr>
          <w:lang w:val="sk"/>
        </w:rPr>
        <w:t>pacientov</w:t>
      </w:r>
      <w:r w:rsidR="00ED2594">
        <w:rPr>
          <w:lang w:val="sk"/>
        </w:rPr>
        <w:t>, ktorí majú</w:t>
      </w:r>
      <w:r>
        <w:rPr>
          <w:lang w:val="sk"/>
        </w:rPr>
        <w:t xml:space="preserve"> neliečenú infekciu alebo chronický zápal.</w:t>
      </w:r>
    </w:p>
    <w:p w14:paraId="2446DC2A" w14:textId="77777777" w:rsidR="003A62E5" w:rsidRPr="003A62E5" w:rsidRDefault="003A62E5" w:rsidP="00FF664F">
      <w:pPr>
        <w:pStyle w:val="Nadpis3"/>
      </w:pPr>
      <w:r>
        <w:rPr>
          <w:bCs w:val="0"/>
          <w:lang w:val="sk"/>
        </w:rPr>
        <w:t>Precitlivenosť</w:t>
      </w:r>
    </w:p>
    <w:p w14:paraId="5975BB7F" w14:textId="28ECFADC" w:rsidR="00674350" w:rsidRDefault="00674350" w:rsidP="00FF664F">
      <w:r>
        <w:rPr>
          <w:lang w:val="sk"/>
        </w:rPr>
        <w:t>Reakcie z precitlivenosti sú zriedkavé.</w:t>
      </w:r>
    </w:p>
    <w:p w14:paraId="7D6646EB" w14:textId="2660A111" w:rsidR="00674350" w:rsidRDefault="00674350" w:rsidP="00FF664F">
      <w:proofErr w:type="spellStart"/>
      <w:r>
        <w:rPr>
          <w:lang w:val="sk"/>
        </w:rPr>
        <w:t>Anafylaktická</w:t>
      </w:r>
      <w:proofErr w:type="spellEnd"/>
      <w:r>
        <w:rPr>
          <w:lang w:val="sk"/>
        </w:rPr>
        <w:t xml:space="preserve"> reakcia sa môže objaviť u pacientov </w:t>
      </w:r>
    </w:p>
    <w:p w14:paraId="6A76488D" w14:textId="640FC62A" w:rsidR="00674350" w:rsidRDefault="003A62E5" w:rsidP="0040016F">
      <w:pPr>
        <w:pStyle w:val="Odsekzoznamu"/>
        <w:numPr>
          <w:ilvl w:val="0"/>
          <w:numId w:val="38"/>
        </w:numPr>
      </w:pPr>
      <w:r>
        <w:rPr>
          <w:lang w:val="sk"/>
        </w:rPr>
        <w:t xml:space="preserve">s </w:t>
      </w:r>
      <w:proofErr w:type="spellStart"/>
      <w:r>
        <w:rPr>
          <w:lang w:val="sk"/>
        </w:rPr>
        <w:t>nedetegovateľným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IgA</w:t>
      </w:r>
      <w:proofErr w:type="spellEnd"/>
      <w:r>
        <w:rPr>
          <w:lang w:val="sk"/>
        </w:rPr>
        <w:t xml:space="preserve">, ktorí majú protilátky proti </w:t>
      </w:r>
      <w:proofErr w:type="spellStart"/>
      <w:r>
        <w:rPr>
          <w:lang w:val="sk"/>
        </w:rPr>
        <w:t>IgA</w:t>
      </w:r>
      <w:proofErr w:type="spellEnd"/>
      <w:r>
        <w:rPr>
          <w:lang w:val="sk"/>
        </w:rPr>
        <w:t>,</w:t>
      </w:r>
    </w:p>
    <w:p w14:paraId="0B9954F7" w14:textId="39B907B5" w:rsidR="003A62E5" w:rsidRDefault="003A62E5" w:rsidP="0040016F">
      <w:pPr>
        <w:pStyle w:val="Odsekzoznamu"/>
        <w:numPr>
          <w:ilvl w:val="0"/>
          <w:numId w:val="38"/>
        </w:numPr>
      </w:pPr>
      <w:r>
        <w:rPr>
          <w:lang w:val="sk"/>
        </w:rPr>
        <w:t xml:space="preserve">ktorí dobre znášali predchádzajúcu liečbu normálnym ľudským </w:t>
      </w:r>
      <w:proofErr w:type="spellStart"/>
      <w:r>
        <w:rPr>
          <w:lang w:val="sk"/>
        </w:rPr>
        <w:t>imunoglobulínom</w:t>
      </w:r>
      <w:proofErr w:type="spellEnd"/>
      <w:r>
        <w:rPr>
          <w:lang w:val="sk"/>
        </w:rPr>
        <w:t>.</w:t>
      </w:r>
    </w:p>
    <w:p w14:paraId="180CC3F5" w14:textId="77777777" w:rsidR="00674350" w:rsidRPr="00062519" w:rsidRDefault="00674350" w:rsidP="00674350">
      <w:r>
        <w:rPr>
          <w:lang w:val="sk"/>
        </w:rPr>
        <w:t>V prípade šoku je nutné zabezpečiť štandardnú liečbu šoku.</w:t>
      </w:r>
    </w:p>
    <w:p w14:paraId="3827C17C" w14:textId="77777777" w:rsidR="003A62E5" w:rsidRPr="00062519" w:rsidRDefault="003A62E5" w:rsidP="00FF664F">
      <w:pPr>
        <w:pStyle w:val="Nadpis3"/>
      </w:pPr>
      <w:proofErr w:type="spellStart"/>
      <w:r>
        <w:rPr>
          <w:bCs w:val="0"/>
          <w:lang w:val="sk"/>
        </w:rPr>
        <w:t>Tromboembólia</w:t>
      </w:r>
      <w:proofErr w:type="spellEnd"/>
    </w:p>
    <w:p w14:paraId="683677F4" w14:textId="63E51CAB" w:rsidR="00A92E12" w:rsidRPr="009D5931" w:rsidRDefault="003A62E5" w:rsidP="00A64426">
      <w:pPr>
        <w:rPr>
          <w:lang w:val="sk"/>
        </w:rPr>
      </w:pPr>
      <w:r>
        <w:rPr>
          <w:lang w:val="sk"/>
        </w:rPr>
        <w:t xml:space="preserve">Existujú klinické dôkazy o spojitosti medzi podávaním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 a </w:t>
      </w:r>
      <w:proofErr w:type="spellStart"/>
      <w:r>
        <w:rPr>
          <w:lang w:val="sk"/>
        </w:rPr>
        <w:t>tromboembolickými</w:t>
      </w:r>
      <w:proofErr w:type="spellEnd"/>
      <w:r>
        <w:rPr>
          <w:lang w:val="sk"/>
        </w:rPr>
        <w:t xml:space="preserve"> príhodami ako napr. infarkt myokardu, cievna mozgová príhoda (vrátane </w:t>
      </w:r>
      <w:r w:rsidR="0003717A">
        <w:rPr>
          <w:lang w:val="sk"/>
        </w:rPr>
        <w:t>mozgovej mŕtvice</w:t>
      </w:r>
      <w:r>
        <w:rPr>
          <w:lang w:val="sk"/>
        </w:rPr>
        <w:t xml:space="preserve">), pľúcna embólia a hlboké žilové trombózy, ktoré sú pravdepodobne spojené s relatívnym zvýšením krvnej viskozity v dôsledku podania väčšej dávky </w:t>
      </w:r>
      <w:proofErr w:type="spellStart"/>
      <w:r>
        <w:rPr>
          <w:lang w:val="sk"/>
        </w:rPr>
        <w:t>imunoglobulínu</w:t>
      </w:r>
      <w:proofErr w:type="spellEnd"/>
      <w:r>
        <w:rPr>
          <w:lang w:val="sk"/>
        </w:rPr>
        <w:t xml:space="preserve"> u rizikových pacientov. Pri predpisovaní a aplikácii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 u obéznych pacientov a pacientov s existujúcimi rizikovými faktormi pre </w:t>
      </w:r>
      <w:proofErr w:type="spellStart"/>
      <w:r>
        <w:rPr>
          <w:lang w:val="sk"/>
        </w:rPr>
        <w:t>tromboembolické</w:t>
      </w:r>
      <w:proofErr w:type="spellEnd"/>
      <w:r>
        <w:rPr>
          <w:lang w:val="sk"/>
        </w:rPr>
        <w:t xml:space="preserve"> príhody (napr. vyšší vek, hypertenzia, diabetes mellitus a anamnéza cievnych porúch či </w:t>
      </w:r>
      <w:proofErr w:type="spellStart"/>
      <w:r>
        <w:rPr>
          <w:lang w:val="sk"/>
        </w:rPr>
        <w:t>trombotických</w:t>
      </w:r>
      <w:proofErr w:type="spellEnd"/>
      <w:r>
        <w:rPr>
          <w:lang w:val="sk"/>
        </w:rPr>
        <w:t xml:space="preserve"> príhod, pacienti so získanými </w:t>
      </w:r>
      <w:r>
        <w:rPr>
          <w:lang w:val="sk"/>
        </w:rPr>
        <w:lastRenderedPageBreak/>
        <w:t xml:space="preserve">alebo zdedenými </w:t>
      </w:r>
      <w:proofErr w:type="spellStart"/>
      <w:r>
        <w:rPr>
          <w:lang w:val="sk"/>
        </w:rPr>
        <w:t>trombo</w:t>
      </w:r>
      <w:r w:rsidR="00350ABF">
        <w:rPr>
          <w:lang w:val="sk"/>
        </w:rPr>
        <w:t>fi</w:t>
      </w:r>
      <w:r>
        <w:rPr>
          <w:lang w:val="sk"/>
        </w:rPr>
        <w:t>lickými</w:t>
      </w:r>
      <w:proofErr w:type="spellEnd"/>
      <w:r>
        <w:rPr>
          <w:lang w:val="sk"/>
        </w:rPr>
        <w:t xml:space="preserve"> poruchami, dlhodobo </w:t>
      </w:r>
      <w:r w:rsidRPr="0039456D">
        <w:rPr>
          <w:lang w:val="sk"/>
        </w:rPr>
        <w:t>imobilní</w:t>
      </w:r>
      <w:r>
        <w:rPr>
          <w:lang w:val="sk"/>
        </w:rPr>
        <w:t xml:space="preserve"> pacienti, pacienti so závažnou </w:t>
      </w:r>
      <w:proofErr w:type="spellStart"/>
      <w:r>
        <w:rPr>
          <w:lang w:val="sk"/>
        </w:rPr>
        <w:t>hypovolémiou</w:t>
      </w:r>
      <w:proofErr w:type="spellEnd"/>
      <w:r>
        <w:rPr>
          <w:lang w:val="sk"/>
        </w:rPr>
        <w:t>, pacienti s chorobami zvyšujúcimi viskozitu krvi)</w:t>
      </w:r>
    </w:p>
    <w:p w14:paraId="0CA4B78A" w14:textId="2C118218" w:rsidR="003A62E5" w:rsidRPr="009D5931" w:rsidRDefault="00A36899" w:rsidP="00FF664F">
      <w:pPr>
        <w:rPr>
          <w:lang w:val="sk"/>
        </w:rPr>
      </w:pPr>
      <w:r>
        <w:rPr>
          <w:lang w:val="sk"/>
        </w:rPr>
        <w:t xml:space="preserve">Pacientom s rizikom </w:t>
      </w:r>
      <w:proofErr w:type="spellStart"/>
      <w:r>
        <w:rPr>
          <w:lang w:val="sk"/>
        </w:rPr>
        <w:t>tromboembolických</w:t>
      </w:r>
      <w:proofErr w:type="spellEnd"/>
      <w:r>
        <w:rPr>
          <w:lang w:val="sk"/>
        </w:rPr>
        <w:t xml:space="preserve"> nežiaducich reakcií je nutné </w:t>
      </w:r>
      <w:r w:rsidR="00350ABF">
        <w:rPr>
          <w:lang w:val="sk"/>
        </w:rPr>
        <w:t>podávať liek</w:t>
      </w:r>
      <w:r>
        <w:rPr>
          <w:lang w:val="sk"/>
        </w:rPr>
        <w:t xml:space="preserve">y s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  minimálnou rýchlosťou infúzie a v minimálnej možnej dávke.</w:t>
      </w:r>
    </w:p>
    <w:p w14:paraId="2621F231" w14:textId="77777777" w:rsidR="003A62E5" w:rsidRPr="009D5931" w:rsidRDefault="003A62E5" w:rsidP="00FF664F">
      <w:pPr>
        <w:pStyle w:val="Nadpis3"/>
        <w:rPr>
          <w:lang w:val="sk"/>
        </w:rPr>
      </w:pPr>
      <w:r>
        <w:rPr>
          <w:bCs w:val="0"/>
          <w:lang w:val="sk"/>
        </w:rPr>
        <w:t xml:space="preserve">Akútne </w:t>
      </w:r>
      <w:proofErr w:type="spellStart"/>
      <w:r>
        <w:rPr>
          <w:bCs w:val="0"/>
          <w:lang w:val="sk"/>
        </w:rPr>
        <w:t>renálne</w:t>
      </w:r>
      <w:proofErr w:type="spellEnd"/>
      <w:r>
        <w:rPr>
          <w:bCs w:val="0"/>
          <w:lang w:val="sk"/>
        </w:rPr>
        <w:t xml:space="preserve"> zlyhanie</w:t>
      </w:r>
    </w:p>
    <w:p w14:paraId="7F54F918" w14:textId="77777777" w:rsidR="003A62E5" w:rsidRPr="009D5931" w:rsidRDefault="003A62E5" w:rsidP="000E716D">
      <w:pPr>
        <w:rPr>
          <w:lang w:val="sk"/>
        </w:rPr>
      </w:pPr>
      <w:r>
        <w:rPr>
          <w:lang w:val="sk"/>
        </w:rPr>
        <w:t xml:space="preserve">U pacientov podstupujúcich terapiu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 boli hlásené prípady akútneho </w:t>
      </w:r>
      <w:proofErr w:type="spellStart"/>
      <w:r>
        <w:rPr>
          <w:lang w:val="sk"/>
        </w:rPr>
        <w:t>renálneho</w:t>
      </w:r>
      <w:proofErr w:type="spellEnd"/>
      <w:r>
        <w:rPr>
          <w:lang w:val="sk"/>
        </w:rPr>
        <w:t xml:space="preserve"> zlyhania. Vo väčšine prípadov boli identifikované rizikové faktory ako napr. predchádzajúca </w:t>
      </w:r>
      <w:proofErr w:type="spellStart"/>
      <w:r>
        <w:rPr>
          <w:lang w:val="sk"/>
        </w:rPr>
        <w:t>renálna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insuficiencia</w:t>
      </w:r>
      <w:proofErr w:type="spellEnd"/>
      <w:r>
        <w:rPr>
          <w:lang w:val="sk"/>
        </w:rPr>
        <w:t xml:space="preserve">, diabetes mellitus, </w:t>
      </w:r>
      <w:proofErr w:type="spellStart"/>
      <w:r>
        <w:rPr>
          <w:lang w:val="sk"/>
        </w:rPr>
        <w:t>hypovolémia</w:t>
      </w:r>
      <w:proofErr w:type="spellEnd"/>
      <w:r>
        <w:rPr>
          <w:lang w:val="sk"/>
        </w:rPr>
        <w:t xml:space="preserve">, nadváha, </w:t>
      </w:r>
      <w:proofErr w:type="spellStart"/>
      <w:r w:rsidRPr="0039456D">
        <w:rPr>
          <w:lang w:val="sk"/>
        </w:rPr>
        <w:t>konkomitantné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nefrotoxické</w:t>
      </w:r>
      <w:proofErr w:type="spellEnd"/>
      <w:r>
        <w:rPr>
          <w:lang w:val="sk"/>
        </w:rPr>
        <w:t xml:space="preserve"> lieky alebo vek nad 65 rokov.</w:t>
      </w:r>
    </w:p>
    <w:p w14:paraId="639EA51E" w14:textId="6311BA87" w:rsidR="00DA6F7D" w:rsidRPr="009D5931" w:rsidRDefault="00DA6F7D" w:rsidP="00FF664F">
      <w:pPr>
        <w:rPr>
          <w:lang w:val="sk"/>
        </w:rPr>
      </w:pPr>
      <w:r>
        <w:rPr>
          <w:lang w:val="sk"/>
        </w:rPr>
        <w:t xml:space="preserve">Pred infúznou aplikáciou IVIG je nutné vyhodnotiť </w:t>
      </w:r>
      <w:proofErr w:type="spellStart"/>
      <w:r>
        <w:rPr>
          <w:lang w:val="sk"/>
        </w:rPr>
        <w:t>renálne</w:t>
      </w:r>
      <w:proofErr w:type="spellEnd"/>
      <w:r>
        <w:rPr>
          <w:lang w:val="sk"/>
        </w:rPr>
        <w:t xml:space="preserve"> parametre, hlavne u pacientov s potenciálnym rizikom rozvoja akútneho </w:t>
      </w:r>
      <w:proofErr w:type="spellStart"/>
      <w:r>
        <w:rPr>
          <w:lang w:val="sk"/>
        </w:rPr>
        <w:t>renálneho</w:t>
      </w:r>
      <w:proofErr w:type="spellEnd"/>
      <w:r>
        <w:rPr>
          <w:lang w:val="sk"/>
        </w:rPr>
        <w:t xml:space="preserve"> zlyhania. Testy opakujte vo vhodných intervaloch. Pacientom s rizikom akútneho </w:t>
      </w:r>
      <w:proofErr w:type="spellStart"/>
      <w:r>
        <w:rPr>
          <w:lang w:val="sk"/>
        </w:rPr>
        <w:t>renálneho</w:t>
      </w:r>
      <w:proofErr w:type="spellEnd"/>
      <w:r>
        <w:rPr>
          <w:lang w:val="sk"/>
        </w:rPr>
        <w:t xml:space="preserve"> zlyhania je nutné </w:t>
      </w:r>
      <w:r w:rsidR="00710491">
        <w:rPr>
          <w:lang w:val="sk"/>
        </w:rPr>
        <w:t>liek</w:t>
      </w:r>
      <w:r>
        <w:rPr>
          <w:lang w:val="sk"/>
        </w:rPr>
        <w:t xml:space="preserve">y s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 podávať minimálnou rýchlosťou infúzie a v minimálnej možnej dávke. V prípade </w:t>
      </w:r>
      <w:proofErr w:type="spellStart"/>
      <w:r>
        <w:rPr>
          <w:lang w:val="sk"/>
        </w:rPr>
        <w:t>renálnej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insuficiencie</w:t>
      </w:r>
      <w:proofErr w:type="spellEnd"/>
      <w:r>
        <w:rPr>
          <w:lang w:val="sk"/>
        </w:rPr>
        <w:t xml:space="preserve"> je nutné zvážiť </w:t>
      </w:r>
      <w:r w:rsidR="00710491">
        <w:rPr>
          <w:lang w:val="sk"/>
        </w:rPr>
        <w:t>ukončenie liečby</w:t>
      </w:r>
      <w:r>
        <w:rPr>
          <w:lang w:val="sk"/>
        </w:rPr>
        <w:t xml:space="preserve">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. </w:t>
      </w:r>
    </w:p>
    <w:p w14:paraId="58315846" w14:textId="083671F0" w:rsidR="003A62E5" w:rsidRPr="009D5931" w:rsidRDefault="003A62E5" w:rsidP="00FF664F">
      <w:pPr>
        <w:rPr>
          <w:lang w:val="sk"/>
        </w:rPr>
      </w:pPr>
      <w:r>
        <w:rPr>
          <w:lang w:val="sk"/>
        </w:rPr>
        <w:t xml:space="preserve">Hlásené prípady </w:t>
      </w:r>
      <w:proofErr w:type="spellStart"/>
      <w:r>
        <w:rPr>
          <w:lang w:val="sk"/>
        </w:rPr>
        <w:t>renálnej</w:t>
      </w:r>
      <w:proofErr w:type="spellEnd"/>
      <w:r>
        <w:rPr>
          <w:lang w:val="sk"/>
        </w:rPr>
        <w:t xml:space="preserve"> dysfunkcie a akútneho </w:t>
      </w:r>
      <w:proofErr w:type="spellStart"/>
      <w:r>
        <w:rPr>
          <w:lang w:val="sk"/>
        </w:rPr>
        <w:t>renálneho</w:t>
      </w:r>
      <w:proofErr w:type="spellEnd"/>
      <w:r>
        <w:rPr>
          <w:lang w:val="sk"/>
        </w:rPr>
        <w:t xml:space="preserve"> zlyhania boli spojené s použitím mnohých registrovaných </w:t>
      </w:r>
      <w:r w:rsidR="00710491">
        <w:rPr>
          <w:lang w:val="sk"/>
        </w:rPr>
        <w:t>liek</w:t>
      </w:r>
      <w:r>
        <w:rPr>
          <w:lang w:val="sk"/>
        </w:rPr>
        <w:t xml:space="preserve">ov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 obsahujúcich rôzne pomocné látky ako napr. sacharózu, glukózu a maltózu, produkty obsahujúce sacharózu ako stabilizátor predstavovali nepomerný podiel celkového počtu. U rizikových pacientov môže byť vhodné zvážiť použitie </w:t>
      </w:r>
      <w:r w:rsidR="00710491">
        <w:rPr>
          <w:lang w:val="sk"/>
        </w:rPr>
        <w:t>lie</w:t>
      </w:r>
      <w:r w:rsidR="0082311F">
        <w:rPr>
          <w:lang w:val="sk"/>
        </w:rPr>
        <w:t>k</w:t>
      </w:r>
      <w:r>
        <w:rPr>
          <w:lang w:val="sk"/>
        </w:rPr>
        <w:t xml:space="preserve">ov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, ktoré neobsahujú žiadne z týchto pomocných látok. </w:t>
      </w:r>
      <w:proofErr w:type="spellStart"/>
      <w:r>
        <w:rPr>
          <w:lang w:val="sk"/>
        </w:rPr>
        <w:t>Nanogam</w:t>
      </w:r>
      <w:proofErr w:type="spellEnd"/>
      <w:r>
        <w:rPr>
          <w:lang w:val="sk"/>
        </w:rPr>
        <w:t xml:space="preserve"> obsahuje glukózu (pozri pomocné látky vyššie). </w:t>
      </w:r>
      <w:proofErr w:type="spellStart"/>
      <w:r>
        <w:rPr>
          <w:lang w:val="sk"/>
        </w:rPr>
        <w:t>Nanogam</w:t>
      </w:r>
      <w:proofErr w:type="spellEnd"/>
      <w:r>
        <w:rPr>
          <w:lang w:val="sk"/>
        </w:rPr>
        <w:t xml:space="preserve"> neobsahuje sacharózu ani maltózu.</w:t>
      </w:r>
    </w:p>
    <w:p w14:paraId="3E573A0F" w14:textId="263A0BE8" w:rsidR="00381DCE" w:rsidRPr="009D5931" w:rsidRDefault="00381DCE" w:rsidP="00381DCE">
      <w:pPr>
        <w:pStyle w:val="Nadpis3"/>
        <w:rPr>
          <w:lang w:val="sk"/>
        </w:rPr>
      </w:pPr>
      <w:proofErr w:type="spellStart"/>
      <w:r>
        <w:rPr>
          <w:bCs w:val="0"/>
          <w:lang w:val="sk"/>
        </w:rPr>
        <w:t>Hyponatrémia</w:t>
      </w:r>
      <w:proofErr w:type="spellEnd"/>
    </w:p>
    <w:p w14:paraId="335B1BB4" w14:textId="77777777" w:rsidR="007A5FD5" w:rsidRPr="009D5931" w:rsidRDefault="007A5FD5" w:rsidP="00381DCE">
      <w:pPr>
        <w:rPr>
          <w:iCs/>
          <w:lang w:val="sk"/>
        </w:rPr>
      </w:pPr>
      <w:r>
        <w:rPr>
          <w:lang w:val="sk"/>
        </w:rPr>
        <w:t xml:space="preserve">V závislosti od základného klinického ochorenia pacienta a jeho schopnosti metabolizovať glukózu môže intravenózne podanie glukózy viesť k narušeniu rovnováhy elektrolytov, </w:t>
      </w:r>
      <w:proofErr w:type="spellStart"/>
      <w:r>
        <w:rPr>
          <w:lang w:val="sk"/>
        </w:rPr>
        <w:t>hypo</w:t>
      </w:r>
      <w:proofErr w:type="spellEnd"/>
      <w:r>
        <w:rPr>
          <w:lang w:val="sk"/>
        </w:rPr>
        <w:t xml:space="preserve">- alebo </w:t>
      </w:r>
      <w:proofErr w:type="spellStart"/>
      <w:r>
        <w:rPr>
          <w:lang w:val="sk"/>
        </w:rPr>
        <w:t>hyperosmotickej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hyponatrémii</w:t>
      </w:r>
      <w:proofErr w:type="spellEnd"/>
      <w:r>
        <w:rPr>
          <w:lang w:val="sk"/>
        </w:rPr>
        <w:t xml:space="preserve">. </w:t>
      </w:r>
    </w:p>
    <w:p w14:paraId="4942A274" w14:textId="77777777" w:rsidR="007A5FD5" w:rsidRPr="009D5931" w:rsidRDefault="00F939C5" w:rsidP="00381DCE">
      <w:pPr>
        <w:rPr>
          <w:iCs/>
          <w:lang w:val="sk"/>
        </w:rPr>
      </w:pPr>
      <w:r>
        <w:rPr>
          <w:lang w:val="sk"/>
        </w:rPr>
        <w:t xml:space="preserve">Pacienti s </w:t>
      </w:r>
      <w:proofErr w:type="spellStart"/>
      <w:r>
        <w:rPr>
          <w:lang w:val="sk"/>
        </w:rPr>
        <w:t>neosmotickým</w:t>
      </w:r>
      <w:proofErr w:type="spellEnd"/>
      <w:r>
        <w:rPr>
          <w:lang w:val="sk"/>
        </w:rPr>
        <w:t xml:space="preserve"> uvoľňovaním </w:t>
      </w:r>
      <w:proofErr w:type="spellStart"/>
      <w:r>
        <w:rPr>
          <w:lang w:val="sk"/>
        </w:rPr>
        <w:t>vazopresínu</w:t>
      </w:r>
      <w:proofErr w:type="spellEnd"/>
      <w:r>
        <w:rPr>
          <w:lang w:val="sk"/>
        </w:rPr>
        <w:t xml:space="preserve"> (napr. pri akútnom ochorení, bolesti, pooperačnom strese, infekciách, popáleninách, ochoreniach centrálneho nervového systému), pacienti s ochorením srdca, pečene a obličiek a pacienti vystavení </w:t>
      </w:r>
      <w:proofErr w:type="spellStart"/>
      <w:r>
        <w:rPr>
          <w:lang w:val="sk"/>
        </w:rPr>
        <w:t>agonistom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vazopresínu</w:t>
      </w:r>
      <w:proofErr w:type="spellEnd"/>
      <w:r>
        <w:rPr>
          <w:lang w:val="sk"/>
        </w:rPr>
        <w:t xml:space="preserve"> a iným liekom, ktoré môžu znížiť sérovú hladinu sodíka (pozri časť 4.5), majú zvýšené riziko akútnej </w:t>
      </w:r>
      <w:proofErr w:type="spellStart"/>
      <w:r>
        <w:rPr>
          <w:lang w:val="sk"/>
        </w:rPr>
        <w:t>hyponatrémie</w:t>
      </w:r>
      <w:proofErr w:type="spellEnd"/>
      <w:r>
        <w:rPr>
          <w:lang w:val="sk"/>
        </w:rPr>
        <w:t xml:space="preserve">. </w:t>
      </w:r>
    </w:p>
    <w:p w14:paraId="1C5F22B8" w14:textId="77777777" w:rsidR="00057E85" w:rsidRPr="009D5931" w:rsidRDefault="00057E85" w:rsidP="00381DCE">
      <w:pPr>
        <w:rPr>
          <w:iCs/>
          <w:lang w:val="sk"/>
        </w:rPr>
      </w:pPr>
      <w:r>
        <w:rPr>
          <w:lang w:val="sk"/>
        </w:rPr>
        <w:t xml:space="preserve">Akútna </w:t>
      </w:r>
      <w:proofErr w:type="spellStart"/>
      <w:r>
        <w:rPr>
          <w:lang w:val="sk"/>
        </w:rPr>
        <w:t>hyponatrémia</w:t>
      </w:r>
      <w:proofErr w:type="spellEnd"/>
      <w:r>
        <w:rPr>
          <w:lang w:val="sk"/>
        </w:rPr>
        <w:t xml:space="preserve"> môže viesť k akútnemu opuchu mozgu a život ohrozujúcemu poraneniu mozgu.</w:t>
      </w:r>
    </w:p>
    <w:p w14:paraId="08C3B9E0" w14:textId="2BBDA741" w:rsidR="007A5FD5" w:rsidRPr="009D5931" w:rsidRDefault="005B2668" w:rsidP="00381DCE">
      <w:pPr>
        <w:rPr>
          <w:iCs/>
          <w:lang w:val="sk"/>
        </w:rPr>
      </w:pPr>
      <w:r>
        <w:rPr>
          <w:lang w:val="sk"/>
        </w:rPr>
        <w:t xml:space="preserve">Deti, ženy v plodnom veku a pacienti so zníženou </w:t>
      </w:r>
      <w:r w:rsidR="000C391F">
        <w:rPr>
          <w:lang w:val="sk"/>
        </w:rPr>
        <w:t>schopnosťou</w:t>
      </w:r>
      <w:r>
        <w:rPr>
          <w:lang w:val="sk"/>
        </w:rPr>
        <w:t xml:space="preserve"> mozgu</w:t>
      </w:r>
      <w:r w:rsidR="000C391F">
        <w:rPr>
          <w:lang w:val="sk"/>
        </w:rPr>
        <w:t xml:space="preserve"> prispôsobiť sa zmenám </w:t>
      </w:r>
      <w:r>
        <w:rPr>
          <w:lang w:val="sk"/>
        </w:rPr>
        <w:t xml:space="preserve"> (napr. </w:t>
      </w:r>
      <w:proofErr w:type="spellStart"/>
      <w:r>
        <w:rPr>
          <w:lang w:val="sk"/>
        </w:rPr>
        <w:t>meningitída</w:t>
      </w:r>
      <w:proofErr w:type="spellEnd"/>
      <w:r>
        <w:rPr>
          <w:lang w:val="sk"/>
        </w:rPr>
        <w:t xml:space="preserve">, </w:t>
      </w:r>
      <w:proofErr w:type="spellStart"/>
      <w:r>
        <w:rPr>
          <w:lang w:val="sk"/>
        </w:rPr>
        <w:t>intrakraniálne</w:t>
      </w:r>
      <w:proofErr w:type="spellEnd"/>
      <w:r>
        <w:rPr>
          <w:lang w:val="sk"/>
        </w:rPr>
        <w:t xml:space="preserve"> krvácanie a pomliaždenie mozgu) majú zvýšené riziko život ohrozujúceho edému mozgu kvôli </w:t>
      </w:r>
      <w:proofErr w:type="spellStart"/>
      <w:r>
        <w:rPr>
          <w:lang w:val="sk"/>
        </w:rPr>
        <w:t>hyponatrémii</w:t>
      </w:r>
      <w:proofErr w:type="spellEnd"/>
      <w:r>
        <w:rPr>
          <w:lang w:val="sk"/>
        </w:rPr>
        <w:t>.</w:t>
      </w:r>
    </w:p>
    <w:p w14:paraId="57BE6F5C" w14:textId="77777777" w:rsidR="00E44B0C" w:rsidRPr="009D5931" w:rsidRDefault="00E44B0C" w:rsidP="00FF664F">
      <w:pPr>
        <w:pStyle w:val="Nadpis3"/>
        <w:rPr>
          <w:lang w:val="sk"/>
        </w:rPr>
      </w:pPr>
      <w:r>
        <w:rPr>
          <w:bCs w:val="0"/>
          <w:lang w:val="sk"/>
        </w:rPr>
        <w:t xml:space="preserve">Syndróm aseptickej </w:t>
      </w:r>
      <w:proofErr w:type="spellStart"/>
      <w:r>
        <w:rPr>
          <w:bCs w:val="0"/>
          <w:lang w:val="sk"/>
        </w:rPr>
        <w:t>meningitídy</w:t>
      </w:r>
      <w:proofErr w:type="spellEnd"/>
      <w:r>
        <w:rPr>
          <w:bCs w:val="0"/>
          <w:lang w:val="sk"/>
        </w:rPr>
        <w:t xml:space="preserve"> (AMS)</w:t>
      </w:r>
    </w:p>
    <w:p w14:paraId="377C4259" w14:textId="25C642C1" w:rsidR="00E44B0C" w:rsidRPr="009D5931" w:rsidRDefault="00E44B0C" w:rsidP="00FF664F">
      <w:pPr>
        <w:rPr>
          <w:lang w:val="sk"/>
        </w:rPr>
      </w:pPr>
      <w:r>
        <w:rPr>
          <w:lang w:val="sk"/>
        </w:rPr>
        <w:t xml:space="preserve">Syndróm aseptickej </w:t>
      </w:r>
      <w:proofErr w:type="spellStart"/>
      <w:r>
        <w:rPr>
          <w:lang w:val="sk"/>
        </w:rPr>
        <w:t>meningitídy</w:t>
      </w:r>
      <w:proofErr w:type="spellEnd"/>
      <w:r>
        <w:rPr>
          <w:lang w:val="sk"/>
        </w:rPr>
        <w:t xml:space="preserve"> bol hlásený v kombinácii s liečbou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. Syndróm obvykle začína niekoľko hodín až 2 dni po liečbe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. Vyšetrenia mozgovomiechového moku často odhalia </w:t>
      </w:r>
      <w:proofErr w:type="spellStart"/>
      <w:r>
        <w:rPr>
          <w:lang w:val="sk"/>
        </w:rPr>
        <w:t>pleocytózu</w:t>
      </w:r>
      <w:proofErr w:type="spellEnd"/>
      <w:r>
        <w:rPr>
          <w:lang w:val="sk"/>
        </w:rPr>
        <w:t xml:space="preserve"> až niekoľko tisíc buniek na mm</w:t>
      </w:r>
      <w:r>
        <w:rPr>
          <w:vertAlign w:val="superscript"/>
          <w:lang w:val="sk"/>
        </w:rPr>
        <w:t>3</w:t>
      </w:r>
      <w:r>
        <w:rPr>
          <w:lang w:val="sk"/>
        </w:rPr>
        <w:t xml:space="preserve">, hlavne z </w:t>
      </w:r>
      <w:proofErr w:type="spellStart"/>
      <w:r>
        <w:rPr>
          <w:lang w:val="sk"/>
        </w:rPr>
        <w:t>granulocytárnej</w:t>
      </w:r>
      <w:proofErr w:type="spellEnd"/>
      <w:r>
        <w:rPr>
          <w:lang w:val="sk"/>
        </w:rPr>
        <w:t xml:space="preserve"> rady, zvýšené hladiny proteínov až na niekoľko stoviek mg/dl.</w:t>
      </w:r>
    </w:p>
    <w:p w14:paraId="350A1079" w14:textId="77777777" w:rsidR="00ED759B" w:rsidRPr="009D5931" w:rsidRDefault="00E44B0C" w:rsidP="000E716D">
      <w:pPr>
        <w:rPr>
          <w:lang w:val="sk"/>
        </w:rPr>
      </w:pPr>
      <w:r>
        <w:rPr>
          <w:lang w:val="sk"/>
        </w:rPr>
        <w:t xml:space="preserve">AMS sa môže vyskytovať častejšie pri liečbe vysokými dávkami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 (2 g/kg). </w:t>
      </w:r>
    </w:p>
    <w:p w14:paraId="5E26B803" w14:textId="39C468AD" w:rsidR="00ED759B" w:rsidRPr="009D5931" w:rsidRDefault="00ED759B" w:rsidP="000E716D">
      <w:pPr>
        <w:rPr>
          <w:lang w:val="sk"/>
        </w:rPr>
      </w:pPr>
      <w:r>
        <w:rPr>
          <w:lang w:val="sk"/>
        </w:rPr>
        <w:t xml:space="preserve">Pacienti vykazujúci takéto </w:t>
      </w:r>
      <w:r w:rsidR="00DB4D30">
        <w:rPr>
          <w:lang w:val="sk"/>
        </w:rPr>
        <w:t>prejav</w:t>
      </w:r>
      <w:r>
        <w:rPr>
          <w:lang w:val="sk"/>
        </w:rPr>
        <w:t>y a príznaky ma</w:t>
      </w:r>
      <w:r w:rsidR="00DB4D30">
        <w:rPr>
          <w:lang w:val="sk"/>
        </w:rPr>
        <w:t>jú</w:t>
      </w:r>
      <w:r>
        <w:rPr>
          <w:lang w:val="sk"/>
        </w:rPr>
        <w:t xml:space="preserve"> podstúpiť komplexné neurologické vyšetrenie vrátane vyšetrenia mozgovomiechového moku s cieľom vylúčiť iné príčiny </w:t>
      </w:r>
      <w:proofErr w:type="spellStart"/>
      <w:r>
        <w:rPr>
          <w:lang w:val="sk"/>
        </w:rPr>
        <w:t>meningitídy</w:t>
      </w:r>
      <w:proofErr w:type="spellEnd"/>
      <w:r>
        <w:rPr>
          <w:lang w:val="sk"/>
        </w:rPr>
        <w:t>.</w:t>
      </w:r>
    </w:p>
    <w:p w14:paraId="0E6E44ED" w14:textId="3EF098E1" w:rsidR="000E716D" w:rsidRPr="009D5931" w:rsidRDefault="00DB4D30" w:rsidP="000E716D">
      <w:pPr>
        <w:rPr>
          <w:lang w:val="sk"/>
        </w:rPr>
      </w:pPr>
      <w:r>
        <w:rPr>
          <w:lang w:val="sk"/>
        </w:rPr>
        <w:t>Ukončenie</w:t>
      </w:r>
      <w:r w:rsidR="00ED759B">
        <w:rPr>
          <w:lang w:val="sk"/>
        </w:rPr>
        <w:t xml:space="preserve"> liečby </w:t>
      </w:r>
      <w:proofErr w:type="spellStart"/>
      <w:r w:rsidR="00ED759B">
        <w:rPr>
          <w:lang w:val="sk"/>
        </w:rPr>
        <w:t>IVIg</w:t>
      </w:r>
      <w:proofErr w:type="spellEnd"/>
      <w:r w:rsidR="00ED759B">
        <w:rPr>
          <w:lang w:val="sk"/>
        </w:rPr>
        <w:t xml:space="preserve"> viedlo k </w:t>
      </w:r>
      <w:proofErr w:type="spellStart"/>
      <w:r w:rsidR="00ED759B">
        <w:rPr>
          <w:lang w:val="sk"/>
        </w:rPr>
        <w:t>remisii</w:t>
      </w:r>
      <w:proofErr w:type="spellEnd"/>
      <w:r w:rsidR="00ED759B">
        <w:rPr>
          <w:lang w:val="sk"/>
        </w:rPr>
        <w:t xml:space="preserve"> AMS do niekoľkých dní bez následkov.</w:t>
      </w:r>
    </w:p>
    <w:p w14:paraId="3756F8E9" w14:textId="77777777" w:rsidR="00E44B0C" w:rsidRPr="009D5931" w:rsidRDefault="00E44B0C" w:rsidP="00FF664F">
      <w:pPr>
        <w:pStyle w:val="Nadpis3"/>
        <w:rPr>
          <w:lang w:val="sk"/>
        </w:rPr>
      </w:pPr>
      <w:proofErr w:type="spellStart"/>
      <w:r>
        <w:rPr>
          <w:bCs w:val="0"/>
          <w:lang w:val="sk"/>
        </w:rPr>
        <w:t>Hemolytická</w:t>
      </w:r>
      <w:proofErr w:type="spellEnd"/>
      <w:r>
        <w:rPr>
          <w:bCs w:val="0"/>
          <w:lang w:val="sk"/>
        </w:rPr>
        <w:t xml:space="preserve"> anémia</w:t>
      </w:r>
    </w:p>
    <w:p w14:paraId="43A1AAD4" w14:textId="7F940691" w:rsidR="00ED759B" w:rsidRPr="009D5931" w:rsidRDefault="00DB4D30" w:rsidP="00693C1A">
      <w:pPr>
        <w:spacing w:after="0"/>
        <w:rPr>
          <w:lang w:val="sk"/>
        </w:rPr>
      </w:pPr>
      <w:r>
        <w:rPr>
          <w:lang w:val="sk"/>
        </w:rPr>
        <w:t>Liek</w:t>
      </w:r>
      <w:r w:rsidR="00E44B0C">
        <w:rPr>
          <w:lang w:val="sk"/>
        </w:rPr>
        <w:t xml:space="preserve">y </w:t>
      </w:r>
      <w:proofErr w:type="spellStart"/>
      <w:r w:rsidR="00E44B0C">
        <w:rPr>
          <w:lang w:val="sk"/>
        </w:rPr>
        <w:t>IVIg</w:t>
      </w:r>
      <w:proofErr w:type="spellEnd"/>
      <w:r w:rsidR="00E44B0C">
        <w:rPr>
          <w:lang w:val="sk"/>
        </w:rPr>
        <w:t xml:space="preserve"> môžu obsahovať protilátky proti krvným skupinám, ktoré môžu pôsobiť ako </w:t>
      </w:r>
      <w:proofErr w:type="spellStart"/>
      <w:r w:rsidR="00E44B0C">
        <w:rPr>
          <w:lang w:val="sk"/>
        </w:rPr>
        <w:t>hemolyzíny</w:t>
      </w:r>
      <w:proofErr w:type="spellEnd"/>
      <w:r w:rsidR="00E44B0C">
        <w:rPr>
          <w:lang w:val="sk"/>
        </w:rPr>
        <w:t xml:space="preserve"> a viesť k </w:t>
      </w:r>
      <w:r w:rsidR="00E44B0C">
        <w:rPr>
          <w:i/>
          <w:iCs/>
          <w:lang w:val="sk"/>
        </w:rPr>
        <w:t xml:space="preserve">in </w:t>
      </w:r>
      <w:proofErr w:type="spellStart"/>
      <w:r w:rsidR="00E44B0C">
        <w:rPr>
          <w:i/>
          <w:iCs/>
          <w:lang w:val="sk"/>
        </w:rPr>
        <w:t>vivo</w:t>
      </w:r>
      <w:r w:rsidR="00E44B0C">
        <w:rPr>
          <w:lang w:val="sk"/>
        </w:rPr>
        <w:t>obaleniu</w:t>
      </w:r>
      <w:proofErr w:type="spellEnd"/>
      <w:r w:rsidR="00E44B0C">
        <w:rPr>
          <w:lang w:val="sk"/>
        </w:rPr>
        <w:t xml:space="preserve"> erytrocytov </w:t>
      </w:r>
      <w:proofErr w:type="spellStart"/>
      <w:r w:rsidR="00E44B0C">
        <w:rPr>
          <w:lang w:val="sk"/>
        </w:rPr>
        <w:t>imunoglobulínmi</w:t>
      </w:r>
      <w:proofErr w:type="spellEnd"/>
      <w:r w:rsidR="00E44B0C">
        <w:rPr>
          <w:lang w:val="sk"/>
        </w:rPr>
        <w:t xml:space="preserve">, čo vedie k pozitívnej priamej </w:t>
      </w:r>
      <w:proofErr w:type="spellStart"/>
      <w:r w:rsidR="00E44B0C">
        <w:rPr>
          <w:lang w:val="sk"/>
        </w:rPr>
        <w:t>antiglobulínovej</w:t>
      </w:r>
      <w:proofErr w:type="spellEnd"/>
      <w:r w:rsidR="00E44B0C">
        <w:rPr>
          <w:lang w:val="sk"/>
        </w:rPr>
        <w:t xml:space="preserve"> reakcii (</w:t>
      </w:r>
      <w:proofErr w:type="spellStart"/>
      <w:r w:rsidR="00E44B0C">
        <w:rPr>
          <w:lang w:val="sk"/>
        </w:rPr>
        <w:t>Coombsov</w:t>
      </w:r>
      <w:proofErr w:type="spellEnd"/>
      <w:r w:rsidR="00E44B0C">
        <w:rPr>
          <w:lang w:val="sk"/>
        </w:rPr>
        <w:t xml:space="preserve"> test) a zriedkavo k </w:t>
      </w:r>
      <w:proofErr w:type="spellStart"/>
      <w:r w:rsidR="00E44B0C">
        <w:rPr>
          <w:lang w:val="sk"/>
        </w:rPr>
        <w:t>hemolýze</w:t>
      </w:r>
      <w:proofErr w:type="spellEnd"/>
      <w:r w:rsidR="00E44B0C">
        <w:rPr>
          <w:lang w:val="sk"/>
        </w:rPr>
        <w:t xml:space="preserve">. Pri následnej liečbe </w:t>
      </w:r>
      <w:proofErr w:type="spellStart"/>
      <w:r w:rsidR="00E44B0C">
        <w:rPr>
          <w:lang w:val="sk"/>
        </w:rPr>
        <w:t>IVIg</w:t>
      </w:r>
      <w:proofErr w:type="spellEnd"/>
      <w:r w:rsidR="00E44B0C">
        <w:rPr>
          <w:lang w:val="sk"/>
        </w:rPr>
        <w:t xml:space="preserve"> sa môže rozvinúť </w:t>
      </w:r>
      <w:proofErr w:type="spellStart"/>
      <w:r w:rsidR="00E44B0C">
        <w:rPr>
          <w:lang w:val="sk"/>
        </w:rPr>
        <w:t>hemolytická</w:t>
      </w:r>
      <w:proofErr w:type="spellEnd"/>
      <w:r w:rsidR="00E44B0C">
        <w:rPr>
          <w:lang w:val="sk"/>
        </w:rPr>
        <w:t xml:space="preserve"> anémia kvôli zvýšenej sekvestrácii erytrocytov (RBC). Pacientov liečených </w:t>
      </w:r>
      <w:proofErr w:type="spellStart"/>
      <w:r w:rsidR="00E44B0C">
        <w:rPr>
          <w:lang w:val="sk"/>
        </w:rPr>
        <w:t>IVIg</w:t>
      </w:r>
      <w:proofErr w:type="spellEnd"/>
      <w:r w:rsidR="00E44B0C">
        <w:rPr>
          <w:lang w:val="sk"/>
        </w:rPr>
        <w:t xml:space="preserve"> je nutné sledovať, či sa u nich nerozvinú </w:t>
      </w:r>
      <w:r w:rsidR="0012628C">
        <w:rPr>
          <w:lang w:val="sk"/>
        </w:rPr>
        <w:t>prejav</w:t>
      </w:r>
      <w:r w:rsidR="00E44B0C">
        <w:rPr>
          <w:lang w:val="sk"/>
        </w:rPr>
        <w:t xml:space="preserve">y a príznaky </w:t>
      </w:r>
      <w:proofErr w:type="spellStart"/>
      <w:r w:rsidR="00E44B0C">
        <w:rPr>
          <w:lang w:val="sk"/>
        </w:rPr>
        <w:t>hemolýzy</w:t>
      </w:r>
      <w:proofErr w:type="spellEnd"/>
      <w:r w:rsidR="00E44B0C">
        <w:rPr>
          <w:lang w:val="sk"/>
        </w:rPr>
        <w:t>. (Pozri časť 4.8).</w:t>
      </w:r>
    </w:p>
    <w:p w14:paraId="2C237191" w14:textId="77777777" w:rsidR="003A1704" w:rsidRPr="009D5931" w:rsidRDefault="003A1704" w:rsidP="003A1704">
      <w:pPr>
        <w:pStyle w:val="Nadpis3"/>
        <w:rPr>
          <w:lang w:val="sk"/>
        </w:rPr>
      </w:pPr>
      <w:proofErr w:type="spellStart"/>
      <w:r>
        <w:rPr>
          <w:bCs w:val="0"/>
          <w:lang w:val="sk"/>
        </w:rPr>
        <w:lastRenderedPageBreak/>
        <w:t>Neutropénia</w:t>
      </w:r>
      <w:proofErr w:type="spellEnd"/>
      <w:r>
        <w:rPr>
          <w:bCs w:val="0"/>
          <w:lang w:val="sk"/>
        </w:rPr>
        <w:t>/</w:t>
      </w:r>
      <w:proofErr w:type="spellStart"/>
      <w:r>
        <w:rPr>
          <w:bCs w:val="0"/>
          <w:lang w:val="sk"/>
        </w:rPr>
        <w:t>leukopénia</w:t>
      </w:r>
      <w:proofErr w:type="spellEnd"/>
    </w:p>
    <w:p w14:paraId="66C88664" w14:textId="77777777" w:rsidR="003A1704" w:rsidRPr="009D5931" w:rsidRDefault="003A1704" w:rsidP="00693C1A">
      <w:pPr>
        <w:spacing w:after="0"/>
        <w:rPr>
          <w:lang w:val="sk"/>
        </w:rPr>
      </w:pPr>
      <w:r>
        <w:rPr>
          <w:lang w:val="sk"/>
        </w:rPr>
        <w:t xml:space="preserve">Po liečbe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 bolo hlásené prechodné zníženie počtu </w:t>
      </w:r>
      <w:proofErr w:type="spellStart"/>
      <w:r>
        <w:rPr>
          <w:lang w:val="sk"/>
        </w:rPr>
        <w:t>neutrofilov</w:t>
      </w:r>
      <w:proofErr w:type="spellEnd"/>
      <w:r>
        <w:rPr>
          <w:lang w:val="sk"/>
        </w:rPr>
        <w:t xml:space="preserve"> a/alebo epizódy </w:t>
      </w:r>
      <w:proofErr w:type="spellStart"/>
      <w:r>
        <w:rPr>
          <w:lang w:val="sk"/>
        </w:rPr>
        <w:t>neutropénie</w:t>
      </w:r>
      <w:proofErr w:type="spellEnd"/>
      <w:r>
        <w:rPr>
          <w:lang w:val="sk"/>
        </w:rPr>
        <w:t xml:space="preserve">, niekedy závažné. K tomu typicky dochádza v priebehu niekoľkých hodín alebo dní po aplikácii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 a problém sa spontánne vyrieši do 7 až 14 dní.</w:t>
      </w:r>
    </w:p>
    <w:p w14:paraId="35D88571" w14:textId="77777777" w:rsidR="00ED759B" w:rsidRPr="009D5931" w:rsidRDefault="00ED759B" w:rsidP="003A1704">
      <w:pPr>
        <w:pStyle w:val="Nadpis3"/>
        <w:rPr>
          <w:lang w:val="sk"/>
        </w:rPr>
      </w:pPr>
      <w:r>
        <w:rPr>
          <w:bCs w:val="0"/>
          <w:lang w:val="sk"/>
        </w:rPr>
        <w:t>Akútne poškodenie pľúc po transfúzii (TRALI)</w:t>
      </w:r>
    </w:p>
    <w:p w14:paraId="4E841518" w14:textId="74CA59FA" w:rsidR="00ED759B" w:rsidRPr="009D5931" w:rsidRDefault="00ED759B" w:rsidP="00693C1A">
      <w:pPr>
        <w:spacing w:after="0"/>
        <w:rPr>
          <w:lang w:val="sk"/>
        </w:rPr>
      </w:pPr>
      <w:r>
        <w:rPr>
          <w:lang w:val="sk"/>
        </w:rPr>
        <w:t xml:space="preserve">U pacientov, ktorí dostávajú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 bol hlásený akútny </w:t>
      </w:r>
      <w:proofErr w:type="spellStart"/>
      <w:r>
        <w:rPr>
          <w:lang w:val="sk"/>
        </w:rPr>
        <w:t>nekardiogénny</w:t>
      </w:r>
      <w:proofErr w:type="spellEnd"/>
      <w:r>
        <w:rPr>
          <w:lang w:val="sk"/>
        </w:rPr>
        <w:t xml:space="preserve"> pľúcny edém (akútne poškodenie pľúc p</w:t>
      </w:r>
      <w:r w:rsidR="00006BF3">
        <w:rPr>
          <w:lang w:val="sk"/>
        </w:rPr>
        <w:t>ri</w:t>
      </w:r>
      <w:r>
        <w:rPr>
          <w:lang w:val="sk"/>
        </w:rPr>
        <w:t xml:space="preserve"> transfúzii (</w:t>
      </w:r>
      <w:r w:rsidRPr="000C391F">
        <w:rPr>
          <w:lang w:val="sk"/>
        </w:rPr>
        <w:t>TRALI</w:t>
      </w:r>
      <w:r w:rsidR="0012628C">
        <w:rPr>
          <w:lang w:val="sk"/>
        </w:rPr>
        <w:t xml:space="preserve">- </w:t>
      </w:r>
      <w:proofErr w:type="spellStart"/>
      <w:r w:rsidR="0012628C" w:rsidRPr="00AD4BA5">
        <w:rPr>
          <w:lang w:val="sk"/>
        </w:rPr>
        <w:t>Transfusion</w:t>
      </w:r>
      <w:proofErr w:type="spellEnd"/>
      <w:r w:rsidR="0012628C" w:rsidRPr="00AD4BA5">
        <w:rPr>
          <w:lang w:val="sk"/>
        </w:rPr>
        <w:t xml:space="preserve"> </w:t>
      </w:r>
      <w:proofErr w:type="spellStart"/>
      <w:r w:rsidR="0012628C" w:rsidRPr="00AD4BA5">
        <w:rPr>
          <w:lang w:val="sk"/>
        </w:rPr>
        <w:t>Related</w:t>
      </w:r>
      <w:proofErr w:type="spellEnd"/>
      <w:r w:rsidR="0012628C" w:rsidRPr="00AD4BA5">
        <w:rPr>
          <w:lang w:val="sk"/>
        </w:rPr>
        <w:t xml:space="preserve"> </w:t>
      </w:r>
      <w:proofErr w:type="spellStart"/>
      <w:r w:rsidR="0012628C" w:rsidRPr="00AD4BA5">
        <w:rPr>
          <w:lang w:val="sk"/>
        </w:rPr>
        <w:t>Acute</w:t>
      </w:r>
      <w:proofErr w:type="spellEnd"/>
      <w:r w:rsidR="0012628C" w:rsidRPr="00AD4BA5">
        <w:rPr>
          <w:lang w:val="sk"/>
        </w:rPr>
        <w:t xml:space="preserve"> </w:t>
      </w:r>
      <w:proofErr w:type="spellStart"/>
      <w:r w:rsidR="0012628C" w:rsidRPr="00AD4BA5">
        <w:rPr>
          <w:lang w:val="sk"/>
        </w:rPr>
        <w:t>Lung</w:t>
      </w:r>
      <w:proofErr w:type="spellEnd"/>
      <w:r w:rsidR="0012628C" w:rsidRPr="00AD4BA5">
        <w:rPr>
          <w:lang w:val="sk"/>
        </w:rPr>
        <w:t xml:space="preserve"> </w:t>
      </w:r>
      <w:proofErr w:type="spellStart"/>
      <w:r w:rsidR="0012628C" w:rsidRPr="00AD4BA5">
        <w:rPr>
          <w:lang w:val="sk"/>
        </w:rPr>
        <w:t>Injury</w:t>
      </w:r>
      <w:proofErr w:type="spellEnd"/>
      <w:r>
        <w:rPr>
          <w:lang w:val="sk"/>
        </w:rPr>
        <w:t xml:space="preserve">). TRALI sa vyznačuje závažnou </w:t>
      </w:r>
      <w:proofErr w:type="spellStart"/>
      <w:r>
        <w:rPr>
          <w:lang w:val="sk"/>
        </w:rPr>
        <w:t>hypoxiou</w:t>
      </w:r>
      <w:proofErr w:type="spellEnd"/>
      <w:r>
        <w:rPr>
          <w:lang w:val="sk"/>
        </w:rPr>
        <w:t xml:space="preserve">, </w:t>
      </w:r>
      <w:proofErr w:type="spellStart"/>
      <w:r>
        <w:rPr>
          <w:lang w:val="sk"/>
        </w:rPr>
        <w:t>dyspnoe</w:t>
      </w:r>
      <w:proofErr w:type="spellEnd"/>
      <w:r>
        <w:rPr>
          <w:lang w:val="sk"/>
        </w:rPr>
        <w:t xml:space="preserve">, </w:t>
      </w:r>
      <w:proofErr w:type="spellStart"/>
      <w:r>
        <w:rPr>
          <w:lang w:val="sk"/>
        </w:rPr>
        <w:t>tachypnoe</w:t>
      </w:r>
      <w:proofErr w:type="spellEnd"/>
      <w:r>
        <w:rPr>
          <w:lang w:val="sk"/>
        </w:rPr>
        <w:t xml:space="preserve">, </w:t>
      </w:r>
      <w:proofErr w:type="spellStart"/>
      <w:r>
        <w:rPr>
          <w:lang w:val="sk"/>
        </w:rPr>
        <w:t>cyanózou</w:t>
      </w:r>
      <w:proofErr w:type="spellEnd"/>
      <w:r>
        <w:rPr>
          <w:lang w:val="sk"/>
        </w:rPr>
        <w:t xml:space="preserve">, horúčkou a hypotenziou. Príznaky TRALI sa typicky rozvíjajú v priebehu 6 hodín od transfúzie, často do 1 až 2 hodín. Z tohto dôvodu je nutné pacientov dostávajúcich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 sledovať a v prípade výskytu nežiaducich pľúcnych reakcií infúziu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 okamžite zastaviť. TRALI je potenciálne život ohrozujúce ochorenie vyžadujúce okamžitú liečbu na jednotke intenzívnej starostlivosti.</w:t>
      </w:r>
    </w:p>
    <w:p w14:paraId="3C2A19C7" w14:textId="77777777" w:rsidR="00E44B0C" w:rsidRPr="009D5931" w:rsidRDefault="00E44B0C" w:rsidP="00FF664F">
      <w:pPr>
        <w:pStyle w:val="Nadpis3"/>
        <w:rPr>
          <w:lang w:val="sk"/>
        </w:rPr>
      </w:pPr>
      <w:r>
        <w:rPr>
          <w:bCs w:val="0"/>
          <w:lang w:val="sk"/>
        </w:rPr>
        <w:t xml:space="preserve">Interferencia so </w:t>
      </w:r>
      <w:proofErr w:type="spellStart"/>
      <w:r>
        <w:rPr>
          <w:bCs w:val="0"/>
          <w:lang w:val="sk"/>
        </w:rPr>
        <w:t>sérologickým</w:t>
      </w:r>
      <w:proofErr w:type="spellEnd"/>
      <w:r>
        <w:rPr>
          <w:bCs w:val="0"/>
          <w:lang w:val="sk"/>
        </w:rPr>
        <w:t xml:space="preserve"> testovaním</w:t>
      </w:r>
    </w:p>
    <w:p w14:paraId="362BBBE3" w14:textId="73F88547" w:rsidR="00E44B0C" w:rsidRPr="009D5931" w:rsidRDefault="00E44B0C" w:rsidP="00FF664F">
      <w:pPr>
        <w:rPr>
          <w:lang w:val="sk"/>
        </w:rPr>
      </w:pPr>
      <w:r>
        <w:rPr>
          <w:lang w:val="sk"/>
        </w:rPr>
        <w:t xml:space="preserve">Po podaní </w:t>
      </w:r>
      <w:proofErr w:type="spellStart"/>
      <w:r>
        <w:rPr>
          <w:lang w:val="sk"/>
        </w:rPr>
        <w:t>imunoglobulínu</w:t>
      </w:r>
      <w:proofErr w:type="spellEnd"/>
      <w:r>
        <w:rPr>
          <w:lang w:val="sk"/>
        </w:rPr>
        <w:t xml:space="preserve"> môže prechodné zvýšenie rôznych pasívne prenesených protilátok v krvi pacienta viesť k zavádzajúcim pozitívnym výsledkom </w:t>
      </w:r>
      <w:proofErr w:type="spellStart"/>
      <w:r>
        <w:rPr>
          <w:lang w:val="sk"/>
        </w:rPr>
        <w:t>sérologického</w:t>
      </w:r>
      <w:proofErr w:type="spellEnd"/>
      <w:r>
        <w:rPr>
          <w:lang w:val="sk"/>
        </w:rPr>
        <w:t xml:space="preserve"> testovania.</w:t>
      </w:r>
    </w:p>
    <w:p w14:paraId="46D3D013" w14:textId="77777777" w:rsidR="00475838" w:rsidRPr="009D5931" w:rsidRDefault="00E44B0C" w:rsidP="00693C1A">
      <w:pPr>
        <w:spacing w:after="0"/>
        <w:rPr>
          <w:lang w:val="sk"/>
        </w:rPr>
      </w:pPr>
      <w:r>
        <w:rPr>
          <w:lang w:val="sk"/>
        </w:rPr>
        <w:t xml:space="preserve">Pasívny prenos protilátok voči </w:t>
      </w:r>
      <w:proofErr w:type="spellStart"/>
      <w:r>
        <w:rPr>
          <w:lang w:val="sk"/>
        </w:rPr>
        <w:t>erytrocytárnym</w:t>
      </w:r>
      <w:proofErr w:type="spellEnd"/>
      <w:r>
        <w:rPr>
          <w:lang w:val="sk"/>
        </w:rPr>
        <w:t xml:space="preserve"> antigénom, napr. A, B, D, môže interferovať s niektorými</w:t>
      </w:r>
    </w:p>
    <w:p w14:paraId="46E25639" w14:textId="77777777" w:rsidR="000E716D" w:rsidRPr="009D5931" w:rsidRDefault="00E44B0C" w:rsidP="000E716D">
      <w:pPr>
        <w:spacing w:after="0"/>
        <w:rPr>
          <w:lang w:val="sk"/>
        </w:rPr>
      </w:pPr>
      <w:proofErr w:type="spellStart"/>
      <w:r>
        <w:rPr>
          <w:lang w:val="sk"/>
        </w:rPr>
        <w:t>sérologickými</w:t>
      </w:r>
      <w:proofErr w:type="spellEnd"/>
      <w:r>
        <w:rPr>
          <w:lang w:val="sk"/>
        </w:rPr>
        <w:t xml:space="preserve"> testami na protilátky proti erytrocytom, napr. priamy </w:t>
      </w:r>
      <w:proofErr w:type="spellStart"/>
      <w:r>
        <w:rPr>
          <w:lang w:val="sk"/>
        </w:rPr>
        <w:t>antiglobulínový</w:t>
      </w:r>
      <w:proofErr w:type="spellEnd"/>
      <w:r>
        <w:rPr>
          <w:lang w:val="sk"/>
        </w:rPr>
        <w:t xml:space="preserve"> test (DAT, priamy </w:t>
      </w:r>
      <w:proofErr w:type="spellStart"/>
      <w:r>
        <w:rPr>
          <w:lang w:val="sk"/>
        </w:rPr>
        <w:t>Coombsov</w:t>
      </w:r>
      <w:proofErr w:type="spellEnd"/>
      <w:r>
        <w:rPr>
          <w:lang w:val="sk"/>
        </w:rPr>
        <w:t xml:space="preserve"> test).</w:t>
      </w:r>
    </w:p>
    <w:p w14:paraId="7412A311" w14:textId="77777777" w:rsidR="003A62E5" w:rsidRPr="009D5931" w:rsidRDefault="00E44B0C" w:rsidP="00FF664F">
      <w:pPr>
        <w:pStyle w:val="Nadpis3"/>
        <w:rPr>
          <w:lang w:val="sk"/>
        </w:rPr>
      </w:pPr>
      <w:r>
        <w:rPr>
          <w:bCs w:val="0"/>
          <w:lang w:val="sk"/>
        </w:rPr>
        <w:t>Prenosné agensy</w:t>
      </w:r>
    </w:p>
    <w:p w14:paraId="0A06C5A1" w14:textId="280DCF34" w:rsidR="007B43D7" w:rsidRPr="009D5931" w:rsidRDefault="007B43D7" w:rsidP="00FF664F">
      <w:pPr>
        <w:rPr>
          <w:lang w:val="sk"/>
        </w:rPr>
      </w:pPr>
      <w:r>
        <w:rPr>
          <w:lang w:val="sk"/>
        </w:rPr>
        <w:t>Štandardné opatrenia v rámci prevencie infekcie v dôsledku použitia liekov pripravených z ľudskej krvi alebo plazmy zahŕňajú výber darcov, s</w:t>
      </w:r>
      <w:r w:rsidR="00006BF3">
        <w:rPr>
          <w:lang w:val="sk"/>
        </w:rPr>
        <w:t>krí</w:t>
      </w:r>
      <w:r>
        <w:rPr>
          <w:lang w:val="sk"/>
        </w:rPr>
        <w:t xml:space="preserve">ning individuálnych darovaných materiálov a plaziem na špecifické </w:t>
      </w:r>
      <w:proofErr w:type="spellStart"/>
      <w:r>
        <w:rPr>
          <w:lang w:val="sk"/>
        </w:rPr>
        <w:t>markery</w:t>
      </w:r>
      <w:proofErr w:type="spellEnd"/>
      <w:r>
        <w:rPr>
          <w:lang w:val="sk"/>
        </w:rPr>
        <w:t xml:space="preserve"> infekcie a zaradenie efektívnych výrobných krokov na </w:t>
      </w:r>
      <w:proofErr w:type="spellStart"/>
      <w:r>
        <w:rPr>
          <w:lang w:val="sk"/>
        </w:rPr>
        <w:t>inaktiváciu</w:t>
      </w:r>
      <w:proofErr w:type="spellEnd"/>
      <w:r>
        <w:rPr>
          <w:lang w:val="sk"/>
        </w:rPr>
        <w:t xml:space="preserve">/odstránenie vírusov. Napriek týmto opatreniam nie je možné pri podávaní liekov pripravených z ľudskej krvi alebo plazmy úplne vylúčiť prenos infekčných agensov. To sa vzťahuje aj na </w:t>
      </w:r>
      <w:r w:rsidR="007E6884">
        <w:rPr>
          <w:lang w:val="sk"/>
        </w:rPr>
        <w:t>ne</w:t>
      </w:r>
      <w:r>
        <w:rPr>
          <w:lang w:val="sk"/>
        </w:rPr>
        <w:t>známe alebo nové vírusy alebo iné patogény.</w:t>
      </w:r>
    </w:p>
    <w:p w14:paraId="40D86E1B" w14:textId="201DDE85" w:rsidR="007B43D7" w:rsidRPr="009D5931" w:rsidRDefault="007B43D7" w:rsidP="00FF664F">
      <w:pPr>
        <w:rPr>
          <w:lang w:val="sk"/>
        </w:rPr>
      </w:pPr>
      <w:r>
        <w:rPr>
          <w:lang w:val="sk"/>
        </w:rPr>
        <w:t xml:space="preserve">Zavedené opatrenia sú považované za efektívne na obalené vírusy, akými sú napr. vírus ľudskej </w:t>
      </w:r>
      <w:proofErr w:type="spellStart"/>
      <w:r>
        <w:rPr>
          <w:lang w:val="sk"/>
        </w:rPr>
        <w:t>imunodeficiencie</w:t>
      </w:r>
      <w:proofErr w:type="spellEnd"/>
      <w:r>
        <w:rPr>
          <w:lang w:val="sk"/>
        </w:rPr>
        <w:t xml:space="preserve"> (HIV), vírus hepatitídy B (HBV) a vírus hepatitídy C (HCV), a neobalené vírusy, akými sú napr. vírus hepatitídy A (HAV) a </w:t>
      </w:r>
      <w:proofErr w:type="spellStart"/>
      <w:r>
        <w:rPr>
          <w:lang w:val="sk"/>
        </w:rPr>
        <w:t>parvovírus</w:t>
      </w:r>
      <w:proofErr w:type="spellEnd"/>
      <w:r>
        <w:rPr>
          <w:lang w:val="sk"/>
        </w:rPr>
        <w:t xml:space="preserve"> B19. </w:t>
      </w:r>
    </w:p>
    <w:p w14:paraId="4A04D9A0" w14:textId="77777777" w:rsidR="007B43D7" w:rsidRPr="009D5931" w:rsidRDefault="007B43D7" w:rsidP="00FF664F">
      <w:pPr>
        <w:rPr>
          <w:lang w:val="sk"/>
        </w:rPr>
      </w:pPr>
      <w:r>
        <w:rPr>
          <w:lang w:val="sk"/>
        </w:rPr>
        <w:t xml:space="preserve">Klinické skúsenosti preukázali absenciu prenosu hepatitídy A alebo </w:t>
      </w:r>
      <w:proofErr w:type="spellStart"/>
      <w:r>
        <w:rPr>
          <w:lang w:val="sk"/>
        </w:rPr>
        <w:t>parvovírusu</w:t>
      </w:r>
      <w:proofErr w:type="spellEnd"/>
      <w:r>
        <w:rPr>
          <w:lang w:val="sk"/>
        </w:rPr>
        <w:t xml:space="preserve"> B19 s </w:t>
      </w:r>
      <w:proofErr w:type="spellStart"/>
      <w:r>
        <w:rPr>
          <w:lang w:val="sk"/>
        </w:rPr>
        <w:t>imunoglobulínmi</w:t>
      </w:r>
      <w:proofErr w:type="spellEnd"/>
      <w:r>
        <w:rPr>
          <w:lang w:val="sk"/>
        </w:rPr>
        <w:t>. Takisto sa predpokladá, že obsah protilátok zvyšuje bezpečnosť proti vírusom.</w:t>
      </w:r>
    </w:p>
    <w:p w14:paraId="371DA478" w14:textId="15802B91" w:rsidR="003A1704" w:rsidRPr="009D5931" w:rsidRDefault="007B43D7" w:rsidP="003A1704">
      <w:pPr>
        <w:rPr>
          <w:strike/>
          <w:lang w:val="sk"/>
        </w:rPr>
      </w:pPr>
      <w:r>
        <w:rPr>
          <w:lang w:val="sk"/>
        </w:rPr>
        <w:t xml:space="preserve">Dôrazne odporúčame zapísať pri každom podaní </w:t>
      </w:r>
      <w:proofErr w:type="spellStart"/>
      <w:r>
        <w:rPr>
          <w:lang w:val="sk"/>
        </w:rPr>
        <w:t>Nanogam</w:t>
      </w:r>
      <w:r w:rsidR="007E6884">
        <w:rPr>
          <w:lang w:val="sk"/>
        </w:rPr>
        <w:t>u</w:t>
      </w:r>
      <w:proofErr w:type="spellEnd"/>
      <w:r>
        <w:rPr>
          <w:lang w:val="sk"/>
        </w:rPr>
        <w:t xml:space="preserve"> pacientovi názov a číslo šarže, aby bolo možné dohľadať spojenie medzi pacientom a šaržou </w:t>
      </w:r>
      <w:r w:rsidR="007E6884">
        <w:rPr>
          <w:lang w:val="sk"/>
        </w:rPr>
        <w:t>liek</w:t>
      </w:r>
      <w:r>
        <w:rPr>
          <w:lang w:val="sk"/>
        </w:rPr>
        <w:t>u.</w:t>
      </w:r>
    </w:p>
    <w:p w14:paraId="073B652A" w14:textId="77777777" w:rsidR="007B43D7" w:rsidRPr="009D5931" w:rsidRDefault="00F21783" w:rsidP="00062519">
      <w:pPr>
        <w:pStyle w:val="Nadpis2"/>
        <w:rPr>
          <w:lang w:val="sk"/>
        </w:rPr>
      </w:pPr>
      <w:r>
        <w:rPr>
          <w:lang w:val="sk"/>
        </w:rPr>
        <w:t>4.5</w:t>
      </w:r>
      <w:r>
        <w:rPr>
          <w:lang w:val="sk"/>
        </w:rPr>
        <w:tab/>
        <w:t>Liekové a iné interakcie</w:t>
      </w:r>
    </w:p>
    <w:p w14:paraId="0CA4C05F" w14:textId="77777777" w:rsidR="007B43D7" w:rsidRPr="009D5931" w:rsidRDefault="007B43D7" w:rsidP="00FF664F">
      <w:pPr>
        <w:pStyle w:val="Nadpis3"/>
        <w:rPr>
          <w:lang w:val="sk"/>
        </w:rPr>
      </w:pPr>
      <w:r>
        <w:rPr>
          <w:bCs w:val="0"/>
          <w:lang w:val="sk"/>
        </w:rPr>
        <w:t xml:space="preserve">Živé </w:t>
      </w:r>
      <w:proofErr w:type="spellStart"/>
      <w:r>
        <w:rPr>
          <w:bCs w:val="0"/>
          <w:lang w:val="sk"/>
        </w:rPr>
        <w:t>atenuované</w:t>
      </w:r>
      <w:proofErr w:type="spellEnd"/>
      <w:r>
        <w:rPr>
          <w:bCs w:val="0"/>
          <w:lang w:val="sk"/>
        </w:rPr>
        <w:t xml:space="preserve"> vírusové vakcíny</w:t>
      </w:r>
    </w:p>
    <w:p w14:paraId="2774B443" w14:textId="2D6E131F" w:rsidR="00381DCE" w:rsidRPr="009D5931" w:rsidRDefault="007B43D7" w:rsidP="009F08FE">
      <w:pPr>
        <w:rPr>
          <w:lang w:val="sk"/>
        </w:rPr>
      </w:pPr>
      <w:r>
        <w:rPr>
          <w:lang w:val="sk"/>
        </w:rPr>
        <w:t xml:space="preserve">Podanie </w:t>
      </w:r>
      <w:proofErr w:type="spellStart"/>
      <w:r>
        <w:rPr>
          <w:lang w:val="sk"/>
        </w:rPr>
        <w:t>imunoglobulínu</w:t>
      </w:r>
      <w:proofErr w:type="spellEnd"/>
      <w:r>
        <w:rPr>
          <w:lang w:val="sk"/>
        </w:rPr>
        <w:t xml:space="preserve"> môže na minimálne 6 týždňov a až počas 3 mesiacov znížiť účinnosť živých </w:t>
      </w:r>
      <w:proofErr w:type="spellStart"/>
      <w:r>
        <w:rPr>
          <w:lang w:val="sk"/>
        </w:rPr>
        <w:t>atenuovaných</w:t>
      </w:r>
      <w:proofErr w:type="spellEnd"/>
      <w:r>
        <w:rPr>
          <w:lang w:val="sk"/>
        </w:rPr>
        <w:t xml:space="preserve"> vírusových vakcín ako napr. </w:t>
      </w:r>
      <w:proofErr w:type="spellStart"/>
      <w:r>
        <w:rPr>
          <w:lang w:val="sk"/>
        </w:rPr>
        <w:t>morbilli</w:t>
      </w:r>
      <w:proofErr w:type="spellEnd"/>
      <w:r>
        <w:rPr>
          <w:lang w:val="sk"/>
        </w:rPr>
        <w:t xml:space="preserve">, rubeola, infekčná </w:t>
      </w:r>
      <w:proofErr w:type="spellStart"/>
      <w:r>
        <w:rPr>
          <w:lang w:val="sk"/>
        </w:rPr>
        <w:t>parotitída</w:t>
      </w:r>
      <w:proofErr w:type="spellEnd"/>
      <w:r>
        <w:rPr>
          <w:lang w:val="sk"/>
        </w:rPr>
        <w:t xml:space="preserve"> a </w:t>
      </w:r>
      <w:proofErr w:type="spellStart"/>
      <w:r>
        <w:rPr>
          <w:lang w:val="sk"/>
        </w:rPr>
        <w:t>varicella</w:t>
      </w:r>
      <w:proofErr w:type="spellEnd"/>
      <w:r>
        <w:rPr>
          <w:lang w:val="sk"/>
        </w:rPr>
        <w:t xml:space="preserve">. Po podaní tohto lieku je nutné počkať 3 mesiace, než prikročíte k očkovaniu živými </w:t>
      </w:r>
      <w:proofErr w:type="spellStart"/>
      <w:r>
        <w:rPr>
          <w:lang w:val="sk"/>
        </w:rPr>
        <w:t>atenuovanými</w:t>
      </w:r>
      <w:proofErr w:type="spellEnd"/>
      <w:r>
        <w:rPr>
          <w:lang w:val="sk"/>
        </w:rPr>
        <w:t xml:space="preserve"> vírusovými vakcínami. V prípade osýpok môže znížená účinnosť pretrvávať až 1 rok. Z toho dôvodu ma</w:t>
      </w:r>
      <w:r w:rsidR="008B78F6">
        <w:rPr>
          <w:lang w:val="sk"/>
        </w:rPr>
        <w:t>jú</w:t>
      </w:r>
      <w:r>
        <w:rPr>
          <w:lang w:val="sk"/>
        </w:rPr>
        <w:t xml:space="preserve"> pacienti dostávajúci vakcínu proti osýpkam podstúpiť kontrolu stavu protilátok.</w:t>
      </w:r>
    </w:p>
    <w:p w14:paraId="43342736" w14:textId="77777777" w:rsidR="009F08FE" w:rsidRPr="009D5931" w:rsidRDefault="00057E85" w:rsidP="009F08FE">
      <w:pPr>
        <w:pStyle w:val="Nadpis3"/>
        <w:rPr>
          <w:lang w:val="sk"/>
        </w:rPr>
      </w:pPr>
      <w:r>
        <w:rPr>
          <w:bCs w:val="0"/>
          <w:lang w:val="sk"/>
        </w:rPr>
        <w:t xml:space="preserve">Lieky, ktoré môžu zvyšovať riziko </w:t>
      </w:r>
      <w:proofErr w:type="spellStart"/>
      <w:r>
        <w:rPr>
          <w:bCs w:val="0"/>
          <w:lang w:val="sk"/>
        </w:rPr>
        <w:t>hyponatrémie</w:t>
      </w:r>
      <w:proofErr w:type="spellEnd"/>
    </w:p>
    <w:p w14:paraId="42D11749" w14:textId="77777777" w:rsidR="00057E85" w:rsidRPr="009D5931" w:rsidRDefault="00057E85" w:rsidP="009F08FE">
      <w:pPr>
        <w:rPr>
          <w:lang w:val="sk"/>
        </w:rPr>
      </w:pPr>
      <w:r>
        <w:rPr>
          <w:lang w:val="sk"/>
        </w:rPr>
        <w:t xml:space="preserve">Lieky, ktoré môžu znižovať sérovú hladinu sodíka, zvyšujú riziko získanej </w:t>
      </w:r>
      <w:proofErr w:type="spellStart"/>
      <w:r>
        <w:rPr>
          <w:lang w:val="sk"/>
        </w:rPr>
        <w:t>hyponatrémie</w:t>
      </w:r>
      <w:proofErr w:type="spellEnd"/>
      <w:r>
        <w:rPr>
          <w:lang w:val="sk"/>
        </w:rPr>
        <w:t xml:space="preserve"> po aplikácii intravenóznych tekutín s bilanciou nevhodnou pre pacienta (objem tekutiny, obsah sodíka – pozri časti 4.4, 4.6 a 4.8). To sa týka liekov so zvýšeným účinkom </w:t>
      </w:r>
      <w:proofErr w:type="spellStart"/>
      <w:r>
        <w:rPr>
          <w:lang w:val="sk"/>
        </w:rPr>
        <w:t>vazopresínu</w:t>
      </w:r>
      <w:proofErr w:type="spellEnd"/>
      <w:r>
        <w:rPr>
          <w:lang w:val="sk"/>
        </w:rPr>
        <w:t xml:space="preserve"> ako napr. </w:t>
      </w:r>
      <w:proofErr w:type="spellStart"/>
      <w:r>
        <w:rPr>
          <w:lang w:val="sk"/>
        </w:rPr>
        <w:t>chlórpropamid</w:t>
      </w:r>
      <w:proofErr w:type="spellEnd"/>
      <w:r>
        <w:rPr>
          <w:lang w:val="sk"/>
        </w:rPr>
        <w:t xml:space="preserve">, </w:t>
      </w:r>
      <w:proofErr w:type="spellStart"/>
      <w:r>
        <w:rPr>
          <w:lang w:val="sk"/>
        </w:rPr>
        <w:t>klofibrát</w:t>
      </w:r>
      <w:proofErr w:type="spellEnd"/>
      <w:r>
        <w:rPr>
          <w:lang w:val="sk"/>
        </w:rPr>
        <w:t xml:space="preserve">, </w:t>
      </w:r>
      <w:proofErr w:type="spellStart"/>
      <w:r>
        <w:rPr>
          <w:lang w:val="sk"/>
        </w:rPr>
        <w:t>karbamazepín</w:t>
      </w:r>
      <w:proofErr w:type="spellEnd"/>
      <w:r>
        <w:rPr>
          <w:lang w:val="sk"/>
        </w:rPr>
        <w:t xml:space="preserve">, </w:t>
      </w:r>
      <w:proofErr w:type="spellStart"/>
      <w:r>
        <w:rPr>
          <w:lang w:val="sk"/>
        </w:rPr>
        <w:t>vinkristín</w:t>
      </w:r>
      <w:proofErr w:type="spellEnd"/>
      <w:r>
        <w:rPr>
          <w:lang w:val="sk"/>
        </w:rPr>
        <w:t xml:space="preserve">, selektívne inhibítory spätného vychytávania </w:t>
      </w:r>
      <w:proofErr w:type="spellStart"/>
      <w:r>
        <w:rPr>
          <w:lang w:val="sk"/>
        </w:rPr>
        <w:t>sérotonínu</w:t>
      </w:r>
      <w:proofErr w:type="spellEnd"/>
      <w:r>
        <w:rPr>
          <w:lang w:val="sk"/>
        </w:rPr>
        <w:t xml:space="preserve">, 3,4-metyléndioxy-N-metamfetamín, </w:t>
      </w:r>
      <w:proofErr w:type="spellStart"/>
      <w:r>
        <w:rPr>
          <w:lang w:val="sk"/>
        </w:rPr>
        <w:t>ifosfamid</w:t>
      </w:r>
      <w:proofErr w:type="spellEnd"/>
      <w:r>
        <w:rPr>
          <w:lang w:val="sk"/>
        </w:rPr>
        <w:t xml:space="preserve">, </w:t>
      </w:r>
      <w:proofErr w:type="spellStart"/>
      <w:r>
        <w:rPr>
          <w:lang w:val="sk"/>
        </w:rPr>
        <w:t>antipsychotiká</w:t>
      </w:r>
      <w:proofErr w:type="spellEnd"/>
      <w:r>
        <w:rPr>
          <w:lang w:val="sk"/>
        </w:rPr>
        <w:t xml:space="preserve">, narkotiká, NSAID, </w:t>
      </w:r>
      <w:proofErr w:type="spellStart"/>
      <w:r>
        <w:rPr>
          <w:lang w:val="sk"/>
        </w:rPr>
        <w:t>cyklofosfamid</w:t>
      </w:r>
      <w:proofErr w:type="spellEnd"/>
      <w:r>
        <w:rPr>
          <w:lang w:val="sk"/>
        </w:rPr>
        <w:t xml:space="preserve">, </w:t>
      </w:r>
      <w:proofErr w:type="spellStart"/>
      <w:r>
        <w:rPr>
          <w:lang w:val="sk"/>
        </w:rPr>
        <w:t>dezmopresín</w:t>
      </w:r>
      <w:proofErr w:type="spellEnd"/>
      <w:r>
        <w:rPr>
          <w:lang w:val="sk"/>
        </w:rPr>
        <w:t xml:space="preserve">, </w:t>
      </w:r>
      <w:proofErr w:type="spellStart"/>
      <w:r>
        <w:rPr>
          <w:lang w:val="sk"/>
        </w:rPr>
        <w:t>oxytocín</w:t>
      </w:r>
      <w:proofErr w:type="spellEnd"/>
      <w:r>
        <w:rPr>
          <w:lang w:val="sk"/>
        </w:rPr>
        <w:t xml:space="preserve">, </w:t>
      </w:r>
      <w:proofErr w:type="spellStart"/>
      <w:r>
        <w:rPr>
          <w:lang w:val="sk"/>
        </w:rPr>
        <w:t>vazopresín</w:t>
      </w:r>
      <w:proofErr w:type="spellEnd"/>
      <w:r>
        <w:rPr>
          <w:lang w:val="sk"/>
        </w:rPr>
        <w:t xml:space="preserve"> a </w:t>
      </w:r>
      <w:proofErr w:type="spellStart"/>
      <w:r>
        <w:rPr>
          <w:lang w:val="sk"/>
        </w:rPr>
        <w:t>terlipresín</w:t>
      </w:r>
      <w:proofErr w:type="spellEnd"/>
      <w:r>
        <w:rPr>
          <w:lang w:val="sk"/>
        </w:rPr>
        <w:t xml:space="preserve">. Medzi lieky zvyšujúce riziko </w:t>
      </w:r>
      <w:proofErr w:type="spellStart"/>
      <w:r>
        <w:rPr>
          <w:lang w:val="sk"/>
        </w:rPr>
        <w:t>hyponatrémie</w:t>
      </w:r>
      <w:proofErr w:type="spellEnd"/>
      <w:r>
        <w:rPr>
          <w:lang w:val="sk"/>
        </w:rPr>
        <w:t xml:space="preserve"> takisto patria diuretiká a </w:t>
      </w:r>
      <w:proofErr w:type="spellStart"/>
      <w:r>
        <w:rPr>
          <w:lang w:val="sk"/>
        </w:rPr>
        <w:t>antiepileptiká</w:t>
      </w:r>
      <w:proofErr w:type="spellEnd"/>
      <w:r>
        <w:rPr>
          <w:lang w:val="sk"/>
        </w:rPr>
        <w:t xml:space="preserve"> ako napr. </w:t>
      </w:r>
      <w:proofErr w:type="spellStart"/>
      <w:r>
        <w:rPr>
          <w:lang w:val="sk"/>
        </w:rPr>
        <w:t>oxkarbamazepín</w:t>
      </w:r>
      <w:proofErr w:type="spellEnd"/>
      <w:r>
        <w:rPr>
          <w:lang w:val="sk"/>
        </w:rPr>
        <w:t xml:space="preserve">.  </w:t>
      </w:r>
    </w:p>
    <w:p w14:paraId="6A772F19" w14:textId="72E04D39" w:rsidR="003A1704" w:rsidRPr="009D5931" w:rsidRDefault="00F31EF6" w:rsidP="003A1704">
      <w:pPr>
        <w:pStyle w:val="Nadpis3"/>
        <w:rPr>
          <w:lang w:val="sk"/>
        </w:rPr>
      </w:pPr>
      <w:proofErr w:type="spellStart"/>
      <w:r>
        <w:rPr>
          <w:bCs w:val="0"/>
          <w:lang w:val="sk"/>
        </w:rPr>
        <w:lastRenderedPageBreak/>
        <w:t>Kľ</w:t>
      </w:r>
      <w:r w:rsidR="003A1704">
        <w:rPr>
          <w:bCs w:val="0"/>
          <w:lang w:val="sk"/>
        </w:rPr>
        <w:t>učkové</w:t>
      </w:r>
      <w:proofErr w:type="spellEnd"/>
      <w:r w:rsidR="003A1704">
        <w:rPr>
          <w:bCs w:val="0"/>
          <w:lang w:val="sk"/>
        </w:rPr>
        <w:t xml:space="preserve"> diuretiká</w:t>
      </w:r>
    </w:p>
    <w:p w14:paraId="7956BB47" w14:textId="5F7A95BC" w:rsidR="003A1704" w:rsidRPr="009D5931" w:rsidRDefault="00F31EF6" w:rsidP="003A1704">
      <w:pPr>
        <w:rPr>
          <w:lang w:val="sk"/>
        </w:rPr>
      </w:pPr>
      <w:r>
        <w:rPr>
          <w:lang w:val="sk"/>
        </w:rPr>
        <w:t>Súbež</w:t>
      </w:r>
      <w:r w:rsidR="003A1704">
        <w:rPr>
          <w:lang w:val="sk"/>
        </w:rPr>
        <w:t xml:space="preserve">né použitie </w:t>
      </w:r>
      <w:proofErr w:type="spellStart"/>
      <w:r>
        <w:rPr>
          <w:lang w:val="sk"/>
        </w:rPr>
        <w:t>kľ</w:t>
      </w:r>
      <w:r w:rsidR="003A1704">
        <w:rPr>
          <w:lang w:val="sk"/>
        </w:rPr>
        <w:t>učkových</w:t>
      </w:r>
      <w:proofErr w:type="spellEnd"/>
      <w:r w:rsidR="003A1704">
        <w:rPr>
          <w:lang w:val="sk"/>
        </w:rPr>
        <w:t xml:space="preserve"> diuretík nie je vhodné</w:t>
      </w:r>
      <w:r>
        <w:rPr>
          <w:lang w:val="sk"/>
        </w:rPr>
        <w:t>.</w:t>
      </w:r>
    </w:p>
    <w:p w14:paraId="0F5B93E6" w14:textId="77777777" w:rsidR="003A1704" w:rsidRPr="009D5931" w:rsidRDefault="003A1704" w:rsidP="003A1704">
      <w:pPr>
        <w:pStyle w:val="Nadpis3"/>
        <w:rPr>
          <w:lang w:val="sk"/>
        </w:rPr>
      </w:pPr>
      <w:r>
        <w:rPr>
          <w:bCs w:val="0"/>
          <w:lang w:val="sk"/>
        </w:rPr>
        <w:t>Pediatrická populácia</w:t>
      </w:r>
    </w:p>
    <w:p w14:paraId="474590D5" w14:textId="77777777" w:rsidR="003A1704" w:rsidRPr="009D5931" w:rsidRDefault="003A1704" w:rsidP="003A1704">
      <w:pPr>
        <w:rPr>
          <w:lang w:val="sk"/>
        </w:rPr>
      </w:pPr>
      <w:r>
        <w:rPr>
          <w:lang w:val="sk"/>
        </w:rPr>
        <w:t>Uvedené interakcie sa vzťahujú na dospelých i deti.</w:t>
      </w:r>
    </w:p>
    <w:p w14:paraId="52D210A5" w14:textId="77777777" w:rsidR="007B43D7" w:rsidRPr="009D5931" w:rsidRDefault="007B43D7" w:rsidP="00062519">
      <w:pPr>
        <w:pStyle w:val="Nadpis2"/>
        <w:rPr>
          <w:lang w:val="sk"/>
        </w:rPr>
      </w:pPr>
      <w:r>
        <w:rPr>
          <w:lang w:val="sk"/>
        </w:rPr>
        <w:t>4.6</w:t>
      </w:r>
      <w:r>
        <w:rPr>
          <w:lang w:val="sk"/>
        </w:rPr>
        <w:tab/>
      </w:r>
      <w:proofErr w:type="spellStart"/>
      <w:r>
        <w:rPr>
          <w:lang w:val="sk"/>
        </w:rPr>
        <w:t>Fertilita</w:t>
      </w:r>
      <w:proofErr w:type="spellEnd"/>
      <w:r>
        <w:rPr>
          <w:lang w:val="sk"/>
        </w:rPr>
        <w:t>, gravidita a laktácia</w:t>
      </w:r>
    </w:p>
    <w:p w14:paraId="5FD57EE7" w14:textId="77777777" w:rsidR="00F971D7" w:rsidRPr="009D5931" w:rsidRDefault="00F971D7" w:rsidP="00FF664F">
      <w:pPr>
        <w:pStyle w:val="Nadpis3"/>
        <w:rPr>
          <w:lang w:val="sk"/>
        </w:rPr>
      </w:pPr>
      <w:proofErr w:type="spellStart"/>
      <w:r>
        <w:rPr>
          <w:bCs w:val="0"/>
          <w:lang w:val="sk"/>
        </w:rPr>
        <w:t>Fertilita</w:t>
      </w:r>
      <w:proofErr w:type="spellEnd"/>
    </w:p>
    <w:p w14:paraId="1C725284" w14:textId="36D1A533" w:rsidR="00F971D7" w:rsidRPr="009D5931" w:rsidRDefault="00F971D7" w:rsidP="00FF664F">
      <w:pPr>
        <w:rPr>
          <w:lang w:val="sk"/>
        </w:rPr>
      </w:pPr>
      <w:r>
        <w:rPr>
          <w:lang w:val="sk"/>
        </w:rPr>
        <w:t xml:space="preserve">Klinické skúsenosti s </w:t>
      </w:r>
      <w:proofErr w:type="spellStart"/>
      <w:r>
        <w:rPr>
          <w:lang w:val="sk"/>
        </w:rPr>
        <w:t>imunoglobulínmi</w:t>
      </w:r>
      <w:proofErr w:type="spellEnd"/>
      <w:r>
        <w:rPr>
          <w:lang w:val="sk"/>
        </w:rPr>
        <w:t xml:space="preserve"> ne</w:t>
      </w:r>
      <w:r w:rsidR="00F31EF6">
        <w:rPr>
          <w:lang w:val="sk"/>
        </w:rPr>
        <w:t>naznačujú</w:t>
      </w:r>
      <w:r>
        <w:rPr>
          <w:lang w:val="sk"/>
        </w:rPr>
        <w:t xml:space="preserve"> žiadne škodlivé vplyvy na plodnosť.</w:t>
      </w:r>
    </w:p>
    <w:p w14:paraId="68D44953" w14:textId="77777777" w:rsidR="00333B09" w:rsidRPr="009D5931" w:rsidRDefault="00333B09" w:rsidP="00FF664F">
      <w:pPr>
        <w:pStyle w:val="Nadpis3"/>
        <w:rPr>
          <w:lang w:val="sk"/>
        </w:rPr>
      </w:pPr>
      <w:r>
        <w:rPr>
          <w:bCs w:val="0"/>
          <w:lang w:val="sk"/>
        </w:rPr>
        <w:t>Gravidita</w:t>
      </w:r>
    </w:p>
    <w:p w14:paraId="330DD7E9" w14:textId="639940C5" w:rsidR="00381DCE" w:rsidRPr="009D5931" w:rsidRDefault="007B43D7" w:rsidP="00381DCE">
      <w:pPr>
        <w:rPr>
          <w:lang w:val="sk"/>
        </w:rPr>
      </w:pPr>
      <w:r>
        <w:rPr>
          <w:lang w:val="sk"/>
        </w:rPr>
        <w:t xml:space="preserve">Bezpečnosť tohto lieku u tehotných žien nebola stanovená v kontrolovaných klinických skúšaniach a z toho dôvodu je nutné </w:t>
      </w:r>
      <w:r w:rsidR="00F31EF6">
        <w:rPr>
          <w:lang w:val="sk"/>
        </w:rPr>
        <w:t>lie</w:t>
      </w:r>
      <w:r>
        <w:rPr>
          <w:lang w:val="sk"/>
        </w:rPr>
        <w:t xml:space="preserve">k podávať tehotným a dojčiacim ženám len opatrne.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 prechádzajú cez placentu, vo výraznejšej miere v priebehu tretieho </w:t>
      </w:r>
      <w:proofErr w:type="spellStart"/>
      <w:r w:rsidR="00F31EF6">
        <w:rPr>
          <w:lang w:val="sk"/>
        </w:rPr>
        <w:t>tri</w:t>
      </w:r>
      <w:r>
        <w:rPr>
          <w:lang w:val="sk"/>
        </w:rPr>
        <w:t>mestra</w:t>
      </w:r>
      <w:proofErr w:type="spellEnd"/>
      <w:r>
        <w:rPr>
          <w:lang w:val="sk"/>
        </w:rPr>
        <w:t xml:space="preserve">. Klinické skúsenosti s </w:t>
      </w:r>
      <w:proofErr w:type="spellStart"/>
      <w:r>
        <w:rPr>
          <w:lang w:val="sk"/>
        </w:rPr>
        <w:t>imunoglobulínmi</w:t>
      </w:r>
      <w:proofErr w:type="spellEnd"/>
      <w:r>
        <w:rPr>
          <w:lang w:val="sk"/>
        </w:rPr>
        <w:t xml:space="preserve"> ne</w:t>
      </w:r>
      <w:r w:rsidR="00F31EF6">
        <w:rPr>
          <w:lang w:val="sk"/>
        </w:rPr>
        <w:t>naznaču</w:t>
      </w:r>
      <w:r>
        <w:rPr>
          <w:lang w:val="sk"/>
        </w:rPr>
        <w:t>jú škodlivé účinky na priebeh tehotenstva, plod ani novorodenca.</w:t>
      </w:r>
    </w:p>
    <w:p w14:paraId="3520C88E" w14:textId="11EABE77" w:rsidR="007169DB" w:rsidRPr="009D5931" w:rsidRDefault="00381DCE" w:rsidP="00381DCE">
      <w:pPr>
        <w:rPr>
          <w:lang w:val="sk"/>
        </w:rPr>
      </w:pPr>
      <w:r>
        <w:rPr>
          <w:lang w:val="sk"/>
        </w:rPr>
        <w:t xml:space="preserve">Pri podávaní </w:t>
      </w:r>
      <w:proofErr w:type="spellStart"/>
      <w:r>
        <w:rPr>
          <w:lang w:val="sk"/>
        </w:rPr>
        <w:t>Nanogam</w:t>
      </w:r>
      <w:r w:rsidR="00F31EF6">
        <w:rPr>
          <w:lang w:val="sk"/>
        </w:rPr>
        <w:t>u</w:t>
      </w:r>
      <w:proofErr w:type="spellEnd"/>
      <w:r>
        <w:rPr>
          <w:lang w:val="sk"/>
        </w:rPr>
        <w:t xml:space="preserve"> tehotným ženám v priebehu pôrodu, hlavne pri podaní v kombinácii s </w:t>
      </w:r>
      <w:proofErr w:type="spellStart"/>
      <w:r>
        <w:rPr>
          <w:lang w:val="sk"/>
        </w:rPr>
        <w:t>oxytocínom</w:t>
      </w:r>
      <w:proofErr w:type="spellEnd"/>
      <w:r>
        <w:rPr>
          <w:lang w:val="sk"/>
        </w:rPr>
        <w:t xml:space="preserve">, dochádza k zvýšeniu rizika </w:t>
      </w:r>
      <w:proofErr w:type="spellStart"/>
      <w:r>
        <w:rPr>
          <w:lang w:val="sk"/>
        </w:rPr>
        <w:t>hyponatrémie</w:t>
      </w:r>
      <w:proofErr w:type="spellEnd"/>
      <w:r>
        <w:rPr>
          <w:lang w:val="sk"/>
        </w:rPr>
        <w:t xml:space="preserve"> (pozri časti 4.4, 4.5 a 4.8).</w:t>
      </w:r>
    </w:p>
    <w:p w14:paraId="45BAD14B" w14:textId="77777777" w:rsidR="00333B09" w:rsidRPr="009D5931" w:rsidRDefault="00455F47" w:rsidP="00FF664F">
      <w:pPr>
        <w:pStyle w:val="Nadpis3"/>
        <w:rPr>
          <w:lang w:val="sk"/>
        </w:rPr>
      </w:pPr>
      <w:r>
        <w:rPr>
          <w:bCs w:val="0"/>
          <w:lang w:val="sk"/>
        </w:rPr>
        <w:t>Laktácia</w:t>
      </w:r>
    </w:p>
    <w:p w14:paraId="2AFBFEB1" w14:textId="2C8BD963" w:rsidR="007B43D7" w:rsidRPr="009D5931" w:rsidRDefault="007B43D7" w:rsidP="003A1704">
      <w:pPr>
        <w:rPr>
          <w:lang w:val="sk"/>
        </w:rPr>
      </w:pPr>
      <w:proofErr w:type="spellStart"/>
      <w:r>
        <w:rPr>
          <w:lang w:val="sk"/>
        </w:rPr>
        <w:t>Imunoglobulíny</w:t>
      </w:r>
      <w:proofErr w:type="spellEnd"/>
      <w:r>
        <w:rPr>
          <w:lang w:val="sk"/>
        </w:rPr>
        <w:t xml:space="preserve"> sa vylučujú do materského mlieka. Neočakávajú sa žiadne negatívne účinky na dojčených novorodencov/dojčatá.</w:t>
      </w:r>
    </w:p>
    <w:p w14:paraId="20669AFA" w14:textId="6E999F05" w:rsidR="007B43D7" w:rsidRPr="009D5931" w:rsidRDefault="007B43D7" w:rsidP="00062519">
      <w:pPr>
        <w:pStyle w:val="Nadpis2"/>
        <w:rPr>
          <w:lang w:val="sk"/>
        </w:rPr>
      </w:pPr>
      <w:r>
        <w:rPr>
          <w:lang w:val="sk"/>
        </w:rPr>
        <w:t>4.7</w:t>
      </w:r>
      <w:r>
        <w:rPr>
          <w:lang w:val="sk"/>
        </w:rPr>
        <w:tab/>
        <w:t>Ovplyvnenie schopnosti viesť vozidlá a obsluhovať stroje</w:t>
      </w:r>
    </w:p>
    <w:p w14:paraId="1B543806" w14:textId="75998B68" w:rsidR="00475838" w:rsidRPr="009D5931" w:rsidRDefault="00E371A6" w:rsidP="00693C1A">
      <w:pPr>
        <w:spacing w:after="0"/>
        <w:rPr>
          <w:lang w:val="sk"/>
        </w:rPr>
      </w:pPr>
      <w:proofErr w:type="spellStart"/>
      <w:r>
        <w:rPr>
          <w:lang w:val="sk"/>
        </w:rPr>
        <w:t>Nanogam</w:t>
      </w:r>
      <w:proofErr w:type="spellEnd"/>
      <w:r>
        <w:rPr>
          <w:lang w:val="sk"/>
        </w:rPr>
        <w:t xml:space="preserve"> nemá žiadny alebo má zanedbateľný vplyv na schopnosť viesť vozidlá a obsluhovať stroje. Niektoré nežiaduce reakcie spojené s </w:t>
      </w:r>
      <w:proofErr w:type="spellStart"/>
      <w:r>
        <w:rPr>
          <w:lang w:val="sk"/>
        </w:rPr>
        <w:t>Nanogam</w:t>
      </w:r>
      <w:r w:rsidR="0003717A">
        <w:rPr>
          <w:lang w:val="sk"/>
        </w:rPr>
        <w:t>om</w:t>
      </w:r>
      <w:proofErr w:type="spellEnd"/>
      <w:r>
        <w:rPr>
          <w:lang w:val="sk"/>
        </w:rPr>
        <w:t xml:space="preserve"> môžu obmedzovať schopnosť viesť vozidlá a obsluhovať stroje. Pacienti, u ktorých sa v priebehu liečby objavia nežiaduce reakcie, ma</w:t>
      </w:r>
      <w:r w:rsidR="0003717A">
        <w:rPr>
          <w:lang w:val="sk"/>
        </w:rPr>
        <w:t>jú</w:t>
      </w:r>
      <w:r>
        <w:rPr>
          <w:lang w:val="sk"/>
        </w:rPr>
        <w:t xml:space="preserve"> počkať na ich odznenie a až potom ma</w:t>
      </w:r>
      <w:r w:rsidR="0003717A">
        <w:rPr>
          <w:lang w:val="sk"/>
        </w:rPr>
        <w:t>jú</w:t>
      </w:r>
      <w:r>
        <w:rPr>
          <w:lang w:val="sk"/>
        </w:rPr>
        <w:t xml:space="preserve"> viesť vozidlá alebo obsluhovať stroje. </w:t>
      </w:r>
    </w:p>
    <w:p w14:paraId="08F5F16F" w14:textId="36B24C37" w:rsidR="007B43D7" w:rsidRPr="009D5931" w:rsidRDefault="007B43D7" w:rsidP="00062519">
      <w:pPr>
        <w:pStyle w:val="Nadpis2"/>
        <w:rPr>
          <w:lang w:val="sk"/>
        </w:rPr>
      </w:pPr>
      <w:r>
        <w:rPr>
          <w:lang w:val="sk"/>
        </w:rPr>
        <w:t>4.8</w:t>
      </w:r>
      <w:r>
        <w:rPr>
          <w:lang w:val="sk"/>
        </w:rPr>
        <w:tab/>
        <w:t>Nežiaduce účinky</w:t>
      </w:r>
    </w:p>
    <w:p w14:paraId="5E3BEC17" w14:textId="06733924" w:rsidR="007B43D7" w:rsidRPr="009D5931" w:rsidRDefault="00C2782F" w:rsidP="00FF664F">
      <w:pPr>
        <w:pStyle w:val="Nadpis3"/>
        <w:rPr>
          <w:lang w:val="sk"/>
        </w:rPr>
      </w:pPr>
      <w:r>
        <w:rPr>
          <w:bCs w:val="0"/>
          <w:lang w:val="sk"/>
        </w:rPr>
        <w:t>Súhrn bezpečnostného profilu</w:t>
      </w:r>
    </w:p>
    <w:p w14:paraId="3BDD141C" w14:textId="41B788E5" w:rsidR="00255E18" w:rsidRPr="009D5931" w:rsidRDefault="007B43D7" w:rsidP="00FF664F">
      <w:pPr>
        <w:rPr>
          <w:lang w:val="sk"/>
        </w:rPr>
      </w:pPr>
      <w:r>
        <w:rPr>
          <w:lang w:val="sk"/>
        </w:rPr>
        <w:t xml:space="preserve">Nežiaduce </w:t>
      </w:r>
      <w:r w:rsidR="0003717A">
        <w:rPr>
          <w:lang w:val="sk"/>
        </w:rPr>
        <w:t>reakcie</w:t>
      </w:r>
      <w:r>
        <w:rPr>
          <w:lang w:val="sk"/>
        </w:rPr>
        <w:t xml:space="preserve"> spôsobené normálnymi ľudskými </w:t>
      </w:r>
      <w:proofErr w:type="spellStart"/>
      <w:r>
        <w:rPr>
          <w:lang w:val="sk"/>
        </w:rPr>
        <w:t>imunoglobulínmi</w:t>
      </w:r>
      <w:proofErr w:type="spellEnd"/>
      <w:r>
        <w:rPr>
          <w:lang w:val="sk"/>
        </w:rPr>
        <w:t xml:space="preserve"> zahŕňajú (zoradené s klesajúcou frekvenciou) (pozri takisto časť 4.4):</w:t>
      </w:r>
    </w:p>
    <w:p w14:paraId="2B594346" w14:textId="716EF8BF" w:rsidR="00255E18" w:rsidRPr="009D5931" w:rsidRDefault="007B43D7" w:rsidP="001D5674">
      <w:pPr>
        <w:pStyle w:val="Odsekzoznamu"/>
        <w:numPr>
          <w:ilvl w:val="0"/>
          <w:numId w:val="38"/>
        </w:numPr>
        <w:rPr>
          <w:lang w:val="sk"/>
        </w:rPr>
      </w:pPr>
      <w:r>
        <w:rPr>
          <w:lang w:val="sk"/>
        </w:rPr>
        <w:t>Zimnicu, boles</w:t>
      </w:r>
      <w:r w:rsidR="0003717A">
        <w:rPr>
          <w:lang w:val="sk"/>
        </w:rPr>
        <w:t>ť</w:t>
      </w:r>
      <w:r>
        <w:rPr>
          <w:lang w:val="sk"/>
        </w:rPr>
        <w:t xml:space="preserve"> hlavy, závrat, horúčku, vracanie, alergické reakcie, nevoľnosť, </w:t>
      </w:r>
      <w:proofErr w:type="spellStart"/>
      <w:r>
        <w:rPr>
          <w:lang w:val="sk"/>
        </w:rPr>
        <w:t>artralgiu</w:t>
      </w:r>
      <w:proofErr w:type="spellEnd"/>
      <w:r>
        <w:rPr>
          <w:lang w:val="sk"/>
        </w:rPr>
        <w:t>, nízky krvný tlak a stredne siln</w:t>
      </w:r>
      <w:r w:rsidR="0003717A">
        <w:rPr>
          <w:lang w:val="sk"/>
        </w:rPr>
        <w:t>á</w:t>
      </w:r>
      <w:r>
        <w:rPr>
          <w:lang w:val="sk"/>
        </w:rPr>
        <w:t xml:space="preserve"> boles</w:t>
      </w:r>
      <w:r w:rsidR="0003717A">
        <w:rPr>
          <w:lang w:val="sk"/>
        </w:rPr>
        <w:t>ť</w:t>
      </w:r>
      <w:r>
        <w:rPr>
          <w:lang w:val="sk"/>
        </w:rPr>
        <w:t xml:space="preserve"> chrbta. </w:t>
      </w:r>
    </w:p>
    <w:p w14:paraId="1A76AAC0" w14:textId="1636128D" w:rsidR="00D27C8A" w:rsidRPr="009D5931" w:rsidRDefault="00255E18" w:rsidP="001D5674">
      <w:pPr>
        <w:pStyle w:val="Odsekzoznamu"/>
        <w:numPr>
          <w:ilvl w:val="0"/>
          <w:numId w:val="38"/>
        </w:numPr>
        <w:rPr>
          <w:lang w:val="sk"/>
        </w:rPr>
      </w:pPr>
      <w:r>
        <w:rPr>
          <w:lang w:val="sk"/>
        </w:rPr>
        <w:t xml:space="preserve">Reverzibilné </w:t>
      </w:r>
      <w:proofErr w:type="spellStart"/>
      <w:r>
        <w:rPr>
          <w:lang w:val="sk"/>
        </w:rPr>
        <w:t>hemolytické</w:t>
      </w:r>
      <w:proofErr w:type="spellEnd"/>
      <w:r>
        <w:rPr>
          <w:lang w:val="sk"/>
        </w:rPr>
        <w:t xml:space="preserve"> reakcie, hlavne u pacientov s krvnými skupinami A, B a AB a (zriedkavo) s </w:t>
      </w:r>
      <w:proofErr w:type="spellStart"/>
      <w:r>
        <w:rPr>
          <w:lang w:val="sk"/>
        </w:rPr>
        <w:t>hemolytickou</w:t>
      </w:r>
      <w:proofErr w:type="spellEnd"/>
      <w:r>
        <w:rPr>
          <w:lang w:val="sk"/>
        </w:rPr>
        <w:t xml:space="preserve"> anémiou vyžadujúcou transfúziu. </w:t>
      </w:r>
    </w:p>
    <w:p w14:paraId="5B39E130" w14:textId="134BA8C3" w:rsidR="0075705B" w:rsidRPr="009D5931" w:rsidRDefault="0032086A" w:rsidP="001D5674">
      <w:pPr>
        <w:pStyle w:val="Odsekzoznamu"/>
        <w:numPr>
          <w:ilvl w:val="0"/>
          <w:numId w:val="38"/>
        </w:numPr>
        <w:rPr>
          <w:lang w:val="sk"/>
        </w:rPr>
      </w:pPr>
      <w:r>
        <w:rPr>
          <w:lang w:val="sk"/>
        </w:rPr>
        <w:t xml:space="preserve">(Zriedkavo) náhly pokles krvného tlaku a v izolovaných prípadoch </w:t>
      </w:r>
      <w:proofErr w:type="spellStart"/>
      <w:r>
        <w:rPr>
          <w:lang w:val="sk"/>
        </w:rPr>
        <w:t>anafylaktický</w:t>
      </w:r>
      <w:proofErr w:type="spellEnd"/>
      <w:r>
        <w:rPr>
          <w:lang w:val="sk"/>
        </w:rPr>
        <w:t xml:space="preserve"> šok, aj keď pacient pri predchádzajúcich aplikáciách nevykazoval precitlivenosť.</w:t>
      </w:r>
    </w:p>
    <w:p w14:paraId="5680D16B" w14:textId="43579886" w:rsidR="007B43D7" w:rsidRPr="009D5931" w:rsidRDefault="0075705B" w:rsidP="001D5674">
      <w:pPr>
        <w:pStyle w:val="Odsekzoznamu"/>
        <w:numPr>
          <w:ilvl w:val="0"/>
          <w:numId w:val="38"/>
        </w:numPr>
        <w:rPr>
          <w:lang w:val="sk"/>
        </w:rPr>
      </w:pPr>
      <w:r>
        <w:rPr>
          <w:lang w:val="sk"/>
        </w:rPr>
        <w:t xml:space="preserve">(Zriedkavé) prechodné kožné reakcie (vrátane kožného </w:t>
      </w:r>
      <w:proofErr w:type="spellStart"/>
      <w:r>
        <w:rPr>
          <w:lang w:val="sk"/>
        </w:rPr>
        <w:t>lupus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erythematosus</w:t>
      </w:r>
      <w:proofErr w:type="spellEnd"/>
      <w:r>
        <w:rPr>
          <w:lang w:val="sk"/>
        </w:rPr>
        <w:t xml:space="preserve"> – frekvencia neznáma). </w:t>
      </w:r>
    </w:p>
    <w:p w14:paraId="3255AE48" w14:textId="0E2DA87F" w:rsidR="00BF2C24" w:rsidRPr="009D5931" w:rsidRDefault="00255E18" w:rsidP="001D5674">
      <w:pPr>
        <w:pStyle w:val="Odsekzoznamu"/>
        <w:numPr>
          <w:ilvl w:val="0"/>
          <w:numId w:val="38"/>
        </w:numPr>
        <w:rPr>
          <w:lang w:val="sk"/>
        </w:rPr>
      </w:pPr>
      <w:r>
        <w:rPr>
          <w:lang w:val="sk"/>
        </w:rPr>
        <w:t xml:space="preserve">(Veľmi zriedkavé) </w:t>
      </w:r>
      <w:proofErr w:type="spellStart"/>
      <w:r>
        <w:rPr>
          <w:lang w:val="sk"/>
        </w:rPr>
        <w:t>tromboembolické</w:t>
      </w:r>
      <w:proofErr w:type="spellEnd"/>
      <w:r>
        <w:rPr>
          <w:lang w:val="sk"/>
        </w:rPr>
        <w:t xml:space="preserve"> reakcie ako napr. infarkt myokardu, mozgový infarkt, pľúcna embólia, hlboké žilové trombózy. </w:t>
      </w:r>
    </w:p>
    <w:p w14:paraId="1C0BD5BA" w14:textId="4E71CFC3" w:rsidR="0075705B" w:rsidRPr="001D5674" w:rsidRDefault="0075705B" w:rsidP="001D5674">
      <w:pPr>
        <w:pStyle w:val="Odsekzoznamu"/>
        <w:numPr>
          <w:ilvl w:val="0"/>
          <w:numId w:val="38"/>
        </w:numPr>
      </w:pPr>
      <w:r>
        <w:rPr>
          <w:lang w:val="sk"/>
        </w:rPr>
        <w:t xml:space="preserve">Prípady reverzibilnej aseptickej </w:t>
      </w:r>
      <w:proofErr w:type="spellStart"/>
      <w:r>
        <w:rPr>
          <w:lang w:val="sk"/>
        </w:rPr>
        <w:t>meningitídy</w:t>
      </w:r>
      <w:proofErr w:type="spellEnd"/>
      <w:r>
        <w:rPr>
          <w:lang w:val="sk"/>
        </w:rPr>
        <w:t xml:space="preserve">. </w:t>
      </w:r>
    </w:p>
    <w:p w14:paraId="2DA76553" w14:textId="699A13F7" w:rsidR="00255E18" w:rsidRPr="001D5674" w:rsidRDefault="00255E18" w:rsidP="001D5674">
      <w:pPr>
        <w:pStyle w:val="Odsekzoznamu"/>
        <w:numPr>
          <w:ilvl w:val="0"/>
          <w:numId w:val="38"/>
        </w:numPr>
      </w:pPr>
      <w:r>
        <w:rPr>
          <w:lang w:val="sk"/>
        </w:rPr>
        <w:t xml:space="preserve">Prípady zvýšenej sérovej hladiny </w:t>
      </w:r>
      <w:proofErr w:type="spellStart"/>
      <w:r>
        <w:rPr>
          <w:lang w:val="sk"/>
        </w:rPr>
        <w:t>kreatinínu</w:t>
      </w:r>
      <w:proofErr w:type="spellEnd"/>
      <w:r>
        <w:rPr>
          <w:lang w:val="sk"/>
        </w:rPr>
        <w:t xml:space="preserve"> a/alebo rozvoj akútneho </w:t>
      </w:r>
      <w:proofErr w:type="spellStart"/>
      <w:r>
        <w:rPr>
          <w:lang w:val="sk"/>
        </w:rPr>
        <w:t>renálneho</w:t>
      </w:r>
      <w:proofErr w:type="spellEnd"/>
      <w:r>
        <w:rPr>
          <w:lang w:val="sk"/>
        </w:rPr>
        <w:t xml:space="preserve"> zlyhania.</w:t>
      </w:r>
    </w:p>
    <w:p w14:paraId="09E6DA07" w14:textId="49499CB1" w:rsidR="007B43D7" w:rsidRPr="001D5674" w:rsidRDefault="00255E18" w:rsidP="001D5674">
      <w:pPr>
        <w:pStyle w:val="Odsekzoznamu"/>
        <w:numPr>
          <w:ilvl w:val="0"/>
          <w:numId w:val="38"/>
        </w:numPr>
      </w:pPr>
      <w:r>
        <w:rPr>
          <w:lang w:val="sk"/>
        </w:rPr>
        <w:t>Prípady akútneho poškodenia pľúc p</w:t>
      </w:r>
      <w:r w:rsidR="0003717A">
        <w:rPr>
          <w:lang w:val="sk"/>
        </w:rPr>
        <w:t>ri</w:t>
      </w:r>
      <w:r>
        <w:rPr>
          <w:lang w:val="sk"/>
        </w:rPr>
        <w:t xml:space="preserve"> transfúzii (TRALI).</w:t>
      </w:r>
    </w:p>
    <w:p w14:paraId="53F92469" w14:textId="77777777" w:rsidR="0067061F" w:rsidRPr="009D5931" w:rsidRDefault="0067061F" w:rsidP="0067061F">
      <w:pPr>
        <w:rPr>
          <w:bCs/>
          <w:lang w:val="sk"/>
        </w:rPr>
      </w:pPr>
      <w:r>
        <w:rPr>
          <w:lang w:val="sk"/>
        </w:rPr>
        <w:t xml:space="preserve">Infúzia intravenóznych roztokov obsahujúcich glukózu môže viesť k </w:t>
      </w:r>
      <w:proofErr w:type="spellStart"/>
      <w:r>
        <w:rPr>
          <w:lang w:val="sk"/>
        </w:rPr>
        <w:t>hyponatrémii</w:t>
      </w:r>
      <w:proofErr w:type="spellEnd"/>
      <w:r>
        <w:rPr>
          <w:lang w:val="sk"/>
        </w:rPr>
        <w:t xml:space="preserve"> a </w:t>
      </w:r>
      <w:proofErr w:type="spellStart"/>
      <w:r>
        <w:rPr>
          <w:lang w:val="sk"/>
        </w:rPr>
        <w:t>hyponatremickej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encefalopatii</w:t>
      </w:r>
      <w:proofErr w:type="spellEnd"/>
      <w:r>
        <w:rPr>
          <w:lang w:val="sk"/>
        </w:rPr>
        <w:t xml:space="preserve"> (pozri časť 4.4). </w:t>
      </w:r>
      <w:proofErr w:type="spellStart"/>
      <w:r>
        <w:rPr>
          <w:lang w:val="sk"/>
        </w:rPr>
        <w:t>Incidencia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hyponatrémie</w:t>
      </w:r>
      <w:proofErr w:type="spellEnd"/>
      <w:r>
        <w:rPr>
          <w:lang w:val="sk"/>
        </w:rPr>
        <w:t xml:space="preserve"> a </w:t>
      </w:r>
      <w:proofErr w:type="spellStart"/>
      <w:r>
        <w:rPr>
          <w:lang w:val="sk"/>
        </w:rPr>
        <w:t>hyponatremickej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encefalopatie</w:t>
      </w:r>
      <w:proofErr w:type="spellEnd"/>
      <w:r>
        <w:rPr>
          <w:lang w:val="sk"/>
        </w:rPr>
        <w:t xml:space="preserve"> nie je známa.</w:t>
      </w:r>
    </w:p>
    <w:p w14:paraId="17F6B96C" w14:textId="77777777" w:rsidR="00F87F03" w:rsidRPr="009D5931" w:rsidRDefault="00F87F03" w:rsidP="00FF664F">
      <w:pPr>
        <w:pStyle w:val="Nadpis3"/>
        <w:rPr>
          <w:lang w:val="sk"/>
        </w:rPr>
      </w:pPr>
      <w:r>
        <w:rPr>
          <w:bCs w:val="0"/>
          <w:lang w:val="sk"/>
        </w:rPr>
        <w:lastRenderedPageBreak/>
        <w:t>Klinické štúdie</w:t>
      </w:r>
    </w:p>
    <w:p w14:paraId="6F341F93" w14:textId="217C50C2" w:rsidR="00E9094D" w:rsidRPr="009D5931" w:rsidRDefault="00E9094D" w:rsidP="00E9094D">
      <w:pPr>
        <w:rPr>
          <w:lang w:val="sk"/>
        </w:rPr>
      </w:pPr>
      <w:r>
        <w:rPr>
          <w:lang w:val="sk"/>
        </w:rPr>
        <w:t xml:space="preserve">V štúdii pri primárnej </w:t>
      </w:r>
      <w:proofErr w:type="spellStart"/>
      <w:r>
        <w:rPr>
          <w:lang w:val="sk"/>
        </w:rPr>
        <w:t>imunodeficiencii</w:t>
      </w:r>
      <w:proofErr w:type="spellEnd"/>
      <w:r>
        <w:rPr>
          <w:lang w:val="sk"/>
        </w:rPr>
        <w:t xml:space="preserve"> (PID), v ktorej sa skúmal </w:t>
      </w:r>
      <w:proofErr w:type="spellStart"/>
      <w:r>
        <w:rPr>
          <w:lang w:val="sk"/>
        </w:rPr>
        <w:t>Nanogam</w:t>
      </w:r>
      <w:proofErr w:type="spellEnd"/>
      <w:r>
        <w:rPr>
          <w:lang w:val="sk"/>
        </w:rPr>
        <w:t xml:space="preserve"> 50 mg/ml, došlo u jedného pacienta s </w:t>
      </w:r>
      <w:proofErr w:type="spellStart"/>
      <w:r>
        <w:rPr>
          <w:lang w:val="sk"/>
        </w:rPr>
        <w:t>hypogamaglobulinémiou</w:t>
      </w:r>
      <w:proofErr w:type="spellEnd"/>
      <w:r>
        <w:rPr>
          <w:lang w:val="sk"/>
        </w:rPr>
        <w:t xml:space="preserve"> k alergickej reakcii (vyrážka) podobnej predchádzajúcej alergickej reakcii, ktorá sa rozvinula p</w:t>
      </w:r>
      <w:r w:rsidR="007F4E19">
        <w:rPr>
          <w:lang w:val="sk"/>
        </w:rPr>
        <w:t>ri</w:t>
      </w:r>
      <w:r>
        <w:rPr>
          <w:lang w:val="sk"/>
        </w:rPr>
        <w:t xml:space="preserve"> použití iného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 xml:space="preserve"> v minulosti. Celkovo bolo v štúdii PID hlásených 84 </w:t>
      </w:r>
      <w:r w:rsidR="007F4E19">
        <w:rPr>
          <w:lang w:val="sk"/>
        </w:rPr>
        <w:t>nežiaducich udalostí (</w:t>
      </w:r>
      <w:proofErr w:type="spellStart"/>
      <w:r w:rsidR="007F4E19">
        <w:rPr>
          <w:lang w:val="sk"/>
        </w:rPr>
        <w:t>adverse</w:t>
      </w:r>
      <w:proofErr w:type="spellEnd"/>
      <w:r w:rsidR="007F4E19">
        <w:rPr>
          <w:lang w:val="sk"/>
        </w:rPr>
        <w:t xml:space="preserve"> </w:t>
      </w:r>
      <w:proofErr w:type="spellStart"/>
      <w:r w:rsidR="007F4E19">
        <w:rPr>
          <w:lang w:val="sk"/>
        </w:rPr>
        <w:t>events</w:t>
      </w:r>
      <w:proofErr w:type="spellEnd"/>
      <w:r w:rsidR="007F4E19">
        <w:rPr>
          <w:lang w:val="sk"/>
        </w:rPr>
        <w:t xml:space="preserve">, </w:t>
      </w:r>
      <w:r>
        <w:rPr>
          <w:lang w:val="sk"/>
        </w:rPr>
        <w:t>AE</w:t>
      </w:r>
      <w:r w:rsidR="007F4E19">
        <w:rPr>
          <w:lang w:val="sk"/>
        </w:rPr>
        <w:t>)</w:t>
      </w:r>
      <w:r>
        <w:rPr>
          <w:lang w:val="sk"/>
        </w:rPr>
        <w:t xml:space="preserve">, z toho 43 (51,1 %) bolo spojených s </w:t>
      </w:r>
      <w:proofErr w:type="spellStart"/>
      <w:r>
        <w:rPr>
          <w:lang w:val="sk"/>
        </w:rPr>
        <w:t>Nanogam</w:t>
      </w:r>
      <w:r w:rsidR="007F4E19">
        <w:rPr>
          <w:lang w:val="sk"/>
        </w:rPr>
        <w:t>om</w:t>
      </w:r>
      <w:proofErr w:type="spellEnd"/>
      <w:r>
        <w:rPr>
          <w:lang w:val="sk"/>
        </w:rPr>
        <w:t xml:space="preserve"> 50 mg/ml. Závažnosť väčšiny týchto príhod bola považovaná za miernu.</w:t>
      </w:r>
    </w:p>
    <w:p w14:paraId="3DAC4536" w14:textId="1E860D1E" w:rsidR="00E9094D" w:rsidRPr="009D5931" w:rsidRDefault="00E9094D" w:rsidP="00E9094D">
      <w:pPr>
        <w:rPr>
          <w:lang w:val="sk"/>
        </w:rPr>
      </w:pPr>
      <w:r>
        <w:rPr>
          <w:lang w:val="sk"/>
        </w:rPr>
        <w:t xml:space="preserve">V štúdii pri primárnej imunitnej </w:t>
      </w:r>
      <w:proofErr w:type="spellStart"/>
      <w:r>
        <w:rPr>
          <w:lang w:val="sk"/>
        </w:rPr>
        <w:t>trombocytopénii</w:t>
      </w:r>
      <w:proofErr w:type="spellEnd"/>
      <w:r>
        <w:rPr>
          <w:lang w:val="sk"/>
        </w:rPr>
        <w:t xml:space="preserve"> (ITP) bolo hlásených celkovo 31 AE u 12 pacientov, z toho 16 (51,6 %) hlásených u 9 pacientov bolo potenciálne spojených s </w:t>
      </w:r>
      <w:proofErr w:type="spellStart"/>
      <w:r>
        <w:rPr>
          <w:lang w:val="sk"/>
        </w:rPr>
        <w:t>Nanogam</w:t>
      </w:r>
      <w:r w:rsidR="007F4E19">
        <w:rPr>
          <w:lang w:val="sk"/>
        </w:rPr>
        <w:t>om</w:t>
      </w:r>
      <w:proofErr w:type="spellEnd"/>
      <w:r>
        <w:rPr>
          <w:lang w:val="sk"/>
        </w:rPr>
        <w:t xml:space="preserve"> 50 mg/ml. Celkovo došlo k jednému alebo viacerým nežiaducim účinkom, väčšinou miernej až strednej závažnosti, spojených s  </w:t>
      </w:r>
      <w:proofErr w:type="spellStart"/>
      <w:r>
        <w:rPr>
          <w:lang w:val="sk"/>
        </w:rPr>
        <w:t>Nanogam</w:t>
      </w:r>
      <w:r w:rsidR="007F4E19">
        <w:rPr>
          <w:lang w:val="sk"/>
        </w:rPr>
        <w:t>om</w:t>
      </w:r>
      <w:proofErr w:type="spellEnd"/>
      <w:r>
        <w:rPr>
          <w:lang w:val="sk"/>
        </w:rPr>
        <w:t xml:space="preserve"> u 10/61 infúzií (16 %). U všetkých pacientov bol pozorovaný pokles hemoglobínu v kombinácii so stabilnými pečeňovými funkciami a hladinami </w:t>
      </w:r>
      <w:proofErr w:type="spellStart"/>
      <w:r>
        <w:rPr>
          <w:lang w:val="sk"/>
        </w:rPr>
        <w:t>haptoglobínu</w:t>
      </w:r>
      <w:proofErr w:type="spellEnd"/>
      <w:r>
        <w:rPr>
          <w:lang w:val="sk"/>
        </w:rPr>
        <w:t xml:space="preserve"> Za pravdepodobnú príčinu týchto prípadov bol považovaný fenomén </w:t>
      </w:r>
      <w:proofErr w:type="spellStart"/>
      <w:r>
        <w:rPr>
          <w:lang w:val="sk"/>
        </w:rPr>
        <w:t>hemodilúcie</w:t>
      </w:r>
      <w:proofErr w:type="spellEnd"/>
      <w:r>
        <w:rPr>
          <w:lang w:val="sk"/>
        </w:rPr>
        <w:t xml:space="preserve">, nie </w:t>
      </w:r>
      <w:proofErr w:type="spellStart"/>
      <w:r>
        <w:rPr>
          <w:lang w:val="sk"/>
        </w:rPr>
        <w:t>hemolýza</w:t>
      </w:r>
      <w:proofErr w:type="spellEnd"/>
      <w:r>
        <w:rPr>
          <w:lang w:val="sk"/>
        </w:rPr>
        <w:t xml:space="preserve"> v dôsledku infúzií </w:t>
      </w:r>
      <w:proofErr w:type="spellStart"/>
      <w:r>
        <w:rPr>
          <w:lang w:val="sk"/>
        </w:rPr>
        <w:t>Nanogam</w:t>
      </w:r>
      <w:r w:rsidR="007F4E19">
        <w:rPr>
          <w:lang w:val="sk"/>
        </w:rPr>
        <w:t>u</w:t>
      </w:r>
      <w:proofErr w:type="spellEnd"/>
      <w:r>
        <w:rPr>
          <w:lang w:val="sk"/>
        </w:rPr>
        <w:t>.</w:t>
      </w:r>
    </w:p>
    <w:p w14:paraId="14E7F75F" w14:textId="23C163F5" w:rsidR="00E9094D" w:rsidRPr="009D5931" w:rsidRDefault="00E9094D" w:rsidP="00E9094D">
      <w:pPr>
        <w:rPr>
          <w:lang w:val="sk"/>
        </w:rPr>
      </w:pPr>
      <w:r>
        <w:rPr>
          <w:lang w:val="sk"/>
        </w:rPr>
        <w:t xml:space="preserve">V klinických skúšaniach s </w:t>
      </w:r>
      <w:proofErr w:type="spellStart"/>
      <w:r>
        <w:rPr>
          <w:lang w:val="sk"/>
        </w:rPr>
        <w:t>Nanogam</w:t>
      </w:r>
      <w:r w:rsidR="005F7440">
        <w:rPr>
          <w:lang w:val="sk"/>
        </w:rPr>
        <w:t>om</w:t>
      </w:r>
      <w:proofErr w:type="spellEnd"/>
      <w:r>
        <w:rPr>
          <w:lang w:val="sk"/>
        </w:rPr>
        <w:t xml:space="preserve"> 100 mg/ml u pacientov s PID došlo k 33 AE spojených s liečbou u 16 pacientov (69,6 %). Neboli zistené žiadne významné rozdiely vo frekvencii ani </w:t>
      </w:r>
      <w:proofErr w:type="spellStart"/>
      <w:r>
        <w:rPr>
          <w:lang w:val="sk"/>
        </w:rPr>
        <w:t>incidencii</w:t>
      </w:r>
      <w:proofErr w:type="spellEnd"/>
      <w:r>
        <w:rPr>
          <w:lang w:val="sk"/>
        </w:rPr>
        <w:t xml:space="preserve"> AE podľa tried orgánových systémov (</w:t>
      </w:r>
      <w:proofErr w:type="spellStart"/>
      <w:r w:rsidR="005F7440" w:rsidRPr="00AD4BA5">
        <w:rPr>
          <w:lang w:val="sk"/>
        </w:rPr>
        <w:t>System</w:t>
      </w:r>
      <w:proofErr w:type="spellEnd"/>
      <w:r w:rsidR="005F7440" w:rsidRPr="00AD4BA5">
        <w:rPr>
          <w:lang w:val="sk"/>
        </w:rPr>
        <w:t xml:space="preserve"> Organ </w:t>
      </w:r>
      <w:proofErr w:type="spellStart"/>
      <w:r w:rsidR="005F7440" w:rsidRPr="00AD4BA5">
        <w:rPr>
          <w:lang w:val="sk"/>
        </w:rPr>
        <w:t>Class</w:t>
      </w:r>
      <w:proofErr w:type="spellEnd"/>
      <w:r w:rsidR="005F7440" w:rsidRPr="00AD4BA5">
        <w:rPr>
          <w:lang w:val="sk"/>
        </w:rPr>
        <w:t xml:space="preserve">, </w:t>
      </w:r>
      <w:r>
        <w:rPr>
          <w:lang w:val="sk"/>
        </w:rPr>
        <w:t xml:space="preserve">SOC) medzi liečbou  </w:t>
      </w:r>
      <w:proofErr w:type="spellStart"/>
      <w:r>
        <w:rPr>
          <w:lang w:val="sk"/>
        </w:rPr>
        <w:t>Nanogam</w:t>
      </w:r>
      <w:r w:rsidR="005F7440">
        <w:rPr>
          <w:lang w:val="sk"/>
        </w:rPr>
        <w:t>om</w:t>
      </w:r>
      <w:proofErr w:type="spellEnd"/>
      <w:r>
        <w:rPr>
          <w:lang w:val="sk"/>
        </w:rPr>
        <w:t xml:space="preserve"> 50 mg/ml (obdobie 1) a </w:t>
      </w:r>
      <w:proofErr w:type="spellStart"/>
      <w:r>
        <w:rPr>
          <w:lang w:val="sk"/>
        </w:rPr>
        <w:t>Nanogam</w:t>
      </w:r>
      <w:proofErr w:type="spellEnd"/>
      <w:r>
        <w:rPr>
          <w:lang w:val="sk"/>
        </w:rPr>
        <w:t xml:space="preserve"> 100 mg/ml (obdobia 2 až 5). </w:t>
      </w:r>
      <w:r w:rsidR="005F7440">
        <w:rPr>
          <w:lang w:val="sk"/>
        </w:rPr>
        <w:t xml:space="preserve"> Tri z </w:t>
      </w:r>
      <w:r>
        <w:rPr>
          <w:lang w:val="sk"/>
        </w:rPr>
        <w:t xml:space="preserve">33 AE boli skúšajúcim považované za potenciálne spojené s  </w:t>
      </w:r>
      <w:proofErr w:type="spellStart"/>
      <w:r>
        <w:rPr>
          <w:lang w:val="sk"/>
        </w:rPr>
        <w:t>Nanogam</w:t>
      </w:r>
      <w:r w:rsidR="005F7440">
        <w:rPr>
          <w:lang w:val="sk"/>
        </w:rPr>
        <w:t>om</w:t>
      </w:r>
      <w:proofErr w:type="spellEnd"/>
      <w:r>
        <w:rPr>
          <w:lang w:val="sk"/>
        </w:rPr>
        <w:t xml:space="preserve"> 100 mg/ml. Tieto AE zahŕňali tri prípady </w:t>
      </w:r>
      <w:proofErr w:type="spellStart"/>
      <w:r>
        <w:rPr>
          <w:lang w:val="sk"/>
        </w:rPr>
        <w:t>leukopénie</w:t>
      </w:r>
      <w:proofErr w:type="spellEnd"/>
      <w:r>
        <w:rPr>
          <w:lang w:val="sk"/>
        </w:rPr>
        <w:t xml:space="preserve"> (&lt; 4,0 * 10</w:t>
      </w:r>
      <w:r>
        <w:rPr>
          <w:vertAlign w:val="superscript"/>
          <w:lang w:val="sk"/>
        </w:rPr>
        <w:t>9</w:t>
      </w:r>
      <w:r>
        <w:rPr>
          <w:lang w:val="sk"/>
        </w:rPr>
        <w:t xml:space="preserve">/l) po infúzii </w:t>
      </w:r>
      <w:proofErr w:type="spellStart"/>
      <w:r>
        <w:rPr>
          <w:lang w:val="sk"/>
        </w:rPr>
        <w:t>Nanogam</w:t>
      </w:r>
      <w:r w:rsidR="005F7440">
        <w:rPr>
          <w:lang w:val="sk"/>
        </w:rPr>
        <w:t>u</w:t>
      </w:r>
      <w:proofErr w:type="spellEnd"/>
      <w:r>
        <w:rPr>
          <w:lang w:val="sk"/>
        </w:rPr>
        <w:t xml:space="preserve"> 100 mg/ml u dvoch pacientov. Hlásené prípady </w:t>
      </w:r>
      <w:proofErr w:type="spellStart"/>
      <w:r>
        <w:rPr>
          <w:lang w:val="sk"/>
        </w:rPr>
        <w:t>leukopénie</w:t>
      </w:r>
      <w:proofErr w:type="spellEnd"/>
      <w:r>
        <w:rPr>
          <w:lang w:val="sk"/>
        </w:rPr>
        <w:t xml:space="preserve"> boli miernej intenzity a bez klinických príznakov.</w:t>
      </w:r>
    </w:p>
    <w:p w14:paraId="2209A751" w14:textId="77777777" w:rsidR="00475838" w:rsidRPr="009D5931" w:rsidRDefault="00CD27A9" w:rsidP="00782B0B">
      <w:pPr>
        <w:rPr>
          <w:u w:val="single"/>
          <w:lang w:val="sk"/>
        </w:rPr>
      </w:pPr>
      <w:r>
        <w:rPr>
          <w:u w:val="single"/>
          <w:lang w:val="sk"/>
        </w:rPr>
        <w:t>Tabuľkový zoznam nežiaducich účinkov</w:t>
      </w:r>
    </w:p>
    <w:p w14:paraId="6764A3EB" w14:textId="77777777" w:rsidR="00475838" w:rsidRPr="009D5931" w:rsidRDefault="006F405F" w:rsidP="00782B0B">
      <w:pPr>
        <w:rPr>
          <w:lang w:val="sk"/>
        </w:rPr>
      </w:pPr>
      <w:r>
        <w:rPr>
          <w:lang w:val="sk"/>
        </w:rPr>
        <w:t xml:space="preserve">Tabuľka nižšie používa klasifikáciu orgánových systémov </w:t>
      </w:r>
      <w:proofErr w:type="spellStart"/>
      <w:r>
        <w:rPr>
          <w:lang w:val="sk"/>
        </w:rPr>
        <w:t>MedDRA</w:t>
      </w:r>
      <w:proofErr w:type="spellEnd"/>
      <w:r>
        <w:rPr>
          <w:lang w:val="sk"/>
        </w:rPr>
        <w:t xml:space="preserve"> (SOC a preferovaná terminológia pre úroveň). Frekvencie boli vyhodnotené podľa nasledujúcich intervalov: veľmi časté (≥ 1/10); časté (≥ 1/100 až &lt; 1/10); menej časté (≥ 1/1 000 až &lt; 1/100); zriedkavé (≥ 1/10 000 až &lt; 1/1 000); veľmi zriedkavé (&lt;1/10 000); neznáme (z dostupných údajov).</w:t>
      </w:r>
    </w:p>
    <w:p w14:paraId="1AF151E1" w14:textId="2483B1A0" w:rsidR="006F405F" w:rsidRPr="009D5931" w:rsidRDefault="006F405F" w:rsidP="00FF664F">
      <w:pPr>
        <w:rPr>
          <w:lang w:val="sk"/>
        </w:rPr>
      </w:pPr>
      <w:r>
        <w:rPr>
          <w:lang w:val="sk"/>
        </w:rPr>
        <w:t xml:space="preserve">V každej frekvenčnej skupine sú nežiaduce </w:t>
      </w:r>
      <w:r w:rsidR="00450224">
        <w:rPr>
          <w:lang w:val="sk"/>
        </w:rPr>
        <w:t>udalosti</w:t>
      </w:r>
      <w:r>
        <w:rPr>
          <w:lang w:val="sk"/>
        </w:rPr>
        <w:t xml:space="preserve"> uvádzané v poradí so znižujúcou závažnosťou.</w:t>
      </w:r>
    </w:p>
    <w:p w14:paraId="7E2F86ED" w14:textId="6179269A" w:rsidR="00D94F5A" w:rsidRPr="009D5931" w:rsidRDefault="00883269" w:rsidP="00950BA3">
      <w:pPr>
        <w:rPr>
          <w:lang w:val="sk"/>
        </w:rPr>
      </w:pPr>
      <w:r>
        <w:rPr>
          <w:b/>
          <w:bCs/>
          <w:lang w:val="sk"/>
        </w:rPr>
        <w:t xml:space="preserve">Frekvencia nežiaducich </w:t>
      </w:r>
      <w:r w:rsidR="00450224">
        <w:rPr>
          <w:b/>
          <w:bCs/>
          <w:lang w:val="sk"/>
        </w:rPr>
        <w:t>reakcií</w:t>
      </w:r>
      <w:r>
        <w:rPr>
          <w:b/>
          <w:bCs/>
          <w:lang w:val="sk"/>
        </w:rPr>
        <w:t xml:space="preserve"> (ADR) získaných zo sledovania  </w:t>
      </w:r>
      <w:proofErr w:type="spellStart"/>
      <w:r>
        <w:rPr>
          <w:b/>
          <w:bCs/>
          <w:lang w:val="sk"/>
        </w:rPr>
        <w:t>Nanogam</w:t>
      </w:r>
      <w:r w:rsidR="00450224">
        <w:rPr>
          <w:b/>
          <w:bCs/>
          <w:lang w:val="sk"/>
        </w:rPr>
        <w:t>u</w:t>
      </w:r>
      <w:proofErr w:type="spellEnd"/>
      <w:r>
        <w:rPr>
          <w:b/>
          <w:bCs/>
          <w:lang w:val="sk"/>
        </w:rPr>
        <w:t xml:space="preserve"> po uvedení na trh. </w:t>
      </w:r>
    </w:p>
    <w:tbl>
      <w:tblPr>
        <w:tblStyle w:val="Mriekatabuky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3838"/>
        <w:gridCol w:w="1469"/>
        <w:gridCol w:w="1633"/>
      </w:tblGrid>
      <w:tr w:rsidR="00B66B78" w:rsidRPr="00797642" w14:paraId="0EA71514" w14:textId="77777777" w:rsidTr="00142690">
        <w:trPr>
          <w:cantSplit/>
          <w:trHeight w:val="557"/>
          <w:tblHeader/>
        </w:trPr>
        <w:tc>
          <w:tcPr>
            <w:tcW w:w="1396" w:type="pct"/>
            <w:shd w:val="clear" w:color="auto" w:fill="FFFFFF" w:themeFill="background1"/>
          </w:tcPr>
          <w:p w14:paraId="646DEC69" w14:textId="77777777" w:rsidR="00B66B78" w:rsidRDefault="00B66B78" w:rsidP="00142690">
            <w:pPr>
              <w:spacing w:before="0" w:after="0"/>
              <w:rPr>
                <w:b/>
              </w:rPr>
            </w:pPr>
            <w:proofErr w:type="spellStart"/>
            <w:r>
              <w:rPr>
                <w:b/>
                <w:bCs/>
                <w:lang w:val="sk"/>
              </w:rPr>
              <w:t>MedDRA</w:t>
            </w:r>
            <w:proofErr w:type="spellEnd"/>
            <w:r>
              <w:rPr>
                <w:b/>
                <w:bCs/>
                <w:lang w:val="sk"/>
              </w:rPr>
              <w:t xml:space="preserve"> </w:t>
            </w:r>
          </w:p>
          <w:p w14:paraId="681375A6" w14:textId="77777777" w:rsidR="00B66B78" w:rsidRPr="00797642" w:rsidRDefault="00B66B78" w:rsidP="00142690">
            <w:pPr>
              <w:spacing w:before="0" w:after="0"/>
              <w:rPr>
                <w:b/>
              </w:rPr>
            </w:pPr>
            <w:r>
              <w:rPr>
                <w:b/>
                <w:bCs/>
                <w:lang w:val="sk"/>
              </w:rPr>
              <w:t>Trieda orgánových systémov (SOC)</w:t>
            </w:r>
          </w:p>
        </w:tc>
        <w:tc>
          <w:tcPr>
            <w:tcW w:w="1993" w:type="pct"/>
            <w:shd w:val="clear" w:color="auto" w:fill="FFFFFF" w:themeFill="background1"/>
          </w:tcPr>
          <w:p w14:paraId="4D9544A9" w14:textId="7FCAC66C" w:rsidR="00B66B78" w:rsidRPr="00797642" w:rsidRDefault="00B66B78" w:rsidP="00142690">
            <w:pPr>
              <w:spacing w:before="0" w:after="0"/>
              <w:rPr>
                <w:b/>
              </w:rPr>
            </w:pPr>
            <w:r>
              <w:rPr>
                <w:b/>
                <w:bCs/>
                <w:lang w:val="sk"/>
              </w:rPr>
              <w:t>Nežiaduc</w:t>
            </w:r>
            <w:r w:rsidR="00450224">
              <w:rPr>
                <w:b/>
                <w:bCs/>
                <w:lang w:val="sk"/>
              </w:rPr>
              <w:t>a reakcia</w:t>
            </w:r>
          </w:p>
        </w:tc>
        <w:tc>
          <w:tcPr>
            <w:tcW w:w="763" w:type="pct"/>
            <w:shd w:val="clear" w:color="auto" w:fill="FFFFFF" w:themeFill="background1"/>
          </w:tcPr>
          <w:p w14:paraId="7277DBB0" w14:textId="77777777" w:rsidR="00B66B78" w:rsidRPr="00797642" w:rsidRDefault="00B66B78" w:rsidP="00142690">
            <w:pPr>
              <w:spacing w:before="0" w:after="0"/>
              <w:rPr>
                <w:b/>
              </w:rPr>
            </w:pPr>
            <w:r>
              <w:rPr>
                <w:b/>
                <w:bCs/>
                <w:lang w:val="sk"/>
              </w:rPr>
              <w:t>Frekvencia na pacienta</w:t>
            </w:r>
          </w:p>
        </w:tc>
        <w:tc>
          <w:tcPr>
            <w:tcW w:w="848" w:type="pct"/>
            <w:shd w:val="clear" w:color="auto" w:fill="FFFFFF" w:themeFill="background1"/>
          </w:tcPr>
          <w:p w14:paraId="7B33D609" w14:textId="77777777" w:rsidR="00B66B78" w:rsidRPr="00797642" w:rsidRDefault="00B66B78" w:rsidP="00142690">
            <w:pPr>
              <w:spacing w:before="0" w:after="0"/>
              <w:rPr>
                <w:b/>
              </w:rPr>
            </w:pPr>
            <w:r>
              <w:rPr>
                <w:b/>
                <w:bCs/>
                <w:lang w:val="sk"/>
              </w:rPr>
              <w:t>Frekvencia na infúziu</w:t>
            </w:r>
          </w:p>
        </w:tc>
      </w:tr>
      <w:tr w:rsidR="00B66B78" w:rsidRPr="00797642" w14:paraId="4A600663" w14:textId="77777777" w:rsidTr="00142690">
        <w:tc>
          <w:tcPr>
            <w:tcW w:w="1396" w:type="pct"/>
            <w:shd w:val="clear" w:color="auto" w:fill="FFFFFF" w:themeFill="background1"/>
          </w:tcPr>
          <w:p w14:paraId="3AE052D8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 xml:space="preserve">Poruchy krvi a lymfatického systému </w:t>
            </w:r>
          </w:p>
        </w:tc>
        <w:tc>
          <w:tcPr>
            <w:tcW w:w="1993" w:type="pct"/>
            <w:shd w:val="clear" w:color="auto" w:fill="FFFFFF" w:themeFill="background1"/>
          </w:tcPr>
          <w:p w14:paraId="4AD6F33F" w14:textId="77777777" w:rsidR="00B66B78" w:rsidRPr="00797642" w:rsidRDefault="00B66B78" w:rsidP="00142690">
            <w:pPr>
              <w:spacing w:before="0" w:after="0"/>
            </w:pPr>
            <w:proofErr w:type="spellStart"/>
            <w:r>
              <w:rPr>
                <w:lang w:val="sk"/>
              </w:rPr>
              <w:t>Leukopénia</w:t>
            </w:r>
            <w:proofErr w:type="spellEnd"/>
            <w:r>
              <w:rPr>
                <w:lang w:val="sk"/>
              </w:rPr>
              <w:t xml:space="preserve">, </w:t>
            </w:r>
            <w:proofErr w:type="spellStart"/>
            <w:r>
              <w:rPr>
                <w:lang w:val="sk"/>
              </w:rPr>
              <w:t>neutropénia</w:t>
            </w:r>
            <w:proofErr w:type="spellEnd"/>
          </w:p>
        </w:tc>
        <w:tc>
          <w:tcPr>
            <w:tcW w:w="763" w:type="pct"/>
            <w:shd w:val="clear" w:color="auto" w:fill="FFFFFF" w:themeFill="background1"/>
          </w:tcPr>
          <w:p w14:paraId="333E9C5E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Menej časté</w:t>
            </w:r>
          </w:p>
        </w:tc>
        <w:tc>
          <w:tcPr>
            <w:tcW w:w="848" w:type="pct"/>
            <w:shd w:val="clear" w:color="auto" w:fill="FFFFFF" w:themeFill="background1"/>
          </w:tcPr>
          <w:p w14:paraId="04018BE2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Zriedkavé</w:t>
            </w:r>
          </w:p>
        </w:tc>
      </w:tr>
      <w:tr w:rsidR="00B66B78" w:rsidRPr="00797642" w14:paraId="26BC72BF" w14:textId="77777777" w:rsidTr="00142690">
        <w:trPr>
          <w:trHeight w:val="263"/>
        </w:trPr>
        <w:tc>
          <w:tcPr>
            <w:tcW w:w="1396" w:type="pct"/>
            <w:shd w:val="clear" w:color="auto" w:fill="FFFFFF" w:themeFill="background1"/>
          </w:tcPr>
          <w:p w14:paraId="60E1E106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Poruchy imunitného systému</w:t>
            </w:r>
          </w:p>
        </w:tc>
        <w:tc>
          <w:tcPr>
            <w:tcW w:w="1993" w:type="pct"/>
            <w:shd w:val="clear" w:color="auto" w:fill="FFFFFF" w:themeFill="background1"/>
          </w:tcPr>
          <w:p w14:paraId="548293F2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Reakcie z precitlivenosti</w:t>
            </w:r>
          </w:p>
        </w:tc>
        <w:tc>
          <w:tcPr>
            <w:tcW w:w="763" w:type="pct"/>
            <w:shd w:val="clear" w:color="auto" w:fill="FFFFFF" w:themeFill="background1"/>
          </w:tcPr>
          <w:p w14:paraId="307292EA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Časté</w:t>
            </w:r>
          </w:p>
        </w:tc>
        <w:tc>
          <w:tcPr>
            <w:tcW w:w="848" w:type="pct"/>
            <w:shd w:val="clear" w:color="auto" w:fill="FFFFFF" w:themeFill="background1"/>
          </w:tcPr>
          <w:p w14:paraId="367AF958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Menej časté</w:t>
            </w:r>
          </w:p>
        </w:tc>
      </w:tr>
      <w:tr w:rsidR="00B66B78" w:rsidRPr="00797642" w14:paraId="5E5F4AB4" w14:textId="77777777" w:rsidTr="00142690">
        <w:trPr>
          <w:trHeight w:val="310"/>
        </w:trPr>
        <w:tc>
          <w:tcPr>
            <w:tcW w:w="1396" w:type="pct"/>
            <w:vMerge w:val="restart"/>
            <w:shd w:val="clear" w:color="auto" w:fill="FFFFFF" w:themeFill="background1"/>
          </w:tcPr>
          <w:p w14:paraId="268AD1B2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Poruchy nervového systému</w:t>
            </w:r>
          </w:p>
        </w:tc>
        <w:tc>
          <w:tcPr>
            <w:tcW w:w="1993" w:type="pct"/>
            <w:shd w:val="clear" w:color="auto" w:fill="FFFFFF" w:themeFill="background1"/>
          </w:tcPr>
          <w:p w14:paraId="369B5801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Migréna</w:t>
            </w:r>
          </w:p>
        </w:tc>
        <w:tc>
          <w:tcPr>
            <w:tcW w:w="763" w:type="pct"/>
            <w:shd w:val="clear" w:color="auto" w:fill="FFFFFF" w:themeFill="background1"/>
          </w:tcPr>
          <w:p w14:paraId="008BFD00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Menej časté</w:t>
            </w:r>
          </w:p>
        </w:tc>
        <w:tc>
          <w:tcPr>
            <w:tcW w:w="848" w:type="pct"/>
            <w:shd w:val="clear" w:color="auto" w:fill="FFFFFF" w:themeFill="background1"/>
          </w:tcPr>
          <w:p w14:paraId="1575AC4A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Zriedkavé</w:t>
            </w:r>
          </w:p>
        </w:tc>
      </w:tr>
      <w:tr w:rsidR="00B66B78" w:rsidRPr="00797642" w14:paraId="00B9CBCB" w14:textId="77777777" w:rsidTr="00142690">
        <w:tc>
          <w:tcPr>
            <w:tcW w:w="1396" w:type="pct"/>
            <w:vMerge/>
            <w:shd w:val="clear" w:color="auto" w:fill="FFFFFF" w:themeFill="background1"/>
          </w:tcPr>
          <w:p w14:paraId="08C1CD19" w14:textId="77777777" w:rsidR="00B66B78" w:rsidRPr="00797642" w:rsidRDefault="00B66B78" w:rsidP="00142690">
            <w:pPr>
              <w:spacing w:before="0" w:after="0"/>
            </w:pPr>
          </w:p>
        </w:tc>
        <w:tc>
          <w:tcPr>
            <w:tcW w:w="1993" w:type="pct"/>
            <w:shd w:val="clear" w:color="auto" w:fill="FFFFFF" w:themeFill="background1"/>
          </w:tcPr>
          <w:p w14:paraId="0DE5F0E2" w14:textId="212B0D54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Boles</w:t>
            </w:r>
            <w:r w:rsidR="00450224">
              <w:rPr>
                <w:lang w:val="sk"/>
              </w:rPr>
              <w:t>ť</w:t>
            </w:r>
            <w:r>
              <w:rPr>
                <w:lang w:val="sk"/>
              </w:rPr>
              <w:t xml:space="preserve"> hlavy</w:t>
            </w:r>
          </w:p>
        </w:tc>
        <w:tc>
          <w:tcPr>
            <w:tcW w:w="763" w:type="pct"/>
            <w:shd w:val="clear" w:color="auto" w:fill="FFFFFF" w:themeFill="background1"/>
          </w:tcPr>
          <w:p w14:paraId="4956B570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Časté</w:t>
            </w:r>
          </w:p>
        </w:tc>
        <w:tc>
          <w:tcPr>
            <w:tcW w:w="848" w:type="pct"/>
            <w:shd w:val="clear" w:color="auto" w:fill="FFFFFF" w:themeFill="background1"/>
          </w:tcPr>
          <w:p w14:paraId="1E7B7164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Menej časté</w:t>
            </w:r>
          </w:p>
        </w:tc>
      </w:tr>
      <w:tr w:rsidR="00B66B78" w:rsidRPr="00797642" w14:paraId="66816A0E" w14:textId="77777777" w:rsidTr="00142690">
        <w:trPr>
          <w:trHeight w:val="234"/>
        </w:trPr>
        <w:tc>
          <w:tcPr>
            <w:tcW w:w="1396" w:type="pct"/>
            <w:vMerge/>
            <w:shd w:val="clear" w:color="auto" w:fill="FFFFFF" w:themeFill="background1"/>
          </w:tcPr>
          <w:p w14:paraId="72CBE2A4" w14:textId="77777777" w:rsidR="00B66B78" w:rsidRPr="00797642" w:rsidRDefault="00B66B78" w:rsidP="00142690">
            <w:pPr>
              <w:spacing w:before="0" w:after="0"/>
            </w:pPr>
          </w:p>
        </w:tc>
        <w:tc>
          <w:tcPr>
            <w:tcW w:w="1993" w:type="pct"/>
            <w:shd w:val="clear" w:color="auto" w:fill="FFFFFF" w:themeFill="background1"/>
          </w:tcPr>
          <w:p w14:paraId="12C29AC1" w14:textId="0BAB1F2B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Závrat</w:t>
            </w:r>
          </w:p>
        </w:tc>
        <w:tc>
          <w:tcPr>
            <w:tcW w:w="763" w:type="pct"/>
            <w:shd w:val="clear" w:color="auto" w:fill="FFFFFF" w:themeFill="background1"/>
          </w:tcPr>
          <w:p w14:paraId="4EB78FCA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Menej časté</w:t>
            </w:r>
          </w:p>
        </w:tc>
        <w:tc>
          <w:tcPr>
            <w:tcW w:w="848" w:type="pct"/>
            <w:shd w:val="clear" w:color="auto" w:fill="FFFFFF" w:themeFill="background1"/>
          </w:tcPr>
          <w:p w14:paraId="731422A1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Zriedkavé</w:t>
            </w:r>
          </w:p>
        </w:tc>
      </w:tr>
      <w:tr w:rsidR="00B66B78" w:rsidRPr="00797642" w14:paraId="6C955928" w14:textId="77777777" w:rsidTr="00142690">
        <w:tc>
          <w:tcPr>
            <w:tcW w:w="1396" w:type="pct"/>
            <w:shd w:val="clear" w:color="auto" w:fill="FFFFFF" w:themeFill="background1"/>
          </w:tcPr>
          <w:p w14:paraId="0DCE86C3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Poruchy srdca a srdcovej činnosti</w:t>
            </w:r>
          </w:p>
        </w:tc>
        <w:tc>
          <w:tcPr>
            <w:tcW w:w="1993" w:type="pct"/>
            <w:shd w:val="clear" w:color="auto" w:fill="FFFFFF" w:themeFill="background1"/>
          </w:tcPr>
          <w:p w14:paraId="47149AFD" w14:textId="77777777" w:rsidR="00B66B78" w:rsidRPr="00797642" w:rsidRDefault="00B66B78" w:rsidP="00142690">
            <w:pPr>
              <w:spacing w:before="0" w:after="0"/>
            </w:pPr>
            <w:proofErr w:type="spellStart"/>
            <w:r>
              <w:rPr>
                <w:lang w:val="sk"/>
              </w:rPr>
              <w:t>Palpitácie</w:t>
            </w:r>
            <w:proofErr w:type="spellEnd"/>
            <w:r>
              <w:rPr>
                <w:lang w:val="sk"/>
              </w:rPr>
              <w:t xml:space="preserve">, </w:t>
            </w:r>
            <w:proofErr w:type="spellStart"/>
            <w:r>
              <w:rPr>
                <w:lang w:val="sk"/>
              </w:rPr>
              <w:t>tachykardia</w:t>
            </w:r>
            <w:proofErr w:type="spellEnd"/>
          </w:p>
        </w:tc>
        <w:tc>
          <w:tcPr>
            <w:tcW w:w="763" w:type="pct"/>
            <w:shd w:val="clear" w:color="auto" w:fill="FFFFFF" w:themeFill="background1"/>
          </w:tcPr>
          <w:p w14:paraId="7C8AC5EE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Menej časté</w:t>
            </w:r>
          </w:p>
        </w:tc>
        <w:tc>
          <w:tcPr>
            <w:tcW w:w="848" w:type="pct"/>
            <w:shd w:val="clear" w:color="auto" w:fill="FFFFFF" w:themeFill="background1"/>
          </w:tcPr>
          <w:p w14:paraId="72D83C7C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Zriedkavé</w:t>
            </w:r>
          </w:p>
        </w:tc>
      </w:tr>
      <w:tr w:rsidR="00B66B78" w:rsidRPr="00797642" w14:paraId="6F5AEAEE" w14:textId="77777777" w:rsidTr="00142690">
        <w:trPr>
          <w:trHeight w:val="344"/>
        </w:trPr>
        <w:tc>
          <w:tcPr>
            <w:tcW w:w="1396" w:type="pct"/>
            <w:shd w:val="clear" w:color="auto" w:fill="FFFFFF" w:themeFill="background1"/>
          </w:tcPr>
          <w:p w14:paraId="388A33F7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Poruchy ciev</w:t>
            </w:r>
          </w:p>
        </w:tc>
        <w:tc>
          <w:tcPr>
            <w:tcW w:w="1993" w:type="pct"/>
            <w:shd w:val="clear" w:color="auto" w:fill="FFFFFF" w:themeFill="background1"/>
          </w:tcPr>
          <w:p w14:paraId="28F85BE1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Hypertenzia, hypotenzia</w:t>
            </w:r>
          </w:p>
        </w:tc>
        <w:tc>
          <w:tcPr>
            <w:tcW w:w="763" w:type="pct"/>
            <w:shd w:val="clear" w:color="auto" w:fill="FFFFFF" w:themeFill="background1"/>
          </w:tcPr>
          <w:p w14:paraId="5AE995B6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Menej časté</w:t>
            </w:r>
          </w:p>
        </w:tc>
        <w:tc>
          <w:tcPr>
            <w:tcW w:w="848" w:type="pct"/>
            <w:shd w:val="clear" w:color="auto" w:fill="FFFFFF" w:themeFill="background1"/>
          </w:tcPr>
          <w:p w14:paraId="4E215230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Zriedkavé</w:t>
            </w:r>
          </w:p>
        </w:tc>
      </w:tr>
      <w:tr w:rsidR="00B66B78" w:rsidRPr="00797642" w14:paraId="651363E6" w14:textId="77777777" w:rsidTr="00142690">
        <w:trPr>
          <w:trHeight w:val="529"/>
        </w:trPr>
        <w:tc>
          <w:tcPr>
            <w:tcW w:w="1396" w:type="pct"/>
            <w:shd w:val="clear" w:color="auto" w:fill="FFFFFF" w:themeFill="background1"/>
          </w:tcPr>
          <w:p w14:paraId="0DF39118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 xml:space="preserve">Poruchy dýchacej sústavy, hrudníka a </w:t>
            </w:r>
            <w:proofErr w:type="spellStart"/>
            <w:r>
              <w:rPr>
                <w:lang w:val="sk"/>
              </w:rPr>
              <w:t>mediastína</w:t>
            </w:r>
            <w:proofErr w:type="spellEnd"/>
          </w:p>
        </w:tc>
        <w:tc>
          <w:tcPr>
            <w:tcW w:w="1993" w:type="pct"/>
            <w:shd w:val="clear" w:color="auto" w:fill="FFFFFF" w:themeFill="background1"/>
          </w:tcPr>
          <w:p w14:paraId="5411F718" w14:textId="77777777" w:rsidR="00B66B78" w:rsidRPr="00797642" w:rsidRDefault="00B66B78" w:rsidP="00142690">
            <w:pPr>
              <w:spacing w:before="0" w:after="0"/>
            </w:pPr>
            <w:proofErr w:type="spellStart"/>
            <w:r>
              <w:rPr>
                <w:lang w:val="sk"/>
              </w:rPr>
              <w:t>Dyspnoe</w:t>
            </w:r>
            <w:proofErr w:type="spellEnd"/>
          </w:p>
        </w:tc>
        <w:tc>
          <w:tcPr>
            <w:tcW w:w="763" w:type="pct"/>
            <w:shd w:val="clear" w:color="auto" w:fill="FFFFFF" w:themeFill="background1"/>
          </w:tcPr>
          <w:p w14:paraId="50414875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Menej časté</w:t>
            </w:r>
          </w:p>
        </w:tc>
        <w:tc>
          <w:tcPr>
            <w:tcW w:w="848" w:type="pct"/>
            <w:shd w:val="clear" w:color="auto" w:fill="FFFFFF" w:themeFill="background1"/>
          </w:tcPr>
          <w:p w14:paraId="73858A31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Zriedkavé</w:t>
            </w:r>
          </w:p>
        </w:tc>
      </w:tr>
      <w:tr w:rsidR="00B66B78" w:rsidRPr="00797642" w14:paraId="7DD38A87" w14:textId="77777777" w:rsidTr="00142690">
        <w:tc>
          <w:tcPr>
            <w:tcW w:w="1396" w:type="pct"/>
            <w:vMerge w:val="restart"/>
            <w:shd w:val="clear" w:color="auto" w:fill="FFFFFF" w:themeFill="background1"/>
          </w:tcPr>
          <w:p w14:paraId="33EC5030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 xml:space="preserve">Poruchy </w:t>
            </w:r>
            <w:proofErr w:type="spellStart"/>
            <w:r>
              <w:rPr>
                <w:lang w:val="sk"/>
              </w:rPr>
              <w:t>gastrointestinálneho</w:t>
            </w:r>
            <w:proofErr w:type="spellEnd"/>
            <w:r>
              <w:rPr>
                <w:lang w:val="sk"/>
              </w:rPr>
              <w:t xml:space="preserve"> traktu</w:t>
            </w:r>
          </w:p>
        </w:tc>
        <w:tc>
          <w:tcPr>
            <w:tcW w:w="1993" w:type="pct"/>
            <w:shd w:val="clear" w:color="auto" w:fill="FFFFFF" w:themeFill="background1"/>
          </w:tcPr>
          <w:p w14:paraId="0BCD0EEB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Hnačka</w:t>
            </w:r>
          </w:p>
        </w:tc>
        <w:tc>
          <w:tcPr>
            <w:tcW w:w="763" w:type="pct"/>
            <w:shd w:val="clear" w:color="auto" w:fill="FFFFFF" w:themeFill="background1"/>
          </w:tcPr>
          <w:p w14:paraId="54C1F9CD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Menej časté</w:t>
            </w:r>
          </w:p>
        </w:tc>
        <w:tc>
          <w:tcPr>
            <w:tcW w:w="848" w:type="pct"/>
            <w:shd w:val="clear" w:color="auto" w:fill="FFFFFF" w:themeFill="background1"/>
          </w:tcPr>
          <w:p w14:paraId="309922A9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Zriedkavé</w:t>
            </w:r>
          </w:p>
        </w:tc>
      </w:tr>
      <w:tr w:rsidR="00B66B78" w:rsidRPr="00797642" w14:paraId="507457D7" w14:textId="77777777" w:rsidTr="00142690">
        <w:trPr>
          <w:trHeight w:val="308"/>
        </w:trPr>
        <w:tc>
          <w:tcPr>
            <w:tcW w:w="1396" w:type="pct"/>
            <w:vMerge/>
            <w:shd w:val="clear" w:color="auto" w:fill="FFFFFF" w:themeFill="background1"/>
          </w:tcPr>
          <w:p w14:paraId="377654C7" w14:textId="77777777" w:rsidR="00B66B78" w:rsidRPr="00797642" w:rsidRDefault="00B66B78" w:rsidP="00142690">
            <w:pPr>
              <w:spacing w:before="0" w:after="0"/>
            </w:pPr>
          </w:p>
        </w:tc>
        <w:tc>
          <w:tcPr>
            <w:tcW w:w="1993" w:type="pct"/>
            <w:shd w:val="clear" w:color="auto" w:fill="FFFFFF" w:themeFill="background1"/>
          </w:tcPr>
          <w:p w14:paraId="519F3A52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Nevoľnosť</w:t>
            </w:r>
          </w:p>
        </w:tc>
        <w:tc>
          <w:tcPr>
            <w:tcW w:w="763" w:type="pct"/>
            <w:shd w:val="clear" w:color="auto" w:fill="FFFFFF" w:themeFill="background1"/>
          </w:tcPr>
          <w:p w14:paraId="648D486F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Časté</w:t>
            </w:r>
          </w:p>
        </w:tc>
        <w:tc>
          <w:tcPr>
            <w:tcW w:w="848" w:type="pct"/>
            <w:shd w:val="clear" w:color="auto" w:fill="FFFFFF" w:themeFill="background1"/>
          </w:tcPr>
          <w:p w14:paraId="1B20B2B4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Menej časté</w:t>
            </w:r>
          </w:p>
        </w:tc>
      </w:tr>
      <w:tr w:rsidR="00B66B78" w:rsidRPr="00797642" w14:paraId="5EF0CE4F" w14:textId="77777777" w:rsidTr="00142690">
        <w:trPr>
          <w:trHeight w:val="386"/>
        </w:trPr>
        <w:tc>
          <w:tcPr>
            <w:tcW w:w="1396" w:type="pct"/>
            <w:vMerge w:val="restart"/>
            <w:shd w:val="clear" w:color="auto" w:fill="FFFFFF" w:themeFill="background1"/>
          </w:tcPr>
          <w:p w14:paraId="1A5AB2A4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Poruchy kože a podkožného tkaniva</w:t>
            </w:r>
          </w:p>
        </w:tc>
        <w:tc>
          <w:tcPr>
            <w:tcW w:w="1993" w:type="pct"/>
            <w:shd w:val="clear" w:color="auto" w:fill="FFFFFF" w:themeFill="background1"/>
          </w:tcPr>
          <w:p w14:paraId="248407C2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 xml:space="preserve">Kožné poruchy (vyrážka, </w:t>
            </w:r>
            <w:proofErr w:type="spellStart"/>
            <w:r>
              <w:rPr>
                <w:lang w:val="sk"/>
              </w:rPr>
              <w:t>erytém</w:t>
            </w:r>
            <w:proofErr w:type="spellEnd"/>
            <w:r>
              <w:rPr>
                <w:lang w:val="sk"/>
              </w:rPr>
              <w:t xml:space="preserve">, </w:t>
            </w:r>
            <w:proofErr w:type="spellStart"/>
            <w:r>
              <w:rPr>
                <w:lang w:val="sk"/>
              </w:rPr>
              <w:t>urtikária</w:t>
            </w:r>
            <w:proofErr w:type="spellEnd"/>
            <w:r>
              <w:rPr>
                <w:lang w:val="sk"/>
              </w:rPr>
              <w:t xml:space="preserve">, </w:t>
            </w:r>
            <w:proofErr w:type="spellStart"/>
            <w:r>
              <w:rPr>
                <w:lang w:val="sk"/>
              </w:rPr>
              <w:t>pruritus</w:t>
            </w:r>
            <w:proofErr w:type="spellEnd"/>
            <w:r>
              <w:rPr>
                <w:lang w:val="sk"/>
              </w:rPr>
              <w:t xml:space="preserve">, pľuzgiere, </w:t>
            </w:r>
            <w:proofErr w:type="spellStart"/>
            <w:r>
              <w:rPr>
                <w:lang w:val="sk"/>
              </w:rPr>
              <w:t>exfoliácia</w:t>
            </w:r>
            <w:proofErr w:type="spellEnd"/>
            <w:r>
              <w:rPr>
                <w:lang w:val="sk"/>
              </w:rPr>
              <w:t>)</w:t>
            </w:r>
          </w:p>
        </w:tc>
        <w:tc>
          <w:tcPr>
            <w:tcW w:w="763" w:type="pct"/>
            <w:shd w:val="clear" w:color="auto" w:fill="FFFFFF" w:themeFill="background1"/>
          </w:tcPr>
          <w:p w14:paraId="782A7092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Časté</w:t>
            </w:r>
          </w:p>
        </w:tc>
        <w:tc>
          <w:tcPr>
            <w:tcW w:w="848" w:type="pct"/>
            <w:shd w:val="clear" w:color="auto" w:fill="FFFFFF" w:themeFill="background1"/>
          </w:tcPr>
          <w:p w14:paraId="0F2D7BBE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Menej časté</w:t>
            </w:r>
          </w:p>
        </w:tc>
      </w:tr>
      <w:tr w:rsidR="00B66B78" w:rsidRPr="00797642" w14:paraId="0E3B2AFA" w14:textId="77777777" w:rsidTr="00142690">
        <w:trPr>
          <w:trHeight w:val="377"/>
        </w:trPr>
        <w:tc>
          <w:tcPr>
            <w:tcW w:w="1396" w:type="pct"/>
            <w:vMerge/>
            <w:shd w:val="clear" w:color="auto" w:fill="FFFFFF" w:themeFill="background1"/>
          </w:tcPr>
          <w:p w14:paraId="5727A5EF" w14:textId="77777777" w:rsidR="00B66B78" w:rsidRPr="00797642" w:rsidRDefault="00B66B78" w:rsidP="00142690">
            <w:pPr>
              <w:spacing w:before="0" w:after="0"/>
            </w:pPr>
          </w:p>
        </w:tc>
        <w:tc>
          <w:tcPr>
            <w:tcW w:w="1993" w:type="pct"/>
            <w:shd w:val="clear" w:color="auto" w:fill="FFFFFF" w:themeFill="background1"/>
          </w:tcPr>
          <w:p w14:paraId="2715979E" w14:textId="77777777" w:rsidR="00B66B78" w:rsidRPr="00797642" w:rsidRDefault="00B66B78" w:rsidP="00142690">
            <w:pPr>
              <w:spacing w:before="0" w:after="0"/>
            </w:pPr>
            <w:proofErr w:type="spellStart"/>
            <w:r>
              <w:rPr>
                <w:lang w:val="sk"/>
              </w:rPr>
              <w:t>Hyperhidróza</w:t>
            </w:r>
            <w:proofErr w:type="spellEnd"/>
          </w:p>
        </w:tc>
        <w:tc>
          <w:tcPr>
            <w:tcW w:w="763" w:type="pct"/>
            <w:shd w:val="clear" w:color="auto" w:fill="FFFFFF" w:themeFill="background1"/>
          </w:tcPr>
          <w:p w14:paraId="0266616B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Menej časté</w:t>
            </w:r>
          </w:p>
        </w:tc>
        <w:tc>
          <w:tcPr>
            <w:tcW w:w="848" w:type="pct"/>
            <w:shd w:val="clear" w:color="auto" w:fill="FFFFFF" w:themeFill="background1"/>
          </w:tcPr>
          <w:p w14:paraId="2CB3F142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Zriedkavé</w:t>
            </w:r>
          </w:p>
        </w:tc>
      </w:tr>
      <w:tr w:rsidR="00B66B78" w:rsidRPr="00797642" w14:paraId="415CE78A" w14:textId="77777777" w:rsidTr="00142690">
        <w:trPr>
          <w:trHeight w:val="472"/>
        </w:trPr>
        <w:tc>
          <w:tcPr>
            <w:tcW w:w="1396" w:type="pct"/>
            <w:shd w:val="clear" w:color="auto" w:fill="FFFFFF" w:themeFill="background1"/>
          </w:tcPr>
          <w:p w14:paraId="0EEC7391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Poruchy kostrovej a svalovej sústavy a spojivového tkaniva</w:t>
            </w:r>
          </w:p>
        </w:tc>
        <w:tc>
          <w:tcPr>
            <w:tcW w:w="1993" w:type="pct"/>
            <w:shd w:val="clear" w:color="auto" w:fill="FFFFFF" w:themeFill="background1"/>
          </w:tcPr>
          <w:p w14:paraId="201A44BD" w14:textId="693CF331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Boles</w:t>
            </w:r>
            <w:r w:rsidR="00450224">
              <w:rPr>
                <w:lang w:val="sk"/>
              </w:rPr>
              <w:t>ť</w:t>
            </w:r>
            <w:r>
              <w:rPr>
                <w:lang w:val="sk"/>
              </w:rPr>
              <w:t xml:space="preserve"> chrbta, boles</w:t>
            </w:r>
            <w:r w:rsidR="00450224">
              <w:rPr>
                <w:lang w:val="sk"/>
              </w:rPr>
              <w:t>ť</w:t>
            </w:r>
            <w:r>
              <w:rPr>
                <w:lang w:val="sk"/>
              </w:rPr>
              <w:t xml:space="preserve"> krku, </w:t>
            </w:r>
            <w:proofErr w:type="spellStart"/>
            <w:r>
              <w:rPr>
                <w:lang w:val="sk"/>
              </w:rPr>
              <w:t>myalgia</w:t>
            </w:r>
            <w:proofErr w:type="spellEnd"/>
          </w:p>
        </w:tc>
        <w:tc>
          <w:tcPr>
            <w:tcW w:w="763" w:type="pct"/>
            <w:shd w:val="clear" w:color="auto" w:fill="FFFFFF" w:themeFill="background1"/>
          </w:tcPr>
          <w:p w14:paraId="2ACBCFF1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Časté</w:t>
            </w:r>
          </w:p>
        </w:tc>
        <w:tc>
          <w:tcPr>
            <w:tcW w:w="848" w:type="pct"/>
            <w:shd w:val="clear" w:color="auto" w:fill="FFFFFF" w:themeFill="background1"/>
          </w:tcPr>
          <w:p w14:paraId="67F51CC0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Menej časté</w:t>
            </w:r>
          </w:p>
        </w:tc>
      </w:tr>
      <w:tr w:rsidR="00B66B78" w:rsidRPr="00797642" w14:paraId="3A68CFE7" w14:textId="77777777" w:rsidTr="00142690">
        <w:trPr>
          <w:trHeight w:val="601"/>
        </w:trPr>
        <w:tc>
          <w:tcPr>
            <w:tcW w:w="1396" w:type="pct"/>
            <w:shd w:val="clear" w:color="auto" w:fill="FFFFFF" w:themeFill="background1"/>
          </w:tcPr>
          <w:p w14:paraId="242B614A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lastRenderedPageBreak/>
              <w:t>Celkové poruchy a reakcie v mieste podania</w:t>
            </w:r>
          </w:p>
        </w:tc>
        <w:tc>
          <w:tcPr>
            <w:tcW w:w="1993" w:type="pct"/>
            <w:shd w:val="clear" w:color="auto" w:fill="FFFFFF" w:themeFill="background1"/>
          </w:tcPr>
          <w:p w14:paraId="2F402AA7" w14:textId="4D247303" w:rsidR="00B66B78" w:rsidRPr="00797642" w:rsidRDefault="00B66B78" w:rsidP="00800D52">
            <w:pPr>
              <w:spacing w:before="0" w:after="0"/>
            </w:pPr>
            <w:r>
              <w:rPr>
                <w:lang w:val="sk"/>
              </w:rPr>
              <w:t xml:space="preserve">Celkové zhoršenie zdravotného stavu (únava, zimnica, </w:t>
            </w:r>
            <w:proofErr w:type="spellStart"/>
            <w:r>
              <w:rPr>
                <w:lang w:val="sk"/>
              </w:rPr>
              <w:t>pyrexia</w:t>
            </w:r>
            <w:proofErr w:type="spellEnd"/>
            <w:r>
              <w:rPr>
                <w:lang w:val="sk"/>
              </w:rPr>
              <w:t>, ochorenie</w:t>
            </w:r>
            <w:r w:rsidR="00450224">
              <w:rPr>
                <w:lang w:val="sk"/>
              </w:rPr>
              <w:t xml:space="preserve"> podobné chrípke</w:t>
            </w:r>
            <w:r>
              <w:rPr>
                <w:lang w:val="sk"/>
              </w:rPr>
              <w:t>)</w:t>
            </w:r>
          </w:p>
        </w:tc>
        <w:tc>
          <w:tcPr>
            <w:tcW w:w="763" w:type="pct"/>
            <w:shd w:val="clear" w:color="auto" w:fill="FFFFFF" w:themeFill="background1"/>
          </w:tcPr>
          <w:p w14:paraId="4BB1092E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Časté</w:t>
            </w:r>
          </w:p>
        </w:tc>
        <w:tc>
          <w:tcPr>
            <w:tcW w:w="848" w:type="pct"/>
            <w:shd w:val="clear" w:color="auto" w:fill="FFFFFF" w:themeFill="background1"/>
          </w:tcPr>
          <w:p w14:paraId="61BA129C" w14:textId="77777777" w:rsidR="00B66B78" w:rsidRPr="00797642" w:rsidRDefault="00B66B78" w:rsidP="00142690">
            <w:pPr>
              <w:spacing w:before="0" w:after="0"/>
            </w:pPr>
            <w:r>
              <w:rPr>
                <w:lang w:val="sk"/>
              </w:rPr>
              <w:t>Menej časté</w:t>
            </w:r>
          </w:p>
        </w:tc>
      </w:tr>
    </w:tbl>
    <w:p w14:paraId="45D7C442" w14:textId="1D606C40" w:rsidR="00B66B78" w:rsidRPr="00DF29EC" w:rsidRDefault="00B66B78" w:rsidP="00CF35BB">
      <w:pPr>
        <w:tabs>
          <w:tab w:val="left" w:pos="0"/>
          <w:tab w:val="left" w:pos="851"/>
        </w:tabs>
      </w:pPr>
    </w:p>
    <w:p w14:paraId="2C7ADD34" w14:textId="77777777" w:rsidR="009835DE" w:rsidRPr="005909A1" w:rsidRDefault="009835DE" w:rsidP="00FF664F">
      <w:r>
        <w:rPr>
          <w:lang w:val="sk"/>
        </w:rPr>
        <w:t>Bezpečnostné informácie o prenosných agensoch nájdete v časti 4.4.</w:t>
      </w:r>
    </w:p>
    <w:p w14:paraId="0084D981" w14:textId="77777777" w:rsidR="00043192" w:rsidRPr="006A0F5B" w:rsidRDefault="00043192" w:rsidP="00DD21A1">
      <w:pPr>
        <w:pStyle w:val="Zkladntext"/>
        <w:rPr>
          <w:b w:val="0"/>
          <w:i w:val="0"/>
          <w:u w:val="single"/>
        </w:rPr>
      </w:pPr>
      <w:r>
        <w:rPr>
          <w:b w:val="0"/>
          <w:i w:val="0"/>
          <w:u w:val="single"/>
          <w:lang w:val="sk"/>
        </w:rPr>
        <w:t>Pediatrická populácia</w:t>
      </w:r>
    </w:p>
    <w:p w14:paraId="0398D387" w14:textId="30AF191D" w:rsidR="00043192" w:rsidRPr="005909A1" w:rsidRDefault="00043192" w:rsidP="00DD21A1">
      <w:pPr>
        <w:pStyle w:val="Zkladntext"/>
        <w:spacing w:line="252" w:lineRule="exact"/>
        <w:ind w:right="217"/>
      </w:pPr>
      <w:r>
        <w:rPr>
          <w:b w:val="0"/>
          <w:i w:val="0"/>
          <w:lang w:val="sk"/>
        </w:rPr>
        <w:t>Frekvencia, typ a závažnosť nežiaducich reakcií u detí sú rovnaké ako u dospelých</w:t>
      </w:r>
      <w:r>
        <w:rPr>
          <w:bCs/>
          <w:i w:val="0"/>
          <w:lang w:val="sk"/>
        </w:rPr>
        <w:t>.</w:t>
      </w:r>
    </w:p>
    <w:p w14:paraId="18F79539" w14:textId="77777777" w:rsidR="00B721D0" w:rsidRPr="00A505F5" w:rsidRDefault="00B721D0" w:rsidP="00FF664F">
      <w:pPr>
        <w:pStyle w:val="Nadpis3"/>
      </w:pPr>
      <w:r>
        <w:rPr>
          <w:bCs w:val="0"/>
          <w:lang w:val="sk"/>
        </w:rPr>
        <w:t>Hlásenie podozrení na nežiaduce reakcie</w:t>
      </w:r>
    </w:p>
    <w:p w14:paraId="6D246D00" w14:textId="0EF70B13" w:rsidR="00B721D0" w:rsidRPr="009D5931" w:rsidRDefault="00B721D0" w:rsidP="00AD4BA5">
      <w:pPr>
        <w:autoSpaceDE w:val="0"/>
        <w:autoSpaceDN w:val="0"/>
        <w:adjustRightInd w:val="0"/>
        <w:rPr>
          <w:lang w:val="sk"/>
        </w:rPr>
      </w:pPr>
      <w:r>
        <w:rPr>
          <w:lang w:val="sk"/>
        </w:rPr>
        <w:t>Hlásenie podozrení na nežiaduce reakcie po registrácii lieku je dôležité. Umožňuje priebežné monitorovanie pomeru prínosu a rizika lieku. Od zdravotníckych pracovníkov sa vyžaduje, aby hlásili akékoľvek podozrenia na nežiaduce reakcie na</w:t>
      </w:r>
      <w:r w:rsidR="00684E3C">
        <w:rPr>
          <w:lang w:val="sk"/>
        </w:rPr>
        <w:t xml:space="preserve"> </w:t>
      </w:r>
      <w:r w:rsidR="000C391F" w:rsidRPr="00AD4BA5">
        <w:rPr>
          <w:highlight w:val="lightGray"/>
          <w:lang w:val="sk"/>
        </w:rPr>
        <w:t>národné centrum hlásenia uvedené v </w:t>
      </w:r>
      <w:hyperlink r:id="rId8" w:history="1">
        <w:r w:rsidR="000C391F" w:rsidRPr="00AD4BA5">
          <w:rPr>
            <w:rStyle w:val="Hypertextovprepojenie1"/>
            <w:highlight w:val="lightGray"/>
            <w:lang w:val="sk"/>
          </w:rPr>
          <w:t>Prílohe V</w:t>
        </w:r>
      </w:hyperlink>
      <w:r w:rsidR="000C391F" w:rsidRPr="00AD4BA5">
        <w:rPr>
          <w:color w:val="008000"/>
          <w:lang w:val="sk"/>
        </w:rPr>
        <w:t>.</w:t>
      </w:r>
    </w:p>
    <w:p w14:paraId="297689E6" w14:textId="77777777" w:rsidR="007B43D7" w:rsidRPr="009D5931" w:rsidRDefault="007B43D7" w:rsidP="00062519">
      <w:pPr>
        <w:pStyle w:val="Nadpis2"/>
        <w:rPr>
          <w:lang w:val="sk"/>
        </w:rPr>
      </w:pPr>
      <w:r>
        <w:rPr>
          <w:lang w:val="sk"/>
        </w:rPr>
        <w:t>4.9</w:t>
      </w:r>
      <w:r>
        <w:rPr>
          <w:lang w:val="sk"/>
        </w:rPr>
        <w:tab/>
        <w:t>Predávkovanie</w:t>
      </w:r>
    </w:p>
    <w:p w14:paraId="439513FF" w14:textId="17258E99" w:rsidR="00650FCB" w:rsidRDefault="007B43D7" w:rsidP="00973CB5">
      <w:pPr>
        <w:suppressAutoHyphens w:val="0"/>
        <w:autoSpaceDE w:val="0"/>
        <w:autoSpaceDN w:val="0"/>
        <w:adjustRightInd w:val="0"/>
        <w:spacing w:after="0"/>
        <w:rPr>
          <w:lang w:val="sk"/>
        </w:rPr>
      </w:pPr>
      <w:r>
        <w:rPr>
          <w:lang w:val="sk"/>
        </w:rPr>
        <w:t xml:space="preserve">Predávkovanie môže viesť k preťaženiu tekutinami a </w:t>
      </w:r>
      <w:proofErr w:type="spellStart"/>
      <w:r>
        <w:rPr>
          <w:lang w:val="sk"/>
        </w:rPr>
        <w:t>hyperviskozite</w:t>
      </w:r>
      <w:proofErr w:type="spellEnd"/>
      <w:r>
        <w:rPr>
          <w:lang w:val="sk"/>
        </w:rPr>
        <w:t xml:space="preserve">, predovšetkým u rizikových pacientov vrátane starších pacientov alebo pacientov s kardiálnou či </w:t>
      </w:r>
      <w:proofErr w:type="spellStart"/>
      <w:r>
        <w:rPr>
          <w:lang w:val="sk"/>
        </w:rPr>
        <w:t>renálnou</w:t>
      </w:r>
      <w:proofErr w:type="spellEnd"/>
      <w:r>
        <w:rPr>
          <w:lang w:val="sk"/>
        </w:rPr>
        <w:t xml:space="preserve"> dysfunkciou (pozri časť 4.4).</w:t>
      </w:r>
    </w:p>
    <w:p w14:paraId="6BA1D6EE" w14:textId="77777777" w:rsidR="00450224" w:rsidRPr="009D5931" w:rsidRDefault="00450224" w:rsidP="00973CB5">
      <w:pPr>
        <w:suppressAutoHyphens w:val="0"/>
        <w:autoSpaceDE w:val="0"/>
        <w:autoSpaceDN w:val="0"/>
        <w:adjustRightInd w:val="0"/>
        <w:spacing w:after="0"/>
        <w:rPr>
          <w:lang w:val="sk"/>
        </w:rPr>
      </w:pPr>
    </w:p>
    <w:p w14:paraId="492CF680" w14:textId="77777777" w:rsidR="007B43D7" w:rsidRPr="009D5931" w:rsidRDefault="007B43D7" w:rsidP="00FF664F">
      <w:pPr>
        <w:pStyle w:val="Nadpis1"/>
        <w:rPr>
          <w:lang w:val="sk"/>
        </w:rPr>
      </w:pPr>
      <w:r>
        <w:rPr>
          <w:lang w:val="sk"/>
        </w:rPr>
        <w:t>5.</w:t>
      </w:r>
      <w:r>
        <w:rPr>
          <w:lang w:val="sk"/>
        </w:rPr>
        <w:tab/>
        <w:t>FARMAKOLOGICKÉ VLASTNOSTI</w:t>
      </w:r>
    </w:p>
    <w:p w14:paraId="5CF976AC" w14:textId="77777777" w:rsidR="007B43D7" w:rsidRPr="009D5931" w:rsidRDefault="007B43D7" w:rsidP="00062519">
      <w:pPr>
        <w:pStyle w:val="Nadpis2"/>
        <w:rPr>
          <w:lang w:val="sk"/>
        </w:rPr>
      </w:pPr>
      <w:r>
        <w:rPr>
          <w:lang w:val="sk"/>
        </w:rPr>
        <w:t xml:space="preserve">5.1 </w:t>
      </w:r>
      <w:r>
        <w:rPr>
          <w:lang w:val="sk"/>
        </w:rPr>
        <w:tab/>
      </w:r>
      <w:proofErr w:type="spellStart"/>
      <w:r>
        <w:rPr>
          <w:lang w:val="sk"/>
        </w:rPr>
        <w:t>Farmakodynamické</w:t>
      </w:r>
      <w:proofErr w:type="spellEnd"/>
      <w:r>
        <w:rPr>
          <w:lang w:val="sk"/>
        </w:rPr>
        <w:t xml:space="preserve"> vlastnosti</w:t>
      </w:r>
    </w:p>
    <w:p w14:paraId="694A8D15" w14:textId="2B06BB4D" w:rsidR="007B43D7" w:rsidRPr="009D5931" w:rsidRDefault="007B43D7" w:rsidP="00FF664F">
      <w:pPr>
        <w:rPr>
          <w:lang w:val="sk"/>
        </w:rPr>
      </w:pPr>
      <w:proofErr w:type="spellStart"/>
      <w:r>
        <w:rPr>
          <w:lang w:val="sk"/>
        </w:rPr>
        <w:t>Farmakoterapeutická</w:t>
      </w:r>
      <w:proofErr w:type="spellEnd"/>
      <w:r>
        <w:rPr>
          <w:lang w:val="sk"/>
        </w:rPr>
        <w:t xml:space="preserve"> skupina: imunitné séra a </w:t>
      </w:r>
      <w:proofErr w:type="spellStart"/>
      <w:r>
        <w:rPr>
          <w:lang w:val="sk"/>
        </w:rPr>
        <w:t>imunoglobulíny</w:t>
      </w:r>
      <w:proofErr w:type="spellEnd"/>
      <w:r>
        <w:rPr>
          <w:lang w:val="sk"/>
        </w:rPr>
        <w:t xml:space="preserve">: </w:t>
      </w:r>
      <w:r w:rsidR="00154BF9">
        <w:rPr>
          <w:lang w:val="sk"/>
        </w:rPr>
        <w:t xml:space="preserve">normálne ľudské </w:t>
      </w:r>
      <w:proofErr w:type="spellStart"/>
      <w:r>
        <w:rPr>
          <w:lang w:val="sk"/>
        </w:rPr>
        <w:t>imunoglobulíny</w:t>
      </w:r>
      <w:proofErr w:type="spellEnd"/>
      <w:r w:rsidR="00154BF9">
        <w:rPr>
          <w:lang w:val="sk"/>
        </w:rPr>
        <w:t xml:space="preserve"> na intravenózne použitie</w:t>
      </w:r>
      <w:r>
        <w:rPr>
          <w:lang w:val="sk"/>
        </w:rPr>
        <w:t>, Kód ATC: J06BA02</w:t>
      </w:r>
    </w:p>
    <w:p w14:paraId="6C134E58" w14:textId="77777777" w:rsidR="007B43D7" w:rsidRPr="009D5931" w:rsidRDefault="007B43D7" w:rsidP="00FF664F">
      <w:pPr>
        <w:rPr>
          <w:lang w:val="sk"/>
        </w:rPr>
      </w:pPr>
      <w:r>
        <w:rPr>
          <w:lang w:val="sk"/>
        </w:rPr>
        <w:t xml:space="preserve">Normálny ľudský </w:t>
      </w:r>
      <w:proofErr w:type="spellStart"/>
      <w:r>
        <w:rPr>
          <w:lang w:val="sk"/>
        </w:rPr>
        <w:t>imunoglobulín</w:t>
      </w:r>
      <w:proofErr w:type="spellEnd"/>
      <w:r>
        <w:rPr>
          <w:lang w:val="sk"/>
        </w:rPr>
        <w:t xml:space="preserve"> obsahuje hlavne </w:t>
      </w:r>
      <w:proofErr w:type="spellStart"/>
      <w:r>
        <w:rPr>
          <w:lang w:val="sk"/>
        </w:rPr>
        <w:t>imunoglobulín</w:t>
      </w:r>
      <w:proofErr w:type="spellEnd"/>
      <w:r>
        <w:rPr>
          <w:lang w:val="sk"/>
        </w:rPr>
        <w:t xml:space="preserve"> G (</w:t>
      </w:r>
      <w:proofErr w:type="spellStart"/>
      <w:r>
        <w:rPr>
          <w:lang w:val="sk"/>
        </w:rPr>
        <w:t>IgG</w:t>
      </w:r>
      <w:proofErr w:type="spellEnd"/>
      <w:r>
        <w:rPr>
          <w:lang w:val="sk"/>
        </w:rPr>
        <w:t>) so širokým spektrom protilátok proti infekčným agensom.</w:t>
      </w:r>
    </w:p>
    <w:p w14:paraId="3BB17F81" w14:textId="77777777" w:rsidR="00557A38" w:rsidRPr="009D5931" w:rsidRDefault="007B43D7" w:rsidP="00FF664F">
      <w:pPr>
        <w:rPr>
          <w:lang w:val="sk"/>
        </w:rPr>
      </w:pPr>
      <w:r>
        <w:rPr>
          <w:lang w:val="sk"/>
        </w:rPr>
        <w:t xml:space="preserve">Normálny ľudský </w:t>
      </w:r>
      <w:proofErr w:type="spellStart"/>
      <w:r>
        <w:rPr>
          <w:lang w:val="sk"/>
        </w:rPr>
        <w:t>imunoglobulín</w:t>
      </w:r>
      <w:proofErr w:type="spellEnd"/>
      <w:r>
        <w:rPr>
          <w:lang w:val="sk"/>
        </w:rPr>
        <w:t xml:space="preserve"> obsahuje </w:t>
      </w:r>
      <w:proofErr w:type="spellStart"/>
      <w:r>
        <w:rPr>
          <w:lang w:val="sk"/>
        </w:rPr>
        <w:t>IgG</w:t>
      </w:r>
      <w:proofErr w:type="spellEnd"/>
      <w:r>
        <w:rPr>
          <w:lang w:val="sk"/>
        </w:rPr>
        <w:t xml:space="preserve"> protilátky prítomné v normálnej populácii. Obvykle sa pripravuje z plazmy z minimálne 1000 darovaných materiálov. Má distribúciu podtried </w:t>
      </w:r>
      <w:proofErr w:type="spellStart"/>
      <w:r>
        <w:rPr>
          <w:lang w:val="sk"/>
        </w:rPr>
        <w:t>imunoglobulínu</w:t>
      </w:r>
      <w:proofErr w:type="spellEnd"/>
      <w:r>
        <w:rPr>
          <w:lang w:val="sk"/>
        </w:rPr>
        <w:t xml:space="preserve"> G blížiacu sa pomeru v natívnej ľudskej plazme. Adekvátne dávky tohto liečiva môžu obnoviť abnormálne nízke hladiny </w:t>
      </w:r>
      <w:proofErr w:type="spellStart"/>
      <w:r>
        <w:rPr>
          <w:lang w:val="sk"/>
        </w:rPr>
        <w:t>imunoglobulínu</w:t>
      </w:r>
      <w:proofErr w:type="spellEnd"/>
      <w:r>
        <w:rPr>
          <w:lang w:val="sk"/>
        </w:rPr>
        <w:t xml:space="preserve"> G do normálneho rozmedzia. </w:t>
      </w:r>
    </w:p>
    <w:p w14:paraId="23754351" w14:textId="5F3A8D50" w:rsidR="007B43D7" w:rsidRPr="009D5931" w:rsidRDefault="007B43D7" w:rsidP="00FF664F">
      <w:pPr>
        <w:rPr>
          <w:lang w:val="sk"/>
        </w:rPr>
      </w:pPr>
      <w:r>
        <w:rPr>
          <w:lang w:val="sk"/>
        </w:rPr>
        <w:t xml:space="preserve">Mechanizmus účinku v iných indikáciách než náhradná terapia nie je </w:t>
      </w:r>
      <w:r w:rsidR="00154BF9">
        <w:rPr>
          <w:lang w:val="sk"/>
        </w:rPr>
        <w:t>ú</w:t>
      </w:r>
      <w:r>
        <w:rPr>
          <w:lang w:val="sk"/>
        </w:rPr>
        <w:t>plne objasnený.</w:t>
      </w:r>
    </w:p>
    <w:p w14:paraId="64A450E4" w14:textId="77777777" w:rsidR="00E9094D" w:rsidRPr="009D5931" w:rsidRDefault="00E9094D" w:rsidP="00E9094D">
      <w:pPr>
        <w:pStyle w:val="Nadpis3"/>
        <w:rPr>
          <w:lang w:val="sk"/>
        </w:rPr>
      </w:pPr>
      <w:r>
        <w:rPr>
          <w:bCs w:val="0"/>
          <w:lang w:val="sk"/>
        </w:rPr>
        <w:t>Klinické štúdie</w:t>
      </w:r>
    </w:p>
    <w:p w14:paraId="0EC02C33" w14:textId="521E2044" w:rsidR="00E9094D" w:rsidRPr="009D5931" w:rsidRDefault="00E9094D" w:rsidP="00E9094D">
      <w:pPr>
        <w:rPr>
          <w:lang w:val="sk"/>
        </w:rPr>
      </w:pPr>
      <w:r>
        <w:rPr>
          <w:lang w:val="sk"/>
        </w:rPr>
        <w:t xml:space="preserve">Prebehli dve </w:t>
      </w:r>
      <w:proofErr w:type="spellStart"/>
      <w:r>
        <w:rPr>
          <w:lang w:val="sk"/>
        </w:rPr>
        <w:t>prospektívne</w:t>
      </w:r>
      <w:proofErr w:type="spellEnd"/>
      <w:r>
        <w:rPr>
          <w:lang w:val="sk"/>
        </w:rPr>
        <w:t xml:space="preserve"> nekontrolované </w:t>
      </w:r>
      <w:proofErr w:type="spellStart"/>
      <w:r>
        <w:rPr>
          <w:lang w:val="sk"/>
        </w:rPr>
        <w:t>multicentrické</w:t>
      </w:r>
      <w:proofErr w:type="spellEnd"/>
      <w:r>
        <w:rPr>
          <w:lang w:val="sk"/>
        </w:rPr>
        <w:t xml:space="preserve"> štúdie s cieľom vyhodnotiť bezpečn</w:t>
      </w:r>
      <w:r w:rsidR="00666F49">
        <w:rPr>
          <w:lang w:val="sk"/>
        </w:rPr>
        <w:t xml:space="preserve">osť a účinnosť  </w:t>
      </w:r>
      <w:proofErr w:type="spellStart"/>
      <w:r w:rsidR="00666F49">
        <w:rPr>
          <w:lang w:val="sk"/>
        </w:rPr>
        <w:t>Nanogam</w:t>
      </w:r>
      <w:r w:rsidR="00904C6A">
        <w:rPr>
          <w:lang w:val="sk"/>
        </w:rPr>
        <w:t>u</w:t>
      </w:r>
      <w:proofErr w:type="spellEnd"/>
      <w:r w:rsidR="00666F49">
        <w:rPr>
          <w:lang w:val="sk"/>
        </w:rPr>
        <w:t xml:space="preserve"> 50 </w:t>
      </w:r>
      <w:r>
        <w:rPr>
          <w:lang w:val="sk"/>
        </w:rPr>
        <w:t xml:space="preserve">mg/ml. Celkovo bolo v klinických skúšaniach </w:t>
      </w:r>
      <w:r w:rsidR="00904C6A">
        <w:rPr>
          <w:lang w:val="sk"/>
        </w:rPr>
        <w:t>liek</w:t>
      </w:r>
      <w:r>
        <w:rPr>
          <w:lang w:val="sk"/>
        </w:rPr>
        <w:t xml:space="preserve">u vystavených 42 pacientov a dostali celkom 888 infúzií. </w:t>
      </w:r>
    </w:p>
    <w:p w14:paraId="7D6C4D2E" w14:textId="68C8B867" w:rsidR="00E9094D" w:rsidRPr="009D5931" w:rsidRDefault="00E9094D" w:rsidP="00E9094D">
      <w:pPr>
        <w:rPr>
          <w:lang w:val="sk"/>
        </w:rPr>
      </w:pPr>
      <w:r>
        <w:rPr>
          <w:lang w:val="sk"/>
        </w:rPr>
        <w:t xml:space="preserve">Štúdia primárnej </w:t>
      </w:r>
      <w:proofErr w:type="spellStart"/>
      <w:r>
        <w:rPr>
          <w:lang w:val="sk"/>
        </w:rPr>
        <w:t>imunodeficiencie</w:t>
      </w:r>
      <w:proofErr w:type="spellEnd"/>
      <w:r>
        <w:rPr>
          <w:lang w:val="sk"/>
        </w:rPr>
        <w:t xml:space="preserve"> (PID) pozostávala z dvoch častí. Do prvej časti (krátkodobé sledovanie / časť A) bolo zaradených 18 pacientov, ktorí podstúpili 6-mesačnú liečbu. Pacienti dostávali dávku v rozmedzí 150 až 400 mg/kg telesnej hmotnosti raz za 2 až 5 týždňov. Všetkých 18 pacientov (158 infúzií) dokončilo túto časť štúdie. Následne boli pacienti požiadaní o účasť v časti B, dlhodobom sledovaní účinnosti a bezpečnosti, kedy bol použitý rovnaký režim dávkovania. Táto časť pokračovala až do udelenia registrácie </w:t>
      </w:r>
      <w:proofErr w:type="spellStart"/>
      <w:r>
        <w:rPr>
          <w:lang w:val="sk"/>
        </w:rPr>
        <w:t>Nanogam</w:t>
      </w:r>
      <w:r w:rsidR="00904C6A">
        <w:rPr>
          <w:lang w:val="sk"/>
        </w:rPr>
        <w:t>u</w:t>
      </w:r>
      <w:proofErr w:type="spellEnd"/>
      <w:r>
        <w:rPr>
          <w:lang w:val="sk"/>
        </w:rPr>
        <w:t xml:space="preserve"> (3 roky po začatí časti B). Štrnásť (14) zo 17 pacientov dokončilo štúdiu (669 infúzií).</w:t>
      </w:r>
    </w:p>
    <w:p w14:paraId="3ED9E7CE" w14:textId="634BA6EF" w:rsidR="00E9094D" w:rsidRPr="009D5931" w:rsidRDefault="00E9094D" w:rsidP="00E9094D">
      <w:pPr>
        <w:rPr>
          <w:lang w:val="sk"/>
        </w:rPr>
      </w:pPr>
      <w:r>
        <w:rPr>
          <w:lang w:val="sk"/>
        </w:rPr>
        <w:t xml:space="preserve">Do štúdie primárnej imunitnej </w:t>
      </w:r>
      <w:proofErr w:type="spellStart"/>
      <w:r>
        <w:rPr>
          <w:lang w:val="sk"/>
        </w:rPr>
        <w:t>trombocytopénie</w:t>
      </w:r>
      <w:proofErr w:type="spellEnd"/>
      <w:r>
        <w:rPr>
          <w:lang w:val="sk"/>
        </w:rPr>
        <w:t xml:space="preserve"> (ITP) bolo zaradených 24 pacientov,</w:t>
      </w:r>
      <w:r w:rsidR="00666F49">
        <w:rPr>
          <w:lang w:val="sk"/>
        </w:rPr>
        <w:t xml:space="preserve"> z toho 8 pacientov dostávalo 1 </w:t>
      </w:r>
      <w:r>
        <w:rPr>
          <w:lang w:val="sk"/>
        </w:rPr>
        <w:t>g/kg počas</w:t>
      </w:r>
      <w:r w:rsidR="00666F49">
        <w:rPr>
          <w:lang w:val="sk"/>
        </w:rPr>
        <w:t xml:space="preserve"> 1 dňa, 9 pacientov dostávalo 1 </w:t>
      </w:r>
      <w:r>
        <w:rPr>
          <w:lang w:val="sk"/>
        </w:rPr>
        <w:t xml:space="preserve">g/kg počas dvoch po sebe nasledujúcich </w:t>
      </w:r>
      <w:r w:rsidR="00666F49">
        <w:rPr>
          <w:lang w:val="sk"/>
        </w:rPr>
        <w:t>dní a 7 pacientov dostávalo 400 </w:t>
      </w:r>
      <w:r>
        <w:rPr>
          <w:lang w:val="sk"/>
        </w:rPr>
        <w:t>mg/kg počas 5 po sebe nasledujúcich dní. Pacienti boli sledovaní 14 dní. Dvadsaťtri (23) z 24 pacientov dokončilo štúdiu podľa protokolu.</w:t>
      </w:r>
    </w:p>
    <w:p w14:paraId="489E9AAF" w14:textId="5F7F22F9" w:rsidR="00650FCB" w:rsidRPr="009D5931" w:rsidRDefault="00E9094D" w:rsidP="00650FCB">
      <w:pPr>
        <w:rPr>
          <w:lang w:val="sk"/>
        </w:rPr>
      </w:pPr>
      <w:proofErr w:type="spellStart"/>
      <w:r>
        <w:rPr>
          <w:lang w:val="sk"/>
        </w:rPr>
        <w:lastRenderedPageBreak/>
        <w:t>Nanogam</w:t>
      </w:r>
      <w:proofErr w:type="spellEnd"/>
      <w:r>
        <w:rPr>
          <w:lang w:val="sk"/>
        </w:rPr>
        <w:t xml:space="preserve"> </w:t>
      </w:r>
      <w:r w:rsidR="00666F49">
        <w:rPr>
          <w:lang w:val="sk"/>
        </w:rPr>
        <w:t>100 </w:t>
      </w:r>
      <w:r>
        <w:rPr>
          <w:lang w:val="sk"/>
        </w:rPr>
        <w:t xml:space="preserve">mg/ml bol predmetom jedného </w:t>
      </w:r>
      <w:proofErr w:type="spellStart"/>
      <w:r>
        <w:rPr>
          <w:lang w:val="sk"/>
        </w:rPr>
        <w:t>multicentrického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prospektívneho</w:t>
      </w:r>
      <w:proofErr w:type="spellEnd"/>
      <w:r>
        <w:rPr>
          <w:lang w:val="sk"/>
        </w:rPr>
        <w:t xml:space="preserve"> nekontrolovaného klinického skúšania. Cieľom štúdie bolo doložiť </w:t>
      </w:r>
      <w:proofErr w:type="spellStart"/>
      <w:r>
        <w:rPr>
          <w:lang w:val="sk"/>
        </w:rPr>
        <w:t>bioekviv</w:t>
      </w:r>
      <w:r w:rsidR="00666F49">
        <w:rPr>
          <w:lang w:val="sk"/>
        </w:rPr>
        <w:t>alenciu</w:t>
      </w:r>
      <w:proofErr w:type="spellEnd"/>
      <w:r w:rsidR="00666F49">
        <w:rPr>
          <w:lang w:val="sk"/>
        </w:rPr>
        <w:t xml:space="preserve"> medzi liekmi </w:t>
      </w:r>
      <w:proofErr w:type="spellStart"/>
      <w:r w:rsidR="00666F49">
        <w:rPr>
          <w:lang w:val="sk"/>
        </w:rPr>
        <w:t>Nanogam</w:t>
      </w:r>
      <w:proofErr w:type="spellEnd"/>
      <w:r w:rsidR="00666F49">
        <w:rPr>
          <w:lang w:val="sk"/>
        </w:rPr>
        <w:t xml:space="preserve"> 50 mg/ml a </w:t>
      </w:r>
      <w:proofErr w:type="spellStart"/>
      <w:r w:rsidR="00666F49">
        <w:rPr>
          <w:lang w:val="sk"/>
        </w:rPr>
        <w:t>Nanogam</w:t>
      </w:r>
      <w:proofErr w:type="spellEnd"/>
      <w:r w:rsidR="00666F49">
        <w:rPr>
          <w:lang w:val="sk"/>
        </w:rPr>
        <w:t xml:space="preserve"> 100 </w:t>
      </w:r>
      <w:r>
        <w:rPr>
          <w:lang w:val="sk"/>
        </w:rPr>
        <w:t>mg/ml</w:t>
      </w:r>
      <w:r w:rsidR="00904C6A">
        <w:rPr>
          <w:lang w:val="sk"/>
        </w:rPr>
        <w:t>.</w:t>
      </w:r>
      <w:r>
        <w:rPr>
          <w:lang w:val="sk"/>
        </w:rPr>
        <w:t xml:space="preserve"> Dvadsaťtri pacientov so syndrómami primárnej </w:t>
      </w:r>
      <w:proofErr w:type="spellStart"/>
      <w:r>
        <w:rPr>
          <w:lang w:val="sk"/>
        </w:rPr>
        <w:t>imunodeficiencie</w:t>
      </w:r>
      <w:proofErr w:type="spellEnd"/>
      <w:r>
        <w:rPr>
          <w:lang w:val="sk"/>
        </w:rPr>
        <w:t>, ktorí boli stabilizov</w:t>
      </w:r>
      <w:r w:rsidR="00666F49">
        <w:rPr>
          <w:lang w:val="sk"/>
        </w:rPr>
        <w:t>aní na liečbe</w:t>
      </w:r>
      <w:r w:rsidR="00156D14">
        <w:rPr>
          <w:lang w:val="sk"/>
        </w:rPr>
        <w:t xml:space="preserve"> </w:t>
      </w:r>
      <w:proofErr w:type="spellStart"/>
      <w:r w:rsidR="00666F49">
        <w:rPr>
          <w:lang w:val="sk"/>
        </w:rPr>
        <w:t>Nanogam</w:t>
      </w:r>
      <w:r w:rsidR="00904C6A">
        <w:rPr>
          <w:lang w:val="sk"/>
        </w:rPr>
        <w:t>om</w:t>
      </w:r>
      <w:proofErr w:type="spellEnd"/>
      <w:r w:rsidR="00666F49">
        <w:rPr>
          <w:lang w:val="sk"/>
        </w:rPr>
        <w:t xml:space="preserve"> 50 </w:t>
      </w:r>
      <w:r>
        <w:rPr>
          <w:lang w:val="sk"/>
        </w:rPr>
        <w:t>mg/ml, dostali</w:t>
      </w:r>
      <w:r w:rsidR="00666F49">
        <w:rPr>
          <w:lang w:val="sk"/>
        </w:rPr>
        <w:t xml:space="preserve"> jednu infúziu </w:t>
      </w:r>
      <w:proofErr w:type="spellStart"/>
      <w:r w:rsidR="00666F49">
        <w:rPr>
          <w:lang w:val="sk"/>
        </w:rPr>
        <w:t>Nanogam</w:t>
      </w:r>
      <w:r w:rsidR="00904C6A">
        <w:rPr>
          <w:lang w:val="sk"/>
        </w:rPr>
        <w:t>u</w:t>
      </w:r>
      <w:proofErr w:type="spellEnd"/>
      <w:r w:rsidR="00666F49">
        <w:rPr>
          <w:lang w:val="sk"/>
        </w:rPr>
        <w:t xml:space="preserve"> 50 </w:t>
      </w:r>
      <w:r>
        <w:rPr>
          <w:lang w:val="sk"/>
        </w:rPr>
        <w:t xml:space="preserve">mg/ml v súlade s ich aktuálnym liečebným režimom a následne </w:t>
      </w:r>
      <w:r w:rsidR="00666F49">
        <w:rPr>
          <w:lang w:val="sk"/>
        </w:rPr>
        <w:t xml:space="preserve">štyri infúzie </w:t>
      </w:r>
      <w:proofErr w:type="spellStart"/>
      <w:r w:rsidR="00666F49">
        <w:rPr>
          <w:lang w:val="sk"/>
        </w:rPr>
        <w:t>Nanogam</w:t>
      </w:r>
      <w:r w:rsidR="00904C6A">
        <w:rPr>
          <w:lang w:val="sk"/>
        </w:rPr>
        <w:t>u</w:t>
      </w:r>
      <w:proofErr w:type="spellEnd"/>
      <w:r w:rsidR="00666F49">
        <w:rPr>
          <w:lang w:val="sk"/>
        </w:rPr>
        <w:t xml:space="preserve"> 100 </w:t>
      </w:r>
      <w:r>
        <w:rPr>
          <w:lang w:val="sk"/>
        </w:rPr>
        <w:t xml:space="preserve">mg/ml v rovnakom dávkovacom intervale a dávke (v gramoch) ako pri ich bežnej liečbe. Výsledky tejto štúdie preukázali, že </w:t>
      </w:r>
      <w:r w:rsidR="00904C6A">
        <w:rPr>
          <w:lang w:val="sk"/>
        </w:rPr>
        <w:t>liek</w:t>
      </w:r>
      <w:r>
        <w:rPr>
          <w:lang w:val="sk"/>
        </w:rPr>
        <w:t xml:space="preserve">y sú </w:t>
      </w:r>
      <w:proofErr w:type="spellStart"/>
      <w:r>
        <w:rPr>
          <w:lang w:val="sk"/>
        </w:rPr>
        <w:t>bioekvivalentné</w:t>
      </w:r>
      <w:proofErr w:type="spellEnd"/>
      <w:r>
        <w:rPr>
          <w:lang w:val="sk"/>
        </w:rPr>
        <w:t>.</w:t>
      </w:r>
    </w:p>
    <w:p w14:paraId="07A1050B" w14:textId="77777777" w:rsidR="007E19FC" w:rsidRPr="009D5931" w:rsidRDefault="007E19FC" w:rsidP="009A6EF3">
      <w:pPr>
        <w:pStyle w:val="Nadpis3"/>
        <w:rPr>
          <w:lang w:val="sk"/>
        </w:rPr>
      </w:pPr>
      <w:r>
        <w:rPr>
          <w:bCs w:val="0"/>
          <w:lang w:val="sk"/>
        </w:rPr>
        <w:t>Pediatrická populácia</w:t>
      </w:r>
    </w:p>
    <w:p w14:paraId="474B25D3" w14:textId="77777777" w:rsidR="008C2B71" w:rsidRPr="009D5931" w:rsidRDefault="00857935" w:rsidP="00857935">
      <w:pPr>
        <w:rPr>
          <w:lang w:val="sk"/>
        </w:rPr>
      </w:pPr>
      <w:r>
        <w:rPr>
          <w:lang w:val="sk"/>
        </w:rPr>
        <w:t xml:space="preserve">Neexistujú žiadne teoretické ani pozorované rozdiely v účinku </w:t>
      </w:r>
      <w:proofErr w:type="spellStart"/>
      <w:r>
        <w:rPr>
          <w:lang w:val="sk"/>
        </w:rPr>
        <w:t>imunoglobulínov</w:t>
      </w:r>
      <w:proofErr w:type="spellEnd"/>
      <w:r>
        <w:rPr>
          <w:lang w:val="sk"/>
        </w:rPr>
        <w:t xml:space="preserve"> u detí v porovnaní s dospelými</w:t>
      </w:r>
      <w:r>
        <w:rPr>
          <w:szCs w:val="22"/>
          <w:lang w:val="sk"/>
        </w:rPr>
        <w:t>.</w:t>
      </w:r>
    </w:p>
    <w:p w14:paraId="28F6FDA6" w14:textId="77777777" w:rsidR="007B43D7" w:rsidRPr="009D5931" w:rsidRDefault="007B43D7" w:rsidP="00062519">
      <w:pPr>
        <w:pStyle w:val="Nadpis2"/>
        <w:rPr>
          <w:lang w:val="sk"/>
        </w:rPr>
      </w:pPr>
      <w:r>
        <w:rPr>
          <w:lang w:val="sk"/>
        </w:rPr>
        <w:t>5.2.</w:t>
      </w:r>
      <w:r>
        <w:rPr>
          <w:lang w:val="sk"/>
        </w:rPr>
        <w:tab/>
      </w:r>
      <w:proofErr w:type="spellStart"/>
      <w:r>
        <w:rPr>
          <w:lang w:val="sk"/>
        </w:rPr>
        <w:t>Farmakokinetické</w:t>
      </w:r>
      <w:proofErr w:type="spellEnd"/>
      <w:r>
        <w:rPr>
          <w:lang w:val="sk"/>
        </w:rPr>
        <w:t xml:space="preserve"> vlastnosti</w:t>
      </w:r>
    </w:p>
    <w:p w14:paraId="266D95A9" w14:textId="6F64E440" w:rsidR="007B43D7" w:rsidRPr="009D5931" w:rsidRDefault="007B43D7" w:rsidP="00FF664F">
      <w:pPr>
        <w:rPr>
          <w:lang w:val="sk"/>
        </w:rPr>
      </w:pPr>
      <w:r>
        <w:rPr>
          <w:lang w:val="sk"/>
        </w:rPr>
        <w:t xml:space="preserve">Normálny ľudský </w:t>
      </w:r>
      <w:proofErr w:type="spellStart"/>
      <w:r>
        <w:rPr>
          <w:lang w:val="sk"/>
        </w:rPr>
        <w:t>imunoglobulín</w:t>
      </w:r>
      <w:proofErr w:type="spellEnd"/>
      <w:r>
        <w:rPr>
          <w:lang w:val="sk"/>
        </w:rPr>
        <w:t xml:space="preserve"> vykazuje po intravenóznom podaní okamžitú a kompletnú biologickú dostupnosť v obehu príjemcu. Distribúcia medzi plazmou a </w:t>
      </w:r>
      <w:proofErr w:type="spellStart"/>
      <w:r>
        <w:rPr>
          <w:lang w:val="sk"/>
        </w:rPr>
        <w:t>extravaskulárnou</w:t>
      </w:r>
      <w:proofErr w:type="spellEnd"/>
      <w:r>
        <w:rPr>
          <w:lang w:val="sk"/>
        </w:rPr>
        <w:t xml:space="preserve"> tekutinou je relatívne rýchla, rovnová</w:t>
      </w:r>
      <w:r w:rsidR="00A51CAC">
        <w:rPr>
          <w:lang w:val="sk"/>
        </w:rPr>
        <w:t>ha</w:t>
      </w:r>
      <w:r>
        <w:rPr>
          <w:lang w:val="sk"/>
        </w:rPr>
        <w:t xml:space="preserve"> medzi </w:t>
      </w:r>
      <w:proofErr w:type="spellStart"/>
      <w:r>
        <w:rPr>
          <w:lang w:val="sk"/>
        </w:rPr>
        <w:t>intra</w:t>
      </w:r>
      <w:proofErr w:type="spellEnd"/>
      <w:r>
        <w:rPr>
          <w:lang w:val="sk"/>
        </w:rPr>
        <w:t xml:space="preserve">- a </w:t>
      </w:r>
      <w:proofErr w:type="spellStart"/>
      <w:r>
        <w:rPr>
          <w:lang w:val="sk"/>
        </w:rPr>
        <w:t>extravaskulárnymi</w:t>
      </w:r>
      <w:proofErr w:type="spellEnd"/>
      <w:r>
        <w:rPr>
          <w:lang w:val="sk"/>
        </w:rPr>
        <w:t xml:space="preserve"> komponentmi je dosiahnutý po približne 3 až 5 dňoch.</w:t>
      </w:r>
    </w:p>
    <w:p w14:paraId="55132B64" w14:textId="77777777" w:rsidR="007B43D7" w:rsidRPr="005909A1" w:rsidRDefault="007B43D7" w:rsidP="00FF664F">
      <w:r>
        <w:rPr>
          <w:lang w:val="sk"/>
        </w:rPr>
        <w:t xml:space="preserve">Normálny ľudský </w:t>
      </w:r>
      <w:proofErr w:type="spellStart"/>
      <w:r>
        <w:rPr>
          <w:lang w:val="sk"/>
        </w:rPr>
        <w:t>imunoglobulín</w:t>
      </w:r>
      <w:proofErr w:type="spellEnd"/>
      <w:r>
        <w:rPr>
          <w:lang w:val="sk"/>
        </w:rPr>
        <w:t xml:space="preserve"> má biologický polčas asi 31 dní. Tento polčas sa môže líšiť od pacienta k pacientovi, hlavne pri primárnej </w:t>
      </w:r>
      <w:proofErr w:type="spellStart"/>
      <w:r>
        <w:rPr>
          <w:lang w:val="sk"/>
        </w:rPr>
        <w:t>imunodeficiencii</w:t>
      </w:r>
      <w:proofErr w:type="spellEnd"/>
      <w:r>
        <w:rPr>
          <w:lang w:val="sk"/>
        </w:rPr>
        <w:t>.</w:t>
      </w:r>
    </w:p>
    <w:p w14:paraId="5B74819B" w14:textId="77777777" w:rsidR="007B43D7" w:rsidRPr="005909A1" w:rsidRDefault="007B43D7" w:rsidP="00FF664F">
      <w:proofErr w:type="spellStart"/>
      <w:r>
        <w:rPr>
          <w:lang w:val="sk"/>
        </w:rPr>
        <w:t>IgG</w:t>
      </w:r>
      <w:proofErr w:type="spellEnd"/>
      <w:r>
        <w:rPr>
          <w:lang w:val="sk"/>
        </w:rPr>
        <w:t xml:space="preserve"> a komplexy </w:t>
      </w:r>
      <w:proofErr w:type="spellStart"/>
      <w:r>
        <w:rPr>
          <w:lang w:val="sk"/>
        </w:rPr>
        <w:t>IgG</w:t>
      </w:r>
      <w:proofErr w:type="spellEnd"/>
      <w:r>
        <w:rPr>
          <w:lang w:val="sk"/>
        </w:rPr>
        <w:t xml:space="preserve"> sa rozkladajú v bunkách </w:t>
      </w:r>
      <w:proofErr w:type="spellStart"/>
      <w:r>
        <w:rPr>
          <w:lang w:val="sk"/>
        </w:rPr>
        <w:t>retikuloendoteliálneho</w:t>
      </w:r>
      <w:proofErr w:type="spellEnd"/>
      <w:r>
        <w:rPr>
          <w:lang w:val="sk"/>
        </w:rPr>
        <w:t xml:space="preserve"> systému.</w:t>
      </w:r>
    </w:p>
    <w:p w14:paraId="1F9CEED4" w14:textId="0A5D1F19" w:rsidR="001C203E" w:rsidRPr="004A237A" w:rsidRDefault="001C203E" w:rsidP="00FF664F">
      <w:proofErr w:type="spellStart"/>
      <w:r>
        <w:rPr>
          <w:lang w:val="sk"/>
        </w:rPr>
        <w:t>Farmakokinetický</w:t>
      </w:r>
      <w:proofErr w:type="spellEnd"/>
      <w:r>
        <w:rPr>
          <w:lang w:val="sk"/>
        </w:rPr>
        <w:t xml:space="preserve"> profil </w:t>
      </w:r>
      <w:proofErr w:type="spellStart"/>
      <w:r>
        <w:rPr>
          <w:lang w:val="sk"/>
        </w:rPr>
        <w:t>Nanogam</w:t>
      </w:r>
      <w:r w:rsidR="00A51CAC">
        <w:rPr>
          <w:lang w:val="sk"/>
        </w:rPr>
        <w:t>u</w:t>
      </w:r>
      <w:proofErr w:type="spellEnd"/>
      <w:r>
        <w:rPr>
          <w:lang w:val="sk"/>
        </w:rPr>
        <w:t xml:space="preserve"> po infúznom podaní je p</w:t>
      </w:r>
      <w:r w:rsidR="00666F49">
        <w:rPr>
          <w:lang w:val="sk"/>
        </w:rPr>
        <w:t>orovnateľný pri použití sily 50 </w:t>
      </w:r>
      <w:r>
        <w:rPr>
          <w:lang w:val="sk"/>
        </w:rPr>
        <w:t>mg/ml a</w:t>
      </w:r>
      <w:r w:rsidR="00666F49">
        <w:rPr>
          <w:lang w:val="sk"/>
        </w:rPr>
        <w:t xml:space="preserve"> </w:t>
      </w:r>
      <w:r>
        <w:rPr>
          <w:lang w:val="sk"/>
        </w:rPr>
        <w:t>100</w:t>
      </w:r>
      <w:r w:rsidR="00666F49">
        <w:rPr>
          <w:lang w:val="sk"/>
        </w:rPr>
        <w:t> </w:t>
      </w:r>
      <w:r>
        <w:rPr>
          <w:lang w:val="sk"/>
        </w:rPr>
        <w:t>mg/ml pri rovnakej rýchlosti infúzie (ml/kg/h).</w:t>
      </w:r>
    </w:p>
    <w:p w14:paraId="6282F47C" w14:textId="77777777" w:rsidR="007B43D7" w:rsidRPr="00062519" w:rsidRDefault="007B43D7" w:rsidP="00062519">
      <w:pPr>
        <w:pStyle w:val="Nadpis2"/>
      </w:pPr>
      <w:r>
        <w:rPr>
          <w:lang w:val="sk"/>
        </w:rPr>
        <w:t>5.3</w:t>
      </w:r>
      <w:r>
        <w:rPr>
          <w:lang w:val="sk"/>
        </w:rPr>
        <w:tab/>
        <w:t>Predklinické údaje o bezpečnosti</w:t>
      </w:r>
    </w:p>
    <w:p w14:paraId="54EA1F19" w14:textId="77777777" w:rsidR="00994628" w:rsidRPr="00857935" w:rsidRDefault="007B43D7" w:rsidP="00973CB5">
      <w:pPr>
        <w:suppressAutoHyphens w:val="0"/>
        <w:autoSpaceDE w:val="0"/>
        <w:autoSpaceDN w:val="0"/>
        <w:adjustRightInd w:val="0"/>
        <w:spacing w:after="0"/>
      </w:pPr>
      <w:proofErr w:type="spellStart"/>
      <w:r>
        <w:rPr>
          <w:lang w:val="sk"/>
        </w:rPr>
        <w:t>Imunoglobulíny</w:t>
      </w:r>
      <w:proofErr w:type="spellEnd"/>
      <w:r>
        <w:rPr>
          <w:lang w:val="sk"/>
        </w:rPr>
        <w:t xml:space="preserve"> sú normálnymi zložkami ľudského tela a teda konvenčné predklinické testovanie toxicity u zvierat nie je možné vzhľadom na preťaženie obehu pri testovaní akútnej toxicity a rozvoja protilátok v štúdiách s opakovanými dávkami. </w:t>
      </w:r>
    </w:p>
    <w:p w14:paraId="34B7EB0F" w14:textId="77777777" w:rsidR="007B43D7" w:rsidRPr="00857935" w:rsidRDefault="007B43D7" w:rsidP="00FF664F">
      <w:pPr>
        <w:pStyle w:val="Nadpis1"/>
      </w:pPr>
      <w:r>
        <w:rPr>
          <w:lang w:val="sk"/>
        </w:rPr>
        <w:t>6.</w:t>
      </w:r>
      <w:r>
        <w:rPr>
          <w:lang w:val="sk"/>
        </w:rPr>
        <w:tab/>
        <w:t>FARMACEUTICKÉ INFORMÁCIE</w:t>
      </w:r>
    </w:p>
    <w:p w14:paraId="0EC16449" w14:textId="77777777" w:rsidR="007B43D7" w:rsidRPr="00062519" w:rsidRDefault="007B43D7" w:rsidP="00062519">
      <w:pPr>
        <w:pStyle w:val="Nadpis2"/>
      </w:pPr>
      <w:r>
        <w:rPr>
          <w:lang w:val="sk"/>
        </w:rPr>
        <w:t>6.1</w:t>
      </w:r>
      <w:r>
        <w:rPr>
          <w:lang w:val="sk"/>
        </w:rPr>
        <w:tab/>
        <w:t>Zoznam pomocných látok</w:t>
      </w:r>
    </w:p>
    <w:p w14:paraId="2C310316" w14:textId="77777777" w:rsidR="003E78FE" w:rsidRPr="004A237A" w:rsidRDefault="007B43D7" w:rsidP="00FF664F">
      <w:proofErr w:type="spellStart"/>
      <w:r>
        <w:rPr>
          <w:lang w:val="sk"/>
        </w:rPr>
        <w:t>Monohydrát</w:t>
      </w:r>
      <w:proofErr w:type="spellEnd"/>
      <w:r>
        <w:rPr>
          <w:lang w:val="sk"/>
        </w:rPr>
        <w:t xml:space="preserve"> glukózy</w:t>
      </w:r>
    </w:p>
    <w:p w14:paraId="6F50302A" w14:textId="41FBC99A" w:rsidR="007B43D7" w:rsidRPr="005909A1" w:rsidRDefault="003E78FE" w:rsidP="00FF664F">
      <w:r>
        <w:rPr>
          <w:lang w:val="sk"/>
        </w:rPr>
        <w:t>Voda na injek</w:t>
      </w:r>
      <w:r w:rsidR="00154BF9">
        <w:rPr>
          <w:lang w:val="sk"/>
        </w:rPr>
        <w:t>cie</w:t>
      </w:r>
    </w:p>
    <w:p w14:paraId="7254BEE7" w14:textId="77777777" w:rsidR="007B43D7" w:rsidRPr="00062519" w:rsidRDefault="007B43D7" w:rsidP="00062519">
      <w:pPr>
        <w:pStyle w:val="Nadpis2"/>
      </w:pPr>
      <w:r>
        <w:rPr>
          <w:lang w:val="sk"/>
        </w:rPr>
        <w:t>6.2</w:t>
      </w:r>
      <w:r>
        <w:rPr>
          <w:lang w:val="sk"/>
        </w:rPr>
        <w:tab/>
        <w:t>Inkompatibility</w:t>
      </w:r>
    </w:p>
    <w:p w14:paraId="382CA9AA" w14:textId="7B64784A" w:rsidR="007B43D7" w:rsidRPr="005909A1" w:rsidRDefault="003E78FE" w:rsidP="00994628">
      <w:r>
        <w:rPr>
          <w:lang w:val="sk"/>
        </w:rPr>
        <w:t xml:space="preserve">Nevykonali sa žiadne štúdie kompatibility, preto sa tento liek nesmie miešať s inými liekmi ani inými produktmi </w:t>
      </w:r>
      <w:proofErr w:type="spellStart"/>
      <w:r>
        <w:rPr>
          <w:lang w:val="sk"/>
        </w:rPr>
        <w:t>IVIg</w:t>
      </w:r>
      <w:proofErr w:type="spellEnd"/>
      <w:r>
        <w:rPr>
          <w:lang w:val="sk"/>
        </w:rPr>
        <w:t>.</w:t>
      </w:r>
    </w:p>
    <w:p w14:paraId="2475C171" w14:textId="77777777" w:rsidR="007B43D7" w:rsidRPr="00062519" w:rsidRDefault="007B43D7" w:rsidP="00062519">
      <w:pPr>
        <w:pStyle w:val="Nadpis2"/>
      </w:pPr>
      <w:r>
        <w:rPr>
          <w:lang w:val="sk"/>
        </w:rPr>
        <w:t>6.3</w:t>
      </w:r>
      <w:r>
        <w:rPr>
          <w:lang w:val="sk"/>
        </w:rPr>
        <w:tab/>
        <w:t>Čas použiteľnosti</w:t>
      </w:r>
    </w:p>
    <w:p w14:paraId="548AC7FE" w14:textId="77777777" w:rsidR="007B43D7" w:rsidRPr="004A237A" w:rsidRDefault="006225EE" w:rsidP="00FF664F">
      <w:r>
        <w:rPr>
          <w:lang w:val="sk"/>
        </w:rPr>
        <w:t>3 roky.</w:t>
      </w:r>
    </w:p>
    <w:p w14:paraId="6B274119" w14:textId="7371F22F" w:rsidR="007B43D7" w:rsidRPr="009D5931" w:rsidRDefault="007B43D7" w:rsidP="00994628">
      <w:pPr>
        <w:rPr>
          <w:lang w:val="sk"/>
        </w:rPr>
      </w:pPr>
      <w:r>
        <w:rPr>
          <w:lang w:val="sk"/>
        </w:rPr>
        <w:t xml:space="preserve">Z mikrobiologického hľadiska je nutné </w:t>
      </w:r>
      <w:r w:rsidR="00154BF9">
        <w:rPr>
          <w:lang w:val="sk"/>
        </w:rPr>
        <w:t>liek</w:t>
      </w:r>
      <w:r>
        <w:rPr>
          <w:lang w:val="sk"/>
        </w:rPr>
        <w:t xml:space="preserve"> použiť ihneď po prebodnutí gumovej zátky. Ak nebude použitý okamžite, za dĺžku skladovania a podmienky pred použitím nesie zodpovednosť používateľ a nesmú byť za normálnych okolností dlhšie než 24 hodín pri teplote 2 °C až 8 °C, ak nebol obal prebodnutý v kontrolovaných a validovaných aseptických podmienkach.</w:t>
      </w:r>
    </w:p>
    <w:p w14:paraId="5BF95683" w14:textId="77777777" w:rsidR="005B1442" w:rsidRPr="009D5931" w:rsidRDefault="007B43D7" w:rsidP="00062519">
      <w:pPr>
        <w:pStyle w:val="Nadpis2"/>
        <w:rPr>
          <w:lang w:val="sk"/>
        </w:rPr>
      </w:pPr>
      <w:r>
        <w:rPr>
          <w:lang w:val="sk"/>
        </w:rPr>
        <w:t>6.4</w:t>
      </w:r>
      <w:r>
        <w:rPr>
          <w:lang w:val="sk"/>
        </w:rPr>
        <w:tab/>
        <w:t>Špeciálne upozornenia na uchovávanie</w:t>
      </w:r>
    </w:p>
    <w:p w14:paraId="0778D84E" w14:textId="394E42B7" w:rsidR="007B43D7" w:rsidRPr="009D5931" w:rsidRDefault="00684E3C" w:rsidP="00FF664F">
      <w:pPr>
        <w:rPr>
          <w:lang w:val="sk"/>
        </w:rPr>
      </w:pPr>
      <w:r>
        <w:rPr>
          <w:lang w:val="sk"/>
        </w:rPr>
        <w:t>Uchovávajte v chladničke (2 °C až 8 </w:t>
      </w:r>
      <w:r w:rsidR="009A694A">
        <w:rPr>
          <w:lang w:val="sk"/>
        </w:rPr>
        <w:t>°C). Nezmrazujte. Injekčnú liekovku uchovávajte vo vonkajšom obale</w:t>
      </w:r>
      <w:r w:rsidR="004418A5">
        <w:rPr>
          <w:lang w:val="sk"/>
        </w:rPr>
        <w:t xml:space="preserve"> na ochranu</w:t>
      </w:r>
      <w:r w:rsidR="009A694A">
        <w:rPr>
          <w:lang w:val="sk"/>
        </w:rPr>
        <w:t xml:space="preserve"> pred svetlom.</w:t>
      </w:r>
    </w:p>
    <w:p w14:paraId="420ECD5A" w14:textId="50A7F490" w:rsidR="00D262D9" w:rsidRPr="009D5931" w:rsidRDefault="007B43D7" w:rsidP="00FF664F">
      <w:pPr>
        <w:rPr>
          <w:lang w:val="nl-NL"/>
        </w:rPr>
      </w:pPr>
      <w:r>
        <w:rPr>
          <w:lang w:val="sk"/>
        </w:rPr>
        <w:lastRenderedPageBreak/>
        <w:t xml:space="preserve">Počas </w:t>
      </w:r>
      <w:r w:rsidR="004418A5">
        <w:rPr>
          <w:lang w:val="sk"/>
        </w:rPr>
        <w:t>času</w:t>
      </w:r>
      <w:r>
        <w:rPr>
          <w:lang w:val="sk"/>
        </w:rPr>
        <w:t xml:space="preserve"> použiteľnosti je možné liek skladovať pri teplote 25</w:t>
      </w:r>
      <w:r w:rsidR="00684E3C">
        <w:rPr>
          <w:lang w:val="sk"/>
        </w:rPr>
        <w:t> </w:t>
      </w:r>
      <w:r>
        <w:rPr>
          <w:lang w:val="sk"/>
        </w:rPr>
        <w:t xml:space="preserve">°C alebo nižšej až 6 mesiacov bez opätovného </w:t>
      </w:r>
      <w:r w:rsidR="004418A5">
        <w:rPr>
          <w:lang w:val="sk"/>
        </w:rPr>
        <w:t>uchovávania v chladničke</w:t>
      </w:r>
      <w:r>
        <w:rPr>
          <w:lang w:val="sk"/>
        </w:rPr>
        <w:t xml:space="preserve">. Ak nebude </w:t>
      </w:r>
      <w:r w:rsidR="004418A5">
        <w:rPr>
          <w:lang w:val="sk"/>
        </w:rPr>
        <w:t>liek</w:t>
      </w:r>
      <w:r>
        <w:rPr>
          <w:lang w:val="sk"/>
        </w:rPr>
        <w:t xml:space="preserve"> použitý v priebehu tohto obdobia, je nutné ho zlikvidovať. Dátum presunu do izbovej teploty je nutné zapísať na </w:t>
      </w:r>
      <w:r w:rsidR="004418A5">
        <w:rPr>
          <w:lang w:val="sk"/>
        </w:rPr>
        <w:t>obal</w:t>
      </w:r>
      <w:r>
        <w:rPr>
          <w:lang w:val="sk"/>
        </w:rPr>
        <w:t>.</w:t>
      </w:r>
    </w:p>
    <w:p w14:paraId="4CE8C532" w14:textId="77777777" w:rsidR="008D1E94" w:rsidRPr="009D5931" w:rsidRDefault="007B43D7" w:rsidP="00062519">
      <w:pPr>
        <w:pStyle w:val="Nadpis2"/>
        <w:rPr>
          <w:lang w:val="nl-NL"/>
        </w:rPr>
      </w:pPr>
      <w:r>
        <w:rPr>
          <w:lang w:val="sk"/>
        </w:rPr>
        <w:t>6.5</w:t>
      </w:r>
      <w:r>
        <w:rPr>
          <w:lang w:val="sk"/>
        </w:rPr>
        <w:tab/>
        <w:t>Druh obalu a obsah balenia</w:t>
      </w:r>
    </w:p>
    <w:p w14:paraId="6D7D1824" w14:textId="317EAFDD" w:rsidR="008B0B75" w:rsidRPr="009D5931" w:rsidRDefault="008B0B75" w:rsidP="008B0B75">
      <w:pPr>
        <w:pStyle w:val="Bezriadkovania"/>
        <w:rPr>
          <w:lang w:val="nl-NL"/>
        </w:rPr>
      </w:pPr>
      <w:r>
        <w:rPr>
          <w:lang w:val="sk"/>
        </w:rPr>
        <w:t>10 ml (1 g) roztoku v injekčnej liekovke (sklo typu II) so zátkou (</w:t>
      </w:r>
      <w:proofErr w:type="spellStart"/>
      <w:r>
        <w:rPr>
          <w:lang w:val="sk"/>
        </w:rPr>
        <w:t>br</w:t>
      </w:r>
      <w:r w:rsidR="004418A5">
        <w:rPr>
          <w:lang w:val="sk"/>
        </w:rPr>
        <w:t>ó</w:t>
      </w:r>
      <w:r>
        <w:rPr>
          <w:lang w:val="sk"/>
        </w:rPr>
        <w:t>mbutyl</w:t>
      </w:r>
      <w:proofErr w:type="spellEnd"/>
      <w:r>
        <w:rPr>
          <w:lang w:val="sk"/>
        </w:rPr>
        <w:t>) a tesnením.</w:t>
      </w:r>
    </w:p>
    <w:p w14:paraId="731410D7" w14:textId="642D8A73" w:rsidR="008B0B75" w:rsidRPr="009D5931" w:rsidRDefault="008B0B75" w:rsidP="008B0B75">
      <w:pPr>
        <w:pStyle w:val="Bezriadkovania"/>
        <w:rPr>
          <w:lang w:val="nl-NL"/>
        </w:rPr>
      </w:pPr>
      <w:r>
        <w:rPr>
          <w:lang w:val="sk"/>
        </w:rPr>
        <w:t>25 ml (2,5 g) roztoku v injekčnej liekovke (sklo typu II) so zátkou (</w:t>
      </w:r>
      <w:proofErr w:type="spellStart"/>
      <w:r w:rsidR="00217454">
        <w:rPr>
          <w:lang w:val="sk"/>
        </w:rPr>
        <w:t>brómbutyl</w:t>
      </w:r>
      <w:proofErr w:type="spellEnd"/>
      <w:r>
        <w:rPr>
          <w:lang w:val="sk"/>
        </w:rPr>
        <w:t>) a tesnením.</w:t>
      </w:r>
    </w:p>
    <w:p w14:paraId="63D6FA5F" w14:textId="42253D76" w:rsidR="008B0B75" w:rsidRPr="009D5931" w:rsidRDefault="008B0B75" w:rsidP="008B0B75">
      <w:pPr>
        <w:pStyle w:val="Bezriadkovania"/>
        <w:rPr>
          <w:lang w:val="nl-NL"/>
        </w:rPr>
      </w:pPr>
      <w:r>
        <w:rPr>
          <w:lang w:val="sk"/>
        </w:rPr>
        <w:t>50 ml (5 g) roztoku v injekčnej liekovke (sklo typu II) so zátkou (</w:t>
      </w:r>
      <w:proofErr w:type="spellStart"/>
      <w:r w:rsidR="00217454">
        <w:rPr>
          <w:lang w:val="sk"/>
        </w:rPr>
        <w:t>brómbutyl</w:t>
      </w:r>
      <w:proofErr w:type="spellEnd"/>
      <w:r>
        <w:rPr>
          <w:lang w:val="sk"/>
        </w:rPr>
        <w:t>) a tesnením.</w:t>
      </w:r>
    </w:p>
    <w:p w14:paraId="494FE880" w14:textId="29B3AFFC" w:rsidR="008B0B75" w:rsidRPr="009D5931" w:rsidRDefault="008B0B75" w:rsidP="008B0B75">
      <w:pPr>
        <w:pStyle w:val="Bezriadkovania"/>
        <w:rPr>
          <w:lang w:val="nl-NL"/>
        </w:rPr>
      </w:pPr>
      <w:r>
        <w:rPr>
          <w:lang w:val="sk"/>
        </w:rPr>
        <w:t>100 ml (10 g) roztoku v injekčnej liekovke (sklo typu II) so zátkou (</w:t>
      </w:r>
      <w:proofErr w:type="spellStart"/>
      <w:r w:rsidR="00217454">
        <w:rPr>
          <w:lang w:val="sk"/>
        </w:rPr>
        <w:t>brómbutyl</w:t>
      </w:r>
      <w:proofErr w:type="spellEnd"/>
      <w:r>
        <w:rPr>
          <w:lang w:val="sk"/>
        </w:rPr>
        <w:t>) a tesnením.</w:t>
      </w:r>
    </w:p>
    <w:p w14:paraId="1997561C" w14:textId="6D732166" w:rsidR="008B0B75" w:rsidRPr="009D5931" w:rsidRDefault="008B0B75" w:rsidP="008B0B75">
      <w:pPr>
        <w:pStyle w:val="Bezriadkovania"/>
        <w:rPr>
          <w:lang w:val="nl-NL"/>
        </w:rPr>
      </w:pPr>
      <w:r>
        <w:rPr>
          <w:lang w:val="sk"/>
        </w:rPr>
        <w:t>200 ml (20 g) roztoku v injekčnej liekovke (sklo typu II) so zátkou (</w:t>
      </w:r>
      <w:proofErr w:type="spellStart"/>
      <w:r w:rsidR="00217454">
        <w:rPr>
          <w:lang w:val="sk"/>
        </w:rPr>
        <w:t>brómbutyl</w:t>
      </w:r>
      <w:proofErr w:type="spellEnd"/>
      <w:r>
        <w:rPr>
          <w:lang w:val="sk"/>
        </w:rPr>
        <w:t>) a tesnením.</w:t>
      </w:r>
    </w:p>
    <w:p w14:paraId="5A4AA1D2" w14:textId="74D53180" w:rsidR="008D1E94" w:rsidRPr="009D5931" w:rsidRDefault="008B0B75" w:rsidP="008D1E94">
      <w:pPr>
        <w:pStyle w:val="Bezriadkovania"/>
        <w:rPr>
          <w:lang w:val="nl-NL"/>
        </w:rPr>
      </w:pPr>
      <w:r>
        <w:rPr>
          <w:lang w:val="sk"/>
        </w:rPr>
        <w:t>300 ml (30 g) roztoku v injekčnej liekovke (sklo typu II) so zátkou (</w:t>
      </w:r>
      <w:proofErr w:type="spellStart"/>
      <w:r w:rsidR="00217454">
        <w:rPr>
          <w:lang w:val="sk"/>
        </w:rPr>
        <w:t>brómbutyl</w:t>
      </w:r>
      <w:proofErr w:type="spellEnd"/>
      <w:r>
        <w:rPr>
          <w:lang w:val="sk"/>
        </w:rPr>
        <w:t>) a tesnením.</w:t>
      </w:r>
    </w:p>
    <w:p w14:paraId="7C2EE72D" w14:textId="2E762A8F" w:rsidR="00A500C6" w:rsidRPr="009D5931" w:rsidRDefault="00A500C6" w:rsidP="00C61F87">
      <w:pPr>
        <w:spacing w:before="240"/>
        <w:rPr>
          <w:lang w:val="nl-NL"/>
        </w:rPr>
      </w:pPr>
      <w:r>
        <w:rPr>
          <w:lang w:val="sk"/>
        </w:rPr>
        <w:t xml:space="preserve">Pri všetkých vyššie uvedených druhoch obsahuje balenie 1 </w:t>
      </w:r>
      <w:r w:rsidR="004418A5">
        <w:rPr>
          <w:lang w:val="sk"/>
        </w:rPr>
        <w:t>injekčnú liekovku</w:t>
      </w:r>
      <w:r>
        <w:rPr>
          <w:lang w:val="sk"/>
        </w:rPr>
        <w:t>.</w:t>
      </w:r>
    </w:p>
    <w:p w14:paraId="2E67AD26" w14:textId="77777777" w:rsidR="00A500C6" w:rsidRPr="009D5931" w:rsidRDefault="00A500C6" w:rsidP="00FF664F">
      <w:pPr>
        <w:rPr>
          <w:lang w:val="nl-NL"/>
        </w:rPr>
      </w:pPr>
      <w:r>
        <w:rPr>
          <w:lang w:val="sk"/>
        </w:rPr>
        <w:t>Na trh nemusia byť uvedené všetky veľkosti balenia.</w:t>
      </w:r>
    </w:p>
    <w:p w14:paraId="5A6A51C3" w14:textId="0773DBE0" w:rsidR="007B43D7" w:rsidRPr="009D5931" w:rsidRDefault="007B43D7" w:rsidP="00062519">
      <w:pPr>
        <w:pStyle w:val="Nadpis2"/>
        <w:rPr>
          <w:lang w:val="nl-NL"/>
        </w:rPr>
      </w:pPr>
      <w:r>
        <w:rPr>
          <w:lang w:val="sk"/>
        </w:rPr>
        <w:t>6.6</w:t>
      </w:r>
      <w:r>
        <w:rPr>
          <w:lang w:val="sk"/>
        </w:rPr>
        <w:tab/>
        <w:t>Špeciálne opatrenia na likvidáciu a iné zaobchádzanie s liekom</w:t>
      </w:r>
    </w:p>
    <w:p w14:paraId="3BCF8034" w14:textId="38AE12F2" w:rsidR="00994628" w:rsidRPr="009D5931" w:rsidRDefault="004418A5" w:rsidP="00994628">
      <w:pPr>
        <w:rPr>
          <w:lang w:val="sk"/>
        </w:rPr>
      </w:pPr>
      <w:r>
        <w:rPr>
          <w:lang w:val="sk"/>
        </w:rPr>
        <w:t xml:space="preserve">Liek </w:t>
      </w:r>
      <w:r w:rsidR="007B43D7">
        <w:rPr>
          <w:lang w:val="sk"/>
        </w:rPr>
        <w:t>musí pred použitím dosiahnuť izbovú alebo telesnú teplotu. Roztok m</w:t>
      </w:r>
      <w:r>
        <w:rPr>
          <w:lang w:val="sk"/>
        </w:rPr>
        <w:t>á</w:t>
      </w:r>
      <w:r w:rsidR="007B43D7">
        <w:rPr>
          <w:lang w:val="sk"/>
        </w:rPr>
        <w:t xml:space="preserve"> byť priehľadný alebo zľahka zakalený a bezfarebný alebo bledožltý. Nepoužívajte roztoky, ktoré sú zakalené alebo obsahujú usadeniny.</w:t>
      </w:r>
    </w:p>
    <w:p w14:paraId="227626FB" w14:textId="5B19879E" w:rsidR="007B43D7" w:rsidRPr="009D5931" w:rsidRDefault="007B43D7" w:rsidP="00D773C2">
      <w:pPr>
        <w:rPr>
          <w:lang w:val="sk"/>
        </w:rPr>
      </w:pPr>
      <w:r>
        <w:rPr>
          <w:lang w:val="sk"/>
        </w:rPr>
        <w:t xml:space="preserve">Pre pacientov dostávajúcich veľké množstvá </w:t>
      </w:r>
      <w:proofErr w:type="spellStart"/>
      <w:r>
        <w:rPr>
          <w:lang w:val="sk"/>
        </w:rPr>
        <w:t>Nanogam</w:t>
      </w:r>
      <w:r w:rsidR="004418A5">
        <w:rPr>
          <w:lang w:val="sk"/>
        </w:rPr>
        <w:t>u</w:t>
      </w:r>
      <w:proofErr w:type="spellEnd"/>
      <w:r>
        <w:rPr>
          <w:lang w:val="sk"/>
        </w:rPr>
        <w:t xml:space="preserve"> je tiež možné preniesť obsah niekoľkých liekoviek do</w:t>
      </w:r>
      <w:r w:rsidR="004418A5">
        <w:rPr>
          <w:lang w:val="sk"/>
        </w:rPr>
        <w:t xml:space="preserve"> obalu z</w:t>
      </w:r>
      <w:r>
        <w:rPr>
          <w:lang w:val="sk"/>
        </w:rPr>
        <w:t xml:space="preserve"> </w:t>
      </w:r>
      <w:proofErr w:type="spellStart"/>
      <w:r>
        <w:rPr>
          <w:lang w:val="sk"/>
        </w:rPr>
        <w:t>etylvinylacetát</w:t>
      </w:r>
      <w:r w:rsidR="004418A5">
        <w:rPr>
          <w:lang w:val="sk"/>
        </w:rPr>
        <w:t>u</w:t>
      </w:r>
      <w:proofErr w:type="spellEnd"/>
      <w:r>
        <w:rPr>
          <w:lang w:val="sk"/>
        </w:rPr>
        <w:t xml:space="preserve"> (</w:t>
      </w:r>
      <w:r w:rsidR="004418A5">
        <w:rPr>
          <w:lang w:val="sk"/>
        </w:rPr>
        <w:t>obal</w:t>
      </w:r>
      <w:r>
        <w:rPr>
          <w:lang w:val="sk"/>
        </w:rPr>
        <w:t xml:space="preserve"> na </w:t>
      </w:r>
      <w:proofErr w:type="spellStart"/>
      <w:r>
        <w:rPr>
          <w:lang w:val="sk"/>
        </w:rPr>
        <w:t>parenterálnu</w:t>
      </w:r>
      <w:proofErr w:type="spellEnd"/>
      <w:r>
        <w:rPr>
          <w:lang w:val="sk"/>
        </w:rPr>
        <w:t xml:space="preserve"> výživu </w:t>
      </w:r>
      <w:proofErr w:type="spellStart"/>
      <w:r>
        <w:rPr>
          <w:lang w:val="sk"/>
        </w:rPr>
        <w:t>Clintec</w:t>
      </w:r>
      <w:proofErr w:type="spellEnd"/>
      <w:r w:rsidRPr="00666F49">
        <w:rPr>
          <w:vertAlign w:val="superscript"/>
          <w:lang w:val="sk"/>
        </w:rPr>
        <w:sym w:font="Symbol" w:char="F0E2"/>
      </w:r>
      <w:r>
        <w:rPr>
          <w:lang w:val="sk"/>
        </w:rPr>
        <w:t xml:space="preserve"> EVA, </w:t>
      </w:r>
      <w:proofErr w:type="spellStart"/>
      <w:r>
        <w:rPr>
          <w:lang w:val="sk"/>
        </w:rPr>
        <w:t>Baxter</w:t>
      </w:r>
      <w:proofErr w:type="spellEnd"/>
      <w:r>
        <w:rPr>
          <w:lang w:val="sk"/>
        </w:rPr>
        <w:t xml:space="preserve">, CE0123). Tieto </w:t>
      </w:r>
      <w:r w:rsidR="004418A5">
        <w:rPr>
          <w:lang w:val="sk"/>
        </w:rPr>
        <w:t>obaly</w:t>
      </w:r>
      <w:r>
        <w:rPr>
          <w:lang w:val="sk"/>
        </w:rPr>
        <w:t xml:space="preserve"> je možné naplniť </w:t>
      </w:r>
      <w:proofErr w:type="spellStart"/>
      <w:r>
        <w:rPr>
          <w:lang w:val="sk"/>
        </w:rPr>
        <w:t>Nanogam</w:t>
      </w:r>
      <w:r w:rsidR="004418A5">
        <w:rPr>
          <w:lang w:val="sk"/>
        </w:rPr>
        <w:t>om</w:t>
      </w:r>
      <w:proofErr w:type="spellEnd"/>
      <w:r>
        <w:rPr>
          <w:lang w:val="sk"/>
        </w:rPr>
        <w:t xml:space="preserve"> do m</w:t>
      </w:r>
      <w:r w:rsidR="00666F49">
        <w:rPr>
          <w:lang w:val="sk"/>
        </w:rPr>
        <w:t>inimálne 20% a maximálne 80</w:t>
      </w:r>
      <w:r>
        <w:rPr>
          <w:lang w:val="sk"/>
        </w:rPr>
        <w:t xml:space="preserve">% celkového objemu </w:t>
      </w:r>
      <w:r w:rsidR="004418A5">
        <w:rPr>
          <w:lang w:val="sk"/>
        </w:rPr>
        <w:t>obalu</w:t>
      </w:r>
      <w:r w:rsidR="00684E3C">
        <w:rPr>
          <w:lang w:val="sk"/>
        </w:rPr>
        <w:t xml:space="preserve"> (pre </w:t>
      </w:r>
      <w:r w:rsidR="004418A5">
        <w:rPr>
          <w:lang w:val="sk"/>
        </w:rPr>
        <w:t>obaly</w:t>
      </w:r>
      <w:r w:rsidR="00684E3C">
        <w:rPr>
          <w:lang w:val="sk"/>
        </w:rPr>
        <w:t xml:space="preserve"> s objemom 500 </w:t>
      </w:r>
      <w:r>
        <w:rPr>
          <w:lang w:val="sk"/>
        </w:rPr>
        <w:t>ml a</w:t>
      </w:r>
      <w:r w:rsidR="00684E3C">
        <w:rPr>
          <w:lang w:val="sk"/>
        </w:rPr>
        <w:t> </w:t>
      </w:r>
      <w:r>
        <w:rPr>
          <w:lang w:val="sk"/>
        </w:rPr>
        <w:t>1</w:t>
      </w:r>
      <w:r w:rsidR="00684E3C">
        <w:rPr>
          <w:lang w:val="sk"/>
        </w:rPr>
        <w:t> </w:t>
      </w:r>
      <w:r>
        <w:rPr>
          <w:lang w:val="sk"/>
        </w:rPr>
        <w:t xml:space="preserve">l). Vo všetkých krokoch používajte aseptickú techniku. Z mikrobiologických dôvodov je nutné infúziu začať čo najskôr po prenesení  </w:t>
      </w:r>
      <w:proofErr w:type="spellStart"/>
      <w:r>
        <w:rPr>
          <w:lang w:val="sk"/>
        </w:rPr>
        <w:t>Nanogam</w:t>
      </w:r>
      <w:r w:rsidR="004418A5">
        <w:rPr>
          <w:lang w:val="sk"/>
        </w:rPr>
        <w:t>u</w:t>
      </w:r>
      <w:proofErr w:type="spellEnd"/>
      <w:r>
        <w:rPr>
          <w:lang w:val="sk"/>
        </w:rPr>
        <w:t xml:space="preserve"> do </w:t>
      </w:r>
      <w:r w:rsidR="00A06ECB">
        <w:rPr>
          <w:lang w:val="sk"/>
        </w:rPr>
        <w:t>obalu</w:t>
      </w:r>
      <w:r>
        <w:rPr>
          <w:lang w:val="sk"/>
        </w:rPr>
        <w:t xml:space="preserve"> EVA, nie však neskôr než 3 hodiny po prenesení.</w:t>
      </w:r>
    </w:p>
    <w:p w14:paraId="51406886" w14:textId="7D74A292" w:rsidR="00A06ECB" w:rsidRPr="00AD4BA5" w:rsidRDefault="00A06ECB" w:rsidP="00A06ECB">
      <w:pPr>
        <w:rPr>
          <w:lang w:val="sk"/>
        </w:rPr>
      </w:pPr>
      <w:r>
        <w:rPr>
          <w:lang w:val="sk"/>
        </w:rPr>
        <w:t>Všetok n</w:t>
      </w:r>
      <w:r w:rsidR="007B43D7">
        <w:rPr>
          <w:lang w:val="sk"/>
        </w:rPr>
        <w:t xml:space="preserve">epoužitý liek alebo odpad vzniknutý z lieku sa má zlikvidovať v súlade s </w:t>
      </w:r>
      <w:r w:rsidRPr="00AD4BA5">
        <w:rPr>
          <w:lang w:val="sk"/>
        </w:rPr>
        <w:t>národnými požiadavkami.</w:t>
      </w:r>
    </w:p>
    <w:p w14:paraId="29C227BA" w14:textId="1ACB93EF" w:rsidR="007B43D7" w:rsidRPr="009D5931" w:rsidRDefault="007B43D7" w:rsidP="00994628">
      <w:pPr>
        <w:rPr>
          <w:lang w:val="sk"/>
        </w:rPr>
      </w:pPr>
    </w:p>
    <w:p w14:paraId="187ADB6C" w14:textId="77777777" w:rsidR="007B43D7" w:rsidRPr="00857935" w:rsidRDefault="007B43D7" w:rsidP="00FF664F">
      <w:pPr>
        <w:pStyle w:val="Nadpis1"/>
      </w:pPr>
      <w:r>
        <w:rPr>
          <w:lang w:val="sk"/>
        </w:rPr>
        <w:t>7.</w:t>
      </w:r>
      <w:r>
        <w:rPr>
          <w:lang w:val="sk"/>
        </w:rPr>
        <w:tab/>
        <w:t>DRŽITEĽ ROZHODNUTIA O REGISTRÁCII</w:t>
      </w:r>
    </w:p>
    <w:p w14:paraId="3C407156" w14:textId="77777777" w:rsidR="007B43D7" w:rsidRPr="00857935" w:rsidRDefault="0015721D" w:rsidP="005D6201">
      <w:pPr>
        <w:pStyle w:val="Bezriadkovania"/>
        <w:keepNext/>
        <w:keepLines/>
      </w:pPr>
      <w:proofErr w:type="spellStart"/>
      <w:r>
        <w:rPr>
          <w:lang w:val="sk"/>
        </w:rPr>
        <w:t>Sanquin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Plasma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Products</w:t>
      </w:r>
      <w:proofErr w:type="spellEnd"/>
      <w:r>
        <w:rPr>
          <w:lang w:val="sk"/>
        </w:rPr>
        <w:t xml:space="preserve"> B.V.</w:t>
      </w:r>
    </w:p>
    <w:p w14:paraId="0F48C570" w14:textId="77777777" w:rsidR="007B43D7" w:rsidRPr="004A237A" w:rsidRDefault="0015721D" w:rsidP="005D6201">
      <w:pPr>
        <w:pStyle w:val="Bezriadkovania"/>
        <w:keepNext/>
        <w:keepLines/>
      </w:pPr>
      <w:proofErr w:type="spellStart"/>
      <w:r>
        <w:rPr>
          <w:lang w:val="sk"/>
        </w:rPr>
        <w:t>Plesmanlaan</w:t>
      </w:r>
      <w:proofErr w:type="spellEnd"/>
      <w:r>
        <w:rPr>
          <w:lang w:val="sk"/>
        </w:rPr>
        <w:t xml:space="preserve"> 125</w:t>
      </w:r>
    </w:p>
    <w:p w14:paraId="75CB2151" w14:textId="77777777" w:rsidR="0015721D" w:rsidRPr="005909A1" w:rsidRDefault="0015721D" w:rsidP="005D6201">
      <w:pPr>
        <w:pStyle w:val="Bezriadkovania"/>
        <w:keepNext/>
        <w:keepLines/>
      </w:pPr>
      <w:r>
        <w:rPr>
          <w:lang w:val="sk"/>
        </w:rPr>
        <w:t>NL-1066 CX Amsterdam</w:t>
      </w:r>
    </w:p>
    <w:p w14:paraId="0CCA1325" w14:textId="77777777" w:rsidR="004608BD" w:rsidRPr="005909A1" w:rsidRDefault="0015721D" w:rsidP="005D6201">
      <w:pPr>
        <w:pStyle w:val="Bezriadkovania"/>
        <w:keepNext/>
        <w:keepLines/>
      </w:pPr>
      <w:r>
        <w:rPr>
          <w:lang w:val="sk"/>
        </w:rPr>
        <w:t>Holandsko</w:t>
      </w:r>
    </w:p>
    <w:p w14:paraId="3F4D2984" w14:textId="77777777" w:rsidR="007B43D7" w:rsidRDefault="004608BD" w:rsidP="005D6201">
      <w:pPr>
        <w:pStyle w:val="Bezriadkovania"/>
        <w:keepNext/>
        <w:keepLines/>
        <w:rPr>
          <w:lang w:val="sk"/>
        </w:rPr>
      </w:pPr>
      <w:r>
        <w:rPr>
          <w:lang w:val="sk"/>
        </w:rPr>
        <w:t>Tel.: +31 20 512 3355</w:t>
      </w:r>
    </w:p>
    <w:p w14:paraId="3D9CFB74" w14:textId="77777777" w:rsidR="004418A5" w:rsidRPr="005909A1" w:rsidRDefault="004418A5" w:rsidP="005D6201">
      <w:pPr>
        <w:pStyle w:val="Bezriadkovania"/>
        <w:keepNext/>
        <w:keepLines/>
      </w:pPr>
    </w:p>
    <w:p w14:paraId="0E3E73D7" w14:textId="0F605DAE" w:rsidR="007B43D7" w:rsidRPr="00857935" w:rsidRDefault="007B43D7" w:rsidP="00FF664F">
      <w:pPr>
        <w:pStyle w:val="Nadpis1"/>
      </w:pPr>
      <w:r>
        <w:rPr>
          <w:lang w:val="sk"/>
        </w:rPr>
        <w:t>8.</w:t>
      </w:r>
      <w:r>
        <w:rPr>
          <w:lang w:val="sk"/>
        </w:rPr>
        <w:tab/>
        <w:t xml:space="preserve">REGISTRAČNÉ ČÍSLO </w:t>
      </w:r>
    </w:p>
    <w:p w14:paraId="0CEEAC24" w14:textId="054C6252" w:rsidR="0091624B" w:rsidRDefault="00BD0B9C" w:rsidP="0091624B">
      <w:proofErr w:type="spellStart"/>
      <w:proofErr w:type="gramStart"/>
      <w:r>
        <w:t>Reg.č</w:t>
      </w:r>
      <w:proofErr w:type="spellEnd"/>
      <w:r>
        <w:t>.:</w:t>
      </w:r>
      <w:proofErr w:type="gramEnd"/>
      <w:r>
        <w:t xml:space="preserve"> </w:t>
      </w:r>
      <w:r w:rsidRPr="00BD0B9C">
        <w:t>59/0207/20-S</w:t>
      </w:r>
    </w:p>
    <w:p w14:paraId="5E649F35" w14:textId="77777777" w:rsidR="00BD0B9C" w:rsidRPr="00857935" w:rsidRDefault="00BD0B9C" w:rsidP="0091624B">
      <w:bookmarkStart w:id="1" w:name="_GoBack"/>
      <w:bookmarkEnd w:id="1"/>
    </w:p>
    <w:p w14:paraId="3B4E9AEC" w14:textId="77777777" w:rsidR="007B43D7" w:rsidRPr="00857935" w:rsidRDefault="007B43D7" w:rsidP="00FF664F">
      <w:pPr>
        <w:pStyle w:val="Nadpis1"/>
      </w:pPr>
      <w:r>
        <w:rPr>
          <w:lang w:val="sk"/>
        </w:rPr>
        <w:t>9.</w:t>
      </w:r>
      <w:r>
        <w:rPr>
          <w:lang w:val="sk"/>
        </w:rPr>
        <w:tab/>
        <w:t>DÁTUM PRVEJ REGISTRÁCIE/PREDĹŽENIA REGISTRÁCIE</w:t>
      </w:r>
    </w:p>
    <w:p w14:paraId="519A3244" w14:textId="4D55A764" w:rsidR="0091624B" w:rsidRPr="00AD4BA5" w:rsidRDefault="004418A5" w:rsidP="0091624B">
      <w:pPr>
        <w:rPr>
          <w:lang w:val="nl-NL"/>
        </w:rPr>
      </w:pPr>
      <w:r w:rsidRPr="00AD4BA5">
        <w:rPr>
          <w:lang w:val="nl-NL"/>
        </w:rPr>
        <w:t>Dátum prvej registrácie:</w:t>
      </w:r>
    </w:p>
    <w:p w14:paraId="6A03764D" w14:textId="77777777" w:rsidR="004418A5" w:rsidRPr="00AD4BA5" w:rsidRDefault="004418A5" w:rsidP="0091624B">
      <w:pPr>
        <w:rPr>
          <w:lang w:val="nl-NL"/>
        </w:rPr>
      </w:pPr>
    </w:p>
    <w:p w14:paraId="23872F13" w14:textId="77777777" w:rsidR="007B43D7" w:rsidRPr="00AD4BA5" w:rsidRDefault="007B43D7" w:rsidP="00FF664F">
      <w:pPr>
        <w:pStyle w:val="Nadpis1"/>
        <w:rPr>
          <w:lang w:val="nl-NL"/>
        </w:rPr>
      </w:pPr>
      <w:r>
        <w:rPr>
          <w:lang w:val="sk"/>
        </w:rPr>
        <w:t>10.</w:t>
      </w:r>
      <w:r>
        <w:rPr>
          <w:lang w:val="sk"/>
        </w:rPr>
        <w:tab/>
        <w:t>DÁTUM REVÍZIE TEXTU</w:t>
      </w:r>
    </w:p>
    <w:p w14:paraId="1425B39D" w14:textId="4A6763DC" w:rsidR="0010161C" w:rsidRPr="004A237A" w:rsidRDefault="004418A5" w:rsidP="00EA4795">
      <w:pPr>
        <w:rPr>
          <w:sz w:val="20"/>
        </w:rPr>
      </w:pPr>
      <w:r>
        <w:rPr>
          <w:sz w:val="20"/>
        </w:rPr>
        <w:t>09/2020</w:t>
      </w:r>
    </w:p>
    <w:sectPr w:rsidR="0010161C" w:rsidRPr="004A237A" w:rsidSect="00EA4795"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1418" w:right="992" w:bottom="1276" w:left="1276" w:header="737" w:footer="424" w:gutter="0"/>
      <w:pgNumType w:start="1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43F10" w14:textId="77777777" w:rsidR="0003717A" w:rsidRDefault="0003717A" w:rsidP="00FF664F">
      <w:r>
        <w:separator/>
      </w:r>
    </w:p>
    <w:p w14:paraId="7F543288" w14:textId="77777777" w:rsidR="0003717A" w:rsidRDefault="0003717A"/>
    <w:p w14:paraId="5C2396FF" w14:textId="77777777" w:rsidR="0003717A" w:rsidRDefault="0003717A"/>
    <w:p w14:paraId="5C649DC2" w14:textId="77777777" w:rsidR="0003717A" w:rsidRDefault="0003717A"/>
  </w:endnote>
  <w:endnote w:type="continuationSeparator" w:id="0">
    <w:p w14:paraId="2D1ADE5C" w14:textId="77777777" w:rsidR="0003717A" w:rsidRDefault="0003717A" w:rsidP="00FF664F">
      <w:r>
        <w:continuationSeparator/>
      </w:r>
    </w:p>
    <w:p w14:paraId="7AD13D58" w14:textId="77777777" w:rsidR="0003717A" w:rsidRDefault="0003717A"/>
    <w:p w14:paraId="482B5593" w14:textId="77777777" w:rsidR="0003717A" w:rsidRDefault="0003717A"/>
    <w:p w14:paraId="417EC4F0" w14:textId="77777777" w:rsidR="0003717A" w:rsidRDefault="0003717A"/>
  </w:endnote>
  <w:endnote w:type="continuationNotice" w:id="1">
    <w:p w14:paraId="7BEBB99D" w14:textId="77777777" w:rsidR="0003717A" w:rsidRDefault="0003717A">
      <w:pPr>
        <w:spacing w:after="0"/>
      </w:pPr>
    </w:p>
    <w:p w14:paraId="1D3CBE1D" w14:textId="77777777" w:rsidR="0003717A" w:rsidRDefault="0003717A"/>
    <w:p w14:paraId="3E561E99" w14:textId="77777777" w:rsidR="0003717A" w:rsidRDefault="0003717A"/>
    <w:p w14:paraId="08E0B90A" w14:textId="77777777" w:rsidR="0003717A" w:rsidRDefault="000371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15633" w14:textId="1D377B0D" w:rsidR="0003717A" w:rsidRDefault="0003717A" w:rsidP="001E6CD2">
    <w:pPr>
      <w:jc w:val="center"/>
    </w:pPr>
    <w:r>
      <w:rPr>
        <w:lang w:val="sk"/>
      </w:rPr>
      <w:fldChar w:fldCharType="begin"/>
    </w:r>
    <w:r>
      <w:rPr>
        <w:lang w:val="sk"/>
      </w:rPr>
      <w:instrText xml:space="preserve"> PAGE   \* MERGEFORMAT </w:instrText>
    </w:r>
    <w:r>
      <w:rPr>
        <w:lang w:val="sk"/>
      </w:rPr>
      <w:fldChar w:fldCharType="separate"/>
    </w:r>
    <w:r w:rsidR="007A2BA2">
      <w:rPr>
        <w:noProof/>
        <w:lang w:val="sk"/>
      </w:rPr>
      <w:t>12</w:t>
    </w:r>
    <w:r>
      <w:rPr>
        <w:noProof/>
        <w:lang w:val="s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45F00" w14:textId="77777777" w:rsidR="0003717A" w:rsidRDefault="0003717A" w:rsidP="00FF664F">
      <w:r>
        <w:separator/>
      </w:r>
    </w:p>
    <w:p w14:paraId="16ED24CC" w14:textId="77777777" w:rsidR="0003717A" w:rsidRDefault="0003717A"/>
    <w:p w14:paraId="22A95684" w14:textId="77777777" w:rsidR="0003717A" w:rsidRDefault="0003717A"/>
    <w:p w14:paraId="5568DD78" w14:textId="77777777" w:rsidR="0003717A" w:rsidRDefault="0003717A"/>
  </w:footnote>
  <w:footnote w:type="continuationSeparator" w:id="0">
    <w:p w14:paraId="67534FA6" w14:textId="77777777" w:rsidR="0003717A" w:rsidRDefault="0003717A" w:rsidP="00FF664F">
      <w:r>
        <w:continuationSeparator/>
      </w:r>
    </w:p>
    <w:p w14:paraId="02237C49" w14:textId="77777777" w:rsidR="0003717A" w:rsidRDefault="0003717A"/>
    <w:p w14:paraId="26639BFE" w14:textId="77777777" w:rsidR="0003717A" w:rsidRDefault="0003717A"/>
    <w:p w14:paraId="56641DD7" w14:textId="77777777" w:rsidR="0003717A" w:rsidRDefault="0003717A"/>
  </w:footnote>
  <w:footnote w:type="continuationNotice" w:id="1">
    <w:p w14:paraId="0DA6B5BE" w14:textId="77777777" w:rsidR="0003717A" w:rsidRDefault="0003717A">
      <w:pPr>
        <w:spacing w:after="0"/>
      </w:pPr>
    </w:p>
    <w:p w14:paraId="4F96F3CB" w14:textId="77777777" w:rsidR="0003717A" w:rsidRDefault="0003717A"/>
    <w:p w14:paraId="6D138E4E" w14:textId="77777777" w:rsidR="0003717A" w:rsidRDefault="0003717A"/>
    <w:p w14:paraId="22474531" w14:textId="77777777" w:rsidR="0003717A" w:rsidRDefault="000371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86D5C" w14:textId="2916C1C1" w:rsidR="00EC4190" w:rsidRPr="000415AE" w:rsidRDefault="00EC4190">
    <w:pPr>
      <w:pStyle w:val="Hlavika"/>
      <w:rPr>
        <w:rFonts w:ascii="Times New Roman" w:hAnsi="Times New Roman"/>
        <w:sz w:val="18"/>
        <w:szCs w:val="18"/>
      </w:rPr>
    </w:pPr>
    <w:proofErr w:type="spellStart"/>
    <w:r w:rsidRPr="000415AE">
      <w:rPr>
        <w:rFonts w:ascii="Times New Roman" w:eastAsia="Calibri" w:hAnsi="Times New Roman"/>
        <w:sz w:val="18"/>
        <w:szCs w:val="18"/>
        <w:lang w:val="en-US"/>
      </w:rPr>
      <w:t>Schválený</w:t>
    </w:r>
    <w:proofErr w:type="spellEnd"/>
    <w:r w:rsidRPr="000415AE">
      <w:rPr>
        <w:rFonts w:ascii="Times New Roman" w:eastAsia="Calibri" w:hAnsi="Times New Roman"/>
        <w:sz w:val="18"/>
        <w:szCs w:val="18"/>
        <w:lang w:val="en-US"/>
      </w:rPr>
      <w:t xml:space="preserve"> text k </w:t>
    </w:r>
    <w:proofErr w:type="spellStart"/>
    <w:r w:rsidRPr="000415AE">
      <w:rPr>
        <w:rFonts w:ascii="Times New Roman" w:eastAsia="Calibri" w:hAnsi="Times New Roman"/>
        <w:sz w:val="18"/>
        <w:szCs w:val="18"/>
        <w:lang w:val="en-US"/>
      </w:rPr>
      <w:t>rozhodnutiu</w:t>
    </w:r>
    <w:proofErr w:type="spellEnd"/>
    <w:r w:rsidRPr="000415AE">
      <w:rPr>
        <w:rFonts w:ascii="Times New Roman" w:eastAsia="Calibri" w:hAnsi="Times New Roman"/>
        <w:sz w:val="18"/>
        <w:szCs w:val="18"/>
        <w:lang w:val="en-US"/>
      </w:rPr>
      <w:t xml:space="preserve"> o </w:t>
    </w:r>
    <w:proofErr w:type="spellStart"/>
    <w:r w:rsidRPr="000415AE">
      <w:rPr>
        <w:rFonts w:ascii="Times New Roman" w:eastAsia="Calibri" w:hAnsi="Times New Roman"/>
        <w:sz w:val="18"/>
        <w:szCs w:val="18"/>
        <w:lang w:val="en-US"/>
      </w:rPr>
      <w:t>registrácii</w:t>
    </w:r>
    <w:proofErr w:type="spellEnd"/>
    <w:r w:rsidRPr="000415AE">
      <w:rPr>
        <w:rFonts w:ascii="Times New Roman" w:eastAsia="Calibri" w:hAnsi="Times New Roman"/>
        <w:sz w:val="18"/>
        <w:szCs w:val="18"/>
        <w:lang w:val="en-US"/>
      </w:rPr>
      <w:t xml:space="preserve">, </w:t>
    </w:r>
    <w:proofErr w:type="spellStart"/>
    <w:proofErr w:type="gramStart"/>
    <w:r w:rsidRPr="000415AE">
      <w:rPr>
        <w:rFonts w:ascii="Times New Roman" w:eastAsia="Calibri" w:hAnsi="Times New Roman"/>
        <w:sz w:val="18"/>
        <w:szCs w:val="18"/>
        <w:lang w:val="en-US"/>
      </w:rPr>
      <w:t>ev.č</w:t>
    </w:r>
    <w:proofErr w:type="spellEnd"/>
    <w:r w:rsidRPr="000415AE">
      <w:rPr>
        <w:rFonts w:ascii="Times New Roman" w:eastAsia="Calibri" w:hAnsi="Times New Roman"/>
        <w:sz w:val="18"/>
        <w:szCs w:val="18"/>
        <w:lang w:val="en-US"/>
      </w:rPr>
      <w:t>.:</w:t>
    </w:r>
    <w:proofErr w:type="gramEnd"/>
    <w:r w:rsidRPr="000415AE">
      <w:rPr>
        <w:rFonts w:ascii="Times New Roman" w:eastAsia="Calibri" w:hAnsi="Times New Roman"/>
        <w:sz w:val="18"/>
        <w:szCs w:val="18"/>
        <w:lang w:val="en-US"/>
      </w:rPr>
      <w:t xml:space="preserve"> 2020/00885-REG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BB033" w14:textId="77777777" w:rsidR="0003717A" w:rsidRDefault="0003717A" w:rsidP="0035256E">
    <w:pPr>
      <w:jc w:val="right"/>
    </w:pPr>
    <w:r>
      <w:rPr>
        <w:lang w:val="sk"/>
      </w:rPr>
      <w:t xml:space="preserve">Písomná informácia – </w:t>
    </w:r>
    <w:proofErr w:type="spellStart"/>
    <w:r>
      <w:rPr>
        <w:lang w:val="sk"/>
      </w:rPr>
      <w:t>Nanogam</w:t>
    </w:r>
    <w:proofErr w:type="spellEnd"/>
    <w:r>
      <w:rPr>
        <w:lang w:val="sk"/>
      </w:rPr>
      <w:t xml:space="preserve"> – Spoločná (slovensky) – 19. 6. 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6A4333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EE44EE"/>
    <w:multiLevelType w:val="hybridMultilevel"/>
    <w:tmpl w:val="675CCD3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11C02"/>
    <w:multiLevelType w:val="hybridMultilevel"/>
    <w:tmpl w:val="5C80F72A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1111"/>
    <w:multiLevelType w:val="hybridMultilevel"/>
    <w:tmpl w:val="DD62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E3074"/>
    <w:multiLevelType w:val="singleLevel"/>
    <w:tmpl w:val="BA0292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56310C"/>
    <w:multiLevelType w:val="hybridMultilevel"/>
    <w:tmpl w:val="9440DA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900988"/>
    <w:multiLevelType w:val="singleLevel"/>
    <w:tmpl w:val="BA0292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AD51BBD"/>
    <w:multiLevelType w:val="hybridMultilevel"/>
    <w:tmpl w:val="4D1CAF9E"/>
    <w:lvl w:ilvl="0" w:tplc="3ED25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9375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2B470F"/>
    <w:multiLevelType w:val="hybridMultilevel"/>
    <w:tmpl w:val="3A369A8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00A5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7CA0CD4"/>
    <w:multiLevelType w:val="singleLevel"/>
    <w:tmpl w:val="F11C6FD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8B421DE"/>
    <w:multiLevelType w:val="hybridMultilevel"/>
    <w:tmpl w:val="E354C8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95EB3"/>
    <w:multiLevelType w:val="multilevel"/>
    <w:tmpl w:val="9E1ABF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546645C"/>
    <w:multiLevelType w:val="singleLevel"/>
    <w:tmpl w:val="BA0292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4AB37D59"/>
    <w:multiLevelType w:val="multilevel"/>
    <w:tmpl w:val="0F0C80C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BD7488D"/>
    <w:multiLevelType w:val="hybridMultilevel"/>
    <w:tmpl w:val="1C5AE7D4"/>
    <w:lvl w:ilvl="0" w:tplc="0413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4F720EEE"/>
    <w:multiLevelType w:val="hybridMultilevel"/>
    <w:tmpl w:val="A004564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614218"/>
    <w:multiLevelType w:val="hybridMultilevel"/>
    <w:tmpl w:val="BC78F152"/>
    <w:lvl w:ilvl="0" w:tplc="69F07BA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9B7664DA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2" w:tplc="5C3241A4">
      <w:start w:val="1"/>
      <w:numFmt w:val="bullet"/>
      <w:lvlText w:val="•"/>
      <w:lvlJc w:val="left"/>
      <w:rPr>
        <w:rFonts w:hint="default"/>
      </w:rPr>
    </w:lvl>
    <w:lvl w:ilvl="3" w:tplc="B3E03BBC">
      <w:start w:val="1"/>
      <w:numFmt w:val="bullet"/>
      <w:lvlText w:val="•"/>
      <w:lvlJc w:val="left"/>
      <w:rPr>
        <w:rFonts w:hint="default"/>
      </w:rPr>
    </w:lvl>
    <w:lvl w:ilvl="4" w:tplc="2F04F2D8">
      <w:start w:val="1"/>
      <w:numFmt w:val="bullet"/>
      <w:lvlText w:val="•"/>
      <w:lvlJc w:val="left"/>
      <w:rPr>
        <w:rFonts w:hint="default"/>
      </w:rPr>
    </w:lvl>
    <w:lvl w:ilvl="5" w:tplc="CCC67CDE">
      <w:start w:val="1"/>
      <w:numFmt w:val="bullet"/>
      <w:lvlText w:val="•"/>
      <w:lvlJc w:val="left"/>
      <w:rPr>
        <w:rFonts w:hint="default"/>
      </w:rPr>
    </w:lvl>
    <w:lvl w:ilvl="6" w:tplc="BA4EBEF2">
      <w:start w:val="1"/>
      <w:numFmt w:val="bullet"/>
      <w:lvlText w:val="•"/>
      <w:lvlJc w:val="left"/>
      <w:rPr>
        <w:rFonts w:hint="default"/>
      </w:rPr>
    </w:lvl>
    <w:lvl w:ilvl="7" w:tplc="BE0C4A68">
      <w:start w:val="1"/>
      <w:numFmt w:val="bullet"/>
      <w:lvlText w:val="•"/>
      <w:lvlJc w:val="left"/>
      <w:rPr>
        <w:rFonts w:hint="default"/>
      </w:rPr>
    </w:lvl>
    <w:lvl w:ilvl="8" w:tplc="0264F2F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4981D4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5C8114B"/>
    <w:multiLevelType w:val="hybridMultilevel"/>
    <w:tmpl w:val="25BA9D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A25465"/>
    <w:multiLevelType w:val="hybridMultilevel"/>
    <w:tmpl w:val="F4FAB18E"/>
    <w:lvl w:ilvl="0" w:tplc="3ED25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F64B3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4A0260E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5360243"/>
    <w:multiLevelType w:val="singleLevel"/>
    <w:tmpl w:val="BA0292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6761651"/>
    <w:multiLevelType w:val="singleLevel"/>
    <w:tmpl w:val="C3E47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A4232B2"/>
    <w:multiLevelType w:val="singleLevel"/>
    <w:tmpl w:val="7FFEAD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6B9D3D30"/>
    <w:multiLevelType w:val="singleLevel"/>
    <w:tmpl w:val="BA0292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EC636BF"/>
    <w:multiLevelType w:val="hybridMultilevel"/>
    <w:tmpl w:val="05E816D8"/>
    <w:lvl w:ilvl="0" w:tplc="459AA3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1"/>
  </w:num>
  <w:num w:numId="6">
    <w:abstractNumId w:val="25"/>
  </w:num>
  <w:num w:numId="7">
    <w:abstractNumId w:val="18"/>
  </w:num>
  <w:num w:numId="8">
    <w:abstractNumId w:val="10"/>
  </w:num>
  <w:num w:numId="9">
    <w:abstractNumId w:val="31"/>
  </w:num>
  <w:num w:numId="10">
    <w:abstractNumId w:val="23"/>
  </w:num>
  <w:num w:numId="11">
    <w:abstractNumId w:val="14"/>
  </w:num>
  <w:num w:numId="12">
    <w:abstractNumId w:val="19"/>
  </w:num>
  <w:num w:numId="13">
    <w:abstractNumId w:val="13"/>
  </w:num>
  <w:num w:numId="14">
    <w:abstractNumId w:val="33"/>
  </w:num>
  <w:num w:numId="15">
    <w:abstractNumId w:val="5"/>
  </w:num>
  <w:num w:numId="16">
    <w:abstractNumId w:val="7"/>
  </w:num>
  <w:num w:numId="17">
    <w:abstractNumId w:val="17"/>
  </w:num>
  <w:num w:numId="18">
    <w:abstractNumId w:val="29"/>
  </w:num>
  <w:num w:numId="19">
    <w:abstractNumId w:val="16"/>
  </w:num>
  <w:num w:numId="20">
    <w:abstractNumId w:val="6"/>
  </w:num>
  <w:num w:numId="21">
    <w:abstractNumId w:val="15"/>
  </w:num>
  <w:num w:numId="22">
    <w:abstractNumId w:val="4"/>
  </w:num>
  <w:num w:numId="23">
    <w:abstractNumId w:val="36"/>
  </w:num>
  <w:num w:numId="24">
    <w:abstractNumId w:val="32"/>
  </w:num>
  <w:num w:numId="25">
    <w:abstractNumId w:val="9"/>
  </w:num>
  <w:num w:numId="26">
    <w:abstractNumId w:val="30"/>
  </w:num>
  <w:num w:numId="27">
    <w:abstractNumId w:val="27"/>
  </w:num>
  <w:num w:numId="28">
    <w:abstractNumId w:val="28"/>
  </w:num>
  <w:num w:numId="29">
    <w:abstractNumId w:val="26"/>
  </w:num>
  <w:num w:numId="30">
    <w:abstractNumId w:val="8"/>
  </w:num>
  <w:num w:numId="31">
    <w:abstractNumId w:val="12"/>
  </w:num>
  <w:num w:numId="32">
    <w:abstractNumId w:val="0"/>
  </w:num>
  <w:num w:numId="33">
    <w:abstractNumId w:val="22"/>
  </w:num>
  <w:num w:numId="34">
    <w:abstractNumId w:val="20"/>
  </w:num>
  <w:num w:numId="35">
    <w:abstractNumId w:val="2"/>
  </w:num>
  <w:num w:numId="36">
    <w:abstractNumId w:val="21"/>
  </w:num>
  <w:num w:numId="37">
    <w:abstractNumId w:val="3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sv-FI" w:vendorID="22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NotTrackMoves/>
  <w:documentProtection w:edit="readOnly" w:enforcement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15721D"/>
    <w:rsid w:val="00000EF3"/>
    <w:rsid w:val="00000F66"/>
    <w:rsid w:val="00003883"/>
    <w:rsid w:val="00006BF3"/>
    <w:rsid w:val="00007526"/>
    <w:rsid w:val="00011F2E"/>
    <w:rsid w:val="00012627"/>
    <w:rsid w:val="0001349E"/>
    <w:rsid w:val="0001501B"/>
    <w:rsid w:val="00015177"/>
    <w:rsid w:val="000210B3"/>
    <w:rsid w:val="00023247"/>
    <w:rsid w:val="00025C5C"/>
    <w:rsid w:val="00026B17"/>
    <w:rsid w:val="00033D1D"/>
    <w:rsid w:val="0003554D"/>
    <w:rsid w:val="0003717A"/>
    <w:rsid w:val="000415AE"/>
    <w:rsid w:val="0004215B"/>
    <w:rsid w:val="00042534"/>
    <w:rsid w:val="00042824"/>
    <w:rsid w:val="00042D3E"/>
    <w:rsid w:val="0004314B"/>
    <w:rsid w:val="00043192"/>
    <w:rsid w:val="0005063F"/>
    <w:rsid w:val="00052F55"/>
    <w:rsid w:val="00053C78"/>
    <w:rsid w:val="00055725"/>
    <w:rsid w:val="00055A79"/>
    <w:rsid w:val="00057E85"/>
    <w:rsid w:val="00061684"/>
    <w:rsid w:val="00062519"/>
    <w:rsid w:val="00064C41"/>
    <w:rsid w:val="00067437"/>
    <w:rsid w:val="000704C2"/>
    <w:rsid w:val="0007200A"/>
    <w:rsid w:val="00075DCB"/>
    <w:rsid w:val="000800D6"/>
    <w:rsid w:val="00081160"/>
    <w:rsid w:val="0008165E"/>
    <w:rsid w:val="00083677"/>
    <w:rsid w:val="00085B4F"/>
    <w:rsid w:val="00086061"/>
    <w:rsid w:val="000869FF"/>
    <w:rsid w:val="000907A8"/>
    <w:rsid w:val="0009145A"/>
    <w:rsid w:val="00095AAB"/>
    <w:rsid w:val="000A1DD2"/>
    <w:rsid w:val="000A2121"/>
    <w:rsid w:val="000A2914"/>
    <w:rsid w:val="000B29DE"/>
    <w:rsid w:val="000B4263"/>
    <w:rsid w:val="000B7FBC"/>
    <w:rsid w:val="000C391F"/>
    <w:rsid w:val="000C4C37"/>
    <w:rsid w:val="000C7548"/>
    <w:rsid w:val="000D17B1"/>
    <w:rsid w:val="000D356C"/>
    <w:rsid w:val="000D6E42"/>
    <w:rsid w:val="000D7188"/>
    <w:rsid w:val="000E4BAB"/>
    <w:rsid w:val="000E716D"/>
    <w:rsid w:val="000F569B"/>
    <w:rsid w:val="000F69D0"/>
    <w:rsid w:val="000F7DEC"/>
    <w:rsid w:val="0010161C"/>
    <w:rsid w:val="00102F6F"/>
    <w:rsid w:val="001051BC"/>
    <w:rsid w:val="0010536C"/>
    <w:rsid w:val="00105A6D"/>
    <w:rsid w:val="0010794F"/>
    <w:rsid w:val="00113651"/>
    <w:rsid w:val="0011709A"/>
    <w:rsid w:val="00120FBF"/>
    <w:rsid w:val="0012452A"/>
    <w:rsid w:val="0012553E"/>
    <w:rsid w:val="0012628C"/>
    <w:rsid w:val="00126C44"/>
    <w:rsid w:val="00141B94"/>
    <w:rsid w:val="00142690"/>
    <w:rsid w:val="00142C6C"/>
    <w:rsid w:val="00144E49"/>
    <w:rsid w:val="00145FFF"/>
    <w:rsid w:val="00147059"/>
    <w:rsid w:val="00147D09"/>
    <w:rsid w:val="00154270"/>
    <w:rsid w:val="00154BF9"/>
    <w:rsid w:val="00155D88"/>
    <w:rsid w:val="00156D14"/>
    <w:rsid w:val="0015721D"/>
    <w:rsid w:val="0016098C"/>
    <w:rsid w:val="00163401"/>
    <w:rsid w:val="00164B69"/>
    <w:rsid w:val="0017008E"/>
    <w:rsid w:val="00172811"/>
    <w:rsid w:val="00173C4D"/>
    <w:rsid w:val="001744C1"/>
    <w:rsid w:val="00181DAF"/>
    <w:rsid w:val="00181F0D"/>
    <w:rsid w:val="001823F5"/>
    <w:rsid w:val="00186422"/>
    <w:rsid w:val="00186884"/>
    <w:rsid w:val="0018741C"/>
    <w:rsid w:val="00191172"/>
    <w:rsid w:val="0019570F"/>
    <w:rsid w:val="0019677A"/>
    <w:rsid w:val="00197C35"/>
    <w:rsid w:val="00197DA0"/>
    <w:rsid w:val="00197E7F"/>
    <w:rsid w:val="001A0658"/>
    <w:rsid w:val="001A1B28"/>
    <w:rsid w:val="001A2502"/>
    <w:rsid w:val="001A325B"/>
    <w:rsid w:val="001A39CE"/>
    <w:rsid w:val="001A3EAA"/>
    <w:rsid w:val="001A5A3C"/>
    <w:rsid w:val="001B0C76"/>
    <w:rsid w:val="001B1491"/>
    <w:rsid w:val="001B62F2"/>
    <w:rsid w:val="001B7BC0"/>
    <w:rsid w:val="001C196C"/>
    <w:rsid w:val="001C1CBD"/>
    <w:rsid w:val="001C203E"/>
    <w:rsid w:val="001C570E"/>
    <w:rsid w:val="001C5740"/>
    <w:rsid w:val="001C7511"/>
    <w:rsid w:val="001D0DE2"/>
    <w:rsid w:val="001D4666"/>
    <w:rsid w:val="001D5674"/>
    <w:rsid w:val="001E01C2"/>
    <w:rsid w:val="001E05AA"/>
    <w:rsid w:val="001E0BCC"/>
    <w:rsid w:val="001E0FCC"/>
    <w:rsid w:val="001E1140"/>
    <w:rsid w:val="001E218E"/>
    <w:rsid w:val="001E6143"/>
    <w:rsid w:val="001E6CD2"/>
    <w:rsid w:val="001F0DAA"/>
    <w:rsid w:val="001F1AA7"/>
    <w:rsid w:val="001F2497"/>
    <w:rsid w:val="001F303B"/>
    <w:rsid w:val="001F7B29"/>
    <w:rsid w:val="001F7C37"/>
    <w:rsid w:val="0020078B"/>
    <w:rsid w:val="00203B60"/>
    <w:rsid w:val="00205F30"/>
    <w:rsid w:val="00206041"/>
    <w:rsid w:val="0020628B"/>
    <w:rsid w:val="00207B6F"/>
    <w:rsid w:val="00207DFB"/>
    <w:rsid w:val="0021175D"/>
    <w:rsid w:val="002144FD"/>
    <w:rsid w:val="00215304"/>
    <w:rsid w:val="0021531B"/>
    <w:rsid w:val="00217454"/>
    <w:rsid w:val="002238C7"/>
    <w:rsid w:val="00232183"/>
    <w:rsid w:val="00233D6E"/>
    <w:rsid w:val="002438D8"/>
    <w:rsid w:val="00245B01"/>
    <w:rsid w:val="002507D1"/>
    <w:rsid w:val="002518C4"/>
    <w:rsid w:val="002528AD"/>
    <w:rsid w:val="00255E18"/>
    <w:rsid w:val="00255E30"/>
    <w:rsid w:val="00257582"/>
    <w:rsid w:val="00260922"/>
    <w:rsid w:val="00266DE3"/>
    <w:rsid w:val="00266E7C"/>
    <w:rsid w:val="002676B2"/>
    <w:rsid w:val="00267896"/>
    <w:rsid w:val="002739A4"/>
    <w:rsid w:val="00273BD8"/>
    <w:rsid w:val="0028013F"/>
    <w:rsid w:val="00281B44"/>
    <w:rsid w:val="00281CAF"/>
    <w:rsid w:val="0028475E"/>
    <w:rsid w:val="00285057"/>
    <w:rsid w:val="00291098"/>
    <w:rsid w:val="00291722"/>
    <w:rsid w:val="00291EB1"/>
    <w:rsid w:val="00292AAF"/>
    <w:rsid w:val="002935AB"/>
    <w:rsid w:val="00293824"/>
    <w:rsid w:val="00293C8E"/>
    <w:rsid w:val="002944C0"/>
    <w:rsid w:val="002A175B"/>
    <w:rsid w:val="002A1FB0"/>
    <w:rsid w:val="002A2C14"/>
    <w:rsid w:val="002A3889"/>
    <w:rsid w:val="002A73C2"/>
    <w:rsid w:val="002B2F59"/>
    <w:rsid w:val="002C3226"/>
    <w:rsid w:val="002C4A52"/>
    <w:rsid w:val="002D07B3"/>
    <w:rsid w:val="002D217C"/>
    <w:rsid w:val="002D376B"/>
    <w:rsid w:val="002D3AA2"/>
    <w:rsid w:val="002E1AB4"/>
    <w:rsid w:val="002E4817"/>
    <w:rsid w:val="002F0E82"/>
    <w:rsid w:val="002F1CE4"/>
    <w:rsid w:val="002F3028"/>
    <w:rsid w:val="002F309B"/>
    <w:rsid w:val="002F65FF"/>
    <w:rsid w:val="003010E9"/>
    <w:rsid w:val="00304E77"/>
    <w:rsid w:val="00304F4C"/>
    <w:rsid w:val="00307E19"/>
    <w:rsid w:val="00312629"/>
    <w:rsid w:val="003129F6"/>
    <w:rsid w:val="00316BB9"/>
    <w:rsid w:val="0032086A"/>
    <w:rsid w:val="00320F57"/>
    <w:rsid w:val="00323FB0"/>
    <w:rsid w:val="00323FD0"/>
    <w:rsid w:val="0032664E"/>
    <w:rsid w:val="00326B26"/>
    <w:rsid w:val="00327B8E"/>
    <w:rsid w:val="00330CEC"/>
    <w:rsid w:val="00333B09"/>
    <w:rsid w:val="003345C0"/>
    <w:rsid w:val="00334934"/>
    <w:rsid w:val="00337EA0"/>
    <w:rsid w:val="003424D6"/>
    <w:rsid w:val="0034282D"/>
    <w:rsid w:val="00343BF9"/>
    <w:rsid w:val="003467F5"/>
    <w:rsid w:val="00346AA2"/>
    <w:rsid w:val="00347704"/>
    <w:rsid w:val="00350ABF"/>
    <w:rsid w:val="0035256E"/>
    <w:rsid w:val="00352AE4"/>
    <w:rsid w:val="003610C2"/>
    <w:rsid w:val="003670C1"/>
    <w:rsid w:val="003678C1"/>
    <w:rsid w:val="003712C2"/>
    <w:rsid w:val="00375D55"/>
    <w:rsid w:val="00377629"/>
    <w:rsid w:val="00380DB2"/>
    <w:rsid w:val="00381718"/>
    <w:rsid w:val="00381DCE"/>
    <w:rsid w:val="00383537"/>
    <w:rsid w:val="00385FF2"/>
    <w:rsid w:val="003904D9"/>
    <w:rsid w:val="003909E8"/>
    <w:rsid w:val="00390C22"/>
    <w:rsid w:val="00391A73"/>
    <w:rsid w:val="0039456D"/>
    <w:rsid w:val="00396024"/>
    <w:rsid w:val="00396AEA"/>
    <w:rsid w:val="00397338"/>
    <w:rsid w:val="0039745D"/>
    <w:rsid w:val="003975C8"/>
    <w:rsid w:val="003A1704"/>
    <w:rsid w:val="003A2941"/>
    <w:rsid w:val="003A4752"/>
    <w:rsid w:val="003A4DFD"/>
    <w:rsid w:val="003A5846"/>
    <w:rsid w:val="003A62E5"/>
    <w:rsid w:val="003B14DB"/>
    <w:rsid w:val="003B3624"/>
    <w:rsid w:val="003B6150"/>
    <w:rsid w:val="003C1537"/>
    <w:rsid w:val="003C2826"/>
    <w:rsid w:val="003C310B"/>
    <w:rsid w:val="003C3792"/>
    <w:rsid w:val="003C473D"/>
    <w:rsid w:val="003D3C61"/>
    <w:rsid w:val="003E04BD"/>
    <w:rsid w:val="003E352F"/>
    <w:rsid w:val="003E78FE"/>
    <w:rsid w:val="003E7A47"/>
    <w:rsid w:val="003F7A90"/>
    <w:rsid w:val="0040016F"/>
    <w:rsid w:val="00402285"/>
    <w:rsid w:val="00404B16"/>
    <w:rsid w:val="00410C8B"/>
    <w:rsid w:val="00410C9B"/>
    <w:rsid w:val="004136FF"/>
    <w:rsid w:val="00413EFC"/>
    <w:rsid w:val="00414410"/>
    <w:rsid w:val="0041599A"/>
    <w:rsid w:val="00415F77"/>
    <w:rsid w:val="0041606B"/>
    <w:rsid w:val="004160C1"/>
    <w:rsid w:val="00416743"/>
    <w:rsid w:val="004205E0"/>
    <w:rsid w:val="004214E8"/>
    <w:rsid w:val="00427260"/>
    <w:rsid w:val="004279DC"/>
    <w:rsid w:val="004310D3"/>
    <w:rsid w:val="004311EE"/>
    <w:rsid w:val="004312BE"/>
    <w:rsid w:val="00432ADA"/>
    <w:rsid w:val="00434B20"/>
    <w:rsid w:val="00435635"/>
    <w:rsid w:val="00436F02"/>
    <w:rsid w:val="0044091F"/>
    <w:rsid w:val="004409A5"/>
    <w:rsid w:val="00441399"/>
    <w:rsid w:val="004418A5"/>
    <w:rsid w:val="00442624"/>
    <w:rsid w:val="00445849"/>
    <w:rsid w:val="00447AD7"/>
    <w:rsid w:val="00450224"/>
    <w:rsid w:val="004521F8"/>
    <w:rsid w:val="00452D20"/>
    <w:rsid w:val="00454544"/>
    <w:rsid w:val="00455F47"/>
    <w:rsid w:val="00456395"/>
    <w:rsid w:val="00460795"/>
    <w:rsid w:val="004608BD"/>
    <w:rsid w:val="00466497"/>
    <w:rsid w:val="00466C49"/>
    <w:rsid w:val="00467002"/>
    <w:rsid w:val="004712EA"/>
    <w:rsid w:val="004714FF"/>
    <w:rsid w:val="00472967"/>
    <w:rsid w:val="00472FB8"/>
    <w:rsid w:val="0047402B"/>
    <w:rsid w:val="00475838"/>
    <w:rsid w:val="00475CA7"/>
    <w:rsid w:val="00475FD7"/>
    <w:rsid w:val="004777E5"/>
    <w:rsid w:val="00480018"/>
    <w:rsid w:val="004813E7"/>
    <w:rsid w:val="00483E64"/>
    <w:rsid w:val="00491076"/>
    <w:rsid w:val="00491E1A"/>
    <w:rsid w:val="00492979"/>
    <w:rsid w:val="00494B09"/>
    <w:rsid w:val="004A237A"/>
    <w:rsid w:val="004A30A2"/>
    <w:rsid w:val="004A3357"/>
    <w:rsid w:val="004A43F8"/>
    <w:rsid w:val="004A6601"/>
    <w:rsid w:val="004A77E8"/>
    <w:rsid w:val="004B3CC3"/>
    <w:rsid w:val="004B4F47"/>
    <w:rsid w:val="004B6914"/>
    <w:rsid w:val="004B7F1C"/>
    <w:rsid w:val="004D1DDE"/>
    <w:rsid w:val="004D4BA5"/>
    <w:rsid w:val="004D5D20"/>
    <w:rsid w:val="004E341C"/>
    <w:rsid w:val="004E3EC0"/>
    <w:rsid w:val="004E4823"/>
    <w:rsid w:val="004F4486"/>
    <w:rsid w:val="004F460C"/>
    <w:rsid w:val="004F6FD8"/>
    <w:rsid w:val="004F7FF7"/>
    <w:rsid w:val="00503FDF"/>
    <w:rsid w:val="00507926"/>
    <w:rsid w:val="00512BE4"/>
    <w:rsid w:val="00512BE6"/>
    <w:rsid w:val="00513477"/>
    <w:rsid w:val="00514AAC"/>
    <w:rsid w:val="00515251"/>
    <w:rsid w:val="00517196"/>
    <w:rsid w:val="00536692"/>
    <w:rsid w:val="00541742"/>
    <w:rsid w:val="00541BF4"/>
    <w:rsid w:val="005431BB"/>
    <w:rsid w:val="00543708"/>
    <w:rsid w:val="005443B6"/>
    <w:rsid w:val="005467E3"/>
    <w:rsid w:val="00546F2B"/>
    <w:rsid w:val="00557A38"/>
    <w:rsid w:val="005619C7"/>
    <w:rsid w:val="00561F05"/>
    <w:rsid w:val="005639B6"/>
    <w:rsid w:val="00563A0A"/>
    <w:rsid w:val="00563F5D"/>
    <w:rsid w:val="0056571F"/>
    <w:rsid w:val="0056798E"/>
    <w:rsid w:val="005707F9"/>
    <w:rsid w:val="00571562"/>
    <w:rsid w:val="005715C2"/>
    <w:rsid w:val="00580541"/>
    <w:rsid w:val="0058179F"/>
    <w:rsid w:val="005824FA"/>
    <w:rsid w:val="0058751D"/>
    <w:rsid w:val="005909A1"/>
    <w:rsid w:val="005918FE"/>
    <w:rsid w:val="00593D22"/>
    <w:rsid w:val="005950F9"/>
    <w:rsid w:val="00596ADB"/>
    <w:rsid w:val="005A0C58"/>
    <w:rsid w:val="005A21EF"/>
    <w:rsid w:val="005A55D6"/>
    <w:rsid w:val="005A75E4"/>
    <w:rsid w:val="005B1442"/>
    <w:rsid w:val="005B2457"/>
    <w:rsid w:val="005B2668"/>
    <w:rsid w:val="005B516C"/>
    <w:rsid w:val="005B52D3"/>
    <w:rsid w:val="005B5E70"/>
    <w:rsid w:val="005C2154"/>
    <w:rsid w:val="005C4F4F"/>
    <w:rsid w:val="005C5380"/>
    <w:rsid w:val="005C6538"/>
    <w:rsid w:val="005D02BA"/>
    <w:rsid w:val="005D0890"/>
    <w:rsid w:val="005D127B"/>
    <w:rsid w:val="005D2125"/>
    <w:rsid w:val="005D23C5"/>
    <w:rsid w:val="005D248E"/>
    <w:rsid w:val="005D2BD6"/>
    <w:rsid w:val="005D2CC5"/>
    <w:rsid w:val="005D44AC"/>
    <w:rsid w:val="005D4EFD"/>
    <w:rsid w:val="005D540E"/>
    <w:rsid w:val="005D6201"/>
    <w:rsid w:val="005D73AC"/>
    <w:rsid w:val="005E024E"/>
    <w:rsid w:val="005E1A9B"/>
    <w:rsid w:val="005E4037"/>
    <w:rsid w:val="005F2E21"/>
    <w:rsid w:val="005F4740"/>
    <w:rsid w:val="005F5197"/>
    <w:rsid w:val="005F6186"/>
    <w:rsid w:val="005F702C"/>
    <w:rsid w:val="005F7440"/>
    <w:rsid w:val="005F7B39"/>
    <w:rsid w:val="00603635"/>
    <w:rsid w:val="006131C7"/>
    <w:rsid w:val="00614588"/>
    <w:rsid w:val="0061592D"/>
    <w:rsid w:val="00615DD9"/>
    <w:rsid w:val="00620C45"/>
    <w:rsid w:val="006225EE"/>
    <w:rsid w:val="00622A6F"/>
    <w:rsid w:val="00623D2A"/>
    <w:rsid w:val="0062415A"/>
    <w:rsid w:val="006300FA"/>
    <w:rsid w:val="00634414"/>
    <w:rsid w:val="00634CE0"/>
    <w:rsid w:val="00634DEC"/>
    <w:rsid w:val="00640A09"/>
    <w:rsid w:val="00641629"/>
    <w:rsid w:val="006428CF"/>
    <w:rsid w:val="00644129"/>
    <w:rsid w:val="006451D4"/>
    <w:rsid w:val="006467DE"/>
    <w:rsid w:val="006471D9"/>
    <w:rsid w:val="00650FCB"/>
    <w:rsid w:val="006520BF"/>
    <w:rsid w:val="00652147"/>
    <w:rsid w:val="00655EE6"/>
    <w:rsid w:val="00662AD9"/>
    <w:rsid w:val="0066380A"/>
    <w:rsid w:val="00664341"/>
    <w:rsid w:val="00666F49"/>
    <w:rsid w:val="0067061F"/>
    <w:rsid w:val="00670B13"/>
    <w:rsid w:val="00674350"/>
    <w:rsid w:val="00674C80"/>
    <w:rsid w:val="00676474"/>
    <w:rsid w:val="00677BE9"/>
    <w:rsid w:val="0068062D"/>
    <w:rsid w:val="00684AC5"/>
    <w:rsid w:val="00684E3C"/>
    <w:rsid w:val="00687CFB"/>
    <w:rsid w:val="0069089F"/>
    <w:rsid w:val="00691F1C"/>
    <w:rsid w:val="006921B8"/>
    <w:rsid w:val="00692E64"/>
    <w:rsid w:val="00692E7B"/>
    <w:rsid w:val="00693C1A"/>
    <w:rsid w:val="006945AD"/>
    <w:rsid w:val="006A0786"/>
    <w:rsid w:val="006A0F5B"/>
    <w:rsid w:val="006A23EE"/>
    <w:rsid w:val="006A3BCB"/>
    <w:rsid w:val="006A574F"/>
    <w:rsid w:val="006A7043"/>
    <w:rsid w:val="006A7141"/>
    <w:rsid w:val="006B4EAB"/>
    <w:rsid w:val="006B68FA"/>
    <w:rsid w:val="006B6E84"/>
    <w:rsid w:val="006B75F4"/>
    <w:rsid w:val="006C0A66"/>
    <w:rsid w:val="006C186D"/>
    <w:rsid w:val="006C21B2"/>
    <w:rsid w:val="006C2233"/>
    <w:rsid w:val="006C407B"/>
    <w:rsid w:val="006C5139"/>
    <w:rsid w:val="006C7FDD"/>
    <w:rsid w:val="006D0C75"/>
    <w:rsid w:val="006D1A78"/>
    <w:rsid w:val="006D2A4D"/>
    <w:rsid w:val="006D7698"/>
    <w:rsid w:val="006E094D"/>
    <w:rsid w:val="006E0BE3"/>
    <w:rsid w:val="006E1BBE"/>
    <w:rsid w:val="006E3A33"/>
    <w:rsid w:val="006E4118"/>
    <w:rsid w:val="006E6E9C"/>
    <w:rsid w:val="006F405F"/>
    <w:rsid w:val="006F6028"/>
    <w:rsid w:val="006F71B7"/>
    <w:rsid w:val="0070339E"/>
    <w:rsid w:val="007070D9"/>
    <w:rsid w:val="0071038A"/>
    <w:rsid w:val="00710491"/>
    <w:rsid w:val="0071142E"/>
    <w:rsid w:val="00711466"/>
    <w:rsid w:val="00714470"/>
    <w:rsid w:val="0071606F"/>
    <w:rsid w:val="007169DB"/>
    <w:rsid w:val="00722BFE"/>
    <w:rsid w:val="00725E46"/>
    <w:rsid w:val="00727261"/>
    <w:rsid w:val="00730847"/>
    <w:rsid w:val="0073091A"/>
    <w:rsid w:val="00732854"/>
    <w:rsid w:val="00732D9D"/>
    <w:rsid w:val="007330F0"/>
    <w:rsid w:val="00735629"/>
    <w:rsid w:val="0073569F"/>
    <w:rsid w:val="0074011C"/>
    <w:rsid w:val="00742123"/>
    <w:rsid w:val="007472C6"/>
    <w:rsid w:val="00747474"/>
    <w:rsid w:val="00753084"/>
    <w:rsid w:val="00753A9A"/>
    <w:rsid w:val="007547D9"/>
    <w:rsid w:val="00755ECD"/>
    <w:rsid w:val="00756EBF"/>
    <w:rsid w:val="0075705B"/>
    <w:rsid w:val="00757F01"/>
    <w:rsid w:val="0076171B"/>
    <w:rsid w:val="00763B1A"/>
    <w:rsid w:val="00764376"/>
    <w:rsid w:val="0077253D"/>
    <w:rsid w:val="00772D3F"/>
    <w:rsid w:val="007734D5"/>
    <w:rsid w:val="00776196"/>
    <w:rsid w:val="007767B9"/>
    <w:rsid w:val="00781BC7"/>
    <w:rsid w:val="00782B0B"/>
    <w:rsid w:val="007840A7"/>
    <w:rsid w:val="007859C5"/>
    <w:rsid w:val="0079417D"/>
    <w:rsid w:val="0079462A"/>
    <w:rsid w:val="00794B88"/>
    <w:rsid w:val="007A06E5"/>
    <w:rsid w:val="007A2A4D"/>
    <w:rsid w:val="007A2BA2"/>
    <w:rsid w:val="007A5FD5"/>
    <w:rsid w:val="007A6BB6"/>
    <w:rsid w:val="007A7703"/>
    <w:rsid w:val="007A7EDB"/>
    <w:rsid w:val="007B092D"/>
    <w:rsid w:val="007B2A6E"/>
    <w:rsid w:val="007B438D"/>
    <w:rsid w:val="007B43D7"/>
    <w:rsid w:val="007B484B"/>
    <w:rsid w:val="007B6BD3"/>
    <w:rsid w:val="007B784B"/>
    <w:rsid w:val="007C0E6E"/>
    <w:rsid w:val="007C26CC"/>
    <w:rsid w:val="007C2909"/>
    <w:rsid w:val="007C473A"/>
    <w:rsid w:val="007C5F60"/>
    <w:rsid w:val="007D36C7"/>
    <w:rsid w:val="007D7D10"/>
    <w:rsid w:val="007E1074"/>
    <w:rsid w:val="007E19FC"/>
    <w:rsid w:val="007E6884"/>
    <w:rsid w:val="007F154A"/>
    <w:rsid w:val="007F1DAD"/>
    <w:rsid w:val="007F3065"/>
    <w:rsid w:val="007F4E19"/>
    <w:rsid w:val="007F6202"/>
    <w:rsid w:val="00800D52"/>
    <w:rsid w:val="00802A80"/>
    <w:rsid w:val="00802DED"/>
    <w:rsid w:val="00804754"/>
    <w:rsid w:val="00807091"/>
    <w:rsid w:val="00807389"/>
    <w:rsid w:val="008129A5"/>
    <w:rsid w:val="008135D4"/>
    <w:rsid w:val="008144C5"/>
    <w:rsid w:val="0081628E"/>
    <w:rsid w:val="008224C3"/>
    <w:rsid w:val="008225C1"/>
    <w:rsid w:val="0082311F"/>
    <w:rsid w:val="00824428"/>
    <w:rsid w:val="0082548E"/>
    <w:rsid w:val="0083013D"/>
    <w:rsid w:val="008307A5"/>
    <w:rsid w:val="008309D6"/>
    <w:rsid w:val="00832B29"/>
    <w:rsid w:val="00833217"/>
    <w:rsid w:val="00833C61"/>
    <w:rsid w:val="00836133"/>
    <w:rsid w:val="00836C18"/>
    <w:rsid w:val="00840AF0"/>
    <w:rsid w:val="008416F4"/>
    <w:rsid w:val="00842A92"/>
    <w:rsid w:val="00847BEC"/>
    <w:rsid w:val="00851963"/>
    <w:rsid w:val="00851D0A"/>
    <w:rsid w:val="00853CC8"/>
    <w:rsid w:val="00856818"/>
    <w:rsid w:val="00857935"/>
    <w:rsid w:val="008600A0"/>
    <w:rsid w:val="0086327E"/>
    <w:rsid w:val="008655B9"/>
    <w:rsid w:val="00866C08"/>
    <w:rsid w:val="008717EF"/>
    <w:rsid w:val="0087347D"/>
    <w:rsid w:val="00875972"/>
    <w:rsid w:val="00876136"/>
    <w:rsid w:val="00883269"/>
    <w:rsid w:val="008838AB"/>
    <w:rsid w:val="00883BDD"/>
    <w:rsid w:val="008851BD"/>
    <w:rsid w:val="008910E8"/>
    <w:rsid w:val="00895620"/>
    <w:rsid w:val="0089648C"/>
    <w:rsid w:val="00897CF7"/>
    <w:rsid w:val="008A1D8C"/>
    <w:rsid w:val="008A3646"/>
    <w:rsid w:val="008A59FD"/>
    <w:rsid w:val="008B0B75"/>
    <w:rsid w:val="008B10C3"/>
    <w:rsid w:val="008B1CB1"/>
    <w:rsid w:val="008B4B41"/>
    <w:rsid w:val="008B78F6"/>
    <w:rsid w:val="008C2B71"/>
    <w:rsid w:val="008C529F"/>
    <w:rsid w:val="008C5ED7"/>
    <w:rsid w:val="008D1E94"/>
    <w:rsid w:val="008D230E"/>
    <w:rsid w:val="008D27D3"/>
    <w:rsid w:val="008D317F"/>
    <w:rsid w:val="008D3402"/>
    <w:rsid w:val="008D5965"/>
    <w:rsid w:val="008D5B81"/>
    <w:rsid w:val="008E0285"/>
    <w:rsid w:val="008E23D9"/>
    <w:rsid w:val="008E3124"/>
    <w:rsid w:val="008E3496"/>
    <w:rsid w:val="008E42E8"/>
    <w:rsid w:val="008E46FE"/>
    <w:rsid w:val="008E5070"/>
    <w:rsid w:val="008E5D4A"/>
    <w:rsid w:val="008F33FD"/>
    <w:rsid w:val="008F4261"/>
    <w:rsid w:val="008F5B03"/>
    <w:rsid w:val="008F5B3E"/>
    <w:rsid w:val="008F6DC3"/>
    <w:rsid w:val="009032FF"/>
    <w:rsid w:val="00904C6A"/>
    <w:rsid w:val="009056D9"/>
    <w:rsid w:val="00905EC4"/>
    <w:rsid w:val="009108DE"/>
    <w:rsid w:val="00910E13"/>
    <w:rsid w:val="00912184"/>
    <w:rsid w:val="00913280"/>
    <w:rsid w:val="0091624B"/>
    <w:rsid w:val="00921216"/>
    <w:rsid w:val="00921ABB"/>
    <w:rsid w:val="00924E70"/>
    <w:rsid w:val="00925158"/>
    <w:rsid w:val="00925956"/>
    <w:rsid w:val="00926249"/>
    <w:rsid w:val="009327D9"/>
    <w:rsid w:val="0093328C"/>
    <w:rsid w:val="00933F24"/>
    <w:rsid w:val="00934393"/>
    <w:rsid w:val="00940A92"/>
    <w:rsid w:val="00941AA7"/>
    <w:rsid w:val="0094400E"/>
    <w:rsid w:val="00950BA3"/>
    <w:rsid w:val="00951133"/>
    <w:rsid w:val="00952039"/>
    <w:rsid w:val="009521A6"/>
    <w:rsid w:val="00955BD8"/>
    <w:rsid w:val="00957AF1"/>
    <w:rsid w:val="009605EC"/>
    <w:rsid w:val="00961067"/>
    <w:rsid w:val="009640B9"/>
    <w:rsid w:val="00964895"/>
    <w:rsid w:val="00966051"/>
    <w:rsid w:val="009712B8"/>
    <w:rsid w:val="00971A5F"/>
    <w:rsid w:val="00973CB5"/>
    <w:rsid w:val="00975F10"/>
    <w:rsid w:val="00980B57"/>
    <w:rsid w:val="009835DE"/>
    <w:rsid w:val="00991FC8"/>
    <w:rsid w:val="0099237B"/>
    <w:rsid w:val="009938FF"/>
    <w:rsid w:val="00994628"/>
    <w:rsid w:val="0099472E"/>
    <w:rsid w:val="009958B0"/>
    <w:rsid w:val="009A0DB3"/>
    <w:rsid w:val="009A1C37"/>
    <w:rsid w:val="009A1F0C"/>
    <w:rsid w:val="009A207E"/>
    <w:rsid w:val="009A2A27"/>
    <w:rsid w:val="009A2F36"/>
    <w:rsid w:val="009A3DBD"/>
    <w:rsid w:val="009A4698"/>
    <w:rsid w:val="009A5415"/>
    <w:rsid w:val="009A694A"/>
    <w:rsid w:val="009A6EF3"/>
    <w:rsid w:val="009B14D3"/>
    <w:rsid w:val="009B3B79"/>
    <w:rsid w:val="009B7A6B"/>
    <w:rsid w:val="009B7EA3"/>
    <w:rsid w:val="009C2D20"/>
    <w:rsid w:val="009C353B"/>
    <w:rsid w:val="009C47A2"/>
    <w:rsid w:val="009C5AD3"/>
    <w:rsid w:val="009C7918"/>
    <w:rsid w:val="009C7D1B"/>
    <w:rsid w:val="009D204C"/>
    <w:rsid w:val="009D5931"/>
    <w:rsid w:val="009D6277"/>
    <w:rsid w:val="009D6CA3"/>
    <w:rsid w:val="009D7553"/>
    <w:rsid w:val="009E3CD0"/>
    <w:rsid w:val="009E61AB"/>
    <w:rsid w:val="009F08FE"/>
    <w:rsid w:val="009F1AAE"/>
    <w:rsid w:val="009F474E"/>
    <w:rsid w:val="009F597C"/>
    <w:rsid w:val="009F693F"/>
    <w:rsid w:val="009F7A42"/>
    <w:rsid w:val="00A0130B"/>
    <w:rsid w:val="00A025A9"/>
    <w:rsid w:val="00A06496"/>
    <w:rsid w:val="00A06ECB"/>
    <w:rsid w:val="00A0738D"/>
    <w:rsid w:val="00A079B7"/>
    <w:rsid w:val="00A11C4E"/>
    <w:rsid w:val="00A11D8B"/>
    <w:rsid w:val="00A11EA1"/>
    <w:rsid w:val="00A1206B"/>
    <w:rsid w:val="00A137DC"/>
    <w:rsid w:val="00A145C5"/>
    <w:rsid w:val="00A175EE"/>
    <w:rsid w:val="00A20F93"/>
    <w:rsid w:val="00A21E15"/>
    <w:rsid w:val="00A2390B"/>
    <w:rsid w:val="00A24818"/>
    <w:rsid w:val="00A24AE2"/>
    <w:rsid w:val="00A26A73"/>
    <w:rsid w:val="00A309EE"/>
    <w:rsid w:val="00A30ADB"/>
    <w:rsid w:val="00A337B6"/>
    <w:rsid w:val="00A35A55"/>
    <w:rsid w:val="00A36899"/>
    <w:rsid w:val="00A45090"/>
    <w:rsid w:val="00A460E8"/>
    <w:rsid w:val="00A479E7"/>
    <w:rsid w:val="00A500C6"/>
    <w:rsid w:val="00A505F5"/>
    <w:rsid w:val="00A51CAC"/>
    <w:rsid w:val="00A53A8F"/>
    <w:rsid w:val="00A53B17"/>
    <w:rsid w:val="00A53CE1"/>
    <w:rsid w:val="00A574B6"/>
    <w:rsid w:val="00A57943"/>
    <w:rsid w:val="00A622C3"/>
    <w:rsid w:val="00A64426"/>
    <w:rsid w:val="00A6451B"/>
    <w:rsid w:val="00A67021"/>
    <w:rsid w:val="00A70F63"/>
    <w:rsid w:val="00A7205B"/>
    <w:rsid w:val="00A72583"/>
    <w:rsid w:val="00A73AE5"/>
    <w:rsid w:val="00A749CB"/>
    <w:rsid w:val="00A80981"/>
    <w:rsid w:val="00A83B70"/>
    <w:rsid w:val="00A842CF"/>
    <w:rsid w:val="00A8471F"/>
    <w:rsid w:val="00A847B9"/>
    <w:rsid w:val="00A84A09"/>
    <w:rsid w:val="00A8668D"/>
    <w:rsid w:val="00A87E4E"/>
    <w:rsid w:val="00A87F66"/>
    <w:rsid w:val="00A90DB7"/>
    <w:rsid w:val="00A91B47"/>
    <w:rsid w:val="00A92E12"/>
    <w:rsid w:val="00A93B12"/>
    <w:rsid w:val="00A93DB3"/>
    <w:rsid w:val="00A94372"/>
    <w:rsid w:val="00A967A6"/>
    <w:rsid w:val="00AA26D4"/>
    <w:rsid w:val="00AA5CFF"/>
    <w:rsid w:val="00AA757C"/>
    <w:rsid w:val="00AA7BF0"/>
    <w:rsid w:val="00AB7D91"/>
    <w:rsid w:val="00AC1A9C"/>
    <w:rsid w:val="00AC1DAF"/>
    <w:rsid w:val="00AC5A36"/>
    <w:rsid w:val="00AD14A3"/>
    <w:rsid w:val="00AD4BA5"/>
    <w:rsid w:val="00AE08C5"/>
    <w:rsid w:val="00AE16D6"/>
    <w:rsid w:val="00AF33D9"/>
    <w:rsid w:val="00AF3D11"/>
    <w:rsid w:val="00AF5EB6"/>
    <w:rsid w:val="00B03D73"/>
    <w:rsid w:val="00B049FC"/>
    <w:rsid w:val="00B04ADB"/>
    <w:rsid w:val="00B06E7F"/>
    <w:rsid w:val="00B070B4"/>
    <w:rsid w:val="00B10097"/>
    <w:rsid w:val="00B102EE"/>
    <w:rsid w:val="00B1466D"/>
    <w:rsid w:val="00B15C64"/>
    <w:rsid w:val="00B23726"/>
    <w:rsid w:val="00B2423B"/>
    <w:rsid w:val="00B27EF0"/>
    <w:rsid w:val="00B35F33"/>
    <w:rsid w:val="00B43BD7"/>
    <w:rsid w:val="00B44D01"/>
    <w:rsid w:val="00B50C12"/>
    <w:rsid w:val="00B5282B"/>
    <w:rsid w:val="00B53437"/>
    <w:rsid w:val="00B5397B"/>
    <w:rsid w:val="00B6302D"/>
    <w:rsid w:val="00B64BFB"/>
    <w:rsid w:val="00B66B78"/>
    <w:rsid w:val="00B70534"/>
    <w:rsid w:val="00B717C5"/>
    <w:rsid w:val="00B721D0"/>
    <w:rsid w:val="00B739C5"/>
    <w:rsid w:val="00B74602"/>
    <w:rsid w:val="00B74A8D"/>
    <w:rsid w:val="00B74E00"/>
    <w:rsid w:val="00B7691E"/>
    <w:rsid w:val="00B80F27"/>
    <w:rsid w:val="00B82DCD"/>
    <w:rsid w:val="00B84B30"/>
    <w:rsid w:val="00B85CC3"/>
    <w:rsid w:val="00B876C5"/>
    <w:rsid w:val="00B94123"/>
    <w:rsid w:val="00B94F3B"/>
    <w:rsid w:val="00BA16A6"/>
    <w:rsid w:val="00BA2730"/>
    <w:rsid w:val="00BA3258"/>
    <w:rsid w:val="00BA3421"/>
    <w:rsid w:val="00BA4168"/>
    <w:rsid w:val="00BB0668"/>
    <w:rsid w:val="00BB2275"/>
    <w:rsid w:val="00BC188E"/>
    <w:rsid w:val="00BC1C45"/>
    <w:rsid w:val="00BC55A7"/>
    <w:rsid w:val="00BC7BA6"/>
    <w:rsid w:val="00BD0B9C"/>
    <w:rsid w:val="00BD0FF8"/>
    <w:rsid w:val="00BD3D0E"/>
    <w:rsid w:val="00BD739B"/>
    <w:rsid w:val="00BE1D6D"/>
    <w:rsid w:val="00BE2482"/>
    <w:rsid w:val="00BE3A63"/>
    <w:rsid w:val="00BE6CFA"/>
    <w:rsid w:val="00BF2C24"/>
    <w:rsid w:val="00BF4BD3"/>
    <w:rsid w:val="00BF636D"/>
    <w:rsid w:val="00C01215"/>
    <w:rsid w:val="00C023DF"/>
    <w:rsid w:val="00C030D2"/>
    <w:rsid w:val="00C051AE"/>
    <w:rsid w:val="00C07AB5"/>
    <w:rsid w:val="00C11411"/>
    <w:rsid w:val="00C125D6"/>
    <w:rsid w:val="00C15849"/>
    <w:rsid w:val="00C16034"/>
    <w:rsid w:val="00C20D60"/>
    <w:rsid w:val="00C20E39"/>
    <w:rsid w:val="00C2323B"/>
    <w:rsid w:val="00C24A64"/>
    <w:rsid w:val="00C2782F"/>
    <w:rsid w:val="00C31666"/>
    <w:rsid w:val="00C3379A"/>
    <w:rsid w:val="00C37453"/>
    <w:rsid w:val="00C4367D"/>
    <w:rsid w:val="00C4517E"/>
    <w:rsid w:val="00C502EC"/>
    <w:rsid w:val="00C51628"/>
    <w:rsid w:val="00C51868"/>
    <w:rsid w:val="00C5209C"/>
    <w:rsid w:val="00C528B4"/>
    <w:rsid w:val="00C61F87"/>
    <w:rsid w:val="00C6218E"/>
    <w:rsid w:val="00C62F69"/>
    <w:rsid w:val="00C65109"/>
    <w:rsid w:val="00C655B3"/>
    <w:rsid w:val="00C71286"/>
    <w:rsid w:val="00C71DE9"/>
    <w:rsid w:val="00C744CC"/>
    <w:rsid w:val="00C7543D"/>
    <w:rsid w:val="00C76D57"/>
    <w:rsid w:val="00C84F47"/>
    <w:rsid w:val="00C8625E"/>
    <w:rsid w:val="00C86D43"/>
    <w:rsid w:val="00C9041E"/>
    <w:rsid w:val="00C921F8"/>
    <w:rsid w:val="00C9483D"/>
    <w:rsid w:val="00C9725F"/>
    <w:rsid w:val="00C9764A"/>
    <w:rsid w:val="00CA1887"/>
    <w:rsid w:val="00CA18F3"/>
    <w:rsid w:val="00CA1A8D"/>
    <w:rsid w:val="00CA23F8"/>
    <w:rsid w:val="00CB06D4"/>
    <w:rsid w:val="00CB0B18"/>
    <w:rsid w:val="00CB20A6"/>
    <w:rsid w:val="00CB2925"/>
    <w:rsid w:val="00CB2CCF"/>
    <w:rsid w:val="00CB4031"/>
    <w:rsid w:val="00CB6661"/>
    <w:rsid w:val="00CC3FA8"/>
    <w:rsid w:val="00CC4B2B"/>
    <w:rsid w:val="00CC579E"/>
    <w:rsid w:val="00CC72C1"/>
    <w:rsid w:val="00CC77B8"/>
    <w:rsid w:val="00CD27A9"/>
    <w:rsid w:val="00CD34BF"/>
    <w:rsid w:val="00CD54CA"/>
    <w:rsid w:val="00CD61FB"/>
    <w:rsid w:val="00CE112F"/>
    <w:rsid w:val="00CE6C7C"/>
    <w:rsid w:val="00CF35BB"/>
    <w:rsid w:val="00CF423D"/>
    <w:rsid w:val="00CF5B24"/>
    <w:rsid w:val="00D0098F"/>
    <w:rsid w:val="00D03263"/>
    <w:rsid w:val="00D03C66"/>
    <w:rsid w:val="00D0420E"/>
    <w:rsid w:val="00D0544E"/>
    <w:rsid w:val="00D05C4A"/>
    <w:rsid w:val="00D05F6C"/>
    <w:rsid w:val="00D10B24"/>
    <w:rsid w:val="00D10DA1"/>
    <w:rsid w:val="00D11C22"/>
    <w:rsid w:val="00D1300A"/>
    <w:rsid w:val="00D17ACA"/>
    <w:rsid w:val="00D220D9"/>
    <w:rsid w:val="00D22ED5"/>
    <w:rsid w:val="00D262D9"/>
    <w:rsid w:val="00D27C8A"/>
    <w:rsid w:val="00D36598"/>
    <w:rsid w:val="00D45707"/>
    <w:rsid w:val="00D4590D"/>
    <w:rsid w:val="00D46935"/>
    <w:rsid w:val="00D50827"/>
    <w:rsid w:val="00D56BEB"/>
    <w:rsid w:val="00D579B1"/>
    <w:rsid w:val="00D6477E"/>
    <w:rsid w:val="00D676BB"/>
    <w:rsid w:val="00D67ABB"/>
    <w:rsid w:val="00D67CEC"/>
    <w:rsid w:val="00D728FF"/>
    <w:rsid w:val="00D72FB7"/>
    <w:rsid w:val="00D773C2"/>
    <w:rsid w:val="00D80499"/>
    <w:rsid w:val="00D946A0"/>
    <w:rsid w:val="00D94F5A"/>
    <w:rsid w:val="00D9743F"/>
    <w:rsid w:val="00DA4D92"/>
    <w:rsid w:val="00DA4FAB"/>
    <w:rsid w:val="00DA5A18"/>
    <w:rsid w:val="00DA6F7D"/>
    <w:rsid w:val="00DA7674"/>
    <w:rsid w:val="00DB09E8"/>
    <w:rsid w:val="00DB3AEE"/>
    <w:rsid w:val="00DB4D30"/>
    <w:rsid w:val="00DB7B4F"/>
    <w:rsid w:val="00DC1768"/>
    <w:rsid w:val="00DC2826"/>
    <w:rsid w:val="00DC2D15"/>
    <w:rsid w:val="00DC7D12"/>
    <w:rsid w:val="00DD21A1"/>
    <w:rsid w:val="00DD2B38"/>
    <w:rsid w:val="00DD3D35"/>
    <w:rsid w:val="00DE0200"/>
    <w:rsid w:val="00DE56AF"/>
    <w:rsid w:val="00DE6B95"/>
    <w:rsid w:val="00DE755A"/>
    <w:rsid w:val="00DF29EC"/>
    <w:rsid w:val="00DF4D75"/>
    <w:rsid w:val="00DF56FD"/>
    <w:rsid w:val="00E10930"/>
    <w:rsid w:val="00E13407"/>
    <w:rsid w:val="00E15790"/>
    <w:rsid w:val="00E16B18"/>
    <w:rsid w:val="00E2125B"/>
    <w:rsid w:val="00E24F88"/>
    <w:rsid w:val="00E26949"/>
    <w:rsid w:val="00E3218F"/>
    <w:rsid w:val="00E32764"/>
    <w:rsid w:val="00E371A6"/>
    <w:rsid w:val="00E374EE"/>
    <w:rsid w:val="00E405D4"/>
    <w:rsid w:val="00E40973"/>
    <w:rsid w:val="00E4122B"/>
    <w:rsid w:val="00E430B6"/>
    <w:rsid w:val="00E442F4"/>
    <w:rsid w:val="00E44B0C"/>
    <w:rsid w:val="00E45EFF"/>
    <w:rsid w:val="00E4658C"/>
    <w:rsid w:val="00E467E0"/>
    <w:rsid w:val="00E53F62"/>
    <w:rsid w:val="00E553C3"/>
    <w:rsid w:val="00E56ED3"/>
    <w:rsid w:val="00E57B37"/>
    <w:rsid w:val="00E61012"/>
    <w:rsid w:val="00E647BB"/>
    <w:rsid w:val="00E65A41"/>
    <w:rsid w:val="00E70076"/>
    <w:rsid w:val="00E742D6"/>
    <w:rsid w:val="00E77C26"/>
    <w:rsid w:val="00E82572"/>
    <w:rsid w:val="00E84109"/>
    <w:rsid w:val="00E870CE"/>
    <w:rsid w:val="00E871CD"/>
    <w:rsid w:val="00E8723F"/>
    <w:rsid w:val="00E87545"/>
    <w:rsid w:val="00E9094D"/>
    <w:rsid w:val="00E9171D"/>
    <w:rsid w:val="00E92A35"/>
    <w:rsid w:val="00EA01D1"/>
    <w:rsid w:val="00EA03E1"/>
    <w:rsid w:val="00EA45BC"/>
    <w:rsid w:val="00EA4795"/>
    <w:rsid w:val="00EA48C1"/>
    <w:rsid w:val="00EB0BCC"/>
    <w:rsid w:val="00EB1121"/>
    <w:rsid w:val="00EB318C"/>
    <w:rsid w:val="00EB3CDB"/>
    <w:rsid w:val="00EB4607"/>
    <w:rsid w:val="00EB472F"/>
    <w:rsid w:val="00EB4B92"/>
    <w:rsid w:val="00EB4D95"/>
    <w:rsid w:val="00EB5526"/>
    <w:rsid w:val="00EB5F51"/>
    <w:rsid w:val="00EC0806"/>
    <w:rsid w:val="00EC4190"/>
    <w:rsid w:val="00EC5045"/>
    <w:rsid w:val="00ED0115"/>
    <w:rsid w:val="00ED0A76"/>
    <w:rsid w:val="00ED1882"/>
    <w:rsid w:val="00ED2330"/>
    <w:rsid w:val="00ED2594"/>
    <w:rsid w:val="00ED5729"/>
    <w:rsid w:val="00ED759B"/>
    <w:rsid w:val="00EE20C4"/>
    <w:rsid w:val="00EE545E"/>
    <w:rsid w:val="00EE5839"/>
    <w:rsid w:val="00EF14E7"/>
    <w:rsid w:val="00EF4282"/>
    <w:rsid w:val="00EF750E"/>
    <w:rsid w:val="00EF7FF2"/>
    <w:rsid w:val="00F043BC"/>
    <w:rsid w:val="00F076AE"/>
    <w:rsid w:val="00F11036"/>
    <w:rsid w:val="00F1428A"/>
    <w:rsid w:val="00F202A1"/>
    <w:rsid w:val="00F21783"/>
    <w:rsid w:val="00F23317"/>
    <w:rsid w:val="00F25337"/>
    <w:rsid w:val="00F31EF6"/>
    <w:rsid w:val="00F32D50"/>
    <w:rsid w:val="00F33DEE"/>
    <w:rsid w:val="00F415F2"/>
    <w:rsid w:val="00F430DE"/>
    <w:rsid w:val="00F4540F"/>
    <w:rsid w:val="00F45D1A"/>
    <w:rsid w:val="00F46728"/>
    <w:rsid w:val="00F4708D"/>
    <w:rsid w:val="00F55BA0"/>
    <w:rsid w:val="00F55C58"/>
    <w:rsid w:val="00F56958"/>
    <w:rsid w:val="00F56C85"/>
    <w:rsid w:val="00F56E33"/>
    <w:rsid w:val="00F62490"/>
    <w:rsid w:val="00F62DA2"/>
    <w:rsid w:val="00F63CB1"/>
    <w:rsid w:val="00F65DDE"/>
    <w:rsid w:val="00F67265"/>
    <w:rsid w:val="00F75E5A"/>
    <w:rsid w:val="00F773C4"/>
    <w:rsid w:val="00F8057A"/>
    <w:rsid w:val="00F84155"/>
    <w:rsid w:val="00F87BBB"/>
    <w:rsid w:val="00F87F03"/>
    <w:rsid w:val="00F90290"/>
    <w:rsid w:val="00F903BE"/>
    <w:rsid w:val="00F939C5"/>
    <w:rsid w:val="00F95DB1"/>
    <w:rsid w:val="00F971D7"/>
    <w:rsid w:val="00F97AF0"/>
    <w:rsid w:val="00FA11C1"/>
    <w:rsid w:val="00FA13BE"/>
    <w:rsid w:val="00FA28D1"/>
    <w:rsid w:val="00FA3495"/>
    <w:rsid w:val="00FA4AD5"/>
    <w:rsid w:val="00FA526B"/>
    <w:rsid w:val="00FB1B84"/>
    <w:rsid w:val="00FB1BC6"/>
    <w:rsid w:val="00FB6AC9"/>
    <w:rsid w:val="00FB710F"/>
    <w:rsid w:val="00FC1C9E"/>
    <w:rsid w:val="00FC1D33"/>
    <w:rsid w:val="00FC4843"/>
    <w:rsid w:val="00FC63C3"/>
    <w:rsid w:val="00FD09AC"/>
    <w:rsid w:val="00FD1F81"/>
    <w:rsid w:val="00FD2FF8"/>
    <w:rsid w:val="00FD4A6A"/>
    <w:rsid w:val="00FD5FF4"/>
    <w:rsid w:val="00FE045B"/>
    <w:rsid w:val="00FE2AAB"/>
    <w:rsid w:val="00FE4681"/>
    <w:rsid w:val="00FE4904"/>
    <w:rsid w:val="00FF257F"/>
    <w:rsid w:val="00FF2ABB"/>
    <w:rsid w:val="00FF4A9D"/>
    <w:rsid w:val="00FF5FF5"/>
    <w:rsid w:val="00FF664F"/>
    <w:rsid w:val="00FF6730"/>
    <w:rsid w:val="00FF6E80"/>
    <w:rsid w:val="00FF79B6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02EDAC8"/>
  <w15:docId w15:val="{8F691CE1-CDE2-4BC1-9AF8-19B4A00E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477E"/>
    <w:pPr>
      <w:suppressAutoHyphens/>
      <w:spacing w:after="120"/>
    </w:pPr>
    <w:rPr>
      <w:sz w:val="22"/>
      <w:lang w:val="en-GB"/>
    </w:rPr>
  </w:style>
  <w:style w:type="paragraph" w:styleId="Nadpis1">
    <w:name w:val="heading 1"/>
    <w:basedOn w:val="Normlny"/>
    <w:next w:val="Normlny"/>
    <w:link w:val="Nadpis1Char"/>
    <w:qFormat/>
    <w:rsid w:val="00FF664F"/>
    <w:pPr>
      <w:keepNext/>
      <w:spacing w:before="240" w:after="240"/>
      <w:ind w:left="450" w:hanging="450"/>
      <w:outlineLvl w:val="0"/>
    </w:pPr>
    <w:rPr>
      <w:b/>
      <w:bCs/>
      <w:caps/>
      <w:szCs w:val="22"/>
      <w:lang w:val="en-US"/>
    </w:rPr>
  </w:style>
  <w:style w:type="paragraph" w:styleId="Nadpis2">
    <w:name w:val="heading 2"/>
    <w:basedOn w:val="Normlny"/>
    <w:next w:val="Normlny"/>
    <w:link w:val="Nadpis2Char"/>
    <w:autoRedefine/>
    <w:qFormat/>
    <w:rsid w:val="00062519"/>
    <w:pPr>
      <w:keepNext/>
      <w:spacing w:before="360"/>
      <w:outlineLvl w:val="1"/>
    </w:pPr>
    <w:rPr>
      <w:b/>
      <w:bCs/>
      <w:szCs w:val="22"/>
      <w:lang w:val="en-US"/>
    </w:rPr>
  </w:style>
  <w:style w:type="paragraph" w:styleId="Nadpis3">
    <w:name w:val="heading 3"/>
    <w:basedOn w:val="Normlny"/>
    <w:next w:val="Normlny"/>
    <w:link w:val="Nadpis3Char"/>
    <w:qFormat/>
    <w:rsid w:val="00D11C22"/>
    <w:pPr>
      <w:keepNext/>
      <w:spacing w:before="240"/>
      <w:outlineLvl w:val="2"/>
    </w:pPr>
    <w:rPr>
      <w:bCs/>
      <w:szCs w:val="22"/>
      <w:u w:val="single"/>
      <w:lang w:val="en-US"/>
    </w:rPr>
  </w:style>
  <w:style w:type="paragraph" w:styleId="Nadpis4">
    <w:name w:val="heading 4"/>
    <w:basedOn w:val="Normlny"/>
    <w:next w:val="Normlny"/>
    <w:qFormat/>
    <w:rsid w:val="00FF5FF5"/>
    <w:pPr>
      <w:keepNext/>
      <w:spacing w:before="240" w:after="240"/>
      <w:contextualSpacing/>
      <w:outlineLvl w:val="3"/>
    </w:pPr>
    <w:rPr>
      <w:i/>
      <w:smallCaps/>
      <w:szCs w:val="22"/>
    </w:rPr>
  </w:style>
  <w:style w:type="paragraph" w:styleId="Nadpis5">
    <w:name w:val="heading 5"/>
    <w:basedOn w:val="Normlny"/>
    <w:next w:val="Normlny"/>
    <w:qFormat/>
    <w:rsid w:val="00327B8E"/>
    <w:pPr>
      <w:keepNext/>
      <w:spacing w:before="240"/>
      <w:outlineLvl w:val="4"/>
    </w:pPr>
    <w:rPr>
      <w:i/>
    </w:rPr>
  </w:style>
  <w:style w:type="paragraph" w:styleId="Nadpis6">
    <w:name w:val="heading 6"/>
    <w:basedOn w:val="Normlny"/>
    <w:next w:val="Normlny"/>
    <w:qFormat/>
    <w:rsid w:val="009A2A27"/>
    <w:pPr>
      <w:keepNext/>
      <w:tabs>
        <w:tab w:val="left" w:pos="-720"/>
        <w:tab w:val="left" w:pos="4536"/>
      </w:tabs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9A2A27"/>
    <w:pPr>
      <w:keepNext/>
      <w:tabs>
        <w:tab w:val="left" w:pos="-720"/>
        <w:tab w:val="left" w:pos="4536"/>
      </w:tabs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9A2A27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9A2A27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9A2A27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9A2A27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Textvysvetlivky">
    <w:name w:val="endnote text"/>
    <w:basedOn w:val="Normlny"/>
    <w:next w:val="Normlny"/>
    <w:semiHidden/>
    <w:rsid w:val="009A2A27"/>
  </w:style>
  <w:style w:type="character" w:styleId="Odkaznavysvetlivku">
    <w:name w:val="endnote reference"/>
    <w:basedOn w:val="Predvolenpsmoodseku"/>
    <w:semiHidden/>
    <w:rsid w:val="009A2A27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9A2A27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9A2A27"/>
    <w:rPr>
      <w:sz w:val="20"/>
    </w:rPr>
  </w:style>
  <w:style w:type="paragraph" w:styleId="Textpoznmkypodiarou">
    <w:name w:val="footnote text"/>
    <w:basedOn w:val="Normlny"/>
    <w:semiHidden/>
    <w:rsid w:val="009A2A27"/>
    <w:rPr>
      <w:sz w:val="20"/>
    </w:rPr>
  </w:style>
  <w:style w:type="character" w:styleId="Odkaznapoznmkupodiarou">
    <w:name w:val="footnote reference"/>
    <w:basedOn w:val="Predvolenpsmoodseku"/>
    <w:semiHidden/>
    <w:rsid w:val="009A2A27"/>
    <w:rPr>
      <w:vertAlign w:val="superscript"/>
    </w:rPr>
  </w:style>
  <w:style w:type="character" w:styleId="Hypertextovprepojenie">
    <w:name w:val="Hyperlink"/>
    <w:basedOn w:val="Predvolenpsmoodseku"/>
    <w:rsid w:val="009A2A27"/>
    <w:rPr>
      <w:color w:val="0000FF"/>
      <w:u w:val="single"/>
    </w:rPr>
  </w:style>
  <w:style w:type="character" w:styleId="PouitHypertextovPrepojenie">
    <w:name w:val="FollowedHyperlink"/>
    <w:basedOn w:val="Predvolenpsmoodseku"/>
    <w:rsid w:val="009A2A27"/>
    <w:rPr>
      <w:color w:val="800080"/>
      <w:u w:val="single"/>
    </w:rPr>
  </w:style>
  <w:style w:type="paragraph" w:styleId="truktradokumentu">
    <w:name w:val="Document Map"/>
    <w:basedOn w:val="Normlny"/>
    <w:semiHidden/>
    <w:rsid w:val="009A2A27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y"/>
    <w:semiHidden/>
    <w:rsid w:val="0015721D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F56E33"/>
    <w:rPr>
      <w:b/>
      <w:bCs/>
    </w:rPr>
  </w:style>
  <w:style w:type="table" w:styleId="Mriekatabuky">
    <w:name w:val="Table Grid"/>
    <w:basedOn w:val="Normlnatabuka"/>
    <w:rsid w:val="00507926"/>
    <w:pPr>
      <w:tabs>
        <w:tab w:val="left" w:pos="567"/>
      </w:tabs>
      <w:spacing w:before="40" w:after="4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y"/>
    <w:rsid w:val="00507926"/>
    <w:pPr>
      <w:spacing w:before="40" w:after="40"/>
    </w:pPr>
  </w:style>
  <w:style w:type="character" w:styleId="slostrany">
    <w:name w:val="page number"/>
    <w:basedOn w:val="Predvolenpsmoodseku"/>
    <w:rsid w:val="0058179F"/>
  </w:style>
  <w:style w:type="paragraph" w:styleId="Nzov">
    <w:name w:val="Title"/>
    <w:basedOn w:val="Normlny"/>
    <w:link w:val="NzovChar"/>
    <w:qFormat/>
    <w:rsid w:val="0058179F"/>
    <w:pPr>
      <w:jc w:val="center"/>
    </w:pPr>
    <w:rPr>
      <w:b/>
      <w:color w:val="000000"/>
      <w:sz w:val="24"/>
      <w:lang w:eastAsia="fi-FI"/>
    </w:rPr>
  </w:style>
  <w:style w:type="character" w:customStyle="1" w:styleId="NzovChar">
    <w:name w:val="Názov Char"/>
    <w:basedOn w:val="Predvolenpsmoodseku"/>
    <w:link w:val="Nzov"/>
    <w:rsid w:val="0058179F"/>
    <w:rPr>
      <w:b/>
      <w:color w:val="000000"/>
      <w:sz w:val="24"/>
      <w:lang w:val="en-GB" w:eastAsia="fi-FI"/>
    </w:rPr>
  </w:style>
  <w:style w:type="paragraph" w:styleId="Zkladntext">
    <w:name w:val="Body Text"/>
    <w:basedOn w:val="Normlny"/>
    <w:link w:val="ZkladntextChar"/>
    <w:rsid w:val="0058179F"/>
    <w:rPr>
      <w:b/>
      <w:i/>
    </w:rPr>
  </w:style>
  <w:style w:type="character" w:customStyle="1" w:styleId="ZkladntextChar">
    <w:name w:val="Základný text Char"/>
    <w:basedOn w:val="Predvolenpsmoodseku"/>
    <w:link w:val="Zkladntext"/>
    <w:rsid w:val="0058179F"/>
    <w:rPr>
      <w:b/>
      <w:i/>
      <w:sz w:val="22"/>
      <w:lang w:val="en-GB"/>
    </w:rPr>
  </w:style>
  <w:style w:type="character" w:customStyle="1" w:styleId="Nadpis3Char">
    <w:name w:val="Nadpis 3 Char"/>
    <w:basedOn w:val="Predvolenpsmoodseku"/>
    <w:link w:val="Nadpis3"/>
    <w:rsid w:val="00D11C22"/>
    <w:rPr>
      <w:bCs/>
      <w:sz w:val="22"/>
      <w:szCs w:val="22"/>
      <w:u w:val="single"/>
    </w:rPr>
  </w:style>
  <w:style w:type="character" w:customStyle="1" w:styleId="tw4winMark">
    <w:name w:val="tw4winMark"/>
    <w:rsid w:val="0058179F"/>
    <w:rPr>
      <w:rFonts w:ascii="Courier New" w:hAnsi="Courier New"/>
      <w:vanish/>
      <w:color w:val="800080"/>
      <w:sz w:val="24"/>
      <w:vertAlign w:val="subscript"/>
    </w:rPr>
  </w:style>
  <w:style w:type="paragraph" w:styleId="Revzia">
    <w:name w:val="Revision"/>
    <w:hidden/>
    <w:uiPriority w:val="99"/>
    <w:semiHidden/>
    <w:rsid w:val="00BA4168"/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FF664F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FF664F"/>
    <w:rPr>
      <w:b/>
      <w:bCs/>
      <w:caps/>
      <w:sz w:val="22"/>
      <w:szCs w:val="22"/>
    </w:rPr>
  </w:style>
  <w:style w:type="character" w:customStyle="1" w:styleId="Nadpis2Char">
    <w:name w:val="Nadpis 2 Char"/>
    <w:basedOn w:val="Predvolenpsmoodseku"/>
    <w:link w:val="Nadpis2"/>
    <w:rsid w:val="00062519"/>
    <w:rPr>
      <w:b/>
      <w:bCs/>
      <w:sz w:val="22"/>
      <w:szCs w:val="22"/>
    </w:rPr>
  </w:style>
  <w:style w:type="paragraph" w:styleId="Bezriadkovania">
    <w:name w:val="No Spacing"/>
    <w:uiPriority w:val="1"/>
    <w:qFormat/>
    <w:rsid w:val="00FF664F"/>
    <w:pPr>
      <w:suppressAutoHyphens/>
    </w:pPr>
    <w:rPr>
      <w:sz w:val="22"/>
      <w:lang w:val="en-GB"/>
    </w:rPr>
  </w:style>
  <w:style w:type="paragraph" w:customStyle="1" w:styleId="StyleBoldBoxSinglesolidlineAuto05ptLinewidthPat">
    <w:name w:val="Style Bold Box: (Single solid line Auto  0.5 pt Line width) Pat..."/>
    <w:basedOn w:val="Normlny"/>
    <w:rsid w:val="009162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after="0"/>
    </w:pPr>
    <w:rPr>
      <w:b/>
      <w:bCs/>
      <w:lang w:val="nl-NL"/>
    </w:rPr>
  </w:style>
  <w:style w:type="paragraph" w:customStyle="1" w:styleId="Heading1-LAB">
    <w:name w:val="Heading 1 - LAB"/>
    <w:basedOn w:val="Nadpis1"/>
    <w:rsid w:val="009162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</w:pPr>
    <w:rPr>
      <w:lang w:val="nl-NL"/>
    </w:rPr>
  </w:style>
  <w:style w:type="paragraph" w:customStyle="1" w:styleId="Heading1PL">
    <w:name w:val="Heading1_PL"/>
    <w:basedOn w:val="Nadpis1"/>
    <w:link w:val="Heading1PLChar"/>
    <w:qFormat/>
    <w:rsid w:val="008129A5"/>
    <w:rPr>
      <w:caps w:val="0"/>
    </w:rPr>
  </w:style>
  <w:style w:type="character" w:customStyle="1" w:styleId="Heading1PLChar">
    <w:name w:val="Heading1_PL Char"/>
    <w:basedOn w:val="Nadpis1Char"/>
    <w:link w:val="Heading1PL"/>
    <w:rsid w:val="008129A5"/>
    <w:rPr>
      <w:b/>
      <w:bCs/>
      <w:caps w:val="0"/>
      <w:sz w:val="22"/>
      <w:szCs w:val="22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35BB"/>
    <w:rPr>
      <w:lang w:val="en-GB"/>
    </w:rPr>
  </w:style>
  <w:style w:type="paragraph" w:styleId="Zoznamsodrkami">
    <w:name w:val="List Bullet"/>
    <w:basedOn w:val="Normlny"/>
    <w:uiPriority w:val="99"/>
    <w:unhideWhenUsed/>
    <w:rsid w:val="00D773C2"/>
    <w:pPr>
      <w:numPr>
        <w:numId w:val="32"/>
      </w:numPr>
      <w:contextualSpacing/>
    </w:pPr>
  </w:style>
  <w:style w:type="paragraph" w:customStyle="1" w:styleId="Default">
    <w:name w:val="Default"/>
    <w:rsid w:val="00C62F6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  <w:style w:type="character" w:customStyle="1" w:styleId="PtaChar">
    <w:name w:val="Päta Char"/>
    <w:basedOn w:val="Predvolenpsmoodseku"/>
    <w:link w:val="Pta"/>
    <w:uiPriority w:val="99"/>
    <w:rsid w:val="00EA4795"/>
    <w:rPr>
      <w:rFonts w:ascii="Helvetica" w:hAnsi="Helvetica"/>
      <w:sz w:val="16"/>
      <w:lang w:val="en-GB"/>
    </w:rPr>
  </w:style>
  <w:style w:type="character" w:customStyle="1" w:styleId="Hypertextovprepojenie1">
    <w:name w:val="Hypertextové prepojenie1"/>
    <w:uiPriority w:val="99"/>
    <w:rsid w:val="000C39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F98BB-31B7-4A00-BD78-59C67B34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4406</Words>
  <Characters>27697</Characters>
  <Application>Microsoft Office Word</Application>
  <DocSecurity>0</DocSecurity>
  <Lines>230</Lines>
  <Paragraphs>64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Summary of Product Characteristics EN (Nanogam)</vt:lpstr>
      <vt:lpstr>Summary of Product Characteristics EN (Nanogam)</vt:lpstr>
      <vt:lpstr>Summary of Product Characteristics EN (Nanogam)</vt:lpstr>
    </vt:vector>
  </TitlesOfParts>
  <Company>Wilkens</Company>
  <LinksUpToDate>false</LinksUpToDate>
  <CharactersWithSpaces>32039</CharactersWithSpaces>
  <SharedDoc>false</SharedDoc>
  <HLinks>
    <vt:vector size="12" baseType="variant">
      <vt:variant>
        <vt:i4>1441919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http://en.wikipedia.org/wiki/Blood_vessel</vt:lpwstr>
      </vt:variant>
      <vt:variant>
        <vt:lpwstr/>
      </vt:variant>
      <vt:variant>
        <vt:i4>1245273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http://en.wikipedia.org/wiki/Clot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 EN (Nanogam)</dc:title>
  <dc:creator>Daniel Kok</dc:creator>
  <cp:lastModifiedBy>Hudecová, Martina</cp:lastModifiedBy>
  <cp:revision>3</cp:revision>
  <cp:lastPrinted>2018-09-18T10:45:00Z</cp:lastPrinted>
  <dcterms:created xsi:type="dcterms:W3CDTF">2020-09-21T08:37:00Z</dcterms:created>
  <dcterms:modified xsi:type="dcterms:W3CDTF">2020-09-21T08:37:00Z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LastSaved">
    <vt:filetime>2016-02-05T00:00:00Z</vt:filetime>
  </property>
</Properties>
</file>