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419" w:rsidRPr="008F7ACD" w:rsidRDefault="00BF7FC7" w:rsidP="0076418E">
      <w:pPr>
        <w:jc w:val="center"/>
        <w:rPr>
          <w:b/>
          <w:szCs w:val="22"/>
        </w:rPr>
      </w:pPr>
      <w:bookmarkStart w:id="0" w:name="_GoBack"/>
      <w:bookmarkEnd w:id="0"/>
      <w:r w:rsidRPr="008F7ACD">
        <w:rPr>
          <w:b/>
          <w:szCs w:val="22"/>
        </w:rPr>
        <w:t>SÚHRN CHARAKTERISTICKÝCH VLAST</w:t>
      </w:r>
      <w:smartTag w:uri="urn:schemas-microsoft-com:office:smarttags" w:element="PersonName">
        <w:r w:rsidRPr="008F7ACD">
          <w:rPr>
            <w:b/>
            <w:szCs w:val="22"/>
          </w:rPr>
          <w:t>NO</w:t>
        </w:r>
      </w:smartTag>
      <w:r w:rsidRPr="008F7ACD">
        <w:rPr>
          <w:b/>
          <w:szCs w:val="22"/>
        </w:rPr>
        <w:t>STÍ LIEKU</w:t>
      </w:r>
    </w:p>
    <w:p w:rsidR="00BF7FC7" w:rsidRPr="008F7ACD" w:rsidRDefault="00BF7FC7" w:rsidP="00C92B0B">
      <w:pPr>
        <w:rPr>
          <w:b/>
          <w:szCs w:val="22"/>
        </w:rPr>
      </w:pPr>
    </w:p>
    <w:p w:rsidR="00350BD4" w:rsidRPr="008F7ACD" w:rsidRDefault="00350BD4" w:rsidP="00C92B0B">
      <w:pPr>
        <w:rPr>
          <w:b/>
          <w:szCs w:val="22"/>
        </w:rPr>
      </w:pPr>
    </w:p>
    <w:p w:rsidR="00FF6BE0" w:rsidRPr="008F7ACD" w:rsidRDefault="00FF6BE0" w:rsidP="00C92B0B">
      <w:pPr>
        <w:rPr>
          <w:szCs w:val="22"/>
        </w:rPr>
      </w:pPr>
      <w:r w:rsidRPr="008F7ACD">
        <w:rPr>
          <w:b/>
          <w:szCs w:val="22"/>
        </w:rPr>
        <w:t>1.</w:t>
      </w:r>
      <w:r w:rsidRPr="008F7ACD">
        <w:rPr>
          <w:b/>
          <w:szCs w:val="22"/>
        </w:rPr>
        <w:tab/>
        <w:t>NÁZOV LIEK</w:t>
      </w:r>
      <w:r w:rsidR="00810BCC" w:rsidRPr="008F7ACD">
        <w:rPr>
          <w:b/>
          <w:szCs w:val="22"/>
        </w:rPr>
        <w:t>U</w:t>
      </w:r>
    </w:p>
    <w:p w:rsidR="00FF6BE0" w:rsidRPr="008F7ACD" w:rsidRDefault="00FF6BE0" w:rsidP="00C92B0B">
      <w:pPr>
        <w:rPr>
          <w:szCs w:val="22"/>
        </w:rPr>
      </w:pPr>
    </w:p>
    <w:p w:rsidR="007C08AC" w:rsidRPr="008F7ACD" w:rsidRDefault="00495F24" w:rsidP="00C92B0B">
      <w:pPr>
        <w:rPr>
          <w:szCs w:val="22"/>
        </w:rPr>
      </w:pPr>
      <w:r w:rsidRPr="008F7ACD">
        <w:rPr>
          <w:szCs w:val="22"/>
        </w:rPr>
        <w:t xml:space="preserve">Bortezomib </w:t>
      </w:r>
      <w:r w:rsidR="00873391" w:rsidRPr="008F7ACD">
        <w:rPr>
          <w:szCs w:val="22"/>
        </w:rPr>
        <w:t>STADA</w:t>
      </w:r>
    </w:p>
    <w:p w:rsidR="00FF6BE0" w:rsidRPr="008F7ACD" w:rsidRDefault="00873391" w:rsidP="00C92B0B">
      <w:pPr>
        <w:rPr>
          <w:szCs w:val="22"/>
        </w:rPr>
      </w:pPr>
      <w:r w:rsidRPr="008F7ACD">
        <w:rPr>
          <w:szCs w:val="22"/>
        </w:rPr>
        <w:t>2</w:t>
      </w:r>
      <w:r w:rsidR="00495F24" w:rsidRPr="008F7ACD">
        <w:rPr>
          <w:szCs w:val="22"/>
        </w:rPr>
        <w:t>,5</w:t>
      </w:r>
      <w:r w:rsidR="000C2ED2" w:rsidRPr="008F7ACD">
        <w:rPr>
          <w:szCs w:val="22"/>
        </w:rPr>
        <w:t> </w:t>
      </w:r>
      <w:r w:rsidR="00495F24" w:rsidRPr="008F7ACD">
        <w:rPr>
          <w:szCs w:val="22"/>
        </w:rPr>
        <w:t>mg</w:t>
      </w:r>
      <w:r w:rsidRPr="008F7ACD">
        <w:rPr>
          <w:szCs w:val="22"/>
        </w:rPr>
        <w:t>/ml</w:t>
      </w:r>
      <w:r w:rsidR="00495F24" w:rsidRPr="008F7ACD">
        <w:rPr>
          <w:szCs w:val="22"/>
        </w:rPr>
        <w:t xml:space="preserve"> injekčný roztok</w:t>
      </w:r>
    </w:p>
    <w:p w:rsidR="00350BD4" w:rsidRPr="008F7ACD" w:rsidRDefault="00350BD4" w:rsidP="00C92B0B">
      <w:pPr>
        <w:rPr>
          <w:szCs w:val="22"/>
        </w:rPr>
      </w:pPr>
    </w:p>
    <w:p w:rsidR="00FF6BE0" w:rsidRPr="008F7ACD" w:rsidRDefault="00FF6BE0" w:rsidP="00C92B0B">
      <w:pPr>
        <w:ind w:left="0" w:firstLine="0"/>
        <w:rPr>
          <w:szCs w:val="22"/>
        </w:rPr>
      </w:pPr>
    </w:p>
    <w:p w:rsidR="00FF6BE0" w:rsidRPr="008F7ACD" w:rsidRDefault="00FF6BE0" w:rsidP="00C92B0B">
      <w:pPr>
        <w:rPr>
          <w:szCs w:val="22"/>
        </w:rPr>
      </w:pPr>
      <w:r w:rsidRPr="008F7ACD">
        <w:rPr>
          <w:b/>
          <w:szCs w:val="22"/>
        </w:rPr>
        <w:t>2.</w:t>
      </w:r>
      <w:r w:rsidRPr="008F7ACD">
        <w:rPr>
          <w:b/>
          <w:szCs w:val="22"/>
        </w:rPr>
        <w:tab/>
        <w:t>KVAL</w:t>
      </w:r>
      <w:smartTag w:uri="urn:schemas-microsoft-com:office:smarttags" w:element="PersonName">
        <w:r w:rsidRPr="008F7ACD">
          <w:rPr>
            <w:b/>
            <w:szCs w:val="22"/>
          </w:rPr>
          <w:t>IT</w:t>
        </w:r>
      </w:smartTag>
      <w:r w:rsidRPr="008F7ACD">
        <w:rPr>
          <w:b/>
          <w:szCs w:val="22"/>
        </w:rPr>
        <w:t>ATÍVNE A KVANT</w:t>
      </w:r>
      <w:smartTag w:uri="urn:schemas-microsoft-com:office:smarttags" w:element="PersonName">
        <w:r w:rsidRPr="008F7ACD">
          <w:rPr>
            <w:b/>
            <w:szCs w:val="22"/>
          </w:rPr>
          <w:t>IT</w:t>
        </w:r>
      </w:smartTag>
      <w:r w:rsidRPr="008F7ACD">
        <w:rPr>
          <w:b/>
          <w:szCs w:val="22"/>
        </w:rPr>
        <w:t>ATÍVNE ZLOŽENIE</w:t>
      </w:r>
    </w:p>
    <w:p w:rsidR="00FF6BE0" w:rsidRPr="008F7ACD" w:rsidRDefault="00FF6BE0" w:rsidP="00C92B0B">
      <w:pPr>
        <w:ind w:left="0" w:firstLine="0"/>
        <w:rPr>
          <w:szCs w:val="22"/>
        </w:rPr>
      </w:pPr>
    </w:p>
    <w:p w:rsidR="00417FA3" w:rsidRPr="008F7ACD" w:rsidRDefault="00D518F7" w:rsidP="00417FA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Každá</w:t>
      </w:r>
      <w:r w:rsidR="00417FA3" w:rsidRPr="008F7ACD">
        <w:rPr>
          <w:rFonts w:eastAsia="TimesNewRoman"/>
          <w:szCs w:val="22"/>
          <w:lang w:eastAsia="en-US"/>
        </w:rPr>
        <w:t xml:space="preserve"> injekčná liekovka obsahuje </w:t>
      </w:r>
      <w:r w:rsidR="00873391" w:rsidRPr="008F7ACD">
        <w:rPr>
          <w:rFonts w:eastAsia="TimesNewRoman"/>
          <w:szCs w:val="22"/>
          <w:lang w:eastAsia="en-US"/>
        </w:rPr>
        <w:t>1,4</w:t>
      </w:r>
      <w:r w:rsidR="00417FA3" w:rsidRPr="008F7ACD">
        <w:rPr>
          <w:rFonts w:eastAsia="TimesNewRoman"/>
          <w:szCs w:val="22"/>
          <w:lang w:eastAsia="en-US"/>
        </w:rPr>
        <w:t> m</w:t>
      </w:r>
      <w:r w:rsidR="00721230" w:rsidRPr="008F7ACD">
        <w:rPr>
          <w:rFonts w:eastAsia="TimesNewRoman"/>
          <w:szCs w:val="22"/>
          <w:lang w:eastAsia="en-US"/>
        </w:rPr>
        <w:t>l</w:t>
      </w:r>
      <w:r w:rsidR="00873391" w:rsidRPr="008F7ACD">
        <w:rPr>
          <w:rFonts w:eastAsia="TimesNewRoman"/>
          <w:szCs w:val="22"/>
          <w:lang w:eastAsia="en-US"/>
        </w:rPr>
        <w:t xml:space="preserve"> injekčného roztoku, ktorý obsahuje 3,5</w:t>
      </w:r>
      <w:r w:rsidR="00417FA3" w:rsidRPr="008F7ACD">
        <w:rPr>
          <w:rFonts w:eastAsia="TimesNewRoman"/>
          <w:szCs w:val="22"/>
          <w:lang w:eastAsia="en-US"/>
        </w:rPr>
        <w:t xml:space="preserve"> </w:t>
      </w:r>
      <w:r w:rsidR="00721230" w:rsidRPr="008F7ACD">
        <w:rPr>
          <w:rFonts w:eastAsia="TimesNewRoman"/>
          <w:szCs w:val="22"/>
          <w:lang w:eastAsia="en-US"/>
        </w:rPr>
        <w:t xml:space="preserve">mg </w:t>
      </w:r>
      <w:r w:rsidR="00417FA3" w:rsidRPr="008F7ACD">
        <w:rPr>
          <w:rFonts w:eastAsia="TimesNewRoman"/>
          <w:szCs w:val="22"/>
          <w:lang w:eastAsia="en-US"/>
        </w:rPr>
        <w:t>bortezomibu (ako ester kyseliny boritej s manitolom).</w:t>
      </w:r>
    </w:p>
    <w:p w:rsidR="00873391" w:rsidRPr="008F7ACD" w:rsidRDefault="00873391" w:rsidP="00417FA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873391" w:rsidRPr="008F7ACD" w:rsidRDefault="00873391" w:rsidP="00417FA3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Na subkutánnu injekciu</w:t>
      </w:r>
      <w:r w:rsidR="00721230" w:rsidRPr="008F7ACD">
        <w:rPr>
          <w:rFonts w:eastAsia="TimesNewRoman"/>
          <w:szCs w:val="22"/>
          <w:u w:val="single"/>
          <w:lang w:eastAsia="en-US"/>
        </w:rPr>
        <w:t>,</w:t>
      </w:r>
      <w:r w:rsidRPr="008F7ACD">
        <w:rPr>
          <w:rFonts w:eastAsia="TimesNewRoman"/>
          <w:szCs w:val="22"/>
          <w:u w:val="single"/>
          <w:lang w:eastAsia="en-US"/>
        </w:rPr>
        <w:t xml:space="preserve"> riedenie nie je potrebné</w:t>
      </w:r>
    </w:p>
    <w:p w:rsidR="00873391" w:rsidRPr="008F7ACD" w:rsidRDefault="00873391" w:rsidP="00417FA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1 ml roztoku na subkutánnu injekciu obsahuje 2,5 mg bortezomibu.</w:t>
      </w:r>
    </w:p>
    <w:p w:rsidR="00873391" w:rsidRPr="008F7ACD" w:rsidRDefault="00873391" w:rsidP="00417FA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873391" w:rsidRPr="008F7ACD" w:rsidRDefault="00873391" w:rsidP="00417FA3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Na intravenóznu injekciu je potrebné riedenie</w:t>
      </w:r>
    </w:p>
    <w:p w:rsidR="00873391" w:rsidRDefault="00873391" w:rsidP="00417FA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Po </w:t>
      </w:r>
      <w:r w:rsidR="00AF1E6E">
        <w:rPr>
          <w:rFonts w:eastAsia="TimesNewRoman"/>
          <w:szCs w:val="22"/>
          <w:lang w:eastAsia="en-US"/>
        </w:rPr>
        <w:t xml:space="preserve">zriedení </w:t>
      </w:r>
      <w:r w:rsidRPr="008F7ACD">
        <w:rPr>
          <w:rFonts w:eastAsia="TimesNewRoman"/>
          <w:szCs w:val="22"/>
          <w:lang w:eastAsia="en-US"/>
        </w:rPr>
        <w:t>1 ml roztoku na intravenóznu injekciu obsahuje 1 mg bortezomibu.</w:t>
      </w:r>
    </w:p>
    <w:p w:rsidR="00C75CFD" w:rsidRPr="00351EAB" w:rsidRDefault="00C75CFD" w:rsidP="00417FA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>
        <w:rPr>
          <w:rFonts w:eastAsia="TimesNewRoman"/>
          <w:szCs w:val="22"/>
          <w:lang w:eastAsia="en-US"/>
        </w:rPr>
        <w:t>.</w:t>
      </w:r>
    </w:p>
    <w:p w:rsidR="00F243A5" w:rsidRPr="008F7ACD" w:rsidRDefault="00F243A5" w:rsidP="00417FA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FF6BE0" w:rsidRPr="008F7ACD" w:rsidRDefault="00FF6BE0" w:rsidP="00C92B0B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  <w:r w:rsidRPr="008F7ACD">
        <w:rPr>
          <w:szCs w:val="22"/>
          <w:lang w:eastAsia="en-US"/>
        </w:rPr>
        <w:t>Úplný zoznam pomocných látok, pozri časť 6.1.</w:t>
      </w:r>
    </w:p>
    <w:p w:rsidR="00FF6BE0" w:rsidRPr="008F7ACD" w:rsidRDefault="00FF6BE0" w:rsidP="00C92B0B">
      <w:pPr>
        <w:rPr>
          <w:szCs w:val="22"/>
        </w:rPr>
      </w:pPr>
    </w:p>
    <w:p w:rsidR="00920419" w:rsidRPr="008F7ACD" w:rsidRDefault="00920419" w:rsidP="00C92B0B">
      <w:pPr>
        <w:rPr>
          <w:szCs w:val="22"/>
        </w:rPr>
      </w:pPr>
    </w:p>
    <w:p w:rsidR="00FF6BE0" w:rsidRPr="008F7ACD" w:rsidRDefault="00FF6BE0" w:rsidP="00C92B0B">
      <w:pPr>
        <w:rPr>
          <w:caps/>
          <w:szCs w:val="22"/>
        </w:rPr>
      </w:pPr>
      <w:r w:rsidRPr="008F7ACD">
        <w:rPr>
          <w:b/>
          <w:szCs w:val="22"/>
        </w:rPr>
        <w:t>3.</w:t>
      </w:r>
      <w:r w:rsidRPr="008F7ACD">
        <w:rPr>
          <w:b/>
          <w:szCs w:val="22"/>
        </w:rPr>
        <w:tab/>
        <w:t>LIEKOVÁ FORMA</w:t>
      </w:r>
    </w:p>
    <w:p w:rsidR="00FF6BE0" w:rsidRPr="008F7ACD" w:rsidRDefault="00FF6BE0" w:rsidP="00C92B0B">
      <w:pPr>
        <w:rPr>
          <w:szCs w:val="22"/>
        </w:rPr>
      </w:pPr>
    </w:p>
    <w:p w:rsidR="00417FA3" w:rsidRPr="008F7ACD" w:rsidRDefault="00873391" w:rsidP="00417FA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I</w:t>
      </w:r>
      <w:r w:rsidR="00417FA3" w:rsidRPr="008F7ACD">
        <w:rPr>
          <w:rFonts w:eastAsia="TimesNewRoman"/>
          <w:szCs w:val="22"/>
          <w:lang w:eastAsia="en-US"/>
        </w:rPr>
        <w:t>njekčný roztok.</w:t>
      </w:r>
    </w:p>
    <w:p w:rsidR="00873391" w:rsidRPr="008F7ACD" w:rsidRDefault="00873391" w:rsidP="00417FA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873391" w:rsidRPr="008F7ACD" w:rsidRDefault="00873391" w:rsidP="00417FA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Bezfarebný až svetložltý roztok s hodnotou pH 4,0 – 5,5.</w:t>
      </w:r>
    </w:p>
    <w:p w:rsidR="00822511" w:rsidRPr="008F7ACD" w:rsidRDefault="00822511" w:rsidP="00C92B0B">
      <w:pPr>
        <w:ind w:left="0" w:firstLine="0"/>
        <w:rPr>
          <w:szCs w:val="22"/>
        </w:rPr>
      </w:pPr>
    </w:p>
    <w:p w:rsidR="00FF6BE0" w:rsidRPr="008F7ACD" w:rsidRDefault="00FF6BE0" w:rsidP="00C92B0B">
      <w:pPr>
        <w:ind w:left="0" w:firstLine="0"/>
        <w:rPr>
          <w:szCs w:val="22"/>
        </w:rPr>
      </w:pPr>
    </w:p>
    <w:p w:rsidR="00FF6BE0" w:rsidRPr="008F7ACD" w:rsidRDefault="00FF6BE0" w:rsidP="00C92B0B">
      <w:pPr>
        <w:rPr>
          <w:caps/>
          <w:szCs w:val="22"/>
        </w:rPr>
      </w:pPr>
      <w:r w:rsidRPr="008F7ACD">
        <w:rPr>
          <w:b/>
          <w:caps/>
          <w:szCs w:val="22"/>
        </w:rPr>
        <w:t>4.</w:t>
      </w:r>
      <w:r w:rsidRPr="008F7ACD">
        <w:rPr>
          <w:b/>
          <w:caps/>
          <w:szCs w:val="22"/>
        </w:rPr>
        <w:tab/>
        <w:t>KLINICKÉ ÚDAJE</w:t>
      </w:r>
    </w:p>
    <w:p w:rsidR="00FF6BE0" w:rsidRPr="008F7ACD" w:rsidRDefault="00FF6BE0" w:rsidP="00C92B0B">
      <w:pPr>
        <w:rPr>
          <w:szCs w:val="22"/>
        </w:rPr>
      </w:pPr>
    </w:p>
    <w:p w:rsidR="00FF6BE0" w:rsidRPr="008F7ACD" w:rsidRDefault="00FF6BE0" w:rsidP="00C92B0B">
      <w:pPr>
        <w:rPr>
          <w:szCs w:val="22"/>
        </w:rPr>
      </w:pPr>
      <w:r w:rsidRPr="008F7ACD">
        <w:rPr>
          <w:b/>
          <w:szCs w:val="22"/>
        </w:rPr>
        <w:t>4.1</w:t>
      </w:r>
      <w:r w:rsidRPr="008F7ACD">
        <w:rPr>
          <w:b/>
          <w:szCs w:val="22"/>
        </w:rPr>
        <w:tab/>
        <w:t>Terapeutické indikácie</w:t>
      </w:r>
    </w:p>
    <w:p w:rsidR="00FF6BE0" w:rsidRPr="008F7ACD" w:rsidRDefault="00FF6BE0" w:rsidP="00C92B0B">
      <w:pPr>
        <w:rPr>
          <w:szCs w:val="22"/>
        </w:rPr>
      </w:pPr>
    </w:p>
    <w:p w:rsidR="007B0ABD" w:rsidRPr="008F7ACD" w:rsidRDefault="00822511" w:rsidP="007B0ABD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Bortezomib </w:t>
      </w:r>
      <w:r w:rsidR="00134C1D" w:rsidRPr="008F7ACD">
        <w:rPr>
          <w:rFonts w:eastAsia="TimesNewRoman"/>
          <w:szCs w:val="22"/>
          <w:lang w:eastAsia="en-US"/>
        </w:rPr>
        <w:t>STADA</w:t>
      </w:r>
      <w:r w:rsidR="007B0ABD" w:rsidRPr="008F7ACD">
        <w:rPr>
          <w:rFonts w:eastAsia="TimesNewRoman"/>
          <w:szCs w:val="22"/>
          <w:lang w:eastAsia="en-US"/>
        </w:rPr>
        <w:t xml:space="preserve"> je v monoterapii alebo v kombinácii s pegylovaným lipozomálnym doxorubicínom alebo</w:t>
      </w:r>
      <w:r w:rsidR="00421B17" w:rsidRPr="008F7ACD">
        <w:rPr>
          <w:rFonts w:eastAsia="TimesNewRoman"/>
          <w:szCs w:val="22"/>
          <w:lang w:eastAsia="en-US"/>
        </w:rPr>
        <w:t xml:space="preserve"> </w:t>
      </w:r>
      <w:r w:rsidR="007B0ABD" w:rsidRPr="008F7ACD">
        <w:rPr>
          <w:rFonts w:eastAsia="TimesNewRoman"/>
          <w:szCs w:val="22"/>
          <w:lang w:eastAsia="en-US"/>
        </w:rPr>
        <w:t>s dexametazónom indikovaný na liečbu dospelých pacientov s progresívnym mnohopočetným</w:t>
      </w:r>
      <w:r w:rsidR="00421B17" w:rsidRPr="008F7ACD">
        <w:rPr>
          <w:rFonts w:eastAsia="TimesNewRoman"/>
          <w:szCs w:val="22"/>
          <w:lang w:eastAsia="en-US"/>
        </w:rPr>
        <w:t xml:space="preserve"> </w:t>
      </w:r>
      <w:r w:rsidR="007B0ABD" w:rsidRPr="008F7ACD">
        <w:rPr>
          <w:rFonts w:eastAsia="TimesNewRoman"/>
          <w:szCs w:val="22"/>
          <w:lang w:eastAsia="en-US"/>
        </w:rPr>
        <w:t>myelómom, ktorí podstúpili najmenej 1 predchádzajúcu liečbu a ktorí už podstúpili alebo nie sú</w:t>
      </w:r>
      <w:r w:rsidR="00421B17" w:rsidRPr="008F7ACD">
        <w:rPr>
          <w:rFonts w:eastAsia="TimesNewRoman"/>
          <w:szCs w:val="22"/>
          <w:lang w:eastAsia="en-US"/>
        </w:rPr>
        <w:t xml:space="preserve"> </w:t>
      </w:r>
      <w:r w:rsidR="007B0ABD" w:rsidRPr="008F7ACD">
        <w:rPr>
          <w:rFonts w:eastAsia="TimesNewRoman"/>
          <w:szCs w:val="22"/>
          <w:lang w:eastAsia="en-US"/>
        </w:rPr>
        <w:t>vhodní na transplantáciu hematopoetických kmeňových buniek.</w:t>
      </w:r>
    </w:p>
    <w:p w:rsidR="007B0ABD" w:rsidRPr="008F7ACD" w:rsidRDefault="007B0ABD" w:rsidP="007B0ABD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7B0ABD" w:rsidRPr="008F7ACD" w:rsidRDefault="00822511" w:rsidP="007B0ABD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Bortezomib </w:t>
      </w:r>
      <w:r w:rsidR="00134C1D" w:rsidRPr="008F7ACD">
        <w:rPr>
          <w:rFonts w:eastAsia="TimesNewRoman"/>
          <w:szCs w:val="22"/>
          <w:lang w:eastAsia="en-US"/>
        </w:rPr>
        <w:t>STADA</w:t>
      </w:r>
      <w:r w:rsidR="00A7306C" w:rsidRPr="008F7ACD">
        <w:rPr>
          <w:rFonts w:eastAsia="TimesNewRoman"/>
          <w:szCs w:val="22"/>
          <w:lang w:eastAsia="en-US"/>
        </w:rPr>
        <w:t xml:space="preserve"> </w:t>
      </w:r>
      <w:r w:rsidR="007B0ABD" w:rsidRPr="008F7ACD">
        <w:rPr>
          <w:rFonts w:eastAsia="TimesNewRoman"/>
          <w:szCs w:val="22"/>
          <w:lang w:eastAsia="en-US"/>
        </w:rPr>
        <w:t>sa v kombinácii s melfal</w:t>
      </w:r>
      <w:r w:rsidR="00721230" w:rsidRPr="008F7ACD">
        <w:rPr>
          <w:rFonts w:eastAsia="TimesNewRoman"/>
          <w:szCs w:val="22"/>
          <w:lang w:eastAsia="en-US"/>
        </w:rPr>
        <w:t>á</w:t>
      </w:r>
      <w:r w:rsidR="007B0ABD" w:rsidRPr="008F7ACD">
        <w:rPr>
          <w:rFonts w:eastAsia="TimesNewRoman"/>
          <w:szCs w:val="22"/>
          <w:lang w:eastAsia="en-US"/>
        </w:rPr>
        <w:t>nom a prednizónom indikuje na liečbu dospelých pacientov</w:t>
      </w:r>
      <w:r w:rsidR="00421B17" w:rsidRPr="008F7ACD">
        <w:rPr>
          <w:rFonts w:eastAsia="TimesNewRoman"/>
          <w:szCs w:val="22"/>
          <w:lang w:eastAsia="en-US"/>
        </w:rPr>
        <w:t xml:space="preserve"> </w:t>
      </w:r>
      <w:r w:rsidR="007B0ABD" w:rsidRPr="008F7ACD">
        <w:rPr>
          <w:rFonts w:eastAsia="TimesNewRoman"/>
          <w:szCs w:val="22"/>
          <w:lang w:eastAsia="en-US"/>
        </w:rPr>
        <w:t>s doteraz neliečeným mnohopočetným myelómom, ktorí nie sú vhodní na vysoko dávkovú</w:t>
      </w:r>
    </w:p>
    <w:p w:rsidR="007B0ABD" w:rsidRPr="008F7ACD" w:rsidRDefault="007B0ABD" w:rsidP="007B0ABD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chemoterapiu s transplantáciou hematopoetických kmeňových buniek.</w:t>
      </w:r>
    </w:p>
    <w:p w:rsidR="007B0ABD" w:rsidRPr="008F7ACD" w:rsidRDefault="007B0ABD" w:rsidP="007B0ABD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91085B" w:rsidRPr="008F7ACD" w:rsidRDefault="00822511" w:rsidP="00421B17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Bortezomib </w:t>
      </w:r>
      <w:r w:rsidR="00134C1D" w:rsidRPr="008F7ACD">
        <w:rPr>
          <w:rFonts w:eastAsia="TimesNewRoman"/>
          <w:szCs w:val="22"/>
          <w:lang w:eastAsia="en-US"/>
        </w:rPr>
        <w:t>STADA</w:t>
      </w:r>
      <w:r w:rsidR="00421B17" w:rsidRPr="008F7ACD">
        <w:rPr>
          <w:rFonts w:eastAsia="TimesNewRoman"/>
          <w:szCs w:val="22"/>
          <w:lang w:eastAsia="en-US"/>
        </w:rPr>
        <w:t xml:space="preserve"> </w:t>
      </w:r>
      <w:r w:rsidR="007B0ABD" w:rsidRPr="008F7ACD">
        <w:rPr>
          <w:rFonts w:eastAsia="TimesNewRoman"/>
          <w:szCs w:val="22"/>
          <w:lang w:eastAsia="en-US"/>
        </w:rPr>
        <w:t>je v kombinácii s dexametazónom alebo s dexametazónom a talidomidom indikovaný na</w:t>
      </w:r>
      <w:r w:rsidR="00421B17" w:rsidRPr="008F7ACD">
        <w:rPr>
          <w:rFonts w:eastAsia="TimesNewRoman"/>
          <w:szCs w:val="22"/>
          <w:lang w:eastAsia="en-US"/>
        </w:rPr>
        <w:t xml:space="preserve"> </w:t>
      </w:r>
      <w:r w:rsidR="007B0ABD" w:rsidRPr="008F7ACD">
        <w:rPr>
          <w:rFonts w:eastAsia="TimesNewRoman"/>
          <w:szCs w:val="22"/>
          <w:lang w:eastAsia="en-US"/>
        </w:rPr>
        <w:t>indukčnú liečbu dospelých pacientov s doteraz neliečeným mnohopočetným myelómom, ktorí sú</w:t>
      </w:r>
      <w:r w:rsidR="00421B17" w:rsidRPr="008F7ACD">
        <w:rPr>
          <w:rFonts w:eastAsia="TimesNewRoman"/>
          <w:szCs w:val="22"/>
          <w:lang w:eastAsia="en-US"/>
        </w:rPr>
        <w:t xml:space="preserve"> </w:t>
      </w:r>
      <w:r w:rsidR="007B0ABD" w:rsidRPr="008F7ACD">
        <w:rPr>
          <w:rFonts w:eastAsia="TimesNewRoman"/>
          <w:szCs w:val="22"/>
          <w:lang w:eastAsia="en-US"/>
        </w:rPr>
        <w:t>vhodní na vysoko dávkovú chemoterapiu s transplantáciou hematopoetických kmeňových buniek.</w:t>
      </w:r>
    </w:p>
    <w:p w:rsidR="007B0ABD" w:rsidRPr="008F7ACD" w:rsidRDefault="007B0ABD" w:rsidP="007B0ABD">
      <w:pPr>
        <w:ind w:left="0" w:firstLine="0"/>
        <w:rPr>
          <w:rFonts w:eastAsia="TimesNewRoman"/>
          <w:szCs w:val="22"/>
          <w:lang w:eastAsia="en-US"/>
        </w:rPr>
      </w:pPr>
    </w:p>
    <w:p w:rsidR="007B0ABD" w:rsidRPr="008F7ACD" w:rsidRDefault="00822511" w:rsidP="00421B17">
      <w:pPr>
        <w:autoSpaceDE w:val="0"/>
        <w:autoSpaceDN w:val="0"/>
        <w:adjustRightInd w:val="0"/>
        <w:ind w:left="0" w:firstLine="0"/>
        <w:rPr>
          <w:szCs w:val="22"/>
        </w:rPr>
      </w:pPr>
      <w:r w:rsidRPr="008F7ACD">
        <w:rPr>
          <w:rFonts w:eastAsia="TimesNewRoman"/>
          <w:szCs w:val="22"/>
          <w:lang w:eastAsia="en-US"/>
        </w:rPr>
        <w:t xml:space="preserve">Bortezomib </w:t>
      </w:r>
      <w:r w:rsidR="00134C1D" w:rsidRPr="008F7ACD">
        <w:rPr>
          <w:rFonts w:eastAsia="TimesNewRoman"/>
          <w:szCs w:val="22"/>
          <w:lang w:eastAsia="en-US"/>
        </w:rPr>
        <w:t>STADA</w:t>
      </w:r>
      <w:r w:rsidR="00421B17" w:rsidRPr="008F7ACD">
        <w:rPr>
          <w:rFonts w:eastAsia="TimesNewRoman"/>
          <w:szCs w:val="22"/>
          <w:lang w:eastAsia="en-US"/>
        </w:rPr>
        <w:t xml:space="preserve"> </w:t>
      </w:r>
      <w:r w:rsidR="007B0ABD" w:rsidRPr="008F7ACD">
        <w:rPr>
          <w:rFonts w:eastAsia="TimesNewRoman"/>
          <w:szCs w:val="22"/>
          <w:lang w:eastAsia="en-US"/>
        </w:rPr>
        <w:t>je v kombinácii s rituximabom, cyklofosfamidom, doxorubicínom a</w:t>
      </w:r>
      <w:r w:rsidR="00421B17" w:rsidRPr="008F7ACD">
        <w:rPr>
          <w:rFonts w:eastAsia="TimesNewRoman"/>
          <w:szCs w:val="22"/>
          <w:lang w:eastAsia="en-US"/>
        </w:rPr>
        <w:t> </w:t>
      </w:r>
      <w:r w:rsidR="007B0ABD" w:rsidRPr="008F7ACD">
        <w:rPr>
          <w:rFonts w:eastAsia="TimesNewRoman"/>
          <w:szCs w:val="22"/>
          <w:lang w:eastAsia="en-US"/>
        </w:rPr>
        <w:t>prednizónom</w:t>
      </w:r>
      <w:r w:rsidR="00421B17" w:rsidRPr="008F7ACD">
        <w:rPr>
          <w:rFonts w:eastAsia="TimesNewRoman"/>
          <w:szCs w:val="22"/>
          <w:lang w:eastAsia="en-US"/>
        </w:rPr>
        <w:t xml:space="preserve"> </w:t>
      </w:r>
      <w:r w:rsidR="007B0ABD" w:rsidRPr="008F7ACD">
        <w:rPr>
          <w:rFonts w:eastAsia="TimesNewRoman"/>
          <w:szCs w:val="22"/>
          <w:lang w:eastAsia="en-US"/>
        </w:rPr>
        <w:t>indikovaný na liečbu dospelých pacientov s doteraz neliečeným lymfómom z plášťových buniek, ktorí</w:t>
      </w:r>
      <w:r w:rsidR="00421B17" w:rsidRPr="008F7ACD">
        <w:rPr>
          <w:rFonts w:eastAsia="TimesNewRoman"/>
          <w:szCs w:val="22"/>
          <w:lang w:eastAsia="en-US"/>
        </w:rPr>
        <w:t xml:space="preserve"> </w:t>
      </w:r>
      <w:r w:rsidR="007B0ABD" w:rsidRPr="008F7ACD">
        <w:rPr>
          <w:rFonts w:eastAsia="TimesNewRoman"/>
          <w:szCs w:val="22"/>
          <w:lang w:eastAsia="en-US"/>
        </w:rPr>
        <w:t>nie sú vhodní na transplantáciu hematopoetických kmeňových buniek.</w:t>
      </w:r>
    </w:p>
    <w:p w:rsidR="00920419" w:rsidRPr="008F7ACD" w:rsidRDefault="00920419" w:rsidP="00C92B0B">
      <w:pPr>
        <w:ind w:left="0" w:firstLine="0"/>
        <w:rPr>
          <w:b/>
          <w:szCs w:val="22"/>
        </w:rPr>
      </w:pPr>
    </w:p>
    <w:p w:rsidR="00FF6BE0" w:rsidRPr="008F7ACD" w:rsidRDefault="00FF6BE0" w:rsidP="00C92B0B">
      <w:pPr>
        <w:rPr>
          <w:b/>
          <w:szCs w:val="22"/>
        </w:rPr>
      </w:pPr>
      <w:r w:rsidRPr="008F7ACD">
        <w:rPr>
          <w:b/>
          <w:szCs w:val="22"/>
        </w:rPr>
        <w:t>4.2</w:t>
      </w:r>
      <w:r w:rsidRPr="008F7ACD">
        <w:rPr>
          <w:b/>
          <w:szCs w:val="22"/>
        </w:rPr>
        <w:tab/>
        <w:t>Dávkovanie a spôsob podávania</w:t>
      </w:r>
    </w:p>
    <w:p w:rsidR="00FF60EF" w:rsidRPr="008F7ACD" w:rsidRDefault="00FF60EF" w:rsidP="00C92B0B">
      <w:pPr>
        <w:rPr>
          <w:szCs w:val="22"/>
          <w:u w:val="single"/>
        </w:rPr>
      </w:pPr>
    </w:p>
    <w:p w:rsidR="007B0ABD" w:rsidRPr="008F7ACD" w:rsidRDefault="007B0ABD" w:rsidP="007B0ABD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lastRenderedPageBreak/>
        <w:t xml:space="preserve">Liečba </w:t>
      </w:r>
      <w:r w:rsidR="00134C1D" w:rsidRPr="008F7ACD">
        <w:rPr>
          <w:rFonts w:eastAsia="TimesNewRoman"/>
          <w:szCs w:val="22"/>
          <w:lang w:eastAsia="en-US"/>
        </w:rPr>
        <w:t xml:space="preserve">Bortezomibom STADA </w:t>
      </w:r>
      <w:r w:rsidRPr="008F7ACD">
        <w:rPr>
          <w:rFonts w:eastAsia="TimesNewRoman"/>
          <w:szCs w:val="22"/>
          <w:lang w:eastAsia="en-US"/>
        </w:rPr>
        <w:t xml:space="preserve">sa musí začať podávať pod dohľadom lekára, ktorý má </w:t>
      </w:r>
      <w:r w:rsidR="00134C1D" w:rsidRPr="008F7ACD">
        <w:rPr>
          <w:rFonts w:eastAsia="TimesNewRoman"/>
          <w:szCs w:val="22"/>
          <w:lang w:eastAsia="en-US"/>
        </w:rPr>
        <w:t>skúsenosti s liečbou onkologických pacientov</w:t>
      </w:r>
      <w:r w:rsidR="006D0CC4" w:rsidRPr="008F7ACD">
        <w:rPr>
          <w:rFonts w:eastAsia="TimesNewRoman"/>
          <w:szCs w:val="22"/>
          <w:lang w:eastAsia="en-US"/>
        </w:rPr>
        <w:t>, avšak Bortezomib STADA môžu podávať zdravotnícki pracovníci, ktorí majú</w:t>
      </w:r>
      <w:r w:rsidRPr="008F7ACD">
        <w:rPr>
          <w:rFonts w:eastAsia="TimesNewRoman"/>
          <w:szCs w:val="22"/>
          <w:lang w:eastAsia="en-US"/>
        </w:rPr>
        <w:t xml:space="preserve"> skúsenosti s</w:t>
      </w:r>
      <w:r w:rsidR="00134C1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podávaním</w:t>
      </w:r>
      <w:r w:rsidR="00134C1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chemoterapeutických látok. </w:t>
      </w:r>
      <w:r w:rsidR="00822511" w:rsidRPr="008F7ACD">
        <w:rPr>
          <w:rFonts w:eastAsia="TimesNewRoman"/>
          <w:szCs w:val="22"/>
          <w:lang w:eastAsia="en-US"/>
        </w:rPr>
        <w:t>Bortezomib</w:t>
      </w:r>
      <w:r w:rsidR="006D0CC4" w:rsidRPr="008F7ACD">
        <w:rPr>
          <w:rFonts w:eastAsia="TimesNewRoman"/>
          <w:szCs w:val="22"/>
          <w:lang w:eastAsia="en-US"/>
        </w:rPr>
        <w:t xml:space="preserve"> STADA</w:t>
      </w:r>
      <w:r w:rsidR="0082251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musí byť </w:t>
      </w:r>
      <w:r w:rsidR="00AF1E6E">
        <w:rPr>
          <w:rFonts w:eastAsia="TimesNewRoman"/>
          <w:szCs w:val="22"/>
          <w:lang w:eastAsia="en-US"/>
        </w:rPr>
        <w:t xml:space="preserve">pripravený </w:t>
      </w:r>
      <w:r w:rsidRPr="008F7ACD">
        <w:rPr>
          <w:rFonts w:eastAsia="TimesNewRoman"/>
          <w:szCs w:val="22"/>
          <w:lang w:eastAsia="en-US"/>
        </w:rPr>
        <w:t>zdravotníckym pracovníkom</w:t>
      </w:r>
      <w:r w:rsidR="006D0CC4" w:rsidRPr="008F7ACD">
        <w:rPr>
          <w:rFonts w:eastAsia="TimesNewRoman"/>
          <w:szCs w:val="22"/>
          <w:lang w:eastAsia="en-US"/>
        </w:rPr>
        <w:t xml:space="preserve"> (pozri časť 6.6).</w:t>
      </w:r>
    </w:p>
    <w:p w:rsidR="00421B17" w:rsidRPr="008F7ACD" w:rsidRDefault="00421B17" w:rsidP="007B0ABD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7B0ABD" w:rsidRPr="008F7ACD" w:rsidRDefault="007B0ABD" w:rsidP="007B0ABD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Dávkovanie pri liečbe progresívneho mnohopočetného myelómu (pacienti, ktorí dostali aspoň jednu</w:t>
      </w:r>
      <w:r w:rsidR="00421B17" w:rsidRPr="008F7ACD">
        <w:rPr>
          <w:rFonts w:eastAsia="TimesNewRoman"/>
          <w:szCs w:val="22"/>
          <w:u w:val="single"/>
          <w:lang w:eastAsia="en-US"/>
        </w:rPr>
        <w:t xml:space="preserve"> </w:t>
      </w:r>
      <w:r w:rsidRPr="008F7ACD">
        <w:rPr>
          <w:rFonts w:eastAsia="TimesNewRoman"/>
          <w:szCs w:val="22"/>
          <w:u w:val="single"/>
          <w:lang w:eastAsia="en-US"/>
        </w:rPr>
        <w:t>predchádzajúcu liečbu)</w:t>
      </w:r>
    </w:p>
    <w:p w:rsidR="00421B17" w:rsidRPr="008F7ACD" w:rsidRDefault="00421B17" w:rsidP="007B0ABD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</w:p>
    <w:p w:rsidR="007B0ABD" w:rsidRPr="008F7ACD" w:rsidRDefault="007B0ABD" w:rsidP="007B0ABD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Monoterapia</w:t>
      </w:r>
    </w:p>
    <w:p w:rsidR="007B0ABD" w:rsidRPr="008F7ACD" w:rsidRDefault="00421B17" w:rsidP="007B0ABD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Bortezomib </w:t>
      </w:r>
      <w:r w:rsidR="006D0CC4" w:rsidRPr="008F7ACD">
        <w:rPr>
          <w:rFonts w:eastAsia="TimesNewRoman"/>
          <w:szCs w:val="22"/>
          <w:lang w:eastAsia="en-US"/>
        </w:rPr>
        <w:t xml:space="preserve">STADA 2,5 mg injekčný roztok </w:t>
      </w:r>
      <w:r w:rsidR="007B0ABD" w:rsidRPr="008F7ACD">
        <w:rPr>
          <w:rFonts w:eastAsia="TimesNewRoman"/>
          <w:szCs w:val="22"/>
          <w:lang w:eastAsia="en-US"/>
        </w:rPr>
        <w:t xml:space="preserve">sa podáva </w:t>
      </w:r>
      <w:r w:rsidR="006D0CC4" w:rsidRPr="008F7ACD">
        <w:rPr>
          <w:rFonts w:eastAsia="TimesNewRoman"/>
          <w:szCs w:val="22"/>
          <w:lang w:eastAsia="en-US"/>
        </w:rPr>
        <w:t xml:space="preserve">subkutánnou injekciou alebo po </w:t>
      </w:r>
      <w:r w:rsidR="00AF1E6E">
        <w:rPr>
          <w:rFonts w:eastAsia="TimesNewRoman"/>
          <w:szCs w:val="22"/>
          <w:lang w:eastAsia="en-US"/>
        </w:rPr>
        <w:t xml:space="preserve">zriedený </w:t>
      </w:r>
      <w:r w:rsidR="006D0CC4" w:rsidRPr="008F7ACD">
        <w:rPr>
          <w:rFonts w:eastAsia="TimesNewRoman"/>
          <w:szCs w:val="22"/>
          <w:lang w:eastAsia="en-US"/>
        </w:rPr>
        <w:t>aj intravenózn</w:t>
      </w:r>
      <w:r w:rsidR="003F6CDA" w:rsidRPr="008F7ACD">
        <w:rPr>
          <w:rFonts w:eastAsia="TimesNewRoman"/>
          <w:szCs w:val="22"/>
          <w:lang w:eastAsia="en-US"/>
        </w:rPr>
        <w:t>ou injekciou</w:t>
      </w:r>
      <w:r w:rsidR="006D0CC4" w:rsidRPr="008F7ACD">
        <w:rPr>
          <w:rFonts w:eastAsia="TimesNewRoman"/>
          <w:szCs w:val="22"/>
          <w:lang w:eastAsia="en-US"/>
        </w:rPr>
        <w:t xml:space="preserve"> </w:t>
      </w:r>
      <w:r w:rsidR="007B0ABD" w:rsidRPr="008F7ACD">
        <w:rPr>
          <w:rFonts w:eastAsia="TimesNewRoman"/>
          <w:szCs w:val="22"/>
          <w:lang w:eastAsia="en-US"/>
        </w:rPr>
        <w:t>v odporúčanej dávke 1,3</w:t>
      </w:r>
      <w:r w:rsidRPr="008F7ACD">
        <w:rPr>
          <w:rFonts w:eastAsia="TimesNewRoman"/>
          <w:szCs w:val="22"/>
          <w:lang w:eastAsia="en-US"/>
        </w:rPr>
        <w:t> </w:t>
      </w:r>
      <w:r w:rsidR="007B0ABD" w:rsidRPr="008F7ACD">
        <w:rPr>
          <w:rFonts w:eastAsia="TimesNewRoman"/>
          <w:szCs w:val="22"/>
          <w:lang w:eastAsia="en-US"/>
        </w:rPr>
        <w:t>mg/m</w:t>
      </w:r>
      <w:r w:rsidR="007B0ABD" w:rsidRPr="008F7ACD">
        <w:rPr>
          <w:rFonts w:eastAsia="TimesNewRoman"/>
          <w:szCs w:val="22"/>
          <w:vertAlign w:val="superscript"/>
          <w:lang w:eastAsia="en-US"/>
        </w:rPr>
        <w:t>2</w:t>
      </w:r>
      <w:r w:rsidR="007B0ABD" w:rsidRPr="008F7ACD">
        <w:rPr>
          <w:rFonts w:eastAsia="TimesNewRoman"/>
          <w:szCs w:val="22"/>
          <w:lang w:eastAsia="en-US"/>
        </w:rPr>
        <w:t xml:space="preserve"> povrchu tela dvakrát týždenne počas dvoch týždňov v 1., 4., 8. a 11.deň terapeutického cyklu trvajúceho 21 dní. Toto 3-týždňové obdobie sa považuje za jeden</w:t>
      </w:r>
      <w:r w:rsidR="00B0487E" w:rsidRPr="008F7ACD">
        <w:rPr>
          <w:rFonts w:eastAsia="TimesNewRoman"/>
          <w:szCs w:val="22"/>
          <w:lang w:eastAsia="en-US"/>
        </w:rPr>
        <w:t xml:space="preserve"> </w:t>
      </w:r>
      <w:r w:rsidR="007B0ABD" w:rsidRPr="008F7ACD">
        <w:rPr>
          <w:rFonts w:eastAsia="TimesNewRoman"/>
          <w:szCs w:val="22"/>
          <w:lang w:eastAsia="en-US"/>
        </w:rPr>
        <w:t>terapeutický cyklus.</w:t>
      </w:r>
      <w:r w:rsidR="00B0487E" w:rsidRPr="008F7ACD">
        <w:rPr>
          <w:rFonts w:eastAsia="TimesNewRoman"/>
          <w:szCs w:val="22"/>
          <w:lang w:eastAsia="en-US"/>
        </w:rPr>
        <w:t xml:space="preserve"> </w:t>
      </w:r>
      <w:r w:rsidR="007B0ABD" w:rsidRPr="008F7ACD">
        <w:rPr>
          <w:rFonts w:eastAsia="TimesNewRoman"/>
          <w:szCs w:val="22"/>
          <w:lang w:eastAsia="en-US"/>
        </w:rPr>
        <w:t xml:space="preserve">Odporúča sa, aby pacienti absolvovali 2 terapeutické cykly s </w:t>
      </w:r>
      <w:r w:rsidR="00B0487E" w:rsidRPr="008F7ACD">
        <w:rPr>
          <w:rFonts w:eastAsia="TimesNewRoman"/>
          <w:szCs w:val="22"/>
          <w:lang w:eastAsia="en-US"/>
        </w:rPr>
        <w:t xml:space="preserve">bortezomibom </w:t>
      </w:r>
      <w:r w:rsidR="007B0ABD" w:rsidRPr="008F7ACD">
        <w:rPr>
          <w:rFonts w:eastAsia="TimesNewRoman"/>
          <w:szCs w:val="22"/>
          <w:lang w:eastAsia="en-US"/>
        </w:rPr>
        <w:t>po potvrdení kompletnej</w:t>
      </w:r>
      <w:r w:rsidR="00022DDE" w:rsidRPr="008F7ACD">
        <w:rPr>
          <w:rFonts w:eastAsia="TimesNewRoman"/>
          <w:szCs w:val="22"/>
          <w:lang w:eastAsia="en-US"/>
        </w:rPr>
        <w:t xml:space="preserve"> </w:t>
      </w:r>
      <w:r w:rsidR="007B0ABD" w:rsidRPr="008F7ACD">
        <w:rPr>
          <w:rFonts w:eastAsia="TimesNewRoman"/>
          <w:szCs w:val="22"/>
          <w:lang w:eastAsia="en-US"/>
        </w:rPr>
        <w:t>terapeutickej odpovede. Tiež sa odporúča, aby pacienti, ktorí odpovedajú na liečbu a nedosiahli</w:t>
      </w:r>
      <w:r w:rsidR="00B0487E" w:rsidRPr="008F7ACD">
        <w:rPr>
          <w:rFonts w:eastAsia="TimesNewRoman"/>
          <w:szCs w:val="22"/>
          <w:lang w:eastAsia="en-US"/>
        </w:rPr>
        <w:t xml:space="preserve"> </w:t>
      </w:r>
      <w:r w:rsidR="007B0ABD" w:rsidRPr="008F7ACD">
        <w:rPr>
          <w:rFonts w:eastAsia="TimesNewRoman"/>
          <w:szCs w:val="22"/>
          <w:lang w:eastAsia="en-US"/>
        </w:rPr>
        <w:t xml:space="preserve">kompletnú remisiu, absolvovali celkovo 8 cyklov liečby </w:t>
      </w:r>
      <w:r w:rsidR="00B0487E" w:rsidRPr="008F7ACD">
        <w:rPr>
          <w:rFonts w:eastAsia="TimesNewRoman"/>
          <w:szCs w:val="22"/>
          <w:lang w:eastAsia="en-US"/>
        </w:rPr>
        <w:t>bortezomibom</w:t>
      </w:r>
      <w:r w:rsidR="007B0ABD" w:rsidRPr="008F7ACD">
        <w:rPr>
          <w:rFonts w:eastAsia="TimesNewRoman"/>
          <w:szCs w:val="22"/>
          <w:lang w:eastAsia="en-US"/>
        </w:rPr>
        <w:t>. Medzi nasledujúcimi dávkami</w:t>
      </w:r>
      <w:r w:rsidR="00B0487E" w:rsidRPr="008F7ACD">
        <w:rPr>
          <w:rFonts w:eastAsia="TimesNewRoman"/>
          <w:szCs w:val="22"/>
          <w:lang w:eastAsia="en-US"/>
        </w:rPr>
        <w:t xml:space="preserve"> bortezomibu</w:t>
      </w:r>
      <w:r w:rsidR="007B0ABD" w:rsidRPr="008F7ACD">
        <w:rPr>
          <w:rFonts w:eastAsia="TimesNewRoman"/>
          <w:szCs w:val="22"/>
          <w:lang w:eastAsia="en-US"/>
        </w:rPr>
        <w:t xml:space="preserve"> má uplynúť aspoň 72 hodín.</w:t>
      </w:r>
    </w:p>
    <w:p w:rsidR="00B0487E" w:rsidRPr="008F7ACD" w:rsidRDefault="00B0487E" w:rsidP="007B0ABD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7B0ABD" w:rsidRPr="008F7ACD" w:rsidRDefault="007B0ABD" w:rsidP="007B0ABD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Úprav</w:t>
      </w:r>
      <w:r w:rsidR="00B0487E" w:rsidRPr="008F7ACD">
        <w:rPr>
          <w:rFonts w:eastAsia="TimesNewRoman,Italic"/>
          <w:i/>
          <w:iCs/>
          <w:szCs w:val="22"/>
          <w:lang w:eastAsia="en-US"/>
        </w:rPr>
        <w:t>a dávkovania</w:t>
      </w:r>
      <w:r w:rsidRPr="008F7ACD">
        <w:rPr>
          <w:rFonts w:eastAsia="TimesNewRoman,Italic"/>
          <w:i/>
          <w:iCs/>
          <w:szCs w:val="22"/>
          <w:lang w:eastAsia="en-US"/>
        </w:rPr>
        <w:t xml:space="preserve"> počas liečby a reinicializácie liečby pri monoterapii</w:t>
      </w:r>
    </w:p>
    <w:p w:rsidR="007B0ABD" w:rsidRPr="008F7ACD" w:rsidRDefault="007B0ABD" w:rsidP="00B0487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Liečba </w:t>
      </w:r>
      <w:r w:rsidR="00B0487E" w:rsidRPr="008F7ACD">
        <w:rPr>
          <w:rFonts w:eastAsia="TimesNewRoman"/>
          <w:szCs w:val="22"/>
          <w:lang w:eastAsia="en-US"/>
        </w:rPr>
        <w:t xml:space="preserve">bortezomibom </w:t>
      </w:r>
      <w:r w:rsidRPr="008F7ACD">
        <w:rPr>
          <w:rFonts w:eastAsia="TimesNewRoman"/>
          <w:szCs w:val="22"/>
          <w:lang w:eastAsia="en-US"/>
        </w:rPr>
        <w:t>sa musí prerušiť pri objavení sa akejkoľvek nehematologickej toxicity 3.</w:t>
      </w:r>
      <w:r w:rsidR="00B0487E" w:rsidRPr="008F7ACD">
        <w:rPr>
          <w:rFonts w:eastAsia="TimesNewRoman"/>
          <w:szCs w:val="22"/>
          <w:lang w:eastAsia="en-US"/>
        </w:rPr>
        <w:t> </w:t>
      </w:r>
      <w:r w:rsidR="00EA0C85" w:rsidRPr="008F7ACD">
        <w:rPr>
          <w:rFonts w:eastAsia="TimesNewRoman"/>
          <w:szCs w:val="22"/>
          <w:lang w:eastAsia="en-US"/>
        </w:rPr>
        <w:t>s</w:t>
      </w:r>
      <w:r w:rsidRPr="008F7ACD">
        <w:rPr>
          <w:rFonts w:eastAsia="TimesNewRoman"/>
          <w:szCs w:val="22"/>
          <w:lang w:eastAsia="en-US"/>
        </w:rPr>
        <w:t>tupňa</w:t>
      </w:r>
      <w:r w:rsidR="00B0487E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alebo hematologickej toxicity 4.</w:t>
      </w:r>
      <w:r w:rsidR="00B0487E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stupňa</w:t>
      </w:r>
      <w:r w:rsidR="006D0CC4" w:rsidRPr="008F7ACD">
        <w:rPr>
          <w:rFonts w:eastAsia="TimesNewRoman"/>
          <w:szCs w:val="22"/>
          <w:lang w:eastAsia="en-US"/>
        </w:rPr>
        <w:t xml:space="preserve"> s výnimkou neuropatie, ako je </w:t>
      </w:r>
      <w:r w:rsidRPr="008F7ACD">
        <w:rPr>
          <w:rFonts w:eastAsia="TimesNewRoman"/>
          <w:szCs w:val="22"/>
          <w:lang w:eastAsia="en-US"/>
        </w:rPr>
        <w:t>opísané nižšie (pozri tiež časť</w:t>
      </w:r>
      <w:r w:rsidR="00B0487E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4.4). Po ústupe príznakov toxicity možn</w:t>
      </w:r>
      <w:r w:rsidR="006D0CC4" w:rsidRPr="008F7ACD">
        <w:rPr>
          <w:rFonts w:eastAsia="TimesNewRoman"/>
          <w:szCs w:val="22"/>
          <w:lang w:eastAsia="en-US"/>
        </w:rPr>
        <w:t>o</w:t>
      </w:r>
      <w:r w:rsidRPr="008F7ACD">
        <w:rPr>
          <w:rFonts w:eastAsia="TimesNewRoman"/>
          <w:szCs w:val="22"/>
          <w:lang w:eastAsia="en-US"/>
        </w:rPr>
        <w:t xml:space="preserve"> opäť začať liečbu </w:t>
      </w:r>
      <w:r w:rsidR="00B0487E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v dávke zredukovanej</w:t>
      </w:r>
      <w:r w:rsidR="00B0487E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o 25</w:t>
      </w:r>
      <w:r w:rsidR="00B0487E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(1,3</w:t>
      </w:r>
      <w:r w:rsidR="00B0487E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redukovaná na 1,0</w:t>
      </w:r>
      <w:r w:rsidR="00B0487E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>; 1,0</w:t>
      </w:r>
      <w:r w:rsidR="00B0487E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redukovaná na 0,7</w:t>
      </w:r>
      <w:r w:rsidR="00B0487E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>). Ak</w:t>
      </w:r>
      <w:r w:rsidR="00C6294F" w:rsidRPr="008F7ACD">
        <w:rPr>
          <w:rFonts w:eastAsia="TimesNewRoman"/>
          <w:szCs w:val="22"/>
          <w:lang w:eastAsia="en-US"/>
        </w:rPr>
        <w:t> </w:t>
      </w:r>
      <w:r w:rsidR="00B50636" w:rsidRPr="008F7ACD">
        <w:rPr>
          <w:rFonts w:eastAsia="TimesNewRoman"/>
          <w:szCs w:val="22"/>
          <w:lang w:eastAsia="en-US"/>
        </w:rPr>
        <w:t>prízna</w:t>
      </w:r>
      <w:r w:rsidRPr="008F7ACD">
        <w:rPr>
          <w:rFonts w:eastAsia="TimesNewRoman"/>
          <w:szCs w:val="22"/>
          <w:lang w:eastAsia="en-US"/>
        </w:rPr>
        <w:t>ky</w:t>
      </w:r>
      <w:r w:rsidR="00B0487E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toxicity neustúpili, alebo ak sa objavia aj pri najnižšej dávke, musí sa zvážiť prerušenie liečby</w:t>
      </w:r>
      <w:r w:rsidR="00B0487E" w:rsidRPr="008F7ACD">
        <w:rPr>
          <w:rFonts w:eastAsia="TimesNewRoman"/>
          <w:szCs w:val="22"/>
          <w:lang w:eastAsia="en-US"/>
        </w:rPr>
        <w:t xml:space="preserve"> bortezomibom</w:t>
      </w:r>
      <w:r w:rsidRPr="008F7ACD">
        <w:rPr>
          <w:rFonts w:eastAsia="TimesNewRoman"/>
          <w:szCs w:val="22"/>
          <w:lang w:eastAsia="en-US"/>
        </w:rPr>
        <w:t xml:space="preserve"> okrem prípadov, keď prínos liečby výrazne prevyšuje jej riziko.</w:t>
      </w:r>
    </w:p>
    <w:p w:rsidR="007B0ABD" w:rsidRPr="008F7ACD" w:rsidRDefault="007B0ABD" w:rsidP="007B0ABD">
      <w:pPr>
        <w:rPr>
          <w:szCs w:val="22"/>
          <w:u w:val="single"/>
        </w:rPr>
      </w:pPr>
    </w:p>
    <w:p w:rsidR="007B0ABD" w:rsidRPr="008F7ACD" w:rsidRDefault="007B0ABD" w:rsidP="007B0ABD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Neuropatická bolesť a/alebo periférna neuropatia</w:t>
      </w:r>
    </w:p>
    <w:p w:rsidR="007B0ABD" w:rsidRPr="008F7ACD" w:rsidRDefault="007B0ABD" w:rsidP="007B0ABD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Pacienti, u ktorých v súvislosti s liečbou bortezomibom došlo k vzniku neuropatickej bolesti a/alebo</w:t>
      </w:r>
      <w:r w:rsidR="00870975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k</w:t>
      </w:r>
      <w:r w:rsidR="00304887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periférnej neuropatii, </w:t>
      </w:r>
      <w:r w:rsidR="00304887" w:rsidRPr="008F7ACD">
        <w:rPr>
          <w:rFonts w:eastAsia="TimesNewRoman"/>
          <w:szCs w:val="22"/>
          <w:lang w:eastAsia="en-US"/>
        </w:rPr>
        <w:t xml:space="preserve">sa </w:t>
      </w:r>
      <w:r w:rsidRPr="008F7ACD">
        <w:rPr>
          <w:rFonts w:eastAsia="TimesNewRoman"/>
          <w:szCs w:val="22"/>
          <w:lang w:eastAsia="en-US"/>
        </w:rPr>
        <w:t>ma</w:t>
      </w:r>
      <w:r w:rsidR="00304887" w:rsidRPr="008F7ACD">
        <w:rPr>
          <w:rFonts w:eastAsia="TimesNewRoman"/>
          <w:szCs w:val="22"/>
          <w:lang w:eastAsia="en-US"/>
        </w:rPr>
        <w:t>jú</w:t>
      </w:r>
      <w:r w:rsidRPr="008F7ACD">
        <w:rPr>
          <w:rFonts w:eastAsia="TimesNewRoman"/>
          <w:szCs w:val="22"/>
          <w:lang w:eastAsia="en-US"/>
        </w:rPr>
        <w:t xml:space="preserve"> lieč</w:t>
      </w:r>
      <w:r w:rsidR="00304887" w:rsidRPr="008F7ACD">
        <w:rPr>
          <w:rFonts w:eastAsia="TimesNewRoman"/>
          <w:szCs w:val="22"/>
          <w:lang w:eastAsia="en-US"/>
        </w:rPr>
        <w:t>iť</w:t>
      </w:r>
      <w:r w:rsidRPr="008F7ACD">
        <w:rPr>
          <w:rFonts w:eastAsia="TimesNewRoman"/>
          <w:szCs w:val="22"/>
          <w:lang w:eastAsia="en-US"/>
        </w:rPr>
        <w:t xml:space="preserve"> podľa údajov uvedených v tabuľke 1 (pozri časť 4.4).</w:t>
      </w:r>
      <w:r w:rsidR="00870975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Pacienti s</w:t>
      </w:r>
      <w:r w:rsidR="00ED07D1" w:rsidRPr="008F7ACD">
        <w:rPr>
          <w:rFonts w:eastAsia="TimesNewRoman"/>
          <w:szCs w:val="22"/>
          <w:lang w:eastAsia="en-US"/>
        </w:rPr>
        <w:t xml:space="preserve"> už </w:t>
      </w:r>
      <w:r w:rsidRPr="008F7ACD">
        <w:rPr>
          <w:rFonts w:eastAsia="TimesNewRoman"/>
          <w:szCs w:val="22"/>
          <w:lang w:eastAsia="en-US"/>
        </w:rPr>
        <w:t xml:space="preserve">existujúcou </w:t>
      </w:r>
      <w:r w:rsidR="00304887" w:rsidRPr="008F7ACD">
        <w:rPr>
          <w:rFonts w:eastAsia="TimesNewRoman"/>
          <w:szCs w:val="22"/>
          <w:lang w:eastAsia="en-US"/>
        </w:rPr>
        <w:t>závažnou</w:t>
      </w:r>
      <w:r w:rsidRPr="008F7ACD">
        <w:rPr>
          <w:rFonts w:eastAsia="TimesNewRoman"/>
          <w:szCs w:val="22"/>
          <w:lang w:eastAsia="en-US"/>
        </w:rPr>
        <w:t xml:space="preserve"> neuropatiou môžu byť liečení len po starostlivom</w:t>
      </w:r>
      <w:r w:rsidR="00870975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zvážení pomeru riziko/prínos liečby.</w:t>
      </w:r>
    </w:p>
    <w:p w:rsidR="007B0ABD" w:rsidRPr="008F7ACD" w:rsidRDefault="007B0ABD" w:rsidP="007B0ABD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7B0ABD" w:rsidRPr="008F7ACD" w:rsidRDefault="007B0ABD" w:rsidP="007B0ABD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Tabuľka 1: Odporúčané* zmeny dávkovania bortezomibu v súvislosti s neuropatiou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27329E" w:rsidRPr="008F7ACD" w:rsidTr="006A1141">
        <w:tc>
          <w:tcPr>
            <w:tcW w:w="4644" w:type="dxa"/>
            <w:shd w:val="clear" w:color="auto" w:fill="auto"/>
          </w:tcPr>
          <w:p w:rsidR="0027329E" w:rsidRPr="008F7ACD" w:rsidRDefault="0027329E" w:rsidP="0027329E">
            <w:pPr>
              <w:rPr>
                <w:szCs w:val="22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 xml:space="preserve">Stupeň neuropatie </w:t>
            </w:r>
          </w:p>
        </w:tc>
        <w:tc>
          <w:tcPr>
            <w:tcW w:w="4644" w:type="dxa"/>
            <w:shd w:val="clear" w:color="auto" w:fill="auto"/>
          </w:tcPr>
          <w:p w:rsidR="0027329E" w:rsidRPr="008F7ACD" w:rsidRDefault="0027329E">
            <w:pPr>
              <w:rPr>
                <w:szCs w:val="22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Zmena dávkovania</w:t>
            </w:r>
          </w:p>
        </w:tc>
      </w:tr>
      <w:tr w:rsidR="0027329E" w:rsidRPr="008F7ACD" w:rsidTr="006A1141">
        <w:tc>
          <w:tcPr>
            <w:tcW w:w="4644" w:type="dxa"/>
            <w:shd w:val="clear" w:color="auto" w:fill="auto"/>
          </w:tcPr>
          <w:p w:rsidR="0027329E" w:rsidRPr="008F7ACD" w:rsidRDefault="0027329E" w:rsidP="006A1141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1.</w:t>
            </w:r>
            <w:r w:rsidR="001517C4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stupeň (asymptomatická; strata hlbokých</w:t>
            </w:r>
          </w:p>
          <w:p w:rsidR="0027329E" w:rsidRPr="008F7ACD" w:rsidRDefault="0027329E" w:rsidP="006A1141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šľachových reflexov alebo parestézia) bez</w:t>
            </w:r>
          </w:p>
          <w:p w:rsidR="0027329E" w:rsidRPr="008F7ACD" w:rsidRDefault="0027329E" w:rsidP="006A1141">
            <w:pPr>
              <w:autoSpaceDE w:val="0"/>
              <w:autoSpaceDN w:val="0"/>
              <w:adjustRightInd w:val="0"/>
              <w:ind w:left="0" w:firstLine="0"/>
              <w:rPr>
                <w:rFonts w:eastAsia="TimesNewRoman,Italic"/>
                <w:i/>
                <w:iCs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bolesti alebo straty funkcie</w:t>
            </w:r>
          </w:p>
        </w:tc>
        <w:tc>
          <w:tcPr>
            <w:tcW w:w="4644" w:type="dxa"/>
            <w:shd w:val="clear" w:color="auto" w:fill="auto"/>
          </w:tcPr>
          <w:p w:rsidR="0027329E" w:rsidRPr="008F7ACD" w:rsidRDefault="0027329E" w:rsidP="006A1141">
            <w:pPr>
              <w:autoSpaceDE w:val="0"/>
              <w:autoSpaceDN w:val="0"/>
              <w:adjustRightInd w:val="0"/>
              <w:ind w:left="0" w:firstLine="0"/>
              <w:rPr>
                <w:rFonts w:eastAsia="TimesNewRoman,Italic"/>
                <w:i/>
                <w:iCs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Žiadna</w:t>
            </w:r>
          </w:p>
        </w:tc>
      </w:tr>
      <w:tr w:rsidR="0027329E" w:rsidRPr="008F7ACD" w:rsidTr="006A1141">
        <w:tc>
          <w:tcPr>
            <w:tcW w:w="4644" w:type="dxa"/>
            <w:shd w:val="clear" w:color="auto" w:fill="auto"/>
          </w:tcPr>
          <w:p w:rsidR="0027329E" w:rsidRPr="008F7ACD" w:rsidRDefault="0027329E" w:rsidP="006A1141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1.</w:t>
            </w:r>
            <w:r w:rsidR="00B15819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stupeň s bolesťou alebo 2.</w:t>
            </w:r>
            <w:r w:rsidR="00B15819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stupeň</w:t>
            </w:r>
          </w:p>
          <w:p w:rsidR="0027329E" w:rsidRPr="008F7ACD" w:rsidRDefault="0027329E" w:rsidP="006A1141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(stredne závažné </w:t>
            </w:r>
            <w:r w:rsidR="00AB55D5" w:rsidRPr="008F7ACD">
              <w:rPr>
                <w:rFonts w:eastAsia="TimesNewRoman"/>
                <w:szCs w:val="22"/>
                <w:lang w:eastAsia="en-US"/>
              </w:rPr>
              <w:t>príznaky</w:t>
            </w:r>
            <w:r w:rsidRPr="008F7ACD">
              <w:rPr>
                <w:rFonts w:eastAsia="TimesNewRoman"/>
                <w:szCs w:val="22"/>
                <w:lang w:eastAsia="en-US"/>
              </w:rPr>
              <w:t>; limitujúce</w:t>
            </w:r>
          </w:p>
          <w:p w:rsidR="0027329E" w:rsidRPr="008F7ACD" w:rsidRDefault="0027329E" w:rsidP="006A1141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inštrumentálne aktivity denného života</w:t>
            </w:r>
          </w:p>
          <w:p w:rsidR="0027329E" w:rsidRPr="008F7ACD" w:rsidRDefault="0027329E" w:rsidP="006A1141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(z angl. Activities of Daily Living,</w:t>
            </w:r>
          </w:p>
          <w:p w:rsidR="0027329E" w:rsidRPr="008F7ACD" w:rsidRDefault="0027329E" w:rsidP="006A1141">
            <w:pPr>
              <w:autoSpaceDE w:val="0"/>
              <w:autoSpaceDN w:val="0"/>
              <w:adjustRightInd w:val="0"/>
              <w:ind w:left="0" w:firstLine="0"/>
              <w:rPr>
                <w:rFonts w:eastAsia="TimesNewRoman,Italic"/>
                <w:i/>
                <w:iCs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ADL))**</w:t>
            </w:r>
          </w:p>
        </w:tc>
        <w:tc>
          <w:tcPr>
            <w:tcW w:w="4644" w:type="dxa"/>
            <w:shd w:val="clear" w:color="auto" w:fill="auto"/>
          </w:tcPr>
          <w:p w:rsidR="0027329E" w:rsidRPr="008F7ACD" w:rsidRDefault="0027329E" w:rsidP="006A1141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Znížiť dávku </w:t>
            </w:r>
            <w:r w:rsidR="00B15819" w:rsidRPr="008F7ACD">
              <w:rPr>
                <w:rFonts w:eastAsia="TimesNewRoman"/>
                <w:szCs w:val="22"/>
                <w:lang w:eastAsia="en-US"/>
              </w:rPr>
              <w:t>bortezomibu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na 1,0</w:t>
            </w:r>
            <w:r w:rsidR="00B15819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mg/m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2</w:t>
            </w:r>
          </w:p>
          <w:p w:rsidR="0027329E" w:rsidRPr="008F7ACD" w:rsidRDefault="0027329E" w:rsidP="006A1141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alebo</w:t>
            </w:r>
          </w:p>
          <w:p w:rsidR="0027329E" w:rsidRPr="008F7ACD" w:rsidRDefault="003253BE" w:rsidP="00B15819">
            <w:pPr>
              <w:autoSpaceDE w:val="0"/>
              <w:autoSpaceDN w:val="0"/>
              <w:adjustRightInd w:val="0"/>
              <w:ind w:left="0" w:firstLine="0"/>
              <w:rPr>
                <w:rFonts w:eastAsia="TimesNewRoman,Italic"/>
                <w:i/>
                <w:iCs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z</w:t>
            </w:r>
            <w:r w:rsidR="0027329E" w:rsidRPr="008F7ACD">
              <w:rPr>
                <w:rFonts w:eastAsia="TimesNewRoman"/>
                <w:szCs w:val="22"/>
                <w:lang w:eastAsia="en-US"/>
              </w:rPr>
              <w:t xml:space="preserve">meniť liečbu </w:t>
            </w:r>
            <w:r w:rsidR="00B15819" w:rsidRPr="008F7ACD">
              <w:rPr>
                <w:rFonts w:eastAsia="TimesNewRoman"/>
                <w:szCs w:val="22"/>
                <w:lang w:eastAsia="en-US"/>
              </w:rPr>
              <w:t>bortezomibom</w:t>
            </w:r>
            <w:r w:rsidR="0027329E" w:rsidRPr="008F7ACD">
              <w:rPr>
                <w:rFonts w:eastAsia="TimesNewRoman"/>
                <w:szCs w:val="22"/>
                <w:lang w:eastAsia="en-US"/>
              </w:rPr>
              <w:t xml:space="preserve"> na 1,3</w:t>
            </w:r>
            <w:r w:rsidR="00B15819" w:rsidRPr="008F7ACD">
              <w:rPr>
                <w:rFonts w:eastAsia="TimesNewRoman"/>
                <w:szCs w:val="22"/>
                <w:lang w:eastAsia="en-US"/>
              </w:rPr>
              <w:t> </w:t>
            </w:r>
            <w:r w:rsidR="0027329E" w:rsidRPr="008F7ACD">
              <w:rPr>
                <w:rFonts w:eastAsia="TimesNewRoman"/>
                <w:szCs w:val="22"/>
                <w:lang w:eastAsia="en-US"/>
              </w:rPr>
              <w:t>mg/m</w:t>
            </w:r>
            <w:r w:rsidR="0027329E" w:rsidRPr="008F7ACD">
              <w:rPr>
                <w:rFonts w:eastAsia="TimesNewRoman"/>
                <w:szCs w:val="22"/>
                <w:vertAlign w:val="superscript"/>
                <w:lang w:eastAsia="en-US"/>
              </w:rPr>
              <w:t>2</w:t>
            </w:r>
            <w:r w:rsidR="0027329E" w:rsidRPr="008F7ACD">
              <w:rPr>
                <w:rFonts w:eastAsia="TimesNewRoman"/>
                <w:szCs w:val="22"/>
                <w:lang w:eastAsia="en-US"/>
              </w:rPr>
              <w:t xml:space="preserve"> jedenkrát </w:t>
            </w:r>
            <w:r w:rsidR="00B15819" w:rsidRPr="008F7ACD">
              <w:rPr>
                <w:rFonts w:eastAsia="TimesNewRoman"/>
                <w:szCs w:val="22"/>
                <w:lang w:eastAsia="en-US"/>
              </w:rPr>
              <w:t>týždenne</w:t>
            </w:r>
            <w:r w:rsidR="0027329E" w:rsidRPr="008F7ACD">
              <w:rPr>
                <w:rFonts w:eastAsia="TimesNewRoman"/>
                <w:szCs w:val="22"/>
                <w:lang w:eastAsia="en-US"/>
              </w:rPr>
              <w:t>.</w:t>
            </w:r>
          </w:p>
        </w:tc>
      </w:tr>
      <w:tr w:rsidR="0027329E" w:rsidRPr="008F7ACD" w:rsidTr="006A1141">
        <w:tc>
          <w:tcPr>
            <w:tcW w:w="4644" w:type="dxa"/>
            <w:shd w:val="clear" w:color="auto" w:fill="auto"/>
          </w:tcPr>
          <w:p w:rsidR="0027329E" w:rsidRPr="008F7ACD" w:rsidRDefault="0027329E" w:rsidP="006A1141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2.</w:t>
            </w:r>
            <w:r w:rsidR="00B15819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stupeň s bolesťou alebo 3.</w:t>
            </w:r>
            <w:r w:rsidR="00B15819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stupeň</w:t>
            </w:r>
          </w:p>
          <w:p w:rsidR="0027329E" w:rsidRPr="008F7ACD" w:rsidRDefault="0027329E" w:rsidP="006A1141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(závažné </w:t>
            </w:r>
            <w:r w:rsidR="00AB55D5" w:rsidRPr="008F7ACD">
              <w:rPr>
                <w:rFonts w:eastAsia="TimesNewRoman"/>
                <w:szCs w:val="22"/>
                <w:lang w:eastAsia="en-US"/>
              </w:rPr>
              <w:t>príznaky</w:t>
            </w:r>
            <w:r w:rsidRPr="008F7ACD">
              <w:rPr>
                <w:rFonts w:eastAsia="TimesNewRoman"/>
                <w:szCs w:val="22"/>
                <w:lang w:eastAsia="en-US"/>
              </w:rPr>
              <w:t>; limitujúce</w:t>
            </w:r>
          </w:p>
          <w:p w:rsidR="0027329E" w:rsidRPr="008F7ACD" w:rsidRDefault="0027329E" w:rsidP="006A1141">
            <w:pPr>
              <w:autoSpaceDE w:val="0"/>
              <w:autoSpaceDN w:val="0"/>
              <w:adjustRightInd w:val="0"/>
              <w:ind w:left="0" w:firstLine="0"/>
              <w:rPr>
                <w:rFonts w:eastAsia="TimesNewRoman,Italic"/>
                <w:i/>
                <w:iCs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sebestačnosť v ADL***)</w:t>
            </w:r>
          </w:p>
        </w:tc>
        <w:tc>
          <w:tcPr>
            <w:tcW w:w="4644" w:type="dxa"/>
            <w:shd w:val="clear" w:color="auto" w:fill="auto"/>
          </w:tcPr>
          <w:p w:rsidR="0027329E" w:rsidRPr="008F7ACD" w:rsidRDefault="0027329E" w:rsidP="00B15819">
            <w:pPr>
              <w:autoSpaceDE w:val="0"/>
              <w:autoSpaceDN w:val="0"/>
              <w:adjustRightInd w:val="0"/>
              <w:ind w:left="0" w:firstLine="0"/>
              <w:rPr>
                <w:rFonts w:eastAsia="TimesNewRoman,Italic"/>
                <w:i/>
                <w:iCs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Pre</w:t>
            </w:r>
            <w:r w:rsidR="006D0CC4" w:rsidRPr="008F7ACD">
              <w:rPr>
                <w:rFonts w:eastAsia="TimesNewRoman"/>
                <w:szCs w:val="22"/>
                <w:lang w:eastAsia="en-US"/>
              </w:rPr>
              <w:t>rušiť liečbu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="00B15819" w:rsidRPr="008F7ACD">
              <w:rPr>
                <w:rFonts w:eastAsia="TimesNewRoman"/>
                <w:szCs w:val="22"/>
                <w:lang w:eastAsia="en-US"/>
              </w:rPr>
              <w:t>bortezomibom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do ústupu príznakov</w:t>
            </w:r>
            <w:r w:rsidR="00B15819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toxicity. Po ústupe príznakov toxicity opäť začať liečbu</w:t>
            </w:r>
            <w:r w:rsidR="00B15819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s </w:t>
            </w:r>
            <w:r w:rsidR="00B15819" w:rsidRPr="008F7ACD">
              <w:rPr>
                <w:rFonts w:eastAsia="TimesNewRoman"/>
                <w:szCs w:val="22"/>
                <w:lang w:eastAsia="en-US"/>
              </w:rPr>
              <w:t>bortezomibom a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znížiť dávku na 0,7</w:t>
            </w:r>
            <w:r w:rsidR="00B15819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mg/m</w:t>
            </w:r>
            <w:r w:rsidR="00B15819" w:rsidRPr="008F7ACD">
              <w:rPr>
                <w:rFonts w:eastAsia="TimesNewRoman"/>
                <w:szCs w:val="22"/>
                <w:vertAlign w:val="superscript"/>
                <w:lang w:eastAsia="en-US"/>
              </w:rPr>
              <w:t>2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jedenkrát</w:t>
            </w:r>
            <w:r w:rsidR="00B15819" w:rsidRPr="008F7ACD">
              <w:rPr>
                <w:rFonts w:eastAsia="TimesNewRoman"/>
                <w:szCs w:val="22"/>
                <w:lang w:eastAsia="en-US"/>
              </w:rPr>
              <w:t xml:space="preserve"> týždenne</w:t>
            </w:r>
            <w:r w:rsidRPr="008F7ACD">
              <w:rPr>
                <w:rFonts w:eastAsia="TimesNewRoman"/>
                <w:szCs w:val="22"/>
                <w:lang w:eastAsia="en-US"/>
              </w:rPr>
              <w:t>.</w:t>
            </w:r>
          </w:p>
        </w:tc>
      </w:tr>
      <w:tr w:rsidR="0027329E" w:rsidRPr="008F7ACD" w:rsidTr="006A1141">
        <w:tc>
          <w:tcPr>
            <w:tcW w:w="4644" w:type="dxa"/>
            <w:shd w:val="clear" w:color="auto" w:fill="auto"/>
          </w:tcPr>
          <w:p w:rsidR="0027329E" w:rsidRPr="008F7ACD" w:rsidRDefault="0027329E" w:rsidP="006A1141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4.</w:t>
            </w:r>
            <w:r w:rsidR="00B15819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stupeň (život ohrozujúce </w:t>
            </w:r>
            <w:r w:rsidR="003253BE" w:rsidRPr="008F7ACD">
              <w:rPr>
                <w:rFonts w:eastAsia="TimesNewRoman"/>
                <w:szCs w:val="22"/>
                <w:lang w:eastAsia="en-US"/>
              </w:rPr>
              <w:t>ná</w:t>
            </w:r>
            <w:r w:rsidRPr="008F7ACD">
              <w:rPr>
                <w:rFonts w:eastAsia="TimesNewRoman"/>
                <w:szCs w:val="22"/>
                <w:lang w:eastAsia="en-US"/>
              </w:rPr>
              <w:t>sledky;</w:t>
            </w:r>
          </w:p>
          <w:p w:rsidR="0027329E" w:rsidRPr="008F7ACD" w:rsidRDefault="0027329E" w:rsidP="006A1141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indikovaná okamžitá intervencia)</w:t>
            </w:r>
          </w:p>
          <w:p w:rsidR="0027329E" w:rsidRPr="008F7ACD" w:rsidRDefault="0027329E" w:rsidP="005E5F27">
            <w:pPr>
              <w:autoSpaceDE w:val="0"/>
              <w:autoSpaceDN w:val="0"/>
              <w:adjustRightInd w:val="0"/>
              <w:ind w:left="0" w:firstLine="0"/>
              <w:rPr>
                <w:rFonts w:eastAsia="TimesNewRoman,Italic"/>
                <w:i/>
                <w:iCs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a/alebo </w:t>
            </w:r>
            <w:r w:rsidR="003253BE" w:rsidRPr="008F7ACD">
              <w:rPr>
                <w:rFonts w:eastAsia="TimesNewRoman"/>
                <w:szCs w:val="22"/>
                <w:lang w:eastAsia="en-US"/>
              </w:rPr>
              <w:t>závažná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autonómna neuropatia</w:t>
            </w:r>
          </w:p>
        </w:tc>
        <w:tc>
          <w:tcPr>
            <w:tcW w:w="4644" w:type="dxa"/>
            <w:shd w:val="clear" w:color="auto" w:fill="auto"/>
          </w:tcPr>
          <w:p w:rsidR="0027329E" w:rsidRPr="008F7ACD" w:rsidRDefault="0027329E" w:rsidP="006D0CC4">
            <w:pPr>
              <w:autoSpaceDE w:val="0"/>
              <w:autoSpaceDN w:val="0"/>
              <w:adjustRightInd w:val="0"/>
              <w:ind w:left="0" w:firstLine="0"/>
              <w:rPr>
                <w:rFonts w:eastAsia="TimesNewRoman,Italic"/>
                <w:i/>
                <w:iCs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Prerušiť liečbu </w:t>
            </w:r>
            <w:r w:rsidR="00B15819" w:rsidRPr="008F7ACD">
              <w:rPr>
                <w:rFonts w:eastAsia="TimesNewRoman"/>
                <w:szCs w:val="22"/>
                <w:lang w:eastAsia="en-US"/>
              </w:rPr>
              <w:t>bortezomibom</w:t>
            </w:r>
            <w:r w:rsidR="00E67113" w:rsidRPr="008F7ACD">
              <w:rPr>
                <w:rFonts w:eastAsia="TimesNewRoman"/>
                <w:szCs w:val="22"/>
                <w:lang w:eastAsia="en-US"/>
              </w:rPr>
              <w:t>.</w:t>
            </w:r>
          </w:p>
        </w:tc>
      </w:tr>
    </w:tbl>
    <w:p w:rsidR="0027329E" w:rsidRPr="008F7ACD" w:rsidRDefault="0027329E" w:rsidP="0027329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* Na základe zmeny dávkovania v klinických štúdiách mnohopočetného myelómu fázy II a III a</w:t>
      </w:r>
      <w:r w:rsidR="002A466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z</w:t>
      </w:r>
      <w:r w:rsidR="002A466B" w:rsidRPr="008F7ACD">
        <w:rPr>
          <w:rFonts w:eastAsia="TimesNewRoman"/>
          <w:szCs w:val="22"/>
          <w:lang w:eastAsia="en-US"/>
        </w:rPr>
        <w:t xml:space="preserve">o </w:t>
      </w:r>
      <w:r w:rsidRPr="008F7ACD">
        <w:rPr>
          <w:rFonts w:eastAsia="TimesNewRoman"/>
          <w:szCs w:val="22"/>
          <w:lang w:eastAsia="en-US"/>
        </w:rPr>
        <w:t>skúseností</w:t>
      </w:r>
      <w:r w:rsidR="002A466B" w:rsidRPr="008F7ACD">
        <w:rPr>
          <w:rFonts w:eastAsia="TimesNewRoman"/>
          <w:szCs w:val="22"/>
          <w:lang w:eastAsia="en-US"/>
        </w:rPr>
        <w:t xml:space="preserve"> po uvedení lieku na trh</w:t>
      </w:r>
      <w:r w:rsidRPr="008F7ACD">
        <w:rPr>
          <w:rFonts w:eastAsia="TimesNewRoman"/>
          <w:szCs w:val="22"/>
          <w:lang w:eastAsia="en-US"/>
        </w:rPr>
        <w:t>. Klasifikácia založená na Všeobecných kritériách toxicity CTCAE verzia 4.0</w:t>
      </w:r>
      <w:r w:rsidR="00E5208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podľa NCI.</w:t>
      </w:r>
    </w:p>
    <w:p w:rsidR="0027329E" w:rsidRPr="008F7ACD" w:rsidRDefault="0027329E" w:rsidP="0027329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** </w:t>
      </w:r>
      <w:r w:rsidRPr="008F7ACD">
        <w:rPr>
          <w:rFonts w:eastAsia="TimesNewRoman,Italic"/>
          <w:i/>
          <w:iCs/>
          <w:szCs w:val="22"/>
          <w:lang w:eastAsia="en-US"/>
        </w:rPr>
        <w:t>Inštrumentálne ADL</w:t>
      </w:r>
      <w:r w:rsidRPr="008F7ACD">
        <w:rPr>
          <w:rFonts w:eastAsia="TimesNewRoman"/>
          <w:szCs w:val="22"/>
          <w:lang w:eastAsia="en-US"/>
        </w:rPr>
        <w:t>: týkajú sa prípravy jedla, nakupovania potravín alebo oblečenia, používania telefónu,</w:t>
      </w:r>
      <w:r w:rsidR="00E5208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hospodárenia s peniazmi a pod.</w:t>
      </w:r>
    </w:p>
    <w:p w:rsidR="0027329E" w:rsidRPr="008F7ACD" w:rsidRDefault="0027329E" w:rsidP="0027329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*** S</w:t>
      </w:r>
      <w:r w:rsidRPr="008F7ACD">
        <w:rPr>
          <w:rFonts w:eastAsia="TimesNewRoman,Italic"/>
          <w:i/>
          <w:iCs/>
          <w:szCs w:val="22"/>
          <w:lang w:eastAsia="en-US"/>
        </w:rPr>
        <w:t>ebestačné ADL</w:t>
      </w:r>
      <w:r w:rsidRPr="008F7ACD">
        <w:rPr>
          <w:rFonts w:eastAsia="TimesNewRoman"/>
          <w:szCs w:val="22"/>
          <w:lang w:eastAsia="en-US"/>
        </w:rPr>
        <w:t>: týkajú sa kúpania, obliekania a vyzliekania, samostatného príjmu potravy, použitia toalety, užívania liekov. Pacient nie je pripútaný na lôžko.</w:t>
      </w:r>
    </w:p>
    <w:p w:rsidR="00E52083" w:rsidRPr="008F7ACD" w:rsidRDefault="00E52083" w:rsidP="0027329E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</w:p>
    <w:p w:rsidR="0027329E" w:rsidRPr="008F7ACD" w:rsidRDefault="0027329E" w:rsidP="0027329E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lastRenderedPageBreak/>
        <w:t>Kombinovaná liečba s pegylovaným lipozomálnym doxorubicínom</w:t>
      </w:r>
    </w:p>
    <w:p w:rsidR="0027329E" w:rsidRPr="008F7ACD" w:rsidRDefault="000C2ED2" w:rsidP="0027329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B</w:t>
      </w:r>
      <w:r w:rsidR="00E52083" w:rsidRPr="008F7ACD">
        <w:rPr>
          <w:rFonts w:eastAsia="TimesNewRoman"/>
          <w:szCs w:val="22"/>
          <w:lang w:eastAsia="en-US"/>
        </w:rPr>
        <w:t>ortezomib</w:t>
      </w:r>
      <w:r w:rsidR="0027329E" w:rsidRPr="008F7ACD">
        <w:rPr>
          <w:rFonts w:eastAsia="TimesNewRoman"/>
          <w:szCs w:val="22"/>
          <w:lang w:eastAsia="en-US"/>
        </w:rPr>
        <w:t xml:space="preserve"> </w:t>
      </w:r>
      <w:r w:rsidR="006D0CC4" w:rsidRPr="008F7ACD">
        <w:rPr>
          <w:rFonts w:eastAsia="TimesNewRoman"/>
          <w:szCs w:val="22"/>
          <w:lang w:eastAsia="en-US"/>
        </w:rPr>
        <w:t xml:space="preserve">STADA </w:t>
      </w:r>
      <w:r w:rsidR="00A95E74" w:rsidRPr="008F7ACD">
        <w:rPr>
          <w:rFonts w:eastAsia="TimesNewRoman"/>
          <w:szCs w:val="22"/>
          <w:lang w:eastAsia="en-US"/>
        </w:rPr>
        <w:t xml:space="preserve">2,5 mg/ml injekčný roztok </w:t>
      </w:r>
      <w:r w:rsidR="0027329E" w:rsidRPr="008F7ACD">
        <w:rPr>
          <w:rFonts w:eastAsia="TimesNewRoman"/>
          <w:szCs w:val="22"/>
          <w:lang w:eastAsia="en-US"/>
        </w:rPr>
        <w:t xml:space="preserve">sa podáva </w:t>
      </w:r>
      <w:r w:rsidR="006E1225" w:rsidRPr="008F7ACD">
        <w:rPr>
          <w:rFonts w:eastAsia="TimesNewRoman"/>
          <w:szCs w:val="22"/>
          <w:lang w:eastAsia="en-US"/>
        </w:rPr>
        <w:t xml:space="preserve">subkutánnou injekciou alebo po </w:t>
      </w:r>
      <w:r w:rsidR="00AF1E6E">
        <w:rPr>
          <w:rFonts w:eastAsia="TimesNewRoman"/>
          <w:szCs w:val="22"/>
          <w:lang w:eastAsia="en-US"/>
        </w:rPr>
        <w:t xml:space="preserve">zriedení </w:t>
      </w:r>
      <w:r w:rsidR="006E1225" w:rsidRPr="008F7ACD">
        <w:rPr>
          <w:rFonts w:eastAsia="TimesNewRoman"/>
          <w:szCs w:val="22"/>
          <w:lang w:eastAsia="en-US"/>
        </w:rPr>
        <w:t>aj intravenózn</w:t>
      </w:r>
      <w:r w:rsidR="003F6CDA" w:rsidRPr="008F7ACD">
        <w:rPr>
          <w:rFonts w:eastAsia="TimesNewRoman"/>
          <w:szCs w:val="22"/>
          <w:lang w:eastAsia="en-US"/>
        </w:rPr>
        <w:t>ou injekciou</w:t>
      </w:r>
      <w:r w:rsidR="006E1225" w:rsidRPr="008F7ACD">
        <w:rPr>
          <w:rFonts w:eastAsia="TimesNewRoman"/>
          <w:szCs w:val="22"/>
          <w:lang w:eastAsia="en-US"/>
        </w:rPr>
        <w:t xml:space="preserve"> </w:t>
      </w:r>
      <w:r w:rsidR="0027329E" w:rsidRPr="008F7ACD">
        <w:rPr>
          <w:rFonts w:eastAsia="TimesNewRoman"/>
          <w:szCs w:val="22"/>
          <w:lang w:eastAsia="en-US"/>
        </w:rPr>
        <w:t>v odporúčanej dávke 1,3</w:t>
      </w:r>
      <w:r w:rsidR="00E52083" w:rsidRPr="008F7ACD">
        <w:rPr>
          <w:rFonts w:eastAsia="TimesNewRoman"/>
          <w:szCs w:val="22"/>
          <w:lang w:eastAsia="en-US"/>
        </w:rPr>
        <w:t> </w:t>
      </w:r>
      <w:r w:rsidR="0027329E" w:rsidRPr="008F7ACD">
        <w:rPr>
          <w:rFonts w:eastAsia="TimesNewRoman"/>
          <w:szCs w:val="22"/>
          <w:lang w:eastAsia="en-US"/>
        </w:rPr>
        <w:t>mg/m</w:t>
      </w:r>
      <w:r w:rsidR="0027329E" w:rsidRPr="008F7ACD">
        <w:rPr>
          <w:rFonts w:eastAsia="TimesNewRoman"/>
          <w:szCs w:val="22"/>
          <w:vertAlign w:val="superscript"/>
          <w:lang w:eastAsia="en-US"/>
        </w:rPr>
        <w:t>2</w:t>
      </w:r>
      <w:r w:rsidR="0027329E" w:rsidRPr="008F7ACD">
        <w:rPr>
          <w:rFonts w:eastAsia="TimesNewRoman"/>
          <w:szCs w:val="22"/>
          <w:lang w:eastAsia="en-US"/>
        </w:rPr>
        <w:t xml:space="preserve"> povrchu tela dvakrát týždenne počas dvoch týždňov v 1., 4., 8. a 11.</w:t>
      </w:r>
      <w:r w:rsidR="00E52083" w:rsidRPr="008F7ACD">
        <w:rPr>
          <w:rFonts w:eastAsia="TimesNewRoman"/>
          <w:szCs w:val="22"/>
          <w:lang w:eastAsia="en-US"/>
        </w:rPr>
        <w:t xml:space="preserve"> </w:t>
      </w:r>
      <w:r w:rsidR="0027329E" w:rsidRPr="008F7ACD">
        <w:rPr>
          <w:rFonts w:eastAsia="TimesNewRoman"/>
          <w:szCs w:val="22"/>
          <w:lang w:eastAsia="en-US"/>
        </w:rPr>
        <w:t>deň terapeutického cyklu trvajúceho 21 dní. Toto 3-týždňové obdobie sa považuje za jeden</w:t>
      </w:r>
      <w:r w:rsidR="00E52083" w:rsidRPr="008F7ACD">
        <w:rPr>
          <w:rFonts w:eastAsia="TimesNewRoman"/>
          <w:szCs w:val="22"/>
          <w:lang w:eastAsia="en-US"/>
        </w:rPr>
        <w:t xml:space="preserve"> </w:t>
      </w:r>
      <w:r w:rsidR="0027329E" w:rsidRPr="008F7ACD">
        <w:rPr>
          <w:rFonts w:eastAsia="TimesNewRoman"/>
          <w:szCs w:val="22"/>
          <w:lang w:eastAsia="en-US"/>
        </w:rPr>
        <w:t xml:space="preserve">terapeutický cyklus. Medzi nasledujúcimi dávkami </w:t>
      </w:r>
      <w:r w:rsidR="00E52083" w:rsidRPr="008F7ACD">
        <w:rPr>
          <w:rFonts w:eastAsia="TimesNewRoman"/>
          <w:szCs w:val="22"/>
          <w:lang w:eastAsia="en-US"/>
        </w:rPr>
        <w:t>bortezomibu</w:t>
      </w:r>
      <w:r w:rsidR="0027329E" w:rsidRPr="008F7ACD">
        <w:rPr>
          <w:rFonts w:eastAsia="TimesNewRoman"/>
          <w:szCs w:val="22"/>
          <w:lang w:eastAsia="en-US"/>
        </w:rPr>
        <w:t xml:space="preserve"> má uplynúť aspoň 72</w:t>
      </w:r>
      <w:r w:rsidR="00E52083" w:rsidRPr="008F7ACD">
        <w:rPr>
          <w:rFonts w:eastAsia="TimesNewRoman"/>
          <w:szCs w:val="22"/>
          <w:lang w:eastAsia="en-US"/>
        </w:rPr>
        <w:t> </w:t>
      </w:r>
      <w:r w:rsidR="0027329E" w:rsidRPr="008F7ACD">
        <w:rPr>
          <w:rFonts w:eastAsia="TimesNewRoman"/>
          <w:szCs w:val="22"/>
          <w:lang w:eastAsia="en-US"/>
        </w:rPr>
        <w:t>hodín.</w:t>
      </w:r>
    </w:p>
    <w:p w:rsidR="00E52083" w:rsidRPr="008F7ACD" w:rsidRDefault="0027329E" w:rsidP="0027329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Pegylovaný lipozomálny doxorubicín sa podáva v dávke 30</w:t>
      </w:r>
      <w:r w:rsidR="00E5208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v 4.</w:t>
      </w:r>
      <w:r w:rsidR="00E5208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deň terapeutického cyklu</w:t>
      </w:r>
      <w:r w:rsidR="008E5DE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</w:t>
      </w:r>
      <w:r w:rsidR="008E5DE7" w:rsidRPr="008F7ACD">
        <w:rPr>
          <w:rFonts w:eastAsia="TimesNewRoman"/>
          <w:szCs w:val="22"/>
          <w:lang w:eastAsia="en-US"/>
        </w:rPr>
        <w:t> </w:t>
      </w:r>
      <w:r w:rsidR="00E52083" w:rsidRPr="008F7ACD">
        <w:rPr>
          <w:rFonts w:eastAsia="TimesNewRoman"/>
          <w:szCs w:val="22"/>
          <w:lang w:eastAsia="en-US"/>
        </w:rPr>
        <w:t xml:space="preserve">bortezomibom </w:t>
      </w:r>
      <w:r w:rsidRPr="008F7ACD">
        <w:rPr>
          <w:rFonts w:eastAsia="TimesNewRoman"/>
          <w:szCs w:val="22"/>
          <w:lang w:eastAsia="en-US"/>
        </w:rPr>
        <w:t xml:space="preserve">ako 1-hodinová intravenózna infúzia podávaná po injekcii </w:t>
      </w:r>
      <w:r w:rsidR="00E52083" w:rsidRPr="008F7ACD">
        <w:rPr>
          <w:rFonts w:eastAsia="TimesNewRoman"/>
          <w:szCs w:val="22"/>
          <w:lang w:eastAsia="en-US"/>
        </w:rPr>
        <w:t>bortezomibu</w:t>
      </w:r>
      <w:r w:rsidRPr="008F7ACD">
        <w:rPr>
          <w:rFonts w:eastAsia="TimesNewRoman"/>
          <w:szCs w:val="22"/>
          <w:lang w:eastAsia="en-US"/>
        </w:rPr>
        <w:t xml:space="preserve">. </w:t>
      </w:r>
    </w:p>
    <w:p w:rsidR="007B0ABD" w:rsidRPr="008F7ACD" w:rsidRDefault="0027329E" w:rsidP="0027329E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Môže sa</w:t>
      </w:r>
      <w:r w:rsidR="00E5208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podať až 8 cyklov tejto kombinovanej liečby, pokiaľ pacient neprogredoval a toleroval liečbu.</w:t>
      </w:r>
      <w:r w:rsidR="00B641BA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Pacienti, ktorí dosiahnu kompletnú odpoveď, môžu pokračovať v liečbe najmenej 2 cyklami po</w:t>
      </w:r>
      <w:r w:rsidR="003253BE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prvom</w:t>
      </w:r>
      <w:r w:rsidR="00B641BA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zaznamenaní kompletnej odpovede, aj keď to vyžaduje liečbu dlhšiu ako 8 cyklov. Pacienti, ktorým sa</w:t>
      </w:r>
      <w:r w:rsidR="00B641BA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hladiny paraproteínov po 8 cykloch naďalej znižujú, môžu tiež pokračovať, pokiaľ tolerujú liečbu</w:t>
      </w:r>
      <w:r w:rsidR="00B641BA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a naďalej na ňu odpovedajú.</w:t>
      </w:r>
    </w:p>
    <w:p w:rsidR="0027329E" w:rsidRPr="008F7ACD" w:rsidRDefault="0027329E" w:rsidP="0027329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Pre ďalšie informácie o pegylovanom lipozomálnom doxorubicíne, pozri príslušný súhrn</w:t>
      </w:r>
    </w:p>
    <w:p w:rsidR="0027329E" w:rsidRPr="008F7ACD" w:rsidRDefault="0027329E" w:rsidP="0027329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charakteristických vlastností lieku.</w:t>
      </w:r>
    </w:p>
    <w:p w:rsidR="00B641BA" w:rsidRPr="008F7ACD" w:rsidRDefault="00B641BA" w:rsidP="0027329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27329E" w:rsidRPr="008F7ACD" w:rsidRDefault="0027329E" w:rsidP="0027329E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Kombinácia s</w:t>
      </w:r>
      <w:r w:rsidR="006E1225" w:rsidRPr="008F7ACD">
        <w:rPr>
          <w:rFonts w:eastAsia="TimesNewRoman,Italic"/>
          <w:i/>
          <w:iCs/>
          <w:szCs w:val="22"/>
          <w:lang w:eastAsia="en-US"/>
        </w:rPr>
        <w:t> </w:t>
      </w:r>
      <w:r w:rsidRPr="008F7ACD">
        <w:rPr>
          <w:rFonts w:eastAsia="TimesNewRoman,Italic"/>
          <w:i/>
          <w:iCs/>
          <w:szCs w:val="22"/>
          <w:lang w:eastAsia="en-US"/>
        </w:rPr>
        <w:t>dexametazónom</w:t>
      </w:r>
      <w:r w:rsidR="006E1225" w:rsidRPr="008F7ACD">
        <w:rPr>
          <w:rFonts w:eastAsia="TimesNewRoman,Italic"/>
          <w:i/>
          <w:iCs/>
          <w:szCs w:val="22"/>
          <w:lang w:eastAsia="en-US"/>
        </w:rPr>
        <w:t xml:space="preserve"> </w:t>
      </w:r>
    </w:p>
    <w:p w:rsidR="0027329E" w:rsidRPr="008F7ACD" w:rsidRDefault="000C2ED2" w:rsidP="0027329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B</w:t>
      </w:r>
      <w:r w:rsidR="00D976B9" w:rsidRPr="008F7ACD">
        <w:rPr>
          <w:rFonts w:eastAsia="TimesNewRoman"/>
          <w:szCs w:val="22"/>
          <w:lang w:eastAsia="en-US"/>
        </w:rPr>
        <w:t>ortezomib</w:t>
      </w:r>
      <w:r w:rsidR="0027329E" w:rsidRPr="008F7ACD">
        <w:rPr>
          <w:rFonts w:eastAsia="TimesNewRoman"/>
          <w:szCs w:val="22"/>
          <w:lang w:eastAsia="en-US"/>
        </w:rPr>
        <w:t xml:space="preserve"> </w:t>
      </w:r>
      <w:r w:rsidR="006E1225" w:rsidRPr="008F7ACD">
        <w:rPr>
          <w:rFonts w:eastAsia="TimesNewRoman"/>
          <w:szCs w:val="22"/>
          <w:lang w:eastAsia="en-US"/>
        </w:rPr>
        <w:t>STADA 2,5 mg</w:t>
      </w:r>
      <w:r w:rsidR="00775B9F" w:rsidRPr="008F7ACD">
        <w:rPr>
          <w:rFonts w:eastAsia="TimesNewRoman"/>
          <w:szCs w:val="22"/>
          <w:lang w:eastAsia="en-US"/>
        </w:rPr>
        <w:t>/ml</w:t>
      </w:r>
      <w:r w:rsidR="006E1225" w:rsidRPr="008F7ACD">
        <w:rPr>
          <w:rFonts w:eastAsia="TimesNewRoman"/>
          <w:szCs w:val="22"/>
          <w:lang w:eastAsia="en-US"/>
        </w:rPr>
        <w:t xml:space="preserve"> injekčný roztok </w:t>
      </w:r>
      <w:r w:rsidR="0027329E" w:rsidRPr="008F7ACD">
        <w:rPr>
          <w:rFonts w:eastAsia="TimesNewRoman"/>
          <w:szCs w:val="22"/>
          <w:lang w:eastAsia="en-US"/>
        </w:rPr>
        <w:t xml:space="preserve">sa podáva </w:t>
      </w:r>
      <w:r w:rsidR="006E1225" w:rsidRPr="008F7ACD">
        <w:rPr>
          <w:rFonts w:eastAsia="TimesNewRoman"/>
          <w:szCs w:val="22"/>
          <w:lang w:eastAsia="en-US"/>
        </w:rPr>
        <w:t xml:space="preserve">subkutánnou injekciou alebo po </w:t>
      </w:r>
      <w:r w:rsidR="00AF1E6E">
        <w:rPr>
          <w:rFonts w:eastAsia="TimesNewRoman"/>
          <w:szCs w:val="22"/>
          <w:lang w:eastAsia="en-US"/>
        </w:rPr>
        <w:t xml:space="preserve">zriedení </w:t>
      </w:r>
      <w:r w:rsidR="006E1225" w:rsidRPr="008F7ACD">
        <w:rPr>
          <w:rFonts w:eastAsia="TimesNewRoman"/>
          <w:szCs w:val="22"/>
          <w:lang w:eastAsia="en-US"/>
        </w:rPr>
        <w:t>aj intravenózn</w:t>
      </w:r>
      <w:r w:rsidR="003F6CDA" w:rsidRPr="008F7ACD">
        <w:rPr>
          <w:rFonts w:eastAsia="TimesNewRoman"/>
          <w:szCs w:val="22"/>
          <w:lang w:eastAsia="en-US"/>
        </w:rPr>
        <w:t>ou injekciou</w:t>
      </w:r>
      <w:r w:rsidR="006E1225" w:rsidRPr="008F7ACD">
        <w:rPr>
          <w:rFonts w:eastAsia="TimesNewRoman"/>
          <w:szCs w:val="22"/>
          <w:lang w:eastAsia="en-US"/>
        </w:rPr>
        <w:t xml:space="preserve"> </w:t>
      </w:r>
      <w:r w:rsidR="0027329E" w:rsidRPr="008F7ACD">
        <w:rPr>
          <w:rFonts w:eastAsia="TimesNewRoman"/>
          <w:szCs w:val="22"/>
          <w:lang w:eastAsia="en-US"/>
        </w:rPr>
        <w:t>v odporúčanej dávke 1,3</w:t>
      </w:r>
      <w:r w:rsidR="00D976B9" w:rsidRPr="008F7ACD">
        <w:rPr>
          <w:rFonts w:eastAsia="TimesNewRoman"/>
          <w:szCs w:val="22"/>
          <w:lang w:eastAsia="en-US"/>
        </w:rPr>
        <w:t> </w:t>
      </w:r>
      <w:r w:rsidR="0027329E" w:rsidRPr="008F7ACD">
        <w:rPr>
          <w:rFonts w:eastAsia="TimesNewRoman"/>
          <w:szCs w:val="22"/>
          <w:lang w:eastAsia="en-US"/>
        </w:rPr>
        <w:t>mg/m</w:t>
      </w:r>
      <w:r w:rsidR="0027329E" w:rsidRPr="008F7ACD">
        <w:rPr>
          <w:rFonts w:eastAsia="TimesNewRoman"/>
          <w:szCs w:val="22"/>
          <w:vertAlign w:val="superscript"/>
          <w:lang w:eastAsia="en-US"/>
        </w:rPr>
        <w:t>2</w:t>
      </w:r>
      <w:r w:rsidR="0027329E" w:rsidRPr="008F7ACD">
        <w:rPr>
          <w:rFonts w:eastAsia="TimesNewRoman"/>
          <w:szCs w:val="22"/>
          <w:lang w:eastAsia="en-US"/>
        </w:rPr>
        <w:t xml:space="preserve"> povrchu tela dvakrát týždenne počas dvoch týždňov v 1., 4., 8. a 11.</w:t>
      </w:r>
      <w:r w:rsidR="00D976B9" w:rsidRPr="008F7ACD">
        <w:rPr>
          <w:rFonts w:eastAsia="TimesNewRoman"/>
          <w:szCs w:val="22"/>
          <w:lang w:eastAsia="en-US"/>
        </w:rPr>
        <w:t> </w:t>
      </w:r>
      <w:r w:rsidR="0027329E" w:rsidRPr="008F7ACD">
        <w:rPr>
          <w:rFonts w:eastAsia="TimesNewRoman"/>
          <w:szCs w:val="22"/>
          <w:lang w:eastAsia="en-US"/>
        </w:rPr>
        <w:t>deň terapeutického cyklu trvajúceho 21 dní. Toto 3-týždňové obdobie sa považuje za jeden</w:t>
      </w:r>
      <w:r w:rsidR="00D976B9" w:rsidRPr="008F7ACD">
        <w:rPr>
          <w:rFonts w:eastAsia="TimesNewRoman"/>
          <w:szCs w:val="22"/>
          <w:lang w:eastAsia="en-US"/>
        </w:rPr>
        <w:t xml:space="preserve"> </w:t>
      </w:r>
      <w:r w:rsidR="0027329E" w:rsidRPr="008F7ACD">
        <w:rPr>
          <w:rFonts w:eastAsia="TimesNewRoman"/>
          <w:szCs w:val="22"/>
          <w:lang w:eastAsia="en-US"/>
        </w:rPr>
        <w:t xml:space="preserve">terapeutický cyklus. Medzi nasledujúcimi dávkami </w:t>
      </w:r>
      <w:r w:rsidR="00D976B9" w:rsidRPr="008F7ACD">
        <w:rPr>
          <w:rFonts w:eastAsia="TimesNewRoman"/>
          <w:szCs w:val="22"/>
          <w:lang w:eastAsia="en-US"/>
        </w:rPr>
        <w:t xml:space="preserve">bortezomibu </w:t>
      </w:r>
      <w:r w:rsidR="0027329E" w:rsidRPr="008F7ACD">
        <w:rPr>
          <w:rFonts w:eastAsia="TimesNewRoman"/>
          <w:szCs w:val="22"/>
          <w:lang w:eastAsia="en-US"/>
        </w:rPr>
        <w:t>má uplynúť aspoň 72 hodín.</w:t>
      </w:r>
    </w:p>
    <w:p w:rsidR="0027329E" w:rsidRPr="008F7ACD" w:rsidRDefault="0027329E" w:rsidP="0027329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Dexametazón sa podáva perorálne v dávke 20</w:t>
      </w:r>
      <w:r w:rsidR="00D976B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 v 1., 2., 4., 5., 8., 9., 11. a 12.</w:t>
      </w:r>
      <w:r w:rsidR="00D976B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deň terapeutického</w:t>
      </w:r>
      <w:r w:rsidR="00D976B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cyklu s </w:t>
      </w:r>
      <w:r w:rsidR="00D976B9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>.</w:t>
      </w:r>
    </w:p>
    <w:p w:rsidR="0027329E" w:rsidRPr="008F7ACD" w:rsidRDefault="0027329E" w:rsidP="0027329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Pacienti, ktorí dosiahnu odpoveď alebo sa ich ochorenie stabilizuje po 4 cykloch tejto kombinovanej</w:t>
      </w:r>
      <w:r w:rsidR="00C133A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liečby, môžu naďalej dostávať rovnakú kombináciu najviac 4 ďalšie cykly.</w:t>
      </w:r>
    </w:p>
    <w:p w:rsidR="007B0ABD" w:rsidRPr="008F7ACD" w:rsidRDefault="0027329E" w:rsidP="0027329E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Pre ďalšie informácie o dexametazóne, pozri príslušný súhrn charakteristických vlastností lieku.</w:t>
      </w:r>
    </w:p>
    <w:p w:rsidR="007B0ABD" w:rsidRPr="008F7ACD" w:rsidRDefault="007B0ABD" w:rsidP="007B0ABD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</w:p>
    <w:p w:rsidR="00B36D44" w:rsidRPr="008F7ACD" w:rsidRDefault="00B36D44" w:rsidP="00B36D44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Úprava dávky pri kombinovanej liečbe pacientov s progresívnym mnohopočetným myelómom</w:t>
      </w:r>
    </w:p>
    <w:p w:rsidR="00B36D44" w:rsidRPr="008F7ACD" w:rsidRDefault="00B36D44" w:rsidP="00B36D4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Pre úpravu dávky </w:t>
      </w:r>
      <w:r w:rsidR="00C133A2" w:rsidRPr="008F7ACD">
        <w:rPr>
          <w:rFonts w:eastAsia="TimesNewRoman"/>
          <w:szCs w:val="22"/>
          <w:lang w:eastAsia="en-US"/>
        </w:rPr>
        <w:t>bortezomibu</w:t>
      </w:r>
      <w:r w:rsidRPr="008F7ACD">
        <w:rPr>
          <w:rFonts w:eastAsia="TimesNewRoman"/>
          <w:szCs w:val="22"/>
          <w:lang w:eastAsia="en-US"/>
        </w:rPr>
        <w:t xml:space="preserve"> pri kombinovanej liečbe sa riaďte zásadami pre zmenu dávky</w:t>
      </w:r>
      <w:r w:rsidR="00C133A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opísanými vyššie v časti monoterapia.</w:t>
      </w:r>
    </w:p>
    <w:p w:rsidR="006321A9" w:rsidRPr="008F7ACD" w:rsidRDefault="006321A9" w:rsidP="00B36D4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B36D44" w:rsidRPr="008F7ACD" w:rsidRDefault="00B36D44" w:rsidP="00B36D44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Dávkovanie u pacientov s doteraz neliečeným mnohopočetným myelómom, ktorí nie sú vhodní na</w:t>
      </w:r>
      <w:r w:rsidR="00C6294F" w:rsidRPr="008F7ACD">
        <w:rPr>
          <w:rFonts w:eastAsia="TimesNewRoman"/>
          <w:szCs w:val="22"/>
          <w:u w:val="single"/>
          <w:lang w:eastAsia="en-US"/>
        </w:rPr>
        <w:t> </w:t>
      </w:r>
      <w:r w:rsidRPr="008F7ACD">
        <w:rPr>
          <w:rFonts w:eastAsia="TimesNewRoman"/>
          <w:szCs w:val="22"/>
          <w:u w:val="single"/>
          <w:lang w:eastAsia="en-US"/>
        </w:rPr>
        <w:t>transplantáciu hematopoetických kmeňových buniek</w:t>
      </w:r>
    </w:p>
    <w:p w:rsidR="00C133A2" w:rsidRPr="008F7ACD" w:rsidRDefault="00C133A2" w:rsidP="00B36D44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</w:p>
    <w:p w:rsidR="00B36D44" w:rsidRPr="008F7ACD" w:rsidRDefault="00B36D44" w:rsidP="00B36D44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Kombinovaná liečba s melfal</w:t>
      </w:r>
      <w:r w:rsidR="00CA6DEE" w:rsidRPr="008F7ACD">
        <w:rPr>
          <w:rFonts w:eastAsia="TimesNewRoman,Italic"/>
          <w:i/>
          <w:iCs/>
          <w:szCs w:val="22"/>
          <w:lang w:eastAsia="en-US"/>
        </w:rPr>
        <w:t>á</w:t>
      </w:r>
      <w:r w:rsidRPr="008F7ACD">
        <w:rPr>
          <w:rFonts w:eastAsia="TimesNewRoman,Italic"/>
          <w:i/>
          <w:iCs/>
          <w:szCs w:val="22"/>
          <w:lang w:eastAsia="en-US"/>
        </w:rPr>
        <w:t>nom a</w:t>
      </w:r>
      <w:r w:rsidR="006E1225" w:rsidRPr="008F7ACD">
        <w:rPr>
          <w:rFonts w:eastAsia="TimesNewRoman,Italic"/>
          <w:i/>
          <w:iCs/>
          <w:szCs w:val="22"/>
          <w:lang w:eastAsia="en-US"/>
        </w:rPr>
        <w:t> </w:t>
      </w:r>
      <w:r w:rsidRPr="008F7ACD">
        <w:rPr>
          <w:rFonts w:eastAsia="TimesNewRoman,Italic"/>
          <w:i/>
          <w:iCs/>
          <w:szCs w:val="22"/>
          <w:lang w:eastAsia="en-US"/>
        </w:rPr>
        <w:t>prednizónom</w:t>
      </w:r>
      <w:r w:rsidR="006E1225" w:rsidRPr="008F7ACD">
        <w:rPr>
          <w:rFonts w:eastAsia="TimesNewRoman,Italic"/>
          <w:i/>
          <w:iCs/>
          <w:szCs w:val="22"/>
          <w:lang w:eastAsia="en-US"/>
        </w:rPr>
        <w:t xml:space="preserve"> </w:t>
      </w:r>
    </w:p>
    <w:p w:rsidR="00B36D44" w:rsidRPr="008F7ACD" w:rsidRDefault="00496AA0" w:rsidP="00B36D4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Bortezomib</w:t>
      </w:r>
      <w:r w:rsidR="00B36D44" w:rsidRPr="008F7ACD">
        <w:rPr>
          <w:rFonts w:eastAsia="TimesNewRoman"/>
          <w:szCs w:val="22"/>
          <w:lang w:eastAsia="en-US"/>
        </w:rPr>
        <w:t xml:space="preserve"> </w:t>
      </w:r>
      <w:r w:rsidR="008541DD" w:rsidRPr="008F7ACD">
        <w:rPr>
          <w:rFonts w:eastAsia="TimesNewRoman"/>
          <w:szCs w:val="22"/>
          <w:lang w:eastAsia="en-US"/>
        </w:rPr>
        <w:t>STADA 2,5 mg</w:t>
      </w:r>
      <w:r w:rsidR="00CA6DEE" w:rsidRPr="008F7ACD">
        <w:rPr>
          <w:rFonts w:eastAsia="TimesNewRoman"/>
          <w:szCs w:val="22"/>
          <w:lang w:eastAsia="en-US"/>
        </w:rPr>
        <w:t>/ml</w:t>
      </w:r>
      <w:r w:rsidR="008541DD" w:rsidRPr="008F7ACD">
        <w:rPr>
          <w:rFonts w:eastAsia="TimesNewRoman"/>
          <w:szCs w:val="22"/>
          <w:lang w:eastAsia="en-US"/>
        </w:rPr>
        <w:t xml:space="preserve"> injekčný roztok </w:t>
      </w:r>
      <w:r w:rsidR="00B36D44" w:rsidRPr="008F7ACD">
        <w:rPr>
          <w:rFonts w:eastAsia="TimesNewRoman"/>
          <w:szCs w:val="22"/>
          <w:lang w:eastAsia="en-US"/>
        </w:rPr>
        <w:t xml:space="preserve">sa podáva </w:t>
      </w:r>
      <w:r w:rsidR="006E1225" w:rsidRPr="008F7ACD">
        <w:rPr>
          <w:rFonts w:eastAsia="TimesNewRoman"/>
          <w:szCs w:val="22"/>
          <w:lang w:eastAsia="en-US"/>
        </w:rPr>
        <w:t xml:space="preserve">subkutánnou injekciou alebo po </w:t>
      </w:r>
      <w:r w:rsidR="00AF1E6E">
        <w:rPr>
          <w:rFonts w:eastAsia="TimesNewRoman"/>
          <w:szCs w:val="22"/>
          <w:lang w:eastAsia="en-US"/>
        </w:rPr>
        <w:t xml:space="preserve">zriedení </w:t>
      </w:r>
      <w:r w:rsidR="006E1225" w:rsidRPr="008F7ACD">
        <w:rPr>
          <w:rFonts w:eastAsia="TimesNewRoman"/>
          <w:szCs w:val="22"/>
          <w:lang w:eastAsia="en-US"/>
        </w:rPr>
        <w:t>aj intravenózn</w:t>
      </w:r>
      <w:r w:rsidR="003F6CDA" w:rsidRPr="008F7ACD">
        <w:rPr>
          <w:rFonts w:eastAsia="TimesNewRoman"/>
          <w:szCs w:val="22"/>
          <w:lang w:eastAsia="en-US"/>
        </w:rPr>
        <w:t>ou injekciou</w:t>
      </w:r>
      <w:r w:rsidR="006E1225" w:rsidRPr="008F7ACD">
        <w:rPr>
          <w:rFonts w:eastAsia="TimesNewRoman"/>
          <w:szCs w:val="22"/>
          <w:lang w:eastAsia="en-US"/>
        </w:rPr>
        <w:t xml:space="preserve"> </w:t>
      </w:r>
      <w:r w:rsidR="00B36D44" w:rsidRPr="008F7ACD">
        <w:rPr>
          <w:rFonts w:eastAsia="TimesNewRoman"/>
          <w:szCs w:val="22"/>
          <w:lang w:eastAsia="en-US"/>
        </w:rPr>
        <w:t>v kombinácii s perorálnym melfal</w:t>
      </w:r>
      <w:r w:rsidR="00CA6DEE" w:rsidRPr="008F7ACD">
        <w:rPr>
          <w:rFonts w:eastAsia="TimesNewRoman"/>
          <w:szCs w:val="22"/>
          <w:lang w:eastAsia="en-US"/>
        </w:rPr>
        <w:t>á</w:t>
      </w:r>
      <w:r w:rsidR="00B36D44" w:rsidRPr="008F7ACD">
        <w:rPr>
          <w:rFonts w:eastAsia="TimesNewRoman"/>
          <w:szCs w:val="22"/>
          <w:lang w:eastAsia="en-US"/>
        </w:rPr>
        <w:t>nom a perorálnym prednizónom tak, ako sa uvádza v tabuľke 2. 6-týždňové obdobie sa považuje za jeden terapeutický cyklus. V 1.</w:t>
      </w:r>
      <w:r w:rsidRPr="008F7ACD">
        <w:rPr>
          <w:rFonts w:eastAsia="TimesNewRoman"/>
          <w:szCs w:val="22"/>
          <w:lang w:eastAsia="en-US"/>
        </w:rPr>
        <w:t> – </w:t>
      </w:r>
      <w:r w:rsidR="00B36D44" w:rsidRPr="008F7ACD">
        <w:rPr>
          <w:rFonts w:eastAsia="TimesNewRoman"/>
          <w:szCs w:val="22"/>
          <w:lang w:eastAsia="en-US"/>
        </w:rPr>
        <w:t>4.</w:t>
      </w:r>
      <w:r w:rsidRPr="008F7ACD">
        <w:rPr>
          <w:rFonts w:eastAsia="TimesNewRoman"/>
          <w:szCs w:val="22"/>
          <w:lang w:eastAsia="en-US"/>
        </w:rPr>
        <w:t> </w:t>
      </w:r>
      <w:r w:rsidR="00B36D44" w:rsidRPr="008F7ACD">
        <w:rPr>
          <w:rFonts w:eastAsia="TimesNewRoman"/>
          <w:szCs w:val="22"/>
          <w:lang w:eastAsia="en-US"/>
        </w:rPr>
        <w:t xml:space="preserve">cykle sa </w:t>
      </w:r>
      <w:r w:rsidRPr="008F7ACD">
        <w:rPr>
          <w:rFonts w:eastAsia="TimesNewRoman"/>
          <w:szCs w:val="22"/>
          <w:lang w:eastAsia="en-US"/>
        </w:rPr>
        <w:t>bortezomib</w:t>
      </w:r>
      <w:r w:rsidR="00B36D44" w:rsidRPr="008F7ACD">
        <w:rPr>
          <w:rFonts w:eastAsia="TimesNewRoman"/>
          <w:szCs w:val="22"/>
          <w:lang w:eastAsia="en-US"/>
        </w:rPr>
        <w:t xml:space="preserve"> podáva</w:t>
      </w:r>
      <w:r w:rsidRPr="008F7ACD">
        <w:rPr>
          <w:rFonts w:eastAsia="TimesNewRoman"/>
          <w:szCs w:val="22"/>
          <w:lang w:eastAsia="en-US"/>
        </w:rPr>
        <w:t xml:space="preserve"> </w:t>
      </w:r>
      <w:r w:rsidR="00B36D44" w:rsidRPr="008F7ACD">
        <w:rPr>
          <w:rFonts w:eastAsia="TimesNewRoman"/>
          <w:szCs w:val="22"/>
          <w:lang w:eastAsia="en-US"/>
        </w:rPr>
        <w:t>dvakrát týždenne v 1., 4., 8., 11., 22., 25., 29. a 32.</w:t>
      </w:r>
      <w:r w:rsidRPr="008F7ACD">
        <w:rPr>
          <w:rFonts w:eastAsia="TimesNewRoman"/>
          <w:szCs w:val="22"/>
          <w:lang w:eastAsia="en-US"/>
        </w:rPr>
        <w:t> </w:t>
      </w:r>
      <w:r w:rsidR="00B36D44" w:rsidRPr="008F7ACD">
        <w:rPr>
          <w:rFonts w:eastAsia="TimesNewRoman"/>
          <w:szCs w:val="22"/>
          <w:lang w:eastAsia="en-US"/>
        </w:rPr>
        <w:t>deň. V 5.</w:t>
      </w:r>
      <w:r w:rsidRPr="008F7ACD">
        <w:rPr>
          <w:rFonts w:eastAsia="TimesNewRoman"/>
          <w:szCs w:val="22"/>
          <w:lang w:eastAsia="en-US"/>
        </w:rPr>
        <w:t> </w:t>
      </w:r>
      <w:r w:rsidR="00B36D44" w:rsidRPr="008F7ACD">
        <w:rPr>
          <w:rFonts w:eastAsia="TimesNewRoman"/>
          <w:szCs w:val="22"/>
          <w:lang w:eastAsia="en-US"/>
        </w:rPr>
        <w:t>–</w:t>
      </w:r>
      <w:r w:rsidRPr="008F7ACD">
        <w:rPr>
          <w:rFonts w:eastAsia="TimesNewRoman"/>
          <w:szCs w:val="22"/>
          <w:lang w:eastAsia="en-US"/>
        </w:rPr>
        <w:t> </w:t>
      </w:r>
      <w:r w:rsidR="00B36D44" w:rsidRPr="008F7ACD">
        <w:rPr>
          <w:rFonts w:eastAsia="TimesNewRoman"/>
          <w:szCs w:val="22"/>
          <w:lang w:eastAsia="en-US"/>
        </w:rPr>
        <w:t>9.</w:t>
      </w:r>
      <w:r w:rsidRPr="008F7ACD">
        <w:rPr>
          <w:rFonts w:eastAsia="TimesNewRoman"/>
          <w:szCs w:val="22"/>
          <w:lang w:eastAsia="en-US"/>
        </w:rPr>
        <w:t> </w:t>
      </w:r>
      <w:r w:rsidR="00B36D44" w:rsidRPr="008F7ACD">
        <w:rPr>
          <w:rFonts w:eastAsia="TimesNewRoman"/>
          <w:szCs w:val="22"/>
          <w:lang w:eastAsia="en-US"/>
        </w:rPr>
        <w:t xml:space="preserve">cykle sa </w:t>
      </w:r>
      <w:r w:rsidRPr="008F7ACD">
        <w:rPr>
          <w:rFonts w:eastAsia="TimesNewRoman"/>
          <w:szCs w:val="22"/>
          <w:lang w:eastAsia="en-US"/>
        </w:rPr>
        <w:t>bortezomib p</w:t>
      </w:r>
      <w:r w:rsidR="00B36D44" w:rsidRPr="008F7ACD">
        <w:rPr>
          <w:rFonts w:eastAsia="TimesNewRoman"/>
          <w:szCs w:val="22"/>
          <w:lang w:eastAsia="en-US"/>
        </w:rPr>
        <w:t>odáva</w:t>
      </w:r>
      <w:r w:rsidRPr="008F7ACD">
        <w:rPr>
          <w:rFonts w:eastAsia="TimesNewRoman"/>
          <w:szCs w:val="22"/>
          <w:lang w:eastAsia="en-US"/>
        </w:rPr>
        <w:t xml:space="preserve"> </w:t>
      </w:r>
      <w:r w:rsidR="00B36D44" w:rsidRPr="008F7ACD">
        <w:rPr>
          <w:rFonts w:eastAsia="TimesNewRoman"/>
          <w:szCs w:val="22"/>
          <w:lang w:eastAsia="en-US"/>
        </w:rPr>
        <w:t>jedenkrát týždenne v 1., 8., 22. a</w:t>
      </w:r>
      <w:r w:rsidR="00BE6953" w:rsidRPr="008F7ACD">
        <w:rPr>
          <w:rFonts w:eastAsia="TimesNewRoman"/>
          <w:szCs w:val="22"/>
          <w:lang w:eastAsia="en-US"/>
        </w:rPr>
        <w:t> </w:t>
      </w:r>
      <w:r w:rsidR="00B36D44" w:rsidRPr="008F7ACD">
        <w:rPr>
          <w:rFonts w:eastAsia="TimesNewRoman"/>
          <w:szCs w:val="22"/>
          <w:lang w:eastAsia="en-US"/>
        </w:rPr>
        <w:t>29.</w:t>
      </w:r>
      <w:r w:rsidRPr="008F7ACD">
        <w:rPr>
          <w:rFonts w:eastAsia="TimesNewRoman"/>
          <w:szCs w:val="22"/>
          <w:lang w:eastAsia="en-US"/>
        </w:rPr>
        <w:t> </w:t>
      </w:r>
      <w:r w:rsidR="00B36D44" w:rsidRPr="008F7ACD">
        <w:rPr>
          <w:rFonts w:eastAsia="TimesNewRoman"/>
          <w:szCs w:val="22"/>
          <w:lang w:eastAsia="en-US"/>
        </w:rPr>
        <w:t>deň. Medzi nasledujúcimi dávkami</w:t>
      </w:r>
      <w:r w:rsidRPr="008F7ACD">
        <w:rPr>
          <w:rFonts w:eastAsia="TimesNewRoman"/>
          <w:szCs w:val="22"/>
          <w:lang w:eastAsia="en-US"/>
        </w:rPr>
        <w:t xml:space="preserve"> bortezomibu</w:t>
      </w:r>
      <w:r w:rsidR="00B36D44" w:rsidRPr="008F7ACD">
        <w:rPr>
          <w:rFonts w:eastAsia="TimesNewRoman"/>
          <w:szCs w:val="22"/>
          <w:lang w:eastAsia="en-US"/>
        </w:rPr>
        <w:t xml:space="preserve"> má uplynúť</w:t>
      </w:r>
      <w:r w:rsidRPr="008F7ACD">
        <w:rPr>
          <w:rFonts w:eastAsia="TimesNewRoman"/>
          <w:szCs w:val="22"/>
          <w:lang w:eastAsia="en-US"/>
        </w:rPr>
        <w:t xml:space="preserve"> </w:t>
      </w:r>
      <w:r w:rsidR="00B36D44" w:rsidRPr="008F7ACD">
        <w:rPr>
          <w:rFonts w:eastAsia="TimesNewRoman"/>
          <w:szCs w:val="22"/>
          <w:lang w:eastAsia="en-US"/>
        </w:rPr>
        <w:t>aspoň 72 hodín.</w:t>
      </w:r>
    </w:p>
    <w:p w:rsidR="007B0ABD" w:rsidRPr="008F7ACD" w:rsidRDefault="00B36D44" w:rsidP="00B36D44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Melfal</w:t>
      </w:r>
      <w:r w:rsidR="00CA6DEE" w:rsidRPr="008F7ACD">
        <w:rPr>
          <w:rFonts w:eastAsia="TimesNewRoman"/>
          <w:szCs w:val="22"/>
          <w:lang w:eastAsia="en-US"/>
        </w:rPr>
        <w:t>á</w:t>
      </w:r>
      <w:r w:rsidRPr="008F7ACD">
        <w:rPr>
          <w:rFonts w:eastAsia="TimesNewRoman"/>
          <w:szCs w:val="22"/>
          <w:lang w:eastAsia="en-US"/>
        </w:rPr>
        <w:t>n a prednizón sa podávajú perorálne v 1., 2., 3. a 4.</w:t>
      </w:r>
      <w:r w:rsidR="00496AA0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deň prvého týždňa každého terapeutického</w:t>
      </w:r>
      <w:r w:rsidR="00496AA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cyklu s </w:t>
      </w:r>
      <w:r w:rsidR="00496AA0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>. Podáva sa deväť terapeutických cyklov tejto kombinovanej liečby.</w:t>
      </w:r>
    </w:p>
    <w:p w:rsidR="007B0ABD" w:rsidRPr="008F7ACD" w:rsidRDefault="007B0ABD" w:rsidP="007B0ABD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</w:p>
    <w:p w:rsidR="00CA6DEE" w:rsidRPr="008F7ACD" w:rsidRDefault="00CA6DEE" w:rsidP="007B0ABD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</w:p>
    <w:p w:rsidR="00743473" w:rsidRPr="008F7ACD" w:rsidRDefault="00604786" w:rsidP="00743473">
      <w:pPr>
        <w:rPr>
          <w:color w:val="000000"/>
          <w:szCs w:val="22"/>
        </w:rPr>
      </w:pPr>
      <w:r w:rsidRPr="008F7ACD">
        <w:rPr>
          <w:rFonts w:eastAsia="TimesNewRoman,Italic"/>
          <w:i/>
          <w:iCs/>
          <w:szCs w:val="22"/>
          <w:lang w:eastAsia="en-US"/>
        </w:rPr>
        <w:t xml:space="preserve">Tabuľka 2: Odporúčané dávkovanie pre </w:t>
      </w:r>
      <w:r w:rsidR="00116387" w:rsidRPr="008F7ACD">
        <w:rPr>
          <w:rFonts w:eastAsia="TimesNewRoman,Italic"/>
          <w:i/>
          <w:iCs/>
          <w:szCs w:val="22"/>
          <w:lang w:eastAsia="en-US"/>
        </w:rPr>
        <w:t>bortezomib</w:t>
      </w:r>
      <w:r w:rsidRPr="008F7ACD">
        <w:rPr>
          <w:rFonts w:eastAsia="TimesNewRoman,Italic"/>
          <w:i/>
          <w:iCs/>
          <w:szCs w:val="22"/>
          <w:lang w:eastAsia="en-US"/>
        </w:rPr>
        <w:t xml:space="preserve"> v kombinácii s melfal</w:t>
      </w:r>
      <w:r w:rsidR="00CA6DEE" w:rsidRPr="008F7ACD">
        <w:rPr>
          <w:rFonts w:eastAsia="TimesNewRoman,Italic"/>
          <w:i/>
          <w:iCs/>
          <w:szCs w:val="22"/>
          <w:lang w:eastAsia="en-US"/>
        </w:rPr>
        <w:t>á</w:t>
      </w:r>
      <w:r w:rsidRPr="008F7ACD">
        <w:rPr>
          <w:rFonts w:eastAsia="TimesNewRoman,Italic"/>
          <w:i/>
          <w:iCs/>
          <w:szCs w:val="22"/>
          <w:lang w:eastAsia="en-US"/>
        </w:rPr>
        <w:t>nom a prednizónom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33"/>
        <w:gridCol w:w="672"/>
        <w:gridCol w:w="616"/>
        <w:gridCol w:w="616"/>
        <w:gridCol w:w="550"/>
        <w:gridCol w:w="123"/>
        <w:gridCol w:w="673"/>
        <w:gridCol w:w="610"/>
        <w:gridCol w:w="743"/>
        <w:gridCol w:w="616"/>
        <w:gridCol w:w="610"/>
        <w:gridCol w:w="607"/>
        <w:gridCol w:w="610"/>
        <w:gridCol w:w="711"/>
      </w:tblGrid>
      <w:tr w:rsidR="00743473" w:rsidRPr="008F7ACD" w:rsidTr="0020718A">
        <w:trPr>
          <w:tblCellSpacing w:w="0" w:type="dxa"/>
        </w:trPr>
        <w:tc>
          <w:tcPr>
            <w:tcW w:w="5000" w:type="pct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:rsidR="00743473" w:rsidRPr="008F7ACD" w:rsidRDefault="00116387" w:rsidP="006E1225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Bortezomib</w:t>
            </w:r>
            <w:r w:rsidR="00604786" w:rsidRPr="008F7ACD">
              <w:rPr>
                <w:rFonts w:eastAsia="TimesNewRoman,Bold"/>
                <w:b/>
                <w:bCs/>
                <w:szCs w:val="22"/>
                <w:lang w:eastAsia="en-US"/>
              </w:rPr>
              <w:t xml:space="preserve"> dvakrát týždenne (1.</w:t>
            </w: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 </w:t>
            </w:r>
            <w:r w:rsidR="00604786" w:rsidRPr="008F7ACD">
              <w:rPr>
                <w:rFonts w:eastAsia="TimesNewRoman,Bold"/>
                <w:b/>
                <w:bCs/>
                <w:szCs w:val="22"/>
                <w:lang w:eastAsia="en-US"/>
              </w:rPr>
              <w:t>–</w:t>
            </w: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 </w:t>
            </w:r>
            <w:r w:rsidR="00604786" w:rsidRPr="008F7ACD">
              <w:rPr>
                <w:rFonts w:eastAsia="TimesNewRoman,Bold"/>
                <w:b/>
                <w:bCs/>
                <w:szCs w:val="22"/>
                <w:lang w:eastAsia="en-US"/>
              </w:rPr>
              <w:t>4.</w:t>
            </w: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 </w:t>
            </w:r>
            <w:r w:rsidR="00604786" w:rsidRPr="008F7ACD">
              <w:rPr>
                <w:rFonts w:eastAsia="TimesNewRoman,Bold"/>
                <w:b/>
                <w:bCs/>
                <w:szCs w:val="22"/>
                <w:lang w:eastAsia="en-US"/>
              </w:rPr>
              <w:t>cyklus)</w:t>
            </w:r>
          </w:p>
        </w:tc>
      </w:tr>
      <w:tr w:rsidR="009A6FD8" w:rsidRPr="008F7ACD" w:rsidTr="00FD6082">
        <w:trPr>
          <w:tblCellSpacing w:w="0" w:type="dxa"/>
        </w:trPr>
        <w:tc>
          <w:tcPr>
            <w:tcW w:w="780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743473" w:rsidRPr="008F7ACD" w:rsidRDefault="00116387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Týždeň</w:t>
            </w:r>
          </w:p>
        </w:tc>
        <w:tc>
          <w:tcPr>
            <w:tcW w:w="133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FD608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7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743473" w:rsidRPr="008F7ACD" w:rsidRDefault="00743473" w:rsidP="00FD608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743473" w:rsidRPr="008F7ACD" w:rsidRDefault="00743473" w:rsidP="00FD608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743473" w:rsidRPr="008F7ACD" w:rsidRDefault="00743473" w:rsidP="00FD608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6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743473" w:rsidRPr="008F7ACD" w:rsidRDefault="00743473" w:rsidP="00FD608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743473" w:rsidRPr="008F7ACD" w:rsidRDefault="00743473" w:rsidP="00FD608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6</w:t>
            </w:r>
          </w:p>
        </w:tc>
      </w:tr>
      <w:tr w:rsidR="009A6FD8" w:rsidRPr="008F7ACD" w:rsidTr="00FD6082">
        <w:trPr>
          <w:trHeight w:val="602"/>
          <w:tblCellSpacing w:w="0" w:type="dxa"/>
        </w:trPr>
        <w:tc>
          <w:tcPr>
            <w:tcW w:w="780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116387" w:rsidRPr="008F7ACD" w:rsidRDefault="007A14F9" w:rsidP="007A14F9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B</w:t>
            </w:r>
            <w:r w:rsidR="00116387" w:rsidRPr="008F7ACD">
              <w:rPr>
                <w:rFonts w:eastAsia="TimesNewRoman"/>
                <w:szCs w:val="22"/>
                <w:lang w:eastAsia="en-US"/>
              </w:rPr>
              <w:t xml:space="preserve"> (1,3 mg/m</w:t>
            </w:r>
            <w:r w:rsidR="00116387" w:rsidRPr="008F7ACD">
              <w:rPr>
                <w:rFonts w:eastAsia="TimesNewRoman"/>
                <w:szCs w:val="22"/>
                <w:vertAlign w:val="superscript"/>
                <w:lang w:eastAsia="en-US"/>
              </w:rPr>
              <w:t>2</w:t>
            </w:r>
            <w:r w:rsidR="00116387" w:rsidRPr="008F7ACD">
              <w:rPr>
                <w:rFonts w:eastAsia="TimesNewRoman"/>
                <w:szCs w:val="22"/>
                <w:lang w:eastAsia="en-US"/>
              </w:rPr>
              <w:t>)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116387" w:rsidRPr="008F7ACD" w:rsidRDefault="00116387" w:rsidP="006D5845">
            <w:pPr>
              <w:autoSpaceDE w:val="0"/>
              <w:autoSpaceDN w:val="0"/>
              <w:adjustRightInd w:val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  1.</w:t>
            </w:r>
          </w:p>
          <w:p w:rsidR="00116387" w:rsidRPr="008F7ACD" w:rsidRDefault="00116387" w:rsidP="006D5845">
            <w:pPr>
              <w:autoSpaceDE w:val="0"/>
              <w:autoSpaceDN w:val="0"/>
              <w:adjustRightInd w:val="0"/>
              <w:rPr>
                <w:rFonts w:eastAsia="TimesNewRoman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deň</w:t>
            </w:r>
          </w:p>
        </w:tc>
        <w:tc>
          <w:tcPr>
            <w:tcW w:w="335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</w:tcPr>
          <w:p w:rsidR="00116387" w:rsidRPr="008F7ACD" w:rsidRDefault="00116387" w:rsidP="006D5845">
            <w:pPr>
              <w:autoSpaceDE w:val="0"/>
              <w:autoSpaceDN w:val="0"/>
              <w:adjustRightInd w:val="0"/>
              <w:rPr>
                <w:rFonts w:eastAsia="TimesNewRoman"/>
                <w:szCs w:val="22"/>
              </w:rPr>
            </w:pPr>
            <w:r w:rsidRPr="008F7ACD">
              <w:rPr>
                <w:rFonts w:eastAsia="TimesNewRoman"/>
                <w:szCs w:val="22"/>
              </w:rPr>
              <w:t>---</w:t>
            </w:r>
          </w:p>
        </w:tc>
        <w:tc>
          <w:tcPr>
            <w:tcW w:w="335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116387" w:rsidRPr="008F7ACD" w:rsidRDefault="00116387" w:rsidP="00116387">
            <w:pPr>
              <w:autoSpaceDE w:val="0"/>
              <w:autoSpaceDN w:val="0"/>
              <w:adjustRightInd w:val="0"/>
              <w:rPr>
                <w:rFonts w:eastAsia="TimesNewRoman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---</w:t>
            </w:r>
          </w:p>
        </w:tc>
        <w:tc>
          <w:tcPr>
            <w:tcW w:w="29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16387" w:rsidRPr="008F7ACD" w:rsidRDefault="00116387" w:rsidP="006D5845">
            <w:pPr>
              <w:autoSpaceDE w:val="0"/>
              <w:autoSpaceDN w:val="0"/>
              <w:adjustRightInd w:val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  4.</w:t>
            </w:r>
          </w:p>
          <w:p w:rsidR="00116387" w:rsidRPr="008F7ACD" w:rsidRDefault="00116387" w:rsidP="00116387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deň</w:t>
            </w:r>
          </w:p>
        </w:tc>
        <w:tc>
          <w:tcPr>
            <w:tcW w:w="4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116387" w:rsidRPr="008F7ACD" w:rsidRDefault="00116387" w:rsidP="00116387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  8.</w:t>
            </w:r>
          </w:p>
          <w:p w:rsidR="00116387" w:rsidRPr="008F7ACD" w:rsidRDefault="00116387" w:rsidP="00116387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deň  </w:t>
            </w:r>
          </w:p>
        </w:tc>
        <w:tc>
          <w:tcPr>
            <w:tcW w:w="332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116387" w:rsidRPr="008F7ACD" w:rsidRDefault="00116387" w:rsidP="00116387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 11.</w:t>
            </w:r>
          </w:p>
          <w:p w:rsidR="00116387" w:rsidRPr="008F7ACD" w:rsidRDefault="00116387" w:rsidP="00116387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deň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116387" w:rsidRPr="008F7ACD" w:rsidRDefault="00116387" w:rsidP="00116387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pauza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116387" w:rsidRPr="008F7ACD" w:rsidRDefault="00116387" w:rsidP="00116387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 22.</w:t>
            </w:r>
          </w:p>
          <w:p w:rsidR="00116387" w:rsidRPr="008F7ACD" w:rsidRDefault="00116387" w:rsidP="00116387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deň 22 </w:t>
            </w:r>
          </w:p>
        </w:tc>
        <w:tc>
          <w:tcPr>
            <w:tcW w:w="332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116387" w:rsidRPr="008F7ACD" w:rsidRDefault="00116387" w:rsidP="00116387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 25.</w:t>
            </w:r>
          </w:p>
          <w:p w:rsidR="00116387" w:rsidRPr="008F7ACD" w:rsidRDefault="00116387" w:rsidP="00116387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deň 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116387" w:rsidRPr="008F7ACD" w:rsidRDefault="00116387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 29.</w:t>
            </w:r>
          </w:p>
          <w:p w:rsidR="00116387" w:rsidRPr="008F7ACD" w:rsidRDefault="00116387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deň </w:t>
            </w:r>
          </w:p>
        </w:tc>
        <w:tc>
          <w:tcPr>
            <w:tcW w:w="332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116387" w:rsidRPr="008F7ACD" w:rsidRDefault="00116387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 32.</w:t>
            </w:r>
          </w:p>
          <w:p w:rsidR="00116387" w:rsidRPr="008F7ACD" w:rsidRDefault="00116387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deň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116387" w:rsidRPr="008F7ACD" w:rsidRDefault="00116387" w:rsidP="00116387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pauza</w:t>
            </w:r>
          </w:p>
        </w:tc>
      </w:tr>
      <w:tr w:rsidR="009A6FD8" w:rsidRPr="008F7ACD" w:rsidTr="00FD6082">
        <w:trPr>
          <w:tblCellSpacing w:w="0" w:type="dxa"/>
        </w:trPr>
        <w:tc>
          <w:tcPr>
            <w:tcW w:w="780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lastRenderedPageBreak/>
              <w:t>M (9</w:t>
            </w:r>
            <w:r w:rsidR="006D5845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mg/m</w:t>
            </w:r>
            <w:r w:rsidRPr="008F7ACD">
              <w:rPr>
                <w:color w:val="000000"/>
                <w:szCs w:val="22"/>
                <w:vertAlign w:val="superscript"/>
              </w:rPr>
              <w:t>2</w:t>
            </w:r>
            <w:r w:rsidRPr="008F7ACD">
              <w:rPr>
                <w:color w:val="000000"/>
                <w:szCs w:val="22"/>
              </w:rPr>
              <w:t xml:space="preserve">) </w:t>
            </w:r>
          </w:p>
          <w:p w:rsidR="00743473" w:rsidRPr="008F7ACD" w:rsidRDefault="00743473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P (60</w:t>
            </w:r>
            <w:r w:rsidR="006D5845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mg/m</w:t>
            </w:r>
            <w:r w:rsidRPr="008F7ACD">
              <w:rPr>
                <w:color w:val="000000"/>
                <w:szCs w:val="22"/>
                <w:vertAlign w:val="superscript"/>
              </w:rPr>
              <w:t>2)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743473" w:rsidRPr="008F7ACD" w:rsidRDefault="006D5845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  1.</w:t>
            </w:r>
          </w:p>
          <w:p w:rsidR="006D5845" w:rsidRPr="008F7ACD" w:rsidRDefault="006D5845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deň</w:t>
            </w:r>
          </w:p>
        </w:tc>
        <w:tc>
          <w:tcPr>
            <w:tcW w:w="335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</w:tcPr>
          <w:p w:rsidR="00743473" w:rsidRPr="008F7ACD" w:rsidRDefault="006D5845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  2.</w:t>
            </w:r>
          </w:p>
          <w:p w:rsidR="006D5845" w:rsidRPr="008F7ACD" w:rsidRDefault="006D5845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deň</w:t>
            </w:r>
          </w:p>
        </w:tc>
        <w:tc>
          <w:tcPr>
            <w:tcW w:w="335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</w:tcPr>
          <w:p w:rsidR="00743473" w:rsidRPr="008F7ACD" w:rsidRDefault="006D5845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  3.</w:t>
            </w:r>
          </w:p>
          <w:p w:rsidR="006D5845" w:rsidRPr="008F7ACD" w:rsidRDefault="006D5845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deň</w:t>
            </w:r>
          </w:p>
        </w:tc>
        <w:tc>
          <w:tcPr>
            <w:tcW w:w="29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43473" w:rsidRPr="008F7ACD" w:rsidRDefault="006D5845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  4.</w:t>
            </w:r>
          </w:p>
          <w:p w:rsidR="006D5845" w:rsidRPr="008F7ACD" w:rsidRDefault="006D5845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deň</w:t>
            </w:r>
          </w:p>
        </w:tc>
        <w:tc>
          <w:tcPr>
            <w:tcW w:w="4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-- </w:t>
            </w:r>
          </w:p>
        </w:tc>
        <w:tc>
          <w:tcPr>
            <w:tcW w:w="332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-- 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743473" w:rsidRPr="008F7ACD" w:rsidRDefault="006D5845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pauza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-- </w:t>
            </w:r>
          </w:p>
        </w:tc>
        <w:tc>
          <w:tcPr>
            <w:tcW w:w="332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-- 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-- </w:t>
            </w:r>
          </w:p>
        </w:tc>
        <w:tc>
          <w:tcPr>
            <w:tcW w:w="332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--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743473" w:rsidRPr="008F7ACD" w:rsidRDefault="006D5845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pauza</w:t>
            </w:r>
            <w:r w:rsidR="00743473" w:rsidRPr="008F7ACD">
              <w:rPr>
                <w:color w:val="000000"/>
                <w:szCs w:val="22"/>
              </w:rPr>
              <w:t xml:space="preserve"> </w:t>
            </w:r>
          </w:p>
        </w:tc>
      </w:tr>
      <w:tr w:rsidR="00743473" w:rsidRPr="008F7ACD" w:rsidTr="0020718A">
        <w:trPr>
          <w:tblCellSpacing w:w="0" w:type="dxa"/>
        </w:trPr>
        <w:tc>
          <w:tcPr>
            <w:tcW w:w="5000" w:type="pct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:rsidR="00743473" w:rsidRPr="008F7ACD" w:rsidRDefault="009A6FD8" w:rsidP="006E1225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Bortezomib jedenkrát týždenne (5. – 9. cyklus)</w:t>
            </w:r>
          </w:p>
        </w:tc>
      </w:tr>
      <w:tr w:rsidR="009A6FD8" w:rsidRPr="008F7ACD" w:rsidTr="00FD6082">
        <w:trPr>
          <w:tblCellSpacing w:w="0" w:type="dxa"/>
        </w:trPr>
        <w:tc>
          <w:tcPr>
            <w:tcW w:w="780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743473" w:rsidRPr="008F7ACD" w:rsidRDefault="009A6FD8" w:rsidP="009A6FD8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Týždeň</w:t>
            </w:r>
          </w:p>
        </w:tc>
        <w:tc>
          <w:tcPr>
            <w:tcW w:w="140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FD608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6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743473" w:rsidRPr="008F7ACD" w:rsidRDefault="00743473" w:rsidP="00FD608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FD608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743473" w:rsidRPr="008F7ACD" w:rsidRDefault="00743473" w:rsidP="00FD608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6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743473" w:rsidRPr="008F7ACD" w:rsidRDefault="00743473" w:rsidP="00FD608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743473" w:rsidRPr="008F7ACD" w:rsidRDefault="00743473" w:rsidP="00FD608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6</w:t>
            </w:r>
          </w:p>
        </w:tc>
      </w:tr>
      <w:tr w:rsidR="009A6FD8" w:rsidRPr="008F7ACD" w:rsidTr="00FD6082">
        <w:trPr>
          <w:tblCellSpacing w:w="0" w:type="dxa"/>
        </w:trPr>
        <w:tc>
          <w:tcPr>
            <w:tcW w:w="780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9A6FD8" w:rsidRPr="008F7ACD" w:rsidRDefault="007A14F9" w:rsidP="00FD6082">
            <w:pPr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B</w:t>
            </w:r>
          </w:p>
          <w:p w:rsidR="009A6FD8" w:rsidRPr="008F7ACD" w:rsidRDefault="009A6FD8" w:rsidP="00FD6082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(1,3 mg/m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2</w:t>
            </w:r>
            <w:r w:rsidRPr="008F7ACD">
              <w:rPr>
                <w:rFonts w:eastAsia="TimesNewRoman"/>
                <w:szCs w:val="22"/>
                <w:lang w:eastAsia="en-US"/>
              </w:rPr>
              <w:t>)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A6FD8" w:rsidRPr="008F7ACD" w:rsidRDefault="009A6FD8" w:rsidP="001976FE">
            <w:pPr>
              <w:autoSpaceDE w:val="0"/>
              <w:autoSpaceDN w:val="0"/>
              <w:adjustRightInd w:val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  1.</w:t>
            </w:r>
          </w:p>
          <w:p w:rsidR="009A6FD8" w:rsidRPr="008F7ACD" w:rsidRDefault="009A6FD8" w:rsidP="001976FE">
            <w:pPr>
              <w:autoSpaceDE w:val="0"/>
              <w:autoSpaceDN w:val="0"/>
              <w:adjustRightInd w:val="0"/>
              <w:rPr>
                <w:rFonts w:eastAsia="TimesNewRoman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deň</w:t>
            </w:r>
          </w:p>
        </w:tc>
        <w:tc>
          <w:tcPr>
            <w:tcW w:w="335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9A6FD8" w:rsidRPr="008F7ACD" w:rsidRDefault="009A6FD8" w:rsidP="001976FE">
            <w:pPr>
              <w:autoSpaceDE w:val="0"/>
              <w:autoSpaceDN w:val="0"/>
              <w:adjustRightInd w:val="0"/>
              <w:rPr>
                <w:rFonts w:eastAsia="TimesNewRoman"/>
                <w:szCs w:val="22"/>
              </w:rPr>
            </w:pPr>
            <w:r w:rsidRPr="008F7ACD">
              <w:rPr>
                <w:rFonts w:eastAsia="TimesNewRoman"/>
                <w:szCs w:val="22"/>
              </w:rPr>
              <w:t>---</w:t>
            </w:r>
          </w:p>
        </w:tc>
        <w:tc>
          <w:tcPr>
            <w:tcW w:w="335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9A6FD8" w:rsidRPr="008F7ACD" w:rsidRDefault="009A6FD8" w:rsidP="001976FE">
            <w:pPr>
              <w:autoSpaceDE w:val="0"/>
              <w:autoSpaceDN w:val="0"/>
              <w:adjustRightInd w:val="0"/>
              <w:rPr>
                <w:rFonts w:eastAsia="TimesNewRoman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---</w:t>
            </w:r>
          </w:p>
        </w:tc>
        <w:tc>
          <w:tcPr>
            <w:tcW w:w="365" w:type="pct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A6FD8" w:rsidRPr="008F7ACD" w:rsidRDefault="009A6FD8" w:rsidP="009A6FD8">
            <w:pPr>
              <w:autoSpaceDE w:val="0"/>
              <w:autoSpaceDN w:val="0"/>
              <w:adjustRightInd w:val="0"/>
              <w:rPr>
                <w:rFonts w:eastAsia="TimesNewRoman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---</w:t>
            </w:r>
          </w:p>
        </w:tc>
        <w:tc>
          <w:tcPr>
            <w:tcW w:w="6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A6FD8" w:rsidRPr="008F7ACD" w:rsidRDefault="009A6FD8" w:rsidP="009A6FD8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8. deň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FD8" w:rsidRPr="008F7ACD" w:rsidRDefault="009A6FD8" w:rsidP="009A6FD8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pauza</w:t>
            </w:r>
          </w:p>
        </w:tc>
        <w:tc>
          <w:tcPr>
            <w:tcW w:w="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A6FD8" w:rsidRPr="008F7ACD" w:rsidRDefault="009A6FD8" w:rsidP="009A6FD8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22. deň</w:t>
            </w:r>
          </w:p>
        </w:tc>
        <w:tc>
          <w:tcPr>
            <w:tcW w:w="6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A6FD8" w:rsidRPr="008F7ACD" w:rsidRDefault="009A6FD8" w:rsidP="009A6FD8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29. deň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A6FD8" w:rsidRPr="008F7ACD" w:rsidRDefault="009A6FD8" w:rsidP="009A6FD8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pauza </w:t>
            </w:r>
          </w:p>
        </w:tc>
      </w:tr>
      <w:tr w:rsidR="007A14F9" w:rsidRPr="008F7ACD" w:rsidTr="00FD6082">
        <w:trPr>
          <w:tblCellSpacing w:w="0" w:type="dxa"/>
        </w:trPr>
        <w:tc>
          <w:tcPr>
            <w:tcW w:w="780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7A14F9" w:rsidRPr="008F7ACD" w:rsidRDefault="007A14F9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 (9 mg/m</w:t>
            </w:r>
            <w:r w:rsidRPr="008F7ACD">
              <w:rPr>
                <w:color w:val="000000"/>
                <w:szCs w:val="22"/>
                <w:vertAlign w:val="superscript"/>
              </w:rPr>
              <w:t>2</w:t>
            </w:r>
            <w:r w:rsidRPr="008F7ACD">
              <w:rPr>
                <w:color w:val="000000"/>
                <w:szCs w:val="22"/>
              </w:rPr>
              <w:t xml:space="preserve">) </w:t>
            </w:r>
          </w:p>
          <w:p w:rsidR="007A14F9" w:rsidRPr="008F7ACD" w:rsidRDefault="007A14F9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P (60 mg/m</w:t>
            </w:r>
            <w:r w:rsidRPr="008F7ACD">
              <w:rPr>
                <w:color w:val="000000"/>
                <w:szCs w:val="22"/>
                <w:vertAlign w:val="superscript"/>
              </w:rPr>
              <w:t>2)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7A14F9" w:rsidRPr="008F7ACD" w:rsidRDefault="007A14F9" w:rsidP="001976FE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  1.</w:t>
            </w:r>
          </w:p>
          <w:p w:rsidR="007A14F9" w:rsidRPr="008F7ACD" w:rsidRDefault="007A14F9" w:rsidP="001976FE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deň</w:t>
            </w:r>
          </w:p>
        </w:tc>
        <w:tc>
          <w:tcPr>
            <w:tcW w:w="335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7A14F9" w:rsidRPr="008F7ACD" w:rsidRDefault="007A14F9" w:rsidP="001976FE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  2.</w:t>
            </w:r>
          </w:p>
          <w:p w:rsidR="007A14F9" w:rsidRPr="008F7ACD" w:rsidRDefault="007A14F9" w:rsidP="001976FE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deň</w:t>
            </w:r>
          </w:p>
        </w:tc>
        <w:tc>
          <w:tcPr>
            <w:tcW w:w="335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7A14F9" w:rsidRPr="008F7ACD" w:rsidRDefault="007A14F9" w:rsidP="001976FE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  3.</w:t>
            </w:r>
          </w:p>
          <w:p w:rsidR="007A14F9" w:rsidRPr="008F7ACD" w:rsidRDefault="007A14F9" w:rsidP="001976FE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deň</w:t>
            </w:r>
          </w:p>
        </w:tc>
        <w:tc>
          <w:tcPr>
            <w:tcW w:w="365" w:type="pct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7A14F9" w:rsidRPr="008F7ACD" w:rsidRDefault="007A14F9" w:rsidP="001976FE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  4.</w:t>
            </w:r>
          </w:p>
          <w:p w:rsidR="007A14F9" w:rsidRPr="008F7ACD" w:rsidRDefault="007A14F9" w:rsidP="001976FE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deň</w:t>
            </w:r>
          </w:p>
        </w:tc>
        <w:tc>
          <w:tcPr>
            <w:tcW w:w="6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7A14F9" w:rsidRPr="008F7ACD" w:rsidRDefault="007A14F9" w:rsidP="007A14F9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---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4F9" w:rsidRPr="008F7ACD" w:rsidRDefault="007A14F9" w:rsidP="001976FE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pauza</w:t>
            </w:r>
          </w:p>
        </w:tc>
        <w:tc>
          <w:tcPr>
            <w:tcW w:w="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7A14F9" w:rsidRPr="008F7ACD" w:rsidRDefault="007A14F9" w:rsidP="007A14F9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---</w:t>
            </w:r>
          </w:p>
        </w:tc>
        <w:tc>
          <w:tcPr>
            <w:tcW w:w="6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7A14F9" w:rsidRPr="008F7ACD" w:rsidRDefault="007A14F9" w:rsidP="0020718A">
            <w:pPr>
              <w:rPr>
                <w:color w:val="000000"/>
                <w:szCs w:val="22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7A14F9" w:rsidRPr="008F7ACD" w:rsidRDefault="007A14F9" w:rsidP="001976FE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pauza</w:t>
            </w:r>
          </w:p>
        </w:tc>
      </w:tr>
    </w:tbl>
    <w:p w:rsidR="00743473" w:rsidRPr="008F7ACD" w:rsidRDefault="00743473" w:rsidP="00743473">
      <w:pPr>
        <w:rPr>
          <w:color w:val="000000"/>
          <w:szCs w:val="22"/>
        </w:rPr>
      </w:pPr>
      <w:r w:rsidRPr="008F7ACD">
        <w:rPr>
          <w:color w:val="000000"/>
          <w:szCs w:val="22"/>
        </w:rPr>
        <w:t>B</w:t>
      </w:r>
      <w:r w:rsidR="00DA4DDE" w:rsidRPr="008F7ACD">
        <w:rPr>
          <w:color w:val="000000"/>
          <w:szCs w:val="22"/>
        </w:rPr>
        <w:t xml:space="preserve"> </w:t>
      </w:r>
      <w:r w:rsidRPr="008F7ACD">
        <w:rPr>
          <w:color w:val="000000"/>
          <w:szCs w:val="22"/>
        </w:rPr>
        <w:t>=</w:t>
      </w:r>
      <w:r w:rsidR="00DA4DDE" w:rsidRPr="008F7ACD">
        <w:rPr>
          <w:color w:val="000000"/>
          <w:szCs w:val="22"/>
        </w:rPr>
        <w:t xml:space="preserve"> </w:t>
      </w:r>
      <w:r w:rsidRPr="008F7ACD">
        <w:rPr>
          <w:color w:val="000000"/>
          <w:szCs w:val="22"/>
        </w:rPr>
        <w:t>bortezomib ; M</w:t>
      </w:r>
      <w:r w:rsidR="00DA4DDE" w:rsidRPr="008F7ACD">
        <w:rPr>
          <w:color w:val="000000"/>
          <w:szCs w:val="22"/>
        </w:rPr>
        <w:t xml:space="preserve"> </w:t>
      </w:r>
      <w:r w:rsidRPr="008F7ACD">
        <w:rPr>
          <w:color w:val="000000"/>
          <w:szCs w:val="22"/>
        </w:rPr>
        <w:t>=</w:t>
      </w:r>
      <w:r w:rsidR="00DA4DDE" w:rsidRPr="008F7ACD">
        <w:rPr>
          <w:color w:val="000000"/>
          <w:szCs w:val="22"/>
        </w:rPr>
        <w:t xml:space="preserve"> </w:t>
      </w:r>
      <w:r w:rsidRPr="008F7ACD">
        <w:rPr>
          <w:color w:val="000000"/>
          <w:szCs w:val="22"/>
        </w:rPr>
        <w:t>mel</w:t>
      </w:r>
      <w:r w:rsidR="007A14F9" w:rsidRPr="008F7ACD">
        <w:rPr>
          <w:color w:val="000000"/>
          <w:szCs w:val="22"/>
        </w:rPr>
        <w:t>fal</w:t>
      </w:r>
      <w:r w:rsidR="00C76D68" w:rsidRPr="008F7ACD">
        <w:rPr>
          <w:color w:val="000000"/>
          <w:szCs w:val="22"/>
        </w:rPr>
        <w:t>á</w:t>
      </w:r>
      <w:r w:rsidR="007A14F9" w:rsidRPr="008F7ACD">
        <w:rPr>
          <w:color w:val="000000"/>
          <w:szCs w:val="22"/>
        </w:rPr>
        <w:t>n</w:t>
      </w:r>
      <w:r w:rsidRPr="008F7ACD">
        <w:rPr>
          <w:color w:val="000000"/>
          <w:szCs w:val="22"/>
        </w:rPr>
        <w:t>, P</w:t>
      </w:r>
      <w:r w:rsidR="00DA4DDE" w:rsidRPr="008F7ACD">
        <w:rPr>
          <w:color w:val="000000"/>
          <w:szCs w:val="22"/>
        </w:rPr>
        <w:t xml:space="preserve"> </w:t>
      </w:r>
      <w:r w:rsidRPr="008F7ACD">
        <w:rPr>
          <w:color w:val="000000"/>
          <w:szCs w:val="22"/>
        </w:rPr>
        <w:t>=</w:t>
      </w:r>
      <w:r w:rsidR="00DA4DDE" w:rsidRPr="008F7ACD">
        <w:rPr>
          <w:color w:val="000000"/>
          <w:szCs w:val="22"/>
        </w:rPr>
        <w:t xml:space="preserve"> </w:t>
      </w:r>
      <w:r w:rsidRPr="008F7ACD">
        <w:rPr>
          <w:color w:val="000000"/>
          <w:szCs w:val="22"/>
        </w:rPr>
        <w:t>predni</w:t>
      </w:r>
      <w:r w:rsidR="007A14F9" w:rsidRPr="008F7ACD">
        <w:rPr>
          <w:color w:val="000000"/>
          <w:szCs w:val="22"/>
        </w:rPr>
        <w:t>zón</w:t>
      </w:r>
      <w:r w:rsidRPr="008F7ACD">
        <w:rPr>
          <w:color w:val="000000"/>
          <w:szCs w:val="22"/>
        </w:rPr>
        <w:t xml:space="preserve"> </w:t>
      </w:r>
    </w:p>
    <w:p w:rsidR="00743473" w:rsidRPr="008F7ACD" w:rsidRDefault="00743473" w:rsidP="00743473">
      <w:pPr>
        <w:rPr>
          <w:i/>
          <w:iCs/>
          <w:color w:val="000000"/>
          <w:szCs w:val="22"/>
        </w:rPr>
      </w:pPr>
    </w:p>
    <w:p w:rsidR="007A14F9" w:rsidRPr="008F7ACD" w:rsidRDefault="007A14F9" w:rsidP="007A14F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Úpravy dávky počas liečby a po obnovení liečby pri kombinovanej liečbe melfal</w:t>
      </w:r>
      <w:r w:rsidR="00C76D68" w:rsidRPr="008F7ACD">
        <w:rPr>
          <w:rFonts w:eastAsia="TimesNewRoman,Italic"/>
          <w:i/>
          <w:iCs/>
          <w:szCs w:val="22"/>
          <w:lang w:eastAsia="en-US"/>
        </w:rPr>
        <w:t>á</w:t>
      </w:r>
      <w:r w:rsidRPr="008F7ACD">
        <w:rPr>
          <w:rFonts w:eastAsia="TimesNewRoman,Italic"/>
          <w:i/>
          <w:iCs/>
          <w:szCs w:val="22"/>
          <w:lang w:eastAsia="en-US"/>
        </w:rPr>
        <w:t>nom a prednizónom</w:t>
      </w:r>
    </w:p>
    <w:p w:rsidR="007A14F9" w:rsidRPr="008F7ACD" w:rsidRDefault="007A14F9" w:rsidP="007A14F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Pred začatím nového cyklu liečby:</w:t>
      </w:r>
    </w:p>
    <w:p w:rsidR="00743473" w:rsidRPr="008F7ACD" w:rsidRDefault="00DD5198" w:rsidP="00743473">
      <w:pPr>
        <w:numPr>
          <w:ilvl w:val="0"/>
          <w:numId w:val="8"/>
        </w:numPr>
        <w:rPr>
          <w:color w:val="000000"/>
          <w:szCs w:val="22"/>
        </w:rPr>
      </w:pPr>
      <w:r w:rsidRPr="008F7ACD">
        <w:rPr>
          <w:rFonts w:eastAsia="TimesNewRoman"/>
          <w:szCs w:val="22"/>
          <w:lang w:eastAsia="en-US"/>
        </w:rPr>
        <w:t>p</w:t>
      </w:r>
      <w:r w:rsidR="007A14F9" w:rsidRPr="008F7ACD">
        <w:rPr>
          <w:rFonts w:eastAsia="TimesNewRoman"/>
          <w:szCs w:val="22"/>
          <w:lang w:eastAsia="en-US"/>
        </w:rPr>
        <w:t>očet krvných doštičiek má byť ≥ 70 x 10</w:t>
      </w:r>
      <w:r w:rsidR="007A14F9" w:rsidRPr="008F7ACD">
        <w:rPr>
          <w:rFonts w:eastAsia="TimesNewRoman"/>
          <w:szCs w:val="22"/>
          <w:vertAlign w:val="superscript"/>
          <w:lang w:eastAsia="en-US"/>
        </w:rPr>
        <w:t>9</w:t>
      </w:r>
      <w:r w:rsidR="007A14F9" w:rsidRPr="008F7ACD">
        <w:rPr>
          <w:rFonts w:eastAsia="TimesNewRoman"/>
          <w:szCs w:val="22"/>
          <w:lang w:eastAsia="en-US"/>
        </w:rPr>
        <w:t>/l a absolútny počet neutrofilov má byť ≥ 1,0 x 10</w:t>
      </w:r>
      <w:r w:rsidR="007A14F9" w:rsidRPr="008F7ACD">
        <w:rPr>
          <w:rFonts w:eastAsia="TimesNewRoman"/>
          <w:szCs w:val="22"/>
          <w:vertAlign w:val="superscript"/>
          <w:lang w:eastAsia="en-US"/>
        </w:rPr>
        <w:t>9</w:t>
      </w:r>
      <w:r w:rsidR="007A14F9" w:rsidRPr="008F7ACD">
        <w:rPr>
          <w:rFonts w:eastAsia="TimesNewRoman"/>
          <w:szCs w:val="22"/>
          <w:lang w:eastAsia="en-US"/>
        </w:rPr>
        <w:t>/l</w:t>
      </w:r>
    </w:p>
    <w:p w:rsidR="00743473" w:rsidRPr="008F7ACD" w:rsidRDefault="00DD5198" w:rsidP="00743473">
      <w:pPr>
        <w:numPr>
          <w:ilvl w:val="0"/>
          <w:numId w:val="8"/>
        </w:numPr>
        <w:rPr>
          <w:color w:val="000000"/>
          <w:szCs w:val="22"/>
        </w:rPr>
      </w:pPr>
      <w:r w:rsidRPr="008F7ACD">
        <w:rPr>
          <w:rFonts w:eastAsia="TimesNewRoman"/>
          <w:szCs w:val="22"/>
          <w:lang w:eastAsia="en-US"/>
        </w:rPr>
        <w:t>n</w:t>
      </w:r>
      <w:r w:rsidR="007A14F9" w:rsidRPr="008F7ACD">
        <w:rPr>
          <w:rFonts w:eastAsia="TimesNewRoman"/>
          <w:szCs w:val="22"/>
          <w:lang w:eastAsia="en-US"/>
        </w:rPr>
        <w:t>ehematologické toxicity majú ustúpiť na 1. stupeň alebo na počiatočnú úroveň</w:t>
      </w:r>
    </w:p>
    <w:p w:rsidR="00743473" w:rsidRPr="008F7ACD" w:rsidRDefault="00743473" w:rsidP="00C92B0B">
      <w:pPr>
        <w:ind w:left="0" w:firstLine="0"/>
        <w:rPr>
          <w:szCs w:val="22"/>
          <w:u w:val="single"/>
        </w:rPr>
      </w:pPr>
    </w:p>
    <w:p w:rsidR="006C63D5" w:rsidRPr="008F7ACD" w:rsidRDefault="006C63D5" w:rsidP="006C63D5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Tabuľka 3: Úpravy dávkovania počas ďalších cyklov liečby bortezomibom v kombinácii</w:t>
      </w:r>
    </w:p>
    <w:p w:rsidR="00743473" w:rsidRPr="008F7ACD" w:rsidRDefault="006C63D5" w:rsidP="009A37A5">
      <w:pPr>
        <w:ind w:left="1843" w:hanging="1843"/>
        <w:rPr>
          <w:color w:val="000000"/>
          <w:szCs w:val="22"/>
        </w:rPr>
      </w:pPr>
      <w:r w:rsidRPr="008F7ACD">
        <w:rPr>
          <w:rFonts w:eastAsia="TimesNewRoman,Italic"/>
          <w:i/>
          <w:iCs/>
          <w:szCs w:val="22"/>
          <w:lang w:eastAsia="en-US"/>
        </w:rPr>
        <w:t>s melfal</w:t>
      </w:r>
      <w:r w:rsidR="00C76D68" w:rsidRPr="008F7ACD">
        <w:rPr>
          <w:rFonts w:eastAsia="TimesNewRoman,Italic"/>
          <w:i/>
          <w:iCs/>
          <w:szCs w:val="22"/>
          <w:lang w:eastAsia="en-US"/>
        </w:rPr>
        <w:t>á</w:t>
      </w:r>
      <w:r w:rsidRPr="008F7ACD">
        <w:rPr>
          <w:rFonts w:eastAsia="TimesNewRoman,Italic"/>
          <w:i/>
          <w:iCs/>
          <w:szCs w:val="22"/>
          <w:lang w:eastAsia="en-US"/>
        </w:rPr>
        <w:t>nom a prednizónom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0"/>
        <w:gridCol w:w="4610"/>
      </w:tblGrid>
      <w:tr w:rsidR="00743473" w:rsidRPr="008F7ACD" w:rsidTr="0020718A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Toxicit</w:t>
            </w:r>
            <w:r w:rsidR="006C63D5" w:rsidRPr="008F7ACD">
              <w:rPr>
                <w:b/>
                <w:bCs/>
                <w:color w:val="000000"/>
                <w:szCs w:val="22"/>
              </w:rPr>
              <w:t>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8E5DE7" w:rsidP="009008DE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Úprava dávkovania alebo odloženie liečby</w:t>
            </w:r>
          </w:p>
        </w:tc>
      </w:tr>
      <w:tr w:rsidR="00743473" w:rsidRPr="008F7ACD" w:rsidTr="0020718A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6C63D5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,Italic"/>
                <w:i/>
                <w:iCs/>
                <w:szCs w:val="22"/>
                <w:lang w:eastAsia="en-US"/>
              </w:rPr>
              <w:t>Hematologická toxicita počas cyklu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</w:p>
        </w:tc>
      </w:tr>
      <w:tr w:rsidR="00743473" w:rsidRPr="008F7ACD" w:rsidTr="0020718A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3D5" w:rsidRPr="008F7ACD" w:rsidRDefault="006C63D5" w:rsidP="006C63D5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• Ak pretrváva 4. stupeň neutropénie alebo</w:t>
            </w:r>
          </w:p>
          <w:p w:rsidR="006C63D5" w:rsidRPr="008F7ACD" w:rsidRDefault="006C63D5" w:rsidP="006C63D5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trombocytopénie alebo bola v predošlom</w:t>
            </w:r>
          </w:p>
          <w:p w:rsidR="006C63D5" w:rsidRPr="008F7ACD" w:rsidRDefault="006C63D5" w:rsidP="006C63D5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cykle pozorovaná trombocytopénia</w:t>
            </w:r>
          </w:p>
          <w:p w:rsidR="00743473" w:rsidRPr="008F7ACD" w:rsidRDefault="006C63D5" w:rsidP="006C63D5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s krvácaním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3D5" w:rsidRPr="008F7ACD" w:rsidRDefault="006C63D5" w:rsidP="006C63D5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V ďalšom cykle zváž</w:t>
            </w:r>
            <w:r w:rsidR="00BE6953" w:rsidRPr="008F7ACD">
              <w:rPr>
                <w:rFonts w:eastAsia="TimesNewRoman"/>
                <w:szCs w:val="22"/>
                <w:lang w:eastAsia="en-US"/>
              </w:rPr>
              <w:t>te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zníženie dávky melfal</w:t>
            </w:r>
            <w:r w:rsidR="00C76D68" w:rsidRPr="008F7ACD">
              <w:rPr>
                <w:rFonts w:eastAsia="TimesNewRoman"/>
                <w:szCs w:val="22"/>
                <w:lang w:eastAsia="en-US"/>
              </w:rPr>
              <w:t>á</w:t>
            </w:r>
            <w:r w:rsidRPr="008F7ACD">
              <w:rPr>
                <w:rFonts w:eastAsia="TimesNewRoman"/>
                <w:szCs w:val="22"/>
                <w:lang w:eastAsia="en-US"/>
              </w:rPr>
              <w:t>nu</w:t>
            </w:r>
          </w:p>
          <w:p w:rsidR="00743473" w:rsidRPr="008F7ACD" w:rsidRDefault="006C63D5" w:rsidP="006C63D5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o 25 %.</w:t>
            </w:r>
          </w:p>
        </w:tc>
      </w:tr>
      <w:tr w:rsidR="00743473" w:rsidRPr="008F7ACD" w:rsidTr="0020718A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3D5" w:rsidRPr="008F7ACD" w:rsidRDefault="006C63D5" w:rsidP="006C63D5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• Ak je počet krvných doštičiek </w:t>
            </w:r>
            <w:r w:rsidRPr="008F7ACD">
              <w:rPr>
                <w:color w:val="000000"/>
                <w:szCs w:val="22"/>
              </w:rPr>
              <w:t>≤ 30 x 10</w:t>
            </w:r>
            <w:r w:rsidRPr="008F7ACD">
              <w:rPr>
                <w:color w:val="000000"/>
                <w:szCs w:val="22"/>
                <w:vertAlign w:val="superscript"/>
              </w:rPr>
              <w:t>9</w:t>
            </w:r>
            <w:r w:rsidRPr="008F7ACD">
              <w:rPr>
                <w:color w:val="000000"/>
                <w:szCs w:val="22"/>
              </w:rPr>
              <w:t>/l alebo ANC ≤ 0,75 x 10</w:t>
            </w:r>
            <w:r w:rsidRPr="008F7ACD">
              <w:rPr>
                <w:color w:val="000000"/>
                <w:szCs w:val="22"/>
                <w:vertAlign w:val="superscript"/>
              </w:rPr>
              <w:t>9</w:t>
            </w:r>
            <w:r w:rsidRPr="008F7ACD">
              <w:rPr>
                <w:color w:val="000000"/>
                <w:szCs w:val="22"/>
              </w:rPr>
              <w:t>/l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v deň, kedy má</w:t>
            </w:r>
          </w:p>
          <w:p w:rsidR="00743473" w:rsidRPr="008F7ACD" w:rsidRDefault="006C63D5" w:rsidP="00172B86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byť podaný </w:t>
            </w:r>
            <w:r w:rsidR="00172B86" w:rsidRPr="008F7ACD">
              <w:rPr>
                <w:rFonts w:eastAsia="TimesNewRoman"/>
                <w:szCs w:val="22"/>
                <w:lang w:eastAsia="en-US"/>
              </w:rPr>
              <w:t>bortezomib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(iný ako 1.</w:t>
            </w:r>
            <w:r w:rsidR="00172B86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deň)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2B86" w:rsidRPr="008F7ACD" w:rsidRDefault="00172B86" w:rsidP="00172B86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Liečba bortezomibom sa má odložiť.</w:t>
            </w:r>
          </w:p>
          <w:p w:rsidR="00743473" w:rsidRPr="008F7ACD" w:rsidRDefault="00743473" w:rsidP="00172B86">
            <w:pPr>
              <w:rPr>
                <w:color w:val="000000"/>
                <w:szCs w:val="22"/>
              </w:rPr>
            </w:pPr>
          </w:p>
        </w:tc>
      </w:tr>
      <w:tr w:rsidR="00743473" w:rsidRPr="008F7ACD" w:rsidTr="0020718A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D518F7" w:rsidP="00D518F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• Ak nie je podaných niekoľko dávok bortezomibu v cykle (≥ 3 dávky počas podávania dvakrát týždenne alebo ≥ 2 dávky počas podávania jedenkrát týždenne)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D518F7" w:rsidP="009E145F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Dávka bortezomibu sa má znížiť o jednu úroveň (z 1,3 mg/m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2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na 1 mg/m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2</w:t>
            </w:r>
            <w:r w:rsidRPr="008F7ACD">
              <w:rPr>
                <w:rFonts w:eastAsia="TimesNewRoman"/>
                <w:szCs w:val="22"/>
                <w:lang w:eastAsia="en-US"/>
              </w:rPr>
              <w:t>, alebo z 1 mg/m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2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na</w:t>
            </w:r>
            <w:r w:rsidR="00BE6953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0,7 mg/m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2</w:t>
            </w:r>
            <w:r w:rsidRPr="008F7ACD">
              <w:rPr>
                <w:rFonts w:eastAsia="TimesNewRoman"/>
                <w:szCs w:val="22"/>
                <w:lang w:eastAsia="en-US"/>
              </w:rPr>
              <w:t>).</w:t>
            </w:r>
          </w:p>
        </w:tc>
      </w:tr>
      <w:tr w:rsidR="00743473" w:rsidRPr="008F7ACD" w:rsidTr="0020718A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D518F7" w:rsidP="00EE16B4">
            <w:pPr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,Italic"/>
                <w:iCs/>
                <w:szCs w:val="22"/>
                <w:lang w:eastAsia="en-US"/>
              </w:rPr>
              <w:t>Stupeň ≥ 3 nehematologickej toxicity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D518F7" w:rsidP="005E5F2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Liečba bortezomibom sa má odložiť, </w:t>
            </w:r>
            <w:r w:rsidR="00775668" w:rsidRPr="008F7ACD">
              <w:rPr>
                <w:rFonts w:eastAsia="TimesNewRoman"/>
                <w:szCs w:val="22"/>
                <w:lang w:eastAsia="en-US"/>
              </w:rPr>
              <w:t>pokiaľ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sa </w:t>
            </w:r>
            <w:r w:rsidR="00775668" w:rsidRPr="008F7ACD">
              <w:rPr>
                <w:rFonts w:eastAsia="TimesNewRoman"/>
                <w:szCs w:val="22"/>
                <w:lang w:eastAsia="en-US"/>
              </w:rPr>
              <w:t>príznaky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toxicity nez</w:t>
            </w:r>
            <w:r w:rsidR="00DD0215" w:rsidRPr="008F7ACD">
              <w:rPr>
                <w:rFonts w:eastAsia="TimesNewRoman"/>
                <w:szCs w:val="22"/>
                <w:lang w:eastAsia="en-US"/>
              </w:rPr>
              <w:t>miernia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na 1. stupeň alebo na</w:t>
            </w:r>
            <w:r w:rsidR="00BE6953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počiatočnú úroveň. Potom možno liečbu bortezomibom znovu začať so znížením o jednu úroveň (z 1,3 mg/m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2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na 1 mg/m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2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alebo z 1 mg/m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2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na 0,7 mg/m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2</w:t>
            </w:r>
            <w:r w:rsidRPr="008F7ACD">
              <w:rPr>
                <w:rFonts w:eastAsia="TimesNewRoman"/>
                <w:szCs w:val="22"/>
                <w:lang w:eastAsia="en-US"/>
              </w:rPr>
              <w:t>). Ak sa v súvislosti s bortezomibom vyskytne neuropatická bolesť a/alebo periférna neuropatia, odložte a/alebo upravte dávku bortezomibu tak, ako sa uvádza v tabuľke 1.</w:t>
            </w:r>
          </w:p>
        </w:tc>
      </w:tr>
    </w:tbl>
    <w:p w:rsidR="00743473" w:rsidRPr="008F7ACD" w:rsidRDefault="00743473" w:rsidP="00743473">
      <w:pPr>
        <w:rPr>
          <w:color w:val="000000"/>
          <w:szCs w:val="22"/>
        </w:rPr>
      </w:pP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Ďalšie informácie o melfal</w:t>
      </w:r>
      <w:r w:rsidR="009A37A5" w:rsidRPr="008F7ACD">
        <w:rPr>
          <w:rFonts w:eastAsia="TimesNewRoman"/>
          <w:szCs w:val="22"/>
          <w:lang w:eastAsia="en-US"/>
        </w:rPr>
        <w:t>á</w:t>
      </w:r>
      <w:r w:rsidRPr="008F7ACD">
        <w:rPr>
          <w:rFonts w:eastAsia="TimesNewRoman"/>
          <w:szCs w:val="22"/>
          <w:lang w:eastAsia="en-US"/>
        </w:rPr>
        <w:t>ne a prednizóne nájdete v príslušnom súhrne charakteristických vlastností</w:t>
      </w: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lieku.</w:t>
      </w:r>
    </w:p>
    <w:p w:rsidR="00AC71C9" w:rsidRPr="008F7ACD" w:rsidRDefault="00AC71C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Dávkovanie u pacientov s doteraz neliečeným mnohopočetným myelómom, ktorí sú vhodní na</w:t>
      </w:r>
      <w:r w:rsidR="00C6294F" w:rsidRPr="008F7ACD">
        <w:rPr>
          <w:rFonts w:eastAsia="TimesNewRoman"/>
          <w:szCs w:val="22"/>
          <w:u w:val="single"/>
          <w:lang w:eastAsia="en-US"/>
        </w:rPr>
        <w:t> </w:t>
      </w:r>
      <w:r w:rsidRPr="008F7ACD">
        <w:rPr>
          <w:rFonts w:eastAsia="TimesNewRoman"/>
          <w:szCs w:val="22"/>
          <w:u w:val="single"/>
          <w:lang w:eastAsia="en-US"/>
        </w:rPr>
        <w:t>transplantáciu hematopoetických kmeňových buniek (indukčná liečba)</w:t>
      </w: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Kombinovaná liečba s dexametazónom</w:t>
      </w:r>
    </w:p>
    <w:p w:rsidR="008541DD" w:rsidRPr="008F7ACD" w:rsidRDefault="000C2ED2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B</w:t>
      </w:r>
      <w:r w:rsidR="001B592E" w:rsidRPr="008F7ACD">
        <w:rPr>
          <w:rFonts w:eastAsia="TimesNewRoman"/>
          <w:szCs w:val="22"/>
          <w:lang w:eastAsia="en-US"/>
        </w:rPr>
        <w:t>ortezomib</w:t>
      </w:r>
      <w:r w:rsidR="006321A9" w:rsidRPr="008F7ACD">
        <w:rPr>
          <w:rFonts w:eastAsia="TimesNewRoman"/>
          <w:szCs w:val="22"/>
          <w:lang w:eastAsia="en-US"/>
        </w:rPr>
        <w:t xml:space="preserve"> </w:t>
      </w:r>
      <w:r w:rsidR="008541DD" w:rsidRPr="008F7ACD">
        <w:rPr>
          <w:rFonts w:eastAsia="TimesNewRoman"/>
          <w:szCs w:val="22"/>
          <w:lang w:eastAsia="en-US"/>
        </w:rPr>
        <w:t>STADA 2,5 mg</w:t>
      </w:r>
      <w:r w:rsidR="009A37A5" w:rsidRPr="008F7ACD">
        <w:rPr>
          <w:rFonts w:eastAsia="TimesNewRoman"/>
          <w:szCs w:val="22"/>
          <w:lang w:eastAsia="en-US"/>
        </w:rPr>
        <w:t>/ml</w:t>
      </w:r>
      <w:r w:rsidR="008541DD" w:rsidRPr="008F7ACD">
        <w:rPr>
          <w:rFonts w:eastAsia="TimesNewRoman"/>
          <w:szCs w:val="22"/>
          <w:lang w:eastAsia="en-US"/>
        </w:rPr>
        <w:t xml:space="preserve"> injekčný roztok </w:t>
      </w:r>
      <w:r w:rsidR="006321A9" w:rsidRPr="008F7ACD">
        <w:rPr>
          <w:rFonts w:eastAsia="TimesNewRoman"/>
          <w:szCs w:val="22"/>
          <w:lang w:eastAsia="en-US"/>
        </w:rPr>
        <w:t xml:space="preserve">sa podáva </w:t>
      </w:r>
      <w:r w:rsidR="008541DD" w:rsidRPr="008F7ACD">
        <w:rPr>
          <w:rFonts w:eastAsia="TimesNewRoman"/>
          <w:szCs w:val="22"/>
          <w:lang w:eastAsia="en-US"/>
        </w:rPr>
        <w:t xml:space="preserve">subkutánnou injekciou alebo po </w:t>
      </w:r>
      <w:r w:rsidR="00AF1E6E">
        <w:rPr>
          <w:rFonts w:eastAsia="TimesNewRoman"/>
          <w:szCs w:val="22"/>
          <w:lang w:eastAsia="en-US"/>
        </w:rPr>
        <w:t xml:space="preserve">zriedení </w:t>
      </w:r>
      <w:r w:rsidR="008541DD" w:rsidRPr="008F7ACD">
        <w:rPr>
          <w:rFonts w:eastAsia="TimesNewRoman"/>
          <w:szCs w:val="22"/>
          <w:lang w:eastAsia="en-US"/>
        </w:rPr>
        <w:t xml:space="preserve">aj intravenóznou injekciou </w:t>
      </w:r>
      <w:r w:rsidR="006321A9" w:rsidRPr="008F7ACD">
        <w:rPr>
          <w:rFonts w:eastAsia="TimesNewRoman"/>
          <w:szCs w:val="22"/>
          <w:lang w:eastAsia="en-US"/>
        </w:rPr>
        <w:t>v odporúčanej dávke</w:t>
      </w:r>
      <w:r w:rsidR="001B592E" w:rsidRPr="008F7ACD">
        <w:rPr>
          <w:rFonts w:eastAsia="TimesNewRoman"/>
          <w:szCs w:val="22"/>
          <w:lang w:eastAsia="en-US"/>
        </w:rPr>
        <w:t xml:space="preserve"> </w:t>
      </w:r>
      <w:r w:rsidR="006321A9" w:rsidRPr="008F7ACD">
        <w:rPr>
          <w:rFonts w:eastAsia="TimesNewRoman"/>
          <w:szCs w:val="22"/>
          <w:lang w:eastAsia="en-US"/>
        </w:rPr>
        <w:t>1,3</w:t>
      </w:r>
      <w:r w:rsidR="001B592E" w:rsidRPr="008F7ACD">
        <w:rPr>
          <w:rFonts w:eastAsia="TimesNewRoman"/>
          <w:szCs w:val="22"/>
          <w:lang w:eastAsia="en-US"/>
        </w:rPr>
        <w:t> </w:t>
      </w:r>
      <w:r w:rsidR="006321A9" w:rsidRPr="008F7ACD">
        <w:rPr>
          <w:rFonts w:eastAsia="TimesNewRoman"/>
          <w:szCs w:val="22"/>
          <w:lang w:eastAsia="en-US"/>
        </w:rPr>
        <w:t>mg/m</w:t>
      </w:r>
      <w:r w:rsidR="006321A9" w:rsidRPr="008F7ACD">
        <w:rPr>
          <w:rFonts w:eastAsia="TimesNewRoman"/>
          <w:szCs w:val="22"/>
          <w:vertAlign w:val="superscript"/>
          <w:lang w:eastAsia="en-US"/>
        </w:rPr>
        <w:t>2</w:t>
      </w:r>
      <w:r w:rsidR="006321A9" w:rsidRPr="008F7ACD">
        <w:rPr>
          <w:rFonts w:eastAsia="TimesNewRoman"/>
          <w:szCs w:val="22"/>
          <w:lang w:eastAsia="en-US"/>
        </w:rPr>
        <w:t xml:space="preserve"> povrchu tela dvakrát týždenne počas dvoch </w:t>
      </w:r>
      <w:r w:rsidR="006321A9" w:rsidRPr="008F7ACD">
        <w:rPr>
          <w:rFonts w:eastAsia="TimesNewRoman"/>
          <w:szCs w:val="22"/>
          <w:lang w:eastAsia="en-US"/>
        </w:rPr>
        <w:lastRenderedPageBreak/>
        <w:t>týždňov v 1., 4., 8. a 11.</w:t>
      </w:r>
      <w:r w:rsidR="001B592E" w:rsidRPr="008F7ACD">
        <w:rPr>
          <w:rFonts w:eastAsia="TimesNewRoman"/>
          <w:szCs w:val="22"/>
          <w:lang w:eastAsia="en-US"/>
        </w:rPr>
        <w:t> </w:t>
      </w:r>
      <w:r w:rsidR="006321A9" w:rsidRPr="008F7ACD">
        <w:rPr>
          <w:rFonts w:eastAsia="TimesNewRoman"/>
          <w:szCs w:val="22"/>
          <w:lang w:eastAsia="en-US"/>
        </w:rPr>
        <w:t>deň terapeutického</w:t>
      </w:r>
      <w:r w:rsidR="001B592E" w:rsidRPr="008F7ACD">
        <w:rPr>
          <w:rFonts w:eastAsia="TimesNewRoman"/>
          <w:szCs w:val="22"/>
          <w:lang w:eastAsia="en-US"/>
        </w:rPr>
        <w:t xml:space="preserve"> </w:t>
      </w:r>
      <w:r w:rsidR="006321A9" w:rsidRPr="008F7ACD">
        <w:rPr>
          <w:rFonts w:eastAsia="TimesNewRoman"/>
          <w:szCs w:val="22"/>
          <w:lang w:eastAsia="en-US"/>
        </w:rPr>
        <w:t xml:space="preserve">cyklu trvajúceho 21 dní. Toto 3-týždňové obdobie sa považuje za jeden terapeutický cyklus. </w:t>
      </w: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Medzi</w:t>
      </w:r>
      <w:r w:rsidR="001B592E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nasledujúcimi dávkami </w:t>
      </w:r>
      <w:r w:rsidR="001B592E" w:rsidRPr="008F7ACD">
        <w:rPr>
          <w:rFonts w:eastAsia="TimesNewRoman"/>
          <w:szCs w:val="22"/>
          <w:lang w:eastAsia="en-US"/>
        </w:rPr>
        <w:t>bortezomibu</w:t>
      </w:r>
      <w:r w:rsidRPr="008F7ACD">
        <w:rPr>
          <w:rFonts w:eastAsia="TimesNewRoman"/>
          <w:szCs w:val="22"/>
          <w:lang w:eastAsia="en-US"/>
        </w:rPr>
        <w:t xml:space="preserve"> má uplynúť aspoň 72 hodín.</w:t>
      </w: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Dexametazón sa podáva perorálne v dávke 40</w:t>
      </w:r>
      <w:r w:rsidR="001B592E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 v 1., 2., 3., 4., 8., 9., 10. a 11. deň terapeutického</w:t>
      </w:r>
      <w:r w:rsidR="001B592E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cyklu s </w:t>
      </w:r>
      <w:r w:rsidR="001B592E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>.</w:t>
      </w: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Podávajú sa štyri terapeutické cykly tejto kombinovanej liečby.</w:t>
      </w:r>
    </w:p>
    <w:p w:rsidR="001B592E" w:rsidRPr="008F7ACD" w:rsidRDefault="001B592E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Kombinovaná liečba s dexametazónom a talidomidom</w:t>
      </w:r>
    </w:p>
    <w:p w:rsidR="006321A9" w:rsidRPr="008F7ACD" w:rsidRDefault="000C2ED2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B</w:t>
      </w:r>
      <w:r w:rsidR="001B592E" w:rsidRPr="008F7ACD">
        <w:rPr>
          <w:rFonts w:eastAsia="TimesNewRoman"/>
          <w:szCs w:val="22"/>
          <w:lang w:eastAsia="en-US"/>
        </w:rPr>
        <w:t>ortezomib</w:t>
      </w:r>
      <w:r w:rsidR="006321A9" w:rsidRPr="008F7ACD">
        <w:rPr>
          <w:rFonts w:eastAsia="TimesNewRoman"/>
          <w:szCs w:val="22"/>
          <w:lang w:eastAsia="en-US"/>
        </w:rPr>
        <w:t xml:space="preserve"> </w:t>
      </w:r>
      <w:r w:rsidR="008541DD" w:rsidRPr="008F7ACD">
        <w:rPr>
          <w:rFonts w:eastAsia="TimesNewRoman"/>
          <w:szCs w:val="22"/>
          <w:lang w:eastAsia="en-US"/>
        </w:rPr>
        <w:t>STADA 2,5 mg</w:t>
      </w:r>
      <w:r w:rsidR="009A37A5" w:rsidRPr="008F7ACD">
        <w:rPr>
          <w:rFonts w:eastAsia="TimesNewRoman"/>
          <w:szCs w:val="22"/>
          <w:lang w:eastAsia="en-US"/>
        </w:rPr>
        <w:t>/ml</w:t>
      </w:r>
      <w:r w:rsidR="008541DD" w:rsidRPr="008F7ACD">
        <w:rPr>
          <w:rFonts w:eastAsia="TimesNewRoman"/>
          <w:szCs w:val="22"/>
          <w:lang w:eastAsia="en-US"/>
        </w:rPr>
        <w:t xml:space="preserve"> injekčný roztok </w:t>
      </w:r>
      <w:r w:rsidR="006321A9" w:rsidRPr="008F7ACD">
        <w:rPr>
          <w:rFonts w:eastAsia="TimesNewRoman"/>
          <w:szCs w:val="22"/>
          <w:lang w:eastAsia="en-US"/>
        </w:rPr>
        <w:t xml:space="preserve">sa podáva </w:t>
      </w:r>
      <w:r w:rsidR="008541DD" w:rsidRPr="008F7ACD">
        <w:rPr>
          <w:rFonts w:eastAsia="TimesNewRoman"/>
          <w:szCs w:val="22"/>
          <w:lang w:eastAsia="en-US"/>
        </w:rPr>
        <w:t xml:space="preserve">subkutánnou injekciou alebo po </w:t>
      </w:r>
      <w:r w:rsidR="00AF1E6E">
        <w:rPr>
          <w:rFonts w:eastAsia="TimesNewRoman"/>
          <w:szCs w:val="22"/>
          <w:lang w:eastAsia="en-US"/>
        </w:rPr>
        <w:t xml:space="preserve">zriedení </w:t>
      </w:r>
      <w:r w:rsidR="008541DD" w:rsidRPr="008F7ACD">
        <w:rPr>
          <w:rFonts w:eastAsia="TimesNewRoman"/>
          <w:szCs w:val="22"/>
          <w:lang w:eastAsia="en-US"/>
        </w:rPr>
        <w:t xml:space="preserve">aj intravenóznou injekciou </w:t>
      </w:r>
      <w:r w:rsidR="006321A9" w:rsidRPr="008F7ACD">
        <w:rPr>
          <w:rFonts w:eastAsia="TimesNewRoman"/>
          <w:szCs w:val="22"/>
          <w:lang w:eastAsia="en-US"/>
        </w:rPr>
        <w:t>v odporúčanej dávke</w:t>
      </w:r>
      <w:r w:rsidR="001B592E" w:rsidRPr="008F7ACD">
        <w:rPr>
          <w:rFonts w:eastAsia="TimesNewRoman"/>
          <w:szCs w:val="22"/>
          <w:lang w:eastAsia="en-US"/>
        </w:rPr>
        <w:t xml:space="preserve"> </w:t>
      </w:r>
      <w:r w:rsidR="006321A9" w:rsidRPr="008F7ACD">
        <w:rPr>
          <w:rFonts w:eastAsia="TimesNewRoman"/>
          <w:szCs w:val="22"/>
          <w:lang w:eastAsia="en-US"/>
        </w:rPr>
        <w:t>1,3</w:t>
      </w:r>
      <w:r w:rsidR="001B592E" w:rsidRPr="008F7ACD">
        <w:rPr>
          <w:rFonts w:eastAsia="TimesNewRoman"/>
          <w:szCs w:val="22"/>
          <w:lang w:eastAsia="en-US"/>
        </w:rPr>
        <w:t> </w:t>
      </w:r>
      <w:r w:rsidR="006321A9" w:rsidRPr="008F7ACD">
        <w:rPr>
          <w:rFonts w:eastAsia="TimesNewRoman"/>
          <w:szCs w:val="22"/>
          <w:lang w:eastAsia="en-US"/>
        </w:rPr>
        <w:t>mg/m</w:t>
      </w:r>
      <w:r w:rsidR="006321A9" w:rsidRPr="008F7ACD">
        <w:rPr>
          <w:rFonts w:eastAsia="TimesNewRoman"/>
          <w:szCs w:val="22"/>
          <w:vertAlign w:val="superscript"/>
          <w:lang w:eastAsia="en-US"/>
        </w:rPr>
        <w:t>2</w:t>
      </w:r>
      <w:r w:rsidR="006321A9" w:rsidRPr="008F7ACD">
        <w:rPr>
          <w:rFonts w:eastAsia="TimesNewRoman"/>
          <w:szCs w:val="22"/>
          <w:lang w:eastAsia="en-US"/>
        </w:rPr>
        <w:t xml:space="preserve"> povrchu tela dvakrát týždenne počas dvoch týždňov v 1., 4., 8. a 11.</w:t>
      </w:r>
      <w:r w:rsidR="001B592E" w:rsidRPr="008F7ACD">
        <w:rPr>
          <w:rFonts w:eastAsia="TimesNewRoman"/>
          <w:szCs w:val="22"/>
          <w:lang w:eastAsia="en-US"/>
        </w:rPr>
        <w:t> </w:t>
      </w:r>
      <w:r w:rsidR="006321A9" w:rsidRPr="008F7ACD">
        <w:rPr>
          <w:rFonts w:eastAsia="TimesNewRoman"/>
          <w:szCs w:val="22"/>
          <w:lang w:eastAsia="en-US"/>
        </w:rPr>
        <w:t>deň terapeutického</w:t>
      </w:r>
      <w:r w:rsidR="001B592E" w:rsidRPr="008F7ACD">
        <w:rPr>
          <w:rFonts w:eastAsia="TimesNewRoman"/>
          <w:szCs w:val="22"/>
          <w:lang w:eastAsia="en-US"/>
        </w:rPr>
        <w:t xml:space="preserve"> </w:t>
      </w:r>
      <w:r w:rsidR="006321A9" w:rsidRPr="008F7ACD">
        <w:rPr>
          <w:rFonts w:eastAsia="TimesNewRoman"/>
          <w:szCs w:val="22"/>
          <w:lang w:eastAsia="en-US"/>
        </w:rPr>
        <w:t>cyklu trvajúceho 28 dní. Toto 4-týždňové obdobie sa považuje za jeden terapeutický cyklus. Medzi</w:t>
      </w:r>
      <w:r w:rsidR="001B592E" w:rsidRPr="008F7ACD">
        <w:rPr>
          <w:rFonts w:eastAsia="TimesNewRoman"/>
          <w:szCs w:val="22"/>
          <w:lang w:eastAsia="en-US"/>
        </w:rPr>
        <w:t xml:space="preserve"> </w:t>
      </w:r>
      <w:r w:rsidR="006321A9" w:rsidRPr="008F7ACD">
        <w:rPr>
          <w:rFonts w:eastAsia="TimesNewRoman"/>
          <w:szCs w:val="22"/>
          <w:lang w:eastAsia="en-US"/>
        </w:rPr>
        <w:t xml:space="preserve">nasledujúcimi dávkami </w:t>
      </w:r>
      <w:r w:rsidR="001B592E" w:rsidRPr="008F7ACD">
        <w:rPr>
          <w:rFonts w:eastAsia="TimesNewRoman"/>
          <w:szCs w:val="22"/>
          <w:lang w:eastAsia="en-US"/>
        </w:rPr>
        <w:t>bortezomibu</w:t>
      </w:r>
      <w:r w:rsidR="006321A9" w:rsidRPr="008F7ACD">
        <w:rPr>
          <w:rFonts w:eastAsia="TimesNewRoman"/>
          <w:szCs w:val="22"/>
          <w:lang w:eastAsia="en-US"/>
        </w:rPr>
        <w:t xml:space="preserve"> má uplynúť aspoň 72 hodín.</w:t>
      </w: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Dexametazón sa podáva perorálne v dávke 40</w:t>
      </w:r>
      <w:r w:rsidR="001B592E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 v 1., 2., 3., 4., 8., 9., 10. a 11. deň terapeutického</w:t>
      </w:r>
      <w:r w:rsidR="001B592E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cyklu s </w:t>
      </w:r>
      <w:r w:rsidR="001B592E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>.</w:t>
      </w: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Talidomid sa podáva perorálne v dávke 50</w:t>
      </w:r>
      <w:r w:rsidR="001B592E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 denne v 1.</w:t>
      </w:r>
      <w:r w:rsidR="001B592E" w:rsidRPr="008F7ACD">
        <w:rPr>
          <w:rFonts w:eastAsia="TimesNewRoman"/>
          <w:szCs w:val="22"/>
          <w:lang w:eastAsia="en-US"/>
        </w:rPr>
        <w:t> – </w:t>
      </w:r>
      <w:r w:rsidRPr="008F7ACD">
        <w:rPr>
          <w:rFonts w:eastAsia="TimesNewRoman"/>
          <w:szCs w:val="22"/>
          <w:lang w:eastAsia="en-US"/>
        </w:rPr>
        <w:t>14.</w:t>
      </w:r>
      <w:r w:rsidR="001B592E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deň a ak ho pacient toleruje, dávka sa</w:t>
      </w:r>
      <w:r w:rsidR="001B592E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potom zvýši na 100</w:t>
      </w:r>
      <w:r w:rsidR="001B592E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 denne v 15.</w:t>
      </w:r>
      <w:r w:rsidR="001B592E" w:rsidRPr="008F7ACD">
        <w:rPr>
          <w:rFonts w:eastAsia="TimesNewRoman"/>
          <w:szCs w:val="22"/>
          <w:lang w:eastAsia="en-US"/>
        </w:rPr>
        <w:t> </w:t>
      </w:r>
      <w:r w:rsidR="00BE6953" w:rsidRPr="008F7ACD">
        <w:rPr>
          <w:rFonts w:eastAsia="TimesNewRoman"/>
          <w:szCs w:val="22"/>
          <w:lang w:eastAsia="en-US"/>
        </w:rPr>
        <w:t>–</w:t>
      </w:r>
      <w:r w:rsidR="001B592E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28.</w:t>
      </w:r>
      <w:r w:rsidR="001B592E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deň, a potom sa môže ďalej zvýšiť na 200</w:t>
      </w:r>
      <w:r w:rsidR="001B592E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 denne od</w:t>
      </w:r>
      <w:r w:rsidR="00B8681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2.</w:t>
      </w:r>
      <w:r w:rsidR="00B8681B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cyklu (pozri tabuľku 4).</w:t>
      </w:r>
    </w:p>
    <w:p w:rsidR="006321A9" w:rsidRPr="008F7ACD" w:rsidRDefault="006321A9" w:rsidP="001B592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Podávajú sa štyri terapeutické cykly tejto kombinácie. Odporúča sa, aby pacienti s aspoň čiastočnou</w:t>
      </w:r>
      <w:r w:rsidR="001B592E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odpoveďou dostali ďalšie 2 cykly.</w:t>
      </w:r>
    </w:p>
    <w:p w:rsidR="006321A9" w:rsidRPr="008F7ACD" w:rsidRDefault="006321A9" w:rsidP="006321A9">
      <w:pPr>
        <w:ind w:left="0" w:firstLine="0"/>
        <w:rPr>
          <w:rFonts w:eastAsia="TimesNewRoman"/>
          <w:szCs w:val="22"/>
          <w:lang w:eastAsia="en-US"/>
        </w:rPr>
      </w:pPr>
    </w:p>
    <w:p w:rsidR="00743473" w:rsidRPr="008F7ACD" w:rsidRDefault="005E735F" w:rsidP="005E735F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8F7ACD">
        <w:rPr>
          <w:rFonts w:eastAsia="TimesNewRoman,Italic"/>
          <w:i/>
          <w:iCs/>
          <w:szCs w:val="22"/>
          <w:lang w:eastAsia="en-US"/>
        </w:rPr>
        <w:t>Tabuľka 4: Dávkovanie pre kombinovanú liečbu s bortezomibom u pacientov s doteraz neliečeným mnohopočetným myelómom, ktorí sú vhodní na transplantáciu hematopoetických kmeňových buniek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"/>
        <w:gridCol w:w="2295"/>
        <w:gridCol w:w="1374"/>
        <w:gridCol w:w="1376"/>
        <w:gridCol w:w="1835"/>
        <w:gridCol w:w="1376"/>
      </w:tblGrid>
      <w:tr w:rsidR="00743473" w:rsidRPr="008F7ACD" w:rsidTr="00466ED4">
        <w:trPr>
          <w:tblCellSpacing w:w="0" w:type="dxa"/>
        </w:trPr>
        <w:tc>
          <w:tcPr>
            <w:tcW w:w="5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B</w:t>
            </w:r>
            <w:r w:rsidR="00466ED4" w:rsidRPr="008F7ACD">
              <w:rPr>
                <w:b/>
                <w:bCs/>
                <w:color w:val="000000"/>
                <w:szCs w:val="22"/>
              </w:rPr>
              <w:t>+</w:t>
            </w:r>
            <w:r w:rsidRPr="008F7ACD">
              <w:rPr>
                <w:b/>
                <w:bCs/>
                <w:color w:val="000000"/>
                <w:szCs w:val="22"/>
              </w:rPr>
              <w:t>Dx</w:t>
            </w:r>
          </w:p>
        </w:tc>
        <w:tc>
          <w:tcPr>
            <w:tcW w:w="447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466ED4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Cy</w:t>
            </w:r>
            <w:r w:rsidR="00466ED4" w:rsidRPr="008F7ACD">
              <w:rPr>
                <w:b/>
                <w:bCs/>
                <w:color w:val="000000"/>
                <w:szCs w:val="22"/>
              </w:rPr>
              <w:t>kly</w:t>
            </w:r>
            <w:r w:rsidRPr="008F7ACD">
              <w:rPr>
                <w:b/>
                <w:bCs/>
                <w:color w:val="000000"/>
                <w:szCs w:val="22"/>
              </w:rPr>
              <w:t xml:space="preserve"> 1</w:t>
            </w:r>
            <w:r w:rsidR="00466ED4" w:rsidRPr="008F7ACD">
              <w:rPr>
                <w:b/>
                <w:bCs/>
                <w:color w:val="000000"/>
                <w:szCs w:val="22"/>
              </w:rPr>
              <w:t>až</w:t>
            </w:r>
            <w:r w:rsidRPr="008F7ACD">
              <w:rPr>
                <w:b/>
                <w:bCs/>
                <w:color w:val="000000"/>
                <w:szCs w:val="22"/>
              </w:rPr>
              <w:t xml:space="preserve"> 4</w:t>
            </w:r>
          </w:p>
        </w:tc>
      </w:tr>
      <w:tr w:rsidR="00743473" w:rsidRPr="008F7ACD" w:rsidTr="00DC48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466ED4" w:rsidP="00466ED4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Týždeň</w:t>
            </w:r>
          </w:p>
        </w:tc>
        <w:tc>
          <w:tcPr>
            <w:tcW w:w="14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3</w:t>
            </w:r>
          </w:p>
        </w:tc>
      </w:tr>
      <w:tr w:rsidR="00466ED4" w:rsidRPr="008F7ACD" w:rsidTr="00DC48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ED4" w:rsidRPr="008F7ACD" w:rsidRDefault="00466ED4" w:rsidP="0020718A">
            <w:pPr>
              <w:rPr>
                <w:color w:val="000000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ED4" w:rsidRPr="008F7ACD" w:rsidRDefault="00466ED4" w:rsidP="00466ED4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B (1,3 mg/m</w:t>
            </w:r>
            <w:r w:rsidRPr="008F7ACD">
              <w:rPr>
                <w:color w:val="000000"/>
                <w:szCs w:val="22"/>
                <w:vertAlign w:val="superscript"/>
              </w:rPr>
              <w:t>2</w:t>
            </w:r>
            <w:r w:rsidRPr="008F7ACD">
              <w:rPr>
                <w:color w:val="000000"/>
                <w:szCs w:val="22"/>
              </w:rPr>
              <w:t xml:space="preserve">) </w:t>
            </w:r>
          </w:p>
        </w:tc>
        <w:tc>
          <w:tcPr>
            <w:tcW w:w="14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ED4" w:rsidRPr="008F7ACD" w:rsidRDefault="00466ED4" w:rsidP="00466ED4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1., 4. deň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ED4" w:rsidRPr="008F7ACD" w:rsidRDefault="00466ED4" w:rsidP="00466ED4">
            <w:pPr>
              <w:rPr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8., 11. deň 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ED4" w:rsidRPr="008F7ACD" w:rsidRDefault="00466ED4">
            <w:pPr>
              <w:rPr>
                <w:szCs w:val="22"/>
              </w:rPr>
            </w:pPr>
            <w:r w:rsidRPr="008F7ACD">
              <w:rPr>
                <w:szCs w:val="22"/>
              </w:rPr>
              <w:t>pauza</w:t>
            </w:r>
          </w:p>
        </w:tc>
      </w:tr>
      <w:tr w:rsidR="00743473" w:rsidRPr="008F7ACD" w:rsidTr="00DC48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466ED4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Dx 40</w:t>
            </w:r>
            <w:r w:rsidR="00466ED4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 xml:space="preserve">mg </w:t>
            </w:r>
          </w:p>
        </w:tc>
        <w:tc>
          <w:tcPr>
            <w:tcW w:w="14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466ED4" w:rsidP="00466ED4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1., 2., 3., 4. deň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466ED4" w:rsidP="00466ED4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8., 9., 10., 11. deň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-</w:t>
            </w:r>
          </w:p>
        </w:tc>
      </w:tr>
      <w:tr w:rsidR="00743473" w:rsidRPr="008F7ACD" w:rsidTr="00466ED4">
        <w:trPr>
          <w:tblCellSpacing w:w="0" w:type="dxa"/>
        </w:trPr>
        <w:tc>
          <w:tcPr>
            <w:tcW w:w="5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B+Dx+T</w:t>
            </w:r>
          </w:p>
        </w:tc>
        <w:tc>
          <w:tcPr>
            <w:tcW w:w="447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466ED4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Cy</w:t>
            </w:r>
            <w:r w:rsidR="00466ED4" w:rsidRPr="008F7ACD">
              <w:rPr>
                <w:b/>
                <w:bCs/>
                <w:color w:val="000000"/>
                <w:szCs w:val="22"/>
              </w:rPr>
              <w:t>klus</w:t>
            </w:r>
            <w:r w:rsidRPr="008F7ACD">
              <w:rPr>
                <w:b/>
                <w:bCs/>
                <w:color w:val="000000"/>
                <w:szCs w:val="22"/>
              </w:rPr>
              <w:t xml:space="preserve"> 1</w:t>
            </w:r>
          </w:p>
        </w:tc>
      </w:tr>
      <w:tr w:rsidR="00743473" w:rsidRPr="008F7ACD" w:rsidTr="00DC48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466ED4" w:rsidP="00466ED4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Týždeň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4</w:t>
            </w:r>
          </w:p>
        </w:tc>
      </w:tr>
      <w:tr w:rsidR="00743473" w:rsidRPr="008F7ACD" w:rsidTr="00DC48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466ED4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B</w:t>
            </w:r>
            <w:r w:rsidR="00466ED4" w:rsidRPr="008F7ACD">
              <w:rPr>
                <w:color w:val="000000"/>
                <w:szCs w:val="22"/>
              </w:rPr>
              <w:t xml:space="preserve"> </w:t>
            </w:r>
            <w:r w:rsidRPr="008F7ACD">
              <w:rPr>
                <w:color w:val="000000"/>
                <w:szCs w:val="22"/>
              </w:rPr>
              <w:t>(1</w:t>
            </w:r>
            <w:r w:rsidR="00466ED4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3</w:t>
            </w:r>
            <w:r w:rsidR="00466ED4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mg/m</w:t>
            </w:r>
            <w:r w:rsidRPr="008F7ACD">
              <w:rPr>
                <w:color w:val="000000"/>
                <w:szCs w:val="22"/>
                <w:vertAlign w:val="superscript"/>
              </w:rPr>
              <w:t>2</w:t>
            </w:r>
            <w:r w:rsidRPr="008F7ACD">
              <w:rPr>
                <w:color w:val="000000"/>
                <w:szCs w:val="22"/>
              </w:rPr>
              <w:t xml:space="preserve">) 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466ED4" w:rsidP="00466ED4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1., 4. deň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466ED4" w:rsidP="00466ED4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8., 11. deň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466ED4" w:rsidP="00466ED4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pauza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466ED4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pauza</w:t>
            </w:r>
            <w:r w:rsidR="00743473" w:rsidRPr="008F7ACD">
              <w:rPr>
                <w:color w:val="000000"/>
                <w:szCs w:val="22"/>
              </w:rPr>
              <w:t xml:space="preserve"> </w:t>
            </w:r>
          </w:p>
        </w:tc>
      </w:tr>
      <w:tr w:rsidR="00743473" w:rsidRPr="008F7ACD" w:rsidTr="00DC48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466ED4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T 50</w:t>
            </w:r>
            <w:r w:rsidR="00466ED4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 xml:space="preserve">mg 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466ED4" w:rsidP="00466ED4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denne</w:t>
            </w:r>
            <w:r w:rsidR="0074347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466ED4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denne</w:t>
            </w:r>
            <w:r w:rsidR="0074347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- 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- </w:t>
            </w:r>
          </w:p>
        </w:tc>
      </w:tr>
      <w:tr w:rsidR="00743473" w:rsidRPr="008F7ACD" w:rsidTr="00DC48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466ED4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T 100</w:t>
            </w:r>
            <w:r w:rsidR="00466ED4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mg</w:t>
            </w:r>
            <w:r w:rsidRPr="008F7ACD">
              <w:rPr>
                <w:color w:val="000000"/>
                <w:szCs w:val="22"/>
                <w:vertAlign w:val="superscript"/>
              </w:rPr>
              <w:t>a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- 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- 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466ED4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denne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466ED4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denne</w:t>
            </w:r>
          </w:p>
        </w:tc>
      </w:tr>
      <w:tr w:rsidR="00743473" w:rsidRPr="008F7ACD" w:rsidTr="00DC48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466ED4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Dx 40</w:t>
            </w:r>
            <w:r w:rsidR="00466ED4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 xml:space="preserve">mg 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466ED4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1., 2., 3., 4. deň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466ED4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8., 9., 10., 11. deň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- 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- </w:t>
            </w:r>
          </w:p>
        </w:tc>
      </w:tr>
      <w:tr w:rsidR="00743473" w:rsidRPr="008F7ACD" w:rsidTr="00466ED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</w:p>
        </w:tc>
        <w:tc>
          <w:tcPr>
            <w:tcW w:w="447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466ED4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Cykly 2 až 4</w:t>
            </w:r>
            <w:r w:rsidRPr="008F7ACD">
              <w:rPr>
                <w:rFonts w:eastAsia="TimesNewRoman,Bold"/>
                <w:b/>
                <w:bCs/>
                <w:szCs w:val="22"/>
                <w:vertAlign w:val="superscript"/>
                <w:lang w:eastAsia="en-US"/>
              </w:rPr>
              <w:t>b</w:t>
            </w:r>
          </w:p>
        </w:tc>
      </w:tr>
      <w:tr w:rsidR="00743473" w:rsidRPr="008F7ACD" w:rsidTr="00DC48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466ED4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B</w:t>
            </w:r>
            <w:r w:rsidR="00466ED4" w:rsidRPr="008F7ACD">
              <w:rPr>
                <w:color w:val="000000"/>
                <w:szCs w:val="22"/>
              </w:rPr>
              <w:t xml:space="preserve"> </w:t>
            </w:r>
            <w:r w:rsidRPr="008F7ACD">
              <w:rPr>
                <w:color w:val="000000"/>
                <w:szCs w:val="22"/>
              </w:rPr>
              <w:t>(1</w:t>
            </w:r>
            <w:r w:rsidR="00466ED4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3</w:t>
            </w:r>
            <w:r w:rsidR="00466ED4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mg/m</w:t>
            </w:r>
            <w:r w:rsidRPr="008F7ACD">
              <w:rPr>
                <w:color w:val="000000"/>
                <w:szCs w:val="22"/>
                <w:vertAlign w:val="superscript"/>
              </w:rPr>
              <w:t>2</w:t>
            </w:r>
            <w:r w:rsidRPr="008F7ACD">
              <w:rPr>
                <w:color w:val="000000"/>
                <w:szCs w:val="22"/>
              </w:rPr>
              <w:t xml:space="preserve">) 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D1215" w:rsidP="007D1215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1., 4. deň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D1215" w:rsidP="007D1215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8., 11. deň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D1215" w:rsidP="007D121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pauza</w:t>
            </w:r>
            <w:r w:rsidR="0074347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D1215" w:rsidP="007D121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pauza</w:t>
            </w:r>
            <w:r w:rsidR="00743473" w:rsidRPr="008F7ACD">
              <w:rPr>
                <w:color w:val="000000"/>
                <w:szCs w:val="22"/>
              </w:rPr>
              <w:t xml:space="preserve"> </w:t>
            </w:r>
          </w:p>
        </w:tc>
      </w:tr>
      <w:tr w:rsidR="00743473" w:rsidRPr="008F7ACD" w:rsidTr="00DC48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466ED4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T 200</w:t>
            </w:r>
            <w:r w:rsidR="00466ED4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mg</w:t>
            </w:r>
            <w:r w:rsidRPr="008F7ACD">
              <w:rPr>
                <w:color w:val="000000"/>
                <w:szCs w:val="22"/>
                <w:vertAlign w:val="superscript"/>
              </w:rPr>
              <w:t>a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D1215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denne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D1215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denne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D1215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denne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D1215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denne</w:t>
            </w:r>
          </w:p>
        </w:tc>
      </w:tr>
      <w:tr w:rsidR="00743473" w:rsidRPr="008F7ACD" w:rsidTr="00DC48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466ED4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Dx 40</w:t>
            </w:r>
            <w:r w:rsidR="00466ED4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 xml:space="preserve">mg 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D1215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1., 2., 3., 4. deň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D1215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8., 9., 10., 11. deň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- 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- </w:t>
            </w:r>
          </w:p>
        </w:tc>
      </w:tr>
    </w:tbl>
    <w:p w:rsidR="00DC4868" w:rsidRPr="008F7ACD" w:rsidRDefault="00DC4868" w:rsidP="00DC486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B = bortezomib; Dx = dexametazón; T = talidomid</w:t>
      </w:r>
    </w:p>
    <w:p w:rsidR="00DC4868" w:rsidRPr="008F7ACD" w:rsidRDefault="00DC4868" w:rsidP="00DC486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a</w:t>
      </w:r>
      <w:r w:rsidRPr="008F7ACD">
        <w:rPr>
          <w:rFonts w:eastAsia="TimesNewRoman"/>
          <w:szCs w:val="22"/>
          <w:lang w:eastAsia="en-US"/>
        </w:rPr>
        <w:t xml:space="preserve"> Dávka talidomidu sa zvyšuje na 100 mg od 3. týždňa 1. cyklu, iba ak pacient toleruje dávku 50 mg a na 200 mg od 2. cyklu, ak toleruje 100 mg.</w:t>
      </w:r>
    </w:p>
    <w:p w:rsidR="00DC4868" w:rsidRPr="008F7ACD" w:rsidRDefault="00DC4868" w:rsidP="00DC4868">
      <w:pPr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 xml:space="preserve"> Pacientom, ktorí po 4. cykloch dosiahnu aspoň čiastočnú odpoveď, možno podať až 6 cyklov</w:t>
      </w:r>
    </w:p>
    <w:p w:rsidR="00DC4868" w:rsidRPr="008F7ACD" w:rsidRDefault="00DC4868" w:rsidP="00DC4868">
      <w:pPr>
        <w:rPr>
          <w:rFonts w:eastAsia="TimesNewRoman"/>
          <w:szCs w:val="22"/>
          <w:lang w:eastAsia="en-US"/>
        </w:rPr>
      </w:pP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Úpravy dávky u pacientov vhodných na transplantáciu</w:t>
      </w:r>
    </w:p>
    <w:p w:rsidR="008541DD" w:rsidRPr="008F7ACD" w:rsidRDefault="006321A9" w:rsidP="008541DD">
      <w:pPr>
        <w:autoSpaceDE w:val="0"/>
        <w:autoSpaceDN w:val="0"/>
        <w:adjustRightInd w:val="0"/>
        <w:ind w:left="0" w:firstLine="0"/>
        <w:rPr>
          <w:szCs w:val="22"/>
        </w:rPr>
      </w:pPr>
      <w:r w:rsidRPr="008F7ACD">
        <w:rPr>
          <w:rFonts w:eastAsia="TimesNewRoman"/>
          <w:szCs w:val="22"/>
          <w:lang w:eastAsia="en-US"/>
        </w:rPr>
        <w:t xml:space="preserve">Pre úpravy dávky </w:t>
      </w:r>
      <w:r w:rsidR="00680259" w:rsidRPr="008F7ACD">
        <w:rPr>
          <w:rFonts w:eastAsia="TimesNewRoman"/>
          <w:szCs w:val="22"/>
          <w:lang w:eastAsia="en-US"/>
        </w:rPr>
        <w:t>bortezomibu</w:t>
      </w:r>
      <w:r w:rsidRPr="008F7ACD">
        <w:rPr>
          <w:rFonts w:eastAsia="TimesNewRoman"/>
          <w:szCs w:val="22"/>
          <w:lang w:eastAsia="en-US"/>
        </w:rPr>
        <w:t xml:space="preserve"> </w:t>
      </w:r>
      <w:r w:rsidR="008541DD" w:rsidRPr="008F7ACD">
        <w:rPr>
          <w:szCs w:val="22"/>
        </w:rPr>
        <w:t xml:space="preserve">sa treba riadiť </w:t>
      </w:r>
      <w:r w:rsidR="00666AFB" w:rsidRPr="008F7ACD">
        <w:rPr>
          <w:szCs w:val="22"/>
        </w:rPr>
        <w:t>zásadami</w:t>
      </w:r>
      <w:r w:rsidR="008541DD" w:rsidRPr="008F7ACD">
        <w:rPr>
          <w:szCs w:val="22"/>
        </w:rPr>
        <w:t xml:space="preserve"> pre úpravu dávky pri monoterapii.</w:t>
      </w:r>
    </w:p>
    <w:p w:rsidR="008541DD" w:rsidRPr="008F7ACD" w:rsidRDefault="008541DD" w:rsidP="008541DD">
      <w:pPr>
        <w:autoSpaceDE w:val="0"/>
        <w:autoSpaceDN w:val="0"/>
        <w:adjustRightInd w:val="0"/>
        <w:ind w:left="0" w:firstLine="0"/>
        <w:rPr>
          <w:szCs w:val="22"/>
        </w:rPr>
      </w:pPr>
      <w:r w:rsidRPr="008F7ACD">
        <w:rPr>
          <w:szCs w:val="22"/>
        </w:rPr>
        <w:t>Okrem toho, ak sa bortezomib podáva v kombinácii s inými chemoterapeutickými liekmi, treba</w:t>
      </w:r>
    </w:p>
    <w:p w:rsidR="008541DD" w:rsidRPr="008F7ACD" w:rsidRDefault="008541DD" w:rsidP="008541DD">
      <w:pPr>
        <w:autoSpaceDE w:val="0"/>
        <w:autoSpaceDN w:val="0"/>
        <w:adjustRightInd w:val="0"/>
        <w:ind w:left="0" w:firstLine="0"/>
        <w:rPr>
          <w:szCs w:val="22"/>
        </w:rPr>
      </w:pPr>
      <w:r w:rsidRPr="008F7ACD">
        <w:rPr>
          <w:szCs w:val="22"/>
        </w:rPr>
        <w:lastRenderedPageBreak/>
        <w:t>v prípade toxicity zvážiť vhodné zníženie dávky týchto liekov podľa odporúčaní v súhrne</w:t>
      </w:r>
    </w:p>
    <w:p w:rsidR="006321A9" w:rsidRPr="008F7ACD" w:rsidRDefault="008541DD" w:rsidP="008541DD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szCs w:val="22"/>
        </w:rPr>
        <w:t>charakteristických vlastností lieku</w:t>
      </w:r>
    </w:p>
    <w:p w:rsidR="00680259" w:rsidRPr="008F7ACD" w:rsidRDefault="0068025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Dávkovanie u pacientov s doteraz neliečeným lymfómom z plášťových buniek (MCL)</w:t>
      </w: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Kombinovaná liečba s rituximabom, cyklofosfamidom</w:t>
      </w:r>
      <w:r w:rsidR="004C1BAC" w:rsidRPr="008F7ACD">
        <w:rPr>
          <w:rFonts w:eastAsia="TimesNewRoman,Italic"/>
          <w:i/>
          <w:iCs/>
          <w:szCs w:val="22"/>
          <w:lang w:eastAsia="en-US"/>
        </w:rPr>
        <w:t>, doxorubicínom a prednizónom (B</w:t>
      </w:r>
      <w:r w:rsidRPr="008F7ACD">
        <w:rPr>
          <w:rFonts w:eastAsia="TimesNewRoman,Italic"/>
          <w:i/>
          <w:iCs/>
          <w:szCs w:val="22"/>
          <w:lang w:eastAsia="en-US"/>
        </w:rPr>
        <w:t>R-CAP)</w:t>
      </w:r>
    </w:p>
    <w:p w:rsidR="006321A9" w:rsidRPr="008F7ACD" w:rsidRDefault="008541DD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Bortezomib STADA 2,5 mg injekčný roztok sa podáva subkutánnou injekciou alebo po </w:t>
      </w:r>
      <w:r w:rsidR="00AF1E6E">
        <w:rPr>
          <w:rFonts w:eastAsia="TimesNewRoman"/>
          <w:szCs w:val="22"/>
          <w:lang w:eastAsia="en-US"/>
        </w:rPr>
        <w:t xml:space="preserve">zriedení </w:t>
      </w:r>
      <w:r w:rsidRPr="008F7ACD">
        <w:rPr>
          <w:rFonts w:eastAsia="TimesNewRoman"/>
          <w:szCs w:val="22"/>
          <w:lang w:eastAsia="en-US"/>
        </w:rPr>
        <w:t xml:space="preserve">aj intravenóznou injekciou </w:t>
      </w:r>
      <w:r w:rsidR="006321A9" w:rsidRPr="008F7ACD">
        <w:rPr>
          <w:rFonts w:eastAsia="TimesNewRoman"/>
          <w:szCs w:val="22"/>
          <w:lang w:eastAsia="en-US"/>
        </w:rPr>
        <w:t>v odporúčanej dávke</w:t>
      </w:r>
      <w:r w:rsidR="004C1BAC" w:rsidRPr="008F7ACD">
        <w:rPr>
          <w:rFonts w:eastAsia="TimesNewRoman"/>
          <w:szCs w:val="22"/>
          <w:lang w:eastAsia="en-US"/>
        </w:rPr>
        <w:t xml:space="preserve"> </w:t>
      </w:r>
      <w:r w:rsidR="006321A9" w:rsidRPr="008F7ACD">
        <w:rPr>
          <w:rFonts w:eastAsia="TimesNewRoman"/>
          <w:szCs w:val="22"/>
          <w:lang w:eastAsia="en-US"/>
        </w:rPr>
        <w:t>1,3</w:t>
      </w:r>
      <w:r w:rsidR="004C1BAC" w:rsidRPr="008F7ACD">
        <w:rPr>
          <w:rFonts w:eastAsia="TimesNewRoman"/>
          <w:szCs w:val="22"/>
          <w:lang w:eastAsia="en-US"/>
        </w:rPr>
        <w:t> </w:t>
      </w:r>
      <w:r w:rsidR="006321A9" w:rsidRPr="008F7ACD">
        <w:rPr>
          <w:rFonts w:eastAsia="TimesNewRoman"/>
          <w:szCs w:val="22"/>
          <w:lang w:eastAsia="en-US"/>
        </w:rPr>
        <w:t>mg/m</w:t>
      </w:r>
      <w:r w:rsidR="006321A9" w:rsidRPr="008F7ACD">
        <w:rPr>
          <w:rFonts w:eastAsia="TimesNewRoman"/>
          <w:szCs w:val="22"/>
          <w:vertAlign w:val="superscript"/>
          <w:lang w:eastAsia="en-US"/>
        </w:rPr>
        <w:t>2</w:t>
      </w:r>
      <w:r w:rsidR="006321A9" w:rsidRPr="008F7ACD">
        <w:rPr>
          <w:rFonts w:eastAsia="TimesNewRoman"/>
          <w:szCs w:val="22"/>
          <w:lang w:eastAsia="en-US"/>
        </w:rPr>
        <w:t xml:space="preserve"> povrchu tela dvakrát týždenne počas dvoch týždňov v 1., 4., 8. a 11.</w:t>
      </w:r>
      <w:r w:rsidR="004C1BAC" w:rsidRPr="008F7ACD">
        <w:rPr>
          <w:rFonts w:eastAsia="TimesNewRoman"/>
          <w:szCs w:val="22"/>
          <w:lang w:eastAsia="en-US"/>
        </w:rPr>
        <w:t> </w:t>
      </w:r>
      <w:r w:rsidR="006321A9" w:rsidRPr="008F7ACD">
        <w:rPr>
          <w:rFonts w:eastAsia="TimesNewRoman"/>
          <w:szCs w:val="22"/>
          <w:lang w:eastAsia="en-US"/>
        </w:rPr>
        <w:t>deň, po čom nasleduje</w:t>
      </w:r>
      <w:r w:rsidR="004C1BAC" w:rsidRPr="008F7ACD">
        <w:rPr>
          <w:rFonts w:eastAsia="TimesNewRoman"/>
          <w:szCs w:val="22"/>
          <w:lang w:eastAsia="en-US"/>
        </w:rPr>
        <w:t xml:space="preserve"> </w:t>
      </w:r>
      <w:r w:rsidR="006321A9" w:rsidRPr="008F7ACD">
        <w:rPr>
          <w:rFonts w:eastAsia="TimesNewRoman"/>
          <w:szCs w:val="22"/>
          <w:lang w:eastAsia="en-US"/>
        </w:rPr>
        <w:t>10-dňová prestávka v dňoch 12</w:t>
      </w:r>
      <w:r w:rsidR="00E32BE5" w:rsidRPr="008F7ACD">
        <w:rPr>
          <w:rFonts w:eastAsia="TimesNewRoman"/>
          <w:szCs w:val="22"/>
          <w:lang w:eastAsia="en-US"/>
        </w:rPr>
        <w:t xml:space="preserve"> </w:t>
      </w:r>
      <w:r w:rsidR="00B8681B" w:rsidRPr="008F7ACD">
        <w:rPr>
          <w:rFonts w:eastAsia="TimesNewRoman"/>
          <w:szCs w:val="22"/>
          <w:lang w:eastAsia="en-US"/>
        </w:rPr>
        <w:t>–</w:t>
      </w:r>
      <w:r w:rsidR="00E32BE5" w:rsidRPr="008F7ACD">
        <w:rPr>
          <w:rFonts w:eastAsia="TimesNewRoman"/>
          <w:szCs w:val="22"/>
          <w:lang w:eastAsia="en-US"/>
        </w:rPr>
        <w:t xml:space="preserve"> </w:t>
      </w:r>
      <w:r w:rsidR="006321A9" w:rsidRPr="008F7ACD">
        <w:rPr>
          <w:rFonts w:eastAsia="TimesNewRoman"/>
          <w:szCs w:val="22"/>
          <w:lang w:eastAsia="en-US"/>
        </w:rPr>
        <w:t>21. Toto 3-týždňové obdobie sa považuje za jeden terapeutický</w:t>
      </w:r>
      <w:r w:rsidR="004C1BAC" w:rsidRPr="008F7ACD">
        <w:rPr>
          <w:rFonts w:eastAsia="TimesNewRoman"/>
          <w:szCs w:val="22"/>
          <w:lang w:eastAsia="en-US"/>
        </w:rPr>
        <w:t xml:space="preserve"> </w:t>
      </w:r>
      <w:r w:rsidR="006321A9" w:rsidRPr="008F7ACD">
        <w:rPr>
          <w:rFonts w:eastAsia="TimesNewRoman"/>
          <w:szCs w:val="22"/>
          <w:lang w:eastAsia="en-US"/>
        </w:rPr>
        <w:t xml:space="preserve">cyklus. Odporúča sa šesť cyklov s </w:t>
      </w:r>
      <w:r w:rsidR="004C1BAC" w:rsidRPr="008F7ACD">
        <w:rPr>
          <w:rFonts w:eastAsia="TimesNewRoman"/>
          <w:szCs w:val="22"/>
          <w:lang w:eastAsia="en-US"/>
        </w:rPr>
        <w:t>bortezomibom</w:t>
      </w:r>
      <w:r w:rsidR="006321A9" w:rsidRPr="008F7ACD">
        <w:rPr>
          <w:rFonts w:eastAsia="TimesNewRoman"/>
          <w:szCs w:val="22"/>
          <w:lang w:eastAsia="en-US"/>
        </w:rPr>
        <w:t xml:space="preserve">, pacientom s odpoveďou zaznamenanou prvýkrát v 6.cykle sa však môžu podať ďalšie dva cykly </w:t>
      </w:r>
      <w:r w:rsidR="004C1BAC" w:rsidRPr="008F7ACD">
        <w:rPr>
          <w:rFonts w:eastAsia="TimesNewRoman"/>
          <w:szCs w:val="22"/>
          <w:lang w:eastAsia="en-US"/>
        </w:rPr>
        <w:t>bortezomibu</w:t>
      </w:r>
      <w:r w:rsidR="006321A9" w:rsidRPr="008F7ACD">
        <w:rPr>
          <w:rFonts w:eastAsia="TimesNewRoman"/>
          <w:szCs w:val="22"/>
          <w:lang w:eastAsia="en-US"/>
        </w:rPr>
        <w:t xml:space="preserve">. Medzi nasledujúcimi dávkami </w:t>
      </w:r>
      <w:r w:rsidR="004C1BAC" w:rsidRPr="008F7ACD">
        <w:rPr>
          <w:rFonts w:eastAsia="TimesNewRoman"/>
          <w:szCs w:val="22"/>
          <w:lang w:eastAsia="en-US"/>
        </w:rPr>
        <w:t>bortezomibu</w:t>
      </w:r>
      <w:r w:rsidR="006321A9" w:rsidRPr="008F7ACD">
        <w:rPr>
          <w:rFonts w:eastAsia="TimesNewRoman"/>
          <w:szCs w:val="22"/>
          <w:lang w:eastAsia="en-US"/>
        </w:rPr>
        <w:t xml:space="preserve"> má</w:t>
      </w:r>
      <w:r w:rsidR="001876D3" w:rsidRPr="008F7ACD">
        <w:rPr>
          <w:rFonts w:eastAsia="TimesNewRoman"/>
          <w:szCs w:val="22"/>
          <w:lang w:eastAsia="en-US"/>
        </w:rPr>
        <w:t xml:space="preserve"> </w:t>
      </w:r>
      <w:r w:rsidR="006321A9" w:rsidRPr="008F7ACD">
        <w:rPr>
          <w:rFonts w:eastAsia="TimesNewRoman"/>
          <w:szCs w:val="22"/>
          <w:lang w:eastAsia="en-US"/>
        </w:rPr>
        <w:t>uplynúť aspoň 72 hodín.</w:t>
      </w:r>
    </w:p>
    <w:p w:rsidR="008541DD" w:rsidRPr="008F7ACD" w:rsidRDefault="008541DD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Nasledujúce lieky sa podávajú intravenóznymi infúziami v 1.</w:t>
      </w:r>
      <w:r w:rsidR="001876D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deň každého 3-týždňového</w:t>
      </w:r>
      <w:r w:rsidR="001876D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terapeutického cyklu s </w:t>
      </w:r>
      <w:r w:rsidR="001876D3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>: rituximab 375</w:t>
      </w:r>
      <w:r w:rsidR="00CD714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>, cyklofosfamid 750</w:t>
      </w:r>
      <w:r w:rsidR="00CD714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a doxorubicín</w:t>
      </w:r>
      <w:r w:rsidR="00CD714B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50</w:t>
      </w:r>
      <w:r w:rsidR="00CD714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>.</w:t>
      </w:r>
    </w:p>
    <w:p w:rsidR="006321A9" w:rsidRPr="008F7ACD" w:rsidRDefault="006321A9" w:rsidP="00CD714B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Prednizón sa podáva perorálne v dávke 100</w:t>
      </w:r>
      <w:r w:rsidR="00CD714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v 1., 2., 3., 4. a 5.</w:t>
      </w:r>
      <w:r w:rsidR="00CD714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deň každého terapeutického</w:t>
      </w:r>
      <w:r w:rsidR="00CD714B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cyklu s </w:t>
      </w:r>
      <w:r w:rsidR="00CD714B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>.</w:t>
      </w:r>
    </w:p>
    <w:p w:rsidR="006321A9" w:rsidRPr="008F7ACD" w:rsidRDefault="006321A9" w:rsidP="006321A9">
      <w:pPr>
        <w:ind w:left="0" w:firstLine="0"/>
        <w:rPr>
          <w:rFonts w:eastAsia="TimesNewRoman"/>
          <w:szCs w:val="22"/>
          <w:lang w:eastAsia="en-US"/>
        </w:rPr>
      </w:pP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Úpravy dávky počas liečby pacientov s doteraz neliečeným lymfómom z plášťových buniek</w:t>
      </w:r>
    </w:p>
    <w:p w:rsidR="00CD714B" w:rsidRPr="008F7ACD" w:rsidRDefault="00CD714B" w:rsidP="00CD714B">
      <w:pPr>
        <w:rPr>
          <w:color w:val="000000"/>
          <w:szCs w:val="22"/>
          <w:lang w:eastAsia="de-AT"/>
        </w:rPr>
      </w:pPr>
      <w:r w:rsidRPr="008F7ACD">
        <w:rPr>
          <w:rFonts w:eastAsia="TimesNewRoman"/>
          <w:szCs w:val="22"/>
          <w:lang w:eastAsia="en-US"/>
        </w:rPr>
        <w:t>Pred začatím nového cyklu liečby</w:t>
      </w:r>
      <w:r w:rsidRPr="008F7ACD">
        <w:rPr>
          <w:color w:val="000000"/>
          <w:szCs w:val="22"/>
          <w:lang w:eastAsia="de-AT"/>
        </w:rPr>
        <w:t>:</w:t>
      </w:r>
    </w:p>
    <w:p w:rsidR="00CD714B" w:rsidRPr="008F7ACD" w:rsidRDefault="00BA3A19" w:rsidP="00CD714B">
      <w:pPr>
        <w:numPr>
          <w:ilvl w:val="0"/>
          <w:numId w:val="9"/>
        </w:numPr>
        <w:autoSpaceDE w:val="0"/>
        <w:autoSpaceDN w:val="0"/>
        <w:adjustRightInd w:val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</w:t>
      </w:r>
      <w:r w:rsidR="00CD714B" w:rsidRPr="008F7ACD">
        <w:rPr>
          <w:rFonts w:eastAsia="TimesNewRoman"/>
          <w:szCs w:val="22"/>
          <w:lang w:eastAsia="en-US"/>
        </w:rPr>
        <w:t>očet krvných doštičiek má byť ≥ 100 000 buniek/μl a absolútny počet neutrofilov má byť</w:t>
      </w:r>
      <w:r w:rsidR="0093297B" w:rsidRPr="008F7ACD">
        <w:rPr>
          <w:rFonts w:eastAsia="TimesNewRoman"/>
          <w:szCs w:val="22"/>
          <w:lang w:eastAsia="en-US"/>
        </w:rPr>
        <w:t xml:space="preserve"> </w:t>
      </w:r>
      <w:r w:rsidR="00CD714B" w:rsidRPr="008F7ACD">
        <w:rPr>
          <w:rFonts w:eastAsia="TimesNewRoman"/>
          <w:szCs w:val="22"/>
          <w:lang w:eastAsia="en-US"/>
        </w:rPr>
        <w:t>≥ 1 500 buniek/μl</w:t>
      </w:r>
    </w:p>
    <w:p w:rsidR="00CD714B" w:rsidRPr="008F7ACD" w:rsidRDefault="00BA3A19" w:rsidP="00CD714B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  <w:szCs w:val="22"/>
          <w:lang w:eastAsia="de-AT"/>
        </w:rPr>
      </w:pPr>
      <w:r w:rsidRPr="008F7ACD">
        <w:rPr>
          <w:rFonts w:eastAsia="TimesNewRoman"/>
          <w:szCs w:val="22"/>
          <w:lang w:eastAsia="en-US"/>
        </w:rPr>
        <w:t>p</w:t>
      </w:r>
      <w:r w:rsidR="00CD714B" w:rsidRPr="008F7ACD">
        <w:rPr>
          <w:rFonts w:eastAsia="TimesNewRoman"/>
          <w:szCs w:val="22"/>
          <w:lang w:eastAsia="en-US"/>
        </w:rPr>
        <w:t>očet krvných doštičiek má byť ≥ 75 000 buniek/μl u pacientov s infiltráciou kostnej drene alebo sekvestráciou</w:t>
      </w:r>
      <w:r w:rsidR="0093297B" w:rsidRPr="008F7ACD">
        <w:rPr>
          <w:rFonts w:eastAsia="TimesNewRoman"/>
          <w:szCs w:val="22"/>
          <w:lang w:eastAsia="en-US"/>
        </w:rPr>
        <w:t xml:space="preserve"> </w:t>
      </w:r>
      <w:r w:rsidR="008830E8" w:rsidRPr="008F7ACD">
        <w:rPr>
          <w:rFonts w:eastAsia="TimesNewRoman"/>
          <w:szCs w:val="22"/>
          <w:lang w:eastAsia="en-US"/>
        </w:rPr>
        <w:t xml:space="preserve">v </w:t>
      </w:r>
      <w:r w:rsidR="0093297B" w:rsidRPr="008F7ACD">
        <w:rPr>
          <w:rFonts w:eastAsia="TimesNewRoman"/>
          <w:szCs w:val="22"/>
          <w:lang w:eastAsia="en-US"/>
        </w:rPr>
        <w:t>slezin</w:t>
      </w:r>
      <w:r w:rsidR="008830E8" w:rsidRPr="008F7ACD">
        <w:rPr>
          <w:rFonts w:eastAsia="TimesNewRoman"/>
          <w:szCs w:val="22"/>
          <w:lang w:eastAsia="en-US"/>
        </w:rPr>
        <w:t>e</w:t>
      </w:r>
      <w:r w:rsidR="00CD714B" w:rsidRPr="008F7ACD">
        <w:rPr>
          <w:color w:val="000000"/>
          <w:szCs w:val="22"/>
          <w:lang w:eastAsia="de-AT"/>
        </w:rPr>
        <w:t xml:space="preserve"> </w:t>
      </w:r>
    </w:p>
    <w:p w:rsidR="00CD714B" w:rsidRPr="008F7ACD" w:rsidRDefault="00BA3A19" w:rsidP="00CD714B">
      <w:pPr>
        <w:numPr>
          <w:ilvl w:val="0"/>
          <w:numId w:val="9"/>
        </w:numPr>
        <w:rPr>
          <w:color w:val="000000"/>
          <w:szCs w:val="22"/>
          <w:lang w:eastAsia="de-AT"/>
        </w:rPr>
      </w:pPr>
      <w:r w:rsidRPr="008F7ACD">
        <w:rPr>
          <w:rFonts w:eastAsia="TimesNewRoman"/>
          <w:szCs w:val="22"/>
          <w:lang w:eastAsia="en-US"/>
        </w:rPr>
        <w:t>h</w:t>
      </w:r>
      <w:r w:rsidR="00CD714B" w:rsidRPr="008F7ACD">
        <w:rPr>
          <w:rFonts w:eastAsia="TimesNewRoman"/>
          <w:szCs w:val="22"/>
          <w:lang w:eastAsia="en-US"/>
        </w:rPr>
        <w:t>emoglobín ≥ 8 g/dl</w:t>
      </w:r>
      <w:r w:rsidR="00CD714B" w:rsidRPr="008F7ACD">
        <w:rPr>
          <w:color w:val="000000"/>
          <w:szCs w:val="22"/>
          <w:lang w:eastAsia="de-AT"/>
        </w:rPr>
        <w:t xml:space="preserve"> </w:t>
      </w:r>
    </w:p>
    <w:p w:rsidR="00CD714B" w:rsidRPr="008F7ACD" w:rsidRDefault="00BA3A19" w:rsidP="00CD714B">
      <w:pPr>
        <w:numPr>
          <w:ilvl w:val="0"/>
          <w:numId w:val="9"/>
        </w:numPr>
        <w:rPr>
          <w:color w:val="000000"/>
          <w:szCs w:val="22"/>
          <w:lang w:eastAsia="de-AT"/>
        </w:rPr>
      </w:pPr>
      <w:r w:rsidRPr="008F7ACD">
        <w:rPr>
          <w:rFonts w:eastAsia="TimesNewRoman"/>
          <w:szCs w:val="22"/>
          <w:lang w:eastAsia="en-US"/>
        </w:rPr>
        <w:t>n</w:t>
      </w:r>
      <w:r w:rsidR="00CD714B" w:rsidRPr="008F7ACD">
        <w:rPr>
          <w:rFonts w:eastAsia="TimesNewRoman"/>
          <w:szCs w:val="22"/>
          <w:lang w:eastAsia="en-US"/>
        </w:rPr>
        <w:t xml:space="preserve">ehematologické toxicity </w:t>
      </w:r>
      <w:r w:rsidR="0044540A" w:rsidRPr="008F7ACD">
        <w:rPr>
          <w:rFonts w:eastAsia="TimesNewRoman"/>
          <w:szCs w:val="22"/>
          <w:lang w:eastAsia="en-US"/>
        </w:rPr>
        <w:t xml:space="preserve">sa </w:t>
      </w:r>
      <w:r w:rsidR="00CD714B" w:rsidRPr="008F7ACD">
        <w:rPr>
          <w:rFonts w:eastAsia="TimesNewRoman"/>
          <w:szCs w:val="22"/>
          <w:lang w:eastAsia="en-US"/>
        </w:rPr>
        <w:t xml:space="preserve">majú </w:t>
      </w:r>
      <w:r w:rsidR="0044540A" w:rsidRPr="008F7ACD">
        <w:rPr>
          <w:rFonts w:eastAsia="TimesNewRoman"/>
          <w:szCs w:val="22"/>
          <w:lang w:eastAsia="en-US"/>
        </w:rPr>
        <w:t>zmierniť</w:t>
      </w:r>
      <w:r w:rsidR="00CD714B" w:rsidRPr="008F7ACD">
        <w:rPr>
          <w:rFonts w:eastAsia="TimesNewRoman"/>
          <w:szCs w:val="22"/>
          <w:lang w:eastAsia="en-US"/>
        </w:rPr>
        <w:t xml:space="preserve"> na 1. stupeň alebo počiatočnú úroveň</w:t>
      </w:r>
      <w:r w:rsidR="00B8681B" w:rsidRPr="008F7ACD">
        <w:rPr>
          <w:rFonts w:eastAsia="TimesNewRoman"/>
          <w:szCs w:val="22"/>
          <w:lang w:eastAsia="en-US"/>
        </w:rPr>
        <w:t>.</w:t>
      </w:r>
    </w:p>
    <w:p w:rsidR="008541DD" w:rsidRPr="008F7ACD" w:rsidRDefault="008541DD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Liečba</w:t>
      </w:r>
      <w:r w:rsidR="00CD714B" w:rsidRPr="008F7ACD">
        <w:rPr>
          <w:rFonts w:eastAsia="TimesNewRoman"/>
          <w:szCs w:val="22"/>
          <w:lang w:eastAsia="en-US"/>
        </w:rPr>
        <w:t xml:space="preserve"> bortezomibom</w:t>
      </w:r>
      <w:r w:rsidRPr="008F7ACD">
        <w:rPr>
          <w:rFonts w:eastAsia="TimesNewRoman"/>
          <w:szCs w:val="22"/>
          <w:lang w:eastAsia="en-US"/>
        </w:rPr>
        <w:t xml:space="preserve"> sa musí odložiť pri objavení</w:t>
      </w:r>
      <w:r w:rsidR="00CD714B" w:rsidRPr="008F7ACD">
        <w:rPr>
          <w:rFonts w:eastAsia="TimesNewRoman"/>
          <w:szCs w:val="22"/>
          <w:lang w:eastAsia="en-US"/>
        </w:rPr>
        <w:t xml:space="preserve"> sa nehematologických toxicít ≥ </w:t>
      </w:r>
      <w:r w:rsidRPr="008F7ACD">
        <w:rPr>
          <w:rFonts w:eastAsia="TimesNewRoman"/>
          <w:szCs w:val="22"/>
          <w:lang w:eastAsia="en-US"/>
        </w:rPr>
        <w:t>3.</w:t>
      </w:r>
      <w:r w:rsidR="00CD714B" w:rsidRPr="008F7ACD">
        <w:rPr>
          <w:rFonts w:eastAsia="TimesNewRoman"/>
          <w:szCs w:val="22"/>
          <w:lang w:eastAsia="en-US"/>
        </w:rPr>
        <w:t> stupňa</w:t>
      </w:r>
      <w:r w:rsidRPr="008F7ACD">
        <w:rPr>
          <w:rFonts w:eastAsia="TimesNewRoman"/>
          <w:szCs w:val="22"/>
          <w:lang w:eastAsia="en-US"/>
        </w:rPr>
        <w:t xml:space="preserve"> súvisiac</w:t>
      </w:r>
      <w:r w:rsidR="003F56C1" w:rsidRPr="008F7ACD">
        <w:rPr>
          <w:rFonts w:eastAsia="TimesNewRoman"/>
          <w:szCs w:val="22"/>
          <w:lang w:eastAsia="en-US"/>
        </w:rPr>
        <w:t>ich</w:t>
      </w:r>
      <w:r w:rsidRPr="008F7ACD">
        <w:rPr>
          <w:rFonts w:eastAsia="TimesNewRoman"/>
          <w:szCs w:val="22"/>
          <w:lang w:eastAsia="en-US"/>
        </w:rPr>
        <w:t xml:space="preserve"> s </w:t>
      </w:r>
      <w:r w:rsidR="00CD714B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(okrem neuropatie) alebo hematologických toxicít ≥</w:t>
      </w:r>
      <w:r w:rsidR="00CD714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3.</w:t>
      </w:r>
      <w:r w:rsidR="00CD714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stupňa (pozri tiež časť 4.4). Úpravy dávky si pozrite nižšie v tabuľke 5.</w:t>
      </w:r>
    </w:p>
    <w:p w:rsidR="00CD714B" w:rsidRPr="008F7ACD" w:rsidRDefault="00CD714B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6321A9" w:rsidRPr="008F7ACD" w:rsidRDefault="006321A9" w:rsidP="00C61255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Pri hematologickej toxicite možno podľa miestnej štandardnej praxe podávať faktory stimulujúce</w:t>
      </w:r>
      <w:r w:rsidR="00C61255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kolónie granulocytov. V prípade opakovaných oneskorení podania cyklu sa má zvážiť profylaktické</w:t>
      </w:r>
      <w:r w:rsidR="00C61255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použitie faktorov stimulujúcich kolónie granulocytov. Keď je to klinicky vhodné, má sa pri liečbe</w:t>
      </w:r>
      <w:r w:rsidR="00C61255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trombocytopénie zvážiť transfúzia krvných doštičiek.</w:t>
      </w:r>
    </w:p>
    <w:p w:rsidR="006321A9" w:rsidRPr="008F7ACD" w:rsidRDefault="006321A9" w:rsidP="006321A9">
      <w:pPr>
        <w:ind w:left="0" w:firstLine="0"/>
        <w:rPr>
          <w:rFonts w:eastAsia="TimesNewRoman"/>
          <w:szCs w:val="22"/>
          <w:lang w:eastAsia="en-US"/>
        </w:rPr>
      </w:pPr>
    </w:p>
    <w:p w:rsidR="00743473" w:rsidRPr="008F7ACD" w:rsidRDefault="00F03B45" w:rsidP="00F03B45">
      <w:pPr>
        <w:autoSpaceDE w:val="0"/>
        <w:autoSpaceDN w:val="0"/>
        <w:adjustRightInd w:val="0"/>
        <w:ind w:left="0" w:firstLine="0"/>
        <w:rPr>
          <w:i/>
          <w:iCs/>
          <w:color w:val="000000"/>
          <w:szCs w:val="22"/>
          <w:lang w:eastAsia="de-AT"/>
        </w:rPr>
      </w:pPr>
      <w:r w:rsidRPr="008F7ACD">
        <w:rPr>
          <w:rFonts w:eastAsia="TimesNewRoman,Italic"/>
          <w:i/>
          <w:iCs/>
          <w:szCs w:val="22"/>
          <w:lang w:eastAsia="en-US"/>
        </w:rPr>
        <w:t>Tabuľka 5: Úpravy dávky počas liečby pacientov s doteraz neliečeným lymfómom z plášťových buniek</w:t>
      </w:r>
    </w:p>
    <w:tbl>
      <w:tblPr>
        <w:tblW w:w="89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41"/>
        <w:gridCol w:w="4535"/>
      </w:tblGrid>
      <w:tr w:rsidR="00743473" w:rsidRPr="008F7ACD" w:rsidTr="0020718A">
        <w:trPr>
          <w:tblCellSpacing w:w="0" w:type="dxa"/>
        </w:trPr>
        <w:tc>
          <w:tcPr>
            <w:tcW w:w="2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F03B45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b/>
                <w:bCs/>
                <w:color w:val="000000"/>
                <w:szCs w:val="22"/>
                <w:lang w:eastAsia="de-AT"/>
              </w:rPr>
              <w:t>Toxicit</w:t>
            </w:r>
            <w:r w:rsidR="00F03B45" w:rsidRPr="008F7ACD">
              <w:rPr>
                <w:b/>
                <w:bCs/>
                <w:color w:val="000000"/>
                <w:szCs w:val="22"/>
                <w:lang w:eastAsia="de-AT"/>
              </w:rPr>
              <w:t>a</w:t>
            </w:r>
          </w:p>
        </w:tc>
        <w:tc>
          <w:tcPr>
            <w:tcW w:w="2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F03B45" w:rsidP="008E5DE7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 xml:space="preserve">Úprava dávkovania alebo </w:t>
            </w:r>
            <w:r w:rsidR="008E5DE7" w:rsidRPr="008F7ACD">
              <w:rPr>
                <w:rFonts w:eastAsia="TimesNewRoman,Bold"/>
                <w:b/>
                <w:bCs/>
                <w:szCs w:val="22"/>
                <w:lang w:eastAsia="en-US"/>
              </w:rPr>
              <w:t>o</w:t>
            </w: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dloženie</w:t>
            </w:r>
            <w:r w:rsidR="008E5DE7" w:rsidRPr="008F7ACD">
              <w:rPr>
                <w:rFonts w:eastAsia="TimesNewRoman,Bold"/>
                <w:b/>
                <w:bCs/>
                <w:szCs w:val="22"/>
                <w:lang w:eastAsia="en-US"/>
              </w:rPr>
              <w:t xml:space="preserve"> liečby</w:t>
            </w:r>
          </w:p>
        </w:tc>
      </w:tr>
      <w:tr w:rsidR="00743473" w:rsidRPr="008F7ACD" w:rsidTr="0020718A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B85A68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,Italic"/>
                <w:i/>
                <w:iCs/>
                <w:szCs w:val="22"/>
                <w:lang w:eastAsia="en-US"/>
              </w:rPr>
              <w:t>Hematologická toxicita</w:t>
            </w:r>
          </w:p>
        </w:tc>
      </w:tr>
      <w:tr w:rsidR="00743473" w:rsidRPr="008F7ACD" w:rsidTr="0020718A">
        <w:trPr>
          <w:tblCellSpacing w:w="0" w:type="dxa"/>
        </w:trPr>
        <w:tc>
          <w:tcPr>
            <w:tcW w:w="2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B85A68" w:rsidP="00E83574">
            <w:pPr>
              <w:numPr>
                <w:ilvl w:val="0"/>
                <w:numId w:val="10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Neutropénia ≥ 3. stupňa s horúčkou, neutropénia 4. stupňa trvajúca viac ako 7 dní, počet krvných doštičiek &lt; 10 000 buniek/μl</w:t>
            </w:r>
          </w:p>
        </w:tc>
        <w:tc>
          <w:tcPr>
            <w:tcW w:w="2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3AC" w:rsidRPr="008F7ACD" w:rsidRDefault="00D843AC" w:rsidP="00D843AC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Liečba bortezomibom sa má odložiť na 2 týždne, kým pacient nemá ANC ≥ 750 buniek/μl a počet krvných doštičiek ≥ 25 000 buniek/μl.</w:t>
            </w:r>
          </w:p>
          <w:p w:rsidR="00D843AC" w:rsidRPr="008F7ACD" w:rsidRDefault="00D843AC" w:rsidP="00AD762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79" w:hanging="379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Ak po odložení liečby bortezomibom toxicita neustúpi tak, ako je definované vyššie, potom sa liečba s bortezomibom musí ukončiť.</w:t>
            </w:r>
          </w:p>
          <w:p w:rsidR="00743473" w:rsidRPr="008F7ACD" w:rsidRDefault="00D843AC" w:rsidP="005E5F2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79" w:hanging="379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Ak toxicita ustúpi, t.j. pacient má ANC</w:t>
            </w:r>
            <w:r w:rsidR="00AD7624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≥</w:t>
            </w:r>
            <w:r w:rsidR="00AD7624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750 buniek/μl a počet krvných doštičiek ≥ 25 000 buniek/μl, liečbu bortezomibom možno znovu začať s dávkou zníženou o jednu úroveň (z 1,3 mg/m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2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na</w:t>
            </w:r>
            <w:r w:rsidR="00A62F81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1 mg/m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 xml:space="preserve">2 </w:t>
            </w:r>
            <w:r w:rsidRPr="008F7ACD">
              <w:rPr>
                <w:rFonts w:eastAsia="TimesNewRoman"/>
                <w:szCs w:val="22"/>
                <w:lang w:eastAsia="en-US"/>
              </w:rPr>
              <w:t>alebo z 1 mg/m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2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na 0,7 mg/m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2</w:t>
            </w:r>
            <w:r w:rsidRPr="008F7ACD">
              <w:rPr>
                <w:rFonts w:eastAsia="TimesNewRoman"/>
                <w:szCs w:val="22"/>
                <w:lang w:eastAsia="en-US"/>
              </w:rPr>
              <w:t>).</w:t>
            </w:r>
          </w:p>
        </w:tc>
      </w:tr>
      <w:tr w:rsidR="00743473" w:rsidRPr="008F7ACD" w:rsidTr="0020718A">
        <w:trPr>
          <w:tblCellSpacing w:w="0" w:type="dxa"/>
        </w:trPr>
        <w:tc>
          <w:tcPr>
            <w:tcW w:w="2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6C4DD5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 xml:space="preserve">• </w:t>
            </w:r>
            <w:r w:rsidR="006C4DD5" w:rsidRPr="008F7ACD">
              <w:rPr>
                <w:rFonts w:eastAsia="TimesNewRoman"/>
                <w:szCs w:val="22"/>
                <w:lang w:eastAsia="en-US"/>
              </w:rPr>
              <w:t xml:space="preserve">Ak je počet krvných doštičiek &lt; 25 000 buniek/μl alebo ANC &lt; 750 buniek/μl v deň, kedy má byť podaný bortezomib (iný ako 1. deň </w:t>
            </w:r>
            <w:r w:rsidR="006C4DD5" w:rsidRPr="008F7ACD">
              <w:rPr>
                <w:rFonts w:eastAsia="TimesNewRoman"/>
                <w:szCs w:val="22"/>
                <w:lang w:eastAsia="en-US"/>
              </w:rPr>
              <w:lastRenderedPageBreak/>
              <w:t>každého cyklu)</w:t>
            </w:r>
          </w:p>
        </w:tc>
        <w:tc>
          <w:tcPr>
            <w:tcW w:w="2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6C4DD5" w:rsidP="006C4DD5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lastRenderedPageBreak/>
              <w:t>Liečba bortezomibom sa má odložiť.</w:t>
            </w:r>
          </w:p>
        </w:tc>
      </w:tr>
      <w:tr w:rsidR="00743473" w:rsidRPr="008F7ACD" w:rsidTr="0020718A">
        <w:trPr>
          <w:tblCellSpacing w:w="0" w:type="dxa"/>
        </w:trPr>
        <w:tc>
          <w:tcPr>
            <w:tcW w:w="2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4DD5" w:rsidRPr="008F7ACD" w:rsidRDefault="006C4DD5" w:rsidP="006C4DD5">
            <w:pPr>
              <w:autoSpaceDE w:val="0"/>
              <w:autoSpaceDN w:val="0"/>
              <w:adjustRightInd w:val="0"/>
              <w:ind w:left="0" w:firstLine="0"/>
              <w:rPr>
                <w:rFonts w:eastAsia="TimesNewRoman,Italic"/>
                <w:iCs/>
                <w:szCs w:val="22"/>
                <w:lang w:eastAsia="en-US"/>
              </w:rPr>
            </w:pPr>
            <w:r w:rsidRPr="008F7ACD">
              <w:rPr>
                <w:rFonts w:eastAsia="TimesNewRoman,Italic"/>
                <w:iCs/>
                <w:szCs w:val="22"/>
                <w:lang w:eastAsia="en-US"/>
              </w:rPr>
              <w:lastRenderedPageBreak/>
              <w:t>Nehematologické toxicity ≥ 3. stupňa</w:t>
            </w:r>
          </w:p>
          <w:p w:rsidR="00743473" w:rsidRPr="008F7ACD" w:rsidRDefault="006C4DD5" w:rsidP="006C4DD5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,Italic"/>
                <w:iCs/>
                <w:szCs w:val="22"/>
                <w:lang w:eastAsia="en-US"/>
              </w:rPr>
              <w:t>považované za súvisiace s bortezomibom</w:t>
            </w:r>
          </w:p>
        </w:tc>
        <w:tc>
          <w:tcPr>
            <w:tcW w:w="2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6C4DD5" w:rsidP="00E83869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Liečba s bortezomibom sa má odložiť, </w:t>
            </w:r>
            <w:r w:rsidR="009008DE" w:rsidRPr="008F7ACD">
              <w:rPr>
                <w:rFonts w:eastAsia="TimesNewRoman"/>
                <w:szCs w:val="22"/>
                <w:lang w:eastAsia="en-US"/>
              </w:rPr>
              <w:t>pokiaľ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sa </w:t>
            </w:r>
            <w:r w:rsidR="00000393" w:rsidRPr="008F7ACD">
              <w:rPr>
                <w:rFonts w:eastAsia="TimesNewRoman"/>
                <w:szCs w:val="22"/>
                <w:lang w:eastAsia="en-US"/>
              </w:rPr>
              <w:t>príznak</w:t>
            </w:r>
            <w:r w:rsidRPr="008F7ACD">
              <w:rPr>
                <w:rFonts w:eastAsia="TimesNewRoman"/>
                <w:szCs w:val="22"/>
                <w:lang w:eastAsia="en-US"/>
              </w:rPr>
              <w:t>y toxicity nez</w:t>
            </w:r>
            <w:r w:rsidR="00000393" w:rsidRPr="008F7ACD">
              <w:rPr>
                <w:rFonts w:eastAsia="TimesNewRoman"/>
                <w:szCs w:val="22"/>
                <w:lang w:eastAsia="en-US"/>
              </w:rPr>
              <w:t>miernia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na 2. stupeň alebo nižší. Potom možno liečbu s bortezomibom znovu začať s dávkou zníženou o jednu úroveň (z 1,3 mg/m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2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na 1 mg/m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2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alebo z 1 mg/m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2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na 0,7 mg/m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2</w:t>
            </w:r>
            <w:r w:rsidRPr="008F7ACD">
              <w:rPr>
                <w:rFonts w:eastAsia="TimesNewRoman"/>
                <w:szCs w:val="22"/>
                <w:lang w:eastAsia="en-US"/>
              </w:rPr>
              <w:t>). Ak sa v súvislosti s bortezomibom vyskytne neuropatická bolesť a/alebo periférna neuropatia, odložte a/alebo upravte dávku bortezomibu tak, ako sa uvádza v</w:t>
            </w:r>
            <w:r w:rsidR="00C6294F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tabuľke</w:t>
            </w:r>
            <w:r w:rsidR="00C6294F" w:rsidRPr="008F7ACD">
              <w:rPr>
                <w:rFonts w:eastAsia="TimesNewRoman"/>
                <w:szCs w:val="22"/>
                <w:lang w:eastAsia="en-US"/>
              </w:rPr>
              <w:t xml:space="preserve"> 1.</w:t>
            </w:r>
            <w:r w:rsidR="0074347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</w:tr>
    </w:tbl>
    <w:p w:rsidR="003F56C1" w:rsidRPr="008F7ACD" w:rsidRDefault="003F56C1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6321A9" w:rsidRPr="008F7ACD" w:rsidRDefault="000A2851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Navyše</w:t>
      </w:r>
      <w:r w:rsidR="006321A9" w:rsidRPr="008F7ACD">
        <w:rPr>
          <w:rFonts w:eastAsia="TimesNewRoman"/>
          <w:szCs w:val="22"/>
          <w:lang w:eastAsia="en-US"/>
        </w:rPr>
        <w:t xml:space="preserve"> keď sa </w:t>
      </w:r>
      <w:r w:rsidR="006C4DD5" w:rsidRPr="008F7ACD">
        <w:rPr>
          <w:rFonts w:eastAsia="TimesNewRoman"/>
          <w:szCs w:val="22"/>
          <w:lang w:eastAsia="en-US"/>
        </w:rPr>
        <w:t>bortezomib</w:t>
      </w:r>
      <w:r w:rsidR="006321A9" w:rsidRPr="008F7ACD">
        <w:rPr>
          <w:rFonts w:eastAsia="TimesNewRoman"/>
          <w:szCs w:val="22"/>
          <w:lang w:eastAsia="en-US"/>
        </w:rPr>
        <w:t xml:space="preserve"> podáva v kombinácii s inými chemoterapeutickými liekmi, má sa</w:t>
      </w:r>
      <w:r w:rsidR="006C4DD5" w:rsidRPr="008F7ACD">
        <w:rPr>
          <w:rFonts w:eastAsia="TimesNewRoman"/>
          <w:szCs w:val="22"/>
          <w:lang w:eastAsia="en-US"/>
        </w:rPr>
        <w:t xml:space="preserve"> </w:t>
      </w:r>
      <w:r w:rsidR="006321A9" w:rsidRPr="008F7ACD">
        <w:rPr>
          <w:rFonts w:eastAsia="TimesNewRoman"/>
          <w:szCs w:val="22"/>
          <w:lang w:eastAsia="en-US"/>
        </w:rPr>
        <w:t>v</w:t>
      </w:r>
      <w:r w:rsidR="00C6294F" w:rsidRPr="008F7ACD">
        <w:rPr>
          <w:rFonts w:eastAsia="TimesNewRoman"/>
          <w:szCs w:val="22"/>
          <w:lang w:eastAsia="en-US"/>
        </w:rPr>
        <w:t> </w:t>
      </w:r>
      <w:r w:rsidR="006321A9" w:rsidRPr="008F7ACD">
        <w:rPr>
          <w:rFonts w:eastAsia="TimesNewRoman"/>
          <w:szCs w:val="22"/>
          <w:lang w:eastAsia="en-US"/>
        </w:rPr>
        <w:t>prípade toxicít zvážiť vhodná úprava dávky týchto liekov, podľa odporúčaní v príslušnom súhrn</w:t>
      </w:r>
      <w:r w:rsidR="006C4DD5" w:rsidRPr="008F7ACD">
        <w:rPr>
          <w:rFonts w:eastAsia="TimesNewRoman"/>
          <w:szCs w:val="22"/>
          <w:lang w:eastAsia="en-US"/>
        </w:rPr>
        <w:t xml:space="preserve">e </w:t>
      </w:r>
      <w:r w:rsidR="008E5DE7" w:rsidRPr="008F7ACD">
        <w:rPr>
          <w:rFonts w:eastAsia="TimesNewRoman"/>
          <w:szCs w:val="22"/>
          <w:lang w:eastAsia="en-US"/>
        </w:rPr>
        <w:t>c</w:t>
      </w:r>
      <w:r w:rsidR="006321A9" w:rsidRPr="008F7ACD">
        <w:rPr>
          <w:rFonts w:eastAsia="TimesNewRoman"/>
          <w:szCs w:val="22"/>
          <w:lang w:eastAsia="en-US"/>
        </w:rPr>
        <w:t>harakteristických vlastností lieku.</w:t>
      </w:r>
    </w:p>
    <w:p w:rsidR="006C4DD5" w:rsidRPr="008F7ACD" w:rsidRDefault="006C4DD5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Osobitné skupiny pacientov</w:t>
      </w:r>
    </w:p>
    <w:p w:rsidR="00BF0862" w:rsidRPr="008F7ACD" w:rsidRDefault="00BF0862" w:rsidP="006321A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Starší pacienti</w:t>
      </w: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Nie sú dostupné dôkazy o potrebe úpravy dávkovania u pacientov s mnohopočetným myelómom alebo</w:t>
      </w:r>
      <w:r w:rsidR="00632C6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 lymfómom z plášťových buniek starších ako 65 rokov.</w:t>
      </w: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Neboli vykonané </w:t>
      </w:r>
      <w:r w:rsidR="00632C61" w:rsidRPr="008F7ACD">
        <w:rPr>
          <w:rFonts w:eastAsia="TimesNewRoman"/>
          <w:szCs w:val="22"/>
          <w:lang w:eastAsia="en-US"/>
        </w:rPr>
        <w:t xml:space="preserve">žiadne </w:t>
      </w:r>
      <w:r w:rsidRPr="008F7ACD">
        <w:rPr>
          <w:rFonts w:eastAsia="TimesNewRoman"/>
          <w:szCs w:val="22"/>
          <w:lang w:eastAsia="en-US"/>
        </w:rPr>
        <w:t xml:space="preserve">štúdie s použitím </w:t>
      </w:r>
      <w:r w:rsidR="00632C61" w:rsidRPr="008F7ACD">
        <w:rPr>
          <w:rFonts w:eastAsia="TimesNewRoman"/>
          <w:szCs w:val="22"/>
          <w:lang w:eastAsia="en-US"/>
        </w:rPr>
        <w:t>bortezomibu</w:t>
      </w:r>
      <w:r w:rsidRPr="008F7ACD">
        <w:rPr>
          <w:rFonts w:eastAsia="TimesNewRoman"/>
          <w:szCs w:val="22"/>
          <w:lang w:eastAsia="en-US"/>
        </w:rPr>
        <w:t xml:space="preserve"> u starších pacientov s doteraz neliečeným</w:t>
      </w:r>
      <w:r w:rsidR="00632C6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mnohopočetným myelómom, ktorí sú vhodní na vysokodávkovú chemoterapiu s transplantáciou</w:t>
      </w:r>
      <w:r w:rsidR="00632C6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hematopoetických kmeňových buniek. Preto nie je možné stanoviť v tejto populácii odporúčanie pre</w:t>
      </w:r>
      <w:r w:rsidR="00A62F8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dávkovanie.</w:t>
      </w:r>
    </w:p>
    <w:p w:rsidR="006321A9" w:rsidRPr="008F7ACD" w:rsidRDefault="006321A9" w:rsidP="008E5DE7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V štúdii u pacientov s doteraz neliečeným lymfómom z plášťových buniek malo 42,9</w:t>
      </w:r>
      <w:r w:rsidR="00632C6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pacientov</w:t>
      </w:r>
      <w:r w:rsidR="00632C6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liečených s </w:t>
      </w:r>
      <w:r w:rsidR="00632C61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vek v rozpätí 65</w:t>
      </w:r>
      <w:r w:rsidR="00C45F25" w:rsidRPr="008F7ACD">
        <w:rPr>
          <w:rFonts w:eastAsia="TimesNewRoman"/>
          <w:szCs w:val="22"/>
          <w:lang w:eastAsia="en-US"/>
        </w:rPr>
        <w:t xml:space="preserve"> </w:t>
      </w:r>
      <w:r w:rsidR="00A62F81" w:rsidRPr="008F7ACD">
        <w:rPr>
          <w:rFonts w:eastAsia="TimesNewRoman"/>
          <w:szCs w:val="22"/>
          <w:lang w:eastAsia="en-US"/>
        </w:rPr>
        <w:t>–</w:t>
      </w:r>
      <w:r w:rsidR="00C45F25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74 rokov a 10,4</w:t>
      </w:r>
      <w:r w:rsidR="00632C6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pacientov malo ≥</w:t>
      </w:r>
      <w:r w:rsidR="00632C6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75 rokov. Pacienti vo</w:t>
      </w:r>
      <w:r w:rsidR="008E5DE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veku ≥</w:t>
      </w:r>
      <w:r w:rsidR="00632C6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75 rokov menej tolerovali oba režimy, </w:t>
      </w:r>
      <w:r w:rsidR="00632C61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R-CAP ako aj R-CHOP (pozri časť 4.8).</w:t>
      </w:r>
    </w:p>
    <w:p w:rsidR="006321A9" w:rsidRPr="008F7ACD" w:rsidRDefault="006321A9" w:rsidP="006321A9">
      <w:pPr>
        <w:ind w:left="0" w:firstLine="0"/>
        <w:rPr>
          <w:rFonts w:eastAsia="TimesNewRoman"/>
          <w:szCs w:val="22"/>
          <w:lang w:eastAsia="en-US"/>
        </w:rPr>
      </w:pP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Porucha funkcie pečene</w:t>
      </w:r>
    </w:p>
    <w:p w:rsidR="006321A9" w:rsidRPr="008F7ACD" w:rsidRDefault="006321A9" w:rsidP="00667CC3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8F7ACD">
        <w:rPr>
          <w:rFonts w:eastAsia="TimesNewRoman"/>
          <w:szCs w:val="22"/>
          <w:lang w:eastAsia="en-US"/>
        </w:rPr>
        <w:t xml:space="preserve">Pacienti s </w:t>
      </w:r>
      <w:r w:rsidR="00C626AD" w:rsidRPr="008F7ACD">
        <w:rPr>
          <w:rFonts w:eastAsia="TimesNewRoman"/>
          <w:szCs w:val="22"/>
          <w:lang w:eastAsia="en-US"/>
        </w:rPr>
        <w:t>miernou</w:t>
      </w:r>
      <w:r w:rsidRPr="008F7ACD">
        <w:rPr>
          <w:rFonts w:eastAsia="TimesNewRoman"/>
          <w:szCs w:val="22"/>
          <w:lang w:eastAsia="en-US"/>
        </w:rPr>
        <w:t xml:space="preserve"> poruchou funkcie pečene nevyžadujú úpravu dávky a majú byť liečení</w:t>
      </w:r>
      <w:r w:rsidR="00667CC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odporúčanou dávkou. U pacientov so stredne </w:t>
      </w:r>
      <w:r w:rsidR="00C626AD" w:rsidRPr="008F7ACD">
        <w:rPr>
          <w:rFonts w:eastAsia="TimesNewRoman"/>
          <w:szCs w:val="22"/>
          <w:lang w:eastAsia="en-US"/>
        </w:rPr>
        <w:t>závažnou</w:t>
      </w:r>
      <w:r w:rsidRPr="008F7ACD">
        <w:rPr>
          <w:rFonts w:eastAsia="TimesNewRoman"/>
          <w:szCs w:val="22"/>
          <w:lang w:eastAsia="en-US"/>
        </w:rPr>
        <w:t xml:space="preserve"> alebo </w:t>
      </w:r>
      <w:r w:rsidR="00C626AD" w:rsidRPr="008F7ACD">
        <w:rPr>
          <w:rFonts w:eastAsia="TimesNewRoman"/>
          <w:szCs w:val="22"/>
          <w:lang w:eastAsia="en-US"/>
        </w:rPr>
        <w:t>závažnou</w:t>
      </w:r>
      <w:r w:rsidRPr="008F7ACD">
        <w:rPr>
          <w:rFonts w:eastAsia="TimesNewRoman"/>
          <w:szCs w:val="22"/>
          <w:lang w:eastAsia="en-US"/>
        </w:rPr>
        <w:t xml:space="preserve"> poruchou funkcie pečene sa</w:t>
      </w:r>
      <w:r w:rsidR="00667CC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má začať s dávkou </w:t>
      </w:r>
      <w:r w:rsidR="00667CC3" w:rsidRPr="008F7ACD">
        <w:rPr>
          <w:rFonts w:eastAsia="TimesNewRoman"/>
          <w:szCs w:val="22"/>
          <w:lang w:eastAsia="en-US"/>
        </w:rPr>
        <w:t>bortezomibu</w:t>
      </w:r>
      <w:r w:rsidRPr="008F7ACD">
        <w:rPr>
          <w:rFonts w:eastAsia="TimesNewRoman"/>
          <w:szCs w:val="22"/>
          <w:lang w:eastAsia="en-US"/>
        </w:rPr>
        <w:t xml:space="preserve"> zníženou na 0,7</w:t>
      </w:r>
      <w:r w:rsidR="00667CC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na injekciu počas prvého liečebného</w:t>
      </w:r>
      <w:r w:rsidR="00667CC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cyklu a</w:t>
      </w:r>
      <w:r w:rsidR="00A62F8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má sa zvážiť n</w:t>
      </w:r>
      <w:r w:rsidR="00A62F81" w:rsidRPr="008F7ACD">
        <w:rPr>
          <w:rFonts w:eastAsia="TimesNewRoman"/>
          <w:szCs w:val="22"/>
          <w:lang w:eastAsia="en-US"/>
        </w:rPr>
        <w:t>á</w:t>
      </w:r>
      <w:r w:rsidRPr="008F7ACD">
        <w:rPr>
          <w:rFonts w:eastAsia="TimesNewRoman"/>
          <w:szCs w:val="22"/>
          <w:lang w:eastAsia="en-US"/>
        </w:rPr>
        <w:t>sledné zvýšenie na 1,0</w:t>
      </w:r>
      <w:r w:rsidR="00667CC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 xml:space="preserve">2 </w:t>
      </w:r>
      <w:r w:rsidRPr="008F7ACD">
        <w:rPr>
          <w:rFonts w:eastAsia="TimesNewRoman"/>
          <w:szCs w:val="22"/>
          <w:lang w:eastAsia="en-US"/>
        </w:rPr>
        <w:t>alebo ďalšie zníženie na 0,5</w:t>
      </w:r>
      <w:r w:rsidR="00667CC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</w:t>
      </w:r>
      <w:r w:rsidR="00855F45" w:rsidRPr="008F7ACD">
        <w:rPr>
          <w:rFonts w:eastAsia="TimesNewRoman"/>
          <w:szCs w:val="22"/>
          <w:lang w:eastAsia="en-US"/>
        </w:rPr>
        <w:t>m</w:t>
      </w:r>
      <w:r w:rsidR="00855F45" w:rsidRPr="008F7ACD">
        <w:rPr>
          <w:rFonts w:eastAsia="TimesNewRoman"/>
          <w:szCs w:val="22"/>
          <w:vertAlign w:val="superscript"/>
          <w:lang w:eastAsia="en-US"/>
        </w:rPr>
        <w:t>2</w:t>
      </w:r>
      <w:r w:rsidR="00855F45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 závislosti od</w:t>
      </w:r>
      <w:r w:rsidR="00A62F8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tolera</w:t>
      </w:r>
      <w:r w:rsidR="00667CC3" w:rsidRPr="008F7ACD">
        <w:rPr>
          <w:rFonts w:eastAsia="TimesNewRoman"/>
          <w:szCs w:val="22"/>
          <w:lang w:eastAsia="en-US"/>
        </w:rPr>
        <w:t>ncie liečby</w:t>
      </w:r>
      <w:r w:rsidRPr="008F7ACD">
        <w:rPr>
          <w:rFonts w:eastAsia="TimesNewRoman"/>
          <w:szCs w:val="22"/>
          <w:lang w:eastAsia="en-US"/>
        </w:rPr>
        <w:t xml:space="preserve"> pacient</w:t>
      </w:r>
      <w:r w:rsidR="00667CC3" w:rsidRPr="008F7ACD">
        <w:rPr>
          <w:rFonts w:eastAsia="TimesNewRoman"/>
          <w:szCs w:val="22"/>
          <w:lang w:eastAsia="en-US"/>
        </w:rPr>
        <w:t>om</w:t>
      </w:r>
      <w:r w:rsidRPr="008F7ACD">
        <w:rPr>
          <w:rFonts w:eastAsia="TimesNewRoman"/>
          <w:szCs w:val="22"/>
          <w:lang w:eastAsia="en-US"/>
        </w:rPr>
        <w:t xml:space="preserve"> (pozri tabuľku 6 a časti 4.4 a 5.2).</w:t>
      </w:r>
    </w:p>
    <w:p w:rsidR="006321A9" w:rsidRPr="008F7ACD" w:rsidRDefault="006321A9" w:rsidP="006321A9">
      <w:pPr>
        <w:ind w:left="0" w:firstLine="0"/>
        <w:rPr>
          <w:szCs w:val="22"/>
          <w:u w:val="single"/>
        </w:rPr>
      </w:pPr>
    </w:p>
    <w:p w:rsidR="00743473" w:rsidRPr="008F7ACD" w:rsidRDefault="001B7ED2" w:rsidP="001B7ED2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8F7ACD">
        <w:rPr>
          <w:rFonts w:eastAsia="TimesNewRoman,Italic"/>
          <w:i/>
          <w:iCs/>
          <w:szCs w:val="22"/>
          <w:lang w:eastAsia="en-US"/>
        </w:rPr>
        <w:t>Tabuľka 6: Odporúčaná úprava úvodnej dávky bortezomibu u pacientov s poruchou funkcie pečene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3"/>
        <w:gridCol w:w="2305"/>
        <w:gridCol w:w="1383"/>
        <w:gridCol w:w="4149"/>
      </w:tblGrid>
      <w:tr w:rsidR="00743473" w:rsidRPr="008F7ACD" w:rsidTr="0020718A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A62F81" w:rsidP="001B7ED2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 xml:space="preserve">Stupeň </w:t>
            </w:r>
            <w:r w:rsidR="001B7ED2" w:rsidRPr="008F7ACD">
              <w:rPr>
                <w:rFonts w:eastAsia="TimesNewRoman,Bold"/>
                <w:b/>
                <w:bCs/>
                <w:szCs w:val="22"/>
                <w:lang w:eastAsia="en-US"/>
              </w:rPr>
              <w:t>poruchy funkcie pečene*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1B7ED2" w:rsidP="001B7ED2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Hladina bilirubínu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ED2" w:rsidRPr="008F7ACD" w:rsidRDefault="001B7ED2" w:rsidP="001B7ED2">
            <w:pPr>
              <w:autoSpaceDE w:val="0"/>
              <w:autoSpaceDN w:val="0"/>
              <w:adjustRightInd w:val="0"/>
              <w:ind w:left="0" w:firstLine="0"/>
              <w:rPr>
                <w:rFonts w:eastAsia="TimesNewRoman,Bold"/>
                <w:b/>
                <w:bCs/>
                <w:szCs w:val="22"/>
                <w:lang w:eastAsia="en-US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Hladiny SGOT</w:t>
            </w:r>
          </w:p>
          <w:p w:rsidR="00743473" w:rsidRPr="008F7ACD" w:rsidRDefault="001B7ED2" w:rsidP="001B7ED2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(AST)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1B7ED2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Úprava úvodnej dávky</w:t>
            </w:r>
          </w:p>
        </w:tc>
      </w:tr>
      <w:tr w:rsidR="00743473" w:rsidRPr="008F7ACD" w:rsidTr="0020718A">
        <w:trPr>
          <w:tblCellSpacing w:w="0" w:type="dxa"/>
        </w:trPr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EC2E6E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</w:t>
            </w:r>
            <w:r w:rsidR="00EC2E6E" w:rsidRPr="008F7ACD">
              <w:rPr>
                <w:color w:val="000000"/>
                <w:szCs w:val="22"/>
              </w:rPr>
              <w:t>ierna</w:t>
            </w:r>
            <w:r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EC2E6E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≤</w:t>
            </w:r>
            <w:r w:rsidR="00EC2E6E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1</w:t>
            </w:r>
            <w:r w:rsidR="00EC2E6E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</w:t>
            </w:r>
            <w:r w:rsidR="00EC2E6E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x</w:t>
            </w:r>
            <w:r w:rsidR="00EC2E6E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 xml:space="preserve">ULN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EC2E6E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&gt;</w:t>
            </w:r>
            <w:r w:rsidR="00EC2E6E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 xml:space="preserve">ULN 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EC2E6E" w:rsidP="00EC2E6E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Žiadna</w:t>
            </w:r>
            <w:r w:rsidR="00743473" w:rsidRPr="008F7ACD">
              <w:rPr>
                <w:color w:val="000000"/>
                <w:szCs w:val="22"/>
              </w:rPr>
              <w:t xml:space="preserve"> </w:t>
            </w:r>
          </w:p>
        </w:tc>
      </w:tr>
      <w:tr w:rsidR="0074347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EC2E6E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&gt;</w:t>
            </w:r>
            <w:r w:rsidR="00EC2E6E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1</w:t>
            </w:r>
            <w:r w:rsidR="00EC2E6E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</w:t>
            </w:r>
            <w:r w:rsidR="00EC2E6E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x</w:t>
            </w:r>
            <w:r w:rsidR="00EC2E6E" w:rsidRPr="008F7ACD">
              <w:rPr>
                <w:color w:val="000000"/>
                <w:szCs w:val="22"/>
              </w:rPr>
              <w:t> – </w:t>
            </w:r>
            <w:r w:rsidRPr="008F7ACD">
              <w:rPr>
                <w:color w:val="000000"/>
                <w:szCs w:val="22"/>
              </w:rPr>
              <w:t>1</w:t>
            </w:r>
            <w:r w:rsidR="00EC2E6E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5</w:t>
            </w:r>
            <w:r w:rsidR="00EC2E6E" w:rsidRPr="008F7ACD">
              <w:rPr>
                <w:color w:val="000000"/>
                <w:szCs w:val="22"/>
              </w:rPr>
              <w:t> x </w:t>
            </w:r>
            <w:r w:rsidRPr="008F7ACD">
              <w:rPr>
                <w:color w:val="000000"/>
                <w:szCs w:val="22"/>
              </w:rPr>
              <w:t xml:space="preserve">ULN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EC2E6E" w:rsidP="00EC2E6E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Každá</w:t>
            </w:r>
            <w:r w:rsidR="0074347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EC2E6E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Žiadna</w:t>
            </w:r>
          </w:p>
        </w:tc>
      </w:tr>
      <w:tr w:rsidR="00743473" w:rsidRPr="008F7ACD" w:rsidTr="0020718A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EC2E6E" w:rsidP="00EC2E6E">
            <w:pPr>
              <w:ind w:left="0" w:firstLine="0"/>
              <w:jc w:val="both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Stredne závažná</w:t>
            </w:r>
            <w:r w:rsidR="0074347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EC2E6E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&gt;</w:t>
            </w:r>
            <w:r w:rsidR="00EC2E6E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1</w:t>
            </w:r>
            <w:r w:rsidR="00EC2E6E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5</w:t>
            </w:r>
            <w:r w:rsidR="00EC2E6E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x</w:t>
            </w:r>
            <w:r w:rsidR="00EC2E6E" w:rsidRPr="008F7ACD">
              <w:rPr>
                <w:color w:val="000000"/>
                <w:szCs w:val="22"/>
              </w:rPr>
              <w:t> – </w:t>
            </w:r>
            <w:r w:rsidRPr="008F7ACD">
              <w:rPr>
                <w:color w:val="000000"/>
                <w:szCs w:val="22"/>
              </w:rPr>
              <w:t>3</w:t>
            </w:r>
            <w:r w:rsidR="00EC2E6E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x</w:t>
            </w:r>
            <w:r w:rsidR="00EC2E6E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 xml:space="preserve">ULN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EC2E6E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Každá</w:t>
            </w:r>
            <w:r w:rsidR="0074347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EC2E6E" w:rsidP="005E5F2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Znížte dávku bortezomibu na 0,7 mg/m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 xml:space="preserve">2 </w:t>
            </w:r>
            <w:r w:rsidRPr="008F7ACD">
              <w:rPr>
                <w:rFonts w:eastAsia="TimesNewRoman"/>
                <w:szCs w:val="22"/>
                <w:lang w:eastAsia="en-US"/>
              </w:rPr>
              <w:t>v</w:t>
            </w:r>
            <w:r w:rsidR="00A62F81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prvom liečebnom cykle. Zvážte zvýšenie dávky na 1,0 mg/m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2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alebo ďalšie zníženie dávky na 0,5 mg/m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 xml:space="preserve">2 </w:t>
            </w:r>
            <w:r w:rsidRPr="008F7ACD">
              <w:rPr>
                <w:rFonts w:eastAsia="TimesNewRoman"/>
                <w:szCs w:val="22"/>
                <w:lang w:eastAsia="en-US"/>
              </w:rPr>
              <w:t>v nasledujúcich cykloch v závislosti od tolerancie liečby pacientom.</w:t>
            </w:r>
          </w:p>
        </w:tc>
      </w:tr>
      <w:tr w:rsidR="00743473" w:rsidRPr="008F7ACD" w:rsidTr="0020718A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EC2E6E" w:rsidP="00EC2E6E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Závažná</w:t>
            </w:r>
            <w:r w:rsidR="0074347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EC2E6E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&gt;</w:t>
            </w:r>
            <w:r w:rsidR="00EC2E6E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3</w:t>
            </w:r>
            <w:r w:rsidR="00EC2E6E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x</w:t>
            </w:r>
            <w:r w:rsidR="00EC2E6E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 xml:space="preserve">ULN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EC2E6E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Každá</w:t>
            </w:r>
            <w:r w:rsidR="0074347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73" w:rsidRPr="008F7ACD" w:rsidRDefault="00743473" w:rsidP="0020718A">
            <w:pPr>
              <w:rPr>
                <w:color w:val="000000"/>
                <w:szCs w:val="22"/>
              </w:rPr>
            </w:pPr>
          </w:p>
        </w:tc>
      </w:tr>
    </w:tbl>
    <w:p w:rsidR="006B414D" w:rsidRPr="008F7ACD" w:rsidRDefault="006B414D" w:rsidP="006B414D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Skratky: SGOT = sérová glutamáto</w:t>
      </w:r>
      <w:r w:rsidR="00A62F81" w:rsidRPr="008F7ACD">
        <w:rPr>
          <w:rFonts w:eastAsia="TimesNewRoman"/>
          <w:szCs w:val="22"/>
          <w:lang w:eastAsia="en-US"/>
        </w:rPr>
        <w:t>voo</w:t>
      </w:r>
      <w:r w:rsidRPr="008F7ACD">
        <w:rPr>
          <w:rFonts w:eastAsia="TimesNewRoman"/>
          <w:szCs w:val="22"/>
          <w:lang w:eastAsia="en-US"/>
        </w:rPr>
        <w:t>xal</w:t>
      </w:r>
      <w:r w:rsidR="00A62F81" w:rsidRPr="008F7ACD">
        <w:rPr>
          <w:rFonts w:eastAsia="TimesNewRoman"/>
          <w:szCs w:val="22"/>
          <w:lang w:eastAsia="en-US"/>
        </w:rPr>
        <w:t>octová amino</w:t>
      </w:r>
      <w:r w:rsidRPr="008F7ACD">
        <w:rPr>
          <w:rFonts w:eastAsia="TimesNewRoman"/>
          <w:szCs w:val="22"/>
          <w:lang w:eastAsia="en-US"/>
        </w:rPr>
        <w:t>trans</w:t>
      </w:r>
      <w:r w:rsidR="00A62F81" w:rsidRPr="008F7ACD">
        <w:rPr>
          <w:rFonts w:eastAsia="TimesNewRoman"/>
          <w:szCs w:val="22"/>
          <w:lang w:eastAsia="en-US"/>
        </w:rPr>
        <w:t>feráza</w:t>
      </w:r>
      <w:r w:rsidRPr="008F7ACD">
        <w:rPr>
          <w:rFonts w:eastAsia="TimesNewRoman"/>
          <w:szCs w:val="22"/>
          <w:lang w:eastAsia="en-US"/>
        </w:rPr>
        <w:t xml:space="preserve"> (z angl. serum glutamic oxaloacetic transaminase);</w:t>
      </w:r>
      <w:r w:rsidR="00C626A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AST = aspartátaminotransferáza; ULN = horná hranica normy (z angl. upper limit of the normal range).</w:t>
      </w:r>
    </w:p>
    <w:p w:rsidR="00743473" w:rsidRPr="008F7ACD" w:rsidRDefault="006B414D" w:rsidP="006B414D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8F7ACD">
        <w:rPr>
          <w:rFonts w:eastAsia="TimesNewRoman"/>
          <w:szCs w:val="22"/>
          <w:lang w:eastAsia="en-US"/>
        </w:rPr>
        <w:t>* Na základe klasifikácie pracovnej skupiny pre poruchy orgánov NCI (z angl. National Cancer Institute) pre</w:t>
      </w:r>
      <w:r w:rsidR="00A62F8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kategórie porúch funkcie pečene (mierna, stredne závažná, závažná).</w:t>
      </w:r>
    </w:p>
    <w:p w:rsidR="00743473" w:rsidRPr="008F7ACD" w:rsidRDefault="00743473" w:rsidP="006321A9">
      <w:pPr>
        <w:ind w:left="0" w:firstLine="0"/>
        <w:rPr>
          <w:szCs w:val="22"/>
          <w:u w:val="single"/>
        </w:rPr>
      </w:pP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Porucha funkcie obličiek</w:t>
      </w: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Farmakokinetika bortezomibu nie je ovplyvnená u pacientov s </w:t>
      </w:r>
      <w:r w:rsidR="000A2851" w:rsidRPr="008F7ACD">
        <w:rPr>
          <w:rFonts w:eastAsia="TimesNewRoman"/>
          <w:szCs w:val="22"/>
          <w:lang w:eastAsia="en-US"/>
        </w:rPr>
        <w:t>ľahkou</w:t>
      </w:r>
      <w:r w:rsidRPr="008F7ACD">
        <w:rPr>
          <w:rFonts w:eastAsia="TimesNewRoman"/>
          <w:szCs w:val="22"/>
          <w:lang w:eastAsia="en-US"/>
        </w:rPr>
        <w:t xml:space="preserve"> až stredne </w:t>
      </w:r>
      <w:r w:rsidR="000A2851" w:rsidRPr="008F7ACD">
        <w:rPr>
          <w:rFonts w:eastAsia="TimesNewRoman"/>
          <w:szCs w:val="22"/>
          <w:lang w:eastAsia="en-US"/>
        </w:rPr>
        <w:t>ťažkou</w:t>
      </w:r>
      <w:r w:rsidRPr="008F7ACD">
        <w:rPr>
          <w:rFonts w:eastAsia="TimesNewRoman"/>
          <w:szCs w:val="22"/>
          <w:lang w:eastAsia="en-US"/>
        </w:rPr>
        <w:t xml:space="preserve"> poruchou</w:t>
      </w:r>
      <w:r w:rsidR="00F73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funkcie obli</w:t>
      </w:r>
      <w:r w:rsidR="00F7394C" w:rsidRPr="008F7ACD">
        <w:rPr>
          <w:rFonts w:eastAsia="TimesNewRoman"/>
          <w:szCs w:val="22"/>
          <w:lang w:eastAsia="en-US"/>
        </w:rPr>
        <w:t>čiek (klírens kreatinínu [CrCL] </w:t>
      </w:r>
      <w:r w:rsidRPr="008F7ACD">
        <w:rPr>
          <w:rFonts w:eastAsia="TimesNewRoman"/>
          <w:szCs w:val="22"/>
          <w:lang w:eastAsia="en-US"/>
        </w:rPr>
        <w:t>&gt;</w:t>
      </w:r>
      <w:r w:rsidR="00F73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20</w:t>
      </w:r>
      <w:r w:rsidR="00F73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ml/min/1,73</w:t>
      </w:r>
      <w:r w:rsidR="00F73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</w:t>
      </w:r>
      <w:r w:rsidRPr="008F7ACD">
        <w:rPr>
          <w:rFonts w:eastAsia="TimesNewRoman"/>
          <w:szCs w:val="22"/>
          <w:vertAlign w:val="superscript"/>
          <w:lang w:eastAsia="en-US"/>
        </w:rPr>
        <w:t xml:space="preserve">2 </w:t>
      </w:r>
      <w:r w:rsidRPr="008F7ACD">
        <w:rPr>
          <w:rFonts w:eastAsia="TimesNewRoman"/>
          <w:szCs w:val="22"/>
          <w:lang w:eastAsia="en-US"/>
        </w:rPr>
        <w:t>), a preto u týchto pacientov nie je</w:t>
      </w:r>
      <w:r w:rsidR="00F73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potrebná úprava dávky. Nie je známe, či je farmakokinetika bortezomibu ovplyvnená u pacientov </w:t>
      </w:r>
      <w:r w:rsidR="000A2851" w:rsidRPr="008F7ACD">
        <w:rPr>
          <w:rFonts w:eastAsia="TimesNewRoman"/>
          <w:szCs w:val="22"/>
          <w:lang w:eastAsia="en-US"/>
        </w:rPr>
        <w:t>s ťažkou</w:t>
      </w:r>
      <w:r w:rsidRPr="008F7ACD">
        <w:rPr>
          <w:rFonts w:eastAsia="TimesNewRoman"/>
          <w:szCs w:val="22"/>
          <w:lang w:eastAsia="en-US"/>
        </w:rPr>
        <w:t xml:space="preserve"> poruchou funkcie obličiek bez dialýzy (CrCL &lt;</w:t>
      </w:r>
      <w:r w:rsidR="00F73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20</w:t>
      </w:r>
      <w:r w:rsidR="00F73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ml/min/1,73</w:t>
      </w:r>
      <w:r w:rsidR="00F73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>). Vzhľadom na to, že</w:t>
      </w:r>
      <w:r w:rsidR="00F73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dialýza môže znížiť koncentrácie bortezomibu, </w:t>
      </w:r>
      <w:r w:rsidR="00F7394C" w:rsidRPr="008F7ACD">
        <w:rPr>
          <w:rFonts w:eastAsia="TimesNewRoman"/>
          <w:szCs w:val="22"/>
          <w:lang w:eastAsia="en-US"/>
        </w:rPr>
        <w:t>bortezomib</w:t>
      </w:r>
      <w:r w:rsidRPr="008F7ACD">
        <w:rPr>
          <w:rFonts w:eastAsia="TimesNewRoman"/>
          <w:szCs w:val="22"/>
          <w:lang w:eastAsia="en-US"/>
        </w:rPr>
        <w:t xml:space="preserve"> sa má podávať až po ukončení dialýzy</w:t>
      </w:r>
      <w:r w:rsidR="00F73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(pozri časť 5.2).</w:t>
      </w:r>
    </w:p>
    <w:p w:rsidR="00F7394C" w:rsidRPr="008F7ACD" w:rsidRDefault="00F7394C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Pediatrická populácia</w:t>
      </w: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Bezpečnosť a účinnosť </w:t>
      </w:r>
      <w:r w:rsidR="00645216" w:rsidRPr="008F7ACD">
        <w:rPr>
          <w:rFonts w:eastAsia="TimesNewRoman"/>
          <w:szCs w:val="22"/>
          <w:lang w:eastAsia="en-US"/>
        </w:rPr>
        <w:t>bortezomibu</w:t>
      </w:r>
      <w:r w:rsidRPr="008F7ACD">
        <w:rPr>
          <w:rFonts w:eastAsia="TimesNewRoman"/>
          <w:szCs w:val="22"/>
          <w:lang w:eastAsia="en-US"/>
        </w:rPr>
        <w:t xml:space="preserve"> u detí </w:t>
      </w:r>
      <w:r w:rsidR="000C19AD" w:rsidRPr="008F7ACD">
        <w:rPr>
          <w:rFonts w:eastAsia="TimesNewRoman"/>
          <w:szCs w:val="22"/>
          <w:lang w:eastAsia="en-US"/>
        </w:rPr>
        <w:t xml:space="preserve">vo veku </w:t>
      </w:r>
      <w:r w:rsidRPr="008F7ACD">
        <w:rPr>
          <w:rFonts w:eastAsia="TimesNewRoman"/>
          <w:szCs w:val="22"/>
          <w:lang w:eastAsia="en-US"/>
        </w:rPr>
        <w:t>mladších ako 18 rokov neboli stanovené (pozri časti</w:t>
      </w:r>
      <w:r w:rsidR="0064521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5.1</w:t>
      </w:r>
      <w:r w:rsidR="0064521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a</w:t>
      </w:r>
      <w:r w:rsidR="0064521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5.2). </w:t>
      </w:r>
      <w:r w:rsidR="00426357" w:rsidRPr="008F7ACD">
        <w:rPr>
          <w:rFonts w:eastAsia="TimesNewRoman"/>
          <w:szCs w:val="22"/>
          <w:lang w:eastAsia="en-US"/>
        </w:rPr>
        <w:t>V súčasnosti dostupné údaje sú uvedené v časti 5.1, ale nie je možné odporučiť dávkovanie.</w:t>
      </w:r>
    </w:p>
    <w:p w:rsidR="00645216" w:rsidRPr="008F7ACD" w:rsidRDefault="00645216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Spôsob pod</w:t>
      </w:r>
      <w:r w:rsidR="004D3F04" w:rsidRPr="008F7ACD">
        <w:rPr>
          <w:rFonts w:eastAsia="TimesNewRoman"/>
          <w:szCs w:val="22"/>
          <w:u w:val="single"/>
          <w:lang w:eastAsia="en-US"/>
        </w:rPr>
        <w:t>áv</w:t>
      </w:r>
      <w:r w:rsidRPr="008F7ACD">
        <w:rPr>
          <w:rFonts w:eastAsia="TimesNewRoman"/>
          <w:szCs w:val="22"/>
          <w:u w:val="single"/>
          <w:lang w:eastAsia="en-US"/>
        </w:rPr>
        <w:t>ania</w:t>
      </w:r>
    </w:p>
    <w:p w:rsidR="000A2851" w:rsidRPr="008F7ACD" w:rsidRDefault="000A2851" w:rsidP="00204515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6321A9" w:rsidRPr="008F7ACD" w:rsidRDefault="000A2851" w:rsidP="00204515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8F7ACD">
        <w:rPr>
          <w:rFonts w:eastAsia="TimesNewRoman"/>
          <w:szCs w:val="22"/>
          <w:lang w:eastAsia="en-US"/>
        </w:rPr>
        <w:t>Bortezomib STADA 2,5 mg</w:t>
      </w:r>
      <w:r w:rsidR="00326712" w:rsidRPr="008F7ACD">
        <w:rPr>
          <w:rFonts w:eastAsia="TimesNewRoman"/>
          <w:szCs w:val="22"/>
          <w:lang w:eastAsia="en-US"/>
        </w:rPr>
        <w:t>/ml</w:t>
      </w:r>
      <w:r w:rsidRPr="008F7ACD">
        <w:rPr>
          <w:rFonts w:eastAsia="TimesNewRoman"/>
          <w:szCs w:val="22"/>
          <w:lang w:eastAsia="en-US"/>
        </w:rPr>
        <w:t xml:space="preserve"> injekčný</w:t>
      </w:r>
      <w:r w:rsidR="006321A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roztok </w:t>
      </w:r>
      <w:r w:rsidR="006321A9" w:rsidRPr="008F7ACD">
        <w:rPr>
          <w:rFonts w:eastAsia="TimesNewRoman"/>
          <w:szCs w:val="22"/>
          <w:lang w:eastAsia="en-US"/>
        </w:rPr>
        <w:t>je určený iba</w:t>
      </w:r>
      <w:r w:rsidRPr="008F7ACD">
        <w:rPr>
          <w:rFonts w:eastAsia="TimesNewRoman"/>
          <w:szCs w:val="22"/>
          <w:lang w:eastAsia="en-US"/>
        </w:rPr>
        <w:t xml:space="preserve"> na</w:t>
      </w:r>
      <w:r w:rsidR="006321A9" w:rsidRPr="008F7ACD">
        <w:rPr>
          <w:rFonts w:eastAsia="TimesNewRoman"/>
          <w:szCs w:val="22"/>
          <w:lang w:eastAsia="en-US"/>
        </w:rPr>
        <w:t xml:space="preserve"> subkutánne podanie</w:t>
      </w:r>
      <w:r w:rsidRPr="008F7ACD">
        <w:rPr>
          <w:rFonts w:eastAsia="TimesNewRoman"/>
          <w:szCs w:val="22"/>
          <w:lang w:eastAsia="en-US"/>
        </w:rPr>
        <w:t xml:space="preserve"> a po </w:t>
      </w:r>
      <w:r w:rsidR="00AF1E6E">
        <w:rPr>
          <w:rFonts w:eastAsia="TimesNewRoman"/>
          <w:szCs w:val="22"/>
          <w:lang w:eastAsia="en-US"/>
        </w:rPr>
        <w:t xml:space="preserve">zriedení </w:t>
      </w:r>
      <w:r w:rsidRPr="008F7ACD">
        <w:rPr>
          <w:rFonts w:eastAsia="TimesNewRoman"/>
          <w:szCs w:val="22"/>
          <w:lang w:eastAsia="en-US"/>
        </w:rPr>
        <w:t>aj na intravenózne podanie</w:t>
      </w:r>
      <w:r w:rsidR="006321A9" w:rsidRPr="008F7ACD">
        <w:rPr>
          <w:rFonts w:eastAsia="TimesNewRoman"/>
          <w:szCs w:val="22"/>
          <w:lang w:eastAsia="en-US"/>
        </w:rPr>
        <w:t>.</w:t>
      </w:r>
      <w:r w:rsidR="00204515" w:rsidRPr="008F7ACD">
        <w:rPr>
          <w:rFonts w:eastAsia="TimesNewRoman"/>
          <w:szCs w:val="22"/>
          <w:lang w:eastAsia="en-US"/>
        </w:rPr>
        <w:t xml:space="preserve"> </w:t>
      </w:r>
    </w:p>
    <w:p w:rsidR="006321A9" w:rsidRPr="008F7ACD" w:rsidRDefault="006321A9" w:rsidP="006321A9">
      <w:pPr>
        <w:ind w:left="0" w:firstLine="0"/>
        <w:rPr>
          <w:szCs w:val="22"/>
          <w:u w:val="single"/>
        </w:rPr>
      </w:pPr>
    </w:p>
    <w:p w:rsidR="006321A9" w:rsidRPr="008F7ACD" w:rsidRDefault="000C2ED2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B</w:t>
      </w:r>
      <w:r w:rsidR="00E85923" w:rsidRPr="008F7ACD">
        <w:rPr>
          <w:rFonts w:eastAsia="TimesNewRoman"/>
          <w:szCs w:val="22"/>
          <w:lang w:eastAsia="en-US"/>
        </w:rPr>
        <w:t>ortezomib</w:t>
      </w:r>
      <w:r w:rsidR="006321A9" w:rsidRPr="008F7ACD">
        <w:rPr>
          <w:rFonts w:eastAsia="TimesNewRoman"/>
          <w:szCs w:val="22"/>
          <w:lang w:eastAsia="en-US"/>
        </w:rPr>
        <w:t xml:space="preserve"> sa ne</w:t>
      </w:r>
      <w:r w:rsidR="00A62F81" w:rsidRPr="008F7ACD">
        <w:rPr>
          <w:rFonts w:eastAsia="TimesNewRoman"/>
          <w:szCs w:val="22"/>
          <w:lang w:eastAsia="en-US"/>
        </w:rPr>
        <w:t xml:space="preserve">smie </w:t>
      </w:r>
      <w:r w:rsidR="006321A9" w:rsidRPr="008F7ACD">
        <w:rPr>
          <w:rFonts w:eastAsia="TimesNewRoman"/>
          <w:szCs w:val="22"/>
          <w:lang w:eastAsia="en-US"/>
        </w:rPr>
        <w:t>podávať inými spôsobmi</w:t>
      </w:r>
      <w:r w:rsidR="006321A9" w:rsidRPr="008F7ACD">
        <w:rPr>
          <w:rFonts w:eastAsia="TimesNewRoman,Bold"/>
          <w:bCs/>
          <w:szCs w:val="22"/>
          <w:lang w:eastAsia="en-US"/>
        </w:rPr>
        <w:t>.</w:t>
      </w:r>
      <w:r w:rsidR="006321A9" w:rsidRPr="008F7ACD">
        <w:rPr>
          <w:rFonts w:eastAsia="TimesNewRoman,Bold"/>
          <w:b/>
          <w:bCs/>
          <w:szCs w:val="22"/>
          <w:lang w:eastAsia="en-US"/>
        </w:rPr>
        <w:t xml:space="preserve"> </w:t>
      </w:r>
      <w:r w:rsidR="006321A9" w:rsidRPr="008F7ACD">
        <w:rPr>
          <w:rFonts w:eastAsia="TimesNewRoman"/>
          <w:szCs w:val="22"/>
          <w:lang w:eastAsia="en-US"/>
        </w:rPr>
        <w:t xml:space="preserve">Intratekálne podanie </w:t>
      </w:r>
      <w:r w:rsidR="00E85923" w:rsidRPr="008F7ACD">
        <w:rPr>
          <w:rFonts w:eastAsia="TimesNewRoman"/>
          <w:szCs w:val="22"/>
          <w:lang w:eastAsia="en-US"/>
        </w:rPr>
        <w:t xml:space="preserve">bortezomibu </w:t>
      </w:r>
      <w:r w:rsidR="006321A9" w:rsidRPr="008F7ACD">
        <w:rPr>
          <w:rFonts w:eastAsia="TimesNewRoman"/>
          <w:szCs w:val="22"/>
          <w:lang w:eastAsia="en-US"/>
        </w:rPr>
        <w:t>viedlo k úmrtiu.</w:t>
      </w:r>
    </w:p>
    <w:p w:rsidR="00E85923" w:rsidRPr="008F7ACD" w:rsidRDefault="00E85923" w:rsidP="006321A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Intravenózna injekcia</w:t>
      </w:r>
    </w:p>
    <w:p w:rsidR="006321A9" w:rsidRPr="008F7ACD" w:rsidRDefault="000A2851" w:rsidP="000A2851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Bortezomib STADA 2,5 mg</w:t>
      </w:r>
      <w:r w:rsidR="00326712" w:rsidRPr="008F7ACD">
        <w:rPr>
          <w:rFonts w:eastAsia="TimesNewRoman"/>
          <w:szCs w:val="22"/>
          <w:lang w:eastAsia="en-US"/>
        </w:rPr>
        <w:t>/ml</w:t>
      </w:r>
      <w:r w:rsidRPr="008F7ACD">
        <w:rPr>
          <w:rFonts w:eastAsia="TimesNewRoman"/>
          <w:szCs w:val="22"/>
          <w:lang w:eastAsia="en-US"/>
        </w:rPr>
        <w:t xml:space="preserve"> injekčný roztok sa najprv zriedi na 1 mg/ml (pozri časť 6.6) a po </w:t>
      </w:r>
      <w:r w:rsidR="00AF1E6E">
        <w:rPr>
          <w:rFonts w:eastAsia="TimesNewRoman"/>
          <w:szCs w:val="22"/>
          <w:lang w:eastAsia="en-US"/>
        </w:rPr>
        <w:t xml:space="preserve">zriedení </w:t>
      </w:r>
      <w:r w:rsidR="00E85923" w:rsidRPr="008F7ACD">
        <w:rPr>
          <w:rFonts w:eastAsia="TimesNewRoman"/>
          <w:szCs w:val="22"/>
          <w:lang w:eastAsia="en-US"/>
        </w:rPr>
        <w:t xml:space="preserve">sa </w:t>
      </w:r>
      <w:r w:rsidR="006321A9" w:rsidRPr="008F7ACD">
        <w:rPr>
          <w:rFonts w:eastAsia="TimesNewRoman"/>
          <w:szCs w:val="22"/>
          <w:lang w:eastAsia="en-US"/>
        </w:rPr>
        <w:t>podáva ako 3</w:t>
      </w:r>
      <w:r w:rsidR="00A62F81" w:rsidRPr="008F7ACD">
        <w:rPr>
          <w:rFonts w:eastAsia="TimesNewRoman"/>
          <w:szCs w:val="22"/>
          <w:lang w:eastAsia="en-US"/>
        </w:rPr>
        <w:t xml:space="preserve"> – </w:t>
      </w:r>
      <w:r w:rsidRPr="008F7ACD">
        <w:rPr>
          <w:rFonts w:eastAsia="TimesNewRoman"/>
          <w:szCs w:val="22"/>
          <w:lang w:eastAsia="en-US"/>
        </w:rPr>
        <w:t>5 sekundová</w:t>
      </w:r>
      <w:r w:rsidR="006321A9" w:rsidRPr="008F7ACD">
        <w:rPr>
          <w:rFonts w:eastAsia="TimesNewRoman"/>
          <w:szCs w:val="22"/>
          <w:lang w:eastAsia="en-US"/>
        </w:rPr>
        <w:t xml:space="preserve"> bolus</w:t>
      </w:r>
      <w:r w:rsidRPr="008F7ACD">
        <w:rPr>
          <w:rFonts w:eastAsia="TimesNewRoman"/>
          <w:szCs w:val="22"/>
          <w:lang w:eastAsia="en-US"/>
        </w:rPr>
        <w:t>ová</w:t>
      </w:r>
      <w:r w:rsidR="006321A9" w:rsidRPr="008F7ACD">
        <w:rPr>
          <w:rFonts w:eastAsia="TimesNewRoman"/>
          <w:szCs w:val="22"/>
          <w:lang w:eastAsia="en-US"/>
        </w:rPr>
        <w:t xml:space="preserve"> intravenózn</w:t>
      </w:r>
      <w:r w:rsidRPr="008F7ACD">
        <w:rPr>
          <w:rFonts w:eastAsia="TimesNewRoman"/>
          <w:szCs w:val="22"/>
          <w:lang w:eastAsia="en-US"/>
        </w:rPr>
        <w:t>a</w:t>
      </w:r>
      <w:r w:rsidR="006321A9" w:rsidRPr="008F7ACD">
        <w:rPr>
          <w:rFonts w:eastAsia="TimesNewRoman"/>
          <w:szCs w:val="22"/>
          <w:lang w:eastAsia="en-US"/>
        </w:rPr>
        <w:t xml:space="preserve"> injekci</w:t>
      </w:r>
      <w:r w:rsidRPr="008F7ACD">
        <w:rPr>
          <w:rFonts w:eastAsia="TimesNewRoman"/>
          <w:szCs w:val="22"/>
          <w:lang w:eastAsia="en-US"/>
        </w:rPr>
        <w:t>a</w:t>
      </w:r>
      <w:r w:rsidR="006321A9" w:rsidRPr="008F7ACD">
        <w:rPr>
          <w:rFonts w:eastAsia="TimesNewRoman"/>
          <w:szCs w:val="22"/>
          <w:lang w:eastAsia="en-US"/>
        </w:rPr>
        <w:t xml:space="preserve"> cez</w:t>
      </w:r>
      <w:r w:rsidR="00A62F81" w:rsidRPr="008F7ACD">
        <w:rPr>
          <w:rFonts w:eastAsia="TimesNewRoman"/>
          <w:szCs w:val="22"/>
          <w:lang w:eastAsia="en-US"/>
        </w:rPr>
        <w:t> </w:t>
      </w:r>
      <w:r w:rsidR="006321A9" w:rsidRPr="008F7ACD">
        <w:rPr>
          <w:rFonts w:eastAsia="TimesNewRoman"/>
          <w:szCs w:val="22"/>
          <w:lang w:eastAsia="en-US"/>
        </w:rPr>
        <w:t>periférny alebo centrálny</w:t>
      </w:r>
      <w:r w:rsidR="00E85923" w:rsidRPr="008F7ACD">
        <w:rPr>
          <w:rFonts w:eastAsia="TimesNewRoman"/>
          <w:szCs w:val="22"/>
          <w:lang w:eastAsia="en-US"/>
        </w:rPr>
        <w:t xml:space="preserve"> </w:t>
      </w:r>
      <w:r w:rsidR="006321A9" w:rsidRPr="008F7ACD">
        <w:rPr>
          <w:rFonts w:eastAsia="TimesNewRoman"/>
          <w:szCs w:val="22"/>
          <w:lang w:eastAsia="en-US"/>
        </w:rPr>
        <w:t>intravenózny katéter s následným prepláchnutím injekčným roztokom 9</w:t>
      </w:r>
      <w:r w:rsidR="00E85923" w:rsidRPr="008F7ACD">
        <w:rPr>
          <w:rFonts w:eastAsia="TimesNewRoman"/>
          <w:szCs w:val="22"/>
          <w:lang w:eastAsia="en-US"/>
        </w:rPr>
        <w:t> </w:t>
      </w:r>
      <w:r w:rsidR="006321A9" w:rsidRPr="008F7ACD">
        <w:rPr>
          <w:rFonts w:eastAsia="TimesNewRoman"/>
          <w:szCs w:val="22"/>
          <w:lang w:eastAsia="en-US"/>
        </w:rPr>
        <w:t>mg/ml (0,9</w:t>
      </w:r>
      <w:r w:rsidR="00E85923" w:rsidRPr="008F7ACD">
        <w:rPr>
          <w:rFonts w:eastAsia="TimesNewRoman"/>
          <w:szCs w:val="22"/>
          <w:lang w:eastAsia="en-US"/>
        </w:rPr>
        <w:t> </w:t>
      </w:r>
      <w:r w:rsidR="006321A9" w:rsidRPr="008F7ACD">
        <w:rPr>
          <w:rFonts w:eastAsia="TimesNewRoman"/>
          <w:szCs w:val="22"/>
          <w:lang w:eastAsia="en-US"/>
        </w:rPr>
        <w:t>%) chloridu</w:t>
      </w:r>
      <w:r w:rsidR="00E8592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sodného. Medzi dvoma</w:t>
      </w:r>
      <w:r w:rsidR="006321A9" w:rsidRPr="008F7ACD">
        <w:rPr>
          <w:rFonts w:eastAsia="TimesNewRoman"/>
          <w:szCs w:val="22"/>
          <w:lang w:eastAsia="en-US"/>
        </w:rPr>
        <w:t xml:space="preserve"> po sebe nasledujúcimi dávkami </w:t>
      </w:r>
      <w:r w:rsidR="00E85923" w:rsidRPr="008F7ACD">
        <w:rPr>
          <w:rFonts w:eastAsia="TimesNewRoman"/>
          <w:szCs w:val="22"/>
          <w:lang w:eastAsia="en-US"/>
        </w:rPr>
        <w:t>bortezomibu</w:t>
      </w:r>
      <w:r w:rsidR="006321A9" w:rsidRPr="008F7ACD">
        <w:rPr>
          <w:rFonts w:eastAsia="TimesNewRoman"/>
          <w:szCs w:val="22"/>
          <w:lang w:eastAsia="en-US"/>
        </w:rPr>
        <w:t xml:space="preserve"> má uplynúť minimálne 72</w:t>
      </w:r>
      <w:r w:rsidR="00E85923" w:rsidRPr="008F7ACD">
        <w:rPr>
          <w:rFonts w:eastAsia="TimesNewRoman"/>
          <w:szCs w:val="22"/>
          <w:lang w:eastAsia="en-US"/>
        </w:rPr>
        <w:t xml:space="preserve"> </w:t>
      </w:r>
      <w:r w:rsidR="006321A9" w:rsidRPr="008F7ACD">
        <w:rPr>
          <w:rFonts w:eastAsia="TimesNewRoman"/>
          <w:szCs w:val="22"/>
          <w:lang w:eastAsia="en-US"/>
        </w:rPr>
        <w:t>hodín.</w:t>
      </w:r>
    </w:p>
    <w:p w:rsidR="00E85923" w:rsidRPr="008F7ACD" w:rsidRDefault="00E85923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E85923" w:rsidRPr="008F7ACD" w:rsidRDefault="00E85923" w:rsidP="00E85923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Subkutánna injekcia</w:t>
      </w:r>
    </w:p>
    <w:p w:rsidR="00E85923" w:rsidRPr="008F7ACD" w:rsidRDefault="000A2851" w:rsidP="00E8592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Bortezomib STADA 2,5 mg</w:t>
      </w:r>
      <w:r w:rsidR="00326712" w:rsidRPr="008F7ACD">
        <w:rPr>
          <w:rFonts w:eastAsia="TimesNewRoman"/>
          <w:szCs w:val="22"/>
          <w:lang w:eastAsia="en-US"/>
        </w:rPr>
        <w:t>/ml</w:t>
      </w:r>
      <w:r w:rsidRPr="008F7ACD">
        <w:rPr>
          <w:rFonts w:eastAsia="TimesNewRoman"/>
          <w:szCs w:val="22"/>
          <w:lang w:eastAsia="en-US"/>
        </w:rPr>
        <w:t xml:space="preserve"> injekčný roztok </w:t>
      </w:r>
      <w:r w:rsidR="00E85923" w:rsidRPr="008F7ACD">
        <w:rPr>
          <w:rFonts w:eastAsia="TimesNewRoman"/>
          <w:szCs w:val="22"/>
          <w:lang w:eastAsia="en-US"/>
        </w:rPr>
        <w:t>sa podáva subkutánne do stehna (vpravo alebo vľavo) alebo do</w:t>
      </w:r>
      <w:r w:rsidR="00A62F81" w:rsidRPr="008F7ACD">
        <w:rPr>
          <w:rFonts w:eastAsia="TimesNewRoman"/>
          <w:szCs w:val="22"/>
          <w:lang w:eastAsia="en-US"/>
        </w:rPr>
        <w:t> </w:t>
      </w:r>
      <w:r w:rsidR="00E85923" w:rsidRPr="008F7ACD">
        <w:rPr>
          <w:rFonts w:eastAsia="TimesNewRoman"/>
          <w:szCs w:val="22"/>
          <w:lang w:eastAsia="en-US"/>
        </w:rPr>
        <w:t>brucha (vpravo alebo vľavo). Roztok sa má podať subkutánne, pod 45</w:t>
      </w:r>
      <w:r w:rsidR="00A62F81" w:rsidRPr="008F7ACD">
        <w:rPr>
          <w:rFonts w:eastAsia="TimesNewRoman"/>
          <w:szCs w:val="22"/>
          <w:lang w:eastAsia="en-US"/>
        </w:rPr>
        <w:t xml:space="preserve"> – </w:t>
      </w:r>
      <w:r w:rsidR="00E85923" w:rsidRPr="008F7ACD">
        <w:rPr>
          <w:rFonts w:eastAsia="TimesNewRoman"/>
          <w:szCs w:val="22"/>
          <w:lang w:eastAsia="en-US"/>
        </w:rPr>
        <w:t>90° uhlom. Miesta podania injekcie sa majú striedať.</w:t>
      </w:r>
    </w:p>
    <w:p w:rsidR="00E85923" w:rsidRPr="008F7ACD" w:rsidRDefault="00E85923" w:rsidP="00E8592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E85923" w:rsidRPr="008F7ACD" w:rsidRDefault="00E85923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Ak sa po subkutánnom podaní injekcie bortezomibu vyskytnú lokálne reakcie v mieste podania, odporúča sa podať bortezomib buď s nižšou koncentráciou subkutánne (</w:t>
      </w:r>
      <w:r w:rsidR="00AE5C76" w:rsidRPr="008F7ACD">
        <w:rPr>
          <w:rFonts w:eastAsia="TimesNewRoman"/>
          <w:szCs w:val="22"/>
          <w:lang w:eastAsia="en-US"/>
        </w:rPr>
        <w:t>1 mg/ml namiesto 2,5 mg/ml)</w:t>
      </w:r>
      <w:r w:rsidRPr="008F7ACD">
        <w:rPr>
          <w:rFonts w:eastAsia="TimesNewRoman"/>
          <w:szCs w:val="22"/>
          <w:lang w:eastAsia="en-US"/>
        </w:rPr>
        <w:t xml:space="preserve"> alebo prejsť na podávanie vo forme intravenóznej injekcie. </w:t>
      </w:r>
    </w:p>
    <w:p w:rsidR="00E85923" w:rsidRPr="008F7ACD" w:rsidRDefault="00E85923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Keď sa </w:t>
      </w:r>
      <w:r w:rsidR="00E85923" w:rsidRPr="008F7ACD">
        <w:rPr>
          <w:rFonts w:eastAsia="TimesNewRoman"/>
          <w:szCs w:val="22"/>
          <w:lang w:eastAsia="en-US"/>
        </w:rPr>
        <w:t xml:space="preserve">bortezomib </w:t>
      </w:r>
      <w:r w:rsidRPr="008F7ACD">
        <w:rPr>
          <w:rFonts w:eastAsia="TimesNewRoman"/>
          <w:szCs w:val="22"/>
          <w:lang w:eastAsia="en-US"/>
        </w:rPr>
        <w:t xml:space="preserve">podáva v kombinácii s inými liekmi, pozrite si </w:t>
      </w:r>
      <w:r w:rsidR="00A62F81" w:rsidRPr="008F7ACD">
        <w:rPr>
          <w:rFonts w:eastAsia="TimesNewRoman"/>
          <w:szCs w:val="22"/>
          <w:lang w:eastAsia="en-US"/>
        </w:rPr>
        <w:t>pokyny</w:t>
      </w:r>
      <w:r w:rsidRPr="008F7ACD">
        <w:rPr>
          <w:rFonts w:eastAsia="TimesNewRoman"/>
          <w:szCs w:val="22"/>
          <w:lang w:eastAsia="en-US"/>
        </w:rPr>
        <w:t xml:space="preserve"> na podávanie v súhrne</w:t>
      </w:r>
    </w:p>
    <w:p w:rsidR="006321A9" w:rsidRPr="008F7ACD" w:rsidRDefault="006321A9" w:rsidP="006321A9">
      <w:pPr>
        <w:ind w:left="0" w:firstLine="0"/>
        <w:rPr>
          <w:szCs w:val="22"/>
          <w:u w:val="single"/>
        </w:rPr>
      </w:pPr>
      <w:r w:rsidRPr="008F7ACD">
        <w:rPr>
          <w:rFonts w:eastAsia="TimesNewRoman"/>
          <w:szCs w:val="22"/>
          <w:lang w:eastAsia="en-US"/>
        </w:rPr>
        <w:t>charakteristických vlastností týchto liekov.</w:t>
      </w:r>
    </w:p>
    <w:p w:rsidR="00B12DB6" w:rsidRPr="008F7ACD" w:rsidRDefault="00B12DB6" w:rsidP="00C92B0B">
      <w:pPr>
        <w:rPr>
          <w:b/>
          <w:szCs w:val="22"/>
        </w:rPr>
      </w:pPr>
    </w:p>
    <w:p w:rsidR="00FF6BE0" w:rsidRPr="008F7ACD" w:rsidRDefault="00FF6BE0" w:rsidP="00C92B0B">
      <w:pPr>
        <w:rPr>
          <w:szCs w:val="22"/>
        </w:rPr>
      </w:pPr>
      <w:r w:rsidRPr="008F7ACD">
        <w:rPr>
          <w:b/>
          <w:szCs w:val="22"/>
        </w:rPr>
        <w:t>4.3</w:t>
      </w:r>
      <w:r w:rsidRPr="008F7ACD">
        <w:rPr>
          <w:b/>
          <w:szCs w:val="22"/>
        </w:rPr>
        <w:tab/>
        <w:t xml:space="preserve">Kontraindikácie </w:t>
      </w:r>
    </w:p>
    <w:p w:rsidR="00B12DB6" w:rsidRPr="008F7ACD" w:rsidRDefault="00B12DB6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Precitlivenosť na liečivo, na bór alebo na ktorúkoľvek z pomocných látok uvedených v časti 6.1.</w:t>
      </w: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Akútna difúzna infiltračná pľúcna a perikardiálna choroba.</w:t>
      </w:r>
    </w:p>
    <w:p w:rsidR="00AE5C76" w:rsidRPr="008F7ACD" w:rsidRDefault="00AE5C76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B91742" w:rsidRPr="008F7ACD" w:rsidRDefault="006321A9" w:rsidP="00B12DB6">
      <w:pPr>
        <w:autoSpaceDE w:val="0"/>
        <w:autoSpaceDN w:val="0"/>
        <w:adjustRightInd w:val="0"/>
        <w:ind w:left="0" w:firstLine="0"/>
        <w:rPr>
          <w:szCs w:val="22"/>
        </w:rPr>
      </w:pPr>
      <w:r w:rsidRPr="008F7ACD">
        <w:rPr>
          <w:rFonts w:eastAsia="TimesNewRoman"/>
          <w:szCs w:val="22"/>
          <w:lang w:eastAsia="en-US"/>
        </w:rPr>
        <w:t xml:space="preserve">V prípade, že sa </w:t>
      </w:r>
      <w:r w:rsidR="00B12DB6" w:rsidRPr="008F7ACD">
        <w:rPr>
          <w:rFonts w:eastAsia="TimesNewRoman"/>
          <w:szCs w:val="22"/>
          <w:lang w:eastAsia="en-US"/>
        </w:rPr>
        <w:t>bortezomib</w:t>
      </w:r>
      <w:r w:rsidRPr="008F7ACD">
        <w:rPr>
          <w:rFonts w:eastAsia="TimesNewRoman"/>
          <w:szCs w:val="22"/>
          <w:lang w:eastAsia="en-US"/>
        </w:rPr>
        <w:t xml:space="preserve"> podáva v kombinácii s inými liekmi, prečítajte si súhrny</w:t>
      </w:r>
      <w:r w:rsidR="00B12DB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charakteristických vlastností </w:t>
      </w:r>
      <w:r w:rsidR="005E5F27" w:rsidRPr="008F7ACD">
        <w:rPr>
          <w:rFonts w:eastAsia="TimesNewRoman"/>
          <w:szCs w:val="22"/>
          <w:lang w:eastAsia="en-US"/>
        </w:rPr>
        <w:t xml:space="preserve">daných </w:t>
      </w:r>
      <w:r w:rsidRPr="008F7ACD">
        <w:rPr>
          <w:rFonts w:eastAsia="TimesNewRoman"/>
          <w:szCs w:val="22"/>
          <w:lang w:eastAsia="en-US"/>
        </w:rPr>
        <w:t>liek</w:t>
      </w:r>
      <w:r w:rsidR="005E5F27" w:rsidRPr="008F7ACD">
        <w:rPr>
          <w:rFonts w:eastAsia="TimesNewRoman"/>
          <w:szCs w:val="22"/>
          <w:lang w:eastAsia="en-US"/>
        </w:rPr>
        <w:t>ov</w:t>
      </w:r>
      <w:r w:rsidRPr="008F7ACD">
        <w:rPr>
          <w:rFonts w:eastAsia="TimesNewRoman"/>
          <w:szCs w:val="22"/>
          <w:lang w:eastAsia="en-US"/>
        </w:rPr>
        <w:t xml:space="preserve"> pre ďalšie informácie o kontraindikáciách.</w:t>
      </w:r>
    </w:p>
    <w:p w:rsidR="00387A8B" w:rsidRPr="008F7ACD" w:rsidRDefault="00387A8B" w:rsidP="00C92B0B">
      <w:pPr>
        <w:rPr>
          <w:b/>
          <w:szCs w:val="22"/>
        </w:rPr>
      </w:pPr>
    </w:p>
    <w:p w:rsidR="00FF6BE0" w:rsidRPr="008F7ACD" w:rsidRDefault="00FF6BE0" w:rsidP="00C92B0B">
      <w:pPr>
        <w:rPr>
          <w:b/>
          <w:szCs w:val="22"/>
        </w:rPr>
      </w:pPr>
      <w:r w:rsidRPr="008F7ACD">
        <w:rPr>
          <w:b/>
          <w:szCs w:val="22"/>
        </w:rPr>
        <w:t>4.4</w:t>
      </w:r>
      <w:r w:rsidRPr="008F7ACD">
        <w:rPr>
          <w:b/>
          <w:szCs w:val="22"/>
        </w:rPr>
        <w:tab/>
        <w:t>Osobitné upozornenia a opatrenia pri používaní</w:t>
      </w:r>
    </w:p>
    <w:p w:rsidR="00190622" w:rsidRPr="008F7ACD" w:rsidRDefault="00190622" w:rsidP="00C92B0B">
      <w:pPr>
        <w:ind w:left="0" w:firstLine="0"/>
        <w:rPr>
          <w:szCs w:val="22"/>
        </w:rPr>
      </w:pP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V prípade, že sa </w:t>
      </w:r>
      <w:r w:rsidR="00B12DB6" w:rsidRPr="008F7ACD">
        <w:rPr>
          <w:rFonts w:eastAsia="TimesNewRoman"/>
          <w:szCs w:val="22"/>
          <w:lang w:eastAsia="en-US"/>
        </w:rPr>
        <w:t xml:space="preserve">bortezomib </w:t>
      </w:r>
      <w:r w:rsidRPr="008F7ACD">
        <w:rPr>
          <w:rFonts w:eastAsia="TimesNewRoman"/>
          <w:szCs w:val="22"/>
          <w:lang w:eastAsia="en-US"/>
        </w:rPr>
        <w:t xml:space="preserve">podáva v kombinácii s inými liekmi, pred začatím liečby </w:t>
      </w:r>
      <w:r w:rsidR="00E73DD6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je potrebné pozrieť si súhrny charakteristických vlastností týchto liekov. Ak sa používa</w:t>
      </w:r>
      <w:r w:rsidR="00E73DD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talidomid, pozornosť treba venovať obzvlášť tehotenským testom a preventívnym opatreniam (pozri</w:t>
      </w:r>
      <w:r w:rsidR="00E73DD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časť 4.6).</w:t>
      </w:r>
    </w:p>
    <w:p w:rsidR="00E73DD6" w:rsidRPr="008F7ACD" w:rsidRDefault="00E73DD6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Intratekálne podanie</w:t>
      </w:r>
    </w:p>
    <w:p w:rsidR="00E73DD6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Po neúmyselnom podaní </w:t>
      </w:r>
      <w:r w:rsidR="00E73DD6" w:rsidRPr="008F7ACD">
        <w:rPr>
          <w:rFonts w:eastAsia="TimesNewRoman"/>
          <w:szCs w:val="22"/>
          <w:lang w:eastAsia="en-US"/>
        </w:rPr>
        <w:t>bortezomibu</w:t>
      </w:r>
      <w:r w:rsidRPr="008F7ACD">
        <w:rPr>
          <w:rFonts w:eastAsia="TimesNewRoman"/>
          <w:szCs w:val="22"/>
          <w:lang w:eastAsia="en-US"/>
        </w:rPr>
        <w:t xml:space="preserve"> intratekálne boli zaznamenané prípady úmrtia. </w:t>
      </w:r>
    </w:p>
    <w:p w:rsidR="006321A9" w:rsidRPr="008F7ACD" w:rsidRDefault="00E73DD6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lastRenderedPageBreak/>
        <w:t xml:space="preserve">Bortezomib </w:t>
      </w:r>
      <w:r w:rsidR="00CB7B4D" w:rsidRPr="008F7ACD">
        <w:rPr>
          <w:rFonts w:eastAsia="TimesNewRoman"/>
          <w:szCs w:val="22"/>
          <w:lang w:eastAsia="en-US"/>
        </w:rPr>
        <w:t xml:space="preserve">STADA 2,5 mg/ml injekčný roztok </w:t>
      </w:r>
      <w:r w:rsidR="006321A9" w:rsidRPr="008F7ACD">
        <w:rPr>
          <w:rFonts w:eastAsia="TimesNewRoman"/>
          <w:szCs w:val="22"/>
          <w:lang w:eastAsia="en-US"/>
        </w:rPr>
        <w:t xml:space="preserve">je určený na intravenózne alebo subkutánne podanie. </w:t>
      </w:r>
      <w:r w:rsidR="00314674" w:rsidRPr="008F7ACD">
        <w:rPr>
          <w:rFonts w:eastAsia="TimesNewRoman"/>
          <w:szCs w:val="22"/>
          <w:lang w:eastAsia="en-US"/>
        </w:rPr>
        <w:t xml:space="preserve">Bortezomib </w:t>
      </w:r>
      <w:r w:rsidR="006321A9" w:rsidRPr="008F7ACD">
        <w:rPr>
          <w:rFonts w:eastAsia="TimesNewRoman"/>
          <w:szCs w:val="22"/>
          <w:lang w:eastAsia="en-US"/>
        </w:rPr>
        <w:t>sa nemá</w:t>
      </w:r>
      <w:r w:rsidRPr="008F7ACD">
        <w:rPr>
          <w:rFonts w:eastAsia="TimesNewRoman"/>
          <w:szCs w:val="22"/>
          <w:lang w:eastAsia="en-US"/>
        </w:rPr>
        <w:t xml:space="preserve"> </w:t>
      </w:r>
      <w:r w:rsidR="006321A9" w:rsidRPr="008F7ACD">
        <w:rPr>
          <w:rFonts w:eastAsia="TimesNewRoman"/>
          <w:szCs w:val="22"/>
          <w:lang w:eastAsia="en-US"/>
        </w:rPr>
        <w:t>podávať intratekálne.</w:t>
      </w:r>
    </w:p>
    <w:p w:rsidR="00BD2899" w:rsidRPr="008F7ACD" w:rsidRDefault="00BD289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</w:p>
    <w:p w:rsidR="006321A9" w:rsidRPr="008F7ACD" w:rsidRDefault="006321A9" w:rsidP="006321A9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Gastrointestinálna toxicita</w:t>
      </w:r>
    </w:p>
    <w:p w:rsidR="006321A9" w:rsidRPr="008F7ACD" w:rsidRDefault="006321A9" w:rsidP="005F149D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8F7ACD">
        <w:rPr>
          <w:rFonts w:eastAsia="TimesNewRoman"/>
          <w:szCs w:val="22"/>
          <w:lang w:eastAsia="en-US"/>
        </w:rPr>
        <w:t>Gastrointestinálna toxicita, zahrňujúca nauzeu, diareu, vracanie a zápchu, sa veľmi často vyskytuje</w:t>
      </w:r>
      <w:r w:rsidR="005F149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počas liečby </w:t>
      </w:r>
      <w:r w:rsidR="005F149D" w:rsidRPr="008F7ACD">
        <w:rPr>
          <w:rFonts w:eastAsia="TimesNewRoman"/>
          <w:szCs w:val="22"/>
          <w:lang w:eastAsia="en-US"/>
        </w:rPr>
        <w:t>bortezomibom.</w:t>
      </w:r>
      <w:r w:rsidRPr="008F7ACD">
        <w:rPr>
          <w:rFonts w:eastAsia="TimesNewRoman"/>
          <w:szCs w:val="22"/>
          <w:lang w:eastAsia="en-US"/>
        </w:rPr>
        <w:t xml:space="preserve"> M</w:t>
      </w:r>
      <w:r w:rsidR="005F149D" w:rsidRPr="008F7ACD">
        <w:rPr>
          <w:rFonts w:eastAsia="TimesNewRoman"/>
          <w:szCs w:val="22"/>
          <w:lang w:eastAsia="en-US"/>
        </w:rPr>
        <w:t>enej často</w:t>
      </w:r>
      <w:r w:rsidRPr="008F7ACD">
        <w:rPr>
          <w:rFonts w:eastAsia="TimesNewRoman"/>
          <w:szCs w:val="22"/>
          <w:lang w:eastAsia="en-US"/>
        </w:rPr>
        <w:t xml:space="preserve"> sa zaznamenali prípady ilea (pozri časť 4.8). Pacienti, ktorí</w:t>
      </w:r>
      <w:r w:rsidR="005F149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majú problémy s obstipáciou, majú </w:t>
      </w:r>
      <w:r w:rsidR="00314674" w:rsidRPr="008F7ACD">
        <w:rPr>
          <w:rFonts w:eastAsia="TimesNewRoman"/>
          <w:szCs w:val="22"/>
          <w:lang w:eastAsia="en-US"/>
        </w:rPr>
        <w:t xml:space="preserve">byť </w:t>
      </w:r>
      <w:r w:rsidRPr="008F7ACD">
        <w:rPr>
          <w:rFonts w:eastAsia="TimesNewRoman"/>
          <w:szCs w:val="22"/>
          <w:lang w:eastAsia="en-US"/>
        </w:rPr>
        <w:t>preto starostlivo sledova</w:t>
      </w:r>
      <w:r w:rsidR="00314674" w:rsidRPr="008F7ACD">
        <w:rPr>
          <w:rFonts w:eastAsia="TimesNewRoman"/>
          <w:szCs w:val="22"/>
          <w:lang w:eastAsia="en-US"/>
        </w:rPr>
        <w:t>ní</w:t>
      </w:r>
      <w:r w:rsidRPr="008F7ACD">
        <w:rPr>
          <w:rFonts w:eastAsia="TimesNewRoman"/>
          <w:szCs w:val="22"/>
          <w:lang w:eastAsia="en-US"/>
        </w:rPr>
        <w:t>.</w:t>
      </w:r>
    </w:p>
    <w:p w:rsidR="006321A9" w:rsidRPr="008F7ACD" w:rsidRDefault="006321A9" w:rsidP="00C92B0B">
      <w:pPr>
        <w:ind w:left="0" w:firstLine="0"/>
        <w:rPr>
          <w:szCs w:val="22"/>
          <w:u w:val="single"/>
        </w:rPr>
      </w:pP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Hematologická toxicita</w:t>
      </w:r>
    </w:p>
    <w:p w:rsidR="00505AF2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Liečba </w:t>
      </w:r>
      <w:r w:rsidR="005F149D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sa veľmi často spája s hematologickou toxicitou (trombocytopénia, neutropénia a</w:t>
      </w:r>
      <w:r w:rsidR="005F149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anémia). V štúdiách u pacientov s relapsom mnohopočetného myelómu liečených</w:t>
      </w:r>
      <w:r w:rsidR="005F149D" w:rsidRPr="008F7ACD">
        <w:rPr>
          <w:rFonts w:eastAsia="TimesNewRoman"/>
          <w:szCs w:val="22"/>
          <w:lang w:eastAsia="en-US"/>
        </w:rPr>
        <w:t xml:space="preserve"> bortezomibom </w:t>
      </w:r>
      <w:r w:rsidRPr="008F7ACD">
        <w:rPr>
          <w:rFonts w:eastAsia="TimesNewRoman"/>
          <w:szCs w:val="22"/>
          <w:lang w:eastAsia="en-US"/>
        </w:rPr>
        <w:t>a</w:t>
      </w:r>
      <w:r w:rsidR="0096072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u</w:t>
      </w:r>
      <w:r w:rsidR="0096072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pacientov s doteraz neliečeným MCL liečenými</w:t>
      </w:r>
      <w:r w:rsidR="005F149D" w:rsidRPr="008F7ACD">
        <w:rPr>
          <w:rFonts w:eastAsia="TimesNewRoman"/>
          <w:szCs w:val="22"/>
          <w:lang w:eastAsia="en-US"/>
        </w:rPr>
        <w:t xml:space="preserve"> bortezomibom </w:t>
      </w:r>
      <w:r w:rsidRPr="008F7ACD">
        <w:rPr>
          <w:rFonts w:eastAsia="TimesNewRoman"/>
          <w:szCs w:val="22"/>
          <w:lang w:eastAsia="en-US"/>
        </w:rPr>
        <w:t>v kombinácii s rituximabom,</w:t>
      </w:r>
      <w:r w:rsidR="005F149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cyklofosfamidom, doxorubicínom a prednizónom (</w:t>
      </w:r>
      <w:r w:rsidR="00BD2899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R</w:t>
      </w:r>
      <w:r w:rsidR="007843AC" w:rsidRPr="008F7ACD">
        <w:rPr>
          <w:rFonts w:eastAsia="TimesNewRoman"/>
          <w:szCs w:val="22"/>
          <w:lang w:eastAsia="en-US"/>
        </w:rPr>
        <w:t> </w:t>
      </w:r>
      <w:r w:rsidR="007843AC" w:rsidRPr="008F7ACD">
        <w:rPr>
          <w:rFonts w:eastAsia="TimesNewRoman"/>
          <w:szCs w:val="22"/>
          <w:lang w:eastAsia="en-US"/>
        </w:rPr>
        <w:noBreakHyphen/>
        <w:t> </w:t>
      </w:r>
      <w:r w:rsidRPr="008F7ACD">
        <w:rPr>
          <w:rFonts w:eastAsia="TimesNewRoman"/>
          <w:szCs w:val="22"/>
          <w:lang w:eastAsia="en-US"/>
        </w:rPr>
        <w:t>CAP) bola jednou z</w:t>
      </w:r>
      <w:r w:rsidR="005F149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najčastejších</w:t>
      </w:r>
      <w:r w:rsidR="005F149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hematologických toxicít tranzitó</w:t>
      </w:r>
      <w:r w:rsidR="005F149D" w:rsidRPr="008F7ACD">
        <w:rPr>
          <w:rFonts w:eastAsia="TimesNewRoman"/>
          <w:szCs w:val="22"/>
          <w:lang w:eastAsia="en-US"/>
        </w:rPr>
        <w:t>rn</w:t>
      </w:r>
      <w:r w:rsidRPr="008F7ACD">
        <w:rPr>
          <w:rFonts w:eastAsia="TimesNewRoman"/>
          <w:szCs w:val="22"/>
          <w:lang w:eastAsia="en-US"/>
        </w:rPr>
        <w:t>a trombocytopénia. Počet krvných doštičiek bol najnižší v 11.</w:t>
      </w:r>
      <w:r w:rsidR="005F149D" w:rsidRPr="008F7ACD">
        <w:rPr>
          <w:rFonts w:eastAsia="TimesNewRoman"/>
          <w:szCs w:val="22"/>
          <w:lang w:eastAsia="en-US"/>
        </w:rPr>
        <w:t> d</w:t>
      </w:r>
      <w:r w:rsidRPr="008F7ACD">
        <w:rPr>
          <w:rFonts w:eastAsia="TimesNewRoman"/>
          <w:szCs w:val="22"/>
          <w:lang w:eastAsia="en-US"/>
        </w:rPr>
        <w:t>eň</w:t>
      </w:r>
      <w:r w:rsidR="005F149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každého terapeutického cyklu</w:t>
      </w:r>
      <w:r w:rsidR="005F149D" w:rsidRPr="008F7ACD">
        <w:rPr>
          <w:rFonts w:eastAsia="TimesNewRoman"/>
          <w:szCs w:val="22"/>
          <w:lang w:eastAsia="en-US"/>
        </w:rPr>
        <w:t> </w:t>
      </w:r>
      <w:r w:rsidR="00960729" w:rsidRPr="008F7ACD">
        <w:rPr>
          <w:rFonts w:eastAsia="TimesNewRoman"/>
          <w:szCs w:val="22"/>
          <w:lang w:eastAsia="en-US"/>
        </w:rPr>
        <w:t xml:space="preserve">s </w:t>
      </w:r>
      <w:r w:rsidR="005F149D" w:rsidRPr="008F7ACD">
        <w:rPr>
          <w:rFonts w:eastAsia="TimesNewRoman"/>
          <w:szCs w:val="22"/>
          <w:lang w:eastAsia="en-US"/>
        </w:rPr>
        <w:t>bortezomib</w:t>
      </w:r>
      <w:r w:rsidR="00960729" w:rsidRPr="008F7ACD">
        <w:rPr>
          <w:rFonts w:eastAsia="TimesNewRoman"/>
          <w:szCs w:val="22"/>
          <w:lang w:eastAsia="en-US"/>
        </w:rPr>
        <w:t>om</w:t>
      </w:r>
      <w:r w:rsidR="005F149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a zvyčajne sa upravil na východiskovú hodnotu </w:t>
      </w:r>
      <w:r w:rsidR="00342FBA" w:rsidRPr="008F7ACD">
        <w:rPr>
          <w:rFonts w:eastAsia="TimesNewRoman"/>
          <w:szCs w:val="22"/>
          <w:lang w:eastAsia="en-US"/>
        </w:rPr>
        <w:t>do</w:t>
      </w:r>
      <w:r w:rsidR="0096072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ďalš</w:t>
      </w:r>
      <w:r w:rsidR="00342FBA" w:rsidRPr="008F7ACD">
        <w:rPr>
          <w:rFonts w:eastAsia="TimesNewRoman"/>
          <w:szCs w:val="22"/>
          <w:lang w:eastAsia="en-US"/>
        </w:rPr>
        <w:t>ieho</w:t>
      </w:r>
      <w:r w:rsidR="005F149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cykl</w:t>
      </w:r>
      <w:r w:rsidR="00342FBA" w:rsidRPr="008F7ACD">
        <w:rPr>
          <w:rFonts w:eastAsia="TimesNewRoman"/>
          <w:szCs w:val="22"/>
          <w:lang w:eastAsia="en-US"/>
        </w:rPr>
        <w:t>u</w:t>
      </w:r>
      <w:r w:rsidRPr="008F7ACD">
        <w:rPr>
          <w:rFonts w:eastAsia="TimesNewRoman"/>
          <w:szCs w:val="22"/>
          <w:lang w:eastAsia="en-US"/>
        </w:rPr>
        <w:t>. Nedokázala sa kumulatívna trombocytopénia. Nameraná dolná hodnota priemerného počtu</w:t>
      </w:r>
      <w:r w:rsidR="005F149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trombocytov bola približne 40</w:t>
      </w:r>
      <w:r w:rsidR="005F149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z východiskovej hodnoty v štúdiách mnohopočetného myelómu</w:t>
      </w:r>
      <w:r w:rsidR="005F149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</w:t>
      </w:r>
      <w:r w:rsidR="0096072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jedným liekom a 50</w:t>
      </w:r>
      <w:r w:rsidR="005F149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v štúdii MCL. U pacientov s pokročilým myelómom súvisela závažnosť</w:t>
      </w:r>
      <w:r w:rsidR="005F149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trombocytopénie s počtom trombocytov pred začiatkom liečby: u</w:t>
      </w:r>
      <w:r w:rsidR="0096072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pacientov s východiskovou</w:t>
      </w:r>
      <w:r w:rsidR="005F149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hodnotou trombocytov &lt;</w:t>
      </w:r>
      <w:r w:rsidR="005F149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75</w:t>
      </w:r>
      <w:r w:rsidR="005F149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000/μl, malo počas štúdie 90</w:t>
      </w:r>
      <w:r w:rsidR="005F149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% z 21 pacientov počet </w:t>
      </w:r>
      <w:r w:rsidR="005F149D" w:rsidRPr="008F7ACD">
        <w:rPr>
          <w:color w:val="000000"/>
          <w:szCs w:val="22"/>
        </w:rPr>
        <w:t>≤ </w:t>
      </w:r>
      <w:r w:rsidRPr="008F7ACD">
        <w:rPr>
          <w:rFonts w:eastAsia="TimesNewRoman"/>
          <w:szCs w:val="22"/>
          <w:lang w:eastAsia="en-US"/>
        </w:rPr>
        <w:t>25</w:t>
      </w:r>
      <w:r w:rsidR="005F149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000/μl, vrátane</w:t>
      </w:r>
      <w:r w:rsidR="005F149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14</w:t>
      </w:r>
      <w:r w:rsidR="005F149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pacientov s &lt;</w:t>
      </w:r>
      <w:r w:rsidR="005F149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10</w:t>
      </w:r>
      <w:r w:rsidR="005F149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000/μl, naproti tomu </w:t>
      </w:r>
      <w:r w:rsidR="00CB7B4D" w:rsidRPr="008F7ACD">
        <w:rPr>
          <w:rFonts w:eastAsia="TimesNewRoman"/>
          <w:szCs w:val="22"/>
          <w:lang w:eastAsia="en-US"/>
        </w:rPr>
        <w:t xml:space="preserve">u pacientov </w:t>
      </w:r>
      <w:r w:rsidRPr="008F7ACD">
        <w:rPr>
          <w:rFonts w:eastAsia="TimesNewRoman"/>
          <w:szCs w:val="22"/>
          <w:lang w:eastAsia="en-US"/>
        </w:rPr>
        <w:t xml:space="preserve">s východiskovou hodnotou trombocytov </w:t>
      </w:r>
      <w:r w:rsidR="00D76626" w:rsidRPr="008F7ACD">
        <w:rPr>
          <w:color w:val="000000"/>
          <w:szCs w:val="22"/>
        </w:rPr>
        <w:t>&gt; </w:t>
      </w:r>
      <w:r w:rsidRPr="008F7ACD">
        <w:rPr>
          <w:rFonts w:eastAsia="TimesNewRoman"/>
          <w:szCs w:val="22"/>
          <w:lang w:eastAsia="en-US"/>
        </w:rPr>
        <w:t>75</w:t>
      </w:r>
      <w:r w:rsidR="00D7662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000/μl, iba 14</w:t>
      </w:r>
      <w:r w:rsidR="00D7662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% z 309 pacientov malo počas štúdie počet </w:t>
      </w:r>
      <w:r w:rsidR="00D76626" w:rsidRPr="008F7ACD">
        <w:rPr>
          <w:color w:val="000000"/>
          <w:szCs w:val="22"/>
        </w:rPr>
        <w:t>≤ </w:t>
      </w:r>
      <w:r w:rsidRPr="008F7ACD">
        <w:rPr>
          <w:rFonts w:eastAsia="TimesNewRoman"/>
          <w:szCs w:val="22"/>
          <w:lang w:eastAsia="en-US"/>
        </w:rPr>
        <w:t>25</w:t>
      </w:r>
      <w:r w:rsidR="00D7662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000/</w:t>
      </w:r>
      <w:r w:rsidR="00D76626" w:rsidRPr="008F7ACD">
        <w:rPr>
          <w:rFonts w:eastAsia="TimesNewRoman"/>
          <w:szCs w:val="22"/>
          <w:lang w:eastAsia="en-US"/>
        </w:rPr>
        <w:t>μ</w:t>
      </w:r>
      <w:r w:rsidRPr="008F7ACD">
        <w:rPr>
          <w:rFonts w:eastAsia="TimesNewRoman"/>
          <w:szCs w:val="22"/>
          <w:lang w:eastAsia="en-US"/>
        </w:rPr>
        <w:t>l.</w:t>
      </w:r>
      <w:r w:rsidR="00D76626" w:rsidRPr="008F7ACD">
        <w:rPr>
          <w:rFonts w:eastAsia="TimesNewRoman"/>
          <w:szCs w:val="22"/>
          <w:lang w:eastAsia="en-US"/>
        </w:rPr>
        <w:t xml:space="preserve"> </w:t>
      </w:r>
    </w:p>
    <w:p w:rsidR="00505AF2" w:rsidRPr="008F7ACD" w:rsidRDefault="00505AF2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U</w:t>
      </w:r>
      <w:r w:rsidR="00D7662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pacientov s MCL (štúdia LYM-3002) bola vyššia incidencia (56,7</w:t>
      </w:r>
      <w:r w:rsidR="00D7662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oproti 5,8</w:t>
      </w:r>
      <w:r w:rsidR="00D7662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%) trombocytopénie</w:t>
      </w:r>
      <w:r w:rsidR="00D71BE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≥</w:t>
      </w:r>
      <w:r w:rsidR="00D71BE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3.</w:t>
      </w:r>
      <w:r w:rsidR="00D71BE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stupňa v skupine liečenej</w:t>
      </w:r>
      <w:r w:rsidR="00FD2021" w:rsidRPr="008F7ACD">
        <w:rPr>
          <w:rFonts w:eastAsia="TimesNewRoman"/>
          <w:szCs w:val="22"/>
          <w:lang w:eastAsia="en-US"/>
        </w:rPr>
        <w:t xml:space="preserve"> </w:t>
      </w:r>
      <w:r w:rsidR="00D71BE3" w:rsidRPr="008F7ACD">
        <w:rPr>
          <w:rFonts w:eastAsia="TimesNewRoman"/>
          <w:szCs w:val="22"/>
          <w:lang w:eastAsia="en-US"/>
        </w:rPr>
        <w:t xml:space="preserve">bortezomibom </w:t>
      </w:r>
      <w:r w:rsidRPr="008F7ACD">
        <w:rPr>
          <w:rFonts w:eastAsia="TimesNewRoman"/>
          <w:szCs w:val="22"/>
          <w:lang w:eastAsia="en-US"/>
        </w:rPr>
        <w:t>(</w:t>
      </w:r>
      <w:r w:rsidR="00D71BE3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 xml:space="preserve">R-CAP) v porovnaní so skupinou neliečenou </w:t>
      </w:r>
      <w:r w:rsidR="00D71BE3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(rituximab, cyklofosfamid, doxorubicín, vinkristín a prednizón [R-CHOP]). Dve liečené</w:t>
      </w:r>
      <w:r w:rsidR="00D71BE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skupiny boli podobné s ohľadom na celkovú incidenciu prípadov krvácania všetkých stupňov (6,3</w:t>
      </w:r>
      <w:r w:rsidR="00D71BE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</w:t>
      </w:r>
      <w:r w:rsidR="00D71BE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v skupine </w:t>
      </w:r>
      <w:r w:rsidR="00D71BE3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R-CAP a 5,0</w:t>
      </w:r>
      <w:r w:rsidR="00D71BE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v skupine R-CHOP) ako aj prípadov krvácania 3. a vyššieho stupňa</w:t>
      </w:r>
      <w:r w:rsidR="00D71BE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(</w:t>
      </w:r>
      <w:r w:rsidR="00D71BE3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R-CAP: 4 pacienti [1,7</w:t>
      </w:r>
      <w:r w:rsidR="00D71BE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%]; R-CHOP: 3 pacienti [1,2</w:t>
      </w:r>
      <w:r w:rsidR="00D71BE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%]). V skupine </w:t>
      </w:r>
      <w:r w:rsidR="00A17FC2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R-CAP, 22,5</w:t>
      </w:r>
      <w:r w:rsidR="00A17FC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pacientov</w:t>
      </w:r>
      <w:r w:rsidR="00A17FC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dostalo transfúzie krvných doštičiek v porovnaní s 2,9</w:t>
      </w:r>
      <w:r w:rsidR="00A17FC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pacientov v skupine R-CHOP.</w:t>
      </w:r>
    </w:p>
    <w:p w:rsidR="00A17FC2" w:rsidRPr="008F7ACD" w:rsidRDefault="00A17FC2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V súvislosti s liečbou </w:t>
      </w:r>
      <w:r w:rsidR="00A17FC2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bolo hlásené gastrointestinálne krvácanie a krvácanie do mozgu.</w:t>
      </w:r>
      <w:r w:rsidR="00A17FC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Z toho dôvodu sa má sledovať počet trombocytov pred každou dávkou </w:t>
      </w:r>
      <w:r w:rsidR="00A17FC2" w:rsidRPr="008F7ACD">
        <w:rPr>
          <w:rFonts w:eastAsia="TimesNewRoman"/>
          <w:szCs w:val="22"/>
          <w:lang w:eastAsia="en-US"/>
        </w:rPr>
        <w:t>bortezomibu</w:t>
      </w:r>
      <w:r w:rsidRPr="008F7ACD">
        <w:rPr>
          <w:rFonts w:eastAsia="TimesNewRoman"/>
          <w:szCs w:val="22"/>
          <w:lang w:eastAsia="en-US"/>
        </w:rPr>
        <w:t>. Ak je počet</w:t>
      </w:r>
      <w:r w:rsidR="00A17FC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trombocytov &lt;</w:t>
      </w:r>
      <w:r w:rsidR="00A17FC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25</w:t>
      </w:r>
      <w:r w:rsidR="00A17FC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000/μl alebo ak je v prípade kombinovanej liečby s melfal</w:t>
      </w:r>
      <w:r w:rsidR="00342FBA" w:rsidRPr="008F7ACD">
        <w:rPr>
          <w:rFonts w:eastAsia="TimesNewRoman"/>
          <w:szCs w:val="22"/>
          <w:lang w:eastAsia="en-US"/>
        </w:rPr>
        <w:t>á</w:t>
      </w:r>
      <w:r w:rsidRPr="008F7ACD">
        <w:rPr>
          <w:rFonts w:eastAsia="TimesNewRoman"/>
          <w:szCs w:val="22"/>
          <w:lang w:eastAsia="en-US"/>
        </w:rPr>
        <w:t>nom a</w:t>
      </w:r>
      <w:r w:rsidR="00A17FC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prednizónom</w:t>
      </w:r>
      <w:r w:rsidR="00A17FC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počet trombocytov ≤</w:t>
      </w:r>
      <w:r w:rsidR="00A17FC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30</w:t>
      </w:r>
      <w:r w:rsidR="00A17FC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000/</w:t>
      </w:r>
      <w:r w:rsidR="00A17FC2" w:rsidRPr="008F7ACD">
        <w:rPr>
          <w:rFonts w:eastAsia="TimesNewRoman"/>
          <w:szCs w:val="22"/>
          <w:lang w:eastAsia="en-US"/>
        </w:rPr>
        <w:t>μ</w:t>
      </w:r>
      <w:r w:rsidRPr="008F7ACD">
        <w:rPr>
          <w:rFonts w:eastAsia="TimesNewRoman"/>
          <w:szCs w:val="22"/>
          <w:lang w:eastAsia="en-US"/>
        </w:rPr>
        <w:t xml:space="preserve">l, terapia </w:t>
      </w:r>
      <w:r w:rsidR="00A17FC2" w:rsidRPr="008F7ACD">
        <w:rPr>
          <w:rFonts w:eastAsia="TimesNewRoman"/>
          <w:szCs w:val="22"/>
          <w:lang w:eastAsia="en-US"/>
        </w:rPr>
        <w:t xml:space="preserve">bortezomibom </w:t>
      </w:r>
      <w:r w:rsidRPr="008F7ACD">
        <w:rPr>
          <w:rFonts w:eastAsia="TimesNewRoman"/>
          <w:szCs w:val="22"/>
          <w:lang w:eastAsia="en-US"/>
        </w:rPr>
        <w:t>sa má zastaviť (pozri časť 4.2). Má sa</w:t>
      </w:r>
      <w:r w:rsidR="00A17FC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starostlivo zvážiť </w:t>
      </w:r>
      <w:r w:rsidR="00EC3CA3" w:rsidRPr="008F7ACD">
        <w:rPr>
          <w:rFonts w:eastAsia="TimesNewRoman"/>
          <w:szCs w:val="22"/>
          <w:lang w:eastAsia="en-US"/>
        </w:rPr>
        <w:t xml:space="preserve">potenciálny </w:t>
      </w:r>
      <w:r w:rsidRPr="008F7ACD">
        <w:rPr>
          <w:rFonts w:eastAsia="TimesNewRoman"/>
          <w:szCs w:val="22"/>
          <w:lang w:eastAsia="en-US"/>
        </w:rPr>
        <w:t>prínos liečby oproti riziku, predovšetkým v prípade stredne</w:t>
      </w:r>
      <w:r w:rsidR="00EC3CA3" w:rsidRPr="008F7ACD">
        <w:rPr>
          <w:rFonts w:eastAsia="TimesNewRoman"/>
          <w:szCs w:val="22"/>
          <w:lang w:eastAsia="en-US"/>
        </w:rPr>
        <w:t xml:space="preserve"> závažne</w:t>
      </w:r>
      <w:r w:rsidRPr="008F7ACD">
        <w:rPr>
          <w:rFonts w:eastAsia="TimesNewRoman"/>
          <w:szCs w:val="22"/>
          <w:lang w:eastAsia="en-US"/>
        </w:rPr>
        <w:t xml:space="preserve">j až </w:t>
      </w:r>
      <w:r w:rsidR="00EC3CA3" w:rsidRPr="008F7ACD">
        <w:rPr>
          <w:rFonts w:eastAsia="TimesNewRoman"/>
          <w:szCs w:val="22"/>
          <w:lang w:eastAsia="en-US"/>
        </w:rPr>
        <w:t>závažnej</w:t>
      </w:r>
      <w:r w:rsidR="00A17FC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trombocytopénie a rizikových faktorov krvácania.</w:t>
      </w:r>
    </w:p>
    <w:p w:rsidR="00A17FC2" w:rsidRPr="008F7ACD" w:rsidRDefault="00A17FC2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6321A9" w:rsidRPr="008F7ACD" w:rsidRDefault="009E3BF8" w:rsidP="006D254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Počas liečby </w:t>
      </w:r>
      <w:r w:rsidR="006D2543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sa má často monitorovať celkový krvný obraz (CBC) spolu</w:t>
      </w:r>
      <w:r w:rsidR="006D254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</w:t>
      </w:r>
      <w:r w:rsidR="00EC3CA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diferenciálnym krvným obrazom, vrátane počtu krvných doštičiek. Keď je to klinicky vhodné, má sa</w:t>
      </w:r>
      <w:r w:rsidR="006D254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zvážiť transfúzia krvných doštičiek (pozri časť 4.2).</w:t>
      </w:r>
    </w:p>
    <w:p w:rsidR="0056415D" w:rsidRPr="008F7ACD" w:rsidRDefault="0056415D" w:rsidP="006D2543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</w:p>
    <w:p w:rsidR="006321A9" w:rsidRPr="008F7ACD" w:rsidRDefault="009E3BF8" w:rsidP="001B3103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8F7ACD">
        <w:rPr>
          <w:rFonts w:eastAsia="TimesNewRoman"/>
          <w:szCs w:val="22"/>
          <w:lang w:eastAsia="en-US"/>
        </w:rPr>
        <w:t>U pacientov s MCL sa pozorovala tranzitórna neutropénia, ktorá bola reverzibilná medzi cyklami, bez</w:t>
      </w:r>
      <w:r w:rsidR="00EC3CA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známky kumulatívnej neutropénie. Počet neutrofilov bol najnižší v 11.</w:t>
      </w:r>
      <w:r w:rsidR="006D254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deň každého terapeutického</w:t>
      </w:r>
      <w:r w:rsidR="001B310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cyklu </w:t>
      </w:r>
      <w:r w:rsidR="001B3103" w:rsidRPr="008F7ACD">
        <w:rPr>
          <w:rFonts w:eastAsia="TimesNewRoman"/>
          <w:szCs w:val="22"/>
          <w:lang w:eastAsia="en-US"/>
        </w:rPr>
        <w:t>s bortezomibom</w:t>
      </w:r>
      <w:r w:rsidRPr="008F7ACD">
        <w:rPr>
          <w:rFonts w:eastAsia="TimesNewRoman"/>
          <w:szCs w:val="22"/>
          <w:lang w:eastAsia="en-US"/>
        </w:rPr>
        <w:t xml:space="preserve"> a zvyčajne sa upravil na východiskovú hodnotu </w:t>
      </w:r>
      <w:r w:rsidR="00342FBA" w:rsidRPr="008F7ACD">
        <w:rPr>
          <w:rFonts w:eastAsia="TimesNewRoman"/>
          <w:szCs w:val="22"/>
          <w:lang w:eastAsia="en-US"/>
        </w:rPr>
        <w:t>do</w:t>
      </w:r>
      <w:r w:rsidRPr="008F7ACD">
        <w:rPr>
          <w:rFonts w:eastAsia="TimesNewRoman"/>
          <w:szCs w:val="22"/>
          <w:lang w:eastAsia="en-US"/>
        </w:rPr>
        <w:t xml:space="preserve"> ďalš</w:t>
      </w:r>
      <w:r w:rsidR="00342FBA" w:rsidRPr="008F7ACD">
        <w:rPr>
          <w:rFonts w:eastAsia="TimesNewRoman"/>
          <w:szCs w:val="22"/>
          <w:lang w:eastAsia="en-US"/>
        </w:rPr>
        <w:t>ieho</w:t>
      </w:r>
      <w:r w:rsidRPr="008F7ACD">
        <w:rPr>
          <w:rFonts w:eastAsia="TimesNewRoman"/>
          <w:szCs w:val="22"/>
          <w:lang w:eastAsia="en-US"/>
        </w:rPr>
        <w:t xml:space="preserve"> cykl</w:t>
      </w:r>
      <w:r w:rsidR="00342FBA" w:rsidRPr="008F7ACD">
        <w:rPr>
          <w:rFonts w:eastAsia="TimesNewRoman"/>
          <w:szCs w:val="22"/>
          <w:lang w:eastAsia="en-US"/>
        </w:rPr>
        <w:t>u</w:t>
      </w:r>
      <w:r w:rsidRPr="008F7ACD">
        <w:rPr>
          <w:rFonts w:eastAsia="TimesNewRoman"/>
          <w:szCs w:val="22"/>
          <w:lang w:eastAsia="en-US"/>
        </w:rPr>
        <w:t>. V</w:t>
      </w:r>
      <w:r w:rsidR="001B310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štúdii</w:t>
      </w:r>
      <w:r w:rsidR="001B310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LYM-3002 bola </w:t>
      </w:r>
      <w:r w:rsidR="00F277C3" w:rsidRPr="008F7ACD">
        <w:rPr>
          <w:rFonts w:eastAsia="TimesNewRoman"/>
          <w:szCs w:val="22"/>
          <w:lang w:eastAsia="en-US"/>
        </w:rPr>
        <w:t xml:space="preserve">podaná </w:t>
      </w:r>
      <w:r w:rsidRPr="008F7ACD">
        <w:rPr>
          <w:rFonts w:eastAsia="TimesNewRoman"/>
          <w:szCs w:val="22"/>
          <w:lang w:eastAsia="en-US"/>
        </w:rPr>
        <w:t xml:space="preserve">podpora </w:t>
      </w:r>
      <w:r w:rsidR="00F277C3" w:rsidRPr="008F7ACD">
        <w:rPr>
          <w:rFonts w:eastAsia="TimesNewRoman"/>
          <w:szCs w:val="22"/>
          <w:lang w:eastAsia="en-US"/>
        </w:rPr>
        <w:t xml:space="preserve">prostredníctvom </w:t>
      </w:r>
      <w:r w:rsidRPr="008F7ACD">
        <w:rPr>
          <w:rFonts w:eastAsia="TimesNewRoman"/>
          <w:szCs w:val="22"/>
          <w:lang w:eastAsia="en-US"/>
        </w:rPr>
        <w:t>faktor</w:t>
      </w:r>
      <w:r w:rsidR="00F277C3" w:rsidRPr="008F7ACD">
        <w:rPr>
          <w:rFonts w:eastAsia="TimesNewRoman"/>
          <w:szCs w:val="22"/>
          <w:lang w:eastAsia="en-US"/>
        </w:rPr>
        <w:t>u</w:t>
      </w:r>
      <w:r w:rsidRPr="008F7ACD">
        <w:rPr>
          <w:rFonts w:eastAsia="TimesNewRoman"/>
          <w:szCs w:val="22"/>
          <w:lang w:eastAsia="en-US"/>
        </w:rPr>
        <w:t xml:space="preserve"> stimulujúc</w:t>
      </w:r>
      <w:r w:rsidR="00F277C3" w:rsidRPr="008F7ACD">
        <w:rPr>
          <w:rFonts w:eastAsia="TimesNewRoman"/>
          <w:szCs w:val="22"/>
          <w:lang w:eastAsia="en-US"/>
        </w:rPr>
        <w:t>eho</w:t>
      </w:r>
      <w:r w:rsidRPr="008F7ACD">
        <w:rPr>
          <w:rFonts w:eastAsia="TimesNewRoman"/>
          <w:szCs w:val="22"/>
          <w:lang w:eastAsia="en-US"/>
        </w:rPr>
        <w:t xml:space="preserve"> kolónie 78</w:t>
      </w:r>
      <w:r w:rsidR="001B310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paciento</w:t>
      </w:r>
      <w:r w:rsidR="00F277C3" w:rsidRPr="008F7ACD">
        <w:rPr>
          <w:rFonts w:eastAsia="TimesNewRoman"/>
          <w:szCs w:val="22"/>
          <w:lang w:eastAsia="en-US"/>
        </w:rPr>
        <w:t>m</w:t>
      </w:r>
      <w:r w:rsidRPr="008F7ACD">
        <w:rPr>
          <w:rFonts w:eastAsia="TimesNewRoman"/>
          <w:szCs w:val="22"/>
          <w:lang w:eastAsia="en-US"/>
        </w:rPr>
        <w:t xml:space="preserve"> v</w:t>
      </w:r>
      <w:r w:rsidR="00C6294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skupine </w:t>
      </w:r>
      <w:r w:rsidR="001B3103" w:rsidRPr="008F7ACD">
        <w:rPr>
          <w:rFonts w:eastAsia="TimesNewRoman"/>
          <w:szCs w:val="22"/>
          <w:lang w:eastAsia="en-US"/>
        </w:rPr>
        <w:t>BR</w:t>
      </w:r>
      <w:r w:rsidRPr="008F7ACD">
        <w:rPr>
          <w:rFonts w:eastAsia="TimesNewRoman"/>
          <w:szCs w:val="22"/>
          <w:lang w:eastAsia="en-US"/>
        </w:rPr>
        <w:t>-CAP</w:t>
      </w:r>
      <w:r w:rsidR="001B310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a</w:t>
      </w:r>
      <w:r w:rsidR="001B310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61</w:t>
      </w:r>
      <w:r w:rsidR="001B310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paciento</w:t>
      </w:r>
      <w:r w:rsidR="00F277C3" w:rsidRPr="008F7ACD">
        <w:rPr>
          <w:rFonts w:eastAsia="TimesNewRoman"/>
          <w:szCs w:val="22"/>
          <w:lang w:eastAsia="en-US"/>
        </w:rPr>
        <w:t>m</w:t>
      </w:r>
      <w:r w:rsidRPr="008F7ACD">
        <w:rPr>
          <w:rFonts w:eastAsia="TimesNewRoman"/>
          <w:szCs w:val="22"/>
          <w:lang w:eastAsia="en-US"/>
        </w:rPr>
        <w:t xml:space="preserve"> v skupine s R-CHOP. Keďže u pacientov s neutropéniou existuje zvýšené riziko</w:t>
      </w:r>
      <w:r w:rsidR="001B310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infekcií, majú sa u nich sledovať prejavy a príznaky infekcií a ihneď liečiť. Pri</w:t>
      </w:r>
      <w:r w:rsidR="00C6294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hematologickej toxicite</w:t>
      </w:r>
      <w:r w:rsidR="001B310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možno podľa miestnej štandardnej praxe podávať faktory stimulujúce kolónie granulocytov. V prípade</w:t>
      </w:r>
      <w:r w:rsidR="001B310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opakovaných oneskorení podania cyklu sa má zvážiť profylaktické použitie faktorov stimulujúcich</w:t>
      </w:r>
      <w:r w:rsidR="001B310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kolónie granulocytov (pozri časť 4.2).</w:t>
      </w:r>
    </w:p>
    <w:p w:rsidR="006321A9" w:rsidRPr="008F7ACD" w:rsidRDefault="006321A9" w:rsidP="00C92B0B">
      <w:pPr>
        <w:ind w:left="0" w:firstLine="0"/>
        <w:rPr>
          <w:szCs w:val="22"/>
          <w:u w:val="single"/>
        </w:rPr>
      </w:pP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Reaktivácia vírusu herpes zoster</w:t>
      </w: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U pacientov liečených</w:t>
      </w:r>
      <w:r w:rsidR="003A2005" w:rsidRPr="008F7ACD">
        <w:rPr>
          <w:rFonts w:eastAsia="TimesNewRoman"/>
          <w:szCs w:val="22"/>
          <w:lang w:eastAsia="en-US"/>
        </w:rPr>
        <w:t xml:space="preserve"> bortezomibom</w:t>
      </w:r>
      <w:r w:rsidRPr="008F7ACD">
        <w:rPr>
          <w:rFonts w:eastAsia="TimesNewRoman"/>
          <w:szCs w:val="22"/>
          <w:lang w:eastAsia="en-US"/>
        </w:rPr>
        <w:t xml:space="preserve"> sa odporúča antivírusová profylaxia. V štúdii fázy III u</w:t>
      </w:r>
      <w:r w:rsidR="00EC3CA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pacientov</w:t>
      </w:r>
      <w:r w:rsidR="003A2005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s doteraz neliečeným mnohopočetným myelómom bola celková incidencia reaktivácie </w:t>
      </w:r>
      <w:r w:rsidRPr="008F7ACD">
        <w:rPr>
          <w:rFonts w:eastAsia="TimesNewRoman"/>
          <w:szCs w:val="22"/>
          <w:lang w:eastAsia="en-US"/>
        </w:rPr>
        <w:lastRenderedPageBreak/>
        <w:t>herpesu zoster</w:t>
      </w:r>
      <w:r w:rsidR="003A2005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častejšia u pacientov liečených </w:t>
      </w:r>
      <w:r w:rsidR="003A2005" w:rsidRPr="008F7ACD">
        <w:rPr>
          <w:rFonts w:eastAsia="TimesNewRoman"/>
          <w:szCs w:val="22"/>
          <w:lang w:eastAsia="en-US"/>
        </w:rPr>
        <w:t>kombináciou bortezomib</w:t>
      </w:r>
      <w:r w:rsidRPr="008F7ACD">
        <w:rPr>
          <w:rFonts w:eastAsia="TimesNewRoman"/>
          <w:szCs w:val="22"/>
          <w:lang w:eastAsia="en-US"/>
        </w:rPr>
        <w:t>+melfal</w:t>
      </w:r>
      <w:r w:rsidR="00F277C3" w:rsidRPr="008F7ACD">
        <w:rPr>
          <w:rFonts w:eastAsia="TimesNewRoman"/>
          <w:szCs w:val="22"/>
          <w:lang w:eastAsia="en-US"/>
        </w:rPr>
        <w:t>á</w:t>
      </w:r>
      <w:r w:rsidRPr="008F7ACD">
        <w:rPr>
          <w:rFonts w:eastAsia="TimesNewRoman"/>
          <w:szCs w:val="22"/>
          <w:lang w:eastAsia="en-US"/>
        </w:rPr>
        <w:t>n+prednizón v</w:t>
      </w:r>
      <w:r w:rsidR="00EC3CA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porovnaní s</w:t>
      </w:r>
      <w:r w:rsidR="003A2005" w:rsidRPr="008F7ACD">
        <w:rPr>
          <w:rFonts w:eastAsia="TimesNewRoman"/>
          <w:szCs w:val="22"/>
          <w:lang w:eastAsia="en-US"/>
        </w:rPr>
        <w:t xml:space="preserve"> kombináciou </w:t>
      </w:r>
      <w:r w:rsidRPr="008F7ACD">
        <w:rPr>
          <w:rFonts w:eastAsia="TimesNewRoman"/>
          <w:szCs w:val="22"/>
          <w:lang w:eastAsia="en-US"/>
        </w:rPr>
        <w:t>melfal</w:t>
      </w:r>
      <w:r w:rsidR="00F277C3" w:rsidRPr="008F7ACD">
        <w:rPr>
          <w:rFonts w:eastAsia="TimesNewRoman"/>
          <w:szCs w:val="22"/>
          <w:lang w:eastAsia="en-US"/>
        </w:rPr>
        <w:t>á</w:t>
      </w:r>
      <w:r w:rsidRPr="008F7ACD">
        <w:rPr>
          <w:rFonts w:eastAsia="TimesNewRoman"/>
          <w:szCs w:val="22"/>
          <w:lang w:eastAsia="en-US"/>
        </w:rPr>
        <w:t>n+prednizón</w:t>
      </w:r>
      <w:r w:rsidR="003A2005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(14</w:t>
      </w:r>
      <w:r w:rsidR="003A2005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% </w:t>
      </w:r>
      <w:r w:rsidR="003A2005" w:rsidRPr="008F7ACD">
        <w:rPr>
          <w:rFonts w:eastAsia="TimesNewRoman"/>
          <w:szCs w:val="22"/>
          <w:lang w:eastAsia="en-US"/>
        </w:rPr>
        <w:t>oproti</w:t>
      </w:r>
      <w:r w:rsidRPr="008F7ACD">
        <w:rPr>
          <w:rFonts w:eastAsia="TimesNewRoman"/>
          <w:szCs w:val="22"/>
          <w:lang w:eastAsia="en-US"/>
        </w:rPr>
        <w:t xml:space="preserve"> 4</w:t>
      </w:r>
      <w:r w:rsidR="003A2005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%).</w:t>
      </w: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U pacientov s MCL (štúdia LYM-3002) bola incidencia infekcie herpesom zoster 6,7</w:t>
      </w:r>
      <w:r w:rsidR="003A2005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v skupine</w:t>
      </w:r>
      <w:r w:rsidR="003A2005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</w:t>
      </w:r>
      <w:r w:rsidR="00C6294F" w:rsidRPr="008F7ACD">
        <w:rPr>
          <w:rFonts w:eastAsia="TimesNewRoman"/>
          <w:szCs w:val="22"/>
          <w:lang w:eastAsia="en-US"/>
        </w:rPr>
        <w:t> </w:t>
      </w:r>
      <w:r w:rsidR="003A2005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R-CAP a 1,2</w:t>
      </w:r>
      <w:r w:rsidR="003A2005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v skupine s R-CHOP (pozri časť 4.8).</w:t>
      </w:r>
    </w:p>
    <w:p w:rsidR="003A2005" w:rsidRPr="008F7ACD" w:rsidRDefault="003A2005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Reaktivácia vírusu hepatitídy B (HBV) a infekcia</w:t>
      </w:r>
    </w:p>
    <w:p w:rsidR="006321A9" w:rsidRPr="008F7ACD" w:rsidRDefault="009E3BF8" w:rsidP="00776342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8F7ACD">
        <w:rPr>
          <w:rFonts w:eastAsia="TimesNewRoman"/>
          <w:szCs w:val="22"/>
          <w:lang w:eastAsia="en-US"/>
        </w:rPr>
        <w:t xml:space="preserve">Keď sa rituximab užíva v kombinácii s </w:t>
      </w:r>
      <w:r w:rsidR="00776342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>, má sa u pacientov s rizikom infekcie HBV urobiť</w:t>
      </w:r>
      <w:r w:rsidR="0077634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vždy pred začatím liečby vyšetrenie na HBV. U nositeľov hepatitídy B a pacientov s</w:t>
      </w:r>
      <w:r w:rsidR="00C6294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hepatitídou B</w:t>
      </w:r>
      <w:r w:rsidR="0077634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 anamnéze sa musia starostlivo sledovať klinické a laboratórne prejavy aktívnej infekcie HBV počas</w:t>
      </w:r>
      <w:r w:rsidR="0077634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a po kombinovanej liečbe rituximabom a </w:t>
      </w:r>
      <w:r w:rsidR="00776342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>. Má sa zvážiť antivírusová profylaxia. Ďalšie</w:t>
      </w:r>
      <w:r w:rsidR="0077634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informácie si prečítajte v súhrne charakteristických vlastností rituximabu.</w:t>
      </w:r>
    </w:p>
    <w:p w:rsidR="006321A9" w:rsidRPr="008F7ACD" w:rsidRDefault="006321A9" w:rsidP="00C92B0B">
      <w:pPr>
        <w:ind w:left="0" w:firstLine="0"/>
        <w:rPr>
          <w:szCs w:val="22"/>
          <w:u w:val="single"/>
        </w:rPr>
      </w:pP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Progresívna multifokálna leukoencefalopatia (PML)</w:t>
      </w:r>
    </w:p>
    <w:p w:rsidR="00776342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U pacientov liečených </w:t>
      </w:r>
      <w:r w:rsidR="00776342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boli veľmi zriedkavo hlásené prípady infekcie </w:t>
      </w: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John</w:t>
      </w:r>
      <w:r w:rsidR="00EC3CA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Cunninghamovým (JC) vírusom s neznámou kauzalitou, čo malo za následok PML a smrť. Pacienti,</w:t>
      </w:r>
      <w:r w:rsidR="0077634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u</w:t>
      </w:r>
      <w:r w:rsidR="0077634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ktorých bola diagnostikovaná PML, podstúpili predtým alebo súčasne imunosupresívnu liečbu.</w:t>
      </w:r>
      <w:r w:rsidR="0077634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Väčšina prípadov PML bola diagnostikovaná do 12 mesiacov od prvej dávky </w:t>
      </w:r>
      <w:r w:rsidR="00776342" w:rsidRPr="008F7ACD">
        <w:rPr>
          <w:rFonts w:eastAsia="TimesNewRoman"/>
          <w:szCs w:val="22"/>
          <w:lang w:eastAsia="en-US"/>
        </w:rPr>
        <w:t>bortezomibu</w:t>
      </w:r>
      <w:r w:rsidRPr="008F7ACD">
        <w:rPr>
          <w:rFonts w:eastAsia="TimesNewRoman"/>
          <w:szCs w:val="22"/>
          <w:lang w:eastAsia="en-US"/>
        </w:rPr>
        <w:t>.</w:t>
      </w:r>
      <w:r w:rsidR="0077634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U</w:t>
      </w:r>
      <w:r w:rsidR="0077634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pacientov je potrebné v pravidelných intervaloch v rámci diferenciálnej diagnostiky CNS ťažkostí</w:t>
      </w:r>
      <w:r w:rsidR="0077634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sledovať výskyt nových alebo zhoršenie existujúcich neurologických príznakov alebo prejavov, ktoré</w:t>
      </w:r>
      <w:r w:rsidR="0077634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by mohli svedčiť o PML. Ak existuje podozrenie na diagnózu PML, pacientov treba odoslať</w:t>
      </w:r>
      <w:r w:rsidR="0077634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k</w:t>
      </w:r>
      <w:r w:rsidR="00EC3CA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odborníkovi na PML a iniciovať vhodný diagnostický proces zameraný na PML. Ak sa</w:t>
      </w:r>
      <w:r w:rsidR="0077634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diagnostikuje PML, ukončite liečbu</w:t>
      </w:r>
      <w:r w:rsidR="00776342" w:rsidRPr="008F7ACD">
        <w:rPr>
          <w:rFonts w:eastAsia="TimesNewRoman"/>
          <w:szCs w:val="22"/>
          <w:lang w:eastAsia="en-US"/>
        </w:rPr>
        <w:t xml:space="preserve"> bortezomibom</w:t>
      </w:r>
      <w:r w:rsidRPr="008F7ACD">
        <w:rPr>
          <w:rFonts w:eastAsia="TimesNewRoman"/>
          <w:szCs w:val="22"/>
          <w:lang w:eastAsia="en-US"/>
        </w:rPr>
        <w:t>.</w:t>
      </w:r>
    </w:p>
    <w:p w:rsidR="00776342" w:rsidRPr="008F7ACD" w:rsidRDefault="00776342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Periférna neuropatia</w:t>
      </w:r>
    </w:p>
    <w:p w:rsidR="006321A9" w:rsidRPr="008F7ACD" w:rsidRDefault="009E3BF8" w:rsidP="00F343B7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8F7ACD">
        <w:rPr>
          <w:rFonts w:eastAsia="TimesNewRoman"/>
          <w:szCs w:val="22"/>
          <w:lang w:eastAsia="en-US"/>
        </w:rPr>
        <w:t xml:space="preserve">Liečba </w:t>
      </w:r>
      <w:r w:rsidR="00F343B7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je veľmi často spojená s periférnou neuropatiou, ktorá je prevažne senzorická.</w:t>
      </w:r>
      <w:r w:rsidR="00F343B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Napr</w:t>
      </w:r>
      <w:r w:rsidR="00F343B7" w:rsidRPr="008F7ACD">
        <w:rPr>
          <w:rFonts w:eastAsia="TimesNewRoman"/>
          <w:szCs w:val="22"/>
          <w:lang w:eastAsia="en-US"/>
        </w:rPr>
        <w:t>iek tomu boli hlásené prípady záva</w:t>
      </w:r>
      <w:r w:rsidRPr="008F7ACD">
        <w:rPr>
          <w:rFonts w:eastAsia="TimesNewRoman"/>
          <w:szCs w:val="22"/>
          <w:lang w:eastAsia="en-US"/>
        </w:rPr>
        <w:t>žnej motorickej neuropatie so senzorickou periférnou</w:t>
      </w:r>
      <w:r w:rsidR="00F343B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neuropatiou alebo bez senzorickej periférnej neuropatie. Výskyt periférnej neuropatie sa zvyšuje na</w:t>
      </w:r>
      <w:r w:rsidR="00B733F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začiatku liečby a vrchol bol pozorovaný počas 5. cyklu.</w:t>
      </w:r>
    </w:p>
    <w:p w:rsidR="006321A9" w:rsidRPr="008F7ACD" w:rsidRDefault="006321A9" w:rsidP="00C92B0B">
      <w:pPr>
        <w:ind w:left="0" w:firstLine="0"/>
        <w:rPr>
          <w:szCs w:val="22"/>
          <w:u w:val="single"/>
        </w:rPr>
      </w:pP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U týchto pacientov sa odporúča starostlivo monitorovať príznaky neuropatie ako je pocit pálenia,</w:t>
      </w:r>
      <w:r w:rsidR="00F343B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hyperestézia, hypoestézia, parestézia, d</w:t>
      </w:r>
      <w:r w:rsidR="0064420C" w:rsidRPr="008F7ACD">
        <w:rPr>
          <w:rFonts w:eastAsia="TimesNewRoman"/>
          <w:szCs w:val="22"/>
          <w:lang w:eastAsia="en-US"/>
        </w:rPr>
        <w:t>i</w:t>
      </w:r>
      <w:r w:rsidRPr="008F7ACD">
        <w:rPr>
          <w:rFonts w:eastAsia="TimesNewRoman"/>
          <w:szCs w:val="22"/>
          <w:lang w:eastAsia="en-US"/>
        </w:rPr>
        <w:t>skomfort, neuropatická bolesť alebo slabosť.</w:t>
      </w:r>
    </w:p>
    <w:p w:rsidR="00F343B7" w:rsidRPr="008F7ACD" w:rsidRDefault="00F343B7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DA2C83" w:rsidRPr="008F7ACD" w:rsidRDefault="00DA2C83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V štúdii fázy III porovnávajúcej podávanie bortezomibu intravenózne oproti subkutánnemu podaniu, bol výskyt prípadov periférnej neuropatie </w:t>
      </w:r>
      <w:r w:rsidRPr="008F7ACD">
        <w:rPr>
          <w:color w:val="000000"/>
          <w:szCs w:val="22"/>
        </w:rPr>
        <w:t>≥ </w:t>
      </w:r>
      <w:r w:rsidRPr="008F7ACD">
        <w:rPr>
          <w:rFonts w:eastAsia="TimesNewRoman"/>
          <w:szCs w:val="22"/>
          <w:lang w:eastAsia="en-US"/>
        </w:rPr>
        <w:t>2.</w:t>
      </w:r>
      <w:r w:rsidR="003769D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stupňa u 24 % v skupine so subkutánnym podávaním a 41 % v skupine podávanej formou intravenóznej injekcie (p = 0,0124). Periférna neuropatia </w:t>
      </w:r>
      <w:r w:rsidRPr="008F7ACD">
        <w:rPr>
          <w:color w:val="000000"/>
          <w:szCs w:val="22"/>
        </w:rPr>
        <w:t>≥ 3</w:t>
      </w:r>
      <w:r w:rsidR="003769D3" w:rsidRPr="008F7ACD">
        <w:rPr>
          <w:color w:val="000000"/>
          <w:szCs w:val="22"/>
        </w:rPr>
        <w:t>.</w:t>
      </w:r>
      <w:r w:rsidRPr="008F7ACD">
        <w:rPr>
          <w:color w:val="000000"/>
          <w:szCs w:val="22"/>
        </w:rPr>
        <w:t> </w:t>
      </w:r>
      <w:r w:rsidRPr="008F7ACD">
        <w:rPr>
          <w:rFonts w:eastAsia="TimesNewRoman"/>
          <w:szCs w:val="22"/>
          <w:lang w:eastAsia="en-US"/>
        </w:rPr>
        <w:t>stupň</w:t>
      </w:r>
      <w:r w:rsidR="003769D3" w:rsidRPr="008F7ACD">
        <w:rPr>
          <w:rFonts w:eastAsia="TimesNewRoman"/>
          <w:szCs w:val="22"/>
          <w:lang w:eastAsia="en-US"/>
        </w:rPr>
        <w:t>a</w:t>
      </w:r>
      <w:r w:rsidRPr="008F7ACD">
        <w:rPr>
          <w:rFonts w:eastAsia="TimesNewRoman"/>
          <w:szCs w:val="22"/>
          <w:lang w:eastAsia="en-US"/>
        </w:rPr>
        <w:t xml:space="preserve"> sa vyskytla u 6 % pacientov</w:t>
      </w:r>
      <w:r w:rsidR="00EF039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liečených subkutánne v porovnaní so 16 % v skupine liečenej intravenózne (p = 0,0264). </w:t>
      </w:r>
      <w:r w:rsidR="00830013" w:rsidRPr="008F7ACD">
        <w:rPr>
          <w:rFonts w:eastAsia="TimesNewRoman"/>
          <w:szCs w:val="22"/>
          <w:lang w:eastAsia="en-US"/>
        </w:rPr>
        <w:t xml:space="preserve">V štúdiách </w:t>
      </w:r>
      <w:r w:rsidR="00EF4851" w:rsidRPr="008F7ACD">
        <w:rPr>
          <w:rFonts w:eastAsia="TimesNewRoman"/>
          <w:szCs w:val="22"/>
          <w:lang w:eastAsia="en-US"/>
        </w:rPr>
        <w:t>vykonaných v</w:t>
      </w:r>
      <w:r w:rsidR="00830013" w:rsidRPr="008F7ACD">
        <w:rPr>
          <w:rFonts w:eastAsia="TimesNewRoman"/>
          <w:szCs w:val="22"/>
          <w:lang w:eastAsia="en-US"/>
        </w:rPr>
        <w:t> minulosti bol výskyt všetkých stupňov periférnej neuropatie pri liečbe bortezomibom podávaným intravenózne nižší ako v štúdii MMY-3021</w:t>
      </w:r>
      <w:r w:rsidR="00EF039F" w:rsidRPr="008F7ACD">
        <w:rPr>
          <w:rFonts w:eastAsia="TimesNewRoman"/>
          <w:szCs w:val="22"/>
          <w:lang w:eastAsia="en-US"/>
        </w:rPr>
        <w:t xml:space="preserve"> s intravenózne podávaným</w:t>
      </w:r>
      <w:r w:rsidR="00830013" w:rsidRPr="008F7ACD">
        <w:rPr>
          <w:rFonts w:eastAsia="TimesNewRoman"/>
          <w:szCs w:val="22"/>
          <w:lang w:eastAsia="en-US"/>
        </w:rPr>
        <w:t xml:space="preserve"> bortezomib</w:t>
      </w:r>
      <w:r w:rsidR="00EF039F" w:rsidRPr="008F7ACD">
        <w:rPr>
          <w:rFonts w:eastAsia="TimesNewRoman"/>
          <w:szCs w:val="22"/>
          <w:lang w:eastAsia="en-US"/>
        </w:rPr>
        <w:t>om.</w:t>
      </w:r>
    </w:p>
    <w:p w:rsidR="00DA2C83" w:rsidRPr="008F7ACD" w:rsidRDefault="00DA2C83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Pacienti s objavením sa alebo zhoršením periférnej neuropatie sa majú podrobiť neurologickému</w:t>
      </w:r>
      <w:r w:rsidR="00DA2C8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vyšetreniu a môžu vyžadovať zmenu dávky</w:t>
      </w:r>
      <w:r w:rsidR="003769D3" w:rsidRPr="008F7ACD">
        <w:rPr>
          <w:rFonts w:eastAsia="TimesNewRoman"/>
          <w:szCs w:val="22"/>
          <w:lang w:eastAsia="en-US"/>
        </w:rPr>
        <w:t>,</w:t>
      </w:r>
      <w:r w:rsidRPr="008F7ACD">
        <w:rPr>
          <w:rFonts w:eastAsia="TimesNewRoman"/>
          <w:szCs w:val="22"/>
          <w:lang w:eastAsia="en-US"/>
        </w:rPr>
        <w:t xml:space="preserve"> schémy podávania </w:t>
      </w:r>
      <w:r w:rsidR="003769D3" w:rsidRPr="008F7ACD">
        <w:rPr>
          <w:rFonts w:eastAsia="TimesNewRoman"/>
          <w:szCs w:val="22"/>
          <w:lang w:eastAsia="en-US"/>
        </w:rPr>
        <w:t xml:space="preserve">alebo spôsobu podávania </w:t>
      </w:r>
      <w:r w:rsidR="00A927F8" w:rsidRPr="008F7ACD">
        <w:rPr>
          <w:rFonts w:eastAsia="TimesNewRoman"/>
          <w:szCs w:val="22"/>
          <w:lang w:eastAsia="en-US"/>
        </w:rPr>
        <w:t>na</w:t>
      </w:r>
      <w:r w:rsidR="00C6294F" w:rsidRPr="008F7ACD">
        <w:rPr>
          <w:rFonts w:eastAsia="TimesNewRoman"/>
          <w:szCs w:val="22"/>
          <w:lang w:eastAsia="en-US"/>
        </w:rPr>
        <w:t> </w:t>
      </w:r>
      <w:r w:rsidR="00A927F8" w:rsidRPr="008F7ACD">
        <w:rPr>
          <w:rFonts w:eastAsia="TimesNewRoman"/>
          <w:szCs w:val="22"/>
          <w:lang w:eastAsia="en-US"/>
        </w:rPr>
        <w:t>subkutánne</w:t>
      </w:r>
      <w:r w:rsidRPr="008F7ACD">
        <w:rPr>
          <w:rFonts w:eastAsia="TimesNewRoman"/>
          <w:szCs w:val="22"/>
          <w:lang w:eastAsia="en-US"/>
        </w:rPr>
        <w:t xml:space="preserve"> (pozri časť</w:t>
      </w:r>
      <w:r w:rsidR="00AF5C54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4.2). Neuropatia sa zvládla podpornou starostlivosťou a inou liečbou.</w:t>
      </w:r>
    </w:p>
    <w:p w:rsidR="00AF5C54" w:rsidRPr="008F7ACD" w:rsidRDefault="00AF5C54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U pacientov dostávajúcich </w:t>
      </w:r>
      <w:r w:rsidR="00AF5C54" w:rsidRPr="008F7ACD">
        <w:rPr>
          <w:rFonts w:eastAsia="TimesNewRoman"/>
          <w:szCs w:val="22"/>
          <w:lang w:eastAsia="en-US"/>
        </w:rPr>
        <w:t xml:space="preserve">bortezomib </w:t>
      </w:r>
      <w:r w:rsidRPr="008F7ACD">
        <w:rPr>
          <w:rFonts w:eastAsia="TimesNewRoman"/>
          <w:szCs w:val="22"/>
          <w:lang w:eastAsia="en-US"/>
        </w:rPr>
        <w:t>v kombinácii s liekmi, o ktorých je známe, že súvisia</w:t>
      </w:r>
      <w:r w:rsidR="00AF5C54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</w:t>
      </w:r>
      <w:r w:rsidR="00C6294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neuropatiou (napr. talidomid), sa má zvážiť skoré a pravidelné sledovanie príznakov neuropatie</w:t>
      </w:r>
      <w:r w:rsidR="00AF5C54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vyplývajúcej z liečby s neurologickým posúdením a treba zvážiť vhodné zníženie dávky alebo</w:t>
      </w:r>
      <w:r w:rsidR="00AF5C54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prerušenie liečby.</w:t>
      </w:r>
    </w:p>
    <w:p w:rsidR="00AF5C54" w:rsidRPr="008F7ACD" w:rsidRDefault="00AF5C54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6321A9" w:rsidRPr="008F7ACD" w:rsidRDefault="009E3BF8" w:rsidP="00AF5C54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8F7ACD">
        <w:rPr>
          <w:rFonts w:eastAsia="TimesNewRoman"/>
          <w:szCs w:val="22"/>
          <w:lang w:eastAsia="en-US"/>
        </w:rPr>
        <w:t>Okrem periférnej neuropatie môže vznik autonómnej neuropatie prispievať k niektorým nežiaducim</w:t>
      </w:r>
      <w:r w:rsidR="00AF5C54" w:rsidRPr="008F7ACD">
        <w:rPr>
          <w:rFonts w:eastAsia="TimesNewRoman"/>
          <w:szCs w:val="22"/>
          <w:lang w:eastAsia="en-US"/>
        </w:rPr>
        <w:t xml:space="preserve"> </w:t>
      </w:r>
      <w:r w:rsidR="00A927F8" w:rsidRPr="008F7ACD">
        <w:rPr>
          <w:rFonts w:eastAsia="TimesNewRoman"/>
          <w:szCs w:val="22"/>
          <w:lang w:eastAsia="en-US"/>
        </w:rPr>
        <w:t>reakciám</w:t>
      </w:r>
      <w:r w:rsidRPr="008F7ACD">
        <w:rPr>
          <w:rFonts w:eastAsia="TimesNewRoman"/>
          <w:szCs w:val="22"/>
          <w:lang w:eastAsia="en-US"/>
        </w:rPr>
        <w:t xml:space="preserve"> ako je posturálna hypotenzia a ťažká obstipácia s ileom. Informácie o autonómnej neuropatii</w:t>
      </w:r>
      <w:r w:rsidR="00AF5C54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a jej vzťahu k týmto nežiaducim účinkom sú však obmedzené.</w:t>
      </w:r>
    </w:p>
    <w:p w:rsidR="006321A9" w:rsidRPr="008F7ACD" w:rsidRDefault="006321A9" w:rsidP="00C92B0B">
      <w:pPr>
        <w:ind w:left="0" w:firstLine="0"/>
        <w:rPr>
          <w:szCs w:val="22"/>
          <w:u w:val="single"/>
        </w:rPr>
      </w:pP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Záchvaty</w:t>
      </w:r>
    </w:p>
    <w:p w:rsidR="006321A9" w:rsidRPr="008F7ACD" w:rsidRDefault="009E3BF8" w:rsidP="00293BBC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8F7ACD">
        <w:rPr>
          <w:rFonts w:eastAsia="TimesNewRoman"/>
          <w:szCs w:val="22"/>
          <w:lang w:eastAsia="en-US"/>
        </w:rPr>
        <w:lastRenderedPageBreak/>
        <w:t>Záchvaty sa menej často zaznamenali u pacientov, u ktorých neboli v anamnéze zaznamenané</w:t>
      </w:r>
      <w:r w:rsidR="00293BB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záchvaty alebo epilepsia. Špeciálna starostlivosť sa vyžaduje u liečených pacientov s</w:t>
      </w:r>
      <w:r w:rsidR="00293BB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akýmikoľvek</w:t>
      </w:r>
      <w:r w:rsidR="00293BB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rizikovými faktormi vzniku záchvatov.</w:t>
      </w:r>
    </w:p>
    <w:p w:rsidR="009E3BF8" w:rsidRPr="008F7ACD" w:rsidRDefault="009E3BF8" w:rsidP="00C92B0B">
      <w:pPr>
        <w:ind w:left="0" w:firstLine="0"/>
        <w:rPr>
          <w:szCs w:val="22"/>
          <w:u w:val="single"/>
        </w:rPr>
      </w:pP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Hypotenzia</w:t>
      </w:r>
    </w:p>
    <w:p w:rsidR="009E3BF8" w:rsidRPr="008F7ACD" w:rsidRDefault="009E3BF8" w:rsidP="00D67E26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8F7ACD">
        <w:rPr>
          <w:rFonts w:eastAsia="TimesNewRoman"/>
          <w:szCs w:val="22"/>
          <w:lang w:eastAsia="en-US"/>
        </w:rPr>
        <w:t>Liečba</w:t>
      </w:r>
      <w:r w:rsidR="0058500C" w:rsidRPr="008F7ACD">
        <w:rPr>
          <w:rFonts w:eastAsia="TimesNewRoman"/>
          <w:szCs w:val="22"/>
          <w:lang w:eastAsia="en-US"/>
        </w:rPr>
        <w:t xml:space="preserve"> bortezomibom </w:t>
      </w:r>
      <w:r w:rsidRPr="008F7ACD">
        <w:rPr>
          <w:rFonts w:eastAsia="TimesNewRoman"/>
          <w:szCs w:val="22"/>
          <w:lang w:eastAsia="en-US"/>
        </w:rPr>
        <w:t>je často spojená s ortostatickou/posturálnou hypotenziou. Väčšina nežiaducich</w:t>
      </w:r>
      <w:r w:rsidR="009B652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reakcií je miernej až stredne </w:t>
      </w:r>
      <w:r w:rsidR="009B652C" w:rsidRPr="008F7ACD">
        <w:rPr>
          <w:rFonts w:eastAsia="TimesNewRoman"/>
          <w:szCs w:val="22"/>
          <w:lang w:eastAsia="en-US"/>
        </w:rPr>
        <w:t>závažnej</w:t>
      </w:r>
      <w:r w:rsidRPr="008F7ACD">
        <w:rPr>
          <w:rFonts w:eastAsia="TimesNewRoman"/>
          <w:szCs w:val="22"/>
          <w:lang w:eastAsia="en-US"/>
        </w:rPr>
        <w:t xml:space="preserve"> povahy a vyskytujú sa v priebehu liečby. Pacienti, u</w:t>
      </w:r>
      <w:r w:rsidR="00CC480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ktorých</w:t>
      </w:r>
      <w:r w:rsidR="00CC480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vznikla ortostatická hypotenzia počas liečby </w:t>
      </w:r>
      <w:r w:rsidR="00CC4802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(podávaným intravenózne), nemali známky</w:t>
      </w:r>
      <w:r w:rsidR="00CC480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ortostatickej hypotenzie pred liečbou </w:t>
      </w:r>
      <w:r w:rsidR="00CC4802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>. Väčšina pacientov potrebovala liečbu ortostatickej</w:t>
      </w:r>
      <w:r w:rsidR="00E560AB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hypotenzie. U menšej časti pacientov s ortostatickou hypotenziou sa zaznamenali prí</w:t>
      </w:r>
      <w:r w:rsidR="00E560AB" w:rsidRPr="008F7ACD">
        <w:rPr>
          <w:rFonts w:eastAsia="TimesNewRoman"/>
          <w:szCs w:val="22"/>
          <w:lang w:eastAsia="en-US"/>
        </w:rPr>
        <w:t>pady synkopy</w:t>
      </w:r>
      <w:r w:rsidRPr="008F7ACD">
        <w:rPr>
          <w:rFonts w:eastAsia="TimesNewRoman"/>
          <w:szCs w:val="22"/>
          <w:lang w:eastAsia="en-US"/>
        </w:rPr>
        <w:t>.</w:t>
      </w:r>
      <w:r w:rsidR="00E560AB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Vznik ortostatickej/posturálnej hypotenzie nebol akútne spojený s podaním bolusu infúzie</w:t>
      </w:r>
      <w:r w:rsidR="00D67E26" w:rsidRPr="008F7ACD">
        <w:rPr>
          <w:rFonts w:eastAsia="TimesNewRoman"/>
          <w:szCs w:val="22"/>
          <w:lang w:eastAsia="en-US"/>
        </w:rPr>
        <w:t xml:space="preserve"> bortezomibu</w:t>
      </w:r>
      <w:r w:rsidRPr="008F7ACD">
        <w:rPr>
          <w:rFonts w:eastAsia="TimesNewRoman"/>
          <w:szCs w:val="22"/>
          <w:lang w:eastAsia="en-US"/>
        </w:rPr>
        <w:t>. Mechanizmus tohto nežiaduceho účinku je neznámy, čiastočne však môže vzniknúť</w:t>
      </w:r>
      <w:r w:rsidR="00D67E2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</w:t>
      </w:r>
      <w:r w:rsidR="00C6294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dôsledku autonómnej neuropatie. Autonómna neuropatia môže byť spojená s bortezomibom alebo</w:t>
      </w:r>
      <w:r w:rsidR="00D67E2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bortezomib môže zhoršovať základné ochorenie, ako napríklad diabetickú alebo amyloidnú</w:t>
      </w:r>
      <w:r w:rsidR="00D67E2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neuropatiu. Opatrnosť sa odporúča pri liečbe pacientov so známou anamnézou synkopy spojenou</w:t>
      </w:r>
      <w:r w:rsidR="00D67E2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</w:t>
      </w:r>
      <w:r w:rsidR="00C6294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užívaním liekov spôsobujúcich hypotenziu alebo u pacientov dehydratovaných v dôsledku</w:t>
      </w:r>
      <w:r w:rsidR="00D67E2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opakujúcej sa diare</w:t>
      </w:r>
      <w:r w:rsidR="00645960" w:rsidRPr="008F7ACD">
        <w:rPr>
          <w:rFonts w:eastAsia="TimesNewRoman"/>
          <w:szCs w:val="22"/>
          <w:lang w:eastAsia="en-US"/>
        </w:rPr>
        <w:t>y</w:t>
      </w:r>
      <w:r w:rsidRPr="008F7ACD">
        <w:rPr>
          <w:rFonts w:eastAsia="TimesNewRoman"/>
          <w:szCs w:val="22"/>
          <w:lang w:eastAsia="en-US"/>
        </w:rPr>
        <w:t xml:space="preserve"> alebo vracania. Manažment ortostatickej/posturálnej hypotenzie môže zahŕňať</w:t>
      </w:r>
      <w:r w:rsidR="00D67E2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úpravu antihypertenzívnych liekov, rehydratáciu alebo podávanie mineralokortikoidov a/alebo</w:t>
      </w:r>
      <w:r w:rsidR="00D67E2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sympatomimetík. Pacienti majú byť upozornení, aby vyhľadali lekársku pomoc, ak pocítia príznaky</w:t>
      </w:r>
      <w:r w:rsidR="00D67E2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ako závrat, </w:t>
      </w:r>
      <w:r w:rsidR="004D39D1" w:rsidRPr="008F7ACD">
        <w:rPr>
          <w:rFonts w:eastAsia="TimesNewRoman"/>
          <w:szCs w:val="22"/>
          <w:lang w:eastAsia="en-US"/>
        </w:rPr>
        <w:t>točenie hlavy</w:t>
      </w:r>
      <w:r w:rsidRPr="008F7ACD">
        <w:rPr>
          <w:rFonts w:eastAsia="TimesNewRoman"/>
          <w:szCs w:val="22"/>
          <w:lang w:eastAsia="en-US"/>
        </w:rPr>
        <w:t xml:space="preserve"> alebo stratu vedomia.</w:t>
      </w:r>
    </w:p>
    <w:p w:rsidR="009E3BF8" w:rsidRPr="008F7ACD" w:rsidRDefault="009E3BF8" w:rsidP="00C92B0B">
      <w:pPr>
        <w:ind w:left="0" w:firstLine="0"/>
        <w:rPr>
          <w:szCs w:val="22"/>
          <w:u w:val="single"/>
        </w:rPr>
      </w:pPr>
    </w:p>
    <w:p w:rsidR="009E3BF8" w:rsidRPr="008F7ACD" w:rsidRDefault="00A927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Syndróm p</w:t>
      </w:r>
      <w:r w:rsidR="009E3BF8" w:rsidRPr="008F7ACD">
        <w:rPr>
          <w:rFonts w:eastAsia="TimesNewRoman"/>
          <w:szCs w:val="22"/>
          <w:u w:val="single"/>
          <w:lang w:eastAsia="en-US"/>
        </w:rPr>
        <w:t>osteriórn</w:t>
      </w:r>
      <w:r w:rsidRPr="008F7ACD">
        <w:rPr>
          <w:rFonts w:eastAsia="TimesNewRoman"/>
          <w:szCs w:val="22"/>
          <w:u w:val="single"/>
          <w:lang w:eastAsia="en-US"/>
        </w:rPr>
        <w:t>ej</w:t>
      </w:r>
      <w:r w:rsidR="009E3BF8" w:rsidRPr="008F7ACD">
        <w:rPr>
          <w:rFonts w:eastAsia="TimesNewRoman"/>
          <w:szCs w:val="22"/>
          <w:u w:val="single"/>
          <w:lang w:eastAsia="en-US"/>
        </w:rPr>
        <w:t xml:space="preserve"> reverzibiln</w:t>
      </w:r>
      <w:r w:rsidRPr="008F7ACD">
        <w:rPr>
          <w:rFonts w:eastAsia="TimesNewRoman"/>
          <w:szCs w:val="22"/>
          <w:u w:val="single"/>
          <w:lang w:eastAsia="en-US"/>
        </w:rPr>
        <w:t>ej</w:t>
      </w:r>
      <w:r w:rsidR="009E3BF8" w:rsidRPr="008F7ACD">
        <w:rPr>
          <w:rFonts w:eastAsia="TimesNewRoman"/>
          <w:szCs w:val="22"/>
          <w:u w:val="single"/>
          <w:lang w:eastAsia="en-US"/>
        </w:rPr>
        <w:t xml:space="preserve"> encefalopati</w:t>
      </w:r>
      <w:r w:rsidRPr="008F7ACD">
        <w:rPr>
          <w:rFonts w:eastAsia="TimesNewRoman"/>
          <w:szCs w:val="22"/>
          <w:u w:val="single"/>
          <w:lang w:eastAsia="en-US"/>
        </w:rPr>
        <w:t>e</w:t>
      </w:r>
      <w:r w:rsidR="009E3BF8" w:rsidRPr="008F7ACD">
        <w:rPr>
          <w:rFonts w:eastAsia="TimesNewRoman"/>
          <w:szCs w:val="22"/>
          <w:u w:val="single"/>
          <w:lang w:eastAsia="en-US"/>
        </w:rPr>
        <w:t xml:space="preserve"> (PRES)</w:t>
      </w: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U pacientov liečených</w:t>
      </w:r>
      <w:r w:rsidR="00E37CE3" w:rsidRPr="008F7ACD">
        <w:rPr>
          <w:rFonts w:eastAsia="TimesNewRoman"/>
          <w:szCs w:val="22"/>
          <w:lang w:eastAsia="en-US"/>
        </w:rPr>
        <w:t xml:space="preserve"> bortezomibom </w:t>
      </w:r>
      <w:r w:rsidRPr="008F7ACD">
        <w:rPr>
          <w:rFonts w:eastAsia="TimesNewRoman"/>
          <w:szCs w:val="22"/>
          <w:lang w:eastAsia="en-US"/>
        </w:rPr>
        <w:t>boli hlásené prípady PRES. PRES je zriedkavý, často</w:t>
      </w:r>
      <w:r w:rsidR="00E37CE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reverzibilný, rýchlo sa vyvíjajúci neurologický stav, ktorý sa môže prejaviť záchvat</w:t>
      </w:r>
      <w:r w:rsidR="007D0687" w:rsidRPr="008F7ACD">
        <w:rPr>
          <w:rFonts w:eastAsia="TimesNewRoman"/>
          <w:szCs w:val="22"/>
          <w:lang w:eastAsia="en-US"/>
        </w:rPr>
        <w:t>om</w:t>
      </w:r>
      <w:r w:rsidRPr="008F7ACD">
        <w:rPr>
          <w:rFonts w:eastAsia="TimesNewRoman"/>
          <w:szCs w:val="22"/>
          <w:lang w:eastAsia="en-US"/>
        </w:rPr>
        <w:t>, hypertenziou,</w:t>
      </w:r>
      <w:r w:rsidR="00E37CE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bolesťou hlavy, letargiou, zmätenosťou, slepotou alebo inými zrakovými a</w:t>
      </w:r>
      <w:r w:rsidR="00E37CE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neurologickými</w:t>
      </w:r>
      <w:r w:rsidR="00E37CE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poruchami. Na potvrdenie diagnózy sa používa snímka mozgu, najmä magnetická rezonancia</w:t>
      </w:r>
      <w:r w:rsidR="00A927F8" w:rsidRPr="008F7ACD">
        <w:rPr>
          <w:rFonts w:eastAsia="TimesNewRoman"/>
          <w:szCs w:val="22"/>
          <w:lang w:eastAsia="en-US"/>
        </w:rPr>
        <w:t xml:space="preserve"> (MRI)</w:t>
      </w:r>
      <w:r w:rsidRPr="008F7ACD">
        <w:rPr>
          <w:rFonts w:eastAsia="TimesNewRoman"/>
          <w:szCs w:val="22"/>
          <w:lang w:eastAsia="en-US"/>
        </w:rPr>
        <w:t>.</w:t>
      </w:r>
      <w:r w:rsidR="00E37CE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U pacientov, u ktorých sa vyvinie PRES, treba ukončiť podávanie</w:t>
      </w:r>
      <w:r w:rsidR="00E37CE3" w:rsidRPr="008F7ACD">
        <w:rPr>
          <w:rFonts w:eastAsia="TimesNewRoman"/>
          <w:szCs w:val="22"/>
          <w:lang w:eastAsia="en-US"/>
        </w:rPr>
        <w:t xml:space="preserve"> bortezomibu</w:t>
      </w:r>
      <w:r w:rsidRPr="008F7ACD">
        <w:rPr>
          <w:rFonts w:eastAsia="TimesNewRoman"/>
          <w:szCs w:val="22"/>
          <w:lang w:eastAsia="en-US"/>
        </w:rPr>
        <w:t>.</w:t>
      </w:r>
    </w:p>
    <w:p w:rsidR="00E37CE3" w:rsidRPr="008F7ACD" w:rsidRDefault="00E37CE3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Zlyhanie srdca</w:t>
      </w:r>
    </w:p>
    <w:p w:rsidR="00276D40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Akútny rozvoj alebo zhoršenie kongestívneho zlyhania srdca a/alebo nový pokles ejekčnej frakcie</w:t>
      </w:r>
      <w:r w:rsidR="00276D4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ľavej komory </w:t>
      </w:r>
      <w:r w:rsidR="00125754" w:rsidRPr="008F7ACD">
        <w:rPr>
          <w:rFonts w:eastAsia="TimesNewRoman"/>
          <w:szCs w:val="22"/>
          <w:lang w:eastAsia="en-US"/>
        </w:rPr>
        <w:t>boli</w:t>
      </w:r>
      <w:r w:rsidRPr="008F7ACD">
        <w:rPr>
          <w:rFonts w:eastAsia="TimesNewRoman"/>
          <w:szCs w:val="22"/>
          <w:lang w:eastAsia="en-US"/>
        </w:rPr>
        <w:t xml:space="preserve"> </w:t>
      </w:r>
      <w:r w:rsidR="00125754" w:rsidRPr="008F7ACD">
        <w:rPr>
          <w:rFonts w:eastAsia="TimesNewRoman"/>
          <w:szCs w:val="22"/>
          <w:lang w:eastAsia="en-US"/>
        </w:rPr>
        <w:t>hlásené</w:t>
      </w:r>
      <w:r w:rsidRPr="008F7ACD">
        <w:rPr>
          <w:rFonts w:eastAsia="TimesNewRoman"/>
          <w:szCs w:val="22"/>
          <w:lang w:eastAsia="en-US"/>
        </w:rPr>
        <w:t xml:space="preserve"> počas liečby bortezomibom. Retencia tekutín môže byť predispozičným</w:t>
      </w:r>
      <w:r w:rsidR="00276D4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faktorom </w:t>
      </w:r>
      <w:r w:rsidR="00BB41A3" w:rsidRPr="008F7ACD">
        <w:rPr>
          <w:rFonts w:eastAsia="TimesNewRoman"/>
          <w:szCs w:val="22"/>
          <w:lang w:eastAsia="en-US"/>
        </w:rPr>
        <w:t>prejav</w:t>
      </w:r>
      <w:r w:rsidRPr="008F7ACD">
        <w:rPr>
          <w:rFonts w:eastAsia="TimesNewRoman"/>
          <w:szCs w:val="22"/>
          <w:lang w:eastAsia="en-US"/>
        </w:rPr>
        <w:t>ov a</w:t>
      </w:r>
      <w:r w:rsidR="00BB41A3" w:rsidRPr="008F7ACD">
        <w:rPr>
          <w:rFonts w:eastAsia="TimesNewRoman"/>
          <w:szCs w:val="22"/>
          <w:lang w:eastAsia="en-US"/>
        </w:rPr>
        <w:t xml:space="preserve"> príznak</w:t>
      </w:r>
      <w:r w:rsidRPr="008F7ACD">
        <w:rPr>
          <w:rFonts w:eastAsia="TimesNewRoman"/>
          <w:szCs w:val="22"/>
          <w:lang w:eastAsia="en-US"/>
        </w:rPr>
        <w:t>ov zlyhania srdca. Pacienti s</w:t>
      </w:r>
      <w:r w:rsidR="00D51E12" w:rsidRPr="008F7ACD">
        <w:rPr>
          <w:rFonts w:eastAsia="TimesNewRoman"/>
          <w:szCs w:val="22"/>
          <w:lang w:eastAsia="en-US"/>
        </w:rPr>
        <w:t> rizikovými faktormi</w:t>
      </w:r>
      <w:r w:rsidRPr="008F7ACD">
        <w:rPr>
          <w:rFonts w:eastAsia="TimesNewRoman"/>
          <w:szCs w:val="22"/>
          <w:lang w:eastAsia="en-US"/>
        </w:rPr>
        <w:t xml:space="preserve"> ochoreni</w:t>
      </w:r>
      <w:r w:rsidR="00D51E12" w:rsidRPr="008F7ACD">
        <w:rPr>
          <w:rFonts w:eastAsia="TimesNewRoman"/>
          <w:szCs w:val="22"/>
          <w:lang w:eastAsia="en-US"/>
        </w:rPr>
        <w:t>a</w:t>
      </w:r>
      <w:r w:rsidRPr="008F7ACD">
        <w:rPr>
          <w:rFonts w:eastAsia="TimesNewRoman"/>
          <w:szCs w:val="22"/>
          <w:lang w:eastAsia="en-US"/>
        </w:rPr>
        <w:t xml:space="preserve"> srdca </w:t>
      </w:r>
      <w:r w:rsidR="00D51E12" w:rsidRPr="008F7ACD">
        <w:rPr>
          <w:rFonts w:eastAsia="TimesNewRoman"/>
          <w:szCs w:val="22"/>
          <w:lang w:eastAsia="en-US"/>
        </w:rPr>
        <w:t xml:space="preserve">alebo pacienti s už existujúcim ochorením srdca </w:t>
      </w:r>
      <w:r w:rsidRPr="008F7ACD">
        <w:rPr>
          <w:rFonts w:eastAsia="TimesNewRoman"/>
          <w:szCs w:val="22"/>
          <w:lang w:eastAsia="en-US"/>
        </w:rPr>
        <w:t>majú byť</w:t>
      </w:r>
      <w:r w:rsidR="00276D4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starostlivo monitorovaní.</w:t>
      </w:r>
      <w:r w:rsidR="00276D40" w:rsidRPr="008F7ACD">
        <w:rPr>
          <w:rFonts w:eastAsia="TimesNewRoman"/>
          <w:szCs w:val="22"/>
          <w:lang w:eastAsia="en-US"/>
        </w:rPr>
        <w:t xml:space="preserve"> </w:t>
      </w:r>
    </w:p>
    <w:p w:rsidR="00276D40" w:rsidRPr="008F7ACD" w:rsidRDefault="00276D40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276D40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Vyšetrenie elektrokardiogram</w:t>
      </w:r>
      <w:r w:rsidR="00F80F77" w:rsidRPr="008F7ACD">
        <w:rPr>
          <w:rFonts w:eastAsia="TimesNewRoman"/>
          <w:szCs w:val="22"/>
          <w:u w:val="single"/>
          <w:lang w:eastAsia="en-US"/>
        </w:rPr>
        <w:t>om</w:t>
      </w:r>
    </w:p>
    <w:p w:rsidR="009E3BF8" w:rsidRPr="008F7ACD" w:rsidRDefault="009E3BF8" w:rsidP="00276D40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8F7ACD">
        <w:rPr>
          <w:rFonts w:eastAsia="TimesNewRoman"/>
          <w:szCs w:val="22"/>
          <w:lang w:eastAsia="en-US"/>
        </w:rPr>
        <w:t xml:space="preserve">V klinických štúdiách boli pozorované </w:t>
      </w:r>
      <w:r w:rsidR="00A927F8" w:rsidRPr="008F7ACD">
        <w:rPr>
          <w:rFonts w:eastAsia="TimesNewRoman"/>
          <w:szCs w:val="22"/>
          <w:lang w:eastAsia="en-US"/>
        </w:rPr>
        <w:t>o</w:t>
      </w:r>
      <w:r w:rsidRPr="008F7ACD">
        <w:rPr>
          <w:rFonts w:eastAsia="TimesNewRoman"/>
          <w:szCs w:val="22"/>
          <w:lang w:eastAsia="en-US"/>
        </w:rPr>
        <w:t>jed</w:t>
      </w:r>
      <w:r w:rsidR="00A927F8" w:rsidRPr="008F7ACD">
        <w:rPr>
          <w:rFonts w:eastAsia="TimesNewRoman"/>
          <w:szCs w:val="22"/>
          <w:lang w:eastAsia="en-US"/>
        </w:rPr>
        <w:t>inelé</w:t>
      </w:r>
      <w:r w:rsidRPr="008F7ACD">
        <w:rPr>
          <w:rFonts w:eastAsia="TimesNewRoman"/>
          <w:szCs w:val="22"/>
          <w:lang w:eastAsia="en-US"/>
        </w:rPr>
        <w:t xml:space="preserve"> prípady predĺženia QT-intervalu, príčina </w:t>
      </w:r>
      <w:r w:rsidR="00276D40" w:rsidRPr="008F7ACD">
        <w:rPr>
          <w:rFonts w:eastAsia="TimesNewRoman"/>
          <w:szCs w:val="22"/>
          <w:lang w:eastAsia="en-US"/>
        </w:rPr>
        <w:t xml:space="preserve">nebola </w:t>
      </w:r>
      <w:r w:rsidRPr="008F7ACD">
        <w:rPr>
          <w:rFonts w:eastAsia="TimesNewRoman"/>
          <w:szCs w:val="22"/>
          <w:lang w:eastAsia="en-US"/>
        </w:rPr>
        <w:t>objasnená.</w:t>
      </w:r>
    </w:p>
    <w:p w:rsidR="006321A9" w:rsidRPr="008F7ACD" w:rsidRDefault="006321A9" w:rsidP="00C92B0B">
      <w:pPr>
        <w:ind w:left="0" w:firstLine="0"/>
        <w:rPr>
          <w:szCs w:val="22"/>
          <w:u w:val="single"/>
        </w:rPr>
      </w:pP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Pľúcne poruchy</w:t>
      </w: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U pacientov liečených </w:t>
      </w:r>
      <w:r w:rsidR="00276D40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(pozri časť 4.8) bola </w:t>
      </w:r>
      <w:r w:rsidR="006D2F37" w:rsidRPr="008F7ACD">
        <w:rPr>
          <w:rFonts w:eastAsia="TimesNewRoman"/>
          <w:szCs w:val="22"/>
          <w:lang w:eastAsia="en-US"/>
        </w:rPr>
        <w:t xml:space="preserve">v zriedkavých prípadoch </w:t>
      </w:r>
      <w:r w:rsidRPr="008F7ACD">
        <w:rPr>
          <w:rFonts w:eastAsia="TimesNewRoman"/>
          <w:szCs w:val="22"/>
          <w:lang w:eastAsia="en-US"/>
        </w:rPr>
        <w:t>hlásená akútna difúzna infiltračná pľúcna</w:t>
      </w:r>
      <w:r w:rsidR="0015227B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choroba neznámej etiológie ako napr. pneumonitída, intersticiálna pneumónia, pľúcna infiltrácia</w:t>
      </w:r>
      <w:r w:rsidR="0015227B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a syndróm akútne</w:t>
      </w:r>
      <w:r w:rsidR="00A927F8" w:rsidRPr="008F7ACD">
        <w:rPr>
          <w:rFonts w:eastAsia="TimesNewRoman"/>
          <w:szCs w:val="22"/>
          <w:lang w:eastAsia="en-US"/>
        </w:rPr>
        <w:t>j</w:t>
      </w:r>
      <w:r w:rsidRPr="008F7ACD">
        <w:rPr>
          <w:rFonts w:eastAsia="TimesNewRoman"/>
          <w:szCs w:val="22"/>
          <w:lang w:eastAsia="en-US"/>
        </w:rPr>
        <w:t xml:space="preserve"> respiračn</w:t>
      </w:r>
      <w:r w:rsidR="00A927F8" w:rsidRPr="008F7ACD">
        <w:rPr>
          <w:rFonts w:eastAsia="TimesNewRoman"/>
          <w:szCs w:val="22"/>
          <w:lang w:eastAsia="en-US"/>
        </w:rPr>
        <w:t>ej</w:t>
      </w:r>
      <w:r w:rsidRPr="008F7ACD">
        <w:rPr>
          <w:rFonts w:eastAsia="TimesNewRoman"/>
          <w:szCs w:val="22"/>
          <w:lang w:eastAsia="en-US"/>
        </w:rPr>
        <w:t xml:space="preserve"> </w:t>
      </w:r>
      <w:r w:rsidR="00A927F8" w:rsidRPr="008F7ACD">
        <w:rPr>
          <w:rFonts w:eastAsia="TimesNewRoman"/>
          <w:szCs w:val="22"/>
          <w:lang w:eastAsia="en-US"/>
        </w:rPr>
        <w:t>tiesne</w:t>
      </w:r>
      <w:r w:rsidRPr="008F7ACD">
        <w:rPr>
          <w:rFonts w:eastAsia="TimesNewRoman"/>
          <w:szCs w:val="22"/>
          <w:lang w:eastAsia="en-US"/>
        </w:rPr>
        <w:t xml:space="preserve"> (ARDS). Niektoré z týchto príhod boli smrteľné. Pred</w:t>
      </w:r>
      <w:r w:rsidR="0015227B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začiatkom liečby sa odporúča vykonať röntgen hrudníka, ktorý bude slúžiť ako východisko v prípade</w:t>
      </w:r>
      <w:r w:rsidR="0015227B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zmien na pľúcach po ukončení liečby.</w:t>
      </w: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Pri výskyte nových alebo zhoršených pľúcnych príznakov (napr. kašeľ, dyspnoe) sa má okamžite</w:t>
      </w:r>
      <w:r w:rsidR="0015227B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stanoviť diagnóza a pacienti sa majú podrobiť vhodnej liečbe. Pred pokračovaním liečby</w:t>
      </w:r>
      <w:r w:rsidR="00285C91" w:rsidRPr="008F7ACD">
        <w:rPr>
          <w:rFonts w:eastAsia="TimesNewRoman"/>
          <w:szCs w:val="22"/>
          <w:lang w:eastAsia="en-US"/>
        </w:rPr>
        <w:t xml:space="preserve"> </w:t>
      </w:r>
      <w:r w:rsidR="0015227B" w:rsidRPr="008F7ACD">
        <w:rPr>
          <w:rFonts w:eastAsia="TimesNewRoman"/>
          <w:szCs w:val="22"/>
          <w:lang w:eastAsia="en-US"/>
        </w:rPr>
        <w:t xml:space="preserve">bortezomibom </w:t>
      </w:r>
      <w:r w:rsidRPr="008F7ACD">
        <w:rPr>
          <w:rFonts w:eastAsia="TimesNewRoman"/>
          <w:szCs w:val="22"/>
          <w:lang w:eastAsia="en-US"/>
        </w:rPr>
        <w:t xml:space="preserve">sa má zvážiť </w:t>
      </w:r>
      <w:r w:rsidR="001F2FBA" w:rsidRPr="008F7ACD">
        <w:rPr>
          <w:rFonts w:eastAsia="TimesNewRoman"/>
          <w:szCs w:val="22"/>
          <w:lang w:eastAsia="en-US"/>
        </w:rPr>
        <w:t>pomer</w:t>
      </w:r>
      <w:r w:rsidRPr="008F7ACD">
        <w:rPr>
          <w:rFonts w:eastAsia="TimesNewRoman"/>
          <w:szCs w:val="22"/>
          <w:lang w:eastAsia="en-US"/>
        </w:rPr>
        <w:t xml:space="preserve"> jej prínosu/rizika.</w:t>
      </w:r>
    </w:p>
    <w:p w:rsidR="0015227B" w:rsidRPr="008F7ACD" w:rsidRDefault="0015227B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9E3BF8" w:rsidRPr="008F7ACD" w:rsidRDefault="009E3BF8" w:rsidP="00B90B3B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8F7ACD">
        <w:rPr>
          <w:rFonts w:eastAsia="TimesNewRoman"/>
          <w:szCs w:val="22"/>
          <w:lang w:eastAsia="en-US"/>
        </w:rPr>
        <w:t>V klinick</w:t>
      </w:r>
      <w:r w:rsidR="006D2F37" w:rsidRPr="008F7ACD">
        <w:rPr>
          <w:rFonts w:eastAsia="TimesNewRoman"/>
          <w:szCs w:val="22"/>
          <w:lang w:eastAsia="en-US"/>
        </w:rPr>
        <w:t>om</w:t>
      </w:r>
      <w:r w:rsidRPr="008F7ACD">
        <w:rPr>
          <w:rFonts w:eastAsia="TimesNewRoman"/>
          <w:szCs w:val="22"/>
          <w:lang w:eastAsia="en-US"/>
        </w:rPr>
        <w:t xml:space="preserve"> </w:t>
      </w:r>
      <w:r w:rsidR="006D2F37" w:rsidRPr="008F7ACD">
        <w:rPr>
          <w:rFonts w:eastAsia="TimesNewRoman"/>
          <w:szCs w:val="22"/>
          <w:lang w:eastAsia="en-US"/>
        </w:rPr>
        <w:t>skúšaní</w:t>
      </w:r>
      <w:r w:rsidRPr="008F7ACD">
        <w:rPr>
          <w:rFonts w:eastAsia="TimesNewRoman"/>
          <w:szCs w:val="22"/>
          <w:lang w:eastAsia="en-US"/>
        </w:rPr>
        <w:t xml:space="preserve"> dvaja pacienti (z dvoch), ktorým sa podávala vysoká dávka cytarabínu</w:t>
      </w:r>
      <w:r w:rsidR="0015227B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(2</w:t>
      </w:r>
      <w:r w:rsidR="0015227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="00B90B3B" w:rsidRPr="008F7ACD">
        <w:rPr>
          <w:rFonts w:eastAsia="TimesNewRoman"/>
          <w:szCs w:val="22"/>
          <w:vertAlign w:val="superscript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denne) kontinuálnou infúziou počas 24</w:t>
      </w:r>
      <w:r w:rsidR="00B90B3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hodín s daunorubicínom a </w:t>
      </w:r>
      <w:r w:rsidR="00B90B3B" w:rsidRPr="008F7ACD">
        <w:rPr>
          <w:rFonts w:eastAsia="TimesNewRoman"/>
          <w:szCs w:val="22"/>
          <w:lang w:eastAsia="en-US"/>
        </w:rPr>
        <w:t xml:space="preserve">bortezomibom </w:t>
      </w:r>
      <w:r w:rsidRPr="008F7ACD">
        <w:rPr>
          <w:rFonts w:eastAsia="TimesNewRoman"/>
          <w:szCs w:val="22"/>
          <w:lang w:eastAsia="en-US"/>
        </w:rPr>
        <w:t>z dôvodu</w:t>
      </w:r>
      <w:r w:rsidR="00B90B3B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relapsu akútnej myeloidnej leukémie, zomreli na ARDS v počiatočnom štádiu liečby a </w:t>
      </w:r>
      <w:r w:rsidR="006D2F37" w:rsidRPr="008F7ACD">
        <w:rPr>
          <w:rFonts w:eastAsia="TimesNewRoman"/>
          <w:szCs w:val="22"/>
          <w:lang w:eastAsia="en-US"/>
        </w:rPr>
        <w:t>skúšanie</w:t>
      </w:r>
      <w:r w:rsidRPr="008F7ACD">
        <w:rPr>
          <w:rFonts w:eastAsia="TimesNewRoman"/>
          <w:szCs w:val="22"/>
          <w:lang w:eastAsia="en-US"/>
        </w:rPr>
        <w:t xml:space="preserve"> sa</w:t>
      </w:r>
      <w:r w:rsidR="00B90B3B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ukončil</w:t>
      </w:r>
      <w:r w:rsidR="006D2F37" w:rsidRPr="008F7ACD">
        <w:rPr>
          <w:rFonts w:eastAsia="TimesNewRoman"/>
          <w:szCs w:val="22"/>
          <w:lang w:eastAsia="en-US"/>
        </w:rPr>
        <w:t>o</w:t>
      </w:r>
      <w:r w:rsidRPr="008F7ACD">
        <w:rPr>
          <w:rFonts w:eastAsia="TimesNewRoman"/>
          <w:szCs w:val="22"/>
          <w:lang w:eastAsia="en-US"/>
        </w:rPr>
        <w:t xml:space="preserve">. Z toho dôvodu sa táto špecifická liečba so </w:t>
      </w:r>
      <w:r w:rsidR="00FD6CF0" w:rsidRPr="008F7ACD">
        <w:rPr>
          <w:rFonts w:eastAsia="TimesNewRoman"/>
          <w:szCs w:val="22"/>
          <w:lang w:eastAsia="en-US"/>
        </w:rPr>
        <w:t>súbežne</w:t>
      </w:r>
      <w:r w:rsidRPr="008F7ACD">
        <w:rPr>
          <w:rFonts w:eastAsia="TimesNewRoman"/>
          <w:szCs w:val="22"/>
          <w:lang w:eastAsia="en-US"/>
        </w:rPr>
        <w:t xml:space="preserve"> podávanou vysokou dávkou cytarabínu</w:t>
      </w:r>
      <w:r w:rsidR="00B90B3B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(2</w:t>
      </w:r>
      <w:r w:rsidR="00B90B3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g/m</w:t>
      </w:r>
      <w:r w:rsidR="00836F3A" w:rsidRPr="008F7ACD">
        <w:rPr>
          <w:szCs w:val="22"/>
          <w:vertAlign w:val="superscript"/>
          <w:lang w:eastAsia="en-GB"/>
        </w:rPr>
        <w:t>2</w:t>
      </w:r>
      <w:r w:rsidRPr="008F7ACD">
        <w:rPr>
          <w:rFonts w:eastAsia="TimesNewRoman"/>
          <w:szCs w:val="22"/>
          <w:lang w:eastAsia="en-US"/>
        </w:rPr>
        <w:t xml:space="preserve"> denne) kontinuálnou infúziou počas 24 hodín neodporúča.</w:t>
      </w:r>
    </w:p>
    <w:p w:rsidR="009E3BF8" w:rsidRPr="008F7ACD" w:rsidRDefault="009E3BF8" w:rsidP="00C92B0B">
      <w:pPr>
        <w:ind w:left="0" w:firstLine="0"/>
        <w:rPr>
          <w:szCs w:val="22"/>
          <w:u w:val="single"/>
        </w:rPr>
      </w:pP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Porucha funkcie obličiek</w:t>
      </w: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lastRenderedPageBreak/>
        <w:t>U pacientov s mnohopočetným myelómom sú renálne komplikácie čast</w:t>
      </w:r>
      <w:r w:rsidR="006D2F37" w:rsidRPr="008F7ACD">
        <w:rPr>
          <w:rFonts w:eastAsia="TimesNewRoman"/>
          <w:szCs w:val="22"/>
          <w:lang w:eastAsia="en-US"/>
        </w:rPr>
        <w:t>é</w:t>
      </w:r>
      <w:r w:rsidRPr="008F7ACD">
        <w:rPr>
          <w:rFonts w:eastAsia="TimesNewRoman"/>
          <w:szCs w:val="22"/>
          <w:lang w:eastAsia="en-US"/>
        </w:rPr>
        <w:t>. Pacienti s poruchou</w:t>
      </w:r>
      <w:r w:rsidR="000A2E5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funkcie obličiek majú </w:t>
      </w:r>
      <w:r w:rsidR="004D39D1" w:rsidRPr="008F7ACD">
        <w:rPr>
          <w:rFonts w:eastAsia="TimesNewRoman"/>
          <w:szCs w:val="22"/>
          <w:lang w:eastAsia="en-US"/>
        </w:rPr>
        <w:t xml:space="preserve">byť </w:t>
      </w:r>
      <w:r w:rsidRPr="008F7ACD">
        <w:rPr>
          <w:rFonts w:eastAsia="TimesNewRoman"/>
          <w:szCs w:val="22"/>
          <w:lang w:eastAsia="en-US"/>
        </w:rPr>
        <w:t>dôsledne sledova</w:t>
      </w:r>
      <w:r w:rsidR="004D39D1" w:rsidRPr="008F7ACD">
        <w:rPr>
          <w:rFonts w:eastAsia="TimesNewRoman"/>
          <w:szCs w:val="22"/>
          <w:lang w:eastAsia="en-US"/>
        </w:rPr>
        <w:t>ní</w:t>
      </w:r>
      <w:r w:rsidRPr="008F7ACD">
        <w:rPr>
          <w:rFonts w:eastAsia="TimesNewRoman"/>
          <w:szCs w:val="22"/>
          <w:lang w:eastAsia="en-US"/>
        </w:rPr>
        <w:t xml:space="preserve"> (pozri časti 4.2 a 5.2).</w:t>
      </w: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0A2E5F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Porucha funkcie pečene</w:t>
      </w:r>
    </w:p>
    <w:p w:rsidR="009E3BF8" w:rsidRPr="008F7ACD" w:rsidRDefault="009E3BF8" w:rsidP="000A2E5F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8F7ACD">
        <w:rPr>
          <w:rFonts w:eastAsia="TimesNewRoman"/>
          <w:szCs w:val="22"/>
          <w:lang w:eastAsia="en-US"/>
        </w:rPr>
        <w:t>Bortezomib je metabolizovaný pečeňovými enzýmami. Expozícia bortezomibu je zvýšená u pacientov</w:t>
      </w:r>
      <w:r w:rsidR="000A2E5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so stredne závažnou alebo závažnou poruchou funkcie pečene; títo pacienti </w:t>
      </w:r>
      <w:r w:rsidR="006D2F37" w:rsidRPr="008F7ACD">
        <w:rPr>
          <w:rFonts w:eastAsia="TimesNewRoman"/>
          <w:szCs w:val="22"/>
          <w:lang w:eastAsia="en-US"/>
        </w:rPr>
        <w:t xml:space="preserve">sa </w:t>
      </w:r>
      <w:r w:rsidRPr="008F7ACD">
        <w:rPr>
          <w:rFonts w:eastAsia="TimesNewRoman"/>
          <w:szCs w:val="22"/>
          <w:lang w:eastAsia="en-US"/>
        </w:rPr>
        <w:t>majú lieč</w:t>
      </w:r>
      <w:r w:rsidR="006D2F37" w:rsidRPr="008F7ACD">
        <w:rPr>
          <w:rFonts w:eastAsia="TimesNewRoman"/>
          <w:szCs w:val="22"/>
          <w:lang w:eastAsia="en-US"/>
        </w:rPr>
        <w:t>iť</w:t>
      </w:r>
      <w:r w:rsidR="000A2E5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zníženými dávkami</w:t>
      </w:r>
      <w:r w:rsidR="000A2E5F" w:rsidRPr="008F7ACD">
        <w:rPr>
          <w:rFonts w:eastAsia="TimesNewRoman"/>
          <w:szCs w:val="22"/>
          <w:lang w:eastAsia="en-US"/>
        </w:rPr>
        <w:t xml:space="preserve"> bortezomibu</w:t>
      </w:r>
      <w:r w:rsidRPr="008F7ACD">
        <w:rPr>
          <w:rFonts w:eastAsia="TimesNewRoman"/>
          <w:szCs w:val="22"/>
          <w:lang w:eastAsia="en-US"/>
        </w:rPr>
        <w:t xml:space="preserve"> a starostlivo sledova</w:t>
      </w:r>
      <w:r w:rsidR="006D2F37" w:rsidRPr="008F7ACD">
        <w:rPr>
          <w:rFonts w:eastAsia="TimesNewRoman"/>
          <w:szCs w:val="22"/>
          <w:lang w:eastAsia="en-US"/>
        </w:rPr>
        <w:t>ť</w:t>
      </w:r>
      <w:r w:rsidRPr="008F7ACD">
        <w:rPr>
          <w:rFonts w:eastAsia="TimesNewRoman"/>
          <w:szCs w:val="22"/>
          <w:lang w:eastAsia="en-US"/>
        </w:rPr>
        <w:t xml:space="preserve"> z dôvodu toxicity (pozri časti 4.2 a 5.2).</w:t>
      </w:r>
    </w:p>
    <w:p w:rsidR="009E3BF8" w:rsidRPr="008F7ACD" w:rsidRDefault="009E3BF8" w:rsidP="00C92B0B">
      <w:pPr>
        <w:ind w:left="0" w:firstLine="0"/>
        <w:rPr>
          <w:szCs w:val="22"/>
          <w:u w:val="single"/>
        </w:rPr>
      </w:pP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Reakcie pečene</w:t>
      </w: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U pacientov vo vážnom stave, ktorí sú liečení </w:t>
      </w:r>
      <w:r w:rsidR="005351A8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a </w:t>
      </w:r>
      <w:r w:rsidR="00FD6CF0" w:rsidRPr="008F7ACD">
        <w:rPr>
          <w:rFonts w:eastAsia="TimesNewRoman"/>
          <w:szCs w:val="22"/>
          <w:lang w:eastAsia="en-US"/>
        </w:rPr>
        <w:t>súbežne</w:t>
      </w:r>
      <w:r w:rsidRPr="008F7ACD">
        <w:rPr>
          <w:rFonts w:eastAsia="TimesNewRoman"/>
          <w:szCs w:val="22"/>
          <w:lang w:eastAsia="en-US"/>
        </w:rPr>
        <w:t xml:space="preserve"> inými liekmi, bol</w:t>
      </w:r>
      <w:r w:rsidR="006D2F37" w:rsidRPr="008F7ACD">
        <w:rPr>
          <w:rFonts w:eastAsia="TimesNewRoman"/>
          <w:szCs w:val="22"/>
          <w:lang w:eastAsia="en-US"/>
        </w:rPr>
        <w:t>i zriedkavo</w:t>
      </w:r>
      <w:r w:rsidRPr="008F7ACD">
        <w:rPr>
          <w:rFonts w:eastAsia="TimesNewRoman"/>
          <w:szCs w:val="22"/>
          <w:lang w:eastAsia="en-US"/>
        </w:rPr>
        <w:t xml:space="preserve"> hlásené </w:t>
      </w:r>
      <w:r w:rsidR="006D2F37" w:rsidRPr="008F7ACD">
        <w:rPr>
          <w:rFonts w:eastAsia="TimesNewRoman"/>
          <w:szCs w:val="22"/>
          <w:lang w:eastAsia="en-US"/>
        </w:rPr>
        <w:t xml:space="preserve">prípady </w:t>
      </w:r>
      <w:r w:rsidRPr="008F7ACD">
        <w:rPr>
          <w:rFonts w:eastAsia="TimesNewRoman"/>
          <w:szCs w:val="22"/>
          <w:lang w:eastAsia="en-US"/>
        </w:rPr>
        <w:t>hepatálne</w:t>
      </w:r>
      <w:r w:rsidR="006D2F37" w:rsidRPr="008F7ACD">
        <w:rPr>
          <w:rFonts w:eastAsia="TimesNewRoman"/>
          <w:szCs w:val="22"/>
          <w:lang w:eastAsia="en-US"/>
        </w:rPr>
        <w:t>ho</w:t>
      </w:r>
      <w:r w:rsidRPr="008F7ACD">
        <w:rPr>
          <w:rFonts w:eastAsia="TimesNewRoman"/>
          <w:szCs w:val="22"/>
          <w:lang w:eastAsia="en-US"/>
        </w:rPr>
        <w:t xml:space="preserve"> zlyhani</w:t>
      </w:r>
      <w:r w:rsidR="006D2F37" w:rsidRPr="008F7ACD">
        <w:rPr>
          <w:rFonts w:eastAsia="TimesNewRoman"/>
          <w:szCs w:val="22"/>
          <w:lang w:eastAsia="en-US"/>
        </w:rPr>
        <w:t>a</w:t>
      </w:r>
      <w:r w:rsidRPr="008F7ACD">
        <w:rPr>
          <w:rFonts w:eastAsia="TimesNewRoman"/>
          <w:szCs w:val="22"/>
          <w:lang w:eastAsia="en-US"/>
        </w:rPr>
        <w:t>. Ďalšie hlásené pečeňové reakcie zahŕňajú zvýšenie pečeňových</w:t>
      </w:r>
      <w:r w:rsidR="00E7303A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enzýmov, hyperbilirubinémiu a hepatitídu. Po prerušení liečby bortezomibom môžu tieto zmeny</w:t>
      </w:r>
      <w:r w:rsidR="00E7303A" w:rsidRPr="008F7ACD">
        <w:rPr>
          <w:rFonts w:eastAsia="TimesNewRoman"/>
          <w:szCs w:val="22"/>
          <w:lang w:eastAsia="en-US"/>
        </w:rPr>
        <w:t xml:space="preserve"> </w:t>
      </w:r>
      <w:r w:rsidR="004D39D1" w:rsidRPr="008F7ACD">
        <w:rPr>
          <w:rFonts w:eastAsia="TimesNewRoman"/>
          <w:szCs w:val="22"/>
          <w:lang w:eastAsia="en-US"/>
        </w:rPr>
        <w:t>vymiznúť</w:t>
      </w:r>
      <w:r w:rsidRPr="008F7ACD">
        <w:rPr>
          <w:rFonts w:eastAsia="TimesNewRoman"/>
          <w:szCs w:val="22"/>
          <w:lang w:eastAsia="en-US"/>
        </w:rPr>
        <w:t xml:space="preserve"> (pozri časť 4.8).</w:t>
      </w:r>
    </w:p>
    <w:p w:rsidR="00E7303A" w:rsidRPr="008F7ACD" w:rsidRDefault="00E7303A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 xml:space="preserve">Syndróm </w:t>
      </w:r>
      <w:r w:rsidR="00723259" w:rsidRPr="008F7ACD">
        <w:rPr>
          <w:rFonts w:eastAsia="TimesNewRoman"/>
          <w:szCs w:val="22"/>
          <w:u w:val="single"/>
          <w:lang w:eastAsia="en-US"/>
        </w:rPr>
        <w:t>z rozpadu</w:t>
      </w:r>
      <w:r w:rsidRPr="008F7ACD">
        <w:rPr>
          <w:rFonts w:eastAsia="TimesNewRoman"/>
          <w:szCs w:val="22"/>
          <w:u w:val="single"/>
          <w:lang w:eastAsia="en-US"/>
        </w:rPr>
        <w:t xml:space="preserve"> </w:t>
      </w:r>
      <w:r w:rsidR="001C6A17" w:rsidRPr="008F7ACD">
        <w:rPr>
          <w:rFonts w:eastAsia="TimesNewRoman"/>
          <w:szCs w:val="22"/>
          <w:u w:val="single"/>
          <w:lang w:eastAsia="en-US"/>
        </w:rPr>
        <w:t>nádoru</w:t>
      </w: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Pretože bortezomib je cytotoxická látka a môže rýchlo ničiť malígne plazmatické bunky a bunky</w:t>
      </w:r>
      <w:r w:rsidR="00BA297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MCL, môžu sa vyskytnúť komplikácie syndrómu </w:t>
      </w:r>
      <w:r w:rsidR="00723259" w:rsidRPr="008F7ACD">
        <w:rPr>
          <w:rFonts w:eastAsia="TimesNewRoman"/>
          <w:szCs w:val="22"/>
          <w:lang w:eastAsia="en-US"/>
        </w:rPr>
        <w:t>z rozpadu</w:t>
      </w:r>
      <w:r w:rsidRPr="008F7ACD">
        <w:rPr>
          <w:rFonts w:eastAsia="TimesNewRoman"/>
          <w:szCs w:val="22"/>
          <w:lang w:eastAsia="en-US"/>
        </w:rPr>
        <w:t xml:space="preserve"> </w:t>
      </w:r>
      <w:r w:rsidR="00CC332E" w:rsidRPr="008F7ACD">
        <w:rPr>
          <w:rFonts w:eastAsia="TimesNewRoman"/>
          <w:szCs w:val="22"/>
          <w:lang w:eastAsia="en-US"/>
        </w:rPr>
        <w:t>nádo</w:t>
      </w:r>
      <w:r w:rsidRPr="008F7ACD">
        <w:rPr>
          <w:rFonts w:eastAsia="TimesNewRoman"/>
          <w:szCs w:val="22"/>
          <w:lang w:eastAsia="en-US"/>
        </w:rPr>
        <w:t>ru. Pacienti s rizikom vzniku syndrómu</w:t>
      </w:r>
      <w:r w:rsidR="00BA2971" w:rsidRPr="008F7ACD">
        <w:rPr>
          <w:rFonts w:eastAsia="TimesNewRoman"/>
          <w:szCs w:val="22"/>
          <w:lang w:eastAsia="en-US"/>
        </w:rPr>
        <w:t xml:space="preserve"> </w:t>
      </w:r>
      <w:r w:rsidR="00960A47" w:rsidRPr="008F7ACD">
        <w:rPr>
          <w:rFonts w:eastAsia="TimesNewRoman"/>
          <w:szCs w:val="22"/>
          <w:lang w:eastAsia="en-US"/>
        </w:rPr>
        <w:t>z rozpadu</w:t>
      </w:r>
      <w:r w:rsidRPr="008F7ACD">
        <w:rPr>
          <w:rFonts w:eastAsia="TimesNewRoman"/>
          <w:szCs w:val="22"/>
          <w:lang w:eastAsia="en-US"/>
        </w:rPr>
        <w:t xml:space="preserve"> </w:t>
      </w:r>
      <w:r w:rsidR="00960A47" w:rsidRPr="008F7ACD">
        <w:rPr>
          <w:rFonts w:eastAsia="TimesNewRoman"/>
          <w:szCs w:val="22"/>
          <w:lang w:eastAsia="en-US"/>
        </w:rPr>
        <w:t>nád</w:t>
      </w:r>
      <w:r w:rsidRPr="008F7ACD">
        <w:rPr>
          <w:rFonts w:eastAsia="TimesNewRoman"/>
          <w:szCs w:val="22"/>
          <w:lang w:eastAsia="en-US"/>
        </w:rPr>
        <w:t>oru sú tí, ktorí mali veľk</w:t>
      </w:r>
      <w:r w:rsidR="004958E2" w:rsidRPr="008F7ACD">
        <w:rPr>
          <w:rFonts w:eastAsia="TimesNewRoman"/>
          <w:szCs w:val="22"/>
          <w:lang w:eastAsia="en-US"/>
        </w:rPr>
        <w:t>é ložisko nádoru</w:t>
      </w:r>
      <w:r w:rsidRPr="008F7ACD">
        <w:rPr>
          <w:rFonts w:eastAsia="TimesNewRoman"/>
          <w:szCs w:val="22"/>
          <w:lang w:eastAsia="en-US"/>
        </w:rPr>
        <w:t xml:space="preserve"> pred začatím liečby. Títo pacienti majú</w:t>
      </w:r>
      <w:r w:rsidR="00BA2971" w:rsidRPr="008F7ACD">
        <w:rPr>
          <w:rFonts w:eastAsia="TimesNewRoman"/>
          <w:szCs w:val="22"/>
          <w:lang w:eastAsia="en-US"/>
        </w:rPr>
        <w:t xml:space="preserve"> </w:t>
      </w:r>
      <w:r w:rsidR="004D39D1" w:rsidRPr="008F7ACD">
        <w:rPr>
          <w:rFonts w:eastAsia="TimesNewRoman"/>
          <w:szCs w:val="22"/>
          <w:lang w:eastAsia="en-US"/>
        </w:rPr>
        <w:t xml:space="preserve">byť </w:t>
      </w:r>
      <w:r w:rsidRPr="008F7ACD">
        <w:rPr>
          <w:rFonts w:eastAsia="TimesNewRoman"/>
          <w:szCs w:val="22"/>
          <w:lang w:eastAsia="en-US"/>
        </w:rPr>
        <w:t>starostlivo sledova</w:t>
      </w:r>
      <w:r w:rsidR="004D39D1" w:rsidRPr="008F7ACD">
        <w:rPr>
          <w:rFonts w:eastAsia="TimesNewRoman"/>
          <w:szCs w:val="22"/>
          <w:lang w:eastAsia="en-US"/>
        </w:rPr>
        <w:t>ní</w:t>
      </w:r>
      <w:r w:rsidRPr="008F7ACD">
        <w:rPr>
          <w:rFonts w:eastAsia="TimesNewRoman"/>
          <w:szCs w:val="22"/>
          <w:lang w:eastAsia="en-US"/>
        </w:rPr>
        <w:t xml:space="preserve"> a majú byť urobené vhodné opatrenia.</w:t>
      </w:r>
    </w:p>
    <w:p w:rsidR="00BA2971" w:rsidRPr="008F7ACD" w:rsidRDefault="00BA2971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9E3BF8" w:rsidRPr="008F7ACD" w:rsidRDefault="00C92A77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Súbežne</w:t>
      </w:r>
      <w:r w:rsidR="00BA2971" w:rsidRPr="008F7ACD">
        <w:rPr>
          <w:rFonts w:eastAsia="TimesNewRoman"/>
          <w:szCs w:val="22"/>
          <w:u w:val="single"/>
          <w:lang w:eastAsia="en-US"/>
        </w:rPr>
        <w:t xml:space="preserve"> podávané lieky</w:t>
      </w:r>
    </w:p>
    <w:p w:rsidR="009E3BF8" w:rsidRPr="008F7ACD" w:rsidRDefault="009E3BF8" w:rsidP="00BA2971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8F7ACD">
        <w:rPr>
          <w:rFonts w:eastAsia="TimesNewRoman"/>
          <w:szCs w:val="22"/>
          <w:lang w:eastAsia="en-US"/>
        </w:rPr>
        <w:t>Pacienti majú starostlivo monitorova</w:t>
      </w:r>
      <w:r w:rsidR="004D39D1" w:rsidRPr="008F7ACD">
        <w:rPr>
          <w:rFonts w:eastAsia="TimesNewRoman"/>
          <w:szCs w:val="22"/>
          <w:lang w:eastAsia="en-US"/>
        </w:rPr>
        <w:t>ní</w:t>
      </w:r>
      <w:r w:rsidRPr="008F7ACD">
        <w:rPr>
          <w:rFonts w:eastAsia="TimesNewRoman"/>
          <w:szCs w:val="22"/>
          <w:lang w:eastAsia="en-US"/>
        </w:rPr>
        <w:t>, ak sa im podáva bortezomib v kombinácii s</w:t>
      </w:r>
      <w:r w:rsidR="004B0442" w:rsidRPr="008F7ACD">
        <w:rPr>
          <w:rFonts w:eastAsia="TimesNewRoman"/>
          <w:szCs w:val="22"/>
          <w:lang w:eastAsia="en-US"/>
        </w:rPr>
        <w:t>o silnými</w:t>
      </w:r>
      <w:r w:rsidR="00BA297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CYP3A4</w:t>
      </w:r>
      <w:r w:rsidR="004B044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inhibítormi. Opatrnosť sa vyžaduje, ak sa bortezomib kombinuje s CYP3A4- alebo</w:t>
      </w:r>
      <w:r w:rsidR="00BA297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CYP2C19 substrátmi (pozri časť 4.5).</w:t>
      </w:r>
    </w:p>
    <w:p w:rsidR="00C92A77" w:rsidRPr="008F7ACD" w:rsidRDefault="00C92A77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Normálna funkcia pečene </w:t>
      </w:r>
      <w:r w:rsidR="004B0442" w:rsidRPr="008F7ACD">
        <w:rPr>
          <w:rFonts w:eastAsia="TimesNewRoman"/>
          <w:szCs w:val="22"/>
          <w:lang w:eastAsia="en-US"/>
        </w:rPr>
        <w:t>sa má</w:t>
      </w:r>
      <w:r w:rsidRPr="008F7ACD">
        <w:rPr>
          <w:rFonts w:eastAsia="TimesNewRoman"/>
          <w:szCs w:val="22"/>
          <w:lang w:eastAsia="en-US"/>
        </w:rPr>
        <w:t xml:space="preserve"> potvrd</w:t>
      </w:r>
      <w:r w:rsidR="004B0442" w:rsidRPr="008F7ACD">
        <w:rPr>
          <w:rFonts w:eastAsia="TimesNewRoman"/>
          <w:szCs w:val="22"/>
          <w:lang w:eastAsia="en-US"/>
        </w:rPr>
        <w:t>iť</w:t>
      </w:r>
      <w:r w:rsidRPr="008F7ACD">
        <w:rPr>
          <w:rFonts w:eastAsia="TimesNewRoman"/>
          <w:szCs w:val="22"/>
          <w:lang w:eastAsia="en-US"/>
        </w:rPr>
        <w:t xml:space="preserve"> a opatrnosť sa vyžaduje u pacientov, ktorí užívajú</w:t>
      </w:r>
      <w:r w:rsidR="00BA297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perorálne </w:t>
      </w:r>
      <w:r w:rsidR="004B0442" w:rsidRPr="008F7ACD">
        <w:rPr>
          <w:rFonts w:eastAsia="TimesNewRoman"/>
          <w:szCs w:val="22"/>
          <w:lang w:eastAsia="en-US"/>
        </w:rPr>
        <w:t>antidiabetiká</w:t>
      </w:r>
      <w:r w:rsidRPr="008F7ACD">
        <w:rPr>
          <w:rFonts w:eastAsia="TimesNewRoman"/>
          <w:szCs w:val="22"/>
          <w:lang w:eastAsia="en-US"/>
        </w:rPr>
        <w:t xml:space="preserve"> (pozri časť 4.5).</w:t>
      </w:r>
    </w:p>
    <w:p w:rsidR="00BA2971" w:rsidRPr="008F7ACD" w:rsidRDefault="00BA2971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9E3BF8" w:rsidRPr="008F7ACD" w:rsidRDefault="009E3BF8" w:rsidP="009E3BF8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Možné imunokomplexom sprostredkované reakcie</w:t>
      </w:r>
    </w:p>
    <w:p w:rsidR="009E3BF8" w:rsidRPr="008F7ACD" w:rsidRDefault="009E3BF8" w:rsidP="0098626F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Možné imunokomplexom sprostredkované reakcie, ako je reakcia typu sérová choroba, polyartritída</w:t>
      </w:r>
      <w:r w:rsidR="0098626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</w:t>
      </w:r>
      <w:r w:rsidR="00C6294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vyrážkou a proliferatívna glomerulonefritída, sa zaznamenali menej často. Podávanie bortezomibu sa</w:t>
      </w:r>
      <w:r w:rsidR="0098626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má prerušiť, ak sa vyskytnú </w:t>
      </w:r>
      <w:r w:rsidR="004D39D1" w:rsidRPr="008F7ACD">
        <w:rPr>
          <w:rFonts w:eastAsia="TimesNewRoman"/>
          <w:szCs w:val="22"/>
          <w:lang w:eastAsia="en-US"/>
        </w:rPr>
        <w:t>závažné</w:t>
      </w:r>
      <w:r w:rsidRPr="008F7ACD">
        <w:rPr>
          <w:rFonts w:eastAsia="TimesNewRoman"/>
          <w:szCs w:val="22"/>
          <w:lang w:eastAsia="en-US"/>
        </w:rPr>
        <w:t xml:space="preserve"> reakcie.</w:t>
      </w:r>
    </w:p>
    <w:p w:rsidR="004D39D1" w:rsidRPr="008F7ACD" w:rsidRDefault="004D39D1" w:rsidP="0098626F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4D39D1" w:rsidRPr="008F7ACD" w:rsidRDefault="004D39D1" w:rsidP="0098626F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8F7ACD">
        <w:rPr>
          <w:rFonts w:eastAsia="TimesNewRoman"/>
          <w:szCs w:val="22"/>
          <w:u w:val="single"/>
          <w:lang w:eastAsia="en-US"/>
        </w:rPr>
        <w:t>Bortezomib STADA obsahuje sodík</w:t>
      </w:r>
    </w:p>
    <w:p w:rsidR="00057A09" w:rsidRPr="008F7ACD" w:rsidRDefault="004D39D1" w:rsidP="004D39D1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8F7ACD">
        <w:rPr>
          <w:szCs w:val="22"/>
        </w:rPr>
        <w:t>Tento liek obsahuje menej ako 1 mmol sodíka (23 mg) v liekovke, t.j. v podstate zanedbateľné množstvo sodíka.</w:t>
      </w:r>
    </w:p>
    <w:p w:rsidR="004D39D1" w:rsidRPr="008F7ACD" w:rsidRDefault="004D39D1" w:rsidP="00C75CFD">
      <w:pPr>
        <w:ind w:left="0" w:firstLine="0"/>
        <w:rPr>
          <w:szCs w:val="22"/>
          <w:u w:val="single"/>
        </w:rPr>
      </w:pPr>
    </w:p>
    <w:p w:rsidR="00FF6BE0" w:rsidRPr="008F7ACD" w:rsidRDefault="00FF6BE0" w:rsidP="00C92B0B">
      <w:pPr>
        <w:rPr>
          <w:b/>
          <w:szCs w:val="22"/>
        </w:rPr>
      </w:pPr>
      <w:r w:rsidRPr="008F7ACD">
        <w:rPr>
          <w:b/>
          <w:szCs w:val="22"/>
        </w:rPr>
        <w:t>4.5</w:t>
      </w:r>
      <w:r w:rsidRPr="008F7ACD">
        <w:rPr>
          <w:b/>
          <w:szCs w:val="22"/>
        </w:rPr>
        <w:tab/>
        <w:t>Liekové a iné interakcie</w:t>
      </w:r>
    </w:p>
    <w:p w:rsidR="00C52B78" w:rsidRPr="008F7ACD" w:rsidRDefault="00C52B78" w:rsidP="00C92B0B">
      <w:pPr>
        <w:ind w:left="0" w:firstLine="0"/>
        <w:rPr>
          <w:szCs w:val="22"/>
          <w:u w:val="single"/>
        </w:rPr>
      </w:pPr>
    </w:p>
    <w:p w:rsidR="00057A09" w:rsidRPr="008F7ACD" w:rsidRDefault="00057A09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 xml:space="preserve">In vitro </w:t>
      </w:r>
      <w:r w:rsidRPr="008F7ACD">
        <w:rPr>
          <w:rFonts w:eastAsia="TimesNewRoman"/>
          <w:szCs w:val="22"/>
          <w:lang w:eastAsia="en-US"/>
        </w:rPr>
        <w:t>štúdie ukazujú, že bortezomib je slabý inhibítor izoenzýmov 1A2, 2C9, 2C19, 2D6 a</w:t>
      </w:r>
      <w:r w:rsidR="00E801CB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3A4 cytochrómu P450 (CYP). Na základe obmedzeného podielu (7</w:t>
      </w:r>
      <w:r w:rsidR="00E801C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%) CYP2D6 na metabolizme</w:t>
      </w:r>
      <w:r w:rsidR="00E801CB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bortezomibu, sa nepredpokladá vplyv fenotypu slabého metabolizéru CYP2D6 na celkovú dispozíciu</w:t>
      </w:r>
      <w:r w:rsidR="00E801CB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bortezomibu.</w:t>
      </w:r>
    </w:p>
    <w:p w:rsidR="00E801CB" w:rsidRPr="008F7ACD" w:rsidRDefault="00E801CB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057A09" w:rsidRPr="008F7ACD" w:rsidRDefault="00057A09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Interakčná štúdia, ktorá hodnotila účinok ketokonazolu, silného CYP3A4 inhibítora, na</w:t>
      </w:r>
      <w:r w:rsidR="004B044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farmakokinetiku bortezomibu (podávaného intravenózne), preukázala priemerný nárast AUC</w:t>
      </w:r>
      <w:r w:rsidR="00CA44FE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bortezomibu o</w:t>
      </w:r>
      <w:r w:rsidR="00CA44FE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35</w:t>
      </w:r>
      <w:r w:rsidR="00CA44FE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(CI</w:t>
      </w:r>
      <w:r w:rsidRPr="008F7ACD">
        <w:rPr>
          <w:rFonts w:eastAsia="TimesNewRoman"/>
          <w:szCs w:val="22"/>
          <w:vertAlign w:val="subscript"/>
          <w:lang w:eastAsia="en-US"/>
        </w:rPr>
        <w:t>90%</w:t>
      </w:r>
      <w:r w:rsidRPr="008F7ACD">
        <w:rPr>
          <w:rFonts w:eastAsia="TimesNewRoman"/>
          <w:szCs w:val="22"/>
          <w:lang w:eastAsia="en-US"/>
        </w:rPr>
        <w:t xml:space="preserve"> [1,032 do 1,772]) na základe údajov od 12 pacientov. Preto </w:t>
      </w:r>
      <w:r w:rsidR="004B0442" w:rsidRPr="008F7ACD">
        <w:rPr>
          <w:rFonts w:eastAsia="TimesNewRoman"/>
          <w:szCs w:val="22"/>
          <w:lang w:eastAsia="en-US"/>
        </w:rPr>
        <w:t xml:space="preserve">sa </w:t>
      </w:r>
      <w:r w:rsidRPr="008F7ACD">
        <w:rPr>
          <w:rFonts w:eastAsia="TimesNewRoman"/>
          <w:szCs w:val="22"/>
          <w:lang w:eastAsia="en-US"/>
        </w:rPr>
        <w:t>majú</w:t>
      </w:r>
      <w:r w:rsidR="00CA44FE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pacienti starostlivo monitorova</w:t>
      </w:r>
      <w:r w:rsidR="004B0442" w:rsidRPr="008F7ACD">
        <w:rPr>
          <w:rFonts w:eastAsia="TimesNewRoman"/>
          <w:szCs w:val="22"/>
          <w:lang w:eastAsia="en-US"/>
        </w:rPr>
        <w:t>ť</w:t>
      </w:r>
      <w:r w:rsidRPr="008F7ACD">
        <w:rPr>
          <w:rFonts w:eastAsia="TimesNewRoman"/>
          <w:szCs w:val="22"/>
          <w:lang w:eastAsia="en-US"/>
        </w:rPr>
        <w:t>, ak sa im podáva bortezomib v kombinácii so silnými</w:t>
      </w:r>
      <w:r w:rsidR="00CA44FE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CYP3A4 inhibítormi (napr. ketokonazol, ritonavir).</w:t>
      </w:r>
    </w:p>
    <w:p w:rsidR="00CA44FE" w:rsidRPr="008F7ACD" w:rsidRDefault="00CA44FE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057A09" w:rsidRPr="008F7ACD" w:rsidRDefault="00057A09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V interakčnej štúdii, ktorá hodnotila účinok omeprazolu, silného CYP2C19 inhibítora, na</w:t>
      </w:r>
      <w:r w:rsidR="004B044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farmakokinetiku bortezomibu (podávaného intravenózne), sa nezaznamenal žiaden významný účinok</w:t>
      </w:r>
      <w:r w:rsidR="00CA44FE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na farmakokinetiku bortezomibu na základe údajov od 17 pacientov.</w:t>
      </w:r>
    </w:p>
    <w:p w:rsidR="00057A09" w:rsidRPr="008F7ACD" w:rsidRDefault="00057A09" w:rsidP="00057A09">
      <w:pPr>
        <w:ind w:left="0" w:firstLine="0"/>
        <w:rPr>
          <w:rFonts w:eastAsia="TimesNewRoman"/>
          <w:szCs w:val="22"/>
          <w:lang w:eastAsia="en-US"/>
        </w:rPr>
      </w:pPr>
    </w:p>
    <w:p w:rsidR="00057A09" w:rsidRPr="008F7ACD" w:rsidRDefault="00057A09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Interakčná štúdia, ktorá hodnotila účinok rifampicínu, silného induktora CYP3A4, na farmakokinetiku</w:t>
      </w:r>
      <w:r w:rsidR="00CA44FE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bortezomibu (podávaného intravenózne), potvrdila priemernú redukciu AUC bortezomibu o</w:t>
      </w:r>
      <w:r w:rsidR="00CA44FE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45</w:t>
      </w:r>
      <w:r w:rsidR="00CA44FE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% </w:t>
      </w:r>
      <w:r w:rsidRPr="008F7ACD">
        <w:rPr>
          <w:rFonts w:eastAsia="TimesNewRoman"/>
          <w:szCs w:val="22"/>
          <w:lang w:eastAsia="en-US"/>
        </w:rPr>
        <w:lastRenderedPageBreak/>
        <w:t>na</w:t>
      </w:r>
      <w:r w:rsidR="004B044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základe údajov od 6 pacientov. </w:t>
      </w:r>
      <w:r w:rsidR="002D373C" w:rsidRPr="008F7ACD">
        <w:rPr>
          <w:rFonts w:eastAsia="TimesNewRoman"/>
          <w:szCs w:val="22"/>
          <w:lang w:eastAsia="en-US"/>
        </w:rPr>
        <w:t>Súbežné</w:t>
      </w:r>
      <w:r w:rsidRPr="008F7ACD">
        <w:rPr>
          <w:rFonts w:eastAsia="TimesNewRoman"/>
          <w:szCs w:val="22"/>
          <w:lang w:eastAsia="en-US"/>
        </w:rPr>
        <w:t xml:space="preserve"> užívanie bortezomibu so silnými induktormi CYP3A4 (napr.</w:t>
      </w:r>
      <w:r w:rsidR="00CA44FE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rifampicín, karbamazepín, fenytoín, fenobarbital a ľubovník bodkovaný) sa neodporúča, pretože sa</w:t>
      </w:r>
      <w:r w:rsidR="00CA44FE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môže znížiť účinnosť.</w:t>
      </w:r>
    </w:p>
    <w:p w:rsidR="004D39D1" w:rsidRPr="008F7ACD" w:rsidRDefault="004D39D1" w:rsidP="00CA44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057A09" w:rsidRPr="008F7ACD" w:rsidRDefault="00057A09" w:rsidP="00CA44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V tej istej interakčnej štúdii, ktorá hodnotila účinok dexametazónu, slabšieho induktora CYP3A4, na</w:t>
      </w:r>
      <w:r w:rsidR="004B044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farmakokinetiku bortezomibu (podávaného intravenózne), sa nezistil žiadny významný účinok na</w:t>
      </w:r>
      <w:r w:rsidR="004B044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farmakokinetiku bortezomibu na základe údajov od 7 pacientov.</w:t>
      </w:r>
    </w:p>
    <w:p w:rsidR="00057A09" w:rsidRPr="008F7ACD" w:rsidRDefault="00057A09" w:rsidP="00057A09">
      <w:pPr>
        <w:ind w:left="0" w:firstLine="0"/>
        <w:rPr>
          <w:rFonts w:eastAsia="TimesNewRoman"/>
          <w:szCs w:val="22"/>
          <w:lang w:eastAsia="en-US"/>
        </w:rPr>
      </w:pPr>
    </w:p>
    <w:p w:rsidR="00057A09" w:rsidRPr="008F7ACD" w:rsidRDefault="00057A09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Interakčná štúdia, ktorá hodnotila účinok melfal</w:t>
      </w:r>
      <w:r w:rsidR="007C004B" w:rsidRPr="008F7ACD">
        <w:rPr>
          <w:rFonts w:eastAsia="TimesNewRoman"/>
          <w:szCs w:val="22"/>
          <w:lang w:eastAsia="en-US"/>
        </w:rPr>
        <w:t>á</w:t>
      </w:r>
      <w:r w:rsidRPr="008F7ACD">
        <w:rPr>
          <w:rFonts w:eastAsia="TimesNewRoman"/>
          <w:szCs w:val="22"/>
          <w:lang w:eastAsia="en-US"/>
        </w:rPr>
        <w:t>nu-prednizónu na farmakokinetiku bortezomibu</w:t>
      </w:r>
      <w:r w:rsidR="00CA44FE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(podávaného intravenózne) dokázala priemerný 17</w:t>
      </w:r>
      <w:r w:rsidR="00CA44FE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nárast AUC bortezomibu na základe údajov od</w:t>
      </w:r>
      <w:r w:rsidR="004B044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21 pacientov. Nepovažuje sa to za klinicky významné.</w:t>
      </w:r>
    </w:p>
    <w:p w:rsidR="00683E95" w:rsidRPr="008F7ACD" w:rsidRDefault="00683E95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057A09" w:rsidRPr="008F7ACD" w:rsidRDefault="00057A09" w:rsidP="00683E95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Počas klinických skúš</w:t>
      </w:r>
      <w:r w:rsidR="004B0442" w:rsidRPr="008F7ACD">
        <w:rPr>
          <w:rFonts w:eastAsia="TimesNewRoman"/>
          <w:szCs w:val="22"/>
          <w:lang w:eastAsia="en-US"/>
        </w:rPr>
        <w:t>aní</w:t>
      </w:r>
      <w:r w:rsidRPr="008F7ACD">
        <w:rPr>
          <w:rFonts w:eastAsia="TimesNewRoman"/>
          <w:szCs w:val="22"/>
          <w:lang w:eastAsia="en-US"/>
        </w:rPr>
        <w:t xml:space="preserve"> sa u diabetických pacientov, ktorí užívali perorálne </w:t>
      </w:r>
      <w:r w:rsidR="004B0442" w:rsidRPr="008F7ACD">
        <w:rPr>
          <w:rFonts w:eastAsia="TimesNewRoman"/>
          <w:szCs w:val="22"/>
          <w:lang w:eastAsia="en-US"/>
        </w:rPr>
        <w:t>antidiabetiká</w:t>
      </w:r>
      <w:r w:rsidRPr="008F7ACD">
        <w:rPr>
          <w:rFonts w:eastAsia="TimesNewRoman"/>
          <w:szCs w:val="22"/>
          <w:lang w:eastAsia="en-US"/>
        </w:rPr>
        <w:t>,</w:t>
      </w:r>
      <w:r w:rsidR="00683E95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zaznamenali menej často a často stavy hypoglykémie a hyperglykémie. U pacientov liečených</w:t>
      </w:r>
      <w:r w:rsidR="00683E95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perorálnymi antidiabetikami </w:t>
      </w:r>
      <w:r w:rsidR="00E07DCD" w:rsidRPr="008F7ACD">
        <w:rPr>
          <w:rFonts w:eastAsia="TimesNewRoman"/>
          <w:szCs w:val="22"/>
          <w:lang w:eastAsia="en-US"/>
        </w:rPr>
        <w:t xml:space="preserve">a bortezomibom </w:t>
      </w:r>
      <w:r w:rsidRPr="008F7ACD">
        <w:rPr>
          <w:rFonts w:eastAsia="TimesNewRoman"/>
          <w:szCs w:val="22"/>
          <w:lang w:eastAsia="en-US"/>
        </w:rPr>
        <w:t>môže byť potrebné starostliv</w:t>
      </w:r>
      <w:r w:rsidR="004B0442" w:rsidRPr="008F7ACD">
        <w:rPr>
          <w:rFonts w:eastAsia="TimesNewRoman"/>
          <w:szCs w:val="22"/>
          <w:lang w:eastAsia="en-US"/>
        </w:rPr>
        <w:t>é</w:t>
      </w:r>
      <w:r w:rsidRPr="008F7ACD">
        <w:rPr>
          <w:rFonts w:eastAsia="TimesNewRoman"/>
          <w:szCs w:val="22"/>
          <w:lang w:eastAsia="en-US"/>
        </w:rPr>
        <w:t xml:space="preserve"> monitorova</w:t>
      </w:r>
      <w:r w:rsidR="004B0442" w:rsidRPr="008F7ACD">
        <w:rPr>
          <w:rFonts w:eastAsia="TimesNewRoman"/>
          <w:szCs w:val="22"/>
          <w:lang w:eastAsia="en-US"/>
        </w:rPr>
        <w:t>nie</w:t>
      </w:r>
      <w:r w:rsidRPr="008F7ACD">
        <w:rPr>
          <w:rFonts w:eastAsia="TimesNewRoman"/>
          <w:szCs w:val="22"/>
          <w:lang w:eastAsia="en-US"/>
        </w:rPr>
        <w:t xml:space="preserve"> hladiny glukózy v krvi</w:t>
      </w:r>
      <w:r w:rsidR="00683E95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a</w:t>
      </w:r>
      <w:r w:rsidR="00683E95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uprav</w:t>
      </w:r>
      <w:r w:rsidR="004B0442" w:rsidRPr="008F7ACD">
        <w:rPr>
          <w:rFonts w:eastAsia="TimesNewRoman"/>
          <w:szCs w:val="22"/>
          <w:lang w:eastAsia="en-US"/>
        </w:rPr>
        <w:t>enie</w:t>
      </w:r>
      <w:r w:rsidRPr="008F7ACD">
        <w:rPr>
          <w:rFonts w:eastAsia="TimesNewRoman"/>
          <w:szCs w:val="22"/>
          <w:lang w:eastAsia="en-US"/>
        </w:rPr>
        <w:t xml:space="preserve"> dávkovani</w:t>
      </w:r>
      <w:r w:rsidR="004B0442" w:rsidRPr="008F7ACD">
        <w:rPr>
          <w:rFonts w:eastAsia="TimesNewRoman"/>
          <w:szCs w:val="22"/>
          <w:lang w:eastAsia="en-US"/>
        </w:rPr>
        <w:t>a</w:t>
      </w:r>
      <w:r w:rsidRPr="008F7ACD">
        <w:rPr>
          <w:rFonts w:eastAsia="TimesNewRoman"/>
          <w:szCs w:val="22"/>
          <w:lang w:eastAsia="en-US"/>
        </w:rPr>
        <w:t xml:space="preserve"> antidiabetík.</w:t>
      </w:r>
    </w:p>
    <w:p w:rsidR="00057A09" w:rsidRPr="008F7ACD" w:rsidRDefault="00057A09" w:rsidP="00057A09">
      <w:pPr>
        <w:ind w:left="0" w:firstLine="0"/>
        <w:rPr>
          <w:rFonts w:eastAsia="TimesNewRoman"/>
          <w:szCs w:val="22"/>
          <w:lang w:eastAsia="en-US"/>
        </w:rPr>
      </w:pPr>
    </w:p>
    <w:p w:rsidR="00990F68" w:rsidRPr="008F7ACD" w:rsidRDefault="00990F68" w:rsidP="00C92B0B">
      <w:pPr>
        <w:rPr>
          <w:b/>
          <w:szCs w:val="22"/>
        </w:rPr>
      </w:pPr>
      <w:r w:rsidRPr="008F7ACD">
        <w:rPr>
          <w:b/>
          <w:szCs w:val="22"/>
        </w:rPr>
        <w:t>4.6</w:t>
      </w:r>
      <w:r w:rsidR="00636C42" w:rsidRPr="008F7ACD">
        <w:rPr>
          <w:b/>
          <w:szCs w:val="22"/>
        </w:rPr>
        <w:tab/>
      </w:r>
      <w:r w:rsidRPr="008F7ACD">
        <w:rPr>
          <w:b/>
          <w:szCs w:val="22"/>
        </w:rPr>
        <w:t>Fertilita, gravidita a laktácia</w:t>
      </w:r>
    </w:p>
    <w:p w:rsidR="00555D28" w:rsidRPr="008F7ACD" w:rsidRDefault="00555D28" w:rsidP="00C92B0B">
      <w:pPr>
        <w:ind w:left="0" w:firstLine="0"/>
        <w:rPr>
          <w:szCs w:val="22"/>
        </w:rPr>
      </w:pPr>
    </w:p>
    <w:p w:rsidR="00057A09" w:rsidRPr="008F7ACD" w:rsidRDefault="00057A09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Antikoncepcia u mužov a žien</w:t>
      </w:r>
    </w:p>
    <w:p w:rsidR="00057A09" w:rsidRPr="008F7ACD" w:rsidRDefault="00057A09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Muži a ženy </w:t>
      </w:r>
      <w:r w:rsidR="00BD2899" w:rsidRPr="008F7ACD">
        <w:rPr>
          <w:rFonts w:eastAsia="TimesNewRoman"/>
          <w:szCs w:val="22"/>
          <w:lang w:eastAsia="en-US"/>
        </w:rPr>
        <w:t>vo fertilnom veku</w:t>
      </w:r>
      <w:r w:rsidRPr="008F7ACD">
        <w:rPr>
          <w:rFonts w:eastAsia="TimesNewRoman"/>
          <w:szCs w:val="22"/>
          <w:lang w:eastAsia="en-US"/>
        </w:rPr>
        <w:t xml:space="preserve"> musia používať účinn</w:t>
      </w:r>
      <w:r w:rsidR="00BD2899" w:rsidRPr="008F7ACD">
        <w:rPr>
          <w:rFonts w:eastAsia="TimesNewRoman"/>
          <w:szCs w:val="22"/>
          <w:lang w:eastAsia="en-US"/>
        </w:rPr>
        <w:t>ú</w:t>
      </w:r>
      <w:r w:rsidRPr="008F7ACD">
        <w:rPr>
          <w:rFonts w:eastAsia="TimesNewRoman"/>
          <w:szCs w:val="22"/>
          <w:lang w:eastAsia="en-US"/>
        </w:rPr>
        <w:t xml:space="preserve"> antikoncepci</w:t>
      </w:r>
      <w:r w:rsidR="00BD2899" w:rsidRPr="008F7ACD">
        <w:rPr>
          <w:rFonts w:eastAsia="TimesNewRoman"/>
          <w:szCs w:val="22"/>
          <w:lang w:eastAsia="en-US"/>
        </w:rPr>
        <w:t>u</w:t>
      </w:r>
      <w:r w:rsidRPr="008F7ACD">
        <w:rPr>
          <w:rFonts w:eastAsia="TimesNewRoman"/>
          <w:szCs w:val="22"/>
          <w:lang w:eastAsia="en-US"/>
        </w:rPr>
        <w:t xml:space="preserve"> počas </w:t>
      </w:r>
      <w:r w:rsidR="00B645CB" w:rsidRPr="008F7ACD">
        <w:rPr>
          <w:rFonts w:eastAsia="TimesNewRoman"/>
          <w:szCs w:val="22"/>
          <w:lang w:eastAsia="en-US"/>
        </w:rPr>
        <w:t xml:space="preserve">liečby </w:t>
      </w:r>
      <w:r w:rsidRPr="008F7ACD">
        <w:rPr>
          <w:rFonts w:eastAsia="TimesNewRoman"/>
          <w:szCs w:val="22"/>
          <w:lang w:eastAsia="en-US"/>
        </w:rPr>
        <w:t>a</w:t>
      </w:r>
      <w:r w:rsidR="00BD289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3</w:t>
      </w:r>
      <w:r w:rsidR="00BD289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mesiac</w:t>
      </w:r>
      <w:r w:rsidR="00E07DCD" w:rsidRPr="008F7ACD">
        <w:rPr>
          <w:rFonts w:eastAsia="TimesNewRoman"/>
          <w:szCs w:val="22"/>
          <w:lang w:eastAsia="en-US"/>
        </w:rPr>
        <w:t>e</w:t>
      </w:r>
      <w:r w:rsidRPr="008F7ACD">
        <w:rPr>
          <w:rFonts w:eastAsia="TimesNewRoman"/>
          <w:szCs w:val="22"/>
          <w:lang w:eastAsia="en-US"/>
        </w:rPr>
        <w:t xml:space="preserve"> po</w:t>
      </w:r>
      <w:r w:rsidR="004B0442" w:rsidRPr="008F7ACD">
        <w:rPr>
          <w:rFonts w:eastAsia="TimesNewRoman"/>
          <w:szCs w:val="22"/>
          <w:lang w:eastAsia="en-US"/>
        </w:rPr>
        <w:t xml:space="preserve"> ukončení </w:t>
      </w:r>
      <w:r w:rsidRPr="008F7ACD">
        <w:rPr>
          <w:rFonts w:eastAsia="TimesNewRoman"/>
          <w:szCs w:val="22"/>
          <w:lang w:eastAsia="en-US"/>
        </w:rPr>
        <w:t>liečb</w:t>
      </w:r>
      <w:r w:rsidR="004B0442" w:rsidRPr="008F7ACD">
        <w:rPr>
          <w:rFonts w:eastAsia="TimesNewRoman"/>
          <w:szCs w:val="22"/>
          <w:lang w:eastAsia="en-US"/>
        </w:rPr>
        <w:t>y</w:t>
      </w:r>
      <w:r w:rsidRPr="008F7ACD">
        <w:rPr>
          <w:rFonts w:eastAsia="TimesNewRoman"/>
          <w:szCs w:val="22"/>
          <w:lang w:eastAsia="en-US"/>
        </w:rPr>
        <w:t>.</w:t>
      </w:r>
    </w:p>
    <w:p w:rsidR="00BD2899" w:rsidRPr="008F7ACD" w:rsidRDefault="00BD2899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057A09" w:rsidRPr="008F7ACD" w:rsidRDefault="00057A09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Gravidita</w:t>
      </w:r>
    </w:p>
    <w:p w:rsidR="00057A09" w:rsidRPr="008F7ACD" w:rsidRDefault="00057A09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Nie sú k dispozícii žiadne klinické údaje o gravidných ženách vystavených účinku bortezomibu.</w:t>
      </w:r>
    </w:p>
    <w:p w:rsidR="00057A09" w:rsidRPr="008F7ACD" w:rsidRDefault="00057A09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Teratogénny potenciál bortezomibu nebol doteraz úplne preskúmaný.</w:t>
      </w:r>
    </w:p>
    <w:p w:rsidR="0032147F" w:rsidRPr="008F7ACD" w:rsidRDefault="0032147F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555D28" w:rsidRPr="008F7ACD" w:rsidRDefault="00057A09" w:rsidP="0032147F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V predklinických štúdiách nemal bortezomib žiadny vplyv na embryonálny/fetálny vývoj u potkanov</w:t>
      </w:r>
      <w:r w:rsidR="0032147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a</w:t>
      </w:r>
      <w:r w:rsidR="00C6294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králikov pri najvyšších tolerovaných dávkach v tehotenstve. Nerealizovali sa žiadne štúdie na</w:t>
      </w:r>
      <w:r w:rsidR="0032147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zvieratách, ktoré by stanovili vplyv bortezomibu na pôrod alebo postnatálny vývoj (pozri časť</w:t>
      </w:r>
      <w:r w:rsidR="0032147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5.3). </w:t>
      </w:r>
      <w:r w:rsidR="000C2ED2" w:rsidRPr="008F7ACD">
        <w:rPr>
          <w:rFonts w:eastAsia="TimesNewRoman"/>
          <w:szCs w:val="22"/>
          <w:lang w:eastAsia="en-US"/>
        </w:rPr>
        <w:t>B</w:t>
      </w:r>
      <w:r w:rsidR="0032147F" w:rsidRPr="008F7ACD">
        <w:rPr>
          <w:rFonts w:eastAsia="TimesNewRoman"/>
          <w:szCs w:val="22"/>
          <w:lang w:eastAsia="en-US"/>
        </w:rPr>
        <w:t>ortezomib</w:t>
      </w:r>
      <w:r w:rsidRPr="008F7ACD">
        <w:rPr>
          <w:rFonts w:eastAsia="TimesNewRoman"/>
          <w:szCs w:val="22"/>
          <w:lang w:eastAsia="en-US"/>
        </w:rPr>
        <w:t xml:space="preserve"> sa nemá užívať počas gravidity, pokiaľ klinický stav ženy nevyžaduje liečbu </w:t>
      </w:r>
      <w:r w:rsidR="0032147F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>.</w:t>
      </w:r>
      <w:r w:rsidR="0032147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Ak sa </w:t>
      </w:r>
      <w:r w:rsidR="0032147F" w:rsidRPr="008F7ACD">
        <w:rPr>
          <w:rFonts w:eastAsia="TimesNewRoman"/>
          <w:szCs w:val="22"/>
          <w:lang w:eastAsia="en-US"/>
        </w:rPr>
        <w:t>bortezomib</w:t>
      </w:r>
      <w:r w:rsidRPr="008F7ACD">
        <w:rPr>
          <w:rFonts w:eastAsia="TimesNewRoman"/>
          <w:szCs w:val="22"/>
          <w:lang w:eastAsia="en-US"/>
        </w:rPr>
        <w:t xml:space="preserve"> podáva počas gravidity alebo ak pacientka otehotnie počas liečby týmto liekom,</w:t>
      </w:r>
      <w:r w:rsidR="0032147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musí byť informovaná o potenciálnom riziku pre plod.</w:t>
      </w:r>
    </w:p>
    <w:p w:rsidR="00057A09" w:rsidRPr="008F7ACD" w:rsidRDefault="00057A09" w:rsidP="00057A09">
      <w:pPr>
        <w:ind w:left="0" w:firstLine="0"/>
        <w:rPr>
          <w:rFonts w:eastAsia="TimesNewRoman"/>
          <w:szCs w:val="22"/>
          <w:lang w:eastAsia="en-US"/>
        </w:rPr>
      </w:pPr>
    </w:p>
    <w:p w:rsidR="00057A09" w:rsidRPr="008F7ACD" w:rsidRDefault="00057A09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Talidomid je známe liečivo s teratogénnym účinkom u ľudí, ktoré spôsobuje život ohrozujúce vrodené</w:t>
      </w:r>
      <w:r w:rsidR="0057566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anomálie. Talidomid je kontraindikovaný počas gravidity a u žien vo fertilnom veku, ak nie sú</w:t>
      </w:r>
      <w:r w:rsidR="0057566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dodržané podmienky programu prevencie gravidity pr</w:t>
      </w:r>
      <w:r w:rsidR="00094D5D" w:rsidRPr="008F7ACD">
        <w:rPr>
          <w:rFonts w:eastAsia="TimesNewRoman"/>
          <w:szCs w:val="22"/>
          <w:lang w:eastAsia="en-US"/>
        </w:rPr>
        <w:t>e</w:t>
      </w:r>
      <w:r w:rsidRPr="008F7ACD">
        <w:rPr>
          <w:rFonts w:eastAsia="TimesNewRoman"/>
          <w:szCs w:val="22"/>
          <w:lang w:eastAsia="en-US"/>
        </w:rPr>
        <w:t xml:space="preserve"> talidomid. Pacient</w:t>
      </w:r>
      <w:r w:rsidR="00575663" w:rsidRPr="008F7ACD">
        <w:rPr>
          <w:rFonts w:eastAsia="TimesNewRoman"/>
          <w:szCs w:val="22"/>
          <w:lang w:eastAsia="en-US"/>
        </w:rPr>
        <w:t>ky</w:t>
      </w:r>
      <w:r w:rsidRPr="008F7ACD">
        <w:rPr>
          <w:rFonts w:eastAsia="TimesNewRoman"/>
          <w:szCs w:val="22"/>
          <w:lang w:eastAsia="en-US"/>
        </w:rPr>
        <w:t xml:space="preserve"> dostávajúc</w:t>
      </w:r>
      <w:r w:rsidR="00575663" w:rsidRPr="008F7ACD">
        <w:rPr>
          <w:rFonts w:eastAsia="TimesNewRoman"/>
          <w:szCs w:val="22"/>
          <w:lang w:eastAsia="en-US"/>
        </w:rPr>
        <w:t>e bortezomib</w:t>
      </w:r>
      <w:r w:rsidRPr="008F7ACD">
        <w:rPr>
          <w:rFonts w:eastAsia="TimesNewRoman"/>
          <w:szCs w:val="22"/>
          <w:lang w:eastAsia="en-US"/>
        </w:rPr>
        <w:t xml:space="preserve"> spolu s talidomidom sa majú riadiť programom prevencie gravidity pr</w:t>
      </w:r>
      <w:r w:rsidR="00094D5D" w:rsidRPr="008F7ACD">
        <w:rPr>
          <w:rFonts w:eastAsia="TimesNewRoman"/>
          <w:szCs w:val="22"/>
          <w:lang w:eastAsia="en-US"/>
        </w:rPr>
        <w:t>e</w:t>
      </w:r>
      <w:r w:rsidRPr="008F7ACD">
        <w:rPr>
          <w:rFonts w:eastAsia="TimesNewRoman"/>
          <w:szCs w:val="22"/>
          <w:lang w:eastAsia="en-US"/>
        </w:rPr>
        <w:t xml:space="preserve"> talidomid.</w:t>
      </w:r>
      <w:r w:rsidR="0057566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Pre ďalšie informácie si prečítajte súhrn charakteristických vlastností lieku</w:t>
      </w:r>
      <w:r w:rsidR="00094D5D" w:rsidRPr="008F7ACD">
        <w:rPr>
          <w:rFonts w:eastAsia="TimesNewRoman"/>
          <w:szCs w:val="22"/>
          <w:lang w:eastAsia="en-US"/>
        </w:rPr>
        <w:t xml:space="preserve"> s obsahom talidomidu</w:t>
      </w:r>
      <w:r w:rsidRPr="008F7ACD">
        <w:rPr>
          <w:rFonts w:eastAsia="TimesNewRoman"/>
          <w:szCs w:val="22"/>
          <w:lang w:eastAsia="en-US"/>
        </w:rPr>
        <w:t>.</w:t>
      </w:r>
    </w:p>
    <w:p w:rsidR="00575663" w:rsidRPr="008F7ACD" w:rsidRDefault="00575663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057A09" w:rsidRPr="008F7ACD" w:rsidRDefault="009210C1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Dojčenie</w:t>
      </w:r>
    </w:p>
    <w:p w:rsidR="00057A09" w:rsidRPr="008F7ACD" w:rsidRDefault="00057A09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Nie je známe, či sa bortezomib vylučuje do </w:t>
      </w:r>
      <w:r w:rsidR="00094D5D" w:rsidRPr="008F7ACD">
        <w:rPr>
          <w:rFonts w:eastAsia="TimesNewRoman"/>
          <w:szCs w:val="22"/>
          <w:lang w:eastAsia="en-US"/>
        </w:rPr>
        <w:t>ľudského</w:t>
      </w:r>
      <w:r w:rsidRPr="008F7ACD">
        <w:rPr>
          <w:rFonts w:eastAsia="TimesNewRoman"/>
          <w:szCs w:val="22"/>
          <w:lang w:eastAsia="en-US"/>
        </w:rPr>
        <w:t xml:space="preserve"> mlieka. Kvôli možnosti závažných nežiaducich</w:t>
      </w:r>
      <w:r w:rsidR="0057566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reakcií u dojčených novorodencov </w:t>
      </w:r>
      <w:r w:rsidR="00094D5D" w:rsidRPr="008F7ACD">
        <w:rPr>
          <w:rFonts w:eastAsia="TimesNewRoman"/>
          <w:szCs w:val="22"/>
          <w:lang w:eastAsia="en-US"/>
        </w:rPr>
        <w:t xml:space="preserve">sa </w:t>
      </w:r>
      <w:r w:rsidRPr="008F7ACD">
        <w:rPr>
          <w:rFonts w:eastAsia="TimesNewRoman"/>
          <w:szCs w:val="22"/>
          <w:lang w:eastAsia="en-US"/>
        </w:rPr>
        <w:t xml:space="preserve">má dojčenie počas liečby </w:t>
      </w:r>
      <w:r w:rsidR="00575663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preruš</w:t>
      </w:r>
      <w:r w:rsidR="00094D5D" w:rsidRPr="008F7ACD">
        <w:rPr>
          <w:rFonts w:eastAsia="TimesNewRoman"/>
          <w:szCs w:val="22"/>
          <w:lang w:eastAsia="en-US"/>
        </w:rPr>
        <w:t>iť</w:t>
      </w:r>
      <w:r w:rsidRPr="008F7ACD">
        <w:rPr>
          <w:rFonts w:eastAsia="TimesNewRoman"/>
          <w:szCs w:val="22"/>
          <w:lang w:eastAsia="en-US"/>
        </w:rPr>
        <w:t>.</w:t>
      </w:r>
    </w:p>
    <w:p w:rsidR="00575663" w:rsidRPr="008F7ACD" w:rsidRDefault="00575663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057A09" w:rsidRPr="008F7ACD" w:rsidRDefault="00057A09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Fertilita</w:t>
      </w:r>
    </w:p>
    <w:p w:rsidR="00057A09" w:rsidRPr="008F7ACD" w:rsidRDefault="009578A7" w:rsidP="00057A09">
      <w:pPr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N</w:t>
      </w:r>
      <w:r w:rsidR="00057A09" w:rsidRPr="008F7ACD">
        <w:rPr>
          <w:rFonts w:eastAsia="TimesNewRoman"/>
          <w:szCs w:val="22"/>
          <w:lang w:eastAsia="en-US"/>
        </w:rPr>
        <w:t>evykonali</w:t>
      </w:r>
      <w:r w:rsidRPr="008F7ACD">
        <w:rPr>
          <w:rFonts w:eastAsia="TimesNewRoman"/>
          <w:szCs w:val="22"/>
          <w:lang w:eastAsia="en-US"/>
        </w:rPr>
        <w:t xml:space="preserve"> sa</w:t>
      </w:r>
      <w:r w:rsidR="00057A09" w:rsidRPr="008F7ACD">
        <w:rPr>
          <w:rFonts w:eastAsia="TimesNewRoman"/>
          <w:szCs w:val="22"/>
          <w:lang w:eastAsia="en-US"/>
        </w:rPr>
        <w:t xml:space="preserve"> štúdie</w:t>
      </w:r>
      <w:r w:rsidRPr="008F7ACD">
        <w:rPr>
          <w:rFonts w:eastAsia="TimesNewRoman"/>
          <w:szCs w:val="22"/>
          <w:lang w:eastAsia="en-US"/>
        </w:rPr>
        <w:t xml:space="preserve"> s bortezomibom</w:t>
      </w:r>
      <w:r w:rsidR="00057A09" w:rsidRPr="008F7ACD">
        <w:rPr>
          <w:rFonts w:eastAsia="TimesNewRoman"/>
          <w:szCs w:val="22"/>
          <w:lang w:eastAsia="en-US"/>
        </w:rPr>
        <w:t xml:space="preserve"> zamerané na fertilitu (pozri časť 5.3).</w:t>
      </w:r>
    </w:p>
    <w:p w:rsidR="00057A09" w:rsidRPr="008F7ACD" w:rsidRDefault="00057A09" w:rsidP="00057A09">
      <w:pPr>
        <w:ind w:left="0" w:firstLine="0"/>
        <w:rPr>
          <w:szCs w:val="22"/>
        </w:rPr>
      </w:pPr>
    </w:p>
    <w:p w:rsidR="00990F68" w:rsidRPr="008F7ACD" w:rsidRDefault="00990F68" w:rsidP="00C92B0B">
      <w:pPr>
        <w:rPr>
          <w:b/>
          <w:szCs w:val="22"/>
        </w:rPr>
      </w:pPr>
      <w:r w:rsidRPr="008F7ACD">
        <w:rPr>
          <w:b/>
          <w:szCs w:val="22"/>
        </w:rPr>
        <w:t>4.7</w:t>
      </w:r>
      <w:r w:rsidR="00636C42" w:rsidRPr="008F7ACD">
        <w:rPr>
          <w:b/>
          <w:szCs w:val="22"/>
        </w:rPr>
        <w:tab/>
      </w:r>
      <w:r w:rsidRPr="008F7ACD">
        <w:rPr>
          <w:b/>
          <w:szCs w:val="22"/>
        </w:rPr>
        <w:t>Ovplyvnenie schopnosti viesť vozidlá a obsluhovať stroje</w:t>
      </w:r>
    </w:p>
    <w:p w:rsidR="00555D28" w:rsidRPr="008F7ACD" w:rsidRDefault="00555D28" w:rsidP="00C92B0B">
      <w:pPr>
        <w:rPr>
          <w:szCs w:val="22"/>
        </w:rPr>
      </w:pPr>
    </w:p>
    <w:p w:rsidR="00575663" w:rsidRPr="008F7ACD" w:rsidRDefault="000C2ED2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B</w:t>
      </w:r>
      <w:r w:rsidR="00575663" w:rsidRPr="008F7ACD">
        <w:rPr>
          <w:rFonts w:eastAsia="TimesNewRoman"/>
          <w:szCs w:val="22"/>
          <w:lang w:eastAsia="en-US"/>
        </w:rPr>
        <w:t>ortezomib</w:t>
      </w:r>
      <w:r w:rsidR="00057A09" w:rsidRPr="008F7ACD">
        <w:rPr>
          <w:rFonts w:eastAsia="TimesNewRoman"/>
          <w:szCs w:val="22"/>
          <w:lang w:eastAsia="en-US"/>
        </w:rPr>
        <w:t xml:space="preserve"> má mierny vplyv na schopnosť viesť vozidlá a obsluhovať stroje. </w:t>
      </w:r>
    </w:p>
    <w:p w:rsidR="00E6281F" w:rsidRPr="008F7ACD" w:rsidRDefault="00057A09" w:rsidP="00575663">
      <w:pPr>
        <w:autoSpaceDE w:val="0"/>
        <w:autoSpaceDN w:val="0"/>
        <w:adjustRightInd w:val="0"/>
        <w:ind w:left="0" w:firstLine="0"/>
        <w:rPr>
          <w:szCs w:val="22"/>
        </w:rPr>
      </w:pPr>
      <w:r w:rsidRPr="008F7ACD">
        <w:rPr>
          <w:rFonts w:eastAsia="TimesNewRoman"/>
          <w:szCs w:val="22"/>
          <w:lang w:eastAsia="en-US"/>
        </w:rPr>
        <w:t xml:space="preserve">Počas liečby </w:t>
      </w:r>
      <w:r w:rsidR="00575663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sa môže vyskytnúť veľmi často únava, často závrat, menej často synkopa a</w:t>
      </w:r>
      <w:r w:rsidR="000F43E3" w:rsidRPr="008F7ACD">
        <w:rPr>
          <w:rFonts w:eastAsia="TimesNewRoman"/>
          <w:szCs w:val="22"/>
          <w:lang w:eastAsia="en-US"/>
        </w:rPr>
        <w:t xml:space="preserve"> často </w:t>
      </w:r>
      <w:r w:rsidRPr="008F7ACD">
        <w:rPr>
          <w:rFonts w:eastAsia="TimesNewRoman"/>
          <w:szCs w:val="22"/>
          <w:lang w:eastAsia="en-US"/>
        </w:rPr>
        <w:t>ortostatická/posturálna hypotenzia alebo rozmazané videnie. Preto pacienti musia byť opatrní pri</w:t>
      </w:r>
      <w:r w:rsidR="00575663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</w:rPr>
        <w:t>vedení vozid</w:t>
      </w:r>
      <w:r w:rsidR="00830DB6" w:rsidRPr="008F7ACD">
        <w:rPr>
          <w:rFonts w:eastAsia="TimesNewRoman"/>
          <w:szCs w:val="22"/>
        </w:rPr>
        <w:t>iel</w:t>
      </w:r>
      <w:r w:rsidRPr="008F7ACD">
        <w:rPr>
          <w:rFonts w:eastAsia="TimesNewRoman"/>
          <w:szCs w:val="22"/>
        </w:rPr>
        <w:t xml:space="preserve"> alebo obsluhe strojov </w:t>
      </w:r>
      <w:r w:rsidR="000F43E3" w:rsidRPr="008F7ACD">
        <w:rPr>
          <w:rFonts w:eastAsia="TimesNewRoman"/>
          <w:szCs w:val="22"/>
        </w:rPr>
        <w:t xml:space="preserve">a musia byť poučení, aby neviedli vozidlá alebo neobsluhovali stroje, ak sa u nich vyskytnú tieto príznaky </w:t>
      </w:r>
      <w:r w:rsidRPr="008F7ACD">
        <w:rPr>
          <w:rFonts w:eastAsia="TimesNewRoman"/>
          <w:szCs w:val="22"/>
        </w:rPr>
        <w:t>(pozri časť 4.8).</w:t>
      </w:r>
    </w:p>
    <w:p w:rsidR="00DE2DE1" w:rsidRPr="008F7ACD" w:rsidRDefault="00DE2DE1" w:rsidP="00C92B0B">
      <w:pPr>
        <w:rPr>
          <w:szCs w:val="22"/>
        </w:rPr>
      </w:pPr>
    </w:p>
    <w:p w:rsidR="00990F68" w:rsidRPr="008F7ACD" w:rsidRDefault="00990F68" w:rsidP="00C92B0B">
      <w:pPr>
        <w:rPr>
          <w:b/>
          <w:szCs w:val="22"/>
        </w:rPr>
      </w:pPr>
      <w:r w:rsidRPr="008F7ACD">
        <w:rPr>
          <w:b/>
          <w:szCs w:val="22"/>
        </w:rPr>
        <w:t>4.8</w:t>
      </w:r>
      <w:r w:rsidR="00636C42" w:rsidRPr="008F7ACD">
        <w:rPr>
          <w:b/>
          <w:szCs w:val="22"/>
        </w:rPr>
        <w:tab/>
      </w:r>
      <w:r w:rsidRPr="008F7ACD">
        <w:rPr>
          <w:b/>
          <w:szCs w:val="22"/>
        </w:rPr>
        <w:t xml:space="preserve">Nežiaduce účinky </w:t>
      </w:r>
    </w:p>
    <w:p w:rsidR="00CB77D3" w:rsidRPr="008F7ACD" w:rsidRDefault="00CB77D3" w:rsidP="00C92B0B">
      <w:pPr>
        <w:rPr>
          <w:szCs w:val="22"/>
          <w:u w:val="single"/>
        </w:rPr>
      </w:pPr>
    </w:p>
    <w:p w:rsidR="00057A09" w:rsidRPr="008F7ACD" w:rsidRDefault="00057A09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Súhrn bezpečnostného profilu</w:t>
      </w:r>
    </w:p>
    <w:p w:rsidR="00057A09" w:rsidRPr="008F7ACD" w:rsidRDefault="00057A09" w:rsidP="004B7597">
      <w:pPr>
        <w:autoSpaceDE w:val="0"/>
        <w:autoSpaceDN w:val="0"/>
        <w:adjustRightInd w:val="0"/>
        <w:ind w:left="0" w:firstLine="0"/>
        <w:rPr>
          <w:szCs w:val="22"/>
        </w:rPr>
      </w:pPr>
      <w:r w:rsidRPr="008F7ACD">
        <w:rPr>
          <w:rFonts w:eastAsia="TimesNewRoman"/>
          <w:szCs w:val="22"/>
          <w:lang w:eastAsia="en-US"/>
        </w:rPr>
        <w:t xml:space="preserve">Medzi závažné nežiaduce </w:t>
      </w:r>
      <w:r w:rsidR="004B7597" w:rsidRPr="008F7ACD">
        <w:rPr>
          <w:rFonts w:eastAsia="TimesNewRoman"/>
          <w:szCs w:val="22"/>
          <w:lang w:eastAsia="en-US"/>
        </w:rPr>
        <w:t>reakcie</w:t>
      </w:r>
      <w:r w:rsidRPr="008F7ACD">
        <w:rPr>
          <w:rFonts w:eastAsia="TimesNewRoman"/>
          <w:szCs w:val="22"/>
          <w:lang w:eastAsia="en-US"/>
        </w:rPr>
        <w:t xml:space="preserve"> hlásené menej často počas liečby </w:t>
      </w:r>
      <w:r w:rsidR="004B7597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patrí zlyhanie srdca,</w:t>
      </w:r>
      <w:r w:rsidR="004B759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syndróm</w:t>
      </w:r>
      <w:r w:rsidR="0057429F" w:rsidRPr="008F7ACD">
        <w:rPr>
          <w:rFonts w:eastAsia="TimesNewRoman"/>
          <w:szCs w:val="22"/>
          <w:lang w:eastAsia="en-US"/>
        </w:rPr>
        <w:t xml:space="preserve"> z rozpadu</w:t>
      </w:r>
      <w:r w:rsidRPr="008F7ACD">
        <w:rPr>
          <w:rFonts w:eastAsia="TimesNewRoman"/>
          <w:szCs w:val="22"/>
          <w:lang w:eastAsia="en-US"/>
        </w:rPr>
        <w:t xml:space="preserve"> </w:t>
      </w:r>
      <w:r w:rsidR="0057429F" w:rsidRPr="008F7ACD">
        <w:rPr>
          <w:rFonts w:eastAsia="TimesNewRoman"/>
          <w:szCs w:val="22"/>
          <w:lang w:eastAsia="en-US"/>
        </w:rPr>
        <w:t>nád</w:t>
      </w:r>
      <w:r w:rsidRPr="008F7ACD">
        <w:rPr>
          <w:rFonts w:eastAsia="TimesNewRoman"/>
          <w:szCs w:val="22"/>
          <w:lang w:eastAsia="en-US"/>
        </w:rPr>
        <w:t xml:space="preserve">oru, pľúcna hypertenzia, </w:t>
      </w:r>
      <w:r w:rsidR="00094D5D" w:rsidRPr="008F7ACD">
        <w:rPr>
          <w:rFonts w:eastAsia="TimesNewRoman"/>
          <w:szCs w:val="22"/>
          <w:lang w:eastAsia="en-US"/>
        </w:rPr>
        <w:t xml:space="preserve">syndróm </w:t>
      </w:r>
      <w:r w:rsidRPr="008F7ACD">
        <w:rPr>
          <w:rFonts w:eastAsia="TimesNewRoman"/>
          <w:szCs w:val="22"/>
          <w:lang w:eastAsia="en-US"/>
        </w:rPr>
        <w:t>posteriórn</w:t>
      </w:r>
      <w:r w:rsidR="00094D5D" w:rsidRPr="008F7ACD">
        <w:rPr>
          <w:rFonts w:eastAsia="TimesNewRoman"/>
          <w:szCs w:val="22"/>
          <w:lang w:eastAsia="en-US"/>
        </w:rPr>
        <w:t>ej</w:t>
      </w:r>
      <w:r w:rsidRPr="008F7ACD">
        <w:rPr>
          <w:rFonts w:eastAsia="TimesNewRoman"/>
          <w:szCs w:val="22"/>
          <w:lang w:eastAsia="en-US"/>
        </w:rPr>
        <w:t xml:space="preserve"> reverzibiln</w:t>
      </w:r>
      <w:r w:rsidR="00094D5D" w:rsidRPr="008F7ACD">
        <w:rPr>
          <w:rFonts w:eastAsia="TimesNewRoman"/>
          <w:szCs w:val="22"/>
          <w:lang w:eastAsia="en-US"/>
        </w:rPr>
        <w:t>ej</w:t>
      </w:r>
      <w:r w:rsidRPr="008F7ACD">
        <w:rPr>
          <w:rFonts w:eastAsia="TimesNewRoman"/>
          <w:szCs w:val="22"/>
          <w:lang w:eastAsia="en-US"/>
        </w:rPr>
        <w:t xml:space="preserve"> encefalopati</w:t>
      </w:r>
      <w:r w:rsidR="00094D5D" w:rsidRPr="008F7ACD">
        <w:rPr>
          <w:rFonts w:eastAsia="TimesNewRoman"/>
          <w:szCs w:val="22"/>
          <w:lang w:eastAsia="en-US"/>
        </w:rPr>
        <w:t>e</w:t>
      </w:r>
      <w:r w:rsidRPr="008F7ACD">
        <w:rPr>
          <w:rFonts w:eastAsia="TimesNewRoman"/>
          <w:szCs w:val="22"/>
          <w:lang w:eastAsia="en-US"/>
        </w:rPr>
        <w:t>, akútne</w:t>
      </w:r>
      <w:r w:rsidR="004B759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difúzne infiltračné ochorenia pľúc a zriedkavo autonómna neuropatia. Najčastejšie hlásené nežiaduce</w:t>
      </w:r>
      <w:r w:rsidR="004B7597" w:rsidRPr="008F7ACD">
        <w:rPr>
          <w:rFonts w:eastAsia="TimesNewRoman"/>
          <w:szCs w:val="22"/>
          <w:lang w:eastAsia="en-US"/>
        </w:rPr>
        <w:t xml:space="preserve"> reakcie </w:t>
      </w:r>
      <w:r w:rsidRPr="008F7ACD">
        <w:rPr>
          <w:rFonts w:eastAsia="TimesNewRoman"/>
          <w:szCs w:val="22"/>
          <w:lang w:eastAsia="en-US"/>
        </w:rPr>
        <w:t xml:space="preserve">počas liečby </w:t>
      </w:r>
      <w:r w:rsidR="004B7597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sú nauzea, diarea, zápcha, vracanie, únava, pyrexia,</w:t>
      </w:r>
      <w:r w:rsidR="004B759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trombocytopénia, anémia, neutropénia, periférna neuropatia (vrátane senzorickej), bolesť hlavy,</w:t>
      </w:r>
      <w:r w:rsidR="004B759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parestézia, znížená chuť do jedla, dyspnoe, vyrážka, herpes zoster a</w:t>
      </w:r>
      <w:r w:rsidR="00C6294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myalgia.</w:t>
      </w:r>
    </w:p>
    <w:p w:rsidR="00057A09" w:rsidRPr="008F7ACD" w:rsidRDefault="00057A09" w:rsidP="00C92B0B">
      <w:pPr>
        <w:ind w:left="0" w:firstLine="0"/>
        <w:rPr>
          <w:szCs w:val="22"/>
        </w:rPr>
      </w:pPr>
    </w:p>
    <w:p w:rsidR="00057A09" w:rsidRPr="008F7ACD" w:rsidRDefault="00094D5D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Tabuľkový z</w:t>
      </w:r>
      <w:r w:rsidR="00057A09" w:rsidRPr="008F7ACD">
        <w:rPr>
          <w:rFonts w:eastAsia="TimesNewRoman"/>
          <w:szCs w:val="22"/>
          <w:u w:val="single"/>
          <w:lang w:eastAsia="en-US"/>
        </w:rPr>
        <w:t>oznam nežiaducich reakcií</w:t>
      </w:r>
    </w:p>
    <w:p w:rsidR="00057A09" w:rsidRPr="008F7ACD" w:rsidRDefault="00057A09" w:rsidP="00057A0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Mnohopočetný myelóm</w:t>
      </w:r>
    </w:p>
    <w:p w:rsidR="00057A09" w:rsidRPr="008F7ACD" w:rsidRDefault="001171A6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Pri</w:t>
      </w:r>
      <w:r w:rsidR="00057A09" w:rsidRPr="008F7ACD">
        <w:rPr>
          <w:rFonts w:eastAsia="TimesNewRoman"/>
          <w:szCs w:val="22"/>
          <w:lang w:eastAsia="en-US"/>
        </w:rPr>
        <w:t xml:space="preserve"> nežiaducich účinko</w:t>
      </w:r>
      <w:r w:rsidR="006A498D" w:rsidRPr="008F7ACD">
        <w:rPr>
          <w:rFonts w:eastAsia="TimesNewRoman"/>
          <w:szCs w:val="22"/>
          <w:lang w:eastAsia="en-US"/>
        </w:rPr>
        <w:t>ch</w:t>
      </w:r>
      <w:r w:rsidR="00057A09" w:rsidRPr="008F7ACD">
        <w:rPr>
          <w:rFonts w:eastAsia="TimesNewRoman"/>
          <w:szCs w:val="22"/>
          <w:lang w:eastAsia="en-US"/>
        </w:rPr>
        <w:t xml:space="preserve"> v tabuľke 7 investigátori predpokladali minimálny možný alebo</w:t>
      </w:r>
      <w:r w:rsidR="00F22078" w:rsidRPr="008F7ACD">
        <w:rPr>
          <w:rFonts w:eastAsia="TimesNewRoman"/>
          <w:szCs w:val="22"/>
          <w:lang w:eastAsia="en-US"/>
        </w:rPr>
        <w:t xml:space="preserve"> </w:t>
      </w:r>
      <w:r w:rsidR="00057A09" w:rsidRPr="008F7ACD">
        <w:rPr>
          <w:rFonts w:eastAsia="TimesNewRoman"/>
          <w:szCs w:val="22"/>
          <w:lang w:eastAsia="en-US"/>
        </w:rPr>
        <w:t xml:space="preserve">pravdepodobný kauzálny vzťah k </w:t>
      </w:r>
      <w:r w:rsidR="00F22078" w:rsidRPr="008F7ACD">
        <w:rPr>
          <w:rFonts w:eastAsia="TimesNewRoman"/>
          <w:szCs w:val="22"/>
          <w:lang w:eastAsia="en-US"/>
        </w:rPr>
        <w:t>bortezomibu</w:t>
      </w:r>
      <w:r w:rsidR="00057A09" w:rsidRPr="008F7ACD">
        <w:rPr>
          <w:rFonts w:eastAsia="TimesNewRoman"/>
          <w:szCs w:val="22"/>
          <w:lang w:eastAsia="en-US"/>
        </w:rPr>
        <w:t>. Tieto nežiaduce reakcie sú založené na</w:t>
      </w:r>
      <w:r w:rsidR="00F22078" w:rsidRPr="008F7ACD">
        <w:rPr>
          <w:rFonts w:eastAsia="TimesNewRoman"/>
          <w:szCs w:val="22"/>
          <w:lang w:eastAsia="en-US"/>
        </w:rPr>
        <w:t xml:space="preserve"> </w:t>
      </w:r>
      <w:r w:rsidR="00057A09" w:rsidRPr="008F7ACD">
        <w:rPr>
          <w:rFonts w:eastAsia="TimesNewRoman"/>
          <w:szCs w:val="22"/>
          <w:lang w:eastAsia="en-US"/>
        </w:rPr>
        <w:t>zjednotenom súbore údajov od 5</w:t>
      </w:r>
      <w:r w:rsidR="00F22078" w:rsidRPr="008F7ACD">
        <w:rPr>
          <w:rFonts w:eastAsia="TimesNewRoman"/>
          <w:szCs w:val="22"/>
          <w:lang w:eastAsia="en-US"/>
        </w:rPr>
        <w:t> </w:t>
      </w:r>
      <w:r w:rsidR="00057A09" w:rsidRPr="008F7ACD">
        <w:rPr>
          <w:rFonts w:eastAsia="TimesNewRoman"/>
          <w:szCs w:val="22"/>
          <w:lang w:eastAsia="en-US"/>
        </w:rPr>
        <w:t>476 pacientov, z ktorých bolo 3</w:t>
      </w:r>
      <w:r w:rsidR="00F22078" w:rsidRPr="008F7ACD">
        <w:rPr>
          <w:rFonts w:eastAsia="TimesNewRoman"/>
          <w:szCs w:val="22"/>
          <w:lang w:eastAsia="en-US"/>
        </w:rPr>
        <w:t> </w:t>
      </w:r>
      <w:r w:rsidR="00057A09" w:rsidRPr="008F7ACD">
        <w:rPr>
          <w:rFonts w:eastAsia="TimesNewRoman"/>
          <w:szCs w:val="22"/>
          <w:lang w:eastAsia="en-US"/>
        </w:rPr>
        <w:t>996 pacientov liečených dávkou</w:t>
      </w:r>
      <w:r w:rsidR="00F22078" w:rsidRPr="008F7ACD">
        <w:rPr>
          <w:rFonts w:eastAsia="TimesNewRoman"/>
          <w:szCs w:val="22"/>
          <w:lang w:eastAsia="en-US"/>
        </w:rPr>
        <w:t xml:space="preserve"> </w:t>
      </w:r>
      <w:r w:rsidR="00057A09" w:rsidRPr="008F7ACD">
        <w:rPr>
          <w:rFonts w:eastAsia="TimesNewRoman"/>
          <w:szCs w:val="22"/>
          <w:lang w:eastAsia="en-US"/>
        </w:rPr>
        <w:t>1,3</w:t>
      </w:r>
      <w:r w:rsidR="00F22078" w:rsidRPr="008F7ACD">
        <w:rPr>
          <w:rFonts w:eastAsia="TimesNewRoman"/>
          <w:szCs w:val="22"/>
          <w:lang w:eastAsia="en-US"/>
        </w:rPr>
        <w:t> </w:t>
      </w:r>
      <w:r w:rsidR="00057A09" w:rsidRPr="008F7ACD">
        <w:rPr>
          <w:rFonts w:eastAsia="TimesNewRoman"/>
          <w:szCs w:val="22"/>
          <w:lang w:eastAsia="en-US"/>
        </w:rPr>
        <w:t>mg/m</w:t>
      </w:r>
      <w:r w:rsidR="00057A09" w:rsidRPr="008F7ACD">
        <w:rPr>
          <w:rFonts w:eastAsia="TimesNewRoman"/>
          <w:szCs w:val="22"/>
          <w:vertAlign w:val="superscript"/>
          <w:lang w:eastAsia="en-US"/>
        </w:rPr>
        <w:t>2</w:t>
      </w:r>
      <w:r w:rsidR="00057A09" w:rsidRPr="008F7ACD">
        <w:rPr>
          <w:rFonts w:eastAsia="TimesNewRoman"/>
          <w:szCs w:val="22"/>
          <w:lang w:eastAsia="en-US"/>
        </w:rPr>
        <w:t xml:space="preserve"> </w:t>
      </w:r>
      <w:r w:rsidR="00F22078" w:rsidRPr="008F7ACD">
        <w:rPr>
          <w:rFonts w:eastAsia="TimesNewRoman"/>
          <w:szCs w:val="22"/>
          <w:lang w:eastAsia="en-US"/>
        </w:rPr>
        <w:t>bortezomibu</w:t>
      </w:r>
      <w:r w:rsidR="00057A09" w:rsidRPr="008F7ACD">
        <w:rPr>
          <w:rFonts w:eastAsia="TimesNewRoman"/>
          <w:szCs w:val="22"/>
          <w:lang w:eastAsia="en-US"/>
        </w:rPr>
        <w:t xml:space="preserve"> a uvádzajú sa v tabuľke 7.</w:t>
      </w:r>
    </w:p>
    <w:p w:rsidR="00057A09" w:rsidRPr="008F7ACD" w:rsidRDefault="00057A09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Celkovo sa </w:t>
      </w:r>
      <w:r w:rsidR="00F22078" w:rsidRPr="008F7ACD">
        <w:rPr>
          <w:rFonts w:eastAsia="TimesNewRoman"/>
          <w:szCs w:val="22"/>
          <w:lang w:eastAsia="en-US"/>
        </w:rPr>
        <w:t>bortezomib</w:t>
      </w:r>
      <w:r w:rsidRPr="008F7ACD">
        <w:rPr>
          <w:rFonts w:eastAsia="TimesNewRoman"/>
          <w:szCs w:val="22"/>
          <w:lang w:eastAsia="en-US"/>
        </w:rPr>
        <w:t xml:space="preserve"> podával za účelom liečby mnohopočetného myelómu 3</w:t>
      </w:r>
      <w:r w:rsidR="00F22078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974 pacientom.</w:t>
      </w:r>
    </w:p>
    <w:p w:rsidR="00F22078" w:rsidRPr="008F7ACD" w:rsidRDefault="00F22078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057A09" w:rsidRPr="008F7ACD" w:rsidRDefault="00057A09" w:rsidP="00057A0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Nežiaduce</w:t>
      </w:r>
      <w:r w:rsidR="00F22078" w:rsidRPr="008F7ACD">
        <w:rPr>
          <w:rFonts w:eastAsia="TimesNewRoman"/>
          <w:szCs w:val="22"/>
          <w:lang w:eastAsia="en-US"/>
        </w:rPr>
        <w:t xml:space="preserve"> reakcie</w:t>
      </w:r>
      <w:r w:rsidRPr="008F7ACD">
        <w:rPr>
          <w:rFonts w:eastAsia="TimesNewRoman"/>
          <w:szCs w:val="22"/>
          <w:lang w:eastAsia="en-US"/>
        </w:rPr>
        <w:t xml:space="preserve"> sú uvedené nižšie podľa </w:t>
      </w:r>
      <w:r w:rsidR="004536C4" w:rsidRPr="008F7ACD">
        <w:rPr>
          <w:rFonts w:eastAsia="TimesNewRoman"/>
          <w:szCs w:val="22"/>
          <w:lang w:eastAsia="en-US"/>
        </w:rPr>
        <w:t xml:space="preserve">tried </w:t>
      </w:r>
      <w:r w:rsidRPr="008F7ACD">
        <w:rPr>
          <w:rFonts w:eastAsia="TimesNewRoman"/>
          <w:szCs w:val="22"/>
          <w:lang w:eastAsia="en-US"/>
        </w:rPr>
        <w:t>orgánov</w:t>
      </w:r>
      <w:r w:rsidR="004536C4" w:rsidRPr="008F7ACD">
        <w:rPr>
          <w:rFonts w:eastAsia="TimesNewRoman"/>
          <w:szCs w:val="22"/>
          <w:lang w:eastAsia="en-US"/>
        </w:rPr>
        <w:t xml:space="preserve">ých </w:t>
      </w:r>
      <w:r w:rsidRPr="008F7ACD">
        <w:rPr>
          <w:rFonts w:eastAsia="TimesNewRoman"/>
          <w:szCs w:val="22"/>
          <w:lang w:eastAsia="en-US"/>
        </w:rPr>
        <w:t>systém</w:t>
      </w:r>
      <w:r w:rsidR="004536C4" w:rsidRPr="008F7ACD">
        <w:rPr>
          <w:rFonts w:eastAsia="TimesNewRoman"/>
          <w:szCs w:val="22"/>
          <w:lang w:eastAsia="en-US"/>
        </w:rPr>
        <w:t>ov</w:t>
      </w:r>
      <w:r w:rsidRPr="008F7ACD">
        <w:rPr>
          <w:rFonts w:eastAsia="TimesNewRoman"/>
          <w:szCs w:val="22"/>
          <w:lang w:eastAsia="en-US"/>
        </w:rPr>
        <w:t xml:space="preserve"> a frekvencie výskytu. Frekvencie</w:t>
      </w:r>
      <w:r w:rsidR="00F22078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výskytu sú definované ako: veľmi časté (</w:t>
      </w:r>
      <w:r w:rsidR="00F22078" w:rsidRPr="008F7ACD">
        <w:rPr>
          <w:b/>
          <w:bCs/>
          <w:color w:val="000000"/>
          <w:szCs w:val="22"/>
        </w:rPr>
        <w:t>≥ </w:t>
      </w:r>
      <w:r w:rsidRPr="008F7ACD">
        <w:rPr>
          <w:rFonts w:eastAsia="TimesNewRoman"/>
          <w:szCs w:val="22"/>
          <w:lang w:eastAsia="en-US"/>
        </w:rPr>
        <w:t xml:space="preserve">1/10); časté </w:t>
      </w:r>
      <w:r w:rsidR="00F22078" w:rsidRPr="008F7ACD">
        <w:rPr>
          <w:color w:val="000000"/>
          <w:szCs w:val="22"/>
        </w:rPr>
        <w:t>(</w:t>
      </w:r>
      <w:r w:rsidR="00F22078" w:rsidRPr="008F7ACD">
        <w:rPr>
          <w:b/>
          <w:bCs/>
          <w:color w:val="000000"/>
          <w:szCs w:val="22"/>
        </w:rPr>
        <w:t>≥ </w:t>
      </w:r>
      <w:r w:rsidR="00F22078" w:rsidRPr="008F7ACD">
        <w:rPr>
          <w:color w:val="000000"/>
          <w:szCs w:val="22"/>
        </w:rPr>
        <w:t>1/100 až &lt; 1/10</w:t>
      </w:r>
      <w:r w:rsidRPr="008F7ACD">
        <w:rPr>
          <w:rFonts w:eastAsia="TimesNewRoman"/>
          <w:szCs w:val="22"/>
          <w:lang w:eastAsia="en-US"/>
        </w:rPr>
        <w:t xml:space="preserve">); menej časté </w:t>
      </w:r>
      <w:r w:rsidR="00F22078" w:rsidRPr="008F7ACD">
        <w:rPr>
          <w:color w:val="000000"/>
          <w:szCs w:val="22"/>
        </w:rPr>
        <w:t>(</w:t>
      </w:r>
      <w:r w:rsidR="00F22078" w:rsidRPr="008F7ACD">
        <w:rPr>
          <w:b/>
          <w:bCs/>
          <w:color w:val="000000"/>
          <w:szCs w:val="22"/>
        </w:rPr>
        <w:t>≥ </w:t>
      </w:r>
      <w:r w:rsidR="00F22078" w:rsidRPr="008F7ACD">
        <w:rPr>
          <w:color w:val="000000"/>
          <w:szCs w:val="22"/>
        </w:rPr>
        <w:t>1/1 000 až &lt; 1/100</w:t>
      </w:r>
      <w:r w:rsidRPr="008F7ACD">
        <w:rPr>
          <w:rFonts w:eastAsia="TimesNewRoman"/>
          <w:szCs w:val="22"/>
          <w:lang w:eastAsia="en-US"/>
        </w:rPr>
        <w:t xml:space="preserve">); zriedkavé </w:t>
      </w:r>
      <w:r w:rsidR="00F22078" w:rsidRPr="008F7ACD">
        <w:rPr>
          <w:color w:val="000000"/>
          <w:szCs w:val="22"/>
        </w:rPr>
        <w:t>(</w:t>
      </w:r>
      <w:r w:rsidR="00F22078" w:rsidRPr="008F7ACD">
        <w:rPr>
          <w:b/>
          <w:bCs/>
          <w:color w:val="000000"/>
          <w:szCs w:val="22"/>
        </w:rPr>
        <w:t>≥ </w:t>
      </w:r>
      <w:r w:rsidR="00F22078" w:rsidRPr="008F7ACD">
        <w:rPr>
          <w:color w:val="000000"/>
          <w:szCs w:val="22"/>
        </w:rPr>
        <w:t>1/10 000 až &lt; 1/1 000</w:t>
      </w:r>
      <w:r w:rsidRPr="008F7ACD">
        <w:rPr>
          <w:rFonts w:eastAsia="TimesNewRoman"/>
          <w:szCs w:val="22"/>
          <w:lang w:eastAsia="en-US"/>
        </w:rPr>
        <w:t>); veľmi zriedkavé (&lt;</w:t>
      </w:r>
      <w:r w:rsidR="00CA079B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1/10</w:t>
      </w:r>
      <w:r w:rsidR="00F22078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000), neznáme (z dostupných</w:t>
      </w:r>
      <w:r w:rsidR="00F22078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údajov). V rámci jednotlivých skupín frekvencií sú nežiaduce účinky usporiadané v</w:t>
      </w:r>
      <w:r w:rsidR="004536C4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poradí klesajúcej</w:t>
      </w:r>
      <w:r w:rsidR="00F22078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závažnosti. Tabuľka 7 bola vytvorená použitím verzie 14.1 MedDRA.</w:t>
      </w:r>
    </w:p>
    <w:p w:rsidR="00057A09" w:rsidRPr="008F7ACD" w:rsidRDefault="00057A09" w:rsidP="00057A09">
      <w:pPr>
        <w:ind w:left="0" w:firstLine="0"/>
        <w:rPr>
          <w:szCs w:val="22"/>
        </w:rPr>
      </w:pPr>
      <w:r w:rsidRPr="008F7ACD">
        <w:rPr>
          <w:rFonts w:eastAsia="TimesNewRoman"/>
          <w:szCs w:val="22"/>
          <w:lang w:eastAsia="en-US"/>
        </w:rPr>
        <w:t>Zaradené sú aj nežiaduce reakcie</w:t>
      </w:r>
      <w:r w:rsidR="00130E3D" w:rsidRPr="008F7ACD">
        <w:rPr>
          <w:rFonts w:eastAsia="TimesNewRoman"/>
          <w:szCs w:val="22"/>
          <w:lang w:eastAsia="en-US"/>
        </w:rPr>
        <w:t>, ktoré sa vyskytli po uvedení lieku na trh a</w:t>
      </w:r>
      <w:r w:rsidRPr="008F7ACD">
        <w:rPr>
          <w:rFonts w:eastAsia="TimesNewRoman"/>
          <w:szCs w:val="22"/>
          <w:lang w:eastAsia="en-US"/>
        </w:rPr>
        <w:t xml:space="preserve"> ktoré sa neobjavili v klinických štúdiách.</w:t>
      </w:r>
    </w:p>
    <w:p w:rsidR="00057A09" w:rsidRPr="008F7ACD" w:rsidRDefault="00057A09" w:rsidP="00C92B0B">
      <w:pPr>
        <w:ind w:left="0" w:firstLine="0"/>
        <w:rPr>
          <w:szCs w:val="22"/>
        </w:rPr>
      </w:pPr>
    </w:p>
    <w:p w:rsidR="00531703" w:rsidRPr="008F7ACD" w:rsidRDefault="00F22078" w:rsidP="00F22078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8F7ACD">
        <w:rPr>
          <w:rFonts w:eastAsia="TimesNewRoman,Italic"/>
          <w:i/>
          <w:iCs/>
          <w:szCs w:val="22"/>
          <w:lang w:eastAsia="en-US"/>
        </w:rPr>
        <w:t xml:space="preserve">Tabuľka 7: Nežiaduce reakcie u pacientov s mnohopočetným </w:t>
      </w:r>
      <w:r w:rsidR="00351EAB">
        <w:rPr>
          <w:rFonts w:eastAsia="TimesNewRoman,Italic"/>
          <w:i/>
          <w:iCs/>
          <w:szCs w:val="22"/>
          <w:lang w:eastAsia="en-US"/>
        </w:rPr>
        <w:t>myelómom liečených bortezomibom</w:t>
      </w:r>
      <w:r w:rsidR="00C75CFD">
        <w:rPr>
          <w:rFonts w:eastAsia="TimesNewRoman,Italic"/>
          <w:i/>
          <w:iCs/>
          <w:szCs w:val="22"/>
          <w:lang w:eastAsia="en-US"/>
        </w:rPr>
        <w:t xml:space="preserve"> v klinických skúšaniach a nežiaduce reakcie po uvedení lieku na trh bez ohľadu na indikáciu</w:t>
      </w:r>
      <w:r w:rsidR="00C75CFD" w:rsidRPr="00F33FF2">
        <w:rPr>
          <w:i/>
          <w:vertAlign w:val="superscript"/>
        </w:rPr>
        <w:t>#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22"/>
        <w:gridCol w:w="1805"/>
        <w:gridCol w:w="5493"/>
      </w:tblGrid>
      <w:tr w:rsidR="00531703" w:rsidRPr="008F7ACD" w:rsidTr="0020718A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078" w:rsidRPr="008F7ACD" w:rsidRDefault="00F22078" w:rsidP="00F22078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b/>
                <w:szCs w:val="22"/>
                <w:lang w:eastAsia="en-US"/>
              </w:rPr>
            </w:pPr>
            <w:r w:rsidRPr="008F7ACD">
              <w:rPr>
                <w:rFonts w:eastAsia="TimesNewRoman"/>
                <w:b/>
                <w:szCs w:val="22"/>
                <w:lang w:eastAsia="en-US"/>
              </w:rPr>
              <w:t>Trieda orgánových</w:t>
            </w:r>
          </w:p>
          <w:p w:rsidR="00531703" w:rsidRPr="008F7ACD" w:rsidRDefault="00F76EA4" w:rsidP="00C22352">
            <w:pPr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b/>
                <w:szCs w:val="22"/>
                <w:lang w:eastAsia="en-US"/>
              </w:rPr>
              <w:t>s</w:t>
            </w:r>
            <w:r w:rsidR="00F22078" w:rsidRPr="008F7ACD">
              <w:rPr>
                <w:rFonts w:eastAsia="TimesNewRoman"/>
                <w:b/>
                <w:szCs w:val="22"/>
                <w:lang w:eastAsia="en-US"/>
              </w:rPr>
              <w:t>ystémov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F22078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Incidenc</w:t>
            </w:r>
            <w:r w:rsidR="00F22078" w:rsidRPr="008F7ACD">
              <w:rPr>
                <w:b/>
                <w:bCs/>
                <w:color w:val="000000"/>
                <w:szCs w:val="22"/>
              </w:rPr>
              <w:t>ia</w:t>
            </w:r>
            <w:r w:rsidRPr="008F7ACD">
              <w:rPr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22078" w:rsidP="004536C4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Nežiaduc</w:t>
            </w:r>
            <w:r w:rsidR="004536C4" w:rsidRPr="008F7ACD">
              <w:rPr>
                <w:b/>
                <w:bCs/>
                <w:color w:val="000000"/>
                <w:szCs w:val="22"/>
              </w:rPr>
              <w:t>a</w:t>
            </w:r>
            <w:r w:rsidRPr="008F7ACD">
              <w:rPr>
                <w:b/>
                <w:bCs/>
                <w:color w:val="000000"/>
                <w:szCs w:val="22"/>
              </w:rPr>
              <w:t xml:space="preserve"> reakcia</w:t>
            </w:r>
            <w:r w:rsidR="00531703" w:rsidRPr="008F7ACD">
              <w:rPr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22078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Infekcie a nákazy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22078" w:rsidP="00F22078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22078" w:rsidP="004536C4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herpes zoster (vrátane diseminovaného a oftalmického), pneumónia*, herpes simplex*, </w:t>
            </w:r>
            <w:r w:rsidR="004536C4" w:rsidRPr="008F7ACD">
              <w:rPr>
                <w:rFonts w:eastAsia="TimesNewRoman"/>
                <w:szCs w:val="22"/>
                <w:lang w:eastAsia="en-US"/>
              </w:rPr>
              <w:t>plesňové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infekcie*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22078" w:rsidP="00F22078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Menej 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22078" w:rsidP="004536C4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infekcia*, bakteriálna infekcia*, vírusová infekcia*, sepsa (vrátane septického šoku)*, bronchopneumónia, infekcia </w:t>
            </w:r>
            <w:r w:rsidR="00D06068" w:rsidRPr="008F7ACD">
              <w:rPr>
                <w:rFonts w:eastAsia="TimesNewRoman"/>
                <w:szCs w:val="22"/>
                <w:lang w:eastAsia="en-US"/>
              </w:rPr>
              <w:t>herpe</w:t>
            </w:r>
            <w:r w:rsidR="004536C4" w:rsidRPr="008F7ACD">
              <w:rPr>
                <w:rFonts w:eastAsia="TimesNewRoman"/>
                <w:szCs w:val="22"/>
                <w:lang w:eastAsia="en-US"/>
              </w:rPr>
              <w:t>s</w:t>
            </w:r>
            <w:r w:rsidR="009C420F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vírusom*, herpetická meningoencefalitída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#</w:t>
            </w:r>
            <w:r w:rsidRPr="008F7ACD">
              <w:rPr>
                <w:rFonts w:eastAsia="TimesNewRoman"/>
                <w:szCs w:val="22"/>
                <w:lang w:eastAsia="en-US"/>
              </w:rPr>
              <w:t>, bakterémia (vrátane stafylokokovej), hordeolum, chrípka, celulitída, infekcia súvisiaca so zariadením, kožná infekcia*, infekcia ucha*, stafylokoková infekcia*, infekcia zubov*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22078" w:rsidP="00F22078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22078" w:rsidP="00A416F6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meningitída (vrátane bakteriálnej), infekcia Epstein-Barrovej</w:t>
            </w:r>
            <w:r w:rsidR="00640660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vírusom, genitálny herpes, tonzilitída, mastoiditída, postvírusový</w:t>
            </w:r>
            <w:r w:rsidR="00A416F6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únavový syndróm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550DB0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Benígne a malígne nádory, vrátane nešpecifikovaných novotvarov (cysty a polypy)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4536C4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malígne nádory, plazmo</w:t>
            </w:r>
            <w:r w:rsidR="00E13D2E" w:rsidRPr="008F7ACD">
              <w:rPr>
                <w:rFonts w:eastAsia="TimesNewRoman"/>
                <w:szCs w:val="22"/>
                <w:lang w:eastAsia="en-US"/>
              </w:rPr>
              <w:t>cytová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leukémia, karcinóm renálnych buniek, hmota, plesňové mykózy, benígne nádory*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550DB0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krvi a lymfatického systému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550DB0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Veľmi 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trombocytopénia*, neutropénia*, anémia*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550DB0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leukopénia*, lymfopénia*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Menej časté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550DB0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pancytopénia*, febrilná neutropénia, koagulopatia*, </w:t>
            </w:r>
            <w:r w:rsidRPr="008F7ACD">
              <w:rPr>
                <w:rFonts w:eastAsia="TimesNewRoman"/>
                <w:szCs w:val="22"/>
                <w:lang w:eastAsia="en-US"/>
              </w:rPr>
              <w:lastRenderedPageBreak/>
              <w:t>leukocytóza*, lymfadenopatia, hemolytická anémia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#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550DB0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4536C4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diseminovaná intravaskulárna koagulácia, trombocytóza*, syndróm hyperviskozity, porucha krvných doštičiek</w:t>
            </w:r>
            <w:r w:rsidR="008E3EF1" w:rsidRPr="008F7ACD">
              <w:rPr>
                <w:rFonts w:eastAsia="TimesNewRoman"/>
                <w:szCs w:val="22"/>
                <w:lang w:eastAsia="en-US"/>
              </w:rPr>
              <w:t xml:space="preserve"> NOS</w:t>
            </w:r>
            <w:r w:rsidRPr="008F7ACD">
              <w:rPr>
                <w:rFonts w:eastAsia="TimesNewRoman"/>
                <w:szCs w:val="22"/>
                <w:lang w:eastAsia="en-US"/>
              </w:rPr>
              <w:t>, trombocytopenická purpura, porucha krvi</w:t>
            </w:r>
            <w:r w:rsidR="008E3EF1" w:rsidRPr="008F7ACD">
              <w:rPr>
                <w:rFonts w:eastAsia="TimesNewRoman"/>
                <w:szCs w:val="22"/>
                <w:lang w:eastAsia="en-US"/>
              </w:rPr>
              <w:t xml:space="preserve"> NOS</w:t>
            </w:r>
            <w:r w:rsidRPr="008F7ACD">
              <w:rPr>
                <w:rFonts w:eastAsia="TimesNewRoman"/>
                <w:szCs w:val="22"/>
                <w:lang w:eastAsia="en-US"/>
              </w:rPr>
              <w:t>, hemoragická diatéza, infiltrácia lymfocytov</w:t>
            </w:r>
            <w:r w:rsidR="00D27D3D">
              <w:rPr>
                <w:rFonts w:eastAsia="TimesNewRoman"/>
                <w:szCs w:val="22"/>
                <w:lang w:eastAsia="en-US"/>
              </w:rPr>
              <w:t>, trombotická mikroangiopatia (vrátane trombocytopenickej purpury)</w:t>
            </w:r>
            <w:r w:rsidR="00D27D3D" w:rsidRPr="00F33FF2">
              <w:rPr>
                <w:i/>
                <w:vertAlign w:val="superscript"/>
              </w:rPr>
              <w:t xml:space="preserve"> #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550DB0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imunitného systému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Menej časté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angioedém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#</w:t>
            </w:r>
            <w:r w:rsidRPr="008F7ACD">
              <w:rPr>
                <w:rFonts w:eastAsia="TimesNewRoman"/>
                <w:szCs w:val="22"/>
                <w:lang w:eastAsia="en-US"/>
              </w:rPr>
              <w:t>, hypersenzitivita*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550DB0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550DB0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anafylaktický šok, amyloidóza, imunokomplexom sprostredkovaná reakcia typu III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550DB0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endokrinného systému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Menej časté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FD6082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Cushingov syndróm*, hypertyroidizmus*, </w:t>
            </w:r>
            <w:r w:rsidR="00E908C9" w:rsidRPr="008F7ACD">
              <w:rPr>
                <w:rFonts w:eastAsia="TimesNewRoman"/>
                <w:szCs w:val="22"/>
                <w:lang w:eastAsia="en-US"/>
              </w:rPr>
              <w:t>neprimeraná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sekrécia antidiuretického hormónu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550DB0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hypotyroidizmus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550DB0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metabolizmu a výživy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550DB0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V</w:t>
            </w:r>
            <w:r w:rsidR="00550DB0" w:rsidRPr="008F7ACD">
              <w:rPr>
                <w:color w:val="000000"/>
                <w:szCs w:val="22"/>
              </w:rPr>
              <w:t>eľmi časté</w:t>
            </w:r>
            <w:r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10A08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znížená chuť do jedla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550DB0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10A08" w:rsidP="004536C4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dehydratácia, hypokaliémia*, hyponatriémia</w:t>
            </w:r>
            <w:r w:rsidR="004536C4" w:rsidRPr="008F7ACD">
              <w:rPr>
                <w:rFonts w:eastAsia="TimesNewRoman"/>
                <w:szCs w:val="22"/>
                <w:lang w:eastAsia="en-US"/>
              </w:rPr>
              <w:t>*</w:t>
            </w:r>
            <w:r w:rsidRPr="008F7ACD">
              <w:rPr>
                <w:rFonts w:eastAsia="TimesNewRoman"/>
                <w:szCs w:val="22"/>
                <w:lang w:eastAsia="en-US"/>
              </w:rPr>
              <w:t>, abnormálne h</w:t>
            </w:r>
            <w:r w:rsidR="004536C4" w:rsidRPr="008F7ACD">
              <w:rPr>
                <w:rFonts w:eastAsia="TimesNewRoman"/>
                <w:szCs w:val="22"/>
                <w:lang w:eastAsia="en-US"/>
              </w:rPr>
              <w:t>ladiny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glukózy v krvi*, hypokalciémia*, abnormalita enzýmov*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Menej časté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F7B7F" w:rsidP="00710A08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s</w:t>
            </w:r>
            <w:r w:rsidR="00710A08" w:rsidRPr="008F7ACD">
              <w:rPr>
                <w:rFonts w:eastAsia="TimesNewRoman"/>
                <w:szCs w:val="22"/>
                <w:lang w:eastAsia="en-US"/>
              </w:rPr>
              <w:t>yndróm</w:t>
            </w:r>
            <w:r w:rsidR="00640660" w:rsidRPr="008F7ACD">
              <w:rPr>
                <w:rFonts w:eastAsia="TimesNewRoman"/>
                <w:szCs w:val="22"/>
                <w:lang w:eastAsia="en-US"/>
              </w:rPr>
              <w:t xml:space="preserve"> z rozpadu</w:t>
            </w:r>
            <w:r w:rsidR="00710A08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="00640660" w:rsidRPr="008F7ACD">
              <w:rPr>
                <w:rFonts w:eastAsia="TimesNewRoman"/>
                <w:szCs w:val="22"/>
                <w:lang w:eastAsia="en-US"/>
              </w:rPr>
              <w:t>nád</w:t>
            </w:r>
            <w:r w:rsidR="00710A08" w:rsidRPr="008F7ACD">
              <w:rPr>
                <w:rFonts w:eastAsia="TimesNewRoman"/>
                <w:szCs w:val="22"/>
                <w:lang w:eastAsia="en-US"/>
              </w:rPr>
              <w:t>oru, nedostatočné prospievanie*, hypomagneziémia*, hypofosfatémia*, hyperkaliémia*, hyperkalciémia*, hypernatriémia*, abnormálna hladina kyseliny močovej*, diabetes mellitus*, zadržiavanie tekutín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10A08" w:rsidP="00710A08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10A08" w:rsidP="00710A08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hypermagneziémia*, acidóza, nerovnováha elektrolytov*, preťaženie tekutinou, hypochlorémia*, hypovolémia, hyperchlorémia*, hyperfosfatémia*, metabolická porucha, deficit </w:t>
            </w:r>
            <w:r w:rsidR="00F2614F" w:rsidRPr="008F7ACD">
              <w:rPr>
                <w:rFonts w:eastAsia="TimesNewRoman"/>
                <w:szCs w:val="22"/>
                <w:lang w:eastAsia="en-US"/>
              </w:rPr>
              <w:t xml:space="preserve">komplexu </w:t>
            </w:r>
            <w:r w:rsidRPr="008F7ACD">
              <w:rPr>
                <w:rFonts w:eastAsia="TimesNewRoman"/>
                <w:szCs w:val="22"/>
                <w:lang w:eastAsia="en-US"/>
              </w:rPr>
              <w:t>vitamín</w:t>
            </w:r>
            <w:r w:rsidR="00F2614F" w:rsidRPr="008F7ACD">
              <w:rPr>
                <w:rFonts w:eastAsia="TimesNewRoman"/>
                <w:szCs w:val="22"/>
                <w:lang w:eastAsia="en-US"/>
              </w:rPr>
              <w:t>ov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B, deficit vitamínu B</w:t>
            </w:r>
            <w:r w:rsidR="00A03412" w:rsidRPr="008F7ACD">
              <w:rPr>
                <w:szCs w:val="22"/>
                <w:vertAlign w:val="subscript"/>
              </w:rPr>
              <w:t>12</w:t>
            </w:r>
            <w:r w:rsidRPr="008F7ACD">
              <w:rPr>
                <w:rFonts w:eastAsia="TimesNewRoman"/>
                <w:szCs w:val="22"/>
                <w:lang w:eastAsia="en-US"/>
              </w:rPr>
              <w:t>, dna, zvýšená chuť do jedla, intolerancia alkoholu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10A08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Psychické poruchy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10A08" w:rsidP="00710A08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Časté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10A08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nálady*, úzkostné poruchy*, poruchy spánku*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Menej 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10A08" w:rsidP="00710A08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duševné poruchy*, halucinácie*, psych</w:t>
            </w:r>
            <w:r w:rsidR="004536C4" w:rsidRPr="008F7ACD">
              <w:rPr>
                <w:rFonts w:eastAsia="TimesNewRoman"/>
                <w:szCs w:val="22"/>
                <w:lang w:eastAsia="en-US"/>
              </w:rPr>
              <w:t>ot</w:t>
            </w:r>
            <w:r w:rsidRPr="008F7ACD">
              <w:rPr>
                <w:rFonts w:eastAsia="TimesNewRoman"/>
                <w:szCs w:val="22"/>
                <w:lang w:eastAsia="en-US"/>
              </w:rPr>
              <w:t>ické poruchy*, zmätenosť*, nepokoj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10A08" w:rsidP="00710A08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10A08" w:rsidP="00710A08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samovražedné myšlienky*, porucha prispôsobenia sa, delírium, pokles sexuálnej túžby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FAE" w:rsidRPr="008F7ACD" w:rsidRDefault="00434FAE" w:rsidP="00434FAE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nervového</w:t>
            </w:r>
          </w:p>
          <w:p w:rsidR="00531703" w:rsidRPr="008F7ACD" w:rsidRDefault="00434FAE" w:rsidP="00434FAE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systému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4D074C" w:rsidP="004D074C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Veľmi časté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4D074C" w:rsidP="004D074C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neuropatie*, periférna senzorická neuropatia, dy</w:t>
            </w:r>
            <w:r w:rsidR="00723720" w:rsidRPr="008F7ACD">
              <w:rPr>
                <w:rFonts w:eastAsia="TimesNewRoman"/>
                <w:szCs w:val="22"/>
                <w:lang w:eastAsia="en-US"/>
              </w:rPr>
              <w:t>z</w:t>
            </w:r>
            <w:r w:rsidRPr="008F7ACD">
              <w:rPr>
                <w:rFonts w:eastAsia="TimesNewRoman"/>
                <w:szCs w:val="22"/>
                <w:lang w:eastAsia="en-US"/>
              </w:rPr>
              <w:t>estézia*, neuralgia*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4D074C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Časté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4D074C" w:rsidP="0068464F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motorická neuropatia</w:t>
            </w:r>
            <w:r w:rsidR="0068464F" w:rsidRPr="008F7ACD">
              <w:rPr>
                <w:rFonts w:eastAsia="TimesNewRoman"/>
                <w:szCs w:val="22"/>
                <w:lang w:eastAsia="en-US"/>
              </w:rPr>
              <w:t>*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, strata vedomia (vrátane synkopy), </w:t>
            </w:r>
            <w:r w:rsidR="0068464F" w:rsidRPr="008F7ACD">
              <w:rPr>
                <w:rFonts w:eastAsia="TimesNewRoman"/>
                <w:szCs w:val="22"/>
                <w:lang w:eastAsia="en-US"/>
              </w:rPr>
              <w:t>závraty</w:t>
            </w:r>
            <w:r w:rsidRPr="008F7ACD">
              <w:rPr>
                <w:rFonts w:eastAsia="TimesNewRoman"/>
                <w:szCs w:val="22"/>
                <w:lang w:eastAsia="en-US"/>
              </w:rPr>
              <w:t>*, dysgeúzia*, letargia, bolesť hlavy*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Menej časté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4D074C" w:rsidP="00835A31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tremor, periférna senzo</w:t>
            </w:r>
            <w:r w:rsidR="0068464F" w:rsidRPr="008F7ACD">
              <w:rPr>
                <w:rFonts w:eastAsia="TimesNewRoman"/>
                <w:szCs w:val="22"/>
                <w:lang w:eastAsia="en-US"/>
              </w:rPr>
              <w:t>ri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motorická neuropatia, dyskinéza*, poruchy cerebelárnej koordinácie a rovnováhy*, strata pamäti (s výnimkou demencie)*, encefalopatia*, </w:t>
            </w:r>
            <w:r w:rsidR="00835A31" w:rsidRPr="008F7ACD">
              <w:rPr>
                <w:rFonts w:eastAsia="TimesNewRoman"/>
                <w:szCs w:val="22"/>
                <w:lang w:eastAsia="en-US"/>
              </w:rPr>
              <w:t xml:space="preserve">syndróm </w:t>
            </w:r>
            <w:r w:rsidRPr="008F7ACD">
              <w:rPr>
                <w:rFonts w:eastAsia="TimesNewRoman"/>
                <w:szCs w:val="22"/>
                <w:lang w:eastAsia="en-US"/>
              </w:rPr>
              <w:t>posteriórn</w:t>
            </w:r>
            <w:r w:rsidR="00835A31" w:rsidRPr="008F7ACD">
              <w:rPr>
                <w:rFonts w:eastAsia="TimesNewRoman"/>
                <w:szCs w:val="22"/>
                <w:lang w:eastAsia="en-US"/>
              </w:rPr>
              <w:t>ej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reverzibiln</w:t>
            </w:r>
            <w:r w:rsidR="00835A31" w:rsidRPr="008F7ACD">
              <w:rPr>
                <w:rFonts w:eastAsia="TimesNewRoman"/>
                <w:szCs w:val="22"/>
                <w:lang w:eastAsia="en-US"/>
              </w:rPr>
              <w:t>ej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encefalopati</w:t>
            </w:r>
            <w:r w:rsidR="00835A31" w:rsidRPr="008F7ACD">
              <w:rPr>
                <w:rFonts w:eastAsia="TimesNewRoman"/>
                <w:szCs w:val="22"/>
                <w:lang w:eastAsia="en-US"/>
              </w:rPr>
              <w:t>e</w:t>
            </w:r>
            <w:r w:rsidR="00404561" w:rsidRPr="008F7ACD">
              <w:rPr>
                <w:szCs w:val="22"/>
                <w:vertAlign w:val="superscript"/>
                <w:lang w:eastAsia="en-GB"/>
              </w:rPr>
              <w:t>#</w:t>
            </w:r>
            <w:r w:rsidRPr="008F7ACD">
              <w:rPr>
                <w:rFonts w:eastAsia="TimesNewRoman"/>
                <w:szCs w:val="22"/>
                <w:lang w:eastAsia="en-US"/>
              </w:rPr>
              <w:t>, neurotoxicita, epilepsia*, postherpetická neuralgia, porucha reči*, syndróm nepokojných nôh, migréna, ischias, porucha pozornosti, neprirodzené reflexy*, parosmia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4D074C" w:rsidP="004D074C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4D074C" w:rsidP="00505D59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cerebrálna hemorágia*, intrakraniálna hemorágia* (vrátane subarachnoidálnej)*, opuch mozgu, tranzitórny ischemický atak, kóma, nerovnováha autonómneho nervového systému, autonómna neuropatia, ochrnutie </w:t>
            </w:r>
            <w:r w:rsidR="00505D59" w:rsidRPr="008F7ACD">
              <w:rPr>
                <w:rFonts w:eastAsia="TimesNewRoman"/>
                <w:szCs w:val="22"/>
                <w:lang w:eastAsia="en-US"/>
              </w:rPr>
              <w:t>hlavových nervov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*, paralýza*, paréza*, presynkopa, syndróm mozgového </w:t>
            </w:r>
            <w:r w:rsidRPr="008F7ACD">
              <w:rPr>
                <w:rFonts w:eastAsia="TimesNewRoman"/>
                <w:szCs w:val="22"/>
                <w:lang w:eastAsia="en-US"/>
              </w:rPr>
              <w:lastRenderedPageBreak/>
              <w:t>k</w:t>
            </w:r>
            <w:r w:rsidR="00235A74" w:rsidRPr="008F7ACD">
              <w:rPr>
                <w:rFonts w:eastAsia="TimesNewRoman"/>
                <w:szCs w:val="22"/>
                <w:lang w:eastAsia="en-US"/>
              </w:rPr>
              <w:t>me</w:t>
            </w:r>
            <w:r w:rsidRPr="008F7ACD">
              <w:rPr>
                <w:rFonts w:eastAsia="TimesNewRoman"/>
                <w:szCs w:val="22"/>
                <w:lang w:eastAsia="en-US"/>
              </w:rPr>
              <w:t>ňa, cerebrovaskulárna porucha, lézia nervového koreňa, psychomotorická hyperaktivita, stlačenie miechy, kognitívna porucha</w:t>
            </w:r>
            <w:r w:rsidR="008E3EF1" w:rsidRPr="008F7ACD">
              <w:rPr>
                <w:rFonts w:eastAsia="TimesNewRoman"/>
                <w:szCs w:val="22"/>
                <w:lang w:eastAsia="en-US"/>
              </w:rPr>
              <w:t xml:space="preserve"> NOS</w:t>
            </w:r>
            <w:r w:rsidRPr="008F7ACD">
              <w:rPr>
                <w:rFonts w:eastAsia="TimesNewRoman"/>
                <w:szCs w:val="22"/>
                <w:lang w:eastAsia="en-US"/>
              </w:rPr>
              <w:t>, motorická dysfunkcia, porucha nervového systému</w:t>
            </w:r>
            <w:r w:rsidR="008E3EF1" w:rsidRPr="008F7ACD">
              <w:rPr>
                <w:rFonts w:eastAsia="TimesNewRoman"/>
                <w:szCs w:val="22"/>
                <w:lang w:eastAsia="en-US"/>
              </w:rPr>
              <w:t xml:space="preserve"> NOS</w:t>
            </w:r>
            <w:r w:rsidRPr="008F7ACD">
              <w:rPr>
                <w:rFonts w:eastAsia="TimesNewRoman"/>
                <w:szCs w:val="22"/>
                <w:lang w:eastAsia="en-US"/>
              </w:rPr>
              <w:t>, radikulitída, zvýšené slinenie, hypotónia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4D074C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lastRenderedPageBreak/>
              <w:t>Poruchy oka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4D074C" w:rsidP="004D074C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4D074C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opuch oka*, abnormálne videnie*, konjunktivitída*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Menej časté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4D074C" w:rsidP="004D074C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očná hemorágia*, infekcia očného viečka*, zápal oka*, diplopia, suchosť oka*, podráždenie oka*, bolesť oka, zvýšené slzenie, výtok z</w:t>
            </w:r>
            <w:r w:rsidR="00D27D3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oka</w:t>
            </w:r>
            <w:r w:rsidR="00D27D3D">
              <w:rPr>
                <w:rFonts w:eastAsia="TimesNewRoman"/>
                <w:szCs w:val="22"/>
                <w:lang w:eastAsia="en-US"/>
              </w:rPr>
              <w:t>, chalazión</w:t>
            </w:r>
            <w:r w:rsidR="00D27D3D" w:rsidRPr="00F33FF2">
              <w:rPr>
                <w:i/>
                <w:vertAlign w:val="superscript"/>
              </w:rPr>
              <w:t>#</w:t>
            </w:r>
            <w:r w:rsidR="00D27D3D">
              <w:rPr>
                <w:i/>
              </w:rPr>
              <w:t xml:space="preserve">, </w:t>
            </w:r>
            <w:r w:rsidR="00D27D3D">
              <w:t>blefaritída</w:t>
            </w:r>
            <w:r w:rsidR="00D27D3D" w:rsidRPr="00F33FF2">
              <w:rPr>
                <w:i/>
                <w:vertAlign w:val="superscript"/>
              </w:rPr>
              <w:t>#</w:t>
            </w:r>
            <w:r w:rsidRPr="008F7ACD">
              <w:rPr>
                <w:color w:val="000000"/>
                <w:szCs w:val="22"/>
              </w:rPr>
              <w:t xml:space="preserve"> 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4D074C" w:rsidP="004D074C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4D074C" w:rsidP="008E3EF1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lézie rohovky*, exoftalmus, retinitída, skotóm, poruchy oka</w:t>
            </w:r>
            <w:r w:rsidR="008E3EF1" w:rsidRPr="008F7ACD">
              <w:rPr>
                <w:rFonts w:eastAsia="TimesNewRoman"/>
                <w:szCs w:val="22"/>
                <w:lang w:eastAsia="en-US"/>
              </w:rPr>
              <w:t xml:space="preserve"> NOS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(vrátane očného viečka), získaná dakryoadenitída, fotofóbia, fotopsia, optická neuropatia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#</w:t>
            </w:r>
            <w:r w:rsidRPr="008F7ACD">
              <w:rPr>
                <w:rFonts w:eastAsia="TimesNewRoman"/>
                <w:szCs w:val="22"/>
                <w:lang w:eastAsia="en-US"/>
              </w:rPr>
              <w:t>, rôzne stupne poškodenia zraku (až po slepotu</w:t>
            </w:r>
            <w:r w:rsidR="004552A7" w:rsidRPr="008F7ACD">
              <w:rPr>
                <w:rFonts w:eastAsia="TimesNewRoman"/>
                <w:szCs w:val="22"/>
                <w:lang w:eastAsia="en-US"/>
              </w:rPr>
              <w:t>)</w:t>
            </w:r>
            <w:r w:rsidRPr="008F7ACD">
              <w:rPr>
                <w:rFonts w:eastAsia="TimesNewRoman"/>
                <w:szCs w:val="22"/>
                <w:lang w:eastAsia="en-US"/>
              </w:rPr>
              <w:t>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4D074C" w:rsidP="00852D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ucha a</w:t>
            </w:r>
            <w:r w:rsidR="00852D4B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labyrintu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4D074C" w:rsidP="004D074C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852D4B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v</w:t>
            </w:r>
            <w:r w:rsidR="00531703" w:rsidRPr="008F7ACD">
              <w:rPr>
                <w:color w:val="000000"/>
                <w:szCs w:val="22"/>
              </w:rPr>
              <w:t xml:space="preserve">ertigo* 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Menej časté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852D4B" w:rsidP="00852D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dysakúzia (vrátane tinnitu)*, porucha sluchu (až do a vrátane hluchoty), ušný diskomfort*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4D074C" w:rsidP="004D074C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852D4B" w:rsidP="008E3EF1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krvácanie ucha, vestibulárna neuronitída, porucha ucha</w:t>
            </w:r>
            <w:r w:rsidR="008E3EF1" w:rsidRPr="008F7ACD">
              <w:rPr>
                <w:rFonts w:eastAsia="TimesNewRoman"/>
                <w:szCs w:val="22"/>
                <w:lang w:eastAsia="en-US"/>
              </w:rPr>
              <w:t xml:space="preserve"> NOS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852D4B" w:rsidP="00852D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srdca a srdcovej činnosti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Menej 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852D4B" w:rsidP="00852D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srdcová tamponáda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#</w:t>
            </w:r>
            <w:r w:rsidRPr="008F7ACD">
              <w:rPr>
                <w:rFonts w:eastAsia="TimesNewRoman"/>
                <w:szCs w:val="22"/>
                <w:lang w:eastAsia="en-US"/>
              </w:rPr>
              <w:t>, kardiopulmonálna zástava*, srdcová fibrilácia (vrátane atriálnej), zlyhanie srdca (vrátane ľav</w:t>
            </w:r>
            <w:r w:rsidR="004250D8" w:rsidRPr="008F7ACD">
              <w:rPr>
                <w:rFonts w:eastAsia="TimesNewRoman"/>
                <w:szCs w:val="22"/>
                <w:lang w:eastAsia="en-US"/>
              </w:rPr>
              <w:t>ostranného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a prav</w:t>
            </w:r>
            <w:r w:rsidR="004250D8" w:rsidRPr="008F7ACD">
              <w:rPr>
                <w:rFonts w:eastAsia="TimesNewRoman"/>
                <w:szCs w:val="22"/>
                <w:lang w:eastAsia="en-US"/>
              </w:rPr>
              <w:t>ostranného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ventrikulárneho zlyhania)*, arytmia*, tachykardia*, palpitatácie, angína pektoris, perikarditída* (vrátane perikardiálneho výpotku), kardiomyopatia*, ventrikulárna dysfunkcia*, bradykardia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852D4B" w:rsidP="00852D4B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852D4B" w:rsidP="00A13178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fl</w:t>
            </w:r>
            <w:r w:rsidR="00C94E54" w:rsidRPr="008F7ACD">
              <w:rPr>
                <w:rFonts w:eastAsia="TimesNewRoman"/>
                <w:szCs w:val="22"/>
                <w:lang w:eastAsia="en-US"/>
              </w:rPr>
              <w:t>utter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predsiení, infarkt myokardu*, atrioventrikulárny blok*, kardiovaskulárna porucha (vrátane kardiogénneho šoku), torsade de pointes, nestabilná angína, poruchy srdcovej chlopne*, insuficiencia koronárnych artérií, </w:t>
            </w:r>
            <w:r w:rsidR="00A13178" w:rsidRPr="008F7ACD">
              <w:rPr>
                <w:rFonts w:eastAsia="TimesNewRoman"/>
                <w:szCs w:val="22"/>
                <w:lang w:eastAsia="en-US"/>
              </w:rPr>
              <w:t>zástava</w:t>
            </w:r>
            <w:r w:rsidR="001958EC" w:rsidRPr="008F7ACD">
              <w:rPr>
                <w:rFonts w:eastAsia="TimesNewRoman"/>
                <w:szCs w:val="22"/>
                <w:lang w:eastAsia="en-US"/>
              </w:rPr>
              <w:t xml:space="preserve"> sínusového uzla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57749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ciev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57749" w:rsidP="00F57749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57749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hypotenzia*, ortostatická hypotenzia, hypertenzia*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Menej časté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57749" w:rsidP="00F57749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cerebrovaskulárna príhoda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#</w:t>
            </w:r>
            <w:r w:rsidRPr="008F7ACD">
              <w:rPr>
                <w:rFonts w:eastAsia="TimesNewRoman"/>
                <w:szCs w:val="22"/>
                <w:lang w:eastAsia="en-US"/>
              </w:rPr>
              <w:t>, hlboká žilová trombóza*, hemorágia*, tromboflebitída (vrátane povrchovej), kolaps obehového systému (vrátane hypovolemického šoku), flebitída, sčervenanie*, hematóm (vrátane perirenálneho)*, nedostatočná periférna cirkulácia*, vaskulitída, hyperémia (vrátane očnej)*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57749" w:rsidP="00F57749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57749" w:rsidP="00F57749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periférna embólia, lymfoedém, bledosť, erytromelalgia, vazodilatácia, zmena zafarbenia žily, žilová nedostatočnosť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57749" w:rsidP="00F57749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dýchacej sústavy, hrudníka a mediastína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57749" w:rsidP="00F57749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57749" w:rsidP="00F57749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dyspnoe*, epistaxa, infekcia horných/dolných dýchacích ciest*, kašeľ*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Menej 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57749" w:rsidP="00A13178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pľúcna embólia, pleurálny výpotok, pľúcny edém (vrátane akútneho), pľúcna alveolárna hemorágia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#</w:t>
            </w:r>
            <w:r w:rsidRPr="008F7ACD">
              <w:rPr>
                <w:rFonts w:eastAsia="TimesNewRoman"/>
                <w:szCs w:val="22"/>
                <w:lang w:eastAsia="en-US"/>
              </w:rPr>
              <w:t>, bronchospazmus, chronická obštrukčná choroba</w:t>
            </w:r>
            <w:r w:rsidR="00A13178" w:rsidRPr="008F7ACD">
              <w:rPr>
                <w:rFonts w:eastAsia="TimesNewRoman"/>
                <w:szCs w:val="22"/>
                <w:lang w:eastAsia="en-US"/>
              </w:rPr>
              <w:t xml:space="preserve"> pľúc</w:t>
            </w:r>
            <w:r w:rsidRPr="008F7ACD">
              <w:rPr>
                <w:rFonts w:eastAsia="TimesNewRoman"/>
                <w:szCs w:val="22"/>
                <w:lang w:eastAsia="en-US"/>
              </w:rPr>
              <w:t>*, hypoxémia*, kongescia dýchacieho traktu*, hypoxia, pleuritída*, čkanie, rinorea, dysfónia, sipot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57749" w:rsidP="00F57749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57749" w:rsidP="00476C10">
            <w:pPr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respiračné zlyhanie, syndróm akútne</w:t>
            </w:r>
            <w:r w:rsidR="00A13178" w:rsidRPr="008F7ACD">
              <w:rPr>
                <w:rFonts w:eastAsia="TimesNewRoman"/>
                <w:szCs w:val="22"/>
                <w:lang w:eastAsia="en-US"/>
              </w:rPr>
              <w:t xml:space="preserve">j </w:t>
            </w:r>
            <w:r w:rsidRPr="008F7ACD">
              <w:rPr>
                <w:rFonts w:eastAsia="TimesNewRoman"/>
                <w:szCs w:val="22"/>
                <w:lang w:eastAsia="en-US"/>
              </w:rPr>
              <w:t>respiračn</w:t>
            </w:r>
            <w:r w:rsidR="00A13178" w:rsidRPr="008F7ACD">
              <w:rPr>
                <w:rFonts w:eastAsia="TimesNewRoman"/>
                <w:szCs w:val="22"/>
                <w:lang w:eastAsia="en-US"/>
              </w:rPr>
              <w:t>ej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="00A13178" w:rsidRPr="008F7ACD">
              <w:rPr>
                <w:rFonts w:eastAsia="TimesNewRoman"/>
                <w:szCs w:val="22"/>
                <w:lang w:eastAsia="en-US"/>
              </w:rPr>
              <w:t>tiesne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, apnoe, pneumotorax, atelektáza, pľúcna hypertenzia, </w:t>
            </w:r>
            <w:r w:rsidRPr="008F7ACD">
              <w:rPr>
                <w:rFonts w:eastAsia="TimesNewRoman"/>
                <w:szCs w:val="22"/>
                <w:lang w:eastAsia="en-US"/>
              </w:rPr>
              <w:lastRenderedPageBreak/>
              <w:t xml:space="preserve">hemoptýza, hyperventilácia, ortopnoe, pneumonitída, respiračná alkalóza, tachypnoe, pľúcna fibróza, bronchiálna porucha*, hypokapnia*, intersticiálne ochorenie pľúc, pľúcna infiltrácia, </w:t>
            </w:r>
            <w:r w:rsidR="00D03E31" w:rsidRPr="008F7ACD">
              <w:rPr>
                <w:rFonts w:eastAsia="TimesNewRoman"/>
                <w:szCs w:val="22"/>
                <w:lang w:eastAsia="en-US"/>
              </w:rPr>
              <w:t>stuhnutosť krku</w:t>
            </w:r>
            <w:r w:rsidRPr="008F7ACD">
              <w:rPr>
                <w:rFonts w:eastAsia="TimesNewRoman"/>
                <w:szCs w:val="22"/>
                <w:lang w:eastAsia="en-US"/>
              </w:rPr>
              <w:t>,</w:t>
            </w:r>
            <w:r w:rsidR="00393BC8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such</w:t>
            </w:r>
            <w:r w:rsidR="00A13178" w:rsidRPr="008F7ACD">
              <w:rPr>
                <w:rFonts w:eastAsia="TimesNewRoman"/>
                <w:szCs w:val="22"/>
                <w:lang w:eastAsia="en-US"/>
              </w:rPr>
              <w:t>o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="00476C10" w:rsidRPr="008F7ACD">
              <w:rPr>
                <w:rFonts w:eastAsia="TimesNewRoman"/>
                <w:szCs w:val="22"/>
                <w:lang w:eastAsia="en-US"/>
              </w:rPr>
              <w:t xml:space="preserve">v </w:t>
            </w:r>
            <w:r w:rsidR="00A13178" w:rsidRPr="008F7ACD">
              <w:rPr>
                <w:rFonts w:eastAsia="TimesNewRoman"/>
                <w:szCs w:val="22"/>
                <w:lang w:eastAsia="en-US"/>
              </w:rPr>
              <w:t>hrdle</w:t>
            </w:r>
            <w:r w:rsidRPr="008F7ACD">
              <w:rPr>
                <w:rFonts w:eastAsia="TimesNewRoman"/>
                <w:szCs w:val="22"/>
                <w:lang w:eastAsia="en-US"/>
              </w:rPr>
              <w:t>, zvýšená sekrécia horných dýchacích ciest, podráždenie hrdla, syndróm kašľa asociovaný s</w:t>
            </w:r>
            <w:r w:rsidR="0025013D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ochoreniami</w:t>
            </w:r>
            <w:r w:rsidR="0025013D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horných dýchacích ciest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B6377" w:rsidP="00FB637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lastRenderedPageBreak/>
              <w:t>Poruchy gastrointestinálneho traktu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FB6377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V</w:t>
            </w:r>
            <w:r w:rsidR="00FB6377" w:rsidRPr="008F7ACD">
              <w:rPr>
                <w:color w:val="000000"/>
                <w:szCs w:val="22"/>
              </w:rPr>
              <w:t>eľmi časté</w:t>
            </w:r>
            <w:r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B6377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nauzea a príznaky vracania*, diarea*, zápcha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B6377" w:rsidP="00FB6377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B6377" w:rsidP="00676F6D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gastrointestinálne krvácanie (vrátane krvácania zo slizníc)*,</w:t>
            </w:r>
            <w:r w:rsidR="00676F6D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dyspepsia, stomatitída*, abdominálna distenzia, orofaryngeálna</w:t>
            </w:r>
            <w:r w:rsidR="00676F6D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bolesť*, abdominálna bolesť (vrátane gastrointestinálnej bolesti</w:t>
            </w:r>
            <w:r w:rsidR="00676F6D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a bolesti sleziny)*, ochorenia úst</w:t>
            </w:r>
            <w:r w:rsidR="00362339" w:rsidRPr="008F7ACD">
              <w:rPr>
                <w:rFonts w:eastAsia="TimesNewRoman"/>
                <w:szCs w:val="22"/>
                <w:lang w:eastAsia="en-US"/>
              </w:rPr>
              <w:t>nej dutiny</w:t>
            </w:r>
            <w:r w:rsidRPr="008F7ACD">
              <w:rPr>
                <w:rFonts w:eastAsia="TimesNewRoman"/>
                <w:szCs w:val="22"/>
                <w:lang w:eastAsia="en-US"/>
              </w:rPr>
              <w:t>*, flatulencia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Menej 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B6377" w:rsidP="00E83869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pankreatitída (vrátane chronickej)*, hemateméza, opuch pery*,</w:t>
            </w:r>
            <w:r w:rsidR="00676F6D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gastrointestinálna obštrukcia (vrátane </w:t>
            </w:r>
            <w:r w:rsidR="00087EE0" w:rsidRPr="008F7ACD">
              <w:rPr>
                <w:rFonts w:eastAsia="TimesNewRoman"/>
                <w:szCs w:val="22"/>
                <w:lang w:eastAsia="en-US"/>
              </w:rPr>
              <w:t xml:space="preserve">obštrukcie tenkého čreva, </w:t>
            </w:r>
            <w:r w:rsidRPr="008F7ACD">
              <w:rPr>
                <w:rFonts w:eastAsia="TimesNewRoman"/>
                <w:szCs w:val="22"/>
                <w:lang w:eastAsia="en-US"/>
              </w:rPr>
              <w:t>ilea)*, abdominálny</w:t>
            </w:r>
            <w:r w:rsidR="00676F6D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diskomfort, ulcerácie v</w:t>
            </w:r>
            <w:r w:rsidR="00997EAD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úst</w:t>
            </w:r>
            <w:r w:rsidR="00997EAD" w:rsidRPr="008F7ACD">
              <w:rPr>
                <w:rFonts w:eastAsia="TimesNewRoman"/>
                <w:szCs w:val="22"/>
                <w:lang w:eastAsia="en-US"/>
              </w:rPr>
              <w:t>nej dutine</w:t>
            </w:r>
            <w:r w:rsidRPr="008F7ACD">
              <w:rPr>
                <w:rFonts w:eastAsia="TimesNewRoman"/>
                <w:szCs w:val="22"/>
                <w:lang w:eastAsia="en-US"/>
              </w:rPr>
              <w:t>*, enteritída*, gastritída*, krvácanie</w:t>
            </w:r>
            <w:r w:rsidR="00676F6D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ďasien, refluxná choroba pažeráka*, kolitída (vrátane kolitídy</w:t>
            </w:r>
            <w:r w:rsidR="00676F6D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="00176449" w:rsidRPr="008F7ACD">
              <w:rPr>
                <w:rFonts w:eastAsia="TimesNewRoman"/>
                <w:szCs w:val="22"/>
                <w:lang w:eastAsia="en-US"/>
              </w:rPr>
              <w:t xml:space="preserve">spôsobenej </w:t>
            </w:r>
            <w:r w:rsidRPr="008F7ACD">
              <w:rPr>
                <w:rFonts w:eastAsia="TimesNewRoman"/>
                <w:i/>
                <w:szCs w:val="22"/>
                <w:lang w:eastAsia="en-US"/>
              </w:rPr>
              <w:t>clostridium difficile</w:t>
            </w:r>
            <w:r w:rsidRPr="008F7ACD">
              <w:rPr>
                <w:rFonts w:eastAsia="TimesNewRoman"/>
                <w:szCs w:val="22"/>
                <w:lang w:eastAsia="en-US"/>
              </w:rPr>
              <w:t>)*, ischemická kolitída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#</w:t>
            </w:r>
            <w:r w:rsidRPr="008F7ACD">
              <w:rPr>
                <w:rFonts w:eastAsia="TimesNewRoman"/>
                <w:szCs w:val="22"/>
                <w:lang w:eastAsia="en-US"/>
              </w:rPr>
              <w:t>, gastrointestinálny</w:t>
            </w:r>
            <w:r w:rsidR="00676F6D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zápal*, dysfágia, syndróm dráždivého čreva, gastrointestinálna porucha</w:t>
            </w:r>
            <w:r w:rsidR="008E3EF1" w:rsidRPr="008F7ACD">
              <w:rPr>
                <w:rFonts w:eastAsia="TimesNewRoman"/>
                <w:szCs w:val="22"/>
                <w:lang w:eastAsia="en-US"/>
              </w:rPr>
              <w:t xml:space="preserve"> NOS</w:t>
            </w:r>
            <w:r w:rsidRPr="008F7ACD">
              <w:rPr>
                <w:rFonts w:eastAsia="TimesNewRoman"/>
                <w:szCs w:val="22"/>
                <w:lang w:eastAsia="en-US"/>
              </w:rPr>
              <w:t>, povlak na</w:t>
            </w:r>
            <w:r w:rsidR="00C6294F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jazyku,</w:t>
            </w:r>
            <w:r w:rsidR="00676F6D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porucha gastrointestinálnej motility*, porucha slinnej žľazy*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B6377" w:rsidP="00FB6377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B6377" w:rsidP="0025013D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akútna pankreatitída, peritonitída*, opuch jazyka*, ascites,</w:t>
            </w:r>
            <w:r w:rsidR="00676F6D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ezofagitída, cheilitída, inkontinencia stolice, atónia análneho</w:t>
            </w:r>
            <w:r w:rsidR="00676F6D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sfinktera, fekalóm</w:t>
            </w:r>
            <w:r w:rsidR="0025013D" w:rsidRPr="008F7ACD">
              <w:rPr>
                <w:rFonts w:eastAsia="TimesNewRoman"/>
                <w:szCs w:val="22"/>
                <w:lang w:eastAsia="en-US"/>
              </w:rPr>
              <w:t>*</w:t>
            </w:r>
            <w:r w:rsidRPr="008F7ACD">
              <w:rPr>
                <w:rFonts w:eastAsia="TimesNewRoman"/>
                <w:szCs w:val="22"/>
                <w:lang w:eastAsia="en-US"/>
              </w:rPr>
              <w:t>, gastrointestinálna ulcerácia a</w:t>
            </w:r>
            <w:r w:rsidR="0025013D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perforácia*,</w:t>
            </w:r>
            <w:r w:rsidR="00676F6D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hypertrofia ďasien, megakolón, výtok z rekta, tvorba pľuzgierov</w:t>
            </w:r>
            <w:r w:rsidR="00676F6D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v ústach a hltane*, bolesť pery, periodontitída, povrchová trhlina</w:t>
            </w:r>
            <w:r w:rsidR="00676F6D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pri ritnom otvore, zmena činnosti čriev, proktalgia, abnormálna</w:t>
            </w:r>
            <w:r w:rsidR="00676F6D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stolica</w:t>
            </w:r>
            <w:r w:rsidR="00676F6D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676F6D" w:rsidP="00676F6D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pečene a žlčových ciest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676F6D" w:rsidP="00676F6D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676F6D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abnormalita pečeňového enzýmu*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Menej 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676F6D" w:rsidP="00676F6D">
            <w:pPr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hepatotoxicita (vrátane poruchy pečene), hepatitída*, cholestáza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B6377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676F6D" w:rsidP="00676F6D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zlyhanie pečene, hepatomegália, Buddov-Chiariho syndróm, cytomegalovírusová hepatitída, krvácanie pečene, cholelitiáza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676F6D" w:rsidP="00676F6D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kože a podkožného tkaniva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E664F" w:rsidP="00FE664F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E664F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vyrážka*, pruritus*, erytém, suchá koža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Menej časté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E664F" w:rsidP="00FE664F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multiformný erytém, urtikária, akútna febrilná neutrofilná dermatóza, toxická kožná erupcia, toxická epidermálna nekrolýza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#</w:t>
            </w:r>
            <w:r w:rsidRPr="008F7ACD">
              <w:rPr>
                <w:rFonts w:eastAsia="TimesNewRoman"/>
                <w:szCs w:val="22"/>
                <w:lang w:eastAsia="en-US"/>
              </w:rPr>
              <w:t>, Stevensov-Johnsonov syndróm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#</w:t>
            </w:r>
            <w:r w:rsidRPr="008F7ACD">
              <w:rPr>
                <w:rFonts w:eastAsia="TimesNewRoman"/>
                <w:szCs w:val="22"/>
                <w:lang w:eastAsia="en-US"/>
              </w:rPr>
              <w:t>, dermatitída*, ochorenie vlasov*, petechie, ekchymóza, kožné lézie, purpura, zdurenie kože*, psoriáza, hyperhidróza, nočné potenie, dekubitálny vred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#</w:t>
            </w:r>
            <w:r w:rsidRPr="008F7ACD">
              <w:rPr>
                <w:rFonts w:eastAsia="TimesNewRoman"/>
                <w:szCs w:val="22"/>
                <w:lang w:eastAsia="en-US"/>
              </w:rPr>
              <w:t>, akné*, pľuzgier*, porucha pigmentácie*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B6377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E664F" w:rsidP="008E3EF1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reakcia kože, Jessnerova lymfocytová infiltrácia, syndróm palmárno-plantárnej erytrodyzestézie, subkutánna hemorágia, retikulárne sčervenanie kože, stvrdnutie kože, papula, fotosenzitívna reakcia, seborea, studený pot, porucha</w:t>
            </w:r>
            <w:r w:rsidR="008E3EF1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="00A30ED5" w:rsidRPr="008F7ACD">
              <w:rPr>
                <w:rFonts w:eastAsia="TimesNewRoman"/>
                <w:szCs w:val="22"/>
                <w:lang w:eastAsia="en-US"/>
              </w:rPr>
              <w:t xml:space="preserve">kože </w:t>
            </w:r>
            <w:r w:rsidR="008E3EF1" w:rsidRPr="008F7ACD">
              <w:rPr>
                <w:rFonts w:eastAsia="TimesNewRoman"/>
                <w:szCs w:val="22"/>
                <w:lang w:eastAsia="en-US"/>
              </w:rPr>
              <w:t>NOS</w:t>
            </w:r>
            <w:r w:rsidRPr="008F7ACD">
              <w:rPr>
                <w:rFonts w:eastAsia="TimesNewRoman"/>
                <w:szCs w:val="22"/>
                <w:lang w:eastAsia="en-US"/>
              </w:rPr>
              <w:t>, erytróza, kožný vred, ochorenie nechtov</w:t>
            </w:r>
            <w:r w:rsidRPr="008F7ACD">
              <w:rPr>
                <w:color w:val="000000"/>
                <w:szCs w:val="22"/>
              </w:rPr>
              <w:t xml:space="preserve"> 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B1E19" w:rsidP="007B1E19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lastRenderedPageBreak/>
              <w:t>Poruchy kostrovej a svalovej sústavy a spojivového tkaniva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B1E19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Veľmi časté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B1E19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muskuloskeletálna bolesť*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B1E19" w:rsidP="007B1E19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B1E19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svalové spazmy*, bolesť končatín, svalová slabosť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Menej 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B1E19" w:rsidP="007B1E19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zášklby svalov, opuch kĺbov, artritída*, stuhnutie kĺbov, myopatie*, pocit ťažoby</w:t>
            </w:r>
            <w:r w:rsidRPr="008F7ACD">
              <w:rPr>
                <w:color w:val="000000"/>
                <w:szCs w:val="22"/>
              </w:rPr>
              <w:t xml:space="preserve"> 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FB6377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B1E19" w:rsidP="007B1E19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rabdomyolýza, syndróm temporomandibulárneho kĺbu, fistula, kĺbová efúzia, bolesť čeľuste, porucha kostí, infekcia a zápaly muskuloskeletálneho a spojivového tkaniva</w:t>
            </w:r>
            <w:r w:rsidR="0025013D" w:rsidRPr="008F7ACD">
              <w:rPr>
                <w:szCs w:val="22"/>
              </w:rPr>
              <w:t>*</w:t>
            </w:r>
            <w:r w:rsidRPr="008F7ACD">
              <w:rPr>
                <w:rFonts w:eastAsia="TimesNewRoman"/>
                <w:szCs w:val="22"/>
                <w:lang w:eastAsia="en-US"/>
              </w:rPr>
              <w:t>, synoviálna cysta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B1E19" w:rsidP="007B1E19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obličiek a močových ciest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B1E19" w:rsidP="007B1E19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B1E19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poškodenie obličiek*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50DB0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Menej časté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B1E19" w:rsidP="007B1E19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akútne zlyhanie obličiek, chronické zlyhanie obličiek*, infekcia močových ciest*, prejavy a príznaky močových ciest, hematúria*, retencia moču, porucha močenia*, proteinúria, azotémia, oligúria*, polakizúria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B1E19" w:rsidP="007B1E19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7B1E19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podráždenie močového mechúra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1B7BD1" w:rsidP="001B7BD1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reprodukčného systému a prsníkov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1B7BD1" w:rsidP="001B7BD1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Menej 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1B7BD1" w:rsidP="001B7BD1">
            <w:pPr>
              <w:ind w:left="-41" w:firstLine="41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vaginálna hemorágia, genitálna bolesť*, erektilná dysfunkcia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1B7BD1" w:rsidP="001B7BD1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1B7BD1" w:rsidP="001B7BD1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porucha seme</w:t>
            </w:r>
            <w:r w:rsidR="009F4832" w:rsidRPr="008F7ACD">
              <w:rPr>
                <w:rFonts w:eastAsia="TimesNewRoman"/>
                <w:szCs w:val="22"/>
                <w:lang w:eastAsia="en-US"/>
              </w:rPr>
              <w:t>n</w:t>
            </w:r>
            <w:r w:rsidRPr="008F7ACD">
              <w:rPr>
                <w:rFonts w:eastAsia="TimesNewRoman"/>
                <w:szCs w:val="22"/>
                <w:lang w:eastAsia="en-US"/>
              </w:rPr>
              <w:t>níkov*, prostatitída, porucha prsníkov u žien, citlivosť nadseme</w:t>
            </w:r>
            <w:r w:rsidR="009F4832" w:rsidRPr="008F7ACD">
              <w:rPr>
                <w:rFonts w:eastAsia="TimesNewRoman"/>
                <w:szCs w:val="22"/>
                <w:lang w:eastAsia="en-US"/>
              </w:rPr>
              <w:t>n</w:t>
            </w:r>
            <w:r w:rsidRPr="008F7ACD">
              <w:rPr>
                <w:rFonts w:eastAsia="TimesNewRoman"/>
                <w:szCs w:val="22"/>
                <w:lang w:eastAsia="en-US"/>
              </w:rPr>
              <w:t>níkov, epididymitída, bolesť panvy, ulcerácia vulvy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063713" w:rsidP="00063713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Vrodené, familiárne a genetické poruchy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063713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063713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aplázia, gastrointestinálne malformácie, ichtyóza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063713" w:rsidP="00063713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Celkové poruchy a reakcie v mieste podania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063713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V</w:t>
            </w:r>
            <w:r w:rsidR="00063713" w:rsidRPr="008F7ACD">
              <w:rPr>
                <w:color w:val="000000"/>
                <w:szCs w:val="22"/>
              </w:rPr>
              <w:t>eľmi časté</w:t>
            </w:r>
            <w:r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C2031C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pyrexia*, únava, asténia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063713" w:rsidP="00063713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C2031C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opuch (vrátane periférneho), zimnica, bolesť*, nevoľnosť*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063713" w:rsidP="00063713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Menej 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C2031C" w:rsidP="0025013D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zhoršenie celkového zdravotného stavu*, opuch tváre*, reakcia</w:t>
            </w:r>
            <w:r w:rsidR="00CA413E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v mieste podania injekcie*, porucha slizníc*, bolesť </w:t>
            </w:r>
            <w:r w:rsidR="00663E94" w:rsidRPr="008F7ACD">
              <w:rPr>
                <w:rFonts w:eastAsia="TimesNewRoman"/>
                <w:szCs w:val="22"/>
                <w:lang w:eastAsia="en-US"/>
              </w:rPr>
              <w:t>na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hrudi,</w:t>
            </w:r>
            <w:r w:rsidR="00CA413E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porucha </w:t>
            </w:r>
            <w:r w:rsidR="0025013D" w:rsidRPr="008F7ACD">
              <w:rPr>
                <w:rFonts w:eastAsia="TimesNewRoman"/>
                <w:szCs w:val="22"/>
                <w:lang w:eastAsia="en-US"/>
              </w:rPr>
              <w:t>chôdze</w:t>
            </w:r>
            <w:r w:rsidRPr="008F7ACD">
              <w:rPr>
                <w:rFonts w:eastAsia="TimesNewRoman"/>
                <w:szCs w:val="22"/>
                <w:lang w:eastAsia="en-US"/>
              </w:rPr>
              <w:t>, pocit chladu, extravazácia*, komplikácie</w:t>
            </w:r>
            <w:r w:rsidR="00CA413E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súvisiace s katétrom*, zmena v</w:t>
            </w:r>
            <w:r w:rsidR="0025013D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pociťovaní smädu*, hrudníkový</w:t>
            </w:r>
            <w:r w:rsidR="00CA413E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d</w:t>
            </w:r>
            <w:r w:rsidR="00517B98" w:rsidRPr="008F7ACD">
              <w:rPr>
                <w:rFonts w:eastAsia="TimesNewRoman"/>
                <w:szCs w:val="22"/>
                <w:lang w:eastAsia="en-US"/>
              </w:rPr>
              <w:t>i</w:t>
            </w:r>
            <w:r w:rsidRPr="008F7ACD">
              <w:rPr>
                <w:rFonts w:eastAsia="TimesNewRoman"/>
                <w:szCs w:val="22"/>
                <w:lang w:eastAsia="en-US"/>
              </w:rPr>
              <w:t>skomfort, pocit zmeny telesnej teploty*, bolesť v</w:t>
            </w:r>
            <w:r w:rsidR="00CA413E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mieste</w:t>
            </w:r>
            <w:r w:rsidR="00CA413E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podania injekcie*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063713" w:rsidP="00063713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CA413E" w:rsidP="00E83869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smrť (vrátane náhleho úmrtia), multiorgánové zlyhanie, krvácanie v mieste podania injekcie*, hernia (vrátane hiátovej)*, </w:t>
            </w:r>
            <w:r w:rsidR="00467503" w:rsidRPr="008F7ACD">
              <w:rPr>
                <w:rFonts w:eastAsia="TimesNewRoman"/>
                <w:szCs w:val="22"/>
                <w:lang w:eastAsia="en-US"/>
              </w:rPr>
              <w:t>zhoršené hojenie</w:t>
            </w:r>
            <w:r w:rsidRPr="008F7ACD">
              <w:rPr>
                <w:rFonts w:eastAsia="TimesNewRoman"/>
                <w:szCs w:val="22"/>
                <w:lang w:eastAsia="en-US"/>
              </w:rPr>
              <w:t>*, zápal, flebitída v mieste podania injekcie*, citlivosť, vred, podráždenosť, bolesť na</w:t>
            </w:r>
            <w:r w:rsidR="00C6294F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hrudi nesúvisiaca so srdcom, bolesť v mieste zavedenia katétra, pocit cudzieho tel</w:t>
            </w:r>
            <w:r w:rsidR="006440DA" w:rsidRPr="008F7ACD">
              <w:rPr>
                <w:rFonts w:eastAsia="TimesNewRoman"/>
                <w:szCs w:val="22"/>
                <w:lang w:eastAsia="en-US"/>
              </w:rPr>
              <w:t>esa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CA413E" w:rsidP="00CA413E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Laboratórne a funkčné vyšetrenia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CA413E" w:rsidP="00CA413E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CA413E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zníženie telesnej hmotnosti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CA413E" w:rsidP="00CA413E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Menej 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CA413E" w:rsidP="00CA413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hyperbilirubinémia*, abnormálne výsledky analýzy proteínov*, zvýšenie telesnej hmotnosti, abnormálne výsledky krvných testov*, zvýšenie C-reaktívneho proteínu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CA413E" w:rsidP="00CA413E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CA413E" w:rsidP="00E83869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abnormálna hladina plynov v krvi*, abnormality na</w:t>
            </w:r>
            <w:r w:rsidR="00C6294F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elektrokardiograme (vrátane predĺženia QT intervalu)*, abnormáln</w:t>
            </w:r>
            <w:r w:rsidR="00354FF5" w:rsidRPr="008F7ACD">
              <w:rPr>
                <w:rFonts w:eastAsia="TimesNewRoman"/>
                <w:szCs w:val="22"/>
                <w:lang w:eastAsia="en-US"/>
              </w:rPr>
              <w:t xml:space="preserve">a hodnota </w:t>
            </w:r>
            <w:r w:rsidR="006440DA" w:rsidRPr="008F7ACD">
              <w:rPr>
                <w:rFonts w:eastAsia="TimesNewRoman"/>
                <w:szCs w:val="22"/>
                <w:lang w:eastAsia="en-US"/>
              </w:rPr>
              <w:t>Medzinárodného normalizovaného pomeru</w:t>
            </w:r>
            <w:r w:rsidRPr="008F7ACD">
              <w:rPr>
                <w:rFonts w:eastAsia="TimesNewRoman"/>
                <w:szCs w:val="22"/>
                <w:lang w:eastAsia="en-US"/>
              </w:rPr>
              <w:t>*, zníženie pH</w:t>
            </w:r>
            <w:r w:rsidR="00AF587A" w:rsidRPr="008F7ACD">
              <w:rPr>
                <w:rFonts w:eastAsia="TimesNewRoman"/>
                <w:szCs w:val="22"/>
                <w:lang w:eastAsia="en-US"/>
              </w:rPr>
              <w:t xml:space="preserve"> v žalúdku</w:t>
            </w:r>
            <w:r w:rsidRPr="008F7ACD">
              <w:rPr>
                <w:rFonts w:eastAsia="TimesNewRoman"/>
                <w:szCs w:val="22"/>
                <w:lang w:eastAsia="en-US"/>
              </w:rPr>
              <w:t>, zvýšenie agregácie krvných doštičiek, zvýšenie troponínu I, identifikácia vírusu a sérológia*, abnormálne výsledky analýzy moču*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31D4F" w:rsidP="00231D4F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lastRenderedPageBreak/>
              <w:t>Úrazy, otravy a komplikácie liečebného postupu</w:t>
            </w:r>
            <w:r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31D4F" w:rsidP="00231D4F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Menej časté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31D4F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pád, pomliaždenie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31D4F" w:rsidP="00231D4F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31D4F" w:rsidP="00722C5A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reakcie na transfúziu, zlomeniny*, zimnica*, poranenie tváre, poranenie kĺbov*, popáleniny, lacerácia, procedurálna bolesť, poranenia žiarením*</w:t>
            </w:r>
            <w:r w:rsidRPr="008F7ACD">
              <w:rPr>
                <w:color w:val="000000"/>
                <w:szCs w:val="22"/>
              </w:rPr>
              <w:t xml:space="preserve"> 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31D4F" w:rsidP="00231D4F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Chirurgické a liečebné postupy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31D4F" w:rsidP="00231D4F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Zriedkavé</w:t>
            </w:r>
            <w:r w:rsidR="00531703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31D4F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aktivácia makrofág</w:t>
            </w:r>
            <w:r w:rsidR="006440DA" w:rsidRPr="008F7ACD">
              <w:rPr>
                <w:rFonts w:eastAsia="TimesNewRoman"/>
                <w:szCs w:val="22"/>
                <w:lang w:eastAsia="en-US"/>
              </w:rPr>
              <w:t>ov</w:t>
            </w:r>
          </w:p>
        </w:tc>
      </w:tr>
    </w:tbl>
    <w:p w:rsidR="00531703" w:rsidRPr="008F7ACD" w:rsidRDefault="00531703" w:rsidP="00531703">
      <w:pPr>
        <w:rPr>
          <w:color w:val="000000"/>
          <w:szCs w:val="22"/>
        </w:rPr>
      </w:pPr>
      <w:r w:rsidRPr="008F7ACD">
        <w:rPr>
          <w:color w:val="000000"/>
          <w:szCs w:val="22"/>
        </w:rPr>
        <w:t>NOS</w:t>
      </w:r>
      <w:r w:rsidR="008258AF" w:rsidRPr="008F7ACD">
        <w:rPr>
          <w:color w:val="000000"/>
          <w:szCs w:val="22"/>
        </w:rPr>
        <w:t xml:space="preserve"> </w:t>
      </w:r>
      <w:r w:rsidRPr="008F7ACD">
        <w:rPr>
          <w:color w:val="000000"/>
          <w:szCs w:val="22"/>
        </w:rPr>
        <w:t>=</w:t>
      </w:r>
      <w:r w:rsidR="008258AF" w:rsidRPr="008F7ACD">
        <w:rPr>
          <w:color w:val="000000"/>
          <w:szCs w:val="22"/>
        </w:rPr>
        <w:t xml:space="preserve"> </w:t>
      </w:r>
      <w:r w:rsidR="008E3EF1" w:rsidRPr="008F7ACD">
        <w:rPr>
          <w:color w:val="000000"/>
          <w:szCs w:val="22"/>
        </w:rPr>
        <w:t>bližšie nešpecifikované</w:t>
      </w:r>
    </w:p>
    <w:p w:rsidR="00231D4F" w:rsidRPr="008F7ACD" w:rsidRDefault="00231D4F" w:rsidP="00231D4F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* Predstavuje pojmy, ktoré zahŕňajú viac ako jeden uprednostňovaný názov MedDRA</w:t>
      </w:r>
    </w:p>
    <w:p w:rsidR="00743473" w:rsidRPr="008F7ACD" w:rsidRDefault="00231D4F" w:rsidP="00231D4F">
      <w:pPr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# </w:t>
      </w:r>
      <w:r w:rsidR="0003605E" w:rsidRPr="008F7ACD">
        <w:rPr>
          <w:rFonts w:eastAsia="TimesNewRoman"/>
          <w:szCs w:val="22"/>
          <w:lang w:eastAsia="en-US"/>
        </w:rPr>
        <w:t>H</w:t>
      </w:r>
      <w:r w:rsidRPr="008F7ACD">
        <w:rPr>
          <w:rFonts w:eastAsia="TimesNewRoman"/>
          <w:szCs w:val="22"/>
          <w:lang w:eastAsia="en-US"/>
        </w:rPr>
        <w:t>lásenia</w:t>
      </w:r>
      <w:r w:rsidR="0003605E" w:rsidRPr="008F7ACD">
        <w:rPr>
          <w:rFonts w:eastAsia="TimesNewRoman"/>
          <w:szCs w:val="22"/>
          <w:lang w:eastAsia="en-US"/>
        </w:rPr>
        <w:t xml:space="preserve"> po uvedené lieku na trh</w:t>
      </w:r>
      <w:r w:rsidR="00D27D3D">
        <w:rPr>
          <w:rFonts w:eastAsia="TimesNewRoman"/>
          <w:szCs w:val="22"/>
          <w:lang w:eastAsia="en-US"/>
        </w:rPr>
        <w:t xml:space="preserve"> bez ohľadu na indikáciu</w:t>
      </w:r>
    </w:p>
    <w:p w:rsidR="00231D4F" w:rsidRPr="008F7ACD" w:rsidRDefault="00231D4F" w:rsidP="00231D4F">
      <w:pPr>
        <w:ind w:left="0" w:firstLine="0"/>
        <w:rPr>
          <w:b/>
          <w:szCs w:val="22"/>
        </w:rPr>
      </w:pPr>
    </w:p>
    <w:p w:rsidR="00A76C79" w:rsidRPr="008F7ACD" w:rsidRDefault="00A76C79" w:rsidP="00A76C7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Lymfóm z plášťových buniek (MCL)</w:t>
      </w:r>
    </w:p>
    <w:p w:rsidR="00A76C79" w:rsidRPr="008F7ACD" w:rsidRDefault="00A76C79" w:rsidP="00A76C7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Bezpečnostný profil </w:t>
      </w:r>
      <w:r w:rsidR="009862AD" w:rsidRPr="008F7ACD">
        <w:rPr>
          <w:rFonts w:eastAsia="TimesNewRoman"/>
          <w:szCs w:val="22"/>
          <w:lang w:eastAsia="en-US"/>
        </w:rPr>
        <w:t>bortezomibu</w:t>
      </w:r>
      <w:r w:rsidRPr="008F7ACD">
        <w:rPr>
          <w:rFonts w:eastAsia="TimesNewRoman"/>
          <w:szCs w:val="22"/>
          <w:lang w:eastAsia="en-US"/>
        </w:rPr>
        <w:t xml:space="preserve"> u 240 pacientov s MCL liečených </w:t>
      </w:r>
      <w:r w:rsidR="009862AD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v dávke 1,3</w:t>
      </w:r>
      <w:r w:rsidR="009862A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="009862AD" w:rsidRPr="008F7ACD">
        <w:rPr>
          <w:rFonts w:eastAsia="TimesNewRoman"/>
          <w:szCs w:val="22"/>
          <w:vertAlign w:val="superscript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 kombinácii s rituximabom, cyklofosfamidom, doxorubicínom a prednizónom (</w:t>
      </w:r>
      <w:r w:rsidR="009862AD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R-CAP)</w:t>
      </w:r>
      <w:r w:rsidR="009862A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</w:t>
      </w:r>
      <w:r w:rsidR="00C2235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porovnaní s 242 pacientmi liečenými rituximabom, cyklofosfamidom, doxorubicínom, vinkristínom</w:t>
      </w:r>
      <w:r w:rsidR="009862A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a prednizónom [R-CHOP] bol relatívne zhodný s profilom pozorovaným u</w:t>
      </w:r>
      <w:r w:rsidR="009862A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pacientov</w:t>
      </w:r>
      <w:r w:rsidR="009862A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</w:t>
      </w:r>
      <w:r w:rsidR="00722C5A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mnohopočetným myelómom s hlavnými rozdielmi opísanými nižšie. Ďalšie nežiaduce reakcie na</w:t>
      </w:r>
      <w:r w:rsidR="00722C5A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lie</w:t>
      </w:r>
      <w:r w:rsidR="009862AD" w:rsidRPr="008F7ACD">
        <w:rPr>
          <w:rFonts w:eastAsia="TimesNewRoman"/>
          <w:szCs w:val="22"/>
          <w:lang w:eastAsia="en-US"/>
        </w:rPr>
        <w:t>čivo</w:t>
      </w:r>
      <w:r w:rsidRPr="008F7ACD">
        <w:rPr>
          <w:rFonts w:eastAsia="TimesNewRoman"/>
          <w:szCs w:val="22"/>
          <w:lang w:eastAsia="en-US"/>
        </w:rPr>
        <w:t xml:space="preserve"> identifikované ako súvisiace s použitím kombinovanej liečby (</w:t>
      </w:r>
      <w:r w:rsidR="009862AD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R-CAP) boli infekcia</w:t>
      </w:r>
      <w:r w:rsidR="009862A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hepatitídy B (&lt;</w:t>
      </w:r>
      <w:r w:rsidR="009862A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1</w:t>
      </w:r>
      <w:r w:rsidR="009862A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%) a ischémia myokardu (1,3</w:t>
      </w:r>
      <w:r w:rsidR="009862A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%). Podobné incidencie týchto prípadov v</w:t>
      </w:r>
      <w:r w:rsidR="009862A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oboch</w:t>
      </w:r>
      <w:r w:rsidR="009862A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liečených skupinách naznačili, že tieto nežiaduce reakcie na lie</w:t>
      </w:r>
      <w:r w:rsidR="009862AD" w:rsidRPr="008F7ACD">
        <w:rPr>
          <w:rFonts w:eastAsia="TimesNewRoman"/>
          <w:szCs w:val="22"/>
          <w:lang w:eastAsia="en-US"/>
        </w:rPr>
        <w:t xml:space="preserve">čivo </w:t>
      </w:r>
      <w:r w:rsidRPr="008F7ACD">
        <w:rPr>
          <w:rFonts w:eastAsia="TimesNewRoman"/>
          <w:szCs w:val="22"/>
          <w:lang w:eastAsia="en-US"/>
        </w:rPr>
        <w:t xml:space="preserve">nemožno pripísať samotnému </w:t>
      </w:r>
      <w:r w:rsidR="009862AD" w:rsidRPr="008F7ACD">
        <w:rPr>
          <w:rFonts w:eastAsia="TimesNewRoman"/>
          <w:szCs w:val="22"/>
          <w:lang w:eastAsia="en-US"/>
        </w:rPr>
        <w:t>bortezomibu</w:t>
      </w:r>
      <w:r w:rsidRPr="008F7ACD">
        <w:rPr>
          <w:rFonts w:eastAsia="TimesNewRoman"/>
          <w:szCs w:val="22"/>
          <w:lang w:eastAsia="en-US"/>
        </w:rPr>
        <w:t xml:space="preserve">. </w:t>
      </w:r>
      <w:r w:rsidR="00722C5A" w:rsidRPr="008F7ACD">
        <w:rPr>
          <w:rFonts w:eastAsia="TimesNewRoman"/>
          <w:szCs w:val="22"/>
          <w:lang w:eastAsia="en-US"/>
        </w:rPr>
        <w:t>Medzi v</w:t>
      </w:r>
      <w:r w:rsidRPr="008F7ACD">
        <w:rPr>
          <w:rFonts w:eastAsia="TimesNewRoman"/>
          <w:szCs w:val="22"/>
          <w:lang w:eastAsia="en-US"/>
        </w:rPr>
        <w:t>ýznamné rozdiely v populácii pacientov s MCL v porovnaní s pacientmi v</w:t>
      </w:r>
      <w:r w:rsidR="009862A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štúdiách</w:t>
      </w:r>
      <w:r w:rsidR="009862A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</w:t>
      </w:r>
      <w:r w:rsidR="00722C5A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mnohopočetným myelómom boli ≥</w:t>
      </w:r>
      <w:r w:rsidR="009862A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5</w:t>
      </w:r>
      <w:r w:rsidR="009862A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vyššia incidencia hematologických nežiaducich reakcií</w:t>
      </w:r>
      <w:r w:rsidR="009862A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(neutropénia, trombocytopénia, leukopénia, anémia, lymfopénia), periférna senzorická neuropatia,</w:t>
      </w:r>
      <w:r w:rsidR="009862A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hypertenzia, pyrexia, pneumónia, stomatitída a ochorenia vlasov.</w:t>
      </w:r>
    </w:p>
    <w:p w:rsidR="00057A09" w:rsidRPr="008F7ACD" w:rsidRDefault="00A76C79" w:rsidP="009862AD">
      <w:pPr>
        <w:autoSpaceDE w:val="0"/>
        <w:autoSpaceDN w:val="0"/>
        <w:adjustRightInd w:val="0"/>
        <w:ind w:left="0" w:firstLine="0"/>
        <w:rPr>
          <w:szCs w:val="22"/>
        </w:rPr>
      </w:pPr>
      <w:r w:rsidRPr="008F7ACD">
        <w:rPr>
          <w:rFonts w:eastAsia="TimesNewRoman"/>
          <w:szCs w:val="22"/>
          <w:lang w:eastAsia="en-US"/>
        </w:rPr>
        <w:t>Nežiaduce reakcie</w:t>
      </w:r>
      <w:r w:rsidR="009862AD" w:rsidRPr="008F7ACD">
        <w:rPr>
          <w:rFonts w:eastAsia="TimesNewRoman"/>
          <w:szCs w:val="22"/>
          <w:lang w:eastAsia="en-US"/>
        </w:rPr>
        <w:t xml:space="preserve"> na liečivo</w:t>
      </w:r>
      <w:r w:rsidRPr="008F7ACD">
        <w:rPr>
          <w:rFonts w:eastAsia="TimesNewRoman"/>
          <w:szCs w:val="22"/>
          <w:lang w:eastAsia="en-US"/>
        </w:rPr>
        <w:t xml:space="preserve"> identifikované ako tie s ≥</w:t>
      </w:r>
      <w:r w:rsidR="009862A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1</w:t>
      </w:r>
      <w:r w:rsidR="009862A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incidenciou, podobnou alebo vyššou</w:t>
      </w:r>
      <w:r w:rsidR="009862A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incidenciou v skupine </w:t>
      </w:r>
      <w:r w:rsidR="009862AD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R-CAP a s minimálne možným alebo pravdepodobným kauzálnym vzťahom</w:t>
      </w:r>
      <w:r w:rsidR="009862A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k</w:t>
      </w:r>
      <w:r w:rsidR="00C6294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zložkám použitým v skupine </w:t>
      </w:r>
      <w:r w:rsidR="009862AD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R-CAP, sú vymenované v tabuľke 8 nižšie. Zahrnuté sú tiež</w:t>
      </w:r>
      <w:r w:rsidR="009862A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nežiaduce reakcie na liek identifikované v skupine </w:t>
      </w:r>
      <w:r w:rsidR="009862AD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R-CAP, u ktorých sa skúšajúci na základe</w:t>
      </w:r>
      <w:r w:rsidR="009862A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historických údajov zo štúdií mnohopočetného myelómu domnievali, že majú minimálne možný alebo</w:t>
      </w:r>
      <w:r w:rsidR="009862A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pravdepodobný kauzálny vzťah k </w:t>
      </w:r>
      <w:r w:rsidR="009862AD" w:rsidRPr="008F7ACD">
        <w:rPr>
          <w:rFonts w:eastAsia="TimesNewRoman"/>
          <w:szCs w:val="22"/>
          <w:lang w:eastAsia="en-US"/>
        </w:rPr>
        <w:t>bortezomibu</w:t>
      </w:r>
      <w:r w:rsidRPr="008F7ACD">
        <w:rPr>
          <w:rFonts w:eastAsia="TimesNewRoman"/>
          <w:szCs w:val="22"/>
          <w:lang w:eastAsia="en-US"/>
        </w:rPr>
        <w:t>.</w:t>
      </w:r>
    </w:p>
    <w:p w:rsidR="00057A09" w:rsidRPr="008F7ACD" w:rsidRDefault="00057A09" w:rsidP="00C92B0B">
      <w:pPr>
        <w:ind w:left="0" w:firstLine="0"/>
        <w:rPr>
          <w:szCs w:val="22"/>
        </w:rPr>
      </w:pPr>
    </w:p>
    <w:p w:rsidR="00057A09" w:rsidRPr="008F7ACD" w:rsidRDefault="00A76C79" w:rsidP="003B7621">
      <w:pPr>
        <w:autoSpaceDE w:val="0"/>
        <w:autoSpaceDN w:val="0"/>
        <w:adjustRightInd w:val="0"/>
        <w:ind w:left="0" w:firstLine="0"/>
        <w:rPr>
          <w:szCs w:val="22"/>
        </w:rPr>
      </w:pPr>
      <w:r w:rsidRPr="008F7ACD">
        <w:rPr>
          <w:rFonts w:eastAsia="TimesNewRoman"/>
          <w:szCs w:val="22"/>
          <w:lang w:eastAsia="en-US"/>
        </w:rPr>
        <w:t>Nežiaduce reakcie sú uvedené nižšie podľa triedy orgánového systému a frekvencie výskytu.</w:t>
      </w:r>
      <w:r w:rsidR="003B762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Frekvencie sú definované ako: veľmi časté (≥</w:t>
      </w:r>
      <w:r w:rsidR="003B7621" w:rsidRPr="008F7ACD">
        <w:rPr>
          <w:rFonts w:eastAsia="TimesNewRoman"/>
          <w:szCs w:val="22"/>
          <w:lang w:eastAsia="en-US"/>
        </w:rPr>
        <w:t> 1/10); časté (≥ 1</w:t>
      </w:r>
      <w:r w:rsidRPr="008F7ACD">
        <w:rPr>
          <w:rFonts w:eastAsia="TimesNewRoman"/>
          <w:szCs w:val="22"/>
          <w:lang w:eastAsia="en-US"/>
        </w:rPr>
        <w:t>/100 až &lt;</w:t>
      </w:r>
      <w:r w:rsidR="003B762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1/10); menej časté (≥</w:t>
      </w:r>
      <w:r w:rsidR="003B762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1/1</w:t>
      </w:r>
      <w:r w:rsidR="003B762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000</w:t>
      </w:r>
      <w:r w:rsidR="003B762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až &lt;</w:t>
      </w:r>
      <w:r w:rsidR="003B762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1/100); zriedkavé (≥</w:t>
      </w:r>
      <w:r w:rsidR="003B762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1/10</w:t>
      </w:r>
      <w:r w:rsidR="003B762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000 až &lt;</w:t>
      </w:r>
      <w:r w:rsidR="003B762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1/1</w:t>
      </w:r>
      <w:r w:rsidR="003B762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000); veľmi zriedkavé (&lt;</w:t>
      </w:r>
      <w:r w:rsidR="003B762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1/10</w:t>
      </w:r>
      <w:r w:rsidR="003B762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000), neznáme</w:t>
      </w:r>
      <w:r w:rsidR="003B762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(z dostupných údajov). V rámci jednotlivých skupín frekvencií sú nežiaduce účinky usporiadané</w:t>
      </w:r>
      <w:r w:rsidR="003B762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</w:t>
      </w:r>
      <w:r w:rsidR="00C6294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poradí klesajúcej závažnosti. Tabuľka 8 bola vytvorená použitím verzie 16 MedDRA.</w:t>
      </w:r>
    </w:p>
    <w:p w:rsidR="00A76C79" w:rsidRPr="008F7ACD" w:rsidRDefault="00A76C79" w:rsidP="00C92B0B">
      <w:pPr>
        <w:ind w:left="0" w:firstLine="0"/>
        <w:rPr>
          <w:szCs w:val="22"/>
        </w:rPr>
      </w:pPr>
    </w:p>
    <w:p w:rsidR="00531703" w:rsidRPr="008F7ACD" w:rsidRDefault="00C505C9" w:rsidP="00531703">
      <w:pPr>
        <w:spacing w:after="150"/>
        <w:rPr>
          <w:color w:val="000000"/>
          <w:szCs w:val="22"/>
          <w:lang w:eastAsia="de-AT"/>
        </w:rPr>
      </w:pPr>
      <w:r w:rsidRPr="008F7ACD">
        <w:rPr>
          <w:rFonts w:eastAsia="TimesNewRoman,Italic"/>
          <w:i/>
          <w:iCs/>
          <w:szCs w:val="22"/>
          <w:lang w:eastAsia="en-US"/>
        </w:rPr>
        <w:t>Tabuľka 8: Nežiaduce reakcie u pacientov s lymfómom z plášťových buniek liečených s BR-CAP</w:t>
      </w:r>
      <w:r w:rsidR="00D27D3D">
        <w:rPr>
          <w:rFonts w:eastAsia="TimesNewRoman,Italic"/>
          <w:i/>
          <w:iCs/>
          <w:szCs w:val="22"/>
          <w:lang w:eastAsia="en-US"/>
        </w:rPr>
        <w:t xml:space="preserve"> v klinických skúšaniach</w:t>
      </w:r>
    </w:p>
    <w:tbl>
      <w:tblPr>
        <w:tblW w:w="89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09"/>
        <w:gridCol w:w="1865"/>
        <w:gridCol w:w="4002"/>
      </w:tblGrid>
      <w:tr w:rsidR="00531703" w:rsidRPr="008F7ACD" w:rsidTr="00026D02">
        <w:trPr>
          <w:tblCellSpacing w:w="0" w:type="dxa"/>
        </w:trPr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C505C9" w:rsidP="00C22352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Trieda orgánových systémov</w:t>
            </w:r>
            <w:r w:rsidR="00E05096" w:rsidRPr="008F7ACD">
              <w:rPr>
                <w:rFonts w:eastAsia="TimesNewRoman,Bold"/>
                <w:b/>
                <w:bCs/>
                <w:szCs w:val="22"/>
                <w:lang w:eastAsia="en-US"/>
              </w:rPr>
              <w:t xml:space="preserve"> 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C505C9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b/>
                <w:bCs/>
                <w:color w:val="000000"/>
                <w:szCs w:val="22"/>
                <w:lang w:eastAsia="de-AT"/>
              </w:rPr>
              <w:t>Incidenc</w:t>
            </w:r>
            <w:r w:rsidR="00C505C9" w:rsidRPr="008F7ACD">
              <w:rPr>
                <w:b/>
                <w:bCs/>
                <w:color w:val="000000"/>
                <w:szCs w:val="22"/>
                <w:lang w:eastAsia="de-AT"/>
              </w:rPr>
              <w:t>ia</w:t>
            </w:r>
            <w:r w:rsidRPr="008F7ACD">
              <w:rPr>
                <w:b/>
                <w:bCs/>
                <w:color w:val="000000"/>
                <w:szCs w:val="22"/>
                <w:lang w:eastAsia="de-AT"/>
              </w:rPr>
              <w:t xml:space="preserve"> 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C505C9" w:rsidP="00C505C9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b/>
                <w:bCs/>
                <w:color w:val="000000"/>
                <w:szCs w:val="22"/>
                <w:lang w:eastAsia="de-AT"/>
              </w:rPr>
              <w:t>Nežiaduca reakcia</w:t>
            </w:r>
            <w:r w:rsidR="00531703" w:rsidRPr="008F7ACD">
              <w:rPr>
                <w:b/>
                <w:bCs/>
                <w:color w:val="000000"/>
                <w:szCs w:val="22"/>
                <w:lang w:eastAsia="de-AT"/>
              </w:rPr>
              <w:t xml:space="preserve"> 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17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C505C9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Infekcie a nákazy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C505C9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Veľmi časté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C505C9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pneumónia*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  <w:lang w:eastAsia="de-AT"/>
              </w:rPr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C505C9" w:rsidP="00C505C9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Časté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C505C9" w:rsidP="00722C5A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sepsa (vrátane septického šoku)*, herpes zoster (vrátane diseminovaného a oftalmického), infekcia </w:t>
            </w:r>
            <w:r w:rsidR="00E52AA7" w:rsidRPr="008F7ACD">
              <w:rPr>
                <w:rFonts w:eastAsia="TimesNewRoman"/>
                <w:szCs w:val="22"/>
                <w:lang w:eastAsia="en-US"/>
              </w:rPr>
              <w:t>herpe</w:t>
            </w:r>
            <w:r w:rsidR="00722C5A" w:rsidRPr="008F7ACD">
              <w:rPr>
                <w:rFonts w:eastAsia="TimesNewRoman"/>
                <w:szCs w:val="22"/>
                <w:lang w:eastAsia="en-US"/>
              </w:rPr>
              <w:t>s</w:t>
            </w:r>
            <w:r w:rsidR="00E52AA7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vírusom*, bakteriálne infekcie*, infekcia horného/dolného dýchacieho traktu*, plesňová infekcia*, herpes simplex*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  <w:lang w:eastAsia="de-AT"/>
              </w:rPr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C505C9" w:rsidP="00C505C9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Menej časté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C505C9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hepatitída B, infekcia*, bronchopneumónia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17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B53EF2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krvi a lymfatického systému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B53EF2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Veľmi časté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B53EF2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trombocytopénia*, febrilná neutropénia, neutropénia*, leukopénia*, anémia*, lymfopénia*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  <w:lang w:eastAsia="de-AT"/>
              </w:rPr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Menej časté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pancytopénia*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17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B53EF2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lastRenderedPageBreak/>
              <w:t>Poruchy imunitného systému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B53EF2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Časté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hypersenzitivita*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  <w:lang w:eastAsia="de-AT"/>
              </w:rPr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Menej časté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anafylaktická reakcia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17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9B35A8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</w:rPr>
              <w:t>Poruchy metabolizmu a výživy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Veľmi časté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znížená chuť do jedla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  <w:lang w:eastAsia="de-AT"/>
              </w:rPr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Časté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B53EF2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hypokaliémia*, abnormálne hodnoty glukózy v krvi*, hyponatriémia*, diabetes mellitus*, zadržiavanie tekutín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  <w:lang w:eastAsia="de-AT"/>
              </w:rPr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Menej časté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syndróm </w:t>
            </w:r>
            <w:r w:rsidR="007137D2" w:rsidRPr="008F7ACD">
              <w:rPr>
                <w:rFonts w:eastAsia="TimesNewRoman"/>
                <w:szCs w:val="22"/>
                <w:lang w:eastAsia="en-US"/>
              </w:rPr>
              <w:t>z rozpadu nádoru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Psychické poruchy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Časté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a narušenia spánku*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17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B53EF2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nervového systému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B53EF2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Veľmi časté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B53EF2">
            <w:pPr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periférna senzorická neuropatia, dy</w:t>
            </w:r>
            <w:r w:rsidR="007B734A" w:rsidRPr="008F7ACD">
              <w:rPr>
                <w:rFonts w:eastAsia="TimesNewRoman"/>
                <w:szCs w:val="22"/>
                <w:lang w:eastAsia="en-US"/>
              </w:rPr>
              <w:t>z</w:t>
            </w:r>
            <w:r w:rsidRPr="008F7ACD">
              <w:rPr>
                <w:rFonts w:eastAsia="TimesNewRoman"/>
                <w:szCs w:val="22"/>
                <w:lang w:eastAsia="en-US"/>
              </w:rPr>
              <w:t>estézia*, neuralgia*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  <w:lang w:eastAsia="de-AT"/>
              </w:rPr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Časté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B53EF2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neuropatie*, motorická neuropatia*, strata vedomia (vrátane synkopy), encefalopatia*, periférna senzorimotorická neuropatia, </w:t>
            </w:r>
            <w:r w:rsidR="00915D40" w:rsidRPr="008F7ACD">
              <w:rPr>
                <w:rFonts w:eastAsia="TimesNewRoman"/>
                <w:szCs w:val="22"/>
                <w:lang w:eastAsia="en-US"/>
              </w:rPr>
              <w:t>závrat</w:t>
            </w:r>
            <w:r w:rsidRPr="008F7ACD">
              <w:rPr>
                <w:rFonts w:eastAsia="TimesNewRoman"/>
                <w:szCs w:val="22"/>
                <w:lang w:eastAsia="en-US"/>
              </w:rPr>
              <w:t>*, dysgeúzia*, autonómna neuropatia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  <w:lang w:eastAsia="de-AT"/>
              </w:rPr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Menej časté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B53EF2">
            <w:pPr>
              <w:ind w:left="-12" w:firstLine="12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nerovnováha autonómneho nervového systému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026D0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oka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Časté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026D0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abnormálne videnie*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17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D02" w:rsidRPr="008F7ACD" w:rsidRDefault="00026D02" w:rsidP="00026D02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ucha a</w:t>
            </w:r>
          </w:p>
          <w:p w:rsidR="00531703" w:rsidRPr="008F7ACD" w:rsidRDefault="00026D02" w:rsidP="00026D02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labyrintu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Časté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026D0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dysakúzia (vrátane tinnitu)*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  <w:lang w:eastAsia="de-AT"/>
              </w:rPr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Menej časté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026D02" w:rsidP="00026D02">
            <w:pPr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vertigo*, porucha sluchu (až do a vrátane hluchoty)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17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D02" w:rsidRPr="008F7ACD" w:rsidRDefault="00026D02" w:rsidP="00026D02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srdca</w:t>
            </w:r>
          </w:p>
          <w:p w:rsidR="00531703" w:rsidRPr="008F7ACD" w:rsidRDefault="00026D02" w:rsidP="00026D02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a srdcovej činnosti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Časté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026D02" w:rsidP="00026D02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srdcová fibrilácia (vrátane atriálnej), arytmia*, zlyhanie srdca (vrátane ľav</w:t>
            </w:r>
            <w:r w:rsidR="00222A57" w:rsidRPr="008F7ACD">
              <w:rPr>
                <w:rFonts w:eastAsia="TimesNewRoman"/>
                <w:szCs w:val="22"/>
                <w:lang w:eastAsia="en-US"/>
              </w:rPr>
              <w:t>ostranného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a prav</w:t>
            </w:r>
            <w:r w:rsidR="00222A57" w:rsidRPr="008F7ACD">
              <w:rPr>
                <w:rFonts w:eastAsia="TimesNewRoman"/>
                <w:szCs w:val="22"/>
                <w:lang w:eastAsia="en-US"/>
              </w:rPr>
              <w:t>ostranného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ventrikulárneho zlyhania)*, ischémia myokardu, ventrikulárna dysfunkcia*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  <w:lang w:eastAsia="de-AT"/>
              </w:rPr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Menej časté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026D02" w:rsidP="00026D02">
            <w:pPr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kardiovaskulárna porucha (vrátane kardiogénneho šoku)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026D0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ciev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Časté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026D02" w:rsidP="00026D02">
            <w:pPr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hypertenzia*, hypotenzia*, ortostatická hypotenzia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17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026D02" w:rsidP="00026D02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dýchacej sústavy, hrudníka a mediastína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Časté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026D0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dyspnoe*, kašeľ*, čkanie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  <w:lang w:eastAsia="de-AT"/>
              </w:rPr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Menej časté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026D02" w:rsidP="00722C5A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syndróm akútne</w:t>
            </w:r>
            <w:r w:rsidR="00722C5A" w:rsidRPr="008F7ACD">
              <w:rPr>
                <w:rFonts w:eastAsia="TimesNewRoman"/>
                <w:szCs w:val="22"/>
                <w:lang w:eastAsia="en-US"/>
              </w:rPr>
              <w:t>j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respiračn</w:t>
            </w:r>
            <w:r w:rsidR="00722C5A" w:rsidRPr="008F7ACD">
              <w:rPr>
                <w:rFonts w:eastAsia="TimesNewRoman"/>
                <w:szCs w:val="22"/>
                <w:lang w:eastAsia="en-US"/>
              </w:rPr>
              <w:t>ej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="00722C5A" w:rsidRPr="008F7ACD">
              <w:rPr>
                <w:rFonts w:eastAsia="TimesNewRoman"/>
                <w:szCs w:val="22"/>
                <w:lang w:eastAsia="en-US"/>
              </w:rPr>
              <w:t>tiesne</w:t>
            </w:r>
            <w:r w:rsidRPr="008F7ACD">
              <w:rPr>
                <w:rFonts w:eastAsia="TimesNewRoman"/>
                <w:szCs w:val="22"/>
                <w:lang w:eastAsia="en-US"/>
              </w:rPr>
              <w:t>, pľúcna embólia, pneumonitída, pľúcna hypertenzia, pľúcny edém (vrátane akútneho)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17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026D02" w:rsidP="00026D02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gastrointestinálneho traktu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A34D0F" w:rsidP="00A34D0F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Veľmi časté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A34D0F" w:rsidP="00A34D0F">
            <w:pPr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nauzea a príznaky vracania*, diarea*, stomatitída*, zápcha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  <w:lang w:eastAsia="de-AT"/>
              </w:rPr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A34D0F" w:rsidP="00A34D0F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Časté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A34D0F" w:rsidP="00A34D0F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gastrointestinálne krvácanie (vrátane krvácania zo slizníc)*, abdominálna distenzia, dyspepsia, orofaryngeálna bolesť*, gastritída*, ulcerácie v</w:t>
            </w:r>
            <w:r w:rsidR="001D6D78" w:rsidRPr="008F7ACD">
              <w:rPr>
                <w:rFonts w:eastAsia="TimesNewRoman"/>
                <w:szCs w:val="22"/>
                <w:lang w:eastAsia="en-US"/>
              </w:rPr>
              <w:t> </w:t>
            </w:r>
            <w:r w:rsidRPr="008F7ACD">
              <w:rPr>
                <w:rFonts w:eastAsia="TimesNewRoman"/>
                <w:szCs w:val="22"/>
                <w:lang w:eastAsia="en-US"/>
              </w:rPr>
              <w:t>úst</w:t>
            </w:r>
            <w:r w:rsidR="001D6D78" w:rsidRPr="008F7ACD">
              <w:rPr>
                <w:rFonts w:eastAsia="TimesNewRoman"/>
                <w:szCs w:val="22"/>
                <w:lang w:eastAsia="en-US"/>
              </w:rPr>
              <w:t>nej dutine</w:t>
            </w:r>
            <w:r w:rsidRPr="008F7ACD">
              <w:rPr>
                <w:rFonts w:eastAsia="TimesNewRoman"/>
                <w:szCs w:val="22"/>
                <w:lang w:eastAsia="en-US"/>
              </w:rPr>
              <w:t>*, abdominálny diskomfort, dysfágia, gastrointestinálny zápal*, abdominálna bolesť (vrátane gastrointestinálnej bolesti a bolesti sleziny)*, ochorenia úst</w:t>
            </w:r>
            <w:r w:rsidR="001D6D78" w:rsidRPr="008F7ACD">
              <w:rPr>
                <w:rFonts w:eastAsia="TimesNewRoman"/>
                <w:szCs w:val="22"/>
                <w:lang w:eastAsia="en-US"/>
              </w:rPr>
              <w:t>nej dutiny</w:t>
            </w:r>
            <w:r w:rsidRPr="008F7ACD">
              <w:rPr>
                <w:rFonts w:eastAsia="TimesNewRoman"/>
                <w:szCs w:val="22"/>
                <w:lang w:eastAsia="en-US"/>
              </w:rPr>
              <w:t>*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  <w:lang w:eastAsia="de-AT"/>
              </w:rPr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Menej časté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A34D0F" w:rsidP="00A34D0F">
            <w:pPr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kolitída (vrátane kolitídy </w:t>
            </w:r>
            <w:r w:rsidR="00DA4CBE" w:rsidRPr="008F7ACD">
              <w:rPr>
                <w:rFonts w:eastAsia="TimesNewRoman"/>
                <w:szCs w:val="22"/>
                <w:lang w:eastAsia="en-US"/>
              </w:rPr>
              <w:t xml:space="preserve">spôsobenej </w:t>
            </w:r>
            <w:r w:rsidRPr="008F7ACD">
              <w:rPr>
                <w:rFonts w:eastAsia="TimesNewRoman"/>
                <w:i/>
                <w:szCs w:val="22"/>
                <w:lang w:eastAsia="en-US"/>
              </w:rPr>
              <w:t>clostridium difficile</w:t>
            </w:r>
            <w:r w:rsidRPr="008F7ACD">
              <w:rPr>
                <w:rFonts w:eastAsia="TimesNewRoman"/>
                <w:szCs w:val="22"/>
                <w:lang w:eastAsia="en-US"/>
              </w:rPr>
              <w:t>)*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17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8451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pečene a žlčových ciest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8451E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Časté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hepatotoxicita (vrátane poruchy pečene)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  <w:lang w:eastAsia="de-AT"/>
              </w:rPr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B53EF2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Menej časté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zlyhanie pečene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17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8451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lastRenderedPageBreak/>
              <w:t>Poruchy kože a podkožného tkaniva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8451E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Veľmi časté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ochorenie vlasov*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  <w:lang w:eastAsia="de-AT"/>
              </w:rPr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8451E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Časté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pruritus*, dermatitída*, vyrážka*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8451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kostrovej a svalovej sústavy a spojivového tkaniva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Časté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8451E">
            <w:pPr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svalové spazmy*, muskuloskeletálna bolesť*, bolesť končatín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8451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Poruchy obličiek a močových ciest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Časté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infekcia močových ciest *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17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8451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Celkové poruchy a reakcie v mieste podania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8451E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Veľmi časté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pyrexia*, únava, asténia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  <w:lang w:eastAsia="de-AT"/>
              </w:rPr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Časté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8451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opuch (vrátane periférneho), zimnica, reakcia v mieste podania injekcie*, nevoľnosť*</w:t>
            </w:r>
          </w:p>
        </w:tc>
      </w:tr>
      <w:tr w:rsidR="00531703" w:rsidRPr="008F7ACD" w:rsidTr="00026D02">
        <w:trPr>
          <w:tblCellSpacing w:w="0" w:type="dxa"/>
        </w:trPr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8451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Laboratórne a funkčné vyšetrenia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Časté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8451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hyperbilirubinémia*, abnormálne výsledky analýzy proteínov*, zníženie telesnej hmotnosti, zvýšenie telesnej hmotnosti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28451E" w:rsidP="0020718A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* Predstavuje pojmy, ktoré zahŕňajú viac ako jeden uprednostňovaný názov MedDRA.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</w:tr>
    </w:tbl>
    <w:p w:rsidR="00531703" w:rsidRPr="008F7ACD" w:rsidRDefault="00531703" w:rsidP="00531703">
      <w:pPr>
        <w:rPr>
          <w:i/>
          <w:iCs/>
          <w:color w:val="000000"/>
          <w:szCs w:val="22"/>
          <w:u w:val="single"/>
        </w:rPr>
      </w:pPr>
    </w:p>
    <w:p w:rsidR="00D70C62" w:rsidRPr="008F7ACD" w:rsidRDefault="00D70C62" w:rsidP="00D70C62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Opis vybraných nežiaducich reakcií</w:t>
      </w:r>
    </w:p>
    <w:p w:rsidR="008258AF" w:rsidRPr="008F7ACD" w:rsidRDefault="008258AF" w:rsidP="00D70C62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</w:p>
    <w:p w:rsidR="00D70C62" w:rsidRPr="008F7ACD" w:rsidRDefault="00D70C62" w:rsidP="00D70C62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Reaktivácia vírusu herpes zoster</w:t>
      </w:r>
    </w:p>
    <w:p w:rsidR="00D70C62" w:rsidRPr="008F7ACD" w:rsidRDefault="00D70C62" w:rsidP="00D70C62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Mnohopočetný myelóm</w:t>
      </w:r>
    </w:p>
    <w:p w:rsidR="00D70C62" w:rsidRPr="008F7ACD" w:rsidRDefault="00D70C62" w:rsidP="00D70C62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de-AT"/>
        </w:rPr>
      </w:pPr>
      <w:r w:rsidRPr="008F7ACD">
        <w:rPr>
          <w:rFonts w:eastAsia="TimesNewRoman"/>
          <w:szCs w:val="22"/>
          <w:lang w:eastAsia="en-US"/>
        </w:rPr>
        <w:t xml:space="preserve">Antivírusová profylaxia bola podávaná 26 % pacientov v </w:t>
      </w:r>
      <w:r w:rsidR="005428B8" w:rsidRPr="008F7ACD">
        <w:rPr>
          <w:rFonts w:eastAsia="TimesNewRoman"/>
          <w:szCs w:val="22"/>
          <w:lang w:eastAsia="en-US"/>
        </w:rPr>
        <w:t>skupine</w:t>
      </w:r>
      <w:r w:rsidRPr="008F7ACD">
        <w:rPr>
          <w:rFonts w:eastAsia="TimesNewRoman"/>
          <w:szCs w:val="22"/>
          <w:lang w:eastAsia="en-US"/>
        </w:rPr>
        <w:t xml:space="preserve"> B+M+P. Incidencia herpes zoster v </w:t>
      </w:r>
      <w:r w:rsidR="005428B8" w:rsidRPr="008F7ACD">
        <w:rPr>
          <w:rFonts w:eastAsia="TimesNewRoman"/>
          <w:szCs w:val="22"/>
          <w:lang w:eastAsia="en-US"/>
        </w:rPr>
        <w:t>skupine</w:t>
      </w:r>
      <w:r w:rsidRPr="008F7ACD">
        <w:rPr>
          <w:rFonts w:eastAsia="TimesNewRoman"/>
          <w:szCs w:val="22"/>
          <w:lang w:eastAsia="en-US"/>
        </w:rPr>
        <w:t xml:space="preserve"> B+M+P bola 17 % u pacientov, ktorým nebola podávaná antivírusová profylaxia, v porovnaní s 3 % u pacientov, ktorým bola podávaná antivírusová profylaxia.</w:t>
      </w:r>
      <w:r w:rsidRPr="008F7ACD">
        <w:rPr>
          <w:color w:val="000000"/>
          <w:szCs w:val="22"/>
          <w:lang w:eastAsia="de-AT"/>
        </w:rPr>
        <w:t xml:space="preserve"> </w:t>
      </w:r>
    </w:p>
    <w:p w:rsidR="00CA7D95" w:rsidRPr="008F7ACD" w:rsidRDefault="00CA7D95" w:rsidP="00D70C62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de-AT"/>
        </w:rPr>
      </w:pPr>
    </w:p>
    <w:p w:rsidR="00D70C62" w:rsidRPr="008F7ACD" w:rsidRDefault="00D70C62" w:rsidP="00D70C62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Lymfóm z plášťových buniek</w:t>
      </w:r>
    </w:p>
    <w:p w:rsidR="00D70C62" w:rsidRPr="008F7ACD" w:rsidRDefault="00D70C62" w:rsidP="00D70C62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Antivírusová profylaxia bola pod</w:t>
      </w:r>
      <w:r w:rsidR="009C26D7" w:rsidRPr="008F7ACD">
        <w:rPr>
          <w:rFonts w:eastAsia="TimesNewRoman"/>
          <w:szCs w:val="22"/>
          <w:lang w:eastAsia="en-US"/>
        </w:rPr>
        <w:t>áva</w:t>
      </w:r>
      <w:r w:rsidRPr="008F7ACD">
        <w:rPr>
          <w:rFonts w:eastAsia="TimesNewRoman"/>
          <w:szCs w:val="22"/>
          <w:lang w:eastAsia="en-US"/>
        </w:rPr>
        <w:t>ná 137 z 240 pacientov (57 %) v skupine s BR-CAP. V skupine BR-CAP bola incidencia herpesu zoster 10,7 % u pacientov, ktorým nebola podávaná antivírusová profylaxia v porovnaní s 3,6 % u pacientov, ktorým bola podávaná antivírusová profylaxia (pozri časť 4.4).</w:t>
      </w:r>
    </w:p>
    <w:p w:rsidR="00D70C62" w:rsidRPr="008F7ACD" w:rsidRDefault="00D70C62" w:rsidP="00D70C62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D70C62" w:rsidRPr="008F7ACD" w:rsidRDefault="00D70C62" w:rsidP="00D70C62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Reaktivácia vírusu hepatitídy B (HBV) a infekcia</w:t>
      </w:r>
    </w:p>
    <w:p w:rsidR="00D70C62" w:rsidRPr="008F7ACD" w:rsidRDefault="00D70C62" w:rsidP="00D70C62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Lymfóm z plášťových buniek</w:t>
      </w:r>
    </w:p>
    <w:p w:rsidR="00531703" w:rsidRPr="008F7ACD" w:rsidRDefault="00D70C62" w:rsidP="00D70C62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Infekcia HBV so smrteľnými </w:t>
      </w:r>
      <w:r w:rsidR="00FE3E73" w:rsidRPr="008F7ACD">
        <w:rPr>
          <w:rFonts w:eastAsia="TimesNewRoman"/>
          <w:szCs w:val="22"/>
          <w:lang w:eastAsia="en-US"/>
        </w:rPr>
        <w:t>ná</w:t>
      </w:r>
      <w:r w:rsidRPr="008F7ACD">
        <w:rPr>
          <w:rFonts w:eastAsia="TimesNewRoman"/>
          <w:szCs w:val="22"/>
          <w:lang w:eastAsia="en-US"/>
        </w:rPr>
        <w:t>sledkami sa vyskytla u 0,8 % (n</w:t>
      </w:r>
      <w:r w:rsidR="00035C58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=</w:t>
      </w:r>
      <w:r w:rsidR="00035C58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2) pacientov v skupine neliečenej bortezomibom (rituximab, cyklofosfamid, doxorubicín, vinkristín a prednizón; R-CHOP) a</w:t>
      </w:r>
      <w:r w:rsidR="00CA7D95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u 0,4 % (n</w:t>
      </w:r>
      <w:r w:rsidR="008C6B1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=</w:t>
      </w:r>
      <w:r w:rsidR="008C6B1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1) pacientov dostávajúcich bortezomib v kombinácii s rituximabom, cyklofosfamidom, doxorubicínom a prednizónom (BR-CAP). Celková incidencia infekcií hepatitídy B bola u pacientov liečených s BR-CAP alebo s R-CHOP podobná (0,8 %</w:t>
      </w:r>
      <w:r w:rsidR="00CA7D95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oproti 1,2 %, v tomto poradí).</w:t>
      </w:r>
    </w:p>
    <w:p w:rsidR="00D70C62" w:rsidRPr="008F7ACD" w:rsidRDefault="00D70C62" w:rsidP="00D70C62">
      <w:pPr>
        <w:autoSpaceDE w:val="0"/>
        <w:autoSpaceDN w:val="0"/>
        <w:adjustRightInd w:val="0"/>
        <w:ind w:left="0" w:firstLine="0"/>
        <w:rPr>
          <w:i/>
          <w:iCs/>
          <w:color w:val="000000"/>
          <w:szCs w:val="22"/>
        </w:rPr>
      </w:pPr>
    </w:p>
    <w:p w:rsidR="00D70C62" w:rsidRPr="008F7ACD" w:rsidRDefault="00D70C62" w:rsidP="00D70C62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Periférna neuropatia v kombinovanej liečbe</w:t>
      </w:r>
    </w:p>
    <w:p w:rsidR="00D70C62" w:rsidRPr="008F7ACD" w:rsidRDefault="00D70C62" w:rsidP="00D70C62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Mnohopočetný myelóm</w:t>
      </w:r>
    </w:p>
    <w:p w:rsidR="00D70C62" w:rsidRPr="008F7ACD" w:rsidRDefault="00D70C62" w:rsidP="00D70C62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Incidencia periférnej neuropatie v </w:t>
      </w:r>
      <w:r w:rsidR="00CA7D95" w:rsidRPr="008F7ACD">
        <w:rPr>
          <w:rFonts w:eastAsia="TimesNewRoman"/>
          <w:szCs w:val="22"/>
          <w:lang w:eastAsia="en-US"/>
        </w:rPr>
        <w:t>skúšaniach</w:t>
      </w:r>
      <w:r w:rsidR="00466025" w:rsidRPr="008F7ACD">
        <w:rPr>
          <w:rFonts w:eastAsia="TimesNewRoman"/>
          <w:szCs w:val="22"/>
          <w:lang w:eastAsia="en-US"/>
        </w:rPr>
        <w:t xml:space="preserve"> s </w:t>
      </w:r>
      <w:r w:rsidRPr="008F7ACD">
        <w:rPr>
          <w:rFonts w:eastAsia="TimesNewRoman"/>
          <w:szCs w:val="22"/>
          <w:lang w:eastAsia="en-US"/>
        </w:rPr>
        <w:t>kombinovan</w:t>
      </w:r>
      <w:r w:rsidR="00466025" w:rsidRPr="008F7ACD">
        <w:rPr>
          <w:rFonts w:eastAsia="TimesNewRoman"/>
          <w:szCs w:val="22"/>
          <w:lang w:eastAsia="en-US"/>
        </w:rPr>
        <w:t>ou</w:t>
      </w:r>
      <w:r w:rsidRPr="008F7ACD">
        <w:rPr>
          <w:rFonts w:eastAsia="TimesNewRoman"/>
          <w:szCs w:val="22"/>
          <w:lang w:eastAsia="en-US"/>
        </w:rPr>
        <w:t xml:space="preserve"> liečb</w:t>
      </w:r>
      <w:r w:rsidR="00466025" w:rsidRPr="008F7ACD">
        <w:rPr>
          <w:rFonts w:eastAsia="TimesNewRoman"/>
          <w:szCs w:val="22"/>
          <w:lang w:eastAsia="en-US"/>
        </w:rPr>
        <w:t>ou</w:t>
      </w:r>
      <w:r w:rsidRPr="008F7ACD">
        <w:rPr>
          <w:rFonts w:eastAsia="TimesNewRoman"/>
          <w:szCs w:val="22"/>
          <w:lang w:eastAsia="en-US"/>
        </w:rPr>
        <w:t>, v ktorých bol bortezomib podávaný ako indukčná liečba v kombinácii s dexametazónom (štúdia IFM-2005-01)</w:t>
      </w:r>
      <w:r w:rsidR="001B1E32" w:rsidRPr="008F7ACD">
        <w:rPr>
          <w:rFonts w:eastAsia="TimesNewRoman"/>
          <w:szCs w:val="22"/>
          <w:lang w:eastAsia="en-US"/>
        </w:rPr>
        <w:t xml:space="preserve"> a </w:t>
      </w:r>
      <w:r w:rsidRPr="008F7ACD">
        <w:rPr>
          <w:rFonts w:eastAsia="TimesNewRoman"/>
          <w:szCs w:val="22"/>
          <w:lang w:eastAsia="en-US"/>
        </w:rPr>
        <w:t>dexametazónom-talidomidom (štúdia MMY-3010), sa uvádza v tabuľke nižšie:</w:t>
      </w:r>
    </w:p>
    <w:p w:rsidR="001B1E32" w:rsidRPr="008F7ACD" w:rsidRDefault="001B1E32" w:rsidP="00D70C62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</w:p>
    <w:p w:rsidR="00531703" w:rsidRPr="008F7ACD" w:rsidRDefault="00D70C62" w:rsidP="001B1E32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8F7ACD">
        <w:rPr>
          <w:rFonts w:eastAsia="TimesNewRoman,Italic"/>
          <w:i/>
          <w:iCs/>
          <w:szCs w:val="22"/>
          <w:lang w:eastAsia="en-US"/>
        </w:rPr>
        <w:t>Tabuľka 9: Incidencia periférnej neuropatie počas indukčnej liečby podľa toxicity a prerušenie</w:t>
      </w:r>
      <w:r w:rsidR="001B1E32" w:rsidRPr="008F7ACD">
        <w:rPr>
          <w:rFonts w:eastAsia="TimesNewRoman,Italic"/>
          <w:i/>
          <w:iCs/>
          <w:szCs w:val="22"/>
          <w:lang w:eastAsia="en-US"/>
        </w:rPr>
        <w:t xml:space="preserve"> </w:t>
      </w:r>
      <w:r w:rsidRPr="008F7ACD">
        <w:rPr>
          <w:rFonts w:eastAsia="TimesNewRoman,Italic"/>
          <w:i/>
          <w:iCs/>
          <w:szCs w:val="22"/>
          <w:lang w:eastAsia="en-US"/>
        </w:rPr>
        <w:t>liečby z dôvodu periférnej neuropatie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90"/>
        <w:gridCol w:w="1383"/>
        <w:gridCol w:w="1383"/>
        <w:gridCol w:w="1383"/>
        <w:gridCol w:w="1381"/>
      </w:tblGrid>
      <w:tr w:rsidR="00531703" w:rsidRPr="008F7ACD" w:rsidTr="001B1E32">
        <w:trPr>
          <w:tblCellSpacing w:w="0" w:type="dxa"/>
        </w:trPr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  <w:u w:val="single"/>
              </w:rPr>
              <w:t>IFM-2005-01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  <w:u w:val="single"/>
              </w:rPr>
              <w:t>MMY-3010</w:t>
            </w:r>
          </w:p>
        </w:tc>
      </w:tr>
      <w:tr w:rsidR="00531703" w:rsidRPr="008F7ACD" w:rsidTr="001B1E32">
        <w:trPr>
          <w:tblCellSpacing w:w="0" w:type="dxa"/>
        </w:trPr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VDDx</w:t>
            </w:r>
          </w:p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</w:t>
            </w:r>
            <w:r w:rsidR="001B1E32" w:rsidRPr="008F7ACD">
              <w:rPr>
                <w:color w:val="000000"/>
                <w:szCs w:val="22"/>
              </w:rPr>
              <w:t>n</w:t>
            </w:r>
            <w:r w:rsidR="00466025" w:rsidRPr="008F7ACD">
              <w:rPr>
                <w:color w:val="000000"/>
                <w:szCs w:val="22"/>
              </w:rPr>
              <w:t xml:space="preserve"> </w:t>
            </w:r>
            <w:r w:rsidRPr="008F7ACD">
              <w:rPr>
                <w:color w:val="000000"/>
                <w:szCs w:val="22"/>
              </w:rPr>
              <w:t>=</w:t>
            </w:r>
            <w:r w:rsidR="00466025" w:rsidRPr="008F7ACD">
              <w:rPr>
                <w:color w:val="000000"/>
                <w:szCs w:val="22"/>
              </w:rPr>
              <w:t xml:space="preserve"> </w:t>
            </w:r>
            <w:r w:rsidRPr="008F7ACD">
              <w:rPr>
                <w:color w:val="000000"/>
                <w:szCs w:val="22"/>
              </w:rPr>
              <w:t>239)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BDx</w:t>
            </w:r>
          </w:p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</w:t>
            </w:r>
            <w:r w:rsidR="001B1E32" w:rsidRPr="008F7ACD">
              <w:rPr>
                <w:color w:val="000000"/>
                <w:szCs w:val="22"/>
              </w:rPr>
              <w:t>n</w:t>
            </w:r>
            <w:r w:rsidR="00466025" w:rsidRPr="008F7ACD">
              <w:rPr>
                <w:color w:val="000000"/>
                <w:szCs w:val="22"/>
              </w:rPr>
              <w:t xml:space="preserve"> </w:t>
            </w:r>
            <w:r w:rsidRPr="008F7ACD">
              <w:rPr>
                <w:color w:val="000000"/>
                <w:szCs w:val="22"/>
              </w:rPr>
              <w:t>=</w:t>
            </w:r>
            <w:r w:rsidR="00466025" w:rsidRPr="008F7ACD">
              <w:rPr>
                <w:color w:val="000000"/>
                <w:szCs w:val="22"/>
              </w:rPr>
              <w:t xml:space="preserve"> </w:t>
            </w:r>
            <w:r w:rsidRPr="008F7ACD">
              <w:rPr>
                <w:color w:val="000000"/>
                <w:szCs w:val="22"/>
              </w:rPr>
              <w:t>239)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TDx</w:t>
            </w:r>
          </w:p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</w:t>
            </w:r>
            <w:r w:rsidR="001B1E32" w:rsidRPr="008F7ACD">
              <w:rPr>
                <w:color w:val="000000"/>
                <w:szCs w:val="22"/>
              </w:rPr>
              <w:t>n</w:t>
            </w:r>
            <w:r w:rsidR="00466025" w:rsidRPr="008F7ACD">
              <w:rPr>
                <w:color w:val="000000"/>
                <w:szCs w:val="22"/>
              </w:rPr>
              <w:t xml:space="preserve"> </w:t>
            </w:r>
            <w:r w:rsidRPr="008F7ACD">
              <w:rPr>
                <w:color w:val="000000"/>
                <w:szCs w:val="22"/>
              </w:rPr>
              <w:t>=</w:t>
            </w:r>
            <w:r w:rsidR="00466025" w:rsidRPr="008F7ACD">
              <w:rPr>
                <w:color w:val="000000"/>
                <w:szCs w:val="22"/>
              </w:rPr>
              <w:t xml:space="preserve"> </w:t>
            </w:r>
            <w:r w:rsidRPr="008F7ACD">
              <w:rPr>
                <w:color w:val="000000"/>
                <w:szCs w:val="22"/>
              </w:rPr>
              <w:t>126)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BTDx</w:t>
            </w:r>
          </w:p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</w:t>
            </w:r>
            <w:r w:rsidR="001B1E32" w:rsidRPr="008F7ACD">
              <w:rPr>
                <w:color w:val="000000"/>
                <w:szCs w:val="22"/>
              </w:rPr>
              <w:t>n</w:t>
            </w:r>
            <w:r w:rsidR="00466025" w:rsidRPr="008F7ACD">
              <w:rPr>
                <w:color w:val="000000"/>
                <w:szCs w:val="22"/>
              </w:rPr>
              <w:t xml:space="preserve"> </w:t>
            </w:r>
            <w:r w:rsidRPr="008F7ACD">
              <w:rPr>
                <w:color w:val="000000"/>
                <w:szCs w:val="22"/>
              </w:rPr>
              <w:t>=</w:t>
            </w:r>
            <w:r w:rsidR="00466025" w:rsidRPr="008F7ACD">
              <w:rPr>
                <w:color w:val="000000"/>
                <w:szCs w:val="22"/>
              </w:rPr>
              <w:t xml:space="preserve"> </w:t>
            </w:r>
            <w:r w:rsidRPr="008F7ACD">
              <w:rPr>
                <w:color w:val="000000"/>
                <w:szCs w:val="22"/>
              </w:rPr>
              <w:t>130)</w:t>
            </w:r>
          </w:p>
        </w:tc>
      </w:tr>
      <w:tr w:rsidR="00531703" w:rsidRPr="008F7ACD" w:rsidTr="001B1E32">
        <w:trPr>
          <w:tblCellSpacing w:w="0" w:type="dxa"/>
        </w:trPr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Incidenc</w:t>
            </w:r>
            <w:r w:rsidR="001B1E32" w:rsidRPr="008F7ACD">
              <w:rPr>
                <w:color w:val="000000"/>
                <w:szCs w:val="22"/>
              </w:rPr>
              <w:t>ia</w:t>
            </w:r>
            <w:r w:rsidRPr="008F7ACD">
              <w:rPr>
                <w:color w:val="000000"/>
                <w:szCs w:val="22"/>
              </w:rPr>
              <w:t xml:space="preserve"> PN (%)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</w:p>
        </w:tc>
      </w:tr>
      <w:tr w:rsidR="00531703" w:rsidRPr="008F7ACD" w:rsidTr="001B1E32">
        <w:trPr>
          <w:tblCellSpacing w:w="0" w:type="dxa"/>
        </w:trPr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084624" w:rsidP="001B1E32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Všetky stupn</w:t>
            </w:r>
            <w:r w:rsidR="001B1E32" w:rsidRPr="008F7ACD">
              <w:rPr>
                <w:color w:val="000000"/>
                <w:szCs w:val="22"/>
              </w:rPr>
              <w:t xml:space="preserve">e </w:t>
            </w:r>
            <w:r w:rsidR="00531703" w:rsidRPr="008F7ACD">
              <w:rPr>
                <w:color w:val="000000"/>
                <w:szCs w:val="22"/>
              </w:rPr>
              <w:t xml:space="preserve">PN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45</w:t>
            </w:r>
          </w:p>
        </w:tc>
      </w:tr>
      <w:tr w:rsidR="00531703" w:rsidRPr="008F7ACD" w:rsidTr="001B1E32">
        <w:trPr>
          <w:tblCellSpacing w:w="0" w:type="dxa"/>
        </w:trPr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1B1E32" w:rsidP="001B1E32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lastRenderedPageBreak/>
              <w:t xml:space="preserve">≥ 2. stupeň </w:t>
            </w:r>
            <w:r w:rsidR="00531703" w:rsidRPr="008F7ACD">
              <w:rPr>
                <w:color w:val="000000"/>
                <w:szCs w:val="22"/>
              </w:rPr>
              <w:t xml:space="preserve">PN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31</w:t>
            </w:r>
          </w:p>
        </w:tc>
      </w:tr>
      <w:tr w:rsidR="00531703" w:rsidRPr="008F7ACD" w:rsidTr="001B1E32">
        <w:trPr>
          <w:tblCellSpacing w:w="0" w:type="dxa"/>
        </w:trPr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1B1E32" w:rsidP="001B1E32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≥ 3. stupeň PN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&lt;</w:t>
            </w:r>
            <w:r w:rsidR="001B1E32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5</w:t>
            </w:r>
          </w:p>
        </w:tc>
      </w:tr>
      <w:tr w:rsidR="00531703" w:rsidRPr="008F7ACD" w:rsidTr="001B1E32">
        <w:trPr>
          <w:tblCellSpacing w:w="0" w:type="dxa"/>
        </w:trPr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1B1E32" w:rsidP="001B1E32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Prerušenie z dôvodu</w:t>
            </w:r>
            <w:r w:rsidR="00531703" w:rsidRPr="008F7ACD">
              <w:rPr>
                <w:color w:val="000000"/>
                <w:szCs w:val="22"/>
              </w:rPr>
              <w:t xml:space="preserve"> PN (%)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&lt;</w:t>
            </w:r>
            <w:r w:rsidR="001B1E32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5</w:t>
            </w:r>
          </w:p>
        </w:tc>
      </w:tr>
    </w:tbl>
    <w:p w:rsidR="001B1E32" w:rsidRPr="008F7ACD" w:rsidRDefault="001B1E32" w:rsidP="001B1E32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VDDx= vinkristín, doxorubicín, dexametazón; BDx = bortezomib, dexametazón; TDx = talidomid, dexametazón; BTDx = </w:t>
      </w:r>
      <w:r w:rsidR="00FA30D9" w:rsidRPr="008F7ACD">
        <w:rPr>
          <w:rFonts w:eastAsia="TimesNewRoman"/>
          <w:szCs w:val="22"/>
          <w:lang w:eastAsia="en-US"/>
        </w:rPr>
        <w:t>bortezomib</w:t>
      </w:r>
      <w:r w:rsidRPr="008F7ACD">
        <w:rPr>
          <w:rFonts w:eastAsia="TimesNewRoman"/>
          <w:szCs w:val="22"/>
          <w:lang w:eastAsia="en-US"/>
        </w:rPr>
        <w:t>, talidomid, dexametazón; PN = periférna neuropatia</w:t>
      </w:r>
    </w:p>
    <w:p w:rsidR="00531703" w:rsidRPr="008F7ACD" w:rsidRDefault="001B1E32" w:rsidP="001B1E32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8F7ACD">
        <w:rPr>
          <w:rFonts w:eastAsia="TimesNewRoman"/>
          <w:szCs w:val="22"/>
          <w:lang w:eastAsia="en-US"/>
        </w:rPr>
        <w:t>Poznámka: Periférna neuropatia zahŕňala uprednostňované pojmy: periférna neuropatia, periférna motorická neuropatia, periférna senzorická neuropatia a polyneuropatia.</w:t>
      </w:r>
      <w:r w:rsidR="00531703" w:rsidRPr="008F7ACD">
        <w:rPr>
          <w:color w:val="000000"/>
          <w:szCs w:val="22"/>
        </w:rPr>
        <w:t xml:space="preserve"> </w:t>
      </w:r>
    </w:p>
    <w:p w:rsidR="00531703" w:rsidRPr="008F7ACD" w:rsidRDefault="00531703" w:rsidP="00531703">
      <w:pPr>
        <w:rPr>
          <w:i/>
          <w:iCs/>
          <w:color w:val="000000"/>
          <w:szCs w:val="22"/>
        </w:rPr>
      </w:pPr>
    </w:p>
    <w:p w:rsidR="001B1E32" w:rsidRPr="008F7ACD" w:rsidRDefault="001B1E32" w:rsidP="001B1E32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Lymfóm z plášťových buniek</w:t>
      </w:r>
    </w:p>
    <w:p w:rsidR="001B1E32" w:rsidRPr="008F7ACD" w:rsidRDefault="001B1E32" w:rsidP="001B1E32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V tabuľke nižšie sa uvádza incidencia periférnej neuropatie </w:t>
      </w:r>
      <w:r w:rsidR="00361670" w:rsidRPr="008F7ACD">
        <w:rPr>
          <w:rFonts w:eastAsia="TimesNewRoman"/>
          <w:szCs w:val="22"/>
          <w:lang w:eastAsia="en-US"/>
        </w:rPr>
        <w:t>v štúdi</w:t>
      </w:r>
      <w:r w:rsidR="00CA7D95" w:rsidRPr="008F7ACD">
        <w:rPr>
          <w:rFonts w:eastAsia="TimesNewRoman"/>
          <w:szCs w:val="22"/>
          <w:lang w:eastAsia="en-US"/>
        </w:rPr>
        <w:t>i</w:t>
      </w:r>
      <w:r w:rsidR="00361670" w:rsidRPr="008F7ACD">
        <w:rPr>
          <w:rFonts w:eastAsia="TimesNewRoman"/>
          <w:szCs w:val="22"/>
          <w:lang w:eastAsia="en-US"/>
        </w:rPr>
        <w:t xml:space="preserve"> </w:t>
      </w:r>
      <w:r w:rsidR="00CA7D95" w:rsidRPr="008F7ACD">
        <w:rPr>
          <w:rFonts w:eastAsia="TimesNewRoman"/>
          <w:szCs w:val="22"/>
          <w:lang w:eastAsia="en-US"/>
        </w:rPr>
        <w:t xml:space="preserve">LYM-3002 </w:t>
      </w:r>
      <w:r w:rsidR="00361670" w:rsidRPr="008F7ACD">
        <w:rPr>
          <w:rFonts w:eastAsia="TimesNewRoman"/>
          <w:szCs w:val="22"/>
          <w:lang w:eastAsia="en-US"/>
        </w:rPr>
        <w:t xml:space="preserve">s </w:t>
      </w:r>
      <w:r w:rsidRPr="008F7ACD">
        <w:rPr>
          <w:rFonts w:eastAsia="TimesNewRoman"/>
          <w:szCs w:val="22"/>
          <w:lang w:eastAsia="en-US"/>
        </w:rPr>
        <w:t>kombinovan</w:t>
      </w:r>
      <w:r w:rsidR="00361670" w:rsidRPr="008F7ACD">
        <w:rPr>
          <w:rFonts w:eastAsia="TimesNewRoman"/>
          <w:szCs w:val="22"/>
          <w:lang w:eastAsia="en-US"/>
        </w:rPr>
        <w:t>ou</w:t>
      </w:r>
      <w:r w:rsidRPr="008F7ACD">
        <w:rPr>
          <w:rFonts w:eastAsia="TimesNewRoman"/>
          <w:szCs w:val="22"/>
          <w:lang w:eastAsia="en-US"/>
        </w:rPr>
        <w:t xml:space="preserve"> </w:t>
      </w:r>
      <w:r w:rsidR="00361670" w:rsidRPr="008F7ACD">
        <w:rPr>
          <w:rFonts w:eastAsia="TimesNewRoman"/>
          <w:szCs w:val="22"/>
          <w:lang w:eastAsia="en-US"/>
        </w:rPr>
        <w:t>liečbou</w:t>
      </w:r>
      <w:r w:rsidRPr="008F7ACD">
        <w:rPr>
          <w:rFonts w:eastAsia="TimesNewRoman"/>
          <w:szCs w:val="22"/>
          <w:lang w:eastAsia="en-US"/>
        </w:rPr>
        <w:t>, v ktorej sa bortezomib podával s rituximabom, cyklofosfamidom, doxorubicínom a</w:t>
      </w:r>
      <w:r w:rsidR="00C6294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prednizónom (R-CAP).</w:t>
      </w:r>
    </w:p>
    <w:p w:rsidR="001B1E32" w:rsidRPr="008F7ACD" w:rsidRDefault="001B1E32" w:rsidP="001B1E32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</w:p>
    <w:p w:rsidR="00531703" w:rsidRPr="008F7ACD" w:rsidRDefault="001B1E32" w:rsidP="001B1E32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de-AT"/>
        </w:rPr>
      </w:pPr>
      <w:r w:rsidRPr="008F7ACD">
        <w:rPr>
          <w:rFonts w:eastAsia="TimesNewRoman,Italic"/>
          <w:i/>
          <w:iCs/>
          <w:szCs w:val="22"/>
          <w:lang w:eastAsia="en-US"/>
        </w:rPr>
        <w:t>Tabuľka 10: Incidencia periférnej neuropatie v štúdii LYM-3002 podľa toxicity a prerušenie liečby z dôvodu periférnej neuropatie</w:t>
      </w:r>
    </w:p>
    <w:tbl>
      <w:tblPr>
        <w:tblW w:w="84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5"/>
        <w:gridCol w:w="3110"/>
        <w:gridCol w:w="1232"/>
      </w:tblGrid>
      <w:tr w:rsidR="00531703" w:rsidRPr="008F7ACD" w:rsidTr="0020718A">
        <w:trPr>
          <w:tblCellSpacing w:w="0" w:type="dxa"/>
        </w:trPr>
        <w:tc>
          <w:tcPr>
            <w:tcW w:w="2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20718A">
            <w:pPr>
              <w:rPr>
                <w:color w:val="000000"/>
                <w:szCs w:val="22"/>
                <w:lang w:eastAsia="de-AT"/>
              </w:rPr>
            </w:pPr>
          </w:p>
        </w:tc>
        <w:tc>
          <w:tcPr>
            <w:tcW w:w="1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BR-CAP</w:t>
            </w:r>
          </w:p>
          <w:p w:rsidR="00531703" w:rsidRPr="008F7ACD" w:rsidRDefault="00531703" w:rsidP="001B1E32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(</w:t>
            </w:r>
            <w:r w:rsidR="001B1E32" w:rsidRPr="008F7ACD">
              <w:rPr>
                <w:color w:val="000000"/>
                <w:szCs w:val="22"/>
                <w:lang w:eastAsia="de-AT"/>
              </w:rPr>
              <w:t>n</w:t>
            </w:r>
            <w:r w:rsidR="00A81DA0" w:rsidRPr="008F7ACD">
              <w:rPr>
                <w:color w:val="000000"/>
                <w:szCs w:val="22"/>
                <w:lang w:eastAsia="de-AT"/>
              </w:rPr>
              <w:t xml:space="preserve"> </w:t>
            </w:r>
            <w:r w:rsidRPr="008F7ACD">
              <w:rPr>
                <w:color w:val="000000"/>
                <w:szCs w:val="22"/>
                <w:lang w:eastAsia="de-AT"/>
              </w:rPr>
              <w:t>=</w:t>
            </w:r>
            <w:r w:rsidR="00A81DA0" w:rsidRPr="008F7ACD">
              <w:rPr>
                <w:color w:val="000000"/>
                <w:szCs w:val="22"/>
                <w:lang w:eastAsia="de-AT"/>
              </w:rPr>
              <w:t xml:space="preserve"> </w:t>
            </w:r>
            <w:r w:rsidRPr="008F7ACD">
              <w:rPr>
                <w:color w:val="000000"/>
                <w:szCs w:val="22"/>
                <w:lang w:eastAsia="de-AT"/>
              </w:rPr>
              <w:t>240)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R-CHOP</w:t>
            </w:r>
          </w:p>
          <w:p w:rsidR="00531703" w:rsidRPr="008F7ACD" w:rsidRDefault="00531703" w:rsidP="001B1E32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(</w:t>
            </w:r>
            <w:r w:rsidR="001B1E32" w:rsidRPr="008F7ACD">
              <w:rPr>
                <w:color w:val="000000"/>
                <w:szCs w:val="22"/>
                <w:lang w:eastAsia="de-AT"/>
              </w:rPr>
              <w:t>n</w:t>
            </w:r>
            <w:r w:rsidR="00A81DA0" w:rsidRPr="008F7ACD">
              <w:rPr>
                <w:color w:val="000000"/>
                <w:szCs w:val="22"/>
                <w:lang w:eastAsia="de-AT"/>
              </w:rPr>
              <w:t xml:space="preserve"> </w:t>
            </w:r>
            <w:r w:rsidRPr="008F7ACD">
              <w:rPr>
                <w:color w:val="000000"/>
                <w:szCs w:val="22"/>
                <w:lang w:eastAsia="de-AT"/>
              </w:rPr>
              <w:t>=</w:t>
            </w:r>
            <w:r w:rsidR="00A81DA0" w:rsidRPr="008F7ACD">
              <w:rPr>
                <w:color w:val="000000"/>
                <w:szCs w:val="22"/>
                <w:lang w:eastAsia="de-AT"/>
              </w:rPr>
              <w:t xml:space="preserve"> </w:t>
            </w:r>
            <w:r w:rsidRPr="008F7ACD">
              <w:rPr>
                <w:color w:val="000000"/>
                <w:szCs w:val="22"/>
                <w:lang w:eastAsia="de-AT"/>
              </w:rPr>
              <w:t>242)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2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Incidenc</w:t>
            </w:r>
            <w:r w:rsidR="001B1E32" w:rsidRPr="008F7ACD">
              <w:rPr>
                <w:color w:val="000000"/>
                <w:szCs w:val="22"/>
                <w:lang w:eastAsia="de-AT"/>
              </w:rPr>
              <w:t>ia</w:t>
            </w:r>
            <w:r w:rsidRPr="008F7ACD">
              <w:rPr>
                <w:color w:val="000000"/>
                <w:szCs w:val="22"/>
                <w:lang w:eastAsia="de-AT"/>
              </w:rPr>
              <w:t xml:space="preserve"> PN (%) </w:t>
            </w:r>
          </w:p>
        </w:tc>
        <w:tc>
          <w:tcPr>
            <w:tcW w:w="1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  <w:lang w:eastAsia="de-AT"/>
              </w:rPr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  <w:lang w:eastAsia="de-AT"/>
              </w:rPr>
            </w:pPr>
          </w:p>
        </w:tc>
      </w:tr>
      <w:tr w:rsidR="001B1E32" w:rsidRPr="008F7ACD" w:rsidTr="0020718A">
        <w:trPr>
          <w:tblCellSpacing w:w="0" w:type="dxa"/>
        </w:trPr>
        <w:tc>
          <w:tcPr>
            <w:tcW w:w="2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E32" w:rsidRPr="008F7ACD" w:rsidRDefault="001B1E32" w:rsidP="008D0973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Všetky stupňe PN </w:t>
            </w:r>
          </w:p>
        </w:tc>
        <w:tc>
          <w:tcPr>
            <w:tcW w:w="1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E32" w:rsidRPr="008F7ACD" w:rsidRDefault="001B1E32" w:rsidP="001B1E32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30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E32" w:rsidRPr="008F7ACD" w:rsidRDefault="001B1E32" w:rsidP="001B1E32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29</w:t>
            </w:r>
          </w:p>
        </w:tc>
      </w:tr>
      <w:tr w:rsidR="001B1E32" w:rsidRPr="008F7ACD" w:rsidTr="0020718A">
        <w:trPr>
          <w:tblCellSpacing w:w="0" w:type="dxa"/>
        </w:trPr>
        <w:tc>
          <w:tcPr>
            <w:tcW w:w="2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E32" w:rsidRPr="008F7ACD" w:rsidRDefault="001B1E32" w:rsidP="008D0973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≥ 2. stupeň PN </w:t>
            </w:r>
          </w:p>
        </w:tc>
        <w:tc>
          <w:tcPr>
            <w:tcW w:w="1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E32" w:rsidRPr="008F7ACD" w:rsidRDefault="001B1E32" w:rsidP="001B1E32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18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E32" w:rsidRPr="008F7ACD" w:rsidRDefault="001B1E32" w:rsidP="001B1E32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9</w:t>
            </w:r>
          </w:p>
        </w:tc>
      </w:tr>
      <w:tr w:rsidR="001B1E32" w:rsidRPr="008F7ACD" w:rsidTr="0020718A">
        <w:trPr>
          <w:tblCellSpacing w:w="0" w:type="dxa"/>
        </w:trPr>
        <w:tc>
          <w:tcPr>
            <w:tcW w:w="2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E32" w:rsidRPr="008F7ACD" w:rsidRDefault="001B1E32" w:rsidP="008D0973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≥ 3. stupeň PN</w:t>
            </w:r>
          </w:p>
        </w:tc>
        <w:tc>
          <w:tcPr>
            <w:tcW w:w="1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E32" w:rsidRPr="008F7ACD" w:rsidRDefault="001B1E32" w:rsidP="001B1E32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8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E32" w:rsidRPr="008F7ACD" w:rsidRDefault="001B1E32" w:rsidP="001B1E32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4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2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0C3699" w:rsidP="000C3699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</w:rPr>
              <w:t>Prerušenie z dôvodu PN (%)</w:t>
            </w:r>
            <w:r w:rsidR="00531703" w:rsidRPr="008F7ACD">
              <w:rPr>
                <w:color w:val="000000"/>
                <w:szCs w:val="22"/>
                <w:lang w:eastAsia="de-AT"/>
              </w:rPr>
              <w:t xml:space="preserve"> </w:t>
            </w:r>
          </w:p>
        </w:tc>
        <w:tc>
          <w:tcPr>
            <w:tcW w:w="1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1B1E32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2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703" w:rsidRPr="008F7ACD" w:rsidRDefault="00531703" w:rsidP="000C3699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&lt;</w:t>
            </w:r>
            <w:r w:rsidR="000C3699" w:rsidRPr="008F7ACD">
              <w:rPr>
                <w:color w:val="000000"/>
                <w:szCs w:val="22"/>
                <w:lang w:eastAsia="de-AT"/>
              </w:rPr>
              <w:t> </w:t>
            </w:r>
            <w:r w:rsidRPr="008F7ACD">
              <w:rPr>
                <w:color w:val="000000"/>
                <w:szCs w:val="22"/>
                <w:lang w:eastAsia="de-AT"/>
              </w:rPr>
              <w:t>1</w:t>
            </w:r>
          </w:p>
        </w:tc>
      </w:tr>
      <w:tr w:rsidR="00531703" w:rsidRPr="008F7ACD" w:rsidTr="0020718A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99" w:rsidRPr="008F7ACD" w:rsidRDefault="000C3699" w:rsidP="000C3699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BR-CAP</w:t>
            </w:r>
            <w:r w:rsidR="00F85DEF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=</w:t>
            </w:r>
            <w:r w:rsidR="00F85DEF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bortezomid, rituximab, cyklofosfamid, doxorubicín a prednizón; </w:t>
            </w:r>
          </w:p>
          <w:p w:rsidR="000C3699" w:rsidRPr="008F7ACD" w:rsidRDefault="000C3699" w:rsidP="000C3699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R-CHOP</w:t>
            </w:r>
            <w:r w:rsidR="00F85DEF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=</w:t>
            </w:r>
            <w:r w:rsidR="00F85DEF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rituximab, cyklofosfamid, doxorubicín, vinkristín a prednizón; </w:t>
            </w:r>
          </w:p>
          <w:p w:rsidR="000C3699" w:rsidRPr="008F7ACD" w:rsidRDefault="000C3699" w:rsidP="000C3699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PN = periférna neuropatia</w:t>
            </w:r>
          </w:p>
          <w:p w:rsidR="00531703" w:rsidRPr="008F7ACD" w:rsidRDefault="000C3699" w:rsidP="000C3699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Periférna neuropatia zahŕňala uprednostňované pojmy: periférna senzorická neuropatia, periférna neuropatia, periférna motorická neuropatia a periférna senzo</w:t>
            </w:r>
            <w:r w:rsidR="00A90FC3" w:rsidRPr="008F7ACD">
              <w:rPr>
                <w:rFonts w:eastAsia="TimesNewRoman"/>
                <w:szCs w:val="22"/>
                <w:lang w:eastAsia="en-US"/>
              </w:rPr>
              <w:t>ri</w:t>
            </w:r>
            <w:r w:rsidRPr="008F7ACD">
              <w:rPr>
                <w:rFonts w:eastAsia="TimesNewRoman"/>
                <w:szCs w:val="22"/>
                <w:lang w:eastAsia="en-US"/>
              </w:rPr>
              <w:t>motorická neuropatia.</w:t>
            </w:r>
          </w:p>
        </w:tc>
      </w:tr>
    </w:tbl>
    <w:p w:rsidR="000C3699" w:rsidRPr="008F7ACD" w:rsidRDefault="000C3699" w:rsidP="00531703">
      <w:pPr>
        <w:rPr>
          <w:i/>
          <w:iCs/>
          <w:color w:val="000000"/>
          <w:szCs w:val="22"/>
          <w:lang w:eastAsia="de-AT"/>
        </w:rPr>
      </w:pPr>
    </w:p>
    <w:p w:rsidR="000C3699" w:rsidRPr="008F7ACD" w:rsidRDefault="000C3699" w:rsidP="000C369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Starší pacienti s MCL</w:t>
      </w:r>
    </w:p>
    <w:p w:rsidR="000C3699" w:rsidRPr="008F7ACD" w:rsidRDefault="00A90FC3" w:rsidP="000C369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V skupine BR-CAP malo </w:t>
      </w:r>
      <w:r w:rsidR="000C3699" w:rsidRPr="008F7ACD">
        <w:rPr>
          <w:rFonts w:eastAsia="TimesNewRoman"/>
          <w:szCs w:val="22"/>
          <w:lang w:eastAsia="en-US"/>
        </w:rPr>
        <w:t>42,9 % pacientov vek v rozpätí 65</w:t>
      </w:r>
      <w:r w:rsidRPr="008F7ACD">
        <w:rPr>
          <w:rFonts w:eastAsia="TimesNewRoman"/>
          <w:szCs w:val="22"/>
          <w:lang w:eastAsia="en-US"/>
        </w:rPr>
        <w:t xml:space="preserve"> – </w:t>
      </w:r>
      <w:r w:rsidR="000C3699" w:rsidRPr="008F7ACD">
        <w:rPr>
          <w:rFonts w:eastAsia="TimesNewRoman"/>
          <w:szCs w:val="22"/>
          <w:lang w:eastAsia="en-US"/>
        </w:rPr>
        <w:t>74 rokov a 10,4 % pacientov malo ≥ 75 rokov. Napriek tomu, že pacienti vo veku ≥ 75 rokov menej tolerovali BR-CAP a R-CHOP, podiel závažných nežiaducich účinkov bol 68 % v skupine BR-CAP v porovnaní s 42 % v skupine R-CHOP.</w:t>
      </w:r>
    </w:p>
    <w:p w:rsidR="000C3699" w:rsidRPr="008F7ACD" w:rsidRDefault="000C3699" w:rsidP="000C3699">
      <w:pPr>
        <w:autoSpaceDE w:val="0"/>
        <w:autoSpaceDN w:val="0"/>
        <w:adjustRightInd w:val="0"/>
        <w:ind w:left="0" w:firstLine="0"/>
        <w:rPr>
          <w:rFonts w:eastAsia="TimesNewRoman,Italic"/>
          <w:szCs w:val="22"/>
          <w:lang w:eastAsia="en-US"/>
        </w:rPr>
      </w:pPr>
    </w:p>
    <w:p w:rsidR="000C3699" w:rsidRPr="008F7ACD" w:rsidRDefault="000C3699" w:rsidP="000C369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Významné rozdiely v bezpečnostnom profile bortezomibu podávanom subkutánne</w:t>
      </w:r>
      <w:r w:rsidR="006571D0" w:rsidRPr="008F7ACD">
        <w:rPr>
          <w:rFonts w:eastAsia="TimesNewRoman,Italic"/>
          <w:i/>
          <w:iCs/>
          <w:szCs w:val="22"/>
          <w:lang w:eastAsia="en-US"/>
        </w:rPr>
        <w:t xml:space="preserve"> v porovnaní</w:t>
      </w:r>
      <w:r w:rsidRPr="008F7ACD">
        <w:rPr>
          <w:rFonts w:eastAsia="TimesNewRoman,Italic"/>
          <w:i/>
          <w:iCs/>
          <w:szCs w:val="22"/>
          <w:lang w:eastAsia="en-US"/>
        </w:rPr>
        <w:t xml:space="preserve"> </w:t>
      </w:r>
      <w:r w:rsidR="00BB04DE" w:rsidRPr="008F7ACD">
        <w:rPr>
          <w:rFonts w:eastAsia="TimesNewRoman,Italic"/>
          <w:i/>
          <w:iCs/>
          <w:szCs w:val="22"/>
          <w:lang w:eastAsia="en-US"/>
        </w:rPr>
        <w:t>s</w:t>
      </w:r>
      <w:r w:rsidR="00A90FC3" w:rsidRPr="008F7ACD">
        <w:rPr>
          <w:rFonts w:eastAsia="TimesNewRoman,Italic"/>
          <w:i/>
          <w:iCs/>
          <w:szCs w:val="22"/>
          <w:lang w:eastAsia="en-US"/>
        </w:rPr>
        <w:t> </w:t>
      </w:r>
      <w:r w:rsidRPr="008F7ACD">
        <w:rPr>
          <w:rFonts w:eastAsia="TimesNewRoman,Italic"/>
          <w:i/>
          <w:iCs/>
          <w:szCs w:val="22"/>
          <w:lang w:eastAsia="en-US"/>
        </w:rPr>
        <w:t>intravenózn</w:t>
      </w:r>
      <w:r w:rsidR="00BB04DE" w:rsidRPr="008F7ACD">
        <w:rPr>
          <w:rFonts w:eastAsia="TimesNewRoman,Italic"/>
          <w:i/>
          <w:iCs/>
          <w:szCs w:val="22"/>
          <w:lang w:eastAsia="en-US"/>
        </w:rPr>
        <w:t>ym</w:t>
      </w:r>
      <w:r w:rsidRPr="008F7ACD">
        <w:rPr>
          <w:rFonts w:eastAsia="TimesNewRoman,Italic"/>
          <w:i/>
          <w:iCs/>
          <w:szCs w:val="22"/>
          <w:lang w:eastAsia="en-US"/>
        </w:rPr>
        <w:t xml:space="preserve"> podávan</w:t>
      </w:r>
      <w:r w:rsidR="00BB04DE" w:rsidRPr="008F7ACD">
        <w:rPr>
          <w:rFonts w:eastAsia="TimesNewRoman,Italic"/>
          <w:i/>
          <w:iCs/>
          <w:szCs w:val="22"/>
          <w:lang w:eastAsia="en-US"/>
        </w:rPr>
        <w:t>ím</w:t>
      </w:r>
      <w:r w:rsidRPr="008F7ACD">
        <w:rPr>
          <w:rFonts w:eastAsia="TimesNewRoman,Italic"/>
          <w:i/>
          <w:iCs/>
          <w:szCs w:val="22"/>
          <w:lang w:eastAsia="en-US"/>
        </w:rPr>
        <w:t xml:space="preserve"> v monoterapii</w:t>
      </w:r>
    </w:p>
    <w:p w:rsidR="00531703" w:rsidRPr="008F7ACD" w:rsidRDefault="000C3699" w:rsidP="000C369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V štúdii fázy III, pacienti, ktorí dostávali bortezomib subkutánne mali v porovnaní s intravenóznym podaním o 13 % nižšiu celkovú incidenciu nežiaducich reakcií vyplývajúcich z liečby, ktoré boli 3. alebo vyššieho stupňa toxicit</w:t>
      </w:r>
      <w:r w:rsidR="00BB5048" w:rsidRPr="008F7ACD">
        <w:rPr>
          <w:rFonts w:eastAsia="TimesNewRoman"/>
          <w:szCs w:val="22"/>
          <w:lang w:eastAsia="en-US"/>
        </w:rPr>
        <w:t>y</w:t>
      </w:r>
      <w:r w:rsidRPr="008F7ACD">
        <w:rPr>
          <w:rFonts w:eastAsia="TimesNewRoman"/>
          <w:szCs w:val="22"/>
          <w:lang w:eastAsia="en-US"/>
        </w:rPr>
        <w:t xml:space="preserve"> a o 5 % nižšiu incidenciu ukončenia liečby s bortezomibom. Celková incidencia diare</w:t>
      </w:r>
      <w:r w:rsidR="00A1590E" w:rsidRPr="008F7ACD">
        <w:rPr>
          <w:rFonts w:eastAsia="TimesNewRoman"/>
          <w:szCs w:val="22"/>
          <w:lang w:eastAsia="en-US"/>
        </w:rPr>
        <w:t>y</w:t>
      </w:r>
      <w:r w:rsidRPr="008F7ACD">
        <w:rPr>
          <w:rFonts w:eastAsia="TimesNewRoman"/>
          <w:szCs w:val="22"/>
          <w:lang w:eastAsia="en-US"/>
        </w:rPr>
        <w:t>, gastrointestinálnej alebo abdominálnej bolesti, asténie, infekcií horného dýchacieho traktu a periférnych neuropatií bola o 12 % - 15 % nižšia v skupine so</w:t>
      </w:r>
      <w:r w:rsidR="004E6B2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subkutánnym podaním v porovnaní so skupinou s intravenóznym podaním. Okrem toho bola v</w:t>
      </w:r>
      <w:r w:rsidR="004E6B2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skupine so subkutánnym podaním v porovnaní so skupinou s intravenóznym podaním o 10 % nižšia incidencia periférnych neuropatií 3. alebo vyššieho stupňa a o 8 % nižšia miera ukončenia liečby z</w:t>
      </w:r>
      <w:r w:rsidR="004E6B2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dôvodu periférnych neuropatií.</w:t>
      </w:r>
    </w:p>
    <w:p w:rsidR="000C3699" w:rsidRPr="008F7ACD" w:rsidRDefault="000C3699" w:rsidP="000C3699">
      <w:pPr>
        <w:autoSpaceDE w:val="0"/>
        <w:autoSpaceDN w:val="0"/>
        <w:adjustRightInd w:val="0"/>
        <w:ind w:left="0" w:firstLine="0"/>
        <w:rPr>
          <w:i/>
          <w:iCs/>
          <w:color w:val="000000"/>
          <w:szCs w:val="22"/>
        </w:rPr>
      </w:pPr>
    </w:p>
    <w:p w:rsidR="000C3699" w:rsidRPr="008F7ACD" w:rsidRDefault="000C3699" w:rsidP="000C3699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8F7ACD">
        <w:rPr>
          <w:rFonts w:eastAsia="TimesNewRoman"/>
          <w:color w:val="000000"/>
          <w:szCs w:val="22"/>
          <w:lang w:eastAsia="en-US"/>
        </w:rPr>
        <w:t xml:space="preserve">U šiestich percent pacientov boli hlásené prípady lokálnych nežiaducich reakcií na subkutánne podanie, prevažne začervenanie. Prípady odozneli v priemere za 6 dní, u </w:t>
      </w:r>
      <w:r w:rsidR="004E6B26" w:rsidRPr="008F7ACD">
        <w:rPr>
          <w:rFonts w:eastAsia="TimesNewRoman"/>
          <w:color w:val="000000"/>
          <w:szCs w:val="22"/>
          <w:lang w:eastAsia="en-US"/>
        </w:rPr>
        <w:t>dvoch</w:t>
      </w:r>
      <w:r w:rsidRPr="008F7ACD">
        <w:rPr>
          <w:rFonts w:eastAsia="TimesNewRoman"/>
          <w:color w:val="000000"/>
          <w:szCs w:val="22"/>
          <w:lang w:eastAsia="en-US"/>
        </w:rPr>
        <w:t xml:space="preserve"> pacientov bola potrebná úprava dávky. </w:t>
      </w:r>
      <w:r w:rsidR="004E6B26" w:rsidRPr="008F7ACD">
        <w:rPr>
          <w:rFonts w:eastAsia="TimesNewRoman"/>
          <w:color w:val="000000"/>
          <w:szCs w:val="22"/>
          <w:lang w:eastAsia="en-US"/>
        </w:rPr>
        <w:t>D</w:t>
      </w:r>
      <w:r w:rsidRPr="008F7ACD">
        <w:rPr>
          <w:rFonts w:eastAsia="TimesNewRoman"/>
          <w:color w:val="000000"/>
          <w:szCs w:val="22"/>
          <w:lang w:eastAsia="en-US"/>
        </w:rPr>
        <w:t>v</w:t>
      </w:r>
      <w:r w:rsidR="004E6B26" w:rsidRPr="008F7ACD">
        <w:rPr>
          <w:rFonts w:eastAsia="TimesNewRoman"/>
          <w:color w:val="000000"/>
          <w:szCs w:val="22"/>
          <w:lang w:eastAsia="en-US"/>
        </w:rPr>
        <w:t>aja</w:t>
      </w:r>
      <w:r w:rsidRPr="008F7ACD">
        <w:rPr>
          <w:rFonts w:eastAsia="TimesNewRoman"/>
          <w:color w:val="000000"/>
          <w:szCs w:val="22"/>
          <w:lang w:eastAsia="en-US"/>
        </w:rPr>
        <w:t xml:space="preserve"> (1 %) pacient</w:t>
      </w:r>
      <w:r w:rsidR="004E6B26" w:rsidRPr="008F7ACD">
        <w:rPr>
          <w:rFonts w:eastAsia="TimesNewRoman"/>
          <w:color w:val="000000"/>
          <w:szCs w:val="22"/>
          <w:lang w:eastAsia="en-US"/>
        </w:rPr>
        <w:t>i</w:t>
      </w:r>
      <w:r w:rsidRPr="008F7ACD">
        <w:rPr>
          <w:rFonts w:eastAsia="TimesNewRoman"/>
          <w:color w:val="000000"/>
          <w:szCs w:val="22"/>
          <w:lang w:eastAsia="en-US"/>
        </w:rPr>
        <w:t xml:space="preserve"> </w:t>
      </w:r>
      <w:r w:rsidR="004E6B26" w:rsidRPr="008F7ACD">
        <w:rPr>
          <w:rFonts w:eastAsia="TimesNewRoman"/>
          <w:color w:val="000000"/>
          <w:szCs w:val="22"/>
          <w:lang w:eastAsia="en-US"/>
        </w:rPr>
        <w:t>mali</w:t>
      </w:r>
      <w:r w:rsidRPr="008F7ACD">
        <w:rPr>
          <w:rFonts w:eastAsia="TimesNewRoman"/>
          <w:color w:val="000000"/>
          <w:szCs w:val="22"/>
          <w:lang w:eastAsia="en-US"/>
        </w:rPr>
        <w:t xml:space="preserve"> závažné reakcie; v</w:t>
      </w:r>
      <w:r w:rsidR="004E6B26" w:rsidRPr="008F7ACD">
        <w:rPr>
          <w:rFonts w:eastAsia="TimesNewRoman"/>
          <w:color w:val="000000"/>
          <w:szCs w:val="22"/>
          <w:lang w:eastAsia="en-US"/>
        </w:rPr>
        <w:t> </w:t>
      </w:r>
      <w:r w:rsidRPr="008F7ACD">
        <w:rPr>
          <w:rFonts w:eastAsia="TimesNewRoman"/>
          <w:color w:val="000000"/>
          <w:szCs w:val="22"/>
          <w:lang w:eastAsia="en-US"/>
        </w:rPr>
        <w:t>1</w:t>
      </w:r>
      <w:r w:rsidR="004E6B26" w:rsidRPr="008F7ACD">
        <w:rPr>
          <w:rFonts w:eastAsia="TimesNewRoman"/>
          <w:color w:val="000000"/>
          <w:szCs w:val="22"/>
          <w:lang w:eastAsia="en-US"/>
        </w:rPr>
        <w:t> </w:t>
      </w:r>
      <w:r w:rsidRPr="008F7ACD">
        <w:rPr>
          <w:rFonts w:eastAsia="TimesNewRoman"/>
          <w:color w:val="000000"/>
          <w:szCs w:val="22"/>
          <w:lang w:eastAsia="en-US"/>
        </w:rPr>
        <w:t>prípade pruritus a v 1 prípade začervenanie.</w:t>
      </w:r>
    </w:p>
    <w:p w:rsidR="000C3699" w:rsidRPr="008F7ACD" w:rsidRDefault="000C3699" w:rsidP="000C3699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</w:p>
    <w:p w:rsidR="000C3699" w:rsidRPr="008F7ACD" w:rsidRDefault="000C3699" w:rsidP="000C3699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8F7ACD">
        <w:rPr>
          <w:rFonts w:eastAsia="TimesNewRoman"/>
          <w:color w:val="000000"/>
          <w:szCs w:val="22"/>
          <w:lang w:eastAsia="en-US"/>
        </w:rPr>
        <w:lastRenderedPageBreak/>
        <w:t xml:space="preserve">Incidencia úmrtia </w:t>
      </w:r>
      <w:r w:rsidR="00821363" w:rsidRPr="008F7ACD">
        <w:rPr>
          <w:rFonts w:eastAsia="TimesNewRoman"/>
          <w:color w:val="000000"/>
          <w:szCs w:val="22"/>
          <w:lang w:eastAsia="en-US"/>
        </w:rPr>
        <w:t>počas</w:t>
      </w:r>
      <w:r w:rsidRPr="008F7ACD">
        <w:rPr>
          <w:rFonts w:eastAsia="TimesNewRoman"/>
          <w:color w:val="000000"/>
          <w:szCs w:val="22"/>
          <w:lang w:eastAsia="en-US"/>
        </w:rPr>
        <w:t xml:space="preserve"> liečb</w:t>
      </w:r>
      <w:r w:rsidR="00821363" w:rsidRPr="008F7ACD">
        <w:rPr>
          <w:rFonts w:eastAsia="TimesNewRoman"/>
          <w:color w:val="000000"/>
          <w:szCs w:val="22"/>
          <w:lang w:eastAsia="en-US"/>
        </w:rPr>
        <w:t>y</w:t>
      </w:r>
      <w:r w:rsidRPr="008F7ACD">
        <w:rPr>
          <w:rFonts w:eastAsia="TimesNewRoman"/>
          <w:color w:val="000000"/>
          <w:szCs w:val="22"/>
          <w:lang w:eastAsia="en-US"/>
        </w:rPr>
        <w:t xml:space="preserve"> bola 5 % v skupine so subkutánnym podaním a 7 % v skupine s</w:t>
      </w:r>
      <w:r w:rsidR="00C6294F" w:rsidRPr="008F7ACD">
        <w:rPr>
          <w:rFonts w:eastAsia="TimesNewRoman"/>
          <w:color w:val="000000"/>
          <w:szCs w:val="22"/>
          <w:lang w:eastAsia="en-US"/>
        </w:rPr>
        <w:t> </w:t>
      </w:r>
      <w:r w:rsidRPr="008F7ACD">
        <w:rPr>
          <w:rFonts w:eastAsia="TimesNewRoman"/>
          <w:color w:val="000000"/>
          <w:szCs w:val="22"/>
          <w:lang w:eastAsia="en-US"/>
        </w:rPr>
        <w:t xml:space="preserve">intravenóznym </w:t>
      </w:r>
      <w:r w:rsidR="008258AF" w:rsidRPr="008F7ACD">
        <w:rPr>
          <w:rFonts w:eastAsia="TimesNewRoman"/>
          <w:color w:val="000000"/>
          <w:szCs w:val="22"/>
          <w:lang w:eastAsia="en-US"/>
        </w:rPr>
        <w:t>podaním</w:t>
      </w:r>
      <w:r w:rsidRPr="008F7ACD">
        <w:rPr>
          <w:rFonts w:eastAsia="TimesNewRoman"/>
          <w:color w:val="000000"/>
          <w:szCs w:val="22"/>
          <w:lang w:eastAsia="en-US"/>
        </w:rPr>
        <w:t>. Úmrtnosť v dôsledku „progresie ochorenia“ bola 18 % v skupine so</w:t>
      </w:r>
      <w:r w:rsidR="00C6294F" w:rsidRPr="008F7ACD">
        <w:rPr>
          <w:rFonts w:eastAsia="TimesNewRoman"/>
          <w:color w:val="000000"/>
          <w:szCs w:val="22"/>
          <w:lang w:eastAsia="en-US"/>
        </w:rPr>
        <w:t> </w:t>
      </w:r>
      <w:r w:rsidRPr="008F7ACD">
        <w:rPr>
          <w:rFonts w:eastAsia="TimesNewRoman"/>
          <w:color w:val="000000"/>
          <w:szCs w:val="22"/>
          <w:lang w:eastAsia="en-US"/>
        </w:rPr>
        <w:t>subkutánnym podaním a 9 % v skupine s intravenóznym podaním.</w:t>
      </w:r>
    </w:p>
    <w:p w:rsidR="000C3699" w:rsidRPr="008F7ACD" w:rsidRDefault="000C3699" w:rsidP="000C3699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</w:p>
    <w:p w:rsidR="000C3699" w:rsidRPr="008F7ACD" w:rsidRDefault="000C3699" w:rsidP="000C369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color w:val="000000"/>
          <w:szCs w:val="22"/>
          <w:u w:val="single"/>
          <w:lang w:eastAsia="en-US"/>
        </w:rPr>
      </w:pPr>
      <w:r w:rsidRPr="008F7ACD">
        <w:rPr>
          <w:rFonts w:eastAsia="TimesNewRoman,Italic"/>
          <w:i/>
          <w:iCs/>
          <w:color w:val="000000"/>
          <w:szCs w:val="22"/>
          <w:u w:val="single"/>
          <w:lang w:eastAsia="en-US"/>
        </w:rPr>
        <w:t>Opakovaná liečba pacientov s relapsom mnohopočetného myelómu</w:t>
      </w:r>
    </w:p>
    <w:p w:rsidR="000C3699" w:rsidRPr="008F7ACD" w:rsidRDefault="000C3699" w:rsidP="000C3699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8F7ACD">
        <w:rPr>
          <w:rFonts w:eastAsia="TimesNewRoman"/>
          <w:color w:val="000000"/>
          <w:szCs w:val="22"/>
          <w:lang w:eastAsia="en-US"/>
        </w:rPr>
        <w:t xml:space="preserve">V štúdii, v ktorej sa opakovaná liečba </w:t>
      </w:r>
      <w:r w:rsidR="008D0973" w:rsidRPr="008F7ACD">
        <w:rPr>
          <w:rFonts w:eastAsia="TimesNewRoman"/>
          <w:color w:val="000000"/>
          <w:szCs w:val="22"/>
          <w:lang w:eastAsia="en-US"/>
        </w:rPr>
        <w:t xml:space="preserve">bortezomibom </w:t>
      </w:r>
      <w:r w:rsidRPr="008F7ACD">
        <w:rPr>
          <w:rFonts w:eastAsia="TimesNewRoman"/>
          <w:color w:val="000000"/>
          <w:szCs w:val="22"/>
          <w:lang w:eastAsia="en-US"/>
        </w:rPr>
        <w:t>podávala 130 pacientom s relapsom</w:t>
      </w:r>
      <w:r w:rsidR="008D0973" w:rsidRPr="008F7ACD">
        <w:rPr>
          <w:rFonts w:eastAsia="TimesNewRoman"/>
          <w:color w:val="000000"/>
          <w:szCs w:val="22"/>
          <w:lang w:eastAsia="en-US"/>
        </w:rPr>
        <w:t xml:space="preserve"> </w:t>
      </w:r>
      <w:r w:rsidRPr="008F7ACD">
        <w:rPr>
          <w:rFonts w:eastAsia="TimesNewRoman"/>
          <w:color w:val="000000"/>
          <w:szCs w:val="22"/>
          <w:lang w:eastAsia="en-US"/>
        </w:rPr>
        <w:t>mnohopočetného myelómu, ktorí predtým aspoň čiastočne odpovedali na liečbu obsahujúcu</w:t>
      </w:r>
      <w:r w:rsidR="008D0973" w:rsidRPr="008F7ACD">
        <w:rPr>
          <w:rFonts w:eastAsia="TimesNewRoman"/>
          <w:color w:val="000000"/>
          <w:szCs w:val="22"/>
          <w:lang w:eastAsia="en-US"/>
        </w:rPr>
        <w:t xml:space="preserve"> bortezomib</w:t>
      </w:r>
      <w:r w:rsidRPr="008F7ACD">
        <w:rPr>
          <w:rFonts w:eastAsia="TimesNewRoman"/>
          <w:color w:val="000000"/>
          <w:szCs w:val="22"/>
          <w:lang w:eastAsia="en-US"/>
        </w:rPr>
        <w:t xml:space="preserve">, boli najčastejšie nežiaduce </w:t>
      </w:r>
      <w:r w:rsidR="004E6B26" w:rsidRPr="008F7ACD">
        <w:rPr>
          <w:rFonts w:eastAsia="TimesNewRoman"/>
          <w:color w:val="000000"/>
          <w:szCs w:val="22"/>
          <w:lang w:eastAsia="en-US"/>
        </w:rPr>
        <w:t>udalosti</w:t>
      </w:r>
      <w:r w:rsidRPr="008F7ACD">
        <w:rPr>
          <w:rFonts w:eastAsia="TimesNewRoman"/>
          <w:color w:val="000000"/>
          <w:szCs w:val="22"/>
          <w:lang w:eastAsia="en-US"/>
        </w:rPr>
        <w:t xml:space="preserve"> všetkých stupňov vyskytujúce sa u minimálne 25</w:t>
      </w:r>
      <w:r w:rsidR="008D0973" w:rsidRPr="008F7ACD">
        <w:rPr>
          <w:rFonts w:eastAsia="TimesNewRoman"/>
          <w:color w:val="000000"/>
          <w:szCs w:val="22"/>
          <w:lang w:eastAsia="en-US"/>
        </w:rPr>
        <w:t> </w:t>
      </w:r>
      <w:r w:rsidRPr="008F7ACD">
        <w:rPr>
          <w:rFonts w:eastAsia="TimesNewRoman"/>
          <w:color w:val="000000"/>
          <w:szCs w:val="22"/>
          <w:lang w:eastAsia="en-US"/>
        </w:rPr>
        <w:t>%</w:t>
      </w:r>
      <w:r w:rsidR="008D0973" w:rsidRPr="008F7ACD">
        <w:rPr>
          <w:rFonts w:eastAsia="TimesNewRoman"/>
          <w:color w:val="000000"/>
          <w:szCs w:val="22"/>
          <w:lang w:eastAsia="en-US"/>
        </w:rPr>
        <w:t xml:space="preserve"> </w:t>
      </w:r>
      <w:r w:rsidRPr="008F7ACD">
        <w:rPr>
          <w:rFonts w:eastAsia="TimesNewRoman"/>
          <w:color w:val="000000"/>
          <w:szCs w:val="22"/>
          <w:lang w:eastAsia="en-US"/>
        </w:rPr>
        <w:t>pacientov trombocytopénia (55</w:t>
      </w:r>
      <w:r w:rsidR="008D0973" w:rsidRPr="008F7ACD">
        <w:rPr>
          <w:rFonts w:eastAsia="TimesNewRoman"/>
          <w:color w:val="000000"/>
          <w:szCs w:val="22"/>
          <w:lang w:eastAsia="en-US"/>
        </w:rPr>
        <w:t> </w:t>
      </w:r>
      <w:r w:rsidRPr="008F7ACD">
        <w:rPr>
          <w:rFonts w:eastAsia="TimesNewRoman"/>
          <w:color w:val="000000"/>
          <w:szCs w:val="22"/>
          <w:lang w:eastAsia="en-US"/>
        </w:rPr>
        <w:t>%), neuropatia (40</w:t>
      </w:r>
      <w:r w:rsidR="008D0973" w:rsidRPr="008F7ACD">
        <w:rPr>
          <w:rFonts w:eastAsia="TimesNewRoman"/>
          <w:color w:val="000000"/>
          <w:szCs w:val="22"/>
          <w:lang w:eastAsia="en-US"/>
        </w:rPr>
        <w:t> </w:t>
      </w:r>
      <w:r w:rsidRPr="008F7ACD">
        <w:rPr>
          <w:rFonts w:eastAsia="TimesNewRoman"/>
          <w:color w:val="000000"/>
          <w:szCs w:val="22"/>
          <w:lang w:eastAsia="en-US"/>
        </w:rPr>
        <w:t>%), anémia (37</w:t>
      </w:r>
      <w:r w:rsidR="008D0973" w:rsidRPr="008F7ACD">
        <w:rPr>
          <w:rFonts w:eastAsia="TimesNewRoman"/>
          <w:color w:val="000000"/>
          <w:szCs w:val="22"/>
          <w:lang w:eastAsia="en-US"/>
        </w:rPr>
        <w:t> </w:t>
      </w:r>
      <w:r w:rsidRPr="008F7ACD">
        <w:rPr>
          <w:rFonts w:eastAsia="TimesNewRoman"/>
          <w:color w:val="000000"/>
          <w:szCs w:val="22"/>
          <w:lang w:eastAsia="en-US"/>
        </w:rPr>
        <w:t>%), diarea (35</w:t>
      </w:r>
      <w:r w:rsidR="008D0973" w:rsidRPr="008F7ACD">
        <w:rPr>
          <w:rFonts w:eastAsia="TimesNewRoman"/>
          <w:color w:val="000000"/>
          <w:szCs w:val="22"/>
          <w:lang w:eastAsia="en-US"/>
        </w:rPr>
        <w:t> </w:t>
      </w:r>
      <w:r w:rsidRPr="008F7ACD">
        <w:rPr>
          <w:rFonts w:eastAsia="TimesNewRoman"/>
          <w:color w:val="000000"/>
          <w:szCs w:val="22"/>
          <w:lang w:eastAsia="en-US"/>
        </w:rPr>
        <w:t>%) a zápcha</w:t>
      </w:r>
      <w:r w:rsidR="008D0973" w:rsidRPr="008F7ACD">
        <w:rPr>
          <w:rFonts w:eastAsia="TimesNewRoman"/>
          <w:color w:val="000000"/>
          <w:szCs w:val="22"/>
          <w:lang w:eastAsia="en-US"/>
        </w:rPr>
        <w:t xml:space="preserve"> </w:t>
      </w:r>
      <w:r w:rsidRPr="008F7ACD">
        <w:rPr>
          <w:rFonts w:eastAsia="TimesNewRoman"/>
          <w:color w:val="000000"/>
          <w:szCs w:val="22"/>
          <w:lang w:eastAsia="en-US"/>
        </w:rPr>
        <w:t>(28</w:t>
      </w:r>
      <w:r w:rsidR="008D0973" w:rsidRPr="008F7ACD">
        <w:rPr>
          <w:rFonts w:eastAsia="TimesNewRoman"/>
          <w:color w:val="000000"/>
          <w:szCs w:val="22"/>
          <w:lang w:eastAsia="en-US"/>
        </w:rPr>
        <w:t> </w:t>
      </w:r>
      <w:r w:rsidRPr="008F7ACD">
        <w:rPr>
          <w:rFonts w:eastAsia="TimesNewRoman"/>
          <w:color w:val="000000"/>
          <w:szCs w:val="22"/>
          <w:lang w:eastAsia="en-US"/>
        </w:rPr>
        <w:t>%). U 40</w:t>
      </w:r>
      <w:r w:rsidR="009B2C13" w:rsidRPr="008F7ACD">
        <w:rPr>
          <w:rFonts w:eastAsia="TimesNewRoman"/>
          <w:color w:val="000000"/>
          <w:szCs w:val="22"/>
          <w:lang w:eastAsia="en-US"/>
        </w:rPr>
        <w:t> </w:t>
      </w:r>
      <w:r w:rsidRPr="008F7ACD">
        <w:rPr>
          <w:rFonts w:eastAsia="TimesNewRoman"/>
          <w:color w:val="000000"/>
          <w:szCs w:val="22"/>
          <w:lang w:eastAsia="en-US"/>
        </w:rPr>
        <w:t>% pacientov sa pozorovali všetky stupne periférnej neuropatie a periférna neuropatia ≥</w:t>
      </w:r>
      <w:r w:rsidR="009B2C13" w:rsidRPr="008F7ACD">
        <w:rPr>
          <w:rFonts w:eastAsia="TimesNewRoman"/>
          <w:color w:val="000000"/>
          <w:szCs w:val="22"/>
          <w:lang w:eastAsia="en-US"/>
        </w:rPr>
        <w:t> </w:t>
      </w:r>
      <w:r w:rsidRPr="008F7ACD">
        <w:rPr>
          <w:rFonts w:eastAsia="TimesNewRoman"/>
          <w:color w:val="000000"/>
          <w:szCs w:val="22"/>
          <w:lang w:eastAsia="en-US"/>
        </w:rPr>
        <w:t>3</w:t>
      </w:r>
      <w:r w:rsidR="009B2C13" w:rsidRPr="008F7ACD">
        <w:rPr>
          <w:rFonts w:eastAsia="TimesNewRoman"/>
          <w:color w:val="000000"/>
          <w:szCs w:val="22"/>
          <w:lang w:eastAsia="en-US"/>
        </w:rPr>
        <w:t>. </w:t>
      </w:r>
      <w:r w:rsidRPr="008F7ACD">
        <w:rPr>
          <w:rFonts w:eastAsia="TimesNewRoman"/>
          <w:color w:val="000000"/>
          <w:szCs w:val="22"/>
          <w:lang w:eastAsia="en-US"/>
        </w:rPr>
        <w:t>stupňa sa pozorovala u 8,5</w:t>
      </w:r>
      <w:r w:rsidR="009B2C13" w:rsidRPr="008F7ACD">
        <w:rPr>
          <w:rFonts w:eastAsia="TimesNewRoman"/>
          <w:color w:val="000000"/>
          <w:szCs w:val="22"/>
          <w:lang w:eastAsia="en-US"/>
        </w:rPr>
        <w:t> </w:t>
      </w:r>
      <w:r w:rsidRPr="008F7ACD">
        <w:rPr>
          <w:rFonts w:eastAsia="TimesNewRoman"/>
          <w:color w:val="000000"/>
          <w:szCs w:val="22"/>
          <w:lang w:eastAsia="en-US"/>
        </w:rPr>
        <w:t>% pacientov.</w:t>
      </w:r>
    </w:p>
    <w:p w:rsidR="009B2C13" w:rsidRPr="008F7ACD" w:rsidRDefault="009B2C13" w:rsidP="000C3699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</w:p>
    <w:p w:rsidR="008F7ACD" w:rsidRDefault="008F7ACD" w:rsidP="008F7A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u w:val="single"/>
        </w:rPr>
      </w:pPr>
      <w:r>
        <w:rPr>
          <w:u w:val="single"/>
        </w:rPr>
        <w:t>Hlásenie podozrení na nežiaduce reakcie</w:t>
      </w:r>
    </w:p>
    <w:p w:rsidR="00D27D3D" w:rsidRDefault="00D27D3D" w:rsidP="00D27D3D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Style w:val="Hypertextovprepojenie"/>
        </w:rPr>
      </w:pPr>
      <w: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hd w:val="clear" w:color="auto" w:fill="C0C0C0"/>
        </w:rPr>
        <w:t>národné centrum hlásenia uvedené v </w:t>
      </w:r>
      <w:hyperlink r:id="rId9" w:history="1">
        <w:r>
          <w:rPr>
            <w:rStyle w:val="Hypertextovprepojenie"/>
            <w:shd w:val="clear" w:color="auto" w:fill="C0C0C0"/>
          </w:rPr>
          <w:t>Prílohe V</w:t>
        </w:r>
      </w:hyperlink>
      <w:r>
        <w:rPr>
          <w:rStyle w:val="Hypertextovprepojenie"/>
        </w:rPr>
        <w:t>.</w:t>
      </w:r>
    </w:p>
    <w:p w:rsidR="00136F77" w:rsidRPr="008F7ACD" w:rsidRDefault="00136F77" w:rsidP="00C92B0B">
      <w:pPr>
        <w:rPr>
          <w:szCs w:val="22"/>
        </w:rPr>
      </w:pPr>
    </w:p>
    <w:p w:rsidR="00FF6BE0" w:rsidRPr="008F7ACD" w:rsidRDefault="00FF6BE0" w:rsidP="00C92B0B">
      <w:pPr>
        <w:rPr>
          <w:szCs w:val="22"/>
        </w:rPr>
      </w:pPr>
      <w:r w:rsidRPr="008F7ACD">
        <w:rPr>
          <w:b/>
          <w:szCs w:val="22"/>
        </w:rPr>
        <w:t>4.9</w:t>
      </w:r>
      <w:r w:rsidRPr="008F7ACD">
        <w:rPr>
          <w:b/>
          <w:szCs w:val="22"/>
        </w:rPr>
        <w:tab/>
        <w:t>Predávkovanie</w:t>
      </w:r>
    </w:p>
    <w:p w:rsidR="007873EC" w:rsidRPr="008F7ACD" w:rsidRDefault="007873EC" w:rsidP="00C92B0B">
      <w:pPr>
        <w:ind w:left="0" w:firstLine="0"/>
        <w:rPr>
          <w:szCs w:val="22"/>
          <w:u w:val="single"/>
        </w:rPr>
      </w:pPr>
    </w:p>
    <w:p w:rsidR="009B2C13" w:rsidRPr="008F7ACD" w:rsidRDefault="009B2C13" w:rsidP="009B2C1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U pacientov, predávkovanie viac ako dvojnásobnou odporúčanou dávkou bolo spojené s akútnym nástupom symptomatickej hypotenzie a trombocytopénie s fatálnymi následkami. Pre predklinické farmakologické štúdie kardiovaskulárnej bezpečnosti, pozri časť 5.3.</w:t>
      </w:r>
    </w:p>
    <w:p w:rsidR="009B2C13" w:rsidRPr="008F7ACD" w:rsidRDefault="009B2C13" w:rsidP="009B2C1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8764DA" w:rsidRPr="008F7ACD" w:rsidRDefault="009B2C13" w:rsidP="009B2C13">
      <w:pPr>
        <w:autoSpaceDE w:val="0"/>
        <w:autoSpaceDN w:val="0"/>
        <w:adjustRightInd w:val="0"/>
        <w:ind w:left="0" w:firstLine="0"/>
        <w:rPr>
          <w:szCs w:val="22"/>
        </w:rPr>
      </w:pPr>
      <w:r w:rsidRPr="008F7ACD">
        <w:rPr>
          <w:rFonts w:eastAsia="TimesNewRoman"/>
          <w:szCs w:val="22"/>
          <w:lang w:eastAsia="en-US"/>
        </w:rPr>
        <w:t>Pri predávkovaní bortezomibom nie je známe žiadne špecifické antidotum. V prípade predávkovania sa majú monitorovať životné funkcie pacientov a má im byť poskytnutá primeraná podporná starostlivosť na udržanie krvného tlaku (ako tekutiny, presoriká a/alebo inotropné látky) a telesnej teploty (pozri časti 4.2 a 4.4).</w:t>
      </w:r>
    </w:p>
    <w:p w:rsidR="00210401" w:rsidRPr="008F7ACD" w:rsidRDefault="00210401" w:rsidP="00C92B0B">
      <w:pPr>
        <w:ind w:left="0" w:firstLine="0"/>
        <w:rPr>
          <w:szCs w:val="22"/>
        </w:rPr>
      </w:pPr>
    </w:p>
    <w:p w:rsidR="009B2C13" w:rsidRPr="008F7ACD" w:rsidRDefault="009B2C13" w:rsidP="00C92B0B">
      <w:pPr>
        <w:ind w:left="0" w:firstLine="0"/>
        <w:rPr>
          <w:szCs w:val="22"/>
        </w:rPr>
      </w:pPr>
    </w:p>
    <w:p w:rsidR="00FF6BE0" w:rsidRPr="008F7ACD" w:rsidRDefault="00FF6BE0" w:rsidP="00C92B0B">
      <w:pPr>
        <w:rPr>
          <w:szCs w:val="22"/>
        </w:rPr>
      </w:pPr>
      <w:r w:rsidRPr="008F7ACD">
        <w:rPr>
          <w:b/>
          <w:szCs w:val="22"/>
        </w:rPr>
        <w:t>5.</w:t>
      </w:r>
      <w:r w:rsidRPr="008F7ACD">
        <w:rPr>
          <w:b/>
          <w:szCs w:val="22"/>
        </w:rPr>
        <w:tab/>
        <w:t>FARMAKOLOGICKÉ VLAST</w:t>
      </w:r>
      <w:smartTag w:uri="urn:schemas-microsoft-com:office:smarttags" w:element="PersonName">
        <w:r w:rsidRPr="008F7ACD">
          <w:rPr>
            <w:b/>
            <w:szCs w:val="22"/>
          </w:rPr>
          <w:t>NO</w:t>
        </w:r>
      </w:smartTag>
      <w:r w:rsidRPr="008F7ACD">
        <w:rPr>
          <w:b/>
          <w:szCs w:val="22"/>
        </w:rPr>
        <w:t>STI</w:t>
      </w:r>
    </w:p>
    <w:p w:rsidR="00FF6BE0" w:rsidRPr="008F7ACD" w:rsidRDefault="00FF6BE0" w:rsidP="00C92B0B">
      <w:pPr>
        <w:rPr>
          <w:bCs/>
          <w:szCs w:val="22"/>
        </w:rPr>
      </w:pPr>
    </w:p>
    <w:p w:rsidR="00FF6BE0" w:rsidRPr="008F7ACD" w:rsidRDefault="00FF6BE0" w:rsidP="00C92B0B">
      <w:pPr>
        <w:rPr>
          <w:szCs w:val="22"/>
        </w:rPr>
      </w:pPr>
      <w:r w:rsidRPr="008F7ACD">
        <w:rPr>
          <w:b/>
          <w:szCs w:val="22"/>
        </w:rPr>
        <w:t>5.1</w:t>
      </w:r>
      <w:r w:rsidRPr="008F7ACD">
        <w:rPr>
          <w:b/>
          <w:szCs w:val="22"/>
        </w:rPr>
        <w:tab/>
        <w:t>Farmakodynamické vlastnosti</w:t>
      </w:r>
    </w:p>
    <w:p w:rsidR="00FF6BE0" w:rsidRPr="008F7ACD" w:rsidRDefault="00FF6BE0" w:rsidP="00C92B0B">
      <w:pPr>
        <w:rPr>
          <w:szCs w:val="22"/>
        </w:rPr>
      </w:pPr>
    </w:p>
    <w:p w:rsidR="00615D7C" w:rsidRPr="008F7ACD" w:rsidRDefault="00615D7C" w:rsidP="00615D7C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Farmakoterapeutická skupina: </w:t>
      </w:r>
      <w:r w:rsidR="004E6B26" w:rsidRPr="008F7ACD">
        <w:rPr>
          <w:rFonts w:eastAsia="TimesNewRoman"/>
          <w:szCs w:val="22"/>
          <w:lang w:eastAsia="en-US"/>
        </w:rPr>
        <w:t>Cytostatiká</w:t>
      </w:r>
      <w:r w:rsidRPr="008F7ACD">
        <w:rPr>
          <w:rFonts w:eastAsia="TimesNewRoman"/>
          <w:szCs w:val="22"/>
          <w:lang w:eastAsia="en-US"/>
        </w:rPr>
        <w:t xml:space="preserve">, iné </w:t>
      </w:r>
      <w:r w:rsidR="004E6B26" w:rsidRPr="008F7ACD">
        <w:rPr>
          <w:rFonts w:eastAsia="TimesNewRoman"/>
          <w:szCs w:val="22"/>
          <w:lang w:eastAsia="en-US"/>
        </w:rPr>
        <w:t>cytostatiká</w:t>
      </w:r>
      <w:r w:rsidRPr="008F7ACD">
        <w:rPr>
          <w:rFonts w:eastAsia="TimesNewRoman"/>
          <w:szCs w:val="22"/>
          <w:lang w:eastAsia="en-US"/>
        </w:rPr>
        <w:t>, ATC kód: L01XX32.</w:t>
      </w:r>
    </w:p>
    <w:p w:rsidR="009B2C13" w:rsidRPr="008F7ACD" w:rsidRDefault="009B2C13" w:rsidP="00615D7C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615D7C" w:rsidRPr="008F7ACD" w:rsidRDefault="00615D7C" w:rsidP="00615D7C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Mechanizmus účinku</w:t>
      </w:r>
    </w:p>
    <w:p w:rsidR="00615D7C" w:rsidRPr="008F7ACD" w:rsidRDefault="00615D7C" w:rsidP="00615D7C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Bortezomib je proteazómový inhibítor. Je špeciálne vytvorený na inhibíciu chymotrypsínovej aktivity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proteazómu 26S v bunkách cicavcov. Proteazóm 26S je veľký proteínový komplex, ktorý degraduje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ubi</w:t>
      </w:r>
      <w:r w:rsidR="007F2A4A" w:rsidRPr="008F7ACD">
        <w:rPr>
          <w:rFonts w:eastAsia="TimesNewRoman"/>
          <w:szCs w:val="22"/>
          <w:lang w:eastAsia="en-US"/>
        </w:rPr>
        <w:t>kv</w:t>
      </w:r>
      <w:r w:rsidRPr="008F7ACD">
        <w:rPr>
          <w:rFonts w:eastAsia="TimesNewRoman"/>
          <w:szCs w:val="22"/>
          <w:lang w:eastAsia="en-US"/>
        </w:rPr>
        <w:t>itinované proteíny. Ubi</w:t>
      </w:r>
      <w:r w:rsidR="004D69AB" w:rsidRPr="008F7ACD">
        <w:rPr>
          <w:rFonts w:eastAsia="TimesNewRoman"/>
          <w:szCs w:val="22"/>
          <w:lang w:eastAsia="en-US"/>
        </w:rPr>
        <w:t>kv</w:t>
      </w:r>
      <w:r w:rsidRPr="008F7ACD">
        <w:rPr>
          <w:rFonts w:eastAsia="TimesNewRoman"/>
          <w:szCs w:val="22"/>
          <w:lang w:eastAsia="en-US"/>
        </w:rPr>
        <w:t>it</w:t>
      </w:r>
      <w:r w:rsidR="00821363" w:rsidRPr="008F7ACD">
        <w:rPr>
          <w:rFonts w:eastAsia="TimesNewRoman"/>
          <w:szCs w:val="22"/>
          <w:lang w:eastAsia="en-US"/>
        </w:rPr>
        <w:t>í</w:t>
      </w:r>
      <w:r w:rsidRPr="008F7ACD">
        <w:rPr>
          <w:rFonts w:eastAsia="TimesNewRoman"/>
          <w:szCs w:val="22"/>
          <w:lang w:eastAsia="en-US"/>
        </w:rPr>
        <w:t>n-proteazómová cesta hrá základnú úlohu pri riadení premeny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špecifických proteínov, čím sa udržuje homeostáza v bunkách. Inhibícia proteazómu 26S bráni tejto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cielenej proteolýze a ovplyvňuje mnohosignálové kaskády vo vnútri bunky, čo nakoniec vedie k</w:t>
      </w:r>
      <w:r w:rsidR="00682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smrti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nádorovej bunky.</w:t>
      </w:r>
    </w:p>
    <w:p w:rsidR="0068294C" w:rsidRPr="008F7ACD" w:rsidRDefault="0068294C" w:rsidP="00615D7C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615D7C" w:rsidRPr="008F7ACD" w:rsidRDefault="00615D7C" w:rsidP="00615D7C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Bortezomib je vysoko selektívny na proteazóm. V koncentráciách 10</w:t>
      </w:r>
      <w:r w:rsidR="00682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μ</w:t>
      </w:r>
      <w:r w:rsidR="004E6B26" w:rsidRPr="008F7ACD">
        <w:rPr>
          <w:rFonts w:eastAsia="TimesNewRoman"/>
          <w:szCs w:val="22"/>
          <w:lang w:eastAsia="en-US"/>
        </w:rPr>
        <w:t>M (µmol/l)</w:t>
      </w:r>
      <w:r w:rsidRPr="008F7ACD">
        <w:rPr>
          <w:rFonts w:eastAsia="TimesNewRoman"/>
          <w:szCs w:val="22"/>
          <w:lang w:eastAsia="en-US"/>
        </w:rPr>
        <w:t>, bortezomib neinhibuje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žiadny z veľkého množstva sledovaných receptorov a proteáz, a je viac ako 1</w:t>
      </w:r>
      <w:r w:rsidR="004E6B2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500-krát selektívnejší na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proteazóm ako na svoj ďalší cieľový enzým. Kinetika proteazómovej inhibície sa sledovala </w:t>
      </w:r>
      <w:r w:rsidRPr="008F7ACD">
        <w:rPr>
          <w:rFonts w:eastAsia="TimesNewRoman,Italic"/>
          <w:i/>
          <w:iCs/>
          <w:szCs w:val="22"/>
          <w:lang w:eastAsia="en-US"/>
        </w:rPr>
        <w:t>in vitro</w:t>
      </w:r>
      <w:r w:rsidR="0068294C" w:rsidRPr="008F7ACD">
        <w:rPr>
          <w:rFonts w:eastAsia="TimesNewRoman,Italic"/>
          <w:i/>
          <w:iCs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a</w:t>
      </w:r>
      <w:r w:rsidR="00682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ukázalo sa, že bortezomib sa uvoľňuje z proteazómu s polčasom (</w:t>
      </w:r>
      <w:r w:rsidR="0068294C" w:rsidRPr="008F7ACD">
        <w:rPr>
          <w:rFonts w:eastAsia="TimesNewRoman"/>
          <w:szCs w:val="22"/>
          <w:lang w:eastAsia="en-US"/>
        </w:rPr>
        <w:t>t</w:t>
      </w:r>
      <w:r w:rsidRPr="008F7ACD">
        <w:rPr>
          <w:rFonts w:eastAsia="TimesNewRoman"/>
          <w:szCs w:val="22"/>
          <w:vertAlign w:val="subscript"/>
          <w:lang w:eastAsia="en-US"/>
        </w:rPr>
        <w:t>1/2</w:t>
      </w:r>
      <w:r w:rsidRPr="008F7ACD">
        <w:rPr>
          <w:rFonts w:eastAsia="TimesNewRoman"/>
          <w:szCs w:val="22"/>
          <w:lang w:eastAsia="en-US"/>
        </w:rPr>
        <w:t>) 20 minút, čím sa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demonštrovala reverzibilita proteazómovej inhibície bortezomibom.</w:t>
      </w:r>
    </w:p>
    <w:p w:rsidR="0068294C" w:rsidRPr="008F7ACD" w:rsidRDefault="0068294C" w:rsidP="00615D7C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615D7C" w:rsidRPr="008F7ACD" w:rsidRDefault="00615D7C" w:rsidP="00615D7C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Bortezomibom sprostredkovaná proteazómová inhibícia ovplyvňuje nádorové bunky mnohými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spôsobmi, zahrňujúcimi okrem iného aj zmenu regulačných proteínov, ktoré kontrolujú pokračovanie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bunkového cyklu a aktiváciu nukleárneho faktora kappa B (NF-kB). Inhibícia proteazómu vedie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k</w:t>
      </w:r>
      <w:r w:rsidR="00682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zastaveniu bunkového cyklu a apoptóze. NF-kB je transkripčný faktor, ktorého aktivácia je potrebná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 mnohých aspektoch tumorogenézy, vrátane rastu a prežívania bunky, angiogenézy, medzibunkových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interakcií a tvorby metastáz. U myelómov bortezomib ovplyvňuje schopnosť myelómových buniek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interagovať s mikroprostredím kostnej drene.</w:t>
      </w:r>
    </w:p>
    <w:p w:rsidR="0068294C" w:rsidRPr="008F7ACD" w:rsidRDefault="0068294C" w:rsidP="00615D7C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615D7C" w:rsidRPr="008F7ACD" w:rsidRDefault="00615D7C" w:rsidP="00615D7C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Experimenty ukázali, že bortezomib je cytotoxický pre rôzne typy nádorových buniek a že nádorové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bunky sú citlivejšie na proapoptotické vplyvy proteazómovej inhibície ako zdravé bunky. Bortezomib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spôsobuje redukciu rastu tumoru </w:t>
      </w:r>
      <w:r w:rsidRPr="008F7ACD">
        <w:rPr>
          <w:rFonts w:eastAsia="TimesNewRoman,Italic"/>
          <w:i/>
          <w:iCs/>
          <w:szCs w:val="22"/>
          <w:lang w:eastAsia="en-US"/>
        </w:rPr>
        <w:t xml:space="preserve">in vivo </w:t>
      </w:r>
      <w:r w:rsidRPr="008F7ACD">
        <w:rPr>
          <w:rFonts w:eastAsia="TimesNewRoman"/>
          <w:szCs w:val="22"/>
          <w:lang w:eastAsia="en-US"/>
        </w:rPr>
        <w:t>v mnohých predklinických modeloch tumorov vrátane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mnohopočetného myelómu.</w:t>
      </w:r>
    </w:p>
    <w:p w:rsidR="0068294C" w:rsidRPr="008F7ACD" w:rsidRDefault="0068294C" w:rsidP="00615D7C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1829AF" w:rsidRPr="008F7ACD" w:rsidRDefault="00615D7C" w:rsidP="0068294C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Údaje z modelov </w:t>
      </w:r>
      <w:r w:rsidRPr="008F7ACD">
        <w:rPr>
          <w:rFonts w:eastAsia="TimesNewRoman,Italic"/>
          <w:i/>
          <w:iCs/>
          <w:szCs w:val="22"/>
          <w:lang w:eastAsia="en-US"/>
        </w:rPr>
        <w:t xml:space="preserve">in vitro, ex-vivo </w:t>
      </w:r>
      <w:r w:rsidRPr="008F7ACD">
        <w:rPr>
          <w:rFonts w:eastAsia="TimesNewRoman"/>
          <w:szCs w:val="22"/>
          <w:lang w:eastAsia="en-US"/>
        </w:rPr>
        <w:t>a modelov zvierat s bortezomibom potvrdzujú, že bortezomib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zvyšuje diferenciáciu a aktivitu osteoblastov a inhibuje funkciu osteoklastov. Tieto účinky boli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pozorované u pacientov s mnohopočetným myelómom liečených bortezomibom</w:t>
      </w:r>
      <w:r w:rsidR="004E6B26" w:rsidRPr="008F7ACD">
        <w:rPr>
          <w:rFonts w:eastAsia="TimesNewRoman"/>
          <w:szCs w:val="22"/>
          <w:lang w:eastAsia="en-US"/>
        </w:rPr>
        <w:t xml:space="preserve"> s </w:t>
      </w:r>
      <w:r w:rsidRPr="008F7ACD">
        <w:rPr>
          <w:rFonts w:eastAsia="TimesNewRoman"/>
          <w:szCs w:val="22"/>
          <w:lang w:eastAsia="en-US"/>
        </w:rPr>
        <w:t>pokročil</w:t>
      </w:r>
      <w:r w:rsidR="004E6B26" w:rsidRPr="008F7ACD">
        <w:rPr>
          <w:rFonts w:eastAsia="TimesNewRoman"/>
          <w:szCs w:val="22"/>
          <w:lang w:eastAsia="en-US"/>
        </w:rPr>
        <w:t>ým štádiom</w:t>
      </w:r>
      <w:r w:rsidRPr="008F7ACD">
        <w:rPr>
          <w:rFonts w:eastAsia="TimesNewRoman"/>
          <w:szCs w:val="22"/>
          <w:lang w:eastAsia="en-US"/>
        </w:rPr>
        <w:t xml:space="preserve"> osteolytické</w:t>
      </w:r>
      <w:r w:rsidR="004E6B26" w:rsidRPr="008F7ACD">
        <w:rPr>
          <w:rFonts w:eastAsia="TimesNewRoman"/>
          <w:szCs w:val="22"/>
          <w:lang w:eastAsia="en-US"/>
        </w:rPr>
        <w:t>ho</w:t>
      </w:r>
      <w:r w:rsidRPr="008F7ACD">
        <w:rPr>
          <w:rFonts w:eastAsia="TimesNewRoman"/>
          <w:szCs w:val="22"/>
          <w:lang w:eastAsia="en-US"/>
        </w:rPr>
        <w:t xml:space="preserve"> ochoreni</w:t>
      </w:r>
      <w:r w:rsidR="004E6B26" w:rsidRPr="008F7ACD">
        <w:rPr>
          <w:rFonts w:eastAsia="TimesNewRoman"/>
          <w:szCs w:val="22"/>
          <w:lang w:eastAsia="en-US"/>
        </w:rPr>
        <w:t>a</w:t>
      </w:r>
      <w:r w:rsidRPr="008F7ACD">
        <w:rPr>
          <w:rFonts w:eastAsia="TimesNewRoman"/>
          <w:szCs w:val="22"/>
          <w:lang w:eastAsia="en-US"/>
        </w:rPr>
        <w:t>.</w:t>
      </w:r>
    </w:p>
    <w:p w:rsidR="00615D7C" w:rsidRPr="008F7ACD" w:rsidRDefault="00615D7C" w:rsidP="00615D7C">
      <w:pPr>
        <w:ind w:left="0" w:firstLine="0"/>
        <w:rPr>
          <w:rFonts w:eastAsia="TimesNewRoman"/>
          <w:szCs w:val="22"/>
          <w:lang w:eastAsia="en-US"/>
        </w:rPr>
      </w:pPr>
    </w:p>
    <w:p w:rsidR="00615D7C" w:rsidRPr="008F7ACD" w:rsidRDefault="00615D7C" w:rsidP="00615D7C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Klinická účinnosť pri doteraz neliečenom mnohopočetnom myelóme</w:t>
      </w:r>
    </w:p>
    <w:p w:rsidR="00615D7C" w:rsidRPr="008F7ACD" w:rsidRDefault="00615D7C" w:rsidP="00615D7C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Vykonala sa prospektívna, medzinárodná, randomizovaná (1:1), otvorená klinická štúdia fázy III</w:t>
      </w:r>
    </w:p>
    <w:p w:rsidR="00615D7C" w:rsidRPr="008F7ACD" w:rsidRDefault="00615D7C" w:rsidP="00615D7C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(MMY-3002 VISTA) s 682 pacientmi, aby sa zistilo, či </w:t>
      </w:r>
      <w:r w:rsidR="0068294C" w:rsidRPr="008F7ACD">
        <w:rPr>
          <w:rFonts w:eastAsia="TimesNewRoman"/>
          <w:szCs w:val="22"/>
          <w:lang w:eastAsia="en-US"/>
        </w:rPr>
        <w:t>bortezomib</w:t>
      </w:r>
      <w:r w:rsidRPr="008F7ACD">
        <w:rPr>
          <w:rFonts w:eastAsia="TimesNewRoman"/>
          <w:szCs w:val="22"/>
          <w:lang w:eastAsia="en-US"/>
        </w:rPr>
        <w:t xml:space="preserve"> (1,3</w:t>
      </w:r>
      <w:r w:rsidR="00682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podaný intravenózne)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 kombinácii s melfal</w:t>
      </w:r>
      <w:r w:rsidR="006A525E" w:rsidRPr="008F7ACD">
        <w:rPr>
          <w:rFonts w:eastAsia="TimesNewRoman"/>
          <w:szCs w:val="22"/>
          <w:lang w:eastAsia="en-US"/>
        </w:rPr>
        <w:t>á</w:t>
      </w:r>
      <w:r w:rsidRPr="008F7ACD">
        <w:rPr>
          <w:rFonts w:eastAsia="TimesNewRoman"/>
          <w:szCs w:val="22"/>
          <w:lang w:eastAsia="en-US"/>
        </w:rPr>
        <w:t>nom (9</w:t>
      </w:r>
      <w:r w:rsidR="00682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>) a prednizónom (60</w:t>
      </w:r>
      <w:r w:rsidR="00682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>) priniesol zlepšenie v čase do</w:t>
      </w:r>
      <w:r w:rsidR="00BA177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progresie (time to progression, TTP) v porovnaní s melfal</w:t>
      </w:r>
      <w:r w:rsidR="006A525E" w:rsidRPr="008F7ACD">
        <w:rPr>
          <w:rFonts w:eastAsia="TimesNewRoman"/>
          <w:szCs w:val="22"/>
          <w:lang w:eastAsia="en-US"/>
        </w:rPr>
        <w:t>á</w:t>
      </w:r>
      <w:r w:rsidRPr="008F7ACD">
        <w:rPr>
          <w:rFonts w:eastAsia="TimesNewRoman"/>
          <w:szCs w:val="22"/>
          <w:lang w:eastAsia="en-US"/>
        </w:rPr>
        <w:t>nom (9</w:t>
      </w:r>
      <w:r w:rsidR="00C2235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>) a prednizónom (60</w:t>
      </w:r>
      <w:r w:rsidR="00C2235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>)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u pacientov s doteraz neliečeným mnohopočetným meylómom. Liečba sa podávala maximálne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</w:t>
      </w:r>
      <w:r w:rsidR="00682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9</w:t>
      </w:r>
      <w:r w:rsidR="00682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cykloch (približne 54 týždňov) a predčasne ukončená bola v prípade progresie choroby alebo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neprijateľnej toxicity. Priemerný vek pacientov v štúdii bol 71 rokov, 50</w:t>
      </w:r>
      <w:r w:rsidR="00682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bolo mužov, 88</w:t>
      </w:r>
      <w:r w:rsidR="00682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bolo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belochov a priemern</w:t>
      </w:r>
      <w:r w:rsidR="006A525E" w:rsidRPr="008F7ACD">
        <w:rPr>
          <w:rFonts w:eastAsia="TimesNewRoman"/>
          <w:szCs w:val="22"/>
          <w:lang w:eastAsia="en-US"/>
        </w:rPr>
        <w:t>á</w:t>
      </w:r>
      <w:r w:rsidRPr="008F7ACD">
        <w:rPr>
          <w:rFonts w:eastAsia="TimesNewRoman"/>
          <w:szCs w:val="22"/>
          <w:lang w:eastAsia="en-US"/>
        </w:rPr>
        <w:t xml:space="preserve"> hodnot</w:t>
      </w:r>
      <w:r w:rsidR="006A525E" w:rsidRPr="008F7ACD">
        <w:rPr>
          <w:rFonts w:eastAsia="TimesNewRoman"/>
          <w:szCs w:val="22"/>
          <w:lang w:eastAsia="en-US"/>
        </w:rPr>
        <w:t>a</w:t>
      </w:r>
      <w:r w:rsidRPr="008F7ACD">
        <w:rPr>
          <w:rFonts w:eastAsia="TimesNewRoman"/>
          <w:szCs w:val="22"/>
          <w:lang w:eastAsia="en-US"/>
        </w:rPr>
        <w:t xml:space="preserve"> </w:t>
      </w:r>
      <w:r w:rsidR="006A525E" w:rsidRPr="008F7ACD">
        <w:rPr>
          <w:rFonts w:eastAsia="TimesNewRoman"/>
          <w:szCs w:val="22"/>
          <w:lang w:eastAsia="en-US"/>
        </w:rPr>
        <w:t>výkonnostného</w:t>
      </w:r>
      <w:r w:rsidRPr="008F7ACD">
        <w:rPr>
          <w:rFonts w:eastAsia="TimesNewRoman"/>
          <w:szCs w:val="22"/>
          <w:lang w:eastAsia="en-US"/>
        </w:rPr>
        <w:t xml:space="preserve"> stavu </w:t>
      </w:r>
      <w:r w:rsidR="006A525E" w:rsidRPr="008F7ACD">
        <w:rPr>
          <w:rFonts w:eastAsia="TimesNewRoman"/>
          <w:szCs w:val="22"/>
          <w:lang w:eastAsia="en-US"/>
        </w:rPr>
        <w:t xml:space="preserve">podľa </w:t>
      </w:r>
      <w:r w:rsidRPr="008F7ACD">
        <w:rPr>
          <w:rFonts w:eastAsia="TimesNewRoman"/>
          <w:szCs w:val="22"/>
          <w:lang w:eastAsia="en-US"/>
        </w:rPr>
        <w:t>Karnofsk</w:t>
      </w:r>
      <w:r w:rsidR="006A525E" w:rsidRPr="008F7ACD">
        <w:rPr>
          <w:rFonts w:eastAsia="TimesNewRoman"/>
          <w:szCs w:val="22"/>
          <w:lang w:eastAsia="en-US"/>
        </w:rPr>
        <w:t>ého</w:t>
      </w:r>
      <w:r w:rsidRPr="008F7ACD">
        <w:rPr>
          <w:rFonts w:eastAsia="TimesNewRoman"/>
          <w:szCs w:val="22"/>
          <w:lang w:eastAsia="en-US"/>
        </w:rPr>
        <w:t xml:space="preserve"> bol</w:t>
      </w:r>
      <w:r w:rsidR="006A525E" w:rsidRPr="008F7ACD">
        <w:rPr>
          <w:rFonts w:eastAsia="TimesNewRoman"/>
          <w:szCs w:val="22"/>
          <w:lang w:eastAsia="en-US"/>
        </w:rPr>
        <w:t>a</w:t>
      </w:r>
      <w:r w:rsidRPr="008F7ACD">
        <w:rPr>
          <w:rFonts w:eastAsia="TimesNewRoman"/>
          <w:szCs w:val="22"/>
          <w:lang w:eastAsia="en-US"/>
        </w:rPr>
        <w:t xml:space="preserve"> u pacientov 80. Pacienti mali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myelóm IgG/IgA/ľahkých reťazcov u 63</w:t>
      </w:r>
      <w:r w:rsidR="00682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%/25</w:t>
      </w:r>
      <w:r w:rsidR="00682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%/8</w:t>
      </w:r>
      <w:r w:rsidR="00682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prípadov, priemernú hodnotu hemoglobínu 105</w:t>
      </w:r>
      <w:r w:rsidR="00682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g/l a priemerný počet krvných doštičiek 221,5</w:t>
      </w:r>
      <w:r w:rsidR="0068294C" w:rsidRPr="008F7ACD">
        <w:rPr>
          <w:rFonts w:eastAsia="TimesNewRoman"/>
          <w:szCs w:val="22"/>
          <w:lang w:eastAsia="en-US"/>
        </w:rPr>
        <w:t> x 10</w:t>
      </w:r>
      <w:r w:rsidR="0068294C" w:rsidRPr="008F7ACD">
        <w:rPr>
          <w:rFonts w:eastAsia="TimesNewRoman"/>
          <w:szCs w:val="22"/>
          <w:vertAlign w:val="superscript"/>
          <w:lang w:eastAsia="en-US"/>
        </w:rPr>
        <w:t>9</w:t>
      </w:r>
      <w:r w:rsidRPr="008F7ACD">
        <w:rPr>
          <w:rFonts w:eastAsia="TimesNewRoman"/>
          <w:szCs w:val="22"/>
          <w:lang w:eastAsia="en-US"/>
        </w:rPr>
        <w:t>/l. Podobné percento pacientov malo klírens kreatinínu</w:t>
      </w:r>
      <w:r w:rsidR="0068294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≤</w:t>
      </w:r>
      <w:r w:rsidR="00682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30</w:t>
      </w:r>
      <w:r w:rsidR="00682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ml/min (3</w:t>
      </w:r>
      <w:r w:rsidR="0068294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v</w:t>
      </w:r>
      <w:r w:rsidR="004E6F33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každ</w:t>
      </w:r>
      <w:r w:rsidR="004E6F33" w:rsidRPr="008F7ACD">
        <w:rPr>
          <w:rFonts w:eastAsia="TimesNewRoman"/>
          <w:szCs w:val="22"/>
          <w:lang w:eastAsia="en-US"/>
        </w:rPr>
        <w:t>ej skupine</w:t>
      </w:r>
      <w:r w:rsidRPr="008F7ACD">
        <w:rPr>
          <w:rFonts w:eastAsia="TimesNewRoman"/>
          <w:szCs w:val="22"/>
          <w:lang w:eastAsia="en-US"/>
        </w:rPr>
        <w:t>).</w:t>
      </w:r>
    </w:p>
    <w:p w:rsidR="00615D7C" w:rsidRPr="008F7ACD" w:rsidRDefault="00615D7C" w:rsidP="0048755B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V čase dopredu určenej predbežnej analýzy bol splnený primárny </w:t>
      </w:r>
      <w:r w:rsidR="000563B9" w:rsidRPr="008F7ACD">
        <w:rPr>
          <w:rFonts w:eastAsia="TimesNewRoman"/>
          <w:szCs w:val="22"/>
          <w:lang w:eastAsia="en-US"/>
        </w:rPr>
        <w:t>konc</w:t>
      </w:r>
      <w:r w:rsidR="004E6F33" w:rsidRPr="008F7ACD">
        <w:rPr>
          <w:rFonts w:eastAsia="TimesNewRoman"/>
          <w:szCs w:val="22"/>
          <w:lang w:eastAsia="en-US"/>
        </w:rPr>
        <w:t>ový ukazovateľ</w:t>
      </w:r>
      <w:r w:rsidRPr="008F7ACD">
        <w:rPr>
          <w:rFonts w:eastAsia="TimesNewRoman"/>
          <w:szCs w:val="22"/>
          <w:lang w:eastAsia="en-US"/>
        </w:rPr>
        <w:t>, čas do progresie, a pacientom</w:t>
      </w:r>
      <w:r w:rsidR="0048755B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z</w:t>
      </w:r>
      <w:r w:rsidR="004E6F33" w:rsidRPr="008F7ACD">
        <w:rPr>
          <w:rFonts w:eastAsia="TimesNewRoman"/>
          <w:szCs w:val="22"/>
          <w:lang w:eastAsia="en-US"/>
        </w:rPr>
        <w:t>o skupiny</w:t>
      </w:r>
      <w:r w:rsidRPr="008F7ACD">
        <w:rPr>
          <w:rFonts w:eastAsia="TimesNewRoman"/>
          <w:szCs w:val="22"/>
          <w:lang w:eastAsia="en-US"/>
        </w:rPr>
        <w:t xml:space="preserve"> M+P bola ponúknutá liečba </w:t>
      </w:r>
      <w:r w:rsidR="0048755B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+M+P. Priemerná doba sledovania bola 16,3 mesiaca.</w:t>
      </w:r>
      <w:r w:rsidR="0048755B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Záverečná aktualizácia údajov o prežívaní sa uskutočnila na základe mediánu dĺžky sledovania</w:t>
      </w:r>
      <w:r w:rsidR="0048755B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60,1</w:t>
      </w:r>
      <w:r w:rsidR="0048755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mesiacov. Pozoroval sa štatisticky významný prínos v prežívaní v prospech skupiny liečenej</w:t>
      </w:r>
      <w:r w:rsidR="0048755B" w:rsidRPr="008F7ACD">
        <w:rPr>
          <w:rFonts w:eastAsia="TimesNewRoman"/>
          <w:szCs w:val="22"/>
          <w:lang w:eastAsia="en-US"/>
        </w:rPr>
        <w:t xml:space="preserve"> B</w:t>
      </w:r>
      <w:r w:rsidRPr="008F7ACD">
        <w:rPr>
          <w:rFonts w:eastAsia="TimesNewRoman"/>
          <w:szCs w:val="22"/>
          <w:lang w:eastAsia="en-US"/>
        </w:rPr>
        <w:t>+M+P (miera rizika</w:t>
      </w:r>
      <w:r w:rsidR="00D26B78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=</w:t>
      </w:r>
      <w:r w:rsidR="00D26B78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0,695, p</w:t>
      </w:r>
      <w:r w:rsidR="00D26B78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=</w:t>
      </w:r>
      <w:r w:rsidR="00D26B78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0,00043), napriek následnej liečbe zahŕňajúcej režimy na báze </w:t>
      </w:r>
      <w:r w:rsidR="0048755B" w:rsidRPr="008F7ACD">
        <w:rPr>
          <w:rFonts w:eastAsia="TimesNewRoman"/>
          <w:szCs w:val="22"/>
          <w:lang w:eastAsia="en-US"/>
        </w:rPr>
        <w:t>bortezomibu</w:t>
      </w:r>
      <w:r w:rsidRPr="008F7ACD">
        <w:rPr>
          <w:rFonts w:eastAsia="TimesNewRoman"/>
          <w:szCs w:val="22"/>
          <w:lang w:eastAsia="en-US"/>
        </w:rPr>
        <w:t xml:space="preserve">. Stredná hodnota prežívania pre skupinu </w:t>
      </w:r>
      <w:r w:rsidR="0048755B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+M+P bola 56,4 mesiacov v porovnaní so</w:t>
      </w:r>
      <w:r w:rsidR="00BA177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43,1</w:t>
      </w:r>
      <w:r w:rsidR="0048755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pre skupinu liečenú M+P. Výsledky účinnosti sa uvádzajú v tabuľke 11:</w:t>
      </w:r>
    </w:p>
    <w:p w:rsidR="00615D7C" w:rsidRPr="008F7ACD" w:rsidRDefault="00615D7C" w:rsidP="00615D7C">
      <w:pPr>
        <w:ind w:left="0" w:firstLine="0"/>
        <w:rPr>
          <w:rFonts w:eastAsia="TimesNewRoman"/>
          <w:szCs w:val="22"/>
          <w:lang w:eastAsia="en-US"/>
        </w:rPr>
      </w:pPr>
    </w:p>
    <w:p w:rsidR="0020718A" w:rsidRPr="008F7ACD" w:rsidRDefault="0048755B" w:rsidP="0020718A">
      <w:pPr>
        <w:rPr>
          <w:color w:val="000000"/>
          <w:szCs w:val="22"/>
        </w:rPr>
      </w:pPr>
      <w:r w:rsidRPr="008F7ACD">
        <w:rPr>
          <w:rFonts w:eastAsia="TimesNewRoman,Italic"/>
          <w:i/>
          <w:iCs/>
          <w:szCs w:val="22"/>
          <w:lang w:eastAsia="en-US"/>
        </w:rPr>
        <w:t>Tabuľka 11: Výsledky účinnosti po záverečnej aktualizácii údajov o prežívaní v štúdii VISTA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8"/>
        <w:gridCol w:w="2305"/>
        <w:gridCol w:w="2307"/>
      </w:tblGrid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0718A" w:rsidRPr="008F7ACD" w:rsidRDefault="0048755B" w:rsidP="0048755B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Výsledná účinnosť</w:t>
            </w:r>
          </w:p>
        </w:tc>
        <w:tc>
          <w:tcPr>
            <w:tcW w:w="1250" w:type="pct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B+M+P</w:t>
            </w:r>
          </w:p>
          <w:p w:rsidR="0020718A" w:rsidRPr="008F7ACD" w:rsidRDefault="00D26B78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 xml:space="preserve">n </w:t>
            </w:r>
            <w:r w:rsidR="0020718A" w:rsidRPr="008F7ACD">
              <w:rPr>
                <w:b/>
                <w:bCs/>
                <w:color w:val="000000"/>
                <w:szCs w:val="22"/>
              </w:rPr>
              <w:t>=</w:t>
            </w:r>
            <w:r w:rsidRPr="008F7ACD">
              <w:rPr>
                <w:b/>
                <w:bCs/>
                <w:color w:val="000000"/>
                <w:szCs w:val="22"/>
              </w:rPr>
              <w:t xml:space="preserve"> </w:t>
            </w:r>
            <w:r w:rsidR="0020718A" w:rsidRPr="008F7ACD">
              <w:rPr>
                <w:b/>
                <w:bCs/>
                <w:color w:val="000000"/>
                <w:szCs w:val="22"/>
              </w:rPr>
              <w:t>344</w:t>
            </w:r>
          </w:p>
        </w:tc>
        <w:tc>
          <w:tcPr>
            <w:tcW w:w="1250" w:type="pct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M+P</w:t>
            </w:r>
          </w:p>
          <w:p w:rsidR="0020718A" w:rsidRPr="008F7ACD" w:rsidRDefault="00D26B78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 xml:space="preserve">n </w:t>
            </w:r>
            <w:r w:rsidR="0020718A" w:rsidRPr="008F7ACD">
              <w:rPr>
                <w:b/>
                <w:bCs/>
                <w:color w:val="000000"/>
                <w:szCs w:val="22"/>
              </w:rPr>
              <w:t>=</w:t>
            </w:r>
            <w:r w:rsidRPr="008F7ACD">
              <w:rPr>
                <w:b/>
                <w:bCs/>
                <w:color w:val="000000"/>
                <w:szCs w:val="22"/>
              </w:rPr>
              <w:t xml:space="preserve"> </w:t>
            </w:r>
            <w:r w:rsidR="0020718A" w:rsidRPr="008F7ACD">
              <w:rPr>
                <w:b/>
                <w:bCs/>
                <w:color w:val="000000"/>
                <w:szCs w:val="22"/>
              </w:rPr>
              <w:t>338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48755B" w:rsidRPr="008F7ACD" w:rsidRDefault="0048755B" w:rsidP="0048755B">
            <w:pPr>
              <w:autoSpaceDE w:val="0"/>
              <w:autoSpaceDN w:val="0"/>
              <w:adjustRightInd w:val="0"/>
              <w:ind w:left="0" w:firstLine="0"/>
              <w:rPr>
                <w:rFonts w:eastAsia="TimesNewRoman,Bold"/>
                <w:b/>
                <w:bCs/>
                <w:szCs w:val="22"/>
                <w:lang w:eastAsia="en-US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Čas do progresie</w:t>
            </w:r>
          </w:p>
          <w:p w:rsidR="0020718A" w:rsidRPr="008F7ACD" w:rsidRDefault="0048755B" w:rsidP="0048755B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Udalosti n (%)</w:t>
            </w:r>
            <w:r w:rsidR="0020718A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250" w:type="pct"/>
            <w:hideMark/>
          </w:tcPr>
          <w:p w:rsidR="004E6F33" w:rsidRPr="008F7ACD" w:rsidRDefault="004E6F33" w:rsidP="0020718A">
            <w:pPr>
              <w:jc w:val="center"/>
              <w:rPr>
                <w:color w:val="000000"/>
                <w:szCs w:val="22"/>
              </w:rPr>
            </w:pPr>
          </w:p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101 (29)</w:t>
            </w:r>
          </w:p>
        </w:tc>
        <w:tc>
          <w:tcPr>
            <w:tcW w:w="1250" w:type="pct"/>
            <w:hideMark/>
          </w:tcPr>
          <w:p w:rsidR="004E6F33" w:rsidRPr="008F7ACD" w:rsidRDefault="004E6F33" w:rsidP="0020718A">
            <w:pPr>
              <w:jc w:val="center"/>
              <w:rPr>
                <w:color w:val="000000"/>
                <w:szCs w:val="22"/>
              </w:rPr>
            </w:pPr>
          </w:p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152 (45)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0718A" w:rsidRPr="008F7ACD" w:rsidRDefault="0048755B" w:rsidP="0048755B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Stredná hodnota</w:t>
            </w:r>
            <w:r w:rsidR="00680B2F" w:rsidRPr="008F7ACD">
              <w:rPr>
                <w:szCs w:val="22"/>
                <w:vertAlign w:val="superscript"/>
                <w:lang w:eastAsia="en-GB"/>
              </w:rPr>
              <w:t xml:space="preserve"> a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(95 % CI)</w:t>
            </w:r>
          </w:p>
        </w:tc>
        <w:tc>
          <w:tcPr>
            <w:tcW w:w="1250" w:type="pct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20</w:t>
            </w:r>
            <w:r w:rsidR="0048755B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7 m</w:t>
            </w:r>
            <w:r w:rsidR="0048755B" w:rsidRPr="008F7ACD">
              <w:rPr>
                <w:color w:val="000000"/>
                <w:szCs w:val="22"/>
              </w:rPr>
              <w:t>es</w:t>
            </w:r>
          </w:p>
          <w:p w:rsidR="0020718A" w:rsidRPr="008F7ACD" w:rsidRDefault="0020718A" w:rsidP="0048755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(17</w:t>
            </w:r>
            <w:r w:rsidR="0048755B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6</w:t>
            </w:r>
            <w:r w:rsidR="0048755B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24,7)</w:t>
            </w:r>
          </w:p>
        </w:tc>
        <w:tc>
          <w:tcPr>
            <w:tcW w:w="1250" w:type="pct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15</w:t>
            </w:r>
            <w:r w:rsidR="0048755B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 m</w:t>
            </w:r>
            <w:r w:rsidR="0048755B" w:rsidRPr="008F7ACD">
              <w:rPr>
                <w:color w:val="000000"/>
                <w:szCs w:val="22"/>
              </w:rPr>
              <w:t>es</w:t>
            </w:r>
          </w:p>
          <w:p w:rsidR="0020718A" w:rsidRPr="008F7ACD" w:rsidRDefault="0020718A" w:rsidP="0048755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(14</w:t>
            </w:r>
            <w:r w:rsidR="0048755B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1</w:t>
            </w:r>
            <w:r w:rsidR="0048755B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17</w:t>
            </w:r>
            <w:r w:rsidR="0048755B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9)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48755B" w:rsidRPr="008F7ACD" w:rsidRDefault="0048755B" w:rsidP="0048755B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Miera rizika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b</w:t>
            </w:r>
          </w:p>
          <w:p w:rsidR="0020718A" w:rsidRPr="008F7ACD" w:rsidRDefault="0048755B" w:rsidP="0048755B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(95 % CI)</w:t>
            </w:r>
          </w:p>
        </w:tc>
        <w:tc>
          <w:tcPr>
            <w:tcW w:w="2501" w:type="pct"/>
            <w:gridSpan w:val="2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0</w:t>
            </w:r>
            <w:r w:rsidR="0048755B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54</w:t>
            </w:r>
          </w:p>
          <w:p w:rsidR="0020718A" w:rsidRPr="008F7ACD" w:rsidRDefault="0020718A" w:rsidP="0048755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(0</w:t>
            </w:r>
            <w:r w:rsidR="0048755B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42</w:t>
            </w:r>
            <w:r w:rsidR="0048755B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0</w:t>
            </w:r>
            <w:r w:rsidR="0048755B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70)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0718A" w:rsidRPr="008F7ACD" w:rsidRDefault="0048755B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p-hodnota 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c</w:t>
            </w:r>
          </w:p>
        </w:tc>
        <w:tc>
          <w:tcPr>
            <w:tcW w:w="2501" w:type="pct"/>
            <w:gridSpan w:val="2"/>
            <w:hideMark/>
          </w:tcPr>
          <w:p w:rsidR="0020718A" w:rsidRPr="008F7ACD" w:rsidRDefault="0020718A" w:rsidP="0048755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0</w:t>
            </w:r>
            <w:r w:rsidR="0048755B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000002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48755B" w:rsidRPr="008F7ACD" w:rsidRDefault="0048755B" w:rsidP="0048755B">
            <w:pPr>
              <w:autoSpaceDE w:val="0"/>
              <w:autoSpaceDN w:val="0"/>
              <w:adjustRightInd w:val="0"/>
              <w:ind w:left="0" w:firstLine="0"/>
              <w:rPr>
                <w:rFonts w:eastAsia="TimesNewRoman,Bold"/>
                <w:b/>
                <w:bCs/>
                <w:szCs w:val="22"/>
                <w:lang w:eastAsia="en-US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Prežívanie bez progresie</w:t>
            </w:r>
          </w:p>
          <w:p w:rsidR="0020718A" w:rsidRPr="008F7ACD" w:rsidRDefault="0048755B" w:rsidP="0048755B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Udalosti n (%)</w:t>
            </w:r>
          </w:p>
        </w:tc>
        <w:tc>
          <w:tcPr>
            <w:tcW w:w="1250" w:type="pct"/>
            <w:hideMark/>
          </w:tcPr>
          <w:p w:rsidR="008B43B1" w:rsidRPr="008F7ACD" w:rsidRDefault="008B43B1" w:rsidP="0020718A">
            <w:pPr>
              <w:jc w:val="center"/>
              <w:rPr>
                <w:color w:val="000000"/>
                <w:szCs w:val="22"/>
              </w:rPr>
            </w:pPr>
          </w:p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135 (39)</w:t>
            </w:r>
          </w:p>
        </w:tc>
        <w:tc>
          <w:tcPr>
            <w:tcW w:w="1250" w:type="pct"/>
            <w:hideMark/>
          </w:tcPr>
          <w:p w:rsidR="008B43B1" w:rsidRPr="008F7ACD" w:rsidRDefault="008B43B1" w:rsidP="0020718A">
            <w:pPr>
              <w:jc w:val="center"/>
              <w:rPr>
                <w:color w:val="000000"/>
                <w:szCs w:val="22"/>
              </w:rPr>
            </w:pPr>
          </w:p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190 (56)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0718A" w:rsidRPr="008F7ACD" w:rsidRDefault="0048755B" w:rsidP="0048755B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Stredná hodnota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a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(95 % CI)</w:t>
            </w:r>
          </w:p>
        </w:tc>
        <w:tc>
          <w:tcPr>
            <w:tcW w:w="1250" w:type="pct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18</w:t>
            </w:r>
            <w:r w:rsidR="0048755B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3 m</w:t>
            </w:r>
            <w:r w:rsidR="0048755B" w:rsidRPr="008F7ACD">
              <w:rPr>
                <w:color w:val="000000"/>
                <w:szCs w:val="22"/>
              </w:rPr>
              <w:t>es</w:t>
            </w:r>
          </w:p>
          <w:p w:rsidR="0020718A" w:rsidRPr="008F7ACD" w:rsidRDefault="0020718A" w:rsidP="0073419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(16</w:t>
            </w:r>
            <w:r w:rsidR="00734197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6</w:t>
            </w:r>
            <w:r w:rsidR="00734197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21</w:t>
            </w:r>
            <w:r w:rsidR="00734197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7)</w:t>
            </w:r>
          </w:p>
        </w:tc>
        <w:tc>
          <w:tcPr>
            <w:tcW w:w="1250" w:type="pct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14</w:t>
            </w:r>
            <w:r w:rsidR="0048755B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 m</w:t>
            </w:r>
            <w:r w:rsidR="00734197" w:rsidRPr="008F7ACD">
              <w:rPr>
                <w:color w:val="000000"/>
                <w:szCs w:val="22"/>
              </w:rPr>
              <w:t>es</w:t>
            </w:r>
          </w:p>
          <w:p w:rsidR="0020718A" w:rsidRPr="008F7ACD" w:rsidRDefault="0020718A" w:rsidP="0073419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(11</w:t>
            </w:r>
            <w:r w:rsidR="00734197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1</w:t>
            </w:r>
            <w:r w:rsidR="00734197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15</w:t>
            </w:r>
            <w:r w:rsidR="00734197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0)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48755B" w:rsidRPr="008F7ACD" w:rsidRDefault="0048755B" w:rsidP="0048755B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Miera rizika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b</w:t>
            </w:r>
          </w:p>
          <w:p w:rsidR="0020718A" w:rsidRPr="008F7ACD" w:rsidRDefault="0048755B" w:rsidP="0048755B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(95 % CI)</w:t>
            </w:r>
          </w:p>
        </w:tc>
        <w:tc>
          <w:tcPr>
            <w:tcW w:w="2501" w:type="pct"/>
            <w:gridSpan w:val="2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0</w:t>
            </w:r>
            <w:r w:rsidR="00734197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61</w:t>
            </w:r>
          </w:p>
          <w:p w:rsidR="0020718A" w:rsidRPr="008F7ACD" w:rsidRDefault="0020718A" w:rsidP="0073419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(0</w:t>
            </w:r>
            <w:r w:rsidR="00734197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49</w:t>
            </w:r>
            <w:r w:rsidR="00734197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0</w:t>
            </w:r>
            <w:r w:rsidR="00734197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76)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0718A" w:rsidRPr="008F7ACD" w:rsidRDefault="0048755B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p-hodnota 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c</w:t>
            </w:r>
          </w:p>
        </w:tc>
        <w:tc>
          <w:tcPr>
            <w:tcW w:w="2501" w:type="pct"/>
            <w:gridSpan w:val="2"/>
            <w:hideMark/>
          </w:tcPr>
          <w:p w:rsidR="0020718A" w:rsidRPr="008F7ACD" w:rsidRDefault="0020718A" w:rsidP="0073419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0</w:t>
            </w:r>
            <w:r w:rsidR="00734197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00001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B43BA" w:rsidRPr="008F7ACD" w:rsidRDefault="002B43BA" w:rsidP="002B43BA">
            <w:pPr>
              <w:autoSpaceDE w:val="0"/>
              <w:autoSpaceDN w:val="0"/>
              <w:adjustRightInd w:val="0"/>
              <w:ind w:left="0" w:firstLine="0"/>
              <w:rPr>
                <w:rFonts w:eastAsia="TimesNewRoman,Bold"/>
                <w:b/>
                <w:bCs/>
                <w:szCs w:val="22"/>
                <w:lang w:eastAsia="en-US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Celkové prežívanie*</w:t>
            </w:r>
          </w:p>
          <w:p w:rsidR="0020718A" w:rsidRPr="008F7ACD" w:rsidRDefault="002B43BA" w:rsidP="002B43B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Udalosti (úmrtia) n (%)</w:t>
            </w:r>
          </w:p>
        </w:tc>
        <w:tc>
          <w:tcPr>
            <w:tcW w:w="1250" w:type="pct"/>
            <w:hideMark/>
          </w:tcPr>
          <w:p w:rsidR="008B43B1" w:rsidRPr="008F7ACD" w:rsidRDefault="008B43B1" w:rsidP="002B43BA">
            <w:pPr>
              <w:jc w:val="center"/>
              <w:rPr>
                <w:color w:val="000000"/>
                <w:szCs w:val="22"/>
              </w:rPr>
            </w:pPr>
          </w:p>
          <w:p w:rsidR="0020718A" w:rsidRPr="008F7ACD" w:rsidRDefault="0020718A" w:rsidP="002B43B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176 (51</w:t>
            </w:r>
            <w:r w:rsidR="002B43BA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2)</w:t>
            </w:r>
          </w:p>
        </w:tc>
        <w:tc>
          <w:tcPr>
            <w:tcW w:w="1250" w:type="pct"/>
            <w:hideMark/>
          </w:tcPr>
          <w:p w:rsidR="008B43B1" w:rsidRPr="008F7ACD" w:rsidRDefault="008B43B1" w:rsidP="002B43BA">
            <w:pPr>
              <w:jc w:val="center"/>
              <w:rPr>
                <w:color w:val="000000"/>
                <w:szCs w:val="22"/>
              </w:rPr>
            </w:pPr>
          </w:p>
          <w:p w:rsidR="0020718A" w:rsidRPr="008F7ACD" w:rsidRDefault="0020718A" w:rsidP="002B43B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211 (62</w:t>
            </w:r>
            <w:r w:rsidR="002B43BA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4)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B43BA" w:rsidRPr="008F7ACD" w:rsidRDefault="002B43BA" w:rsidP="002B43BA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lastRenderedPageBreak/>
              <w:t>Stredná hodnota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a</w:t>
            </w:r>
          </w:p>
          <w:p w:rsidR="0020718A" w:rsidRPr="008F7ACD" w:rsidRDefault="002B43BA" w:rsidP="002B43B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(95 % CI)</w:t>
            </w:r>
          </w:p>
        </w:tc>
        <w:tc>
          <w:tcPr>
            <w:tcW w:w="1250" w:type="pct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56</w:t>
            </w:r>
            <w:r w:rsidR="002B43BA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4 m</w:t>
            </w:r>
            <w:r w:rsidR="002B43BA" w:rsidRPr="008F7ACD">
              <w:rPr>
                <w:color w:val="000000"/>
                <w:szCs w:val="22"/>
              </w:rPr>
              <w:t>es</w:t>
            </w:r>
          </w:p>
          <w:p w:rsidR="0020718A" w:rsidRPr="008F7ACD" w:rsidRDefault="0020718A" w:rsidP="002B43B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(52</w:t>
            </w:r>
            <w:r w:rsidR="002B43BA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8</w:t>
            </w:r>
            <w:r w:rsidR="002B43BA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60</w:t>
            </w:r>
            <w:r w:rsidR="002B43BA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9)</w:t>
            </w:r>
          </w:p>
        </w:tc>
        <w:tc>
          <w:tcPr>
            <w:tcW w:w="1250" w:type="pct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43</w:t>
            </w:r>
            <w:r w:rsidR="002B43BA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1 m</w:t>
            </w:r>
            <w:r w:rsidR="002B43BA" w:rsidRPr="008F7ACD">
              <w:rPr>
                <w:color w:val="000000"/>
                <w:szCs w:val="22"/>
              </w:rPr>
              <w:t>es</w:t>
            </w:r>
          </w:p>
          <w:p w:rsidR="0020718A" w:rsidRPr="008F7ACD" w:rsidRDefault="0020718A" w:rsidP="002B43B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(35</w:t>
            </w:r>
            <w:r w:rsidR="002B43BA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3</w:t>
            </w:r>
            <w:r w:rsidR="002B43BA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48</w:t>
            </w:r>
            <w:r w:rsidR="002B43BA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3)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B43BA" w:rsidRPr="008F7ACD" w:rsidRDefault="002B43BA" w:rsidP="002B43BA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Miera rizika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b</w:t>
            </w:r>
          </w:p>
          <w:p w:rsidR="0020718A" w:rsidRPr="008F7ACD" w:rsidRDefault="002B43BA" w:rsidP="002B43B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(95 % CI)</w:t>
            </w:r>
          </w:p>
        </w:tc>
        <w:tc>
          <w:tcPr>
            <w:tcW w:w="2501" w:type="pct"/>
            <w:gridSpan w:val="2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0</w:t>
            </w:r>
            <w:r w:rsidR="002B43BA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695</w:t>
            </w:r>
          </w:p>
          <w:p w:rsidR="0020718A" w:rsidRPr="008F7ACD" w:rsidRDefault="0020718A" w:rsidP="002B43B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(0</w:t>
            </w:r>
            <w:r w:rsidR="002B43BA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567</w:t>
            </w:r>
            <w:r w:rsidR="002B43BA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0</w:t>
            </w:r>
            <w:r w:rsidR="002B43BA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852)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0718A" w:rsidRPr="008F7ACD" w:rsidRDefault="002B43BA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 xml:space="preserve">p-hodnota 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c</w:t>
            </w:r>
          </w:p>
        </w:tc>
        <w:tc>
          <w:tcPr>
            <w:tcW w:w="2501" w:type="pct"/>
            <w:gridSpan w:val="2"/>
            <w:hideMark/>
          </w:tcPr>
          <w:p w:rsidR="0020718A" w:rsidRPr="008F7ACD" w:rsidRDefault="0020718A" w:rsidP="002B43B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0</w:t>
            </w:r>
            <w:r w:rsidR="002B43BA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00043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B43BA" w:rsidRPr="008F7ACD" w:rsidRDefault="002B43BA" w:rsidP="002B43BA">
            <w:pPr>
              <w:autoSpaceDE w:val="0"/>
              <w:autoSpaceDN w:val="0"/>
              <w:adjustRightInd w:val="0"/>
              <w:ind w:left="0" w:firstLine="0"/>
              <w:rPr>
                <w:rFonts w:eastAsia="TimesNewRoman,Bold"/>
                <w:b/>
                <w:bCs/>
                <w:szCs w:val="22"/>
                <w:lang w:eastAsia="en-US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Miera odpovede</w:t>
            </w:r>
          </w:p>
          <w:p w:rsidR="0020718A" w:rsidRPr="008F7ACD" w:rsidRDefault="002B43BA" w:rsidP="002B43B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populácia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e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n = 668</w:t>
            </w:r>
          </w:p>
        </w:tc>
        <w:tc>
          <w:tcPr>
            <w:tcW w:w="1250" w:type="pct"/>
            <w:hideMark/>
          </w:tcPr>
          <w:p w:rsidR="008B43B1" w:rsidRPr="008F7ACD" w:rsidRDefault="008B43B1" w:rsidP="0020718A">
            <w:pPr>
              <w:jc w:val="center"/>
              <w:rPr>
                <w:color w:val="000000"/>
                <w:szCs w:val="22"/>
              </w:rPr>
            </w:pPr>
          </w:p>
          <w:p w:rsidR="0020718A" w:rsidRPr="008F7ACD" w:rsidRDefault="00B34AC9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n </w:t>
            </w:r>
            <w:r w:rsidR="0020718A" w:rsidRPr="008F7ACD">
              <w:rPr>
                <w:color w:val="000000"/>
                <w:szCs w:val="22"/>
              </w:rPr>
              <w:t>=</w:t>
            </w:r>
            <w:r w:rsidRPr="008F7ACD">
              <w:rPr>
                <w:color w:val="000000"/>
                <w:szCs w:val="22"/>
              </w:rPr>
              <w:t xml:space="preserve"> </w:t>
            </w:r>
            <w:r w:rsidR="0020718A" w:rsidRPr="008F7ACD">
              <w:rPr>
                <w:color w:val="000000"/>
                <w:szCs w:val="22"/>
              </w:rPr>
              <w:t>337</w:t>
            </w:r>
          </w:p>
        </w:tc>
        <w:tc>
          <w:tcPr>
            <w:tcW w:w="1250" w:type="pct"/>
            <w:hideMark/>
          </w:tcPr>
          <w:p w:rsidR="008B43B1" w:rsidRPr="008F7ACD" w:rsidRDefault="008B43B1" w:rsidP="0020718A">
            <w:pPr>
              <w:jc w:val="center"/>
              <w:rPr>
                <w:color w:val="000000"/>
                <w:szCs w:val="22"/>
              </w:rPr>
            </w:pPr>
          </w:p>
          <w:p w:rsidR="0020718A" w:rsidRPr="008F7ACD" w:rsidRDefault="00B34AC9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n </w:t>
            </w:r>
            <w:r w:rsidR="0020718A" w:rsidRPr="008F7ACD">
              <w:rPr>
                <w:color w:val="000000"/>
                <w:szCs w:val="22"/>
              </w:rPr>
              <w:t>=</w:t>
            </w:r>
            <w:r w:rsidRPr="008F7ACD">
              <w:rPr>
                <w:color w:val="000000"/>
                <w:szCs w:val="22"/>
              </w:rPr>
              <w:t xml:space="preserve"> </w:t>
            </w:r>
            <w:r w:rsidR="0020718A" w:rsidRPr="008F7ACD">
              <w:rPr>
                <w:color w:val="000000"/>
                <w:szCs w:val="22"/>
              </w:rPr>
              <w:t>331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0718A" w:rsidRPr="008F7ACD" w:rsidRDefault="0020718A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CR</w:t>
            </w:r>
            <w:r w:rsidRPr="008F7ACD">
              <w:rPr>
                <w:color w:val="000000"/>
                <w:szCs w:val="22"/>
                <w:vertAlign w:val="superscript"/>
              </w:rPr>
              <w:t>f</w:t>
            </w:r>
            <w:r w:rsidRPr="008F7ACD">
              <w:rPr>
                <w:color w:val="000000"/>
                <w:szCs w:val="22"/>
              </w:rPr>
              <w:t xml:space="preserve"> n (%) </w:t>
            </w:r>
          </w:p>
        </w:tc>
        <w:tc>
          <w:tcPr>
            <w:tcW w:w="1250" w:type="pct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102 (30)</w:t>
            </w:r>
          </w:p>
        </w:tc>
        <w:tc>
          <w:tcPr>
            <w:tcW w:w="1250" w:type="pct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12 (4)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0718A" w:rsidRPr="008F7ACD" w:rsidRDefault="0020718A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PR</w:t>
            </w:r>
            <w:r w:rsidRPr="008F7ACD">
              <w:rPr>
                <w:color w:val="000000"/>
                <w:szCs w:val="22"/>
                <w:vertAlign w:val="superscript"/>
              </w:rPr>
              <w:t>f</w:t>
            </w:r>
            <w:r w:rsidRPr="008F7ACD">
              <w:rPr>
                <w:color w:val="000000"/>
                <w:szCs w:val="22"/>
              </w:rPr>
              <w:t xml:space="preserve"> n (%) </w:t>
            </w:r>
          </w:p>
        </w:tc>
        <w:tc>
          <w:tcPr>
            <w:tcW w:w="1250" w:type="pct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136 (40)</w:t>
            </w:r>
          </w:p>
        </w:tc>
        <w:tc>
          <w:tcPr>
            <w:tcW w:w="1250" w:type="pct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103 (31)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0718A" w:rsidRPr="008F7ACD" w:rsidRDefault="00B34AC9" w:rsidP="002B43B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n</w:t>
            </w:r>
            <w:r w:rsidR="0020718A" w:rsidRPr="008F7ACD">
              <w:rPr>
                <w:color w:val="000000"/>
                <w:szCs w:val="22"/>
              </w:rPr>
              <w:t xml:space="preserve">CR n (%) </w:t>
            </w:r>
          </w:p>
        </w:tc>
        <w:tc>
          <w:tcPr>
            <w:tcW w:w="1250" w:type="pct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5 (1)</w:t>
            </w:r>
          </w:p>
        </w:tc>
        <w:tc>
          <w:tcPr>
            <w:tcW w:w="1250" w:type="pct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0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0718A" w:rsidRPr="008F7ACD" w:rsidRDefault="0020718A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CR+PR</w:t>
            </w:r>
            <w:r w:rsidRPr="008F7ACD">
              <w:rPr>
                <w:color w:val="000000"/>
                <w:szCs w:val="22"/>
                <w:vertAlign w:val="superscript"/>
              </w:rPr>
              <w:t>f</w:t>
            </w:r>
            <w:r w:rsidRPr="008F7ACD">
              <w:rPr>
                <w:color w:val="000000"/>
                <w:szCs w:val="22"/>
              </w:rPr>
              <w:t xml:space="preserve"> n (%) </w:t>
            </w:r>
          </w:p>
        </w:tc>
        <w:tc>
          <w:tcPr>
            <w:tcW w:w="1250" w:type="pct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238 (71)</w:t>
            </w:r>
          </w:p>
        </w:tc>
        <w:tc>
          <w:tcPr>
            <w:tcW w:w="1250" w:type="pct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115 (35)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0718A" w:rsidRPr="008F7ACD" w:rsidRDefault="002B43BA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p-hodnota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d</w:t>
            </w:r>
          </w:p>
        </w:tc>
        <w:tc>
          <w:tcPr>
            <w:tcW w:w="2501" w:type="pct"/>
            <w:gridSpan w:val="2"/>
            <w:hideMark/>
          </w:tcPr>
          <w:p w:rsidR="0020718A" w:rsidRPr="008F7ACD" w:rsidRDefault="0020718A" w:rsidP="002B43B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&lt;</w:t>
            </w:r>
            <w:r w:rsidR="002B43BA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10</w:t>
            </w:r>
            <w:r w:rsidRPr="008F7ACD">
              <w:rPr>
                <w:color w:val="000000"/>
                <w:szCs w:val="22"/>
                <w:vertAlign w:val="superscript"/>
              </w:rPr>
              <w:t>-10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B43BA" w:rsidRPr="008F7ACD" w:rsidRDefault="002B43BA" w:rsidP="002B43BA">
            <w:pPr>
              <w:autoSpaceDE w:val="0"/>
              <w:autoSpaceDN w:val="0"/>
              <w:adjustRightInd w:val="0"/>
              <w:ind w:left="0" w:firstLine="0"/>
              <w:rPr>
                <w:rFonts w:eastAsia="TimesNewRoman,Bold"/>
                <w:b/>
                <w:bCs/>
                <w:szCs w:val="22"/>
                <w:lang w:eastAsia="en-US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Zníženie sérového M-proteínu</w:t>
            </w:r>
          </w:p>
          <w:p w:rsidR="0020718A" w:rsidRPr="008F7ACD" w:rsidRDefault="002B43BA" w:rsidP="002B43B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populácia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g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n</w:t>
            </w:r>
            <w:r w:rsidR="00B929B4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=</w:t>
            </w:r>
            <w:r w:rsidR="00B929B4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667</w:t>
            </w:r>
          </w:p>
        </w:tc>
        <w:tc>
          <w:tcPr>
            <w:tcW w:w="1250" w:type="pct"/>
            <w:hideMark/>
          </w:tcPr>
          <w:p w:rsidR="008B43B1" w:rsidRPr="008F7ACD" w:rsidRDefault="008B43B1" w:rsidP="00C22352">
            <w:pPr>
              <w:jc w:val="center"/>
              <w:rPr>
                <w:color w:val="000000"/>
                <w:szCs w:val="22"/>
              </w:rPr>
            </w:pPr>
          </w:p>
          <w:p w:rsidR="0020718A" w:rsidRPr="008F7ACD" w:rsidRDefault="002219D1" w:rsidP="00C2235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n </w:t>
            </w:r>
            <w:r w:rsidR="0020718A" w:rsidRPr="008F7ACD">
              <w:rPr>
                <w:color w:val="000000"/>
                <w:szCs w:val="22"/>
              </w:rPr>
              <w:t>=336</w:t>
            </w:r>
          </w:p>
        </w:tc>
        <w:tc>
          <w:tcPr>
            <w:tcW w:w="1250" w:type="pct"/>
            <w:hideMark/>
          </w:tcPr>
          <w:p w:rsidR="008B43B1" w:rsidRPr="008F7ACD" w:rsidRDefault="008B43B1" w:rsidP="0020718A">
            <w:pPr>
              <w:jc w:val="center"/>
              <w:rPr>
                <w:color w:val="000000"/>
                <w:szCs w:val="22"/>
              </w:rPr>
            </w:pPr>
          </w:p>
          <w:p w:rsidR="0020718A" w:rsidRPr="008F7ACD" w:rsidRDefault="002219D1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n </w:t>
            </w:r>
            <w:r w:rsidR="0020718A" w:rsidRPr="008F7ACD">
              <w:rPr>
                <w:color w:val="000000"/>
                <w:szCs w:val="22"/>
              </w:rPr>
              <w:t>=</w:t>
            </w:r>
            <w:r w:rsidRPr="008F7ACD">
              <w:rPr>
                <w:color w:val="000000"/>
                <w:szCs w:val="22"/>
              </w:rPr>
              <w:t xml:space="preserve"> </w:t>
            </w:r>
            <w:r w:rsidR="0020718A" w:rsidRPr="008F7ACD">
              <w:rPr>
                <w:color w:val="000000"/>
                <w:szCs w:val="22"/>
              </w:rPr>
              <w:t>331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0718A" w:rsidRPr="008F7ACD" w:rsidRDefault="007E038F" w:rsidP="00A62985">
            <w:pPr>
              <w:rPr>
                <w:color w:val="000000"/>
                <w:szCs w:val="22"/>
              </w:rPr>
            </w:pPr>
            <w:r w:rsidRPr="008F7ACD">
              <w:rPr>
                <w:szCs w:val="22"/>
              </w:rPr>
              <w:t xml:space="preserve">≥ </w:t>
            </w:r>
            <w:r w:rsidR="0020718A" w:rsidRPr="008F7ACD">
              <w:rPr>
                <w:color w:val="000000"/>
                <w:szCs w:val="22"/>
              </w:rPr>
              <w:t>90</w:t>
            </w:r>
            <w:r w:rsidR="002B43BA" w:rsidRPr="008F7ACD">
              <w:rPr>
                <w:color w:val="000000"/>
                <w:szCs w:val="22"/>
              </w:rPr>
              <w:t> </w:t>
            </w:r>
            <w:r w:rsidR="0020718A" w:rsidRPr="008F7ACD">
              <w:rPr>
                <w:color w:val="000000"/>
                <w:szCs w:val="22"/>
              </w:rPr>
              <w:t xml:space="preserve">% n (%) </w:t>
            </w:r>
          </w:p>
        </w:tc>
        <w:tc>
          <w:tcPr>
            <w:tcW w:w="1250" w:type="pct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151 (45)</w:t>
            </w:r>
          </w:p>
        </w:tc>
        <w:tc>
          <w:tcPr>
            <w:tcW w:w="1250" w:type="pct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34 (10)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0718A" w:rsidRPr="008F7ACD" w:rsidRDefault="002B43BA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,Bold"/>
                <w:bCs/>
                <w:szCs w:val="22"/>
                <w:lang w:eastAsia="en-US"/>
              </w:rPr>
              <w:t>Čas do prvej odpovede v CR + PR</w:t>
            </w:r>
          </w:p>
        </w:tc>
        <w:tc>
          <w:tcPr>
            <w:tcW w:w="2501" w:type="pct"/>
            <w:gridSpan w:val="2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0718A" w:rsidRPr="008F7ACD" w:rsidRDefault="002B43BA" w:rsidP="002B43B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Stredná hodnota</w:t>
            </w:r>
            <w:r w:rsidR="0020718A" w:rsidRPr="008F7AC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250" w:type="pct"/>
            <w:hideMark/>
          </w:tcPr>
          <w:p w:rsidR="0020718A" w:rsidRPr="008F7ACD" w:rsidRDefault="0020718A" w:rsidP="002B43B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</w:t>
            </w:r>
            <w:r w:rsidR="002B43BA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4 m</w:t>
            </w:r>
            <w:r w:rsidR="002B43BA" w:rsidRPr="008F7ACD">
              <w:rPr>
                <w:color w:val="000000"/>
                <w:szCs w:val="22"/>
              </w:rPr>
              <w:t>es</w:t>
            </w:r>
          </w:p>
        </w:tc>
        <w:tc>
          <w:tcPr>
            <w:tcW w:w="1250" w:type="pct"/>
            <w:hideMark/>
          </w:tcPr>
          <w:p w:rsidR="0020718A" w:rsidRPr="008F7ACD" w:rsidRDefault="0020718A" w:rsidP="002B43B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4</w:t>
            </w:r>
            <w:r w:rsidR="002B43BA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2 m</w:t>
            </w:r>
            <w:r w:rsidR="002B43BA" w:rsidRPr="008F7ACD">
              <w:rPr>
                <w:color w:val="000000"/>
                <w:szCs w:val="22"/>
              </w:rPr>
              <w:t>es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0718A" w:rsidRPr="008F7ACD" w:rsidRDefault="002B43BA" w:rsidP="0020718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,Bold"/>
                <w:bCs/>
                <w:szCs w:val="22"/>
                <w:lang w:eastAsia="en-US"/>
              </w:rPr>
              <w:t>Stredná hodnota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a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,Bold"/>
                <w:bCs/>
                <w:szCs w:val="22"/>
                <w:lang w:eastAsia="en-US"/>
              </w:rPr>
              <w:t>trvania odpovede</w:t>
            </w:r>
          </w:p>
        </w:tc>
        <w:tc>
          <w:tcPr>
            <w:tcW w:w="2501" w:type="pct"/>
            <w:gridSpan w:val="2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0718A" w:rsidRPr="008F7ACD" w:rsidRDefault="0020718A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CR</w:t>
            </w:r>
            <w:r w:rsidRPr="008F7ACD">
              <w:rPr>
                <w:color w:val="000000"/>
                <w:szCs w:val="22"/>
                <w:vertAlign w:val="superscript"/>
              </w:rPr>
              <w:t>f</w:t>
            </w:r>
          </w:p>
        </w:tc>
        <w:tc>
          <w:tcPr>
            <w:tcW w:w="1250" w:type="pct"/>
            <w:hideMark/>
          </w:tcPr>
          <w:p w:rsidR="0020718A" w:rsidRPr="008F7ACD" w:rsidRDefault="0020718A" w:rsidP="002B43B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24</w:t>
            </w:r>
            <w:r w:rsidR="002B43BA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 m</w:t>
            </w:r>
            <w:r w:rsidR="002B43BA" w:rsidRPr="008F7ACD">
              <w:rPr>
                <w:color w:val="000000"/>
                <w:szCs w:val="22"/>
              </w:rPr>
              <w:t>es</w:t>
            </w:r>
          </w:p>
        </w:tc>
        <w:tc>
          <w:tcPr>
            <w:tcW w:w="1250" w:type="pct"/>
            <w:hideMark/>
          </w:tcPr>
          <w:p w:rsidR="0020718A" w:rsidRPr="008F7ACD" w:rsidRDefault="0020718A" w:rsidP="002B43B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12</w:t>
            </w:r>
            <w:r w:rsidR="002B43BA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8 m</w:t>
            </w:r>
            <w:r w:rsidR="002B43BA" w:rsidRPr="008F7ACD">
              <w:rPr>
                <w:color w:val="000000"/>
                <w:szCs w:val="22"/>
              </w:rPr>
              <w:t>es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0718A" w:rsidRPr="008F7ACD" w:rsidRDefault="0020718A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CR+PR</w:t>
            </w:r>
            <w:r w:rsidRPr="008F7ACD">
              <w:rPr>
                <w:color w:val="000000"/>
                <w:szCs w:val="22"/>
                <w:vertAlign w:val="superscript"/>
              </w:rPr>
              <w:t>f</w:t>
            </w:r>
          </w:p>
        </w:tc>
        <w:tc>
          <w:tcPr>
            <w:tcW w:w="1250" w:type="pct"/>
            <w:hideMark/>
          </w:tcPr>
          <w:p w:rsidR="0020718A" w:rsidRPr="008F7ACD" w:rsidRDefault="0020718A" w:rsidP="002B43B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19</w:t>
            </w:r>
            <w:r w:rsidR="002B43BA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9 m</w:t>
            </w:r>
            <w:r w:rsidR="002B43BA" w:rsidRPr="008F7ACD">
              <w:rPr>
                <w:color w:val="000000"/>
                <w:szCs w:val="22"/>
              </w:rPr>
              <w:t>es</w:t>
            </w:r>
          </w:p>
        </w:tc>
        <w:tc>
          <w:tcPr>
            <w:tcW w:w="1250" w:type="pct"/>
            <w:hideMark/>
          </w:tcPr>
          <w:p w:rsidR="0020718A" w:rsidRPr="008F7ACD" w:rsidRDefault="0020718A" w:rsidP="002B43B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13</w:t>
            </w:r>
            <w:r w:rsidR="002B43BA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1 m</w:t>
            </w:r>
            <w:r w:rsidR="002B43BA" w:rsidRPr="008F7ACD">
              <w:rPr>
                <w:color w:val="000000"/>
                <w:szCs w:val="22"/>
              </w:rPr>
              <w:t>es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B43BA" w:rsidRPr="008F7ACD" w:rsidRDefault="002B43BA" w:rsidP="002B43BA">
            <w:pPr>
              <w:autoSpaceDE w:val="0"/>
              <w:autoSpaceDN w:val="0"/>
              <w:adjustRightInd w:val="0"/>
              <w:ind w:left="0" w:firstLine="0"/>
              <w:rPr>
                <w:rFonts w:eastAsia="TimesNewRoman,Bold"/>
                <w:b/>
                <w:bCs/>
                <w:szCs w:val="22"/>
                <w:lang w:eastAsia="en-US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Čas do ďalšej liečby</w:t>
            </w:r>
          </w:p>
          <w:p w:rsidR="0020718A" w:rsidRPr="008F7ACD" w:rsidRDefault="002B43BA" w:rsidP="002B43BA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Udalosti n (%)</w:t>
            </w:r>
          </w:p>
        </w:tc>
        <w:tc>
          <w:tcPr>
            <w:tcW w:w="1250" w:type="pct"/>
            <w:hideMark/>
          </w:tcPr>
          <w:p w:rsidR="008B43B1" w:rsidRPr="008F7ACD" w:rsidRDefault="008B43B1" w:rsidP="005641E1">
            <w:pPr>
              <w:jc w:val="center"/>
              <w:rPr>
                <w:color w:val="000000"/>
                <w:szCs w:val="22"/>
              </w:rPr>
            </w:pPr>
          </w:p>
          <w:p w:rsidR="0020718A" w:rsidRPr="008F7ACD" w:rsidRDefault="0020718A" w:rsidP="005641E1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224 (65</w:t>
            </w:r>
            <w:r w:rsidR="005641E1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1)</w:t>
            </w:r>
          </w:p>
        </w:tc>
        <w:tc>
          <w:tcPr>
            <w:tcW w:w="1250" w:type="pct"/>
            <w:hideMark/>
          </w:tcPr>
          <w:p w:rsidR="008B43B1" w:rsidRPr="008F7ACD" w:rsidRDefault="008B43B1" w:rsidP="005641E1">
            <w:pPr>
              <w:jc w:val="center"/>
              <w:rPr>
                <w:color w:val="000000"/>
                <w:szCs w:val="22"/>
              </w:rPr>
            </w:pPr>
          </w:p>
          <w:p w:rsidR="0020718A" w:rsidRPr="008F7ACD" w:rsidRDefault="0020718A" w:rsidP="005641E1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260 (76</w:t>
            </w:r>
            <w:r w:rsidR="005641E1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9)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20718A" w:rsidRPr="008F7ACD" w:rsidRDefault="005641E1" w:rsidP="005641E1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Stredná hodnota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a</w:t>
            </w:r>
            <w:r w:rsidRPr="008F7ACD">
              <w:rPr>
                <w:rFonts w:eastAsia="TimesNewRoman"/>
                <w:szCs w:val="22"/>
                <w:lang w:eastAsia="en-US"/>
              </w:rPr>
              <w:t xml:space="preserve"> (95 % CI)</w:t>
            </w:r>
          </w:p>
        </w:tc>
        <w:tc>
          <w:tcPr>
            <w:tcW w:w="1250" w:type="pct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27</w:t>
            </w:r>
            <w:r w:rsidR="005641E1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 m</w:t>
            </w:r>
            <w:r w:rsidR="005641E1" w:rsidRPr="008F7ACD">
              <w:rPr>
                <w:color w:val="000000"/>
                <w:szCs w:val="22"/>
              </w:rPr>
              <w:t>es</w:t>
            </w:r>
          </w:p>
          <w:p w:rsidR="0020718A" w:rsidRPr="008F7ACD" w:rsidRDefault="0020718A" w:rsidP="005641E1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(24</w:t>
            </w:r>
            <w:r w:rsidR="005641E1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7</w:t>
            </w:r>
            <w:r w:rsidR="005641E1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31</w:t>
            </w:r>
            <w:r w:rsidR="005641E1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1)</w:t>
            </w:r>
          </w:p>
        </w:tc>
        <w:tc>
          <w:tcPr>
            <w:tcW w:w="1250" w:type="pct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19</w:t>
            </w:r>
            <w:r w:rsidR="005641E1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2 m</w:t>
            </w:r>
            <w:r w:rsidR="005641E1" w:rsidRPr="008F7ACD">
              <w:rPr>
                <w:color w:val="000000"/>
                <w:szCs w:val="22"/>
              </w:rPr>
              <w:t>es</w:t>
            </w:r>
          </w:p>
          <w:p w:rsidR="0020718A" w:rsidRPr="008F7ACD" w:rsidRDefault="0020718A" w:rsidP="005641E1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(17</w:t>
            </w:r>
            <w:r w:rsidR="005641E1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</w:t>
            </w:r>
            <w:r w:rsidR="005641E1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21</w:t>
            </w:r>
            <w:r w:rsidR="005641E1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0)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hideMark/>
          </w:tcPr>
          <w:p w:rsidR="005641E1" w:rsidRPr="008F7ACD" w:rsidRDefault="005641E1" w:rsidP="005641E1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Miera rizika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b</w:t>
            </w:r>
          </w:p>
          <w:p w:rsidR="0020718A" w:rsidRPr="008F7ACD" w:rsidRDefault="005641E1" w:rsidP="005641E1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(95 % CI)</w:t>
            </w:r>
          </w:p>
        </w:tc>
        <w:tc>
          <w:tcPr>
            <w:tcW w:w="2501" w:type="pct"/>
            <w:gridSpan w:val="2"/>
            <w:hideMark/>
          </w:tcPr>
          <w:p w:rsidR="0020718A" w:rsidRPr="008F7ACD" w:rsidRDefault="0020718A" w:rsidP="0020718A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0</w:t>
            </w:r>
            <w:r w:rsidR="005641E1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557</w:t>
            </w:r>
          </w:p>
          <w:p w:rsidR="0020718A" w:rsidRPr="008F7ACD" w:rsidRDefault="0020718A" w:rsidP="005641E1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(0</w:t>
            </w:r>
            <w:r w:rsidR="005641E1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462</w:t>
            </w:r>
            <w:r w:rsidR="005641E1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0</w:t>
            </w:r>
            <w:r w:rsidR="005641E1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671)</w:t>
            </w:r>
          </w:p>
        </w:tc>
      </w:tr>
      <w:tr w:rsidR="0020718A" w:rsidRPr="008F7ACD" w:rsidTr="005641E1">
        <w:trPr>
          <w:tblCellSpacing w:w="0" w:type="dxa"/>
        </w:trPr>
        <w:tc>
          <w:tcPr>
            <w:tcW w:w="24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0718A" w:rsidRPr="008F7ACD" w:rsidRDefault="0020718A" w:rsidP="005641E1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p-</w:t>
            </w:r>
            <w:r w:rsidR="005641E1" w:rsidRPr="008F7ACD">
              <w:rPr>
                <w:color w:val="000000"/>
                <w:szCs w:val="22"/>
              </w:rPr>
              <w:t>hodnota</w:t>
            </w:r>
            <w:r w:rsidRPr="008F7ACD">
              <w:rPr>
                <w:color w:val="000000"/>
                <w:szCs w:val="22"/>
                <w:vertAlign w:val="superscript"/>
              </w:rPr>
              <w:t>c</w:t>
            </w:r>
          </w:p>
        </w:tc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0718A" w:rsidRPr="008F7ACD" w:rsidRDefault="0020718A" w:rsidP="005641E1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&lt;</w:t>
            </w:r>
            <w:r w:rsidR="005641E1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0</w:t>
            </w:r>
            <w:r w:rsidR="005641E1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000001</w:t>
            </w:r>
          </w:p>
        </w:tc>
      </w:tr>
    </w:tbl>
    <w:p w:rsidR="005641E1" w:rsidRPr="008F7ACD" w:rsidRDefault="005641E1" w:rsidP="005641E1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a</w:t>
      </w:r>
      <w:r w:rsidRPr="008F7ACD">
        <w:rPr>
          <w:rFonts w:eastAsia="TimesNewRoman"/>
          <w:szCs w:val="22"/>
          <w:lang w:eastAsia="en-US"/>
        </w:rPr>
        <w:t xml:space="preserve"> Kaplanov-Meierov odhad</w:t>
      </w:r>
    </w:p>
    <w:p w:rsidR="005641E1" w:rsidRPr="008F7ACD" w:rsidRDefault="005641E1" w:rsidP="005641E1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 xml:space="preserve"> Odhad miery rizika je založený na Coxovom modeli proporcionálnych rizík upravenom pre stratifikačné faktory: ß</w:t>
      </w:r>
      <w:r w:rsidRPr="008F7ACD">
        <w:rPr>
          <w:rFonts w:eastAsia="TimesNewRoman"/>
          <w:szCs w:val="22"/>
          <w:vertAlign w:val="sub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>-mikroglobulín, albumín a región. Miera rizika menšia ako 1 znamená výhodu pre BMP</w:t>
      </w:r>
    </w:p>
    <w:p w:rsidR="005641E1" w:rsidRPr="008F7ACD" w:rsidRDefault="005641E1" w:rsidP="005641E1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c</w:t>
      </w:r>
      <w:r w:rsidRPr="008F7ACD">
        <w:rPr>
          <w:rFonts w:eastAsia="TimesNewRoman"/>
          <w:szCs w:val="22"/>
          <w:lang w:eastAsia="en-US"/>
        </w:rPr>
        <w:t xml:space="preserve"> Nominálna p-hodnota založená na rozvrstvenom log-rank teste upravenom pre stratifikačné faktory:</w:t>
      </w:r>
    </w:p>
    <w:p w:rsidR="005641E1" w:rsidRPr="008F7ACD" w:rsidRDefault="005641E1" w:rsidP="005641E1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color w:val="000000"/>
          <w:szCs w:val="22"/>
        </w:rPr>
        <w:t>β</w:t>
      </w:r>
      <w:r w:rsidRPr="008F7ACD">
        <w:rPr>
          <w:color w:val="000000"/>
          <w:szCs w:val="22"/>
          <w:vertAlign w:val="subscript"/>
        </w:rPr>
        <w:t>2</w:t>
      </w:r>
      <w:r w:rsidRPr="008F7ACD">
        <w:rPr>
          <w:rFonts w:eastAsia="TimesNewRoman"/>
          <w:szCs w:val="22"/>
          <w:lang w:eastAsia="en-US"/>
        </w:rPr>
        <w:t>-mikroglobulín, albumín a región</w:t>
      </w:r>
    </w:p>
    <w:p w:rsidR="005641E1" w:rsidRPr="008F7ACD" w:rsidRDefault="005641E1" w:rsidP="005641E1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d</w:t>
      </w:r>
      <w:r w:rsidRPr="008F7ACD">
        <w:rPr>
          <w:rFonts w:eastAsia="TimesNewRoman"/>
          <w:szCs w:val="22"/>
          <w:lang w:eastAsia="en-US"/>
        </w:rPr>
        <w:t xml:space="preserve"> p-hodnota pre mieru odpovede (CR+PR) z Cochranovho-Mantelovho-Haenszelovho chí-kvadrant testu upraveného pre stratifikačné faktory</w:t>
      </w:r>
    </w:p>
    <w:p w:rsidR="005641E1" w:rsidRPr="008F7ACD" w:rsidRDefault="005641E1" w:rsidP="005641E1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e</w:t>
      </w:r>
      <w:r w:rsidRPr="008F7ACD">
        <w:rPr>
          <w:rFonts w:eastAsia="TimesNewRoman"/>
          <w:szCs w:val="22"/>
          <w:lang w:eastAsia="en-US"/>
        </w:rPr>
        <w:t xml:space="preserve"> Reagujúca populácia zahŕňa pacientov, ktorí mali na začiatku merateľné ochorenie</w:t>
      </w:r>
    </w:p>
    <w:p w:rsidR="005641E1" w:rsidRPr="008F7ACD" w:rsidRDefault="005641E1" w:rsidP="005641E1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f</w:t>
      </w:r>
      <w:r w:rsidRPr="008F7ACD">
        <w:rPr>
          <w:rFonts w:eastAsia="TimesNewRoman"/>
          <w:szCs w:val="22"/>
          <w:lang w:eastAsia="en-US"/>
        </w:rPr>
        <w:t xml:space="preserve"> CR = kompletná odpoveď (z angl. complete response); PR = čiastočná odpoveď (z angl. partial response). EBMT kritérium</w:t>
      </w:r>
    </w:p>
    <w:p w:rsidR="005641E1" w:rsidRPr="008F7ACD" w:rsidRDefault="005641E1" w:rsidP="005641E1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g</w:t>
      </w:r>
      <w:r w:rsidRPr="008F7ACD">
        <w:rPr>
          <w:rFonts w:eastAsia="TimesNewRoman"/>
          <w:szCs w:val="22"/>
          <w:lang w:eastAsia="en-US"/>
        </w:rPr>
        <w:t xml:space="preserve"> Všetci randomizovaní pacienti s ochorením vylučovania</w:t>
      </w:r>
    </w:p>
    <w:p w:rsidR="005641E1" w:rsidRPr="008F7ACD" w:rsidRDefault="005641E1" w:rsidP="005641E1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* Aktualizácia údajov o prežívaní na základe mediánu dĺžky sledovania 60,1 mesiacov</w:t>
      </w:r>
    </w:p>
    <w:p w:rsidR="005641E1" w:rsidRPr="008F7ACD" w:rsidRDefault="005641E1" w:rsidP="005641E1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mes: mesiace</w:t>
      </w:r>
    </w:p>
    <w:p w:rsidR="0020718A" w:rsidRPr="008F7ACD" w:rsidRDefault="005641E1" w:rsidP="005641E1">
      <w:pPr>
        <w:rPr>
          <w:color w:val="000000"/>
          <w:szCs w:val="22"/>
        </w:rPr>
      </w:pPr>
      <w:r w:rsidRPr="008F7ACD">
        <w:rPr>
          <w:rFonts w:eastAsia="TimesNewRoman"/>
          <w:szCs w:val="22"/>
          <w:lang w:eastAsia="en-US"/>
        </w:rPr>
        <w:t>CI = interval spoľahlivosti (z angl. confidence interval)</w:t>
      </w:r>
    </w:p>
    <w:p w:rsidR="0020718A" w:rsidRPr="008F7ACD" w:rsidRDefault="0020718A" w:rsidP="00615D7C">
      <w:pPr>
        <w:ind w:left="0" w:firstLine="0"/>
        <w:rPr>
          <w:rFonts w:eastAsia="TimesNewRoman"/>
          <w:b/>
          <w:szCs w:val="22"/>
          <w:lang w:eastAsia="en-US"/>
        </w:rPr>
      </w:pPr>
    </w:p>
    <w:p w:rsidR="00615D7C" w:rsidRPr="008F7ACD" w:rsidRDefault="00615D7C" w:rsidP="00615D7C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Pacienti vhodní na transplantáciu kmeňových buniek</w:t>
      </w:r>
    </w:p>
    <w:p w:rsidR="00615D7C" w:rsidRPr="008F7ACD" w:rsidRDefault="00615D7C" w:rsidP="00615D7C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lastRenderedPageBreak/>
        <w:t>Vykonali sa dve randomizované, otvorené, multicentrické štúdie fázy III (IFM-2005-01, MMY-3010),</w:t>
      </w:r>
      <w:r w:rsidR="005641E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aby sa preukázala bezpečnosť a účinnosť </w:t>
      </w:r>
      <w:r w:rsidR="005641E1" w:rsidRPr="008F7ACD">
        <w:rPr>
          <w:rFonts w:eastAsia="TimesNewRoman"/>
          <w:szCs w:val="22"/>
          <w:lang w:eastAsia="en-US"/>
        </w:rPr>
        <w:t>bortezomibu</w:t>
      </w:r>
      <w:r w:rsidRPr="008F7ACD">
        <w:rPr>
          <w:rFonts w:eastAsia="TimesNewRoman"/>
          <w:szCs w:val="22"/>
          <w:lang w:eastAsia="en-US"/>
        </w:rPr>
        <w:t xml:space="preserve"> v dvoj- a trojkombinácii s inými</w:t>
      </w:r>
      <w:r w:rsidR="005641E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chemoterapeutickými látkami, ako indukčná liečba pred transplantáciou kmeňových buniek</w:t>
      </w:r>
      <w:r w:rsidR="005641E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u</w:t>
      </w:r>
      <w:r w:rsidR="005641E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pacientov s doteraz neliečeným mnohopočetným myelómom.</w:t>
      </w:r>
    </w:p>
    <w:p w:rsidR="005641E1" w:rsidRPr="008F7ACD" w:rsidRDefault="005641E1" w:rsidP="00615D7C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615D7C" w:rsidRPr="008F7ACD" w:rsidRDefault="00615D7C" w:rsidP="00615D7C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V štúdii IFM-2005-01 bol </w:t>
      </w:r>
      <w:r w:rsidR="005641E1" w:rsidRPr="008F7ACD">
        <w:rPr>
          <w:rFonts w:eastAsia="TimesNewRoman"/>
          <w:szCs w:val="22"/>
          <w:lang w:eastAsia="en-US"/>
        </w:rPr>
        <w:t>bortezomib</w:t>
      </w:r>
      <w:r w:rsidRPr="008F7ACD">
        <w:rPr>
          <w:rFonts w:eastAsia="TimesNewRoman"/>
          <w:szCs w:val="22"/>
          <w:lang w:eastAsia="en-US"/>
        </w:rPr>
        <w:t xml:space="preserve"> kombinovaný s dexametazónom [</w:t>
      </w:r>
      <w:r w:rsidR="005641E1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Dx, n = 240] porovnávaný</w:t>
      </w:r>
      <w:r w:rsidR="005641E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</w:t>
      </w:r>
      <w:r w:rsidR="005641E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vinkristínom-doxorubicínom-dexametazónom [</w:t>
      </w:r>
      <w:r w:rsidR="000A7ABD" w:rsidRPr="008F7ACD">
        <w:rPr>
          <w:rFonts w:eastAsia="TimesNewRoman"/>
          <w:szCs w:val="22"/>
          <w:lang w:eastAsia="en-US"/>
        </w:rPr>
        <w:t>V</w:t>
      </w:r>
      <w:r w:rsidRPr="008F7ACD">
        <w:rPr>
          <w:rFonts w:eastAsia="TimesNewRoman"/>
          <w:szCs w:val="22"/>
          <w:lang w:eastAsia="en-US"/>
        </w:rPr>
        <w:t xml:space="preserve">DDx, n = 242]. Pacienti v skupine s </w:t>
      </w:r>
      <w:r w:rsidR="005641E1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Dx dostali</w:t>
      </w:r>
      <w:r w:rsidR="005641E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štyri 21-dňové cykly, každý pozostával z </w:t>
      </w:r>
      <w:r w:rsidR="005641E1" w:rsidRPr="008F7ACD">
        <w:rPr>
          <w:rFonts w:eastAsia="TimesNewRoman"/>
          <w:szCs w:val="22"/>
          <w:lang w:eastAsia="en-US"/>
        </w:rPr>
        <w:t xml:space="preserve">podávania bortezomibu </w:t>
      </w:r>
      <w:r w:rsidRPr="008F7ACD">
        <w:rPr>
          <w:rFonts w:eastAsia="TimesNewRoman"/>
          <w:szCs w:val="22"/>
          <w:lang w:eastAsia="en-US"/>
        </w:rPr>
        <w:t>(1,3</w:t>
      </w:r>
      <w:r w:rsidR="005641E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podávaný intravenózne dvakrát</w:t>
      </w:r>
      <w:r w:rsidR="005641E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týždenne v 1., 4., 8. a 11. deň) a dexametazónu</w:t>
      </w:r>
      <w:r w:rsidR="005641E1" w:rsidRPr="008F7ACD">
        <w:rPr>
          <w:rFonts w:eastAsia="TimesNewRoman"/>
          <w:szCs w:val="22"/>
          <w:lang w:eastAsia="en-US"/>
        </w:rPr>
        <w:t xml:space="preserve"> </w:t>
      </w:r>
      <w:r w:rsidR="009B070A" w:rsidRPr="008F7ACD">
        <w:rPr>
          <w:rFonts w:eastAsia="TimesNewRoman"/>
          <w:szCs w:val="22"/>
          <w:lang w:eastAsia="en-US"/>
        </w:rPr>
        <w:t xml:space="preserve">podávaného </w:t>
      </w:r>
      <w:r w:rsidR="005641E1" w:rsidRPr="008F7ACD">
        <w:rPr>
          <w:rFonts w:eastAsia="TimesNewRoman"/>
          <w:szCs w:val="22"/>
          <w:lang w:eastAsia="en-US"/>
        </w:rPr>
        <w:t xml:space="preserve">perorálne </w:t>
      </w:r>
      <w:r w:rsidRPr="008F7ACD">
        <w:rPr>
          <w:rFonts w:eastAsia="TimesNewRoman"/>
          <w:szCs w:val="22"/>
          <w:lang w:eastAsia="en-US"/>
        </w:rPr>
        <w:t>(40</w:t>
      </w:r>
      <w:r w:rsidR="005641E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mg/deň v 1. až 4. deň a 9. až 12.</w:t>
      </w:r>
      <w:r w:rsidR="005641E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deň,</w:t>
      </w:r>
      <w:r w:rsidR="005641E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 1. a 2. cy</w:t>
      </w:r>
      <w:r w:rsidR="000563B9" w:rsidRPr="008F7ACD">
        <w:rPr>
          <w:rFonts w:eastAsia="TimesNewRoman"/>
          <w:szCs w:val="22"/>
          <w:lang w:eastAsia="en-US"/>
        </w:rPr>
        <w:t>k</w:t>
      </w:r>
      <w:r w:rsidRPr="008F7ACD">
        <w:rPr>
          <w:rFonts w:eastAsia="TimesNewRoman"/>
          <w:szCs w:val="22"/>
          <w:lang w:eastAsia="en-US"/>
        </w:rPr>
        <w:t>le a 1. až 4. deň v 3. a 4. cykle).</w:t>
      </w:r>
    </w:p>
    <w:p w:rsidR="00615D7C" w:rsidRPr="008F7ACD" w:rsidRDefault="00615D7C" w:rsidP="00615D7C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Autológne transplantácie kmeňových buniek boli vykonan</w:t>
      </w:r>
      <w:r w:rsidR="00DE1F62" w:rsidRPr="008F7ACD">
        <w:rPr>
          <w:rFonts w:eastAsia="TimesNewRoman"/>
          <w:szCs w:val="22"/>
          <w:lang w:eastAsia="en-US"/>
        </w:rPr>
        <w:t>é</w:t>
      </w:r>
      <w:r w:rsidRPr="008F7ACD">
        <w:rPr>
          <w:rFonts w:eastAsia="TimesNewRoman"/>
          <w:szCs w:val="22"/>
          <w:lang w:eastAsia="en-US"/>
        </w:rPr>
        <w:t xml:space="preserve"> u 198 (82</w:t>
      </w:r>
      <w:r w:rsidR="005641E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%) pacientov v skupine s </w:t>
      </w:r>
      <w:r w:rsidR="000A7ABD" w:rsidRPr="008F7ACD">
        <w:rPr>
          <w:rFonts w:eastAsia="TimesNewRoman"/>
          <w:szCs w:val="22"/>
          <w:lang w:eastAsia="en-US"/>
        </w:rPr>
        <w:t>V</w:t>
      </w:r>
      <w:r w:rsidRPr="008F7ACD">
        <w:rPr>
          <w:rFonts w:eastAsia="TimesNewRoman"/>
          <w:szCs w:val="22"/>
          <w:lang w:eastAsia="en-US"/>
        </w:rPr>
        <w:t>DDx</w:t>
      </w:r>
      <w:r w:rsidR="005641E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a u 208 (87</w:t>
      </w:r>
      <w:r w:rsidR="005641E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%) pacientov v skupine s </w:t>
      </w:r>
      <w:r w:rsidR="005641E1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Dx; väčšina pacientov podstúpila jednu transplantáciu.</w:t>
      </w:r>
      <w:r w:rsidR="000C053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</w:t>
      </w:r>
      <w:r w:rsidR="000C053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oboch liečených skupinách bol podobný demografický profil pacientov ako aj východiskový</w:t>
      </w:r>
      <w:r w:rsidR="000C053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charakter ochorenia. Priemerný vek pacientov v štúdii bol 57 rokov, 55</w:t>
      </w:r>
      <w:r w:rsidR="000C053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bolo mužov a 48</w:t>
      </w:r>
      <w:r w:rsidR="000C053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</w:t>
      </w:r>
      <w:r w:rsidR="000C053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pacientov malo vysoko rizikovú cytogenetiku. Priemerné trvanie liečby bolo 13 týždňov pre skupinu</w:t>
      </w:r>
      <w:r w:rsidR="000C0536" w:rsidRPr="008F7ACD">
        <w:rPr>
          <w:rFonts w:eastAsia="TimesNewRoman"/>
          <w:szCs w:val="22"/>
          <w:lang w:eastAsia="en-US"/>
        </w:rPr>
        <w:t xml:space="preserve"> </w:t>
      </w:r>
      <w:r w:rsidR="000A7ABD" w:rsidRPr="008F7ACD">
        <w:rPr>
          <w:rFonts w:eastAsia="TimesNewRoman"/>
          <w:szCs w:val="22"/>
          <w:lang w:eastAsia="en-US"/>
        </w:rPr>
        <w:t>V</w:t>
      </w:r>
      <w:r w:rsidRPr="008F7ACD">
        <w:rPr>
          <w:rFonts w:eastAsia="TimesNewRoman"/>
          <w:szCs w:val="22"/>
          <w:lang w:eastAsia="en-US"/>
        </w:rPr>
        <w:t xml:space="preserve">DDx a 11 týždňov pre skupinu </w:t>
      </w:r>
      <w:r w:rsidR="000C0536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Dx. Priemerný počet cyklov podaných v oboch skupinách bol</w:t>
      </w:r>
      <w:r w:rsidR="000C053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4 cykly.</w:t>
      </w:r>
    </w:p>
    <w:p w:rsidR="00615D7C" w:rsidRPr="008F7ACD" w:rsidRDefault="00615D7C" w:rsidP="000A7ABD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Primárny </w:t>
      </w:r>
      <w:r w:rsidR="000563B9" w:rsidRPr="008F7ACD">
        <w:rPr>
          <w:rFonts w:eastAsia="TimesNewRoman"/>
          <w:szCs w:val="22"/>
          <w:lang w:eastAsia="en-US"/>
        </w:rPr>
        <w:t>koncový ukazovateľ</w:t>
      </w:r>
      <w:r w:rsidRPr="008F7ACD">
        <w:rPr>
          <w:rFonts w:eastAsia="TimesNewRoman"/>
          <w:szCs w:val="22"/>
          <w:lang w:eastAsia="en-US"/>
        </w:rPr>
        <w:t xml:space="preserve"> účinnosti štúdie bola miera post-indukčnej odpovede (CR+nCR). Štatisticky významné</w:t>
      </w:r>
      <w:r w:rsidR="000A7AB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rozdiely CR+nCR boli pozorované v prospech skupiny s </w:t>
      </w:r>
      <w:r w:rsidR="000A7ABD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kombinovaným</w:t>
      </w:r>
      <w:r w:rsidR="000A7AB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</w:t>
      </w:r>
      <w:r w:rsidR="000A7AB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dexametazónom. Sekundárne </w:t>
      </w:r>
      <w:r w:rsidR="000563B9" w:rsidRPr="008F7ACD">
        <w:rPr>
          <w:rFonts w:eastAsia="TimesNewRoman"/>
          <w:szCs w:val="22"/>
          <w:lang w:eastAsia="en-US"/>
        </w:rPr>
        <w:t>koncové ukazovatele</w:t>
      </w:r>
      <w:r w:rsidRPr="008F7ACD">
        <w:rPr>
          <w:rFonts w:eastAsia="TimesNewRoman"/>
          <w:szCs w:val="22"/>
          <w:lang w:eastAsia="en-US"/>
        </w:rPr>
        <w:t xml:space="preserve"> účinnosti zahŕňali post-transplantačné miery odpovede</w:t>
      </w:r>
      <w:r w:rsidR="000A7AB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(CR+nCR, CR+nCR+VGPR+PR), prežívanie bez progresie a celkové prežívanie. Hlavné výsledky</w:t>
      </w:r>
      <w:r w:rsidR="000A7AB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účinnosti sú uvedené v tabuľke 12.</w:t>
      </w:r>
    </w:p>
    <w:p w:rsidR="00615D7C" w:rsidRPr="008F7ACD" w:rsidRDefault="00615D7C" w:rsidP="00615D7C">
      <w:pPr>
        <w:ind w:left="0" w:firstLine="0"/>
        <w:rPr>
          <w:rFonts w:eastAsia="TimesNewRoman"/>
          <w:szCs w:val="22"/>
          <w:lang w:eastAsia="en-US"/>
        </w:rPr>
      </w:pPr>
    </w:p>
    <w:p w:rsidR="0020718A" w:rsidRPr="008F7ACD" w:rsidRDefault="000A7ABD" w:rsidP="0020718A">
      <w:pPr>
        <w:rPr>
          <w:color w:val="000000"/>
          <w:szCs w:val="22"/>
        </w:rPr>
      </w:pPr>
      <w:r w:rsidRPr="008F7ACD">
        <w:rPr>
          <w:rFonts w:eastAsia="TimesNewRoman,Italic"/>
          <w:i/>
          <w:iCs/>
          <w:szCs w:val="22"/>
          <w:lang w:eastAsia="en-US"/>
        </w:rPr>
        <w:t>Tabuľka 12: Výsledky účinnosti zo štúdie IFM-2005-01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42"/>
        <w:gridCol w:w="2268"/>
        <w:gridCol w:w="2268"/>
        <w:gridCol w:w="2342"/>
      </w:tblGrid>
      <w:tr w:rsidR="0020718A" w:rsidRPr="008F7ACD" w:rsidTr="000A7ABD">
        <w:trPr>
          <w:tblCellSpacing w:w="0" w:type="dxa"/>
        </w:trPr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718A" w:rsidRPr="008F7ACD" w:rsidRDefault="000A7ABD" w:rsidP="000A7ABD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Koncové ukazovatele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718A" w:rsidRPr="008F7ACD" w:rsidRDefault="0020718A" w:rsidP="0020718A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BDx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718A" w:rsidRPr="008F7ACD" w:rsidRDefault="0020718A" w:rsidP="0020718A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VDDx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ABD" w:rsidRPr="008F7ACD" w:rsidRDefault="0020718A" w:rsidP="000A7ABD">
            <w:pPr>
              <w:rPr>
                <w:b/>
                <w:bCs/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OR; 95</w:t>
            </w:r>
            <w:r w:rsidR="000A7ABD" w:rsidRPr="008F7ACD">
              <w:rPr>
                <w:b/>
                <w:bCs/>
                <w:color w:val="000000"/>
                <w:szCs w:val="22"/>
              </w:rPr>
              <w:t> </w:t>
            </w:r>
            <w:r w:rsidRPr="008F7ACD">
              <w:rPr>
                <w:b/>
                <w:bCs/>
                <w:color w:val="000000"/>
                <w:szCs w:val="22"/>
              </w:rPr>
              <w:t>% CI;</w:t>
            </w:r>
          </w:p>
          <w:p w:rsidR="0020718A" w:rsidRPr="008F7ACD" w:rsidRDefault="0020718A" w:rsidP="000A7ABD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 xml:space="preserve"> </w:t>
            </w:r>
            <w:r w:rsidR="000A7ABD" w:rsidRPr="008F7ACD">
              <w:rPr>
                <w:b/>
                <w:bCs/>
                <w:color w:val="000000"/>
                <w:szCs w:val="22"/>
              </w:rPr>
              <w:t>p-hodnota</w:t>
            </w:r>
            <w:r w:rsidRPr="008F7ACD">
              <w:rPr>
                <w:b/>
                <w:bCs/>
                <w:color w:val="000000"/>
                <w:szCs w:val="22"/>
                <w:vertAlign w:val="superscript"/>
              </w:rPr>
              <w:t>a</w:t>
            </w:r>
          </w:p>
        </w:tc>
      </w:tr>
      <w:tr w:rsidR="0020718A" w:rsidRPr="008F7ACD" w:rsidTr="000A7ABD">
        <w:trPr>
          <w:tblCellSpacing w:w="0" w:type="dxa"/>
        </w:trPr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718A" w:rsidRPr="008F7ACD" w:rsidRDefault="0020718A" w:rsidP="0020718A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IFM-2005-01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352" w:rsidRPr="008F7ACD" w:rsidRDefault="00DE1F62" w:rsidP="00C22352">
            <w:pPr>
              <w:ind w:left="0" w:firstLine="0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n </w:t>
            </w:r>
            <w:r w:rsidR="0020718A" w:rsidRPr="008F7ACD">
              <w:rPr>
                <w:color w:val="000000"/>
                <w:szCs w:val="22"/>
              </w:rPr>
              <w:t>=</w:t>
            </w:r>
            <w:r w:rsidRPr="008F7ACD">
              <w:rPr>
                <w:color w:val="000000"/>
                <w:szCs w:val="22"/>
              </w:rPr>
              <w:t xml:space="preserve"> </w:t>
            </w:r>
            <w:r w:rsidR="0020718A" w:rsidRPr="008F7ACD">
              <w:rPr>
                <w:color w:val="000000"/>
                <w:szCs w:val="22"/>
              </w:rPr>
              <w:t xml:space="preserve">240 </w:t>
            </w:r>
          </w:p>
          <w:p w:rsidR="0020718A" w:rsidRPr="008F7ACD" w:rsidRDefault="0020718A" w:rsidP="00C22352">
            <w:pPr>
              <w:ind w:left="0" w:firstLine="0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(ITT popul</w:t>
            </w:r>
            <w:r w:rsidR="000A7ABD" w:rsidRPr="008F7ACD">
              <w:rPr>
                <w:color w:val="000000"/>
                <w:szCs w:val="22"/>
              </w:rPr>
              <w:t>ácia</w:t>
            </w:r>
            <w:r w:rsidRPr="008F7ACD">
              <w:rPr>
                <w:color w:val="000000"/>
                <w:szCs w:val="22"/>
              </w:rPr>
              <w:t xml:space="preserve">) 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352" w:rsidRPr="008F7ACD" w:rsidRDefault="00DE1F62" w:rsidP="00C22352">
            <w:pPr>
              <w:ind w:left="0" w:firstLine="0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n </w:t>
            </w:r>
            <w:r w:rsidR="0020718A" w:rsidRPr="008F7ACD">
              <w:rPr>
                <w:color w:val="000000"/>
                <w:szCs w:val="22"/>
              </w:rPr>
              <w:t>=</w:t>
            </w:r>
            <w:r w:rsidRPr="008F7ACD">
              <w:rPr>
                <w:color w:val="000000"/>
                <w:szCs w:val="22"/>
              </w:rPr>
              <w:t xml:space="preserve"> </w:t>
            </w:r>
            <w:r w:rsidR="0020718A" w:rsidRPr="008F7ACD">
              <w:rPr>
                <w:color w:val="000000"/>
                <w:szCs w:val="22"/>
              </w:rPr>
              <w:t xml:space="preserve">242 </w:t>
            </w:r>
          </w:p>
          <w:p w:rsidR="0020718A" w:rsidRPr="008F7ACD" w:rsidRDefault="0020718A" w:rsidP="00C22352">
            <w:pPr>
              <w:ind w:left="0" w:firstLine="0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(ITT popul</w:t>
            </w:r>
            <w:r w:rsidR="000A7ABD" w:rsidRPr="008F7ACD">
              <w:rPr>
                <w:color w:val="000000"/>
                <w:szCs w:val="22"/>
              </w:rPr>
              <w:t>ácia</w:t>
            </w:r>
            <w:r w:rsidRPr="008F7ACD">
              <w:rPr>
                <w:color w:val="000000"/>
                <w:szCs w:val="22"/>
              </w:rPr>
              <w:t xml:space="preserve">) 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718A" w:rsidRPr="008F7ACD" w:rsidRDefault="0020718A" w:rsidP="0020718A">
            <w:pPr>
              <w:rPr>
                <w:color w:val="000000"/>
                <w:szCs w:val="22"/>
              </w:rPr>
            </w:pPr>
          </w:p>
        </w:tc>
      </w:tr>
      <w:tr w:rsidR="0020718A" w:rsidRPr="008F7ACD" w:rsidTr="000A7ABD">
        <w:trPr>
          <w:tblCellSpacing w:w="0" w:type="dxa"/>
        </w:trPr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718A" w:rsidRPr="008F7ACD" w:rsidRDefault="0020718A" w:rsidP="0020718A">
            <w:pPr>
              <w:rPr>
                <w:color w:val="000000"/>
                <w:szCs w:val="22"/>
              </w:rPr>
            </w:pPr>
            <w:r w:rsidRPr="008F7ACD">
              <w:rPr>
                <w:i/>
                <w:iCs/>
                <w:color w:val="000000"/>
                <w:szCs w:val="22"/>
              </w:rPr>
              <w:t>RR (</w:t>
            </w:r>
            <w:r w:rsidR="000A7ABD" w:rsidRPr="008F7ACD">
              <w:rPr>
                <w:i/>
                <w:iCs/>
                <w:color w:val="000000"/>
                <w:szCs w:val="22"/>
              </w:rPr>
              <w:t>p</w:t>
            </w:r>
            <w:r w:rsidRPr="008F7ACD">
              <w:rPr>
                <w:i/>
                <w:iCs/>
                <w:color w:val="000000"/>
                <w:szCs w:val="22"/>
              </w:rPr>
              <w:t>ost-indu</w:t>
            </w:r>
            <w:r w:rsidR="000A7ABD" w:rsidRPr="008F7ACD">
              <w:rPr>
                <w:i/>
                <w:iCs/>
                <w:color w:val="000000"/>
                <w:szCs w:val="22"/>
              </w:rPr>
              <w:t>kčná</w:t>
            </w:r>
            <w:r w:rsidRPr="008F7ACD">
              <w:rPr>
                <w:i/>
                <w:iCs/>
                <w:color w:val="000000"/>
                <w:szCs w:val="22"/>
              </w:rPr>
              <w:t>)</w:t>
            </w:r>
            <w:r w:rsidRPr="008F7ACD">
              <w:rPr>
                <w:color w:val="000000"/>
                <w:szCs w:val="22"/>
              </w:rPr>
              <w:t xml:space="preserve"> </w:t>
            </w:r>
          </w:p>
          <w:p w:rsidR="0020718A" w:rsidRPr="008F7ACD" w:rsidRDefault="0020718A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*CR+nCR </w:t>
            </w:r>
          </w:p>
          <w:p w:rsidR="0020718A" w:rsidRPr="008F7ACD" w:rsidRDefault="0020718A" w:rsidP="000A7ABD">
            <w:pPr>
              <w:ind w:left="0" w:firstLine="0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CR+nCR+VGPR+PR % (95</w:t>
            </w:r>
            <w:r w:rsidR="000A7ABD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 xml:space="preserve">% CI) 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3B9" w:rsidRPr="008F7ACD" w:rsidRDefault="000563B9" w:rsidP="0020718A">
            <w:pPr>
              <w:rPr>
                <w:color w:val="000000"/>
                <w:szCs w:val="22"/>
              </w:rPr>
            </w:pPr>
          </w:p>
          <w:p w:rsidR="0020718A" w:rsidRPr="008F7ACD" w:rsidRDefault="0020718A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14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6 (10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4</w:t>
            </w:r>
            <w:r w:rsidR="000A7ABD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19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7) </w:t>
            </w:r>
          </w:p>
          <w:p w:rsidR="0020718A" w:rsidRPr="008F7ACD" w:rsidRDefault="0020718A" w:rsidP="000A7ABD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77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1 (71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2</w:t>
            </w:r>
            <w:r w:rsidR="000A7ABD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82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2) 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3B9" w:rsidRPr="008F7ACD" w:rsidRDefault="000563B9" w:rsidP="0020718A">
            <w:pPr>
              <w:rPr>
                <w:color w:val="000000"/>
                <w:szCs w:val="22"/>
              </w:rPr>
            </w:pPr>
          </w:p>
          <w:p w:rsidR="0020718A" w:rsidRPr="008F7ACD" w:rsidRDefault="0020718A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6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2 (3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5</w:t>
            </w:r>
            <w:r w:rsidR="000A7ABD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10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0) </w:t>
            </w:r>
          </w:p>
          <w:p w:rsidR="0020718A" w:rsidRPr="008F7ACD" w:rsidRDefault="0020718A" w:rsidP="000A7ABD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60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7 (54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3</w:t>
            </w:r>
            <w:r w:rsidR="000A7ABD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66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9) 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3B9" w:rsidRPr="008F7ACD" w:rsidRDefault="000563B9" w:rsidP="0020718A">
            <w:pPr>
              <w:rPr>
                <w:color w:val="000000"/>
                <w:szCs w:val="22"/>
              </w:rPr>
            </w:pPr>
          </w:p>
          <w:p w:rsidR="0020718A" w:rsidRPr="008F7ACD" w:rsidRDefault="0020718A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58 (1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37</w:t>
            </w:r>
            <w:r w:rsidR="000A7ABD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4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85); 0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003 </w:t>
            </w:r>
          </w:p>
          <w:p w:rsidR="0020718A" w:rsidRPr="008F7ACD" w:rsidRDefault="0020718A" w:rsidP="000A7ABD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18 (1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46</w:t>
            </w:r>
            <w:r w:rsidR="000A7ABD" w:rsidRPr="008F7ACD">
              <w:rPr>
                <w:color w:val="000000"/>
                <w:szCs w:val="22"/>
              </w:rPr>
              <w:t>;</w:t>
            </w:r>
            <w:r w:rsidR="009074FD" w:rsidRPr="008F7ACD">
              <w:rPr>
                <w:color w:val="000000"/>
                <w:szCs w:val="22"/>
              </w:rPr>
              <w:t xml:space="preserve"> </w:t>
            </w:r>
            <w:r w:rsidRPr="008F7ACD">
              <w:rPr>
                <w:color w:val="000000"/>
                <w:szCs w:val="22"/>
              </w:rPr>
              <w:t>3</w:t>
            </w:r>
            <w:r w:rsidR="000A7ABD" w:rsidRPr="008F7ACD">
              <w:rPr>
                <w:color w:val="000000"/>
                <w:szCs w:val="22"/>
              </w:rPr>
              <w:t>,24);</w:t>
            </w:r>
            <w:r w:rsidR="009074FD" w:rsidRPr="008F7ACD">
              <w:rPr>
                <w:color w:val="000000"/>
                <w:szCs w:val="22"/>
              </w:rPr>
              <w:t xml:space="preserve"> </w:t>
            </w:r>
            <w:r w:rsidRPr="008F7ACD">
              <w:rPr>
                <w:color w:val="000000"/>
                <w:szCs w:val="22"/>
              </w:rPr>
              <w:t>&lt;</w:t>
            </w:r>
            <w:r w:rsidR="000A7ABD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0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001 </w:t>
            </w:r>
          </w:p>
        </w:tc>
      </w:tr>
      <w:tr w:rsidR="0020718A" w:rsidRPr="008F7ACD" w:rsidTr="000A7ABD">
        <w:trPr>
          <w:tblCellSpacing w:w="0" w:type="dxa"/>
        </w:trPr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ABD" w:rsidRPr="008F7ACD" w:rsidRDefault="0020718A" w:rsidP="0020718A">
            <w:pPr>
              <w:rPr>
                <w:i/>
                <w:iCs/>
                <w:color w:val="000000"/>
                <w:szCs w:val="22"/>
              </w:rPr>
            </w:pPr>
            <w:r w:rsidRPr="008F7ACD">
              <w:rPr>
                <w:i/>
                <w:iCs/>
                <w:color w:val="000000"/>
                <w:szCs w:val="22"/>
              </w:rPr>
              <w:t>RR</w:t>
            </w:r>
          </w:p>
          <w:p w:rsidR="0020718A" w:rsidRPr="008F7ACD" w:rsidRDefault="0020718A" w:rsidP="0020718A">
            <w:pPr>
              <w:rPr>
                <w:color w:val="000000"/>
                <w:szCs w:val="22"/>
              </w:rPr>
            </w:pPr>
            <w:r w:rsidRPr="008F7ACD">
              <w:rPr>
                <w:i/>
                <w:iCs/>
                <w:color w:val="000000"/>
                <w:szCs w:val="22"/>
              </w:rPr>
              <w:t>(</w:t>
            </w:r>
            <w:r w:rsidR="000A7ABD" w:rsidRPr="008F7ACD">
              <w:rPr>
                <w:i/>
                <w:iCs/>
                <w:color w:val="000000"/>
                <w:szCs w:val="22"/>
              </w:rPr>
              <w:t>p</w:t>
            </w:r>
            <w:r w:rsidRPr="008F7ACD">
              <w:rPr>
                <w:i/>
                <w:iCs/>
                <w:color w:val="000000"/>
                <w:szCs w:val="22"/>
              </w:rPr>
              <w:t>ost-transplant</w:t>
            </w:r>
            <w:r w:rsidR="000A7ABD" w:rsidRPr="008F7ACD">
              <w:rPr>
                <w:i/>
                <w:iCs/>
                <w:color w:val="000000"/>
                <w:szCs w:val="22"/>
              </w:rPr>
              <w:t>ačná</w:t>
            </w:r>
            <w:r w:rsidRPr="008F7ACD">
              <w:rPr>
                <w:i/>
                <w:iCs/>
                <w:color w:val="000000"/>
                <w:szCs w:val="22"/>
              </w:rPr>
              <w:t>)</w:t>
            </w:r>
            <w:r w:rsidRPr="008F7ACD">
              <w:rPr>
                <w:i/>
                <w:iCs/>
                <w:color w:val="000000"/>
                <w:szCs w:val="22"/>
                <w:vertAlign w:val="superscript"/>
              </w:rPr>
              <w:t>b</w:t>
            </w:r>
            <w:r w:rsidRPr="008F7ACD">
              <w:rPr>
                <w:color w:val="000000"/>
                <w:szCs w:val="22"/>
              </w:rPr>
              <w:t xml:space="preserve"> </w:t>
            </w:r>
          </w:p>
          <w:p w:rsidR="0020718A" w:rsidRPr="008F7ACD" w:rsidRDefault="0020718A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CR+nCR </w:t>
            </w:r>
          </w:p>
          <w:p w:rsidR="0020718A" w:rsidRPr="008F7ACD" w:rsidRDefault="0020718A" w:rsidP="000A7ABD">
            <w:pPr>
              <w:ind w:left="0" w:firstLine="0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CR+nCR+VGPR+PR % (95</w:t>
            </w:r>
            <w:r w:rsidR="000A7ABD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 xml:space="preserve">% CI) 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3B9" w:rsidRPr="008F7ACD" w:rsidRDefault="000563B9" w:rsidP="0020718A">
            <w:pPr>
              <w:rPr>
                <w:color w:val="000000"/>
                <w:szCs w:val="22"/>
              </w:rPr>
            </w:pPr>
          </w:p>
          <w:p w:rsidR="000563B9" w:rsidRPr="008F7ACD" w:rsidRDefault="000563B9" w:rsidP="0020718A">
            <w:pPr>
              <w:rPr>
                <w:color w:val="000000"/>
                <w:szCs w:val="22"/>
              </w:rPr>
            </w:pPr>
          </w:p>
          <w:p w:rsidR="0020718A" w:rsidRPr="008F7ACD" w:rsidRDefault="0020718A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37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5 (31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4</w:t>
            </w:r>
            <w:r w:rsidR="000A7ABD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44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0) </w:t>
            </w:r>
          </w:p>
          <w:p w:rsidR="0020718A" w:rsidRPr="008F7ACD" w:rsidRDefault="0020718A" w:rsidP="000A7ABD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79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6 (73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9</w:t>
            </w:r>
            <w:r w:rsidR="000A7ABD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84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5) 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3B9" w:rsidRPr="008F7ACD" w:rsidRDefault="000563B9" w:rsidP="0020718A">
            <w:pPr>
              <w:rPr>
                <w:color w:val="000000"/>
                <w:szCs w:val="22"/>
              </w:rPr>
            </w:pPr>
          </w:p>
          <w:p w:rsidR="000563B9" w:rsidRPr="008F7ACD" w:rsidRDefault="000563B9" w:rsidP="0020718A">
            <w:pPr>
              <w:rPr>
                <w:color w:val="000000"/>
                <w:szCs w:val="22"/>
              </w:rPr>
            </w:pPr>
          </w:p>
          <w:p w:rsidR="0020718A" w:rsidRPr="008F7ACD" w:rsidRDefault="0020718A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23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1 (18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</w:t>
            </w:r>
            <w:r w:rsidR="000A7ABD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29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0) </w:t>
            </w:r>
          </w:p>
          <w:p w:rsidR="0020718A" w:rsidRPr="008F7ACD" w:rsidRDefault="0020718A" w:rsidP="000A7ABD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74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4 (68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4</w:t>
            </w:r>
            <w:r w:rsidR="000A7ABD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79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8) 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3B9" w:rsidRPr="008F7ACD" w:rsidRDefault="000563B9" w:rsidP="0020718A">
            <w:pPr>
              <w:rPr>
                <w:color w:val="000000"/>
                <w:szCs w:val="22"/>
              </w:rPr>
            </w:pPr>
          </w:p>
          <w:p w:rsidR="000563B9" w:rsidRPr="008F7ACD" w:rsidRDefault="000563B9" w:rsidP="0020718A">
            <w:pPr>
              <w:rPr>
                <w:color w:val="000000"/>
                <w:szCs w:val="22"/>
              </w:rPr>
            </w:pPr>
          </w:p>
          <w:p w:rsidR="0020718A" w:rsidRPr="008F7ACD" w:rsidRDefault="0020718A" w:rsidP="0020718A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98 (1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33</w:t>
            </w:r>
            <w:r w:rsidR="000A7ABD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2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95); 0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001 </w:t>
            </w:r>
          </w:p>
          <w:p w:rsidR="0020718A" w:rsidRPr="008F7ACD" w:rsidRDefault="0020718A" w:rsidP="000A7ABD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34 (0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87</w:t>
            </w:r>
            <w:r w:rsidR="000A7ABD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2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05); 0</w:t>
            </w:r>
            <w:r w:rsidR="000A7AB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179 </w:t>
            </w:r>
          </w:p>
        </w:tc>
      </w:tr>
    </w:tbl>
    <w:p w:rsidR="00767D49" w:rsidRPr="008F7ACD" w:rsidRDefault="005A67C3" w:rsidP="005A67C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CI = interval spoľahlivosti (z angl. confidence interval); CR = kompletná odpoveď (z angl. complete response); nCR =</w:t>
      </w:r>
      <w:r w:rsidR="00767D4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takmer kompletná odpoveď (z angl. near complete response); ITT = s úmyslom liečby (z angl. intent to treat), RR = miera</w:t>
      </w:r>
      <w:r w:rsidR="00767D4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odpovede (z angl. response rate), </w:t>
      </w:r>
      <w:r w:rsidR="00767D49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 xml:space="preserve"> = </w:t>
      </w:r>
      <w:r w:rsidR="00767D49" w:rsidRPr="008F7ACD">
        <w:rPr>
          <w:rFonts w:eastAsia="TimesNewRoman"/>
          <w:szCs w:val="22"/>
          <w:lang w:eastAsia="en-US"/>
        </w:rPr>
        <w:t>bortezomib</w:t>
      </w:r>
      <w:r w:rsidRPr="008F7ACD">
        <w:rPr>
          <w:rFonts w:eastAsia="TimesNewRoman"/>
          <w:szCs w:val="22"/>
          <w:lang w:eastAsia="en-US"/>
        </w:rPr>
        <w:t xml:space="preserve">; </w:t>
      </w:r>
      <w:r w:rsidR="00767D49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 xml:space="preserve">Dx = </w:t>
      </w:r>
      <w:r w:rsidR="00767D49" w:rsidRPr="008F7ACD">
        <w:rPr>
          <w:rFonts w:eastAsia="TimesNewRoman"/>
          <w:szCs w:val="22"/>
          <w:lang w:eastAsia="en-US"/>
        </w:rPr>
        <w:t>bortezomib</w:t>
      </w:r>
      <w:r w:rsidRPr="008F7ACD">
        <w:rPr>
          <w:rFonts w:eastAsia="TimesNewRoman"/>
          <w:szCs w:val="22"/>
          <w:lang w:eastAsia="en-US"/>
        </w:rPr>
        <w:t>, dexametazón; VDDx = vinkristín, doxorubicín,</w:t>
      </w:r>
      <w:r w:rsidR="00767D4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dexametazón; VGPR = veľmi dobrá čiastočná odpoveď (z angl. very good partial response); PR = čiastočná odpoveď (z angl.</w:t>
      </w:r>
      <w:r w:rsidR="00767D4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partial response); OR</w:t>
      </w:r>
      <w:r w:rsidR="00CA4C2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=</w:t>
      </w:r>
      <w:r w:rsidR="00CA4C27" w:rsidRPr="008F7ACD">
        <w:rPr>
          <w:rFonts w:eastAsia="TimesNewRoman"/>
          <w:szCs w:val="22"/>
          <w:lang w:eastAsia="en-US"/>
        </w:rPr>
        <w:t xml:space="preserve"> pomer pravdepodobnosti</w:t>
      </w:r>
      <w:r w:rsidR="00682A4D" w:rsidRPr="008F7ACD">
        <w:rPr>
          <w:rFonts w:eastAsia="TimesNewRoman"/>
          <w:szCs w:val="22"/>
          <w:lang w:eastAsia="en-US"/>
        </w:rPr>
        <w:t xml:space="preserve"> (z angl. odds ratio)</w:t>
      </w:r>
      <w:r w:rsidRPr="008F7ACD">
        <w:rPr>
          <w:rFonts w:eastAsia="TimesNewRoman"/>
          <w:szCs w:val="22"/>
          <w:lang w:eastAsia="en-US"/>
        </w:rPr>
        <w:t>;</w:t>
      </w:r>
      <w:r w:rsidR="00767D49" w:rsidRPr="008F7ACD">
        <w:rPr>
          <w:rFonts w:eastAsia="TimesNewRoman"/>
          <w:szCs w:val="22"/>
          <w:lang w:eastAsia="en-US"/>
        </w:rPr>
        <w:t xml:space="preserve"> </w:t>
      </w:r>
    </w:p>
    <w:p w:rsidR="005A67C3" w:rsidRPr="008F7ACD" w:rsidRDefault="005A67C3" w:rsidP="005A67C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* primárny </w:t>
      </w:r>
      <w:r w:rsidR="00767D49" w:rsidRPr="008F7ACD">
        <w:rPr>
          <w:rFonts w:eastAsia="TimesNewRoman"/>
          <w:szCs w:val="22"/>
          <w:lang w:eastAsia="en-US"/>
        </w:rPr>
        <w:t>koncový ukazovateľ</w:t>
      </w:r>
    </w:p>
    <w:p w:rsidR="005A67C3" w:rsidRPr="008F7ACD" w:rsidRDefault="005A67C3" w:rsidP="005A67C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a</w:t>
      </w:r>
      <w:r w:rsidRPr="008F7ACD">
        <w:rPr>
          <w:rFonts w:eastAsia="TimesNewRoman"/>
          <w:szCs w:val="22"/>
          <w:lang w:eastAsia="en-US"/>
        </w:rPr>
        <w:t xml:space="preserve"> OR pre mieru odpovede založenej na Mantelovom-Haenszelovom odhade všeobecného pomeru </w:t>
      </w:r>
      <w:r w:rsidR="00B13414" w:rsidRPr="008F7ACD">
        <w:rPr>
          <w:rFonts w:eastAsia="TimesNewRoman"/>
          <w:szCs w:val="22"/>
          <w:lang w:eastAsia="en-US"/>
        </w:rPr>
        <w:t>pravdepodobnosti</w:t>
      </w:r>
      <w:r w:rsidRPr="008F7ACD">
        <w:rPr>
          <w:rFonts w:eastAsia="TimesNewRoman"/>
          <w:szCs w:val="22"/>
          <w:lang w:eastAsia="en-US"/>
        </w:rPr>
        <w:t xml:space="preserve"> pre stratifikované</w:t>
      </w:r>
      <w:r w:rsidR="00767D4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tabuľky; p-hodnota podľa Cochranovho-Mantelovho-Haenszelovho testu.</w:t>
      </w:r>
    </w:p>
    <w:p w:rsidR="005A67C3" w:rsidRPr="008F7ACD" w:rsidRDefault="005A67C3" w:rsidP="005A67C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 xml:space="preserve"> Týka sa miery odpovede po druhej transplantácii u pacientov, ktorí dostali druhú transplantáciu (42/240 [18</w:t>
      </w:r>
      <w:r w:rsidR="00767D4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%] v skupine</w:t>
      </w:r>
      <w:r w:rsidR="00767D4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s </w:t>
      </w:r>
      <w:r w:rsidR="00767D49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Dx a 52/242 [21</w:t>
      </w:r>
      <w:r w:rsidR="00767D4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%] v skupine s</w:t>
      </w:r>
      <w:r w:rsidR="00B13414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VDDx</w:t>
      </w:r>
      <w:r w:rsidR="00B13414" w:rsidRPr="008F7ACD">
        <w:rPr>
          <w:rFonts w:eastAsia="TimesNewRoman"/>
          <w:szCs w:val="22"/>
          <w:lang w:eastAsia="en-US"/>
        </w:rPr>
        <w:t>)</w:t>
      </w:r>
      <w:r w:rsidRPr="008F7ACD">
        <w:rPr>
          <w:rFonts w:eastAsia="TimesNewRoman"/>
          <w:szCs w:val="22"/>
          <w:lang w:eastAsia="en-US"/>
        </w:rPr>
        <w:t>.</w:t>
      </w:r>
    </w:p>
    <w:p w:rsidR="0020718A" w:rsidRPr="008F7ACD" w:rsidRDefault="005A67C3" w:rsidP="005A67C3">
      <w:pPr>
        <w:rPr>
          <w:color w:val="000000"/>
          <w:szCs w:val="22"/>
        </w:rPr>
      </w:pPr>
      <w:r w:rsidRPr="008F7ACD">
        <w:rPr>
          <w:rFonts w:eastAsia="TimesNewRoman"/>
          <w:szCs w:val="22"/>
          <w:lang w:eastAsia="en-US"/>
        </w:rPr>
        <w:t>Poznámka: OR &gt;</w:t>
      </w:r>
      <w:r w:rsidR="00767D4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1 naznačuje výhodu pre indukčnú liečbu obsahujúcu </w:t>
      </w:r>
      <w:r w:rsidR="00767D49" w:rsidRPr="008F7ACD">
        <w:rPr>
          <w:rFonts w:eastAsia="TimesNewRoman"/>
          <w:szCs w:val="22"/>
          <w:lang w:eastAsia="en-US"/>
        </w:rPr>
        <w:t>B</w:t>
      </w:r>
      <w:r w:rsidR="0020718A" w:rsidRPr="008F7ACD">
        <w:rPr>
          <w:color w:val="000000"/>
          <w:szCs w:val="22"/>
        </w:rPr>
        <w:t xml:space="preserve">. </w:t>
      </w:r>
    </w:p>
    <w:p w:rsidR="0020718A" w:rsidRPr="008F7ACD" w:rsidRDefault="0020718A" w:rsidP="00615D7C">
      <w:pPr>
        <w:ind w:left="0" w:firstLine="0"/>
        <w:rPr>
          <w:rFonts w:eastAsia="TimesNewRoman"/>
          <w:szCs w:val="22"/>
          <w:lang w:eastAsia="en-US"/>
        </w:rPr>
      </w:pPr>
    </w:p>
    <w:p w:rsidR="00333C3B" w:rsidRPr="008F7ACD" w:rsidRDefault="00333C3B" w:rsidP="00333C3B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V štúdii MMY-3010 bola indukčná liečba s </w:t>
      </w:r>
      <w:r w:rsidR="00022A9C" w:rsidRPr="008F7ACD">
        <w:rPr>
          <w:rFonts w:eastAsia="TimesNewRoman"/>
          <w:szCs w:val="22"/>
          <w:lang w:eastAsia="en-US"/>
        </w:rPr>
        <w:t xml:space="preserve">bortezomibom </w:t>
      </w:r>
      <w:r w:rsidRPr="008F7ACD">
        <w:rPr>
          <w:rFonts w:eastAsia="TimesNewRoman"/>
          <w:szCs w:val="22"/>
          <w:lang w:eastAsia="en-US"/>
        </w:rPr>
        <w:t>kombinovaným s</w:t>
      </w:r>
      <w:r w:rsidR="00022A9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talidomidom</w:t>
      </w:r>
      <w:r w:rsidR="00022A9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a</w:t>
      </w:r>
      <w:r w:rsidR="00022A9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dexametazónom [</w:t>
      </w:r>
      <w:r w:rsidR="00022A9C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TDx, n</w:t>
      </w:r>
      <w:r w:rsidR="00022A9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=</w:t>
      </w:r>
      <w:r w:rsidR="00022A9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130] porovnávaná s talidomidom-dexametazónom [TDx, n</w:t>
      </w:r>
      <w:r w:rsidR="00022A9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=</w:t>
      </w:r>
      <w:r w:rsidR="00022A9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127].</w:t>
      </w:r>
      <w:r w:rsidR="00022A9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lastRenderedPageBreak/>
        <w:t xml:space="preserve">Pacienti v skupine s </w:t>
      </w:r>
      <w:r w:rsidR="00022A9C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TDx dostali šesť 4-týždňových cyklov, každý pozostával z</w:t>
      </w:r>
      <w:r w:rsidR="0033548F" w:rsidRPr="008F7ACD">
        <w:rPr>
          <w:rFonts w:eastAsia="TimesNewRoman"/>
          <w:szCs w:val="22"/>
          <w:lang w:eastAsia="en-US"/>
        </w:rPr>
        <w:t> </w:t>
      </w:r>
      <w:r w:rsidR="00022A9C" w:rsidRPr="008F7ACD">
        <w:rPr>
          <w:rFonts w:eastAsia="TimesNewRoman"/>
          <w:szCs w:val="22"/>
          <w:lang w:eastAsia="en-US"/>
        </w:rPr>
        <w:t>bortezomibu</w:t>
      </w:r>
      <w:r w:rsidR="0033548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(1,3</w:t>
      </w:r>
      <w:r w:rsidR="0033548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podávaný dvakrát týždenne v 1., 4., 8. a 11. deň, po ktorom nasledovala 17-dňová</w:t>
      </w:r>
      <w:r w:rsidR="0033548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prestávka od 12. do 28. dňa), dexametazónu (40</w:t>
      </w:r>
      <w:r w:rsidR="0033548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 podávaných perorálne v 1. až 4. deň a 8. až 11.</w:t>
      </w:r>
      <w:r w:rsidR="0033548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deň) a talidomidu (podávaný perorálne v dávke 50</w:t>
      </w:r>
      <w:r w:rsidR="0033548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 denne v 1. - 14. deň, zvýšený na 100</w:t>
      </w:r>
      <w:r w:rsidR="0033548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 v</w:t>
      </w:r>
      <w:r w:rsidR="007E038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15.</w:t>
      </w:r>
      <w:r w:rsidR="0033548F" w:rsidRPr="008F7ACD">
        <w:rPr>
          <w:rFonts w:eastAsia="TimesNewRoman"/>
          <w:szCs w:val="22"/>
          <w:lang w:eastAsia="en-US"/>
        </w:rPr>
        <w:t> </w:t>
      </w:r>
      <w:r w:rsidR="0033548F" w:rsidRPr="008F7ACD">
        <w:rPr>
          <w:rFonts w:eastAsia="TimesNewRoman"/>
          <w:szCs w:val="22"/>
          <w:lang w:eastAsia="en-US"/>
        </w:rPr>
        <w:noBreakHyphen/>
        <w:t> </w:t>
      </w:r>
      <w:r w:rsidRPr="008F7ACD">
        <w:rPr>
          <w:rFonts w:eastAsia="TimesNewRoman"/>
          <w:szCs w:val="22"/>
          <w:lang w:eastAsia="en-US"/>
        </w:rPr>
        <w:t>28. deň a potom na 200</w:t>
      </w:r>
      <w:r w:rsidR="0033548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 denne).</w:t>
      </w:r>
    </w:p>
    <w:p w:rsidR="00333C3B" w:rsidRPr="008F7ACD" w:rsidRDefault="00333C3B" w:rsidP="00333C3B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Jedna autológna transplantácia kmeňových buniek bola vykonaná u 105 (81</w:t>
      </w:r>
      <w:r w:rsidR="0033548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%) pacientov v skupine</w:t>
      </w:r>
      <w:r w:rsidR="0033548F" w:rsidRPr="008F7ACD">
        <w:rPr>
          <w:rFonts w:eastAsia="TimesNewRoman"/>
          <w:szCs w:val="22"/>
          <w:lang w:eastAsia="en-US"/>
        </w:rPr>
        <w:t xml:space="preserve"> s B</w:t>
      </w:r>
      <w:r w:rsidRPr="008F7ACD">
        <w:rPr>
          <w:rFonts w:eastAsia="TimesNewRoman"/>
          <w:szCs w:val="22"/>
          <w:lang w:eastAsia="en-US"/>
        </w:rPr>
        <w:t>TDx a u 78 (61</w:t>
      </w:r>
      <w:r w:rsidR="0033548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%) pacientov v</w:t>
      </w:r>
      <w:r w:rsidR="00BF31D1" w:rsidRPr="008F7ACD">
        <w:rPr>
          <w:rFonts w:eastAsia="TimesNewRoman"/>
          <w:szCs w:val="22"/>
          <w:lang w:eastAsia="en-US"/>
        </w:rPr>
        <w:t xml:space="preserve"> skupine </w:t>
      </w:r>
      <w:r w:rsidRPr="008F7ACD">
        <w:rPr>
          <w:rFonts w:eastAsia="TimesNewRoman"/>
          <w:szCs w:val="22"/>
          <w:lang w:eastAsia="en-US"/>
        </w:rPr>
        <w:t>s TDx. V oboch liečených skupinách bol podobný demografický</w:t>
      </w:r>
      <w:r w:rsidR="0033548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profil pacientov ako aj východiskový charakter ochorenia. Pacienti v skupine s </w:t>
      </w:r>
      <w:r w:rsidR="0033548F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TDx resp. TDx mali</w:t>
      </w:r>
      <w:r w:rsidR="0033548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priemerný vek 57 resp. 56 rokov, 99</w:t>
      </w:r>
      <w:r w:rsidR="0033548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resp. 98</w:t>
      </w:r>
      <w:r w:rsidR="0033548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% pacientov bolo </w:t>
      </w:r>
      <w:r w:rsidR="00F846B4" w:rsidRPr="008F7ACD">
        <w:rPr>
          <w:rFonts w:eastAsia="TimesNewRoman"/>
          <w:szCs w:val="22"/>
          <w:lang w:eastAsia="en-US"/>
        </w:rPr>
        <w:t>belochov</w:t>
      </w:r>
      <w:r w:rsidRPr="008F7ACD">
        <w:rPr>
          <w:rFonts w:eastAsia="TimesNewRoman"/>
          <w:szCs w:val="22"/>
          <w:lang w:eastAsia="en-US"/>
        </w:rPr>
        <w:t xml:space="preserve"> a</w:t>
      </w:r>
      <w:r w:rsidR="007E038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58</w:t>
      </w:r>
      <w:r w:rsidR="0033548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resp. 54</w:t>
      </w:r>
      <w:r w:rsidR="0033548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</w:t>
      </w:r>
      <w:r w:rsidR="0033548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bolo mužov. V skupine </w:t>
      </w:r>
      <w:r w:rsidR="0033548F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TDx bolo 12</w:t>
      </w:r>
      <w:r w:rsidR="0033548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pacientov klasifikovaných ako vysoko rizikových</w:t>
      </w:r>
      <w:r w:rsidR="0033548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z hľadiska cytogenetiky verzus 16</w:t>
      </w:r>
      <w:r w:rsidR="0033548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pacientov v skupine TDx. Priemerná dĺžka liečby bola 24,0</w:t>
      </w:r>
      <w:r w:rsidR="0033548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týždňov a</w:t>
      </w:r>
      <w:r w:rsidR="0033548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priemerný počet podaných liečebných cyklov bol 6,0 a bol zhodný vo všetkých liečených</w:t>
      </w:r>
      <w:r w:rsidR="0033548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skupinách.</w:t>
      </w:r>
    </w:p>
    <w:p w:rsidR="00615D7C" w:rsidRPr="008F7ACD" w:rsidRDefault="00333C3B" w:rsidP="0033548F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Primárne </w:t>
      </w:r>
      <w:r w:rsidR="00F846B4" w:rsidRPr="008F7ACD">
        <w:rPr>
          <w:rFonts w:eastAsia="TimesNewRoman"/>
          <w:szCs w:val="22"/>
          <w:lang w:eastAsia="en-US"/>
        </w:rPr>
        <w:t>koncové ukazovatele</w:t>
      </w:r>
      <w:r w:rsidRPr="008F7ACD">
        <w:rPr>
          <w:rFonts w:eastAsia="TimesNewRoman"/>
          <w:szCs w:val="22"/>
          <w:lang w:eastAsia="en-US"/>
        </w:rPr>
        <w:t xml:space="preserve"> účinnosti štúdie boli post-indukčné a post-transplantačné miery odpovedí (CR+nCR).</w:t>
      </w:r>
      <w:r w:rsidR="0033548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Štatisticky významný rozdiel v CR+nCR bol pozorovaný v prospech skupiny s</w:t>
      </w:r>
      <w:r w:rsidR="0033548F" w:rsidRPr="008F7ACD">
        <w:rPr>
          <w:rFonts w:eastAsia="TimesNewRoman"/>
          <w:szCs w:val="22"/>
          <w:lang w:eastAsia="en-US"/>
        </w:rPr>
        <w:t xml:space="preserve"> bortezomibom </w:t>
      </w:r>
      <w:r w:rsidRPr="008F7ACD">
        <w:rPr>
          <w:rFonts w:eastAsia="TimesNewRoman"/>
          <w:szCs w:val="22"/>
          <w:lang w:eastAsia="en-US"/>
        </w:rPr>
        <w:t xml:space="preserve">kombinovaným s dexametazónom a talidomidom. Sekundárne </w:t>
      </w:r>
      <w:r w:rsidR="00636961" w:rsidRPr="008F7ACD">
        <w:rPr>
          <w:rFonts w:eastAsia="TimesNewRoman"/>
          <w:szCs w:val="22"/>
          <w:lang w:eastAsia="en-US"/>
        </w:rPr>
        <w:t>koncové ukazovatele</w:t>
      </w:r>
      <w:r w:rsidRPr="008F7ACD">
        <w:rPr>
          <w:rFonts w:eastAsia="TimesNewRoman"/>
          <w:szCs w:val="22"/>
          <w:lang w:eastAsia="en-US"/>
        </w:rPr>
        <w:t xml:space="preserve"> účinnosti zahŕňali prežívanie bez</w:t>
      </w:r>
      <w:r w:rsidR="007E038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progresie a celkové prežívanie. Hlavné výsledky účinnosti sú uvedené v tabuľke 13.</w:t>
      </w:r>
    </w:p>
    <w:p w:rsidR="00615D7C" w:rsidRPr="008F7ACD" w:rsidRDefault="00615D7C" w:rsidP="00615D7C">
      <w:pPr>
        <w:ind w:left="0" w:firstLine="0"/>
        <w:rPr>
          <w:rFonts w:eastAsia="TimesNewRoman"/>
          <w:szCs w:val="22"/>
          <w:lang w:eastAsia="en-US"/>
        </w:rPr>
      </w:pPr>
    </w:p>
    <w:p w:rsidR="00B1262A" w:rsidRPr="008F7ACD" w:rsidRDefault="0033548F" w:rsidP="00B1262A">
      <w:pPr>
        <w:rPr>
          <w:color w:val="000000"/>
          <w:szCs w:val="22"/>
        </w:rPr>
      </w:pPr>
      <w:r w:rsidRPr="008F7ACD">
        <w:rPr>
          <w:rFonts w:eastAsia="TimesNewRoman,Italic"/>
          <w:i/>
          <w:iCs/>
          <w:szCs w:val="22"/>
          <w:lang w:eastAsia="en-US"/>
        </w:rPr>
        <w:t>Tabuľka 13: Výsledky účinnosti zo štúdie MMY-3010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05"/>
        <w:gridCol w:w="2213"/>
        <w:gridCol w:w="2213"/>
        <w:gridCol w:w="2489"/>
      </w:tblGrid>
      <w:tr w:rsidR="00B1262A" w:rsidRPr="008F7ACD" w:rsidTr="006D5845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33548F" w:rsidP="0033548F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Koncové ukazovatele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BTDx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TDx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48F" w:rsidRPr="008F7ACD" w:rsidRDefault="00B1262A" w:rsidP="0033548F">
            <w:pPr>
              <w:rPr>
                <w:b/>
                <w:bCs/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OR; 95</w:t>
            </w:r>
            <w:r w:rsidR="0033548F" w:rsidRPr="008F7ACD">
              <w:rPr>
                <w:b/>
                <w:bCs/>
                <w:color w:val="000000"/>
                <w:szCs w:val="22"/>
              </w:rPr>
              <w:t> </w:t>
            </w:r>
            <w:r w:rsidRPr="008F7ACD">
              <w:rPr>
                <w:b/>
                <w:bCs/>
                <w:color w:val="000000"/>
                <w:szCs w:val="22"/>
              </w:rPr>
              <w:t xml:space="preserve">% CI; </w:t>
            </w:r>
          </w:p>
          <w:p w:rsidR="00B1262A" w:rsidRPr="008F7ACD" w:rsidRDefault="0033548F" w:rsidP="0033548F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p-hodnota</w:t>
            </w:r>
            <w:r w:rsidR="00B1262A" w:rsidRPr="008F7ACD">
              <w:rPr>
                <w:b/>
                <w:bCs/>
                <w:color w:val="000000"/>
                <w:szCs w:val="22"/>
                <w:vertAlign w:val="superscript"/>
              </w:rPr>
              <w:t>a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MMY-3010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48F" w:rsidRPr="008F7ACD" w:rsidRDefault="001F52ED" w:rsidP="0033548F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n </w:t>
            </w:r>
            <w:r w:rsidR="00B1262A" w:rsidRPr="008F7ACD">
              <w:rPr>
                <w:color w:val="000000"/>
                <w:szCs w:val="22"/>
              </w:rPr>
              <w:t>=</w:t>
            </w:r>
            <w:r w:rsidRPr="008F7ACD">
              <w:rPr>
                <w:color w:val="000000"/>
                <w:szCs w:val="22"/>
              </w:rPr>
              <w:t xml:space="preserve"> </w:t>
            </w:r>
            <w:r w:rsidR="00B1262A" w:rsidRPr="008F7ACD">
              <w:rPr>
                <w:color w:val="000000"/>
                <w:szCs w:val="22"/>
              </w:rPr>
              <w:t xml:space="preserve">130 </w:t>
            </w:r>
          </w:p>
          <w:p w:rsidR="00B1262A" w:rsidRPr="008F7ACD" w:rsidRDefault="00B1262A" w:rsidP="0033548F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(ITT popul</w:t>
            </w:r>
            <w:r w:rsidR="0033548F" w:rsidRPr="008F7ACD">
              <w:rPr>
                <w:color w:val="000000"/>
                <w:szCs w:val="22"/>
              </w:rPr>
              <w:t>ácia</w:t>
            </w:r>
            <w:r w:rsidRPr="008F7ACD">
              <w:rPr>
                <w:color w:val="000000"/>
                <w:szCs w:val="22"/>
              </w:rPr>
              <w:t xml:space="preserve">)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48F" w:rsidRPr="008F7ACD" w:rsidRDefault="001F52ED" w:rsidP="0033548F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n </w:t>
            </w:r>
            <w:r w:rsidR="00B1262A" w:rsidRPr="008F7ACD">
              <w:rPr>
                <w:color w:val="000000"/>
                <w:szCs w:val="22"/>
              </w:rPr>
              <w:t>=</w:t>
            </w:r>
            <w:r w:rsidRPr="008F7ACD">
              <w:rPr>
                <w:color w:val="000000"/>
                <w:szCs w:val="22"/>
              </w:rPr>
              <w:t xml:space="preserve"> </w:t>
            </w:r>
            <w:r w:rsidR="00B1262A" w:rsidRPr="008F7ACD">
              <w:rPr>
                <w:color w:val="000000"/>
                <w:szCs w:val="22"/>
              </w:rPr>
              <w:t xml:space="preserve">127 </w:t>
            </w:r>
          </w:p>
          <w:p w:rsidR="00B1262A" w:rsidRPr="008F7ACD" w:rsidRDefault="00B1262A" w:rsidP="0033548F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(ITT popul</w:t>
            </w:r>
            <w:r w:rsidR="0033548F" w:rsidRPr="008F7ACD">
              <w:rPr>
                <w:color w:val="000000"/>
                <w:szCs w:val="22"/>
              </w:rPr>
              <w:t>ácia</w:t>
            </w:r>
            <w:r w:rsidRPr="008F7ACD">
              <w:rPr>
                <w:color w:val="000000"/>
                <w:szCs w:val="22"/>
              </w:rPr>
              <w:t xml:space="preserve">) 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</w:p>
        </w:tc>
      </w:tr>
      <w:tr w:rsidR="00B1262A" w:rsidRPr="008F7ACD" w:rsidTr="006D5845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i/>
                <w:iCs/>
                <w:color w:val="000000"/>
                <w:szCs w:val="22"/>
              </w:rPr>
              <w:t>*RR (</w:t>
            </w:r>
            <w:r w:rsidR="0033548F" w:rsidRPr="008F7ACD">
              <w:rPr>
                <w:i/>
                <w:iCs/>
                <w:color w:val="000000"/>
                <w:szCs w:val="22"/>
              </w:rPr>
              <w:t>p</w:t>
            </w:r>
            <w:r w:rsidRPr="008F7ACD">
              <w:rPr>
                <w:i/>
                <w:iCs/>
                <w:color w:val="000000"/>
                <w:szCs w:val="22"/>
              </w:rPr>
              <w:t>ost-indu</w:t>
            </w:r>
            <w:r w:rsidR="0033548F" w:rsidRPr="008F7ACD">
              <w:rPr>
                <w:i/>
                <w:iCs/>
                <w:color w:val="000000"/>
                <w:szCs w:val="22"/>
              </w:rPr>
              <w:t>kčná</w:t>
            </w:r>
            <w:r w:rsidRPr="008F7ACD">
              <w:rPr>
                <w:i/>
                <w:iCs/>
                <w:color w:val="000000"/>
                <w:szCs w:val="22"/>
              </w:rPr>
              <w:t>)</w:t>
            </w:r>
            <w:r w:rsidRPr="008F7ACD">
              <w:rPr>
                <w:color w:val="000000"/>
                <w:szCs w:val="22"/>
              </w:rPr>
              <w:t xml:space="preserve"> </w:t>
            </w:r>
          </w:p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CR+nCR </w:t>
            </w:r>
          </w:p>
          <w:p w:rsidR="0033548F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CR+nCR+PR %</w:t>
            </w:r>
          </w:p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(95</w:t>
            </w:r>
            <w:r w:rsidR="0033548F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 xml:space="preserve">% CI)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961" w:rsidRPr="008F7ACD" w:rsidRDefault="00636961" w:rsidP="006D5845">
            <w:pPr>
              <w:rPr>
                <w:color w:val="000000"/>
                <w:szCs w:val="22"/>
              </w:rPr>
            </w:pPr>
          </w:p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49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2 (40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4</w:t>
            </w:r>
            <w:r w:rsidR="0033548F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58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1) </w:t>
            </w:r>
          </w:p>
          <w:p w:rsidR="00B1262A" w:rsidRPr="008F7ACD" w:rsidRDefault="00B1262A" w:rsidP="0033548F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84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6 (77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2</w:t>
            </w:r>
            <w:r w:rsidR="0033548F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90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3)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961" w:rsidRPr="008F7ACD" w:rsidRDefault="00636961" w:rsidP="006D5845">
            <w:pPr>
              <w:rPr>
                <w:color w:val="000000"/>
                <w:szCs w:val="22"/>
              </w:rPr>
            </w:pPr>
          </w:p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17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3 (11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2</w:t>
            </w:r>
            <w:r w:rsidR="0033548F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25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0) </w:t>
            </w:r>
          </w:p>
          <w:p w:rsidR="00B1262A" w:rsidRPr="008F7ACD" w:rsidRDefault="00B1262A" w:rsidP="0033548F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61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4 (52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4</w:t>
            </w:r>
            <w:r w:rsidR="0033548F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69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9) 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961" w:rsidRPr="008F7ACD" w:rsidRDefault="00636961" w:rsidP="006D5845">
            <w:pPr>
              <w:rPr>
                <w:color w:val="000000"/>
                <w:szCs w:val="22"/>
              </w:rPr>
            </w:pPr>
          </w:p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4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63 (2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61</w:t>
            </w:r>
            <w:r w:rsidR="0033548F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8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22); &lt;</w:t>
            </w:r>
            <w:r w:rsidR="0033548F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0</w:t>
            </w:r>
            <w:r w:rsidR="001F52E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001</w:t>
            </w:r>
            <w:r w:rsidRPr="008F7ACD">
              <w:rPr>
                <w:color w:val="000000"/>
                <w:szCs w:val="22"/>
                <w:vertAlign w:val="superscript"/>
              </w:rPr>
              <w:t>a</w:t>
            </w:r>
            <w:r w:rsidRPr="008F7ACD">
              <w:rPr>
                <w:color w:val="000000"/>
                <w:szCs w:val="22"/>
              </w:rPr>
              <w:t xml:space="preserve"> </w:t>
            </w:r>
          </w:p>
          <w:p w:rsidR="00B1262A" w:rsidRPr="008F7ACD" w:rsidRDefault="00B1262A" w:rsidP="0033548F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3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46 (1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90</w:t>
            </w:r>
            <w:r w:rsidR="0033548F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6.27); &lt;</w:t>
            </w:r>
            <w:r w:rsidR="0033548F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0</w:t>
            </w:r>
            <w:r w:rsidR="001F52ED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001</w:t>
            </w:r>
            <w:r w:rsidRPr="008F7ACD">
              <w:rPr>
                <w:color w:val="000000"/>
                <w:szCs w:val="22"/>
                <w:vertAlign w:val="superscript"/>
              </w:rPr>
              <w:t>a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48F" w:rsidRPr="008F7ACD" w:rsidRDefault="00B1262A" w:rsidP="006D5845">
            <w:pPr>
              <w:rPr>
                <w:i/>
                <w:iCs/>
                <w:color w:val="000000"/>
                <w:szCs w:val="22"/>
              </w:rPr>
            </w:pPr>
            <w:r w:rsidRPr="008F7ACD">
              <w:rPr>
                <w:i/>
                <w:iCs/>
                <w:color w:val="000000"/>
                <w:szCs w:val="22"/>
              </w:rPr>
              <w:t xml:space="preserve">*RR </w:t>
            </w:r>
          </w:p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i/>
                <w:iCs/>
                <w:color w:val="000000"/>
                <w:szCs w:val="22"/>
              </w:rPr>
              <w:t>(</w:t>
            </w:r>
            <w:r w:rsidR="0033548F" w:rsidRPr="008F7ACD">
              <w:rPr>
                <w:i/>
                <w:iCs/>
                <w:color w:val="000000"/>
                <w:szCs w:val="22"/>
              </w:rPr>
              <w:t>p</w:t>
            </w:r>
            <w:r w:rsidRPr="008F7ACD">
              <w:rPr>
                <w:i/>
                <w:iCs/>
                <w:color w:val="000000"/>
                <w:szCs w:val="22"/>
              </w:rPr>
              <w:t>ost-transplant</w:t>
            </w:r>
            <w:r w:rsidR="0033548F" w:rsidRPr="008F7ACD">
              <w:rPr>
                <w:i/>
                <w:iCs/>
                <w:color w:val="000000"/>
                <w:szCs w:val="22"/>
              </w:rPr>
              <w:t>ačná</w:t>
            </w:r>
            <w:r w:rsidRPr="008F7ACD">
              <w:rPr>
                <w:i/>
                <w:iCs/>
                <w:color w:val="000000"/>
                <w:szCs w:val="22"/>
              </w:rPr>
              <w:t xml:space="preserve">) </w:t>
            </w:r>
          </w:p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CR+nCR </w:t>
            </w:r>
          </w:p>
          <w:p w:rsidR="0033548F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CR+nCR+PR %</w:t>
            </w:r>
          </w:p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(95</w:t>
            </w:r>
            <w:r w:rsidR="0033548F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 xml:space="preserve">% CI)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961" w:rsidRPr="008F7ACD" w:rsidRDefault="00636961" w:rsidP="006D5845">
            <w:pPr>
              <w:rPr>
                <w:color w:val="000000"/>
                <w:szCs w:val="22"/>
              </w:rPr>
            </w:pPr>
          </w:p>
          <w:p w:rsidR="00636961" w:rsidRPr="008F7ACD" w:rsidRDefault="00636961" w:rsidP="006D5845">
            <w:pPr>
              <w:rPr>
                <w:color w:val="000000"/>
                <w:szCs w:val="22"/>
              </w:rPr>
            </w:pPr>
          </w:p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55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4 (46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4</w:t>
            </w:r>
            <w:r w:rsidR="0033548F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64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1) </w:t>
            </w:r>
          </w:p>
          <w:p w:rsidR="00B1262A" w:rsidRPr="008F7ACD" w:rsidRDefault="00B1262A" w:rsidP="0033548F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77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7 (69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6</w:t>
            </w:r>
            <w:r w:rsidR="0033548F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84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5)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961" w:rsidRPr="008F7ACD" w:rsidRDefault="00636961" w:rsidP="006D5845">
            <w:pPr>
              <w:rPr>
                <w:color w:val="000000"/>
                <w:szCs w:val="22"/>
              </w:rPr>
            </w:pPr>
          </w:p>
          <w:p w:rsidR="00636961" w:rsidRPr="008F7ACD" w:rsidRDefault="00636961" w:rsidP="006D5845">
            <w:pPr>
              <w:rPr>
                <w:color w:val="000000"/>
                <w:szCs w:val="22"/>
              </w:rPr>
            </w:pPr>
          </w:p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34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6 (26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4</w:t>
            </w:r>
            <w:r w:rsidR="0033548F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43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6) </w:t>
            </w:r>
          </w:p>
          <w:p w:rsidR="00B1262A" w:rsidRPr="008F7ACD" w:rsidRDefault="00B1262A" w:rsidP="0033548F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56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7 (47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6</w:t>
            </w:r>
            <w:r w:rsidR="0033548F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65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5) 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961" w:rsidRPr="008F7ACD" w:rsidRDefault="00636961" w:rsidP="006D5845">
            <w:pPr>
              <w:rPr>
                <w:color w:val="000000"/>
                <w:szCs w:val="22"/>
              </w:rPr>
            </w:pPr>
          </w:p>
          <w:p w:rsidR="00636961" w:rsidRPr="008F7ACD" w:rsidRDefault="00636961" w:rsidP="006D5845">
            <w:pPr>
              <w:rPr>
                <w:color w:val="000000"/>
                <w:szCs w:val="22"/>
              </w:rPr>
            </w:pPr>
          </w:p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34 (1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42</w:t>
            </w:r>
            <w:r w:rsidR="0033548F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3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87); 0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001</w:t>
            </w:r>
            <w:r w:rsidRPr="008F7ACD">
              <w:rPr>
                <w:color w:val="000000"/>
                <w:szCs w:val="22"/>
                <w:vertAlign w:val="superscript"/>
              </w:rPr>
              <w:t>a</w:t>
            </w:r>
            <w:r w:rsidRPr="008F7ACD">
              <w:rPr>
                <w:color w:val="000000"/>
                <w:szCs w:val="22"/>
              </w:rPr>
              <w:t xml:space="preserve"> </w:t>
            </w:r>
          </w:p>
          <w:p w:rsidR="00B1262A" w:rsidRPr="008F7ACD" w:rsidRDefault="00B1262A" w:rsidP="0033548F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66 (1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55</w:t>
            </w:r>
            <w:r w:rsidR="0033548F" w:rsidRPr="008F7ACD">
              <w:rPr>
                <w:color w:val="000000"/>
                <w:szCs w:val="22"/>
              </w:rPr>
              <w:t>;</w:t>
            </w:r>
            <w:r w:rsidR="00522EC5" w:rsidRPr="008F7ACD">
              <w:rPr>
                <w:color w:val="000000"/>
                <w:szCs w:val="22"/>
              </w:rPr>
              <w:t xml:space="preserve"> </w:t>
            </w:r>
            <w:r w:rsidRPr="008F7ACD">
              <w:rPr>
                <w:color w:val="000000"/>
                <w:szCs w:val="22"/>
              </w:rPr>
              <w:t>4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57); &lt;</w:t>
            </w:r>
            <w:r w:rsidR="0033548F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0</w:t>
            </w:r>
            <w:r w:rsidR="0033548F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001</w:t>
            </w:r>
            <w:r w:rsidRPr="008F7ACD">
              <w:rPr>
                <w:color w:val="000000"/>
                <w:szCs w:val="22"/>
                <w:vertAlign w:val="superscript"/>
              </w:rPr>
              <w:t>a</w:t>
            </w:r>
          </w:p>
        </w:tc>
      </w:tr>
    </w:tbl>
    <w:p w:rsidR="0033548F" w:rsidRPr="008F7ACD" w:rsidRDefault="0033548F" w:rsidP="0033548F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CI = interval spoľahlivosti (z angl. confidence interval); CR = kompletná odpoveď (z angl. complete response); nCR = takmer kompletná odpoveď (z angl. near complete response); ITT = s úmyslom liečby (z angl. intent to treat), RR = miera odpovede (z angl. response rate), B = bortezomib; BTDx = bortezomib, talidomid, dexametazón; TDx = talidomid, dexametazón; PR = čiastočná odpoveď (z angl. partial response), OR</w:t>
      </w:r>
      <w:r w:rsidR="00A720DE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=</w:t>
      </w:r>
      <w:r w:rsidR="00A93F5E" w:rsidRPr="008F7ACD">
        <w:rPr>
          <w:rFonts w:eastAsia="TimesNewRoman"/>
          <w:szCs w:val="22"/>
          <w:lang w:eastAsia="en-US"/>
        </w:rPr>
        <w:t xml:space="preserve"> pomer pravdepodobnosti</w:t>
      </w:r>
      <w:r w:rsidR="00682A4D" w:rsidRPr="008F7ACD">
        <w:rPr>
          <w:rFonts w:eastAsia="TimesNewRoman"/>
          <w:szCs w:val="22"/>
          <w:lang w:eastAsia="en-US"/>
        </w:rPr>
        <w:t xml:space="preserve"> (z angl. odds ratio)</w:t>
      </w:r>
    </w:p>
    <w:p w:rsidR="0033548F" w:rsidRPr="008F7ACD" w:rsidRDefault="0033548F" w:rsidP="0033548F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* primárny koncový ukazovateľ</w:t>
      </w:r>
    </w:p>
    <w:p w:rsidR="0033548F" w:rsidRPr="008F7ACD" w:rsidRDefault="0033548F" w:rsidP="0033548F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 xml:space="preserve">a </w:t>
      </w:r>
      <w:r w:rsidRPr="008F7ACD">
        <w:rPr>
          <w:rFonts w:eastAsia="TimesNewRoman"/>
          <w:szCs w:val="22"/>
          <w:lang w:eastAsia="en-US"/>
        </w:rPr>
        <w:t xml:space="preserve">OR pre mieru odpovede založenej na Mantelovom-Haenszelovom odhade všeobecného pomeru </w:t>
      </w:r>
      <w:r w:rsidR="00636961" w:rsidRPr="008F7ACD">
        <w:rPr>
          <w:rFonts w:eastAsia="TimesNewRoman"/>
          <w:szCs w:val="22"/>
          <w:lang w:eastAsia="en-US"/>
        </w:rPr>
        <w:t>pravdepodobnosti</w:t>
      </w:r>
      <w:r w:rsidRPr="008F7ACD">
        <w:rPr>
          <w:rFonts w:eastAsia="TimesNewRoman"/>
          <w:szCs w:val="22"/>
          <w:lang w:eastAsia="en-US"/>
        </w:rPr>
        <w:t xml:space="preserve"> pre stratifikované</w:t>
      </w:r>
      <w:r w:rsidR="00B00E7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tabuľky; p-hodnota podľa Cochranovho-Mantelovho-Haenszelovho testu.</w:t>
      </w:r>
    </w:p>
    <w:p w:rsidR="00B1262A" w:rsidRPr="008F7ACD" w:rsidRDefault="0033548F" w:rsidP="0033548F">
      <w:pPr>
        <w:rPr>
          <w:color w:val="000000"/>
          <w:szCs w:val="22"/>
        </w:rPr>
      </w:pPr>
      <w:r w:rsidRPr="008F7ACD">
        <w:rPr>
          <w:rFonts w:eastAsia="TimesNewRoman"/>
          <w:szCs w:val="22"/>
          <w:lang w:eastAsia="en-US"/>
        </w:rPr>
        <w:t>Poznámka: OR &gt;</w:t>
      </w:r>
      <w:r w:rsidR="00B00E7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1 naznačuje výhodu pre indukčnú liečbu obsahujúcu </w:t>
      </w:r>
      <w:r w:rsidR="00B00E79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.</w:t>
      </w:r>
    </w:p>
    <w:p w:rsidR="00B1262A" w:rsidRPr="008F7ACD" w:rsidRDefault="00B1262A" w:rsidP="00B1262A">
      <w:pPr>
        <w:rPr>
          <w:color w:val="000000"/>
          <w:szCs w:val="22"/>
          <w:u w:val="single"/>
        </w:rPr>
      </w:pPr>
    </w:p>
    <w:p w:rsidR="00333C3B" w:rsidRPr="008F7ACD" w:rsidRDefault="00333C3B" w:rsidP="00333C3B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Klinická účinnosť pri recidivujúcom alebo refraktérnom mnohopočetnom myelóme</w:t>
      </w:r>
    </w:p>
    <w:p w:rsidR="00615D7C" w:rsidRPr="008F7ACD" w:rsidRDefault="00333C3B" w:rsidP="00B00E7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Bezpečnosť a účinnosť </w:t>
      </w:r>
      <w:r w:rsidR="00B00E79" w:rsidRPr="008F7ACD">
        <w:rPr>
          <w:rFonts w:eastAsia="TimesNewRoman"/>
          <w:szCs w:val="22"/>
          <w:lang w:eastAsia="en-US"/>
        </w:rPr>
        <w:t>bortezomibu</w:t>
      </w:r>
      <w:r w:rsidRPr="008F7ACD">
        <w:rPr>
          <w:rFonts w:eastAsia="TimesNewRoman"/>
          <w:szCs w:val="22"/>
          <w:lang w:eastAsia="en-US"/>
        </w:rPr>
        <w:t xml:space="preserve"> (podávanom intravenózne) sa hodnotila v 2 štúdiách pri</w:t>
      </w:r>
      <w:r w:rsidR="007E038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odporúčanej dávke 1,3</w:t>
      </w:r>
      <w:r w:rsidR="00B00E7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>: v randomizovanej porovnávacej štúdii fázy III (APEX)</w:t>
      </w:r>
      <w:r w:rsidR="00B00E79" w:rsidRPr="008F7ACD">
        <w:rPr>
          <w:rFonts w:eastAsia="TimesNewRoman"/>
          <w:szCs w:val="22"/>
          <w:lang w:eastAsia="en-US"/>
        </w:rPr>
        <w:t xml:space="preserve"> s </w:t>
      </w:r>
      <w:r w:rsidRPr="008F7ACD">
        <w:rPr>
          <w:rFonts w:eastAsia="TimesNewRoman"/>
          <w:szCs w:val="22"/>
          <w:lang w:eastAsia="en-US"/>
        </w:rPr>
        <w:t>dexametazónom (Dex) u 669 pacientov s recidivujúcim alebo refraktérnym mnohopočetným</w:t>
      </w:r>
      <w:r w:rsidR="00B00E7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myelómom, ktorí už podstúpili 1 – 3 predchádzajúce liečby, a v jednoramennej štúdii fázy II</w:t>
      </w:r>
      <w:r w:rsidR="00B00E7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u</w:t>
      </w:r>
      <w:r w:rsidR="00B00E7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202</w:t>
      </w:r>
      <w:r w:rsidR="00B00E7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pacientov s recidivujúcim a refraktérnym mnohopočetným myelómom, ktorí podstúpili</w:t>
      </w:r>
      <w:r w:rsidR="00B00E7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najmenej 2 predchádzajúce liečby, a u ktorých došlo k progresii ochorenia po poslednej liečbe.</w:t>
      </w:r>
    </w:p>
    <w:p w:rsidR="00333C3B" w:rsidRPr="008F7ACD" w:rsidRDefault="00333C3B" w:rsidP="00615D7C">
      <w:pPr>
        <w:ind w:left="0" w:firstLine="0"/>
        <w:rPr>
          <w:rFonts w:eastAsia="TimesNewRoman"/>
          <w:szCs w:val="22"/>
          <w:lang w:eastAsia="en-US"/>
        </w:rPr>
      </w:pPr>
    </w:p>
    <w:p w:rsidR="00333C3B" w:rsidRPr="008F7ACD" w:rsidRDefault="00333C3B" w:rsidP="00333C3B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lastRenderedPageBreak/>
        <w:t xml:space="preserve">V štúdii fázy III liečba </w:t>
      </w:r>
      <w:r w:rsidR="00B00E79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viedla k signifikantne dlhšiemu času do progresie,</w:t>
      </w:r>
      <w:r w:rsidR="00B00E7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k</w:t>
      </w:r>
      <w:r w:rsidR="00B00E7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signifikantnému predĺženiu prežívania a k signifikantne vyššiemu počtu odpovedí, v</w:t>
      </w:r>
      <w:r w:rsidR="00B00E7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porovnaní</w:t>
      </w:r>
      <w:r w:rsidR="00B00E7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</w:t>
      </w:r>
      <w:r w:rsidR="007E038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liečbou dexametazónom (pozri tabuľku 14), u všetkých pacientov, ako aj u pacientov, ktorí</w:t>
      </w:r>
      <w:r w:rsidR="00B00E7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podstúpili 1 predchádzajúcu terapiu. Na základe výsledkov plánovanej predbežnej analýzy, bola liečba</w:t>
      </w:r>
      <w:r w:rsidR="00B00E7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 dexametazónovej skupine podľa odporúčaní komisie pre monitorovanie dát zastavená a</w:t>
      </w:r>
      <w:r w:rsidR="00B00E7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všetkým</w:t>
      </w:r>
      <w:r w:rsidR="00B00E7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pacientom randomizovaným na dexametazón bol potom poskytnutý </w:t>
      </w:r>
      <w:r w:rsidR="00B00E79" w:rsidRPr="008F7ACD">
        <w:rPr>
          <w:rFonts w:eastAsia="TimesNewRoman"/>
          <w:szCs w:val="22"/>
          <w:lang w:eastAsia="en-US"/>
        </w:rPr>
        <w:t>bortezomib</w:t>
      </w:r>
      <w:r w:rsidRPr="008F7ACD">
        <w:rPr>
          <w:rFonts w:eastAsia="TimesNewRoman"/>
          <w:szCs w:val="22"/>
          <w:lang w:eastAsia="en-US"/>
        </w:rPr>
        <w:t xml:space="preserve"> bez ohľadu na stav</w:t>
      </w:r>
      <w:r w:rsidR="00B00E7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ich ochorenia. Kvôli tejto skorej zmene liečby je priemerná dĺžka následného sledovania</w:t>
      </w:r>
      <w:r w:rsidR="00B00E7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u</w:t>
      </w:r>
      <w:r w:rsidR="00C6294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prežívajúcich pacientov 8,3 mesiacov. U pacientov, ktorí nereagovali na svoju poslednú</w:t>
      </w:r>
      <w:r w:rsidR="00B00E7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predchádzajúcu liečbu, ako aj u pacientov, ktorí na ňu reagovali, bola celková doba prež</w:t>
      </w:r>
      <w:r w:rsidR="007E038F" w:rsidRPr="008F7ACD">
        <w:rPr>
          <w:rFonts w:eastAsia="TimesNewRoman"/>
          <w:szCs w:val="22"/>
          <w:lang w:eastAsia="en-US"/>
        </w:rPr>
        <w:t>ívania</w:t>
      </w:r>
      <w:r w:rsidR="00B00E7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signifikantne dlhšia a počet odpovedí bol signifikantne vyšší v</w:t>
      </w:r>
      <w:r w:rsidR="00B00E79" w:rsidRPr="008F7ACD">
        <w:rPr>
          <w:rFonts w:eastAsia="TimesNewRoman"/>
          <w:szCs w:val="22"/>
          <w:lang w:eastAsia="en-US"/>
        </w:rPr>
        <w:t> skupine s bortezomibom.</w:t>
      </w:r>
    </w:p>
    <w:p w:rsidR="00B00E79" w:rsidRPr="008F7ACD" w:rsidRDefault="00B00E79" w:rsidP="00333C3B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333C3B" w:rsidRPr="008F7ACD" w:rsidRDefault="00333C3B" w:rsidP="00333C3B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Zo 669 pacientov</w:t>
      </w:r>
      <w:r w:rsidR="00D610EB" w:rsidRPr="008F7ACD">
        <w:rPr>
          <w:rFonts w:eastAsia="TimesNewRoman"/>
          <w:szCs w:val="22"/>
          <w:lang w:eastAsia="en-US"/>
        </w:rPr>
        <w:t xml:space="preserve"> zahrnutých do štúdie</w:t>
      </w:r>
      <w:r w:rsidRPr="008F7ACD">
        <w:rPr>
          <w:rFonts w:eastAsia="TimesNewRoman"/>
          <w:szCs w:val="22"/>
          <w:lang w:eastAsia="en-US"/>
        </w:rPr>
        <w:t>, bolo 245 (37</w:t>
      </w:r>
      <w:r w:rsidR="00B00E7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%) vo veku 65 rokov alebo starších. Parametre odpovede</w:t>
      </w:r>
      <w:r w:rsidR="00B00E7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ako aj TTP boli nezávisle od veku aj naďalej signifikantne lepšie pre </w:t>
      </w:r>
      <w:r w:rsidR="00B00E79" w:rsidRPr="008F7ACD">
        <w:rPr>
          <w:rFonts w:eastAsia="TimesNewRoman"/>
          <w:szCs w:val="22"/>
          <w:lang w:eastAsia="en-US"/>
        </w:rPr>
        <w:t>bortezomib</w:t>
      </w:r>
      <w:r w:rsidRPr="008F7ACD">
        <w:rPr>
          <w:rFonts w:eastAsia="TimesNewRoman"/>
          <w:szCs w:val="22"/>
          <w:lang w:eastAsia="en-US"/>
        </w:rPr>
        <w:t>. Bez ohľadu na</w:t>
      </w:r>
      <w:r w:rsidR="0012647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počiatočné hladiny β</w:t>
      </w:r>
      <w:r w:rsidRPr="008F7ACD">
        <w:rPr>
          <w:rFonts w:eastAsia="TimesNewRoman"/>
          <w:szCs w:val="22"/>
          <w:vertAlign w:val="sub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>-mikroglobulínu, všetky parametre účinnosti (čas do progresie a celkové prež</w:t>
      </w:r>
      <w:r w:rsidR="00D610EB" w:rsidRPr="008F7ACD">
        <w:rPr>
          <w:rFonts w:eastAsia="TimesNewRoman"/>
          <w:szCs w:val="22"/>
          <w:lang w:eastAsia="en-US"/>
        </w:rPr>
        <w:t>ívanie</w:t>
      </w:r>
      <w:r w:rsidRPr="008F7ACD">
        <w:rPr>
          <w:rFonts w:eastAsia="TimesNewRoman"/>
          <w:szCs w:val="22"/>
          <w:lang w:eastAsia="en-US"/>
        </w:rPr>
        <w:t>,</w:t>
      </w:r>
      <w:r w:rsidR="00B00E7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ako aj počet odpovedí) boli výrazne zlepšené v</w:t>
      </w:r>
      <w:r w:rsidR="00B00E79" w:rsidRPr="008F7ACD">
        <w:rPr>
          <w:rFonts w:eastAsia="TimesNewRoman"/>
          <w:szCs w:val="22"/>
          <w:lang w:eastAsia="en-US"/>
        </w:rPr>
        <w:t xml:space="preserve"> skupine s bortezomibom.</w:t>
      </w:r>
    </w:p>
    <w:p w:rsidR="00B00E79" w:rsidRPr="008F7ACD" w:rsidRDefault="00B00E79" w:rsidP="00333C3B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333C3B" w:rsidRPr="008F7ACD" w:rsidRDefault="00333C3B" w:rsidP="006827D7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V refraktérnej populácii štúdie fázy II boli odpovede určované nezávislou hodnotiacou komisiou</w:t>
      </w:r>
      <w:r w:rsidR="00B00E7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a</w:t>
      </w:r>
      <w:r w:rsidR="00C6294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kritériá odpovede boli podľa Európskej skupiny pre transplantáciu kostnej drene. Medián prež</w:t>
      </w:r>
      <w:r w:rsidR="00D610EB" w:rsidRPr="008F7ACD">
        <w:rPr>
          <w:rFonts w:eastAsia="TimesNewRoman"/>
          <w:szCs w:val="22"/>
          <w:lang w:eastAsia="en-US"/>
        </w:rPr>
        <w:t>ívania</w:t>
      </w:r>
      <w:r w:rsidR="00B00E7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všetkých zahrnutých pacientov bol 17 mesiacov (rozpätie </w:t>
      </w:r>
      <w:r w:rsidR="00B00E79" w:rsidRPr="008F7ACD">
        <w:rPr>
          <w:color w:val="000000"/>
          <w:szCs w:val="22"/>
        </w:rPr>
        <w:t>&lt; </w:t>
      </w:r>
      <w:r w:rsidR="00D610EB" w:rsidRPr="008F7ACD">
        <w:rPr>
          <w:color w:val="000000"/>
          <w:szCs w:val="22"/>
        </w:rPr>
        <w:t>1</w:t>
      </w:r>
      <w:r w:rsidRPr="008F7ACD">
        <w:rPr>
          <w:rFonts w:eastAsia="TimesNewRoman"/>
          <w:szCs w:val="22"/>
          <w:lang w:eastAsia="en-US"/>
        </w:rPr>
        <w:t xml:space="preserve"> až 36+ mesiacov). Toto prež</w:t>
      </w:r>
      <w:r w:rsidR="00D610EB" w:rsidRPr="008F7ACD">
        <w:rPr>
          <w:rFonts w:eastAsia="TimesNewRoman"/>
          <w:szCs w:val="22"/>
          <w:lang w:eastAsia="en-US"/>
        </w:rPr>
        <w:t>ívanie</w:t>
      </w:r>
      <w:r w:rsidRPr="008F7ACD">
        <w:rPr>
          <w:rFonts w:eastAsia="TimesNewRoman"/>
          <w:szCs w:val="22"/>
          <w:lang w:eastAsia="en-US"/>
        </w:rPr>
        <w:t xml:space="preserve"> bolo</w:t>
      </w:r>
      <w:r w:rsidR="006827D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vyššie ako medián šesťmesačného až deväťmesačného prež</w:t>
      </w:r>
      <w:r w:rsidR="00D610EB" w:rsidRPr="008F7ACD">
        <w:rPr>
          <w:rFonts w:eastAsia="TimesNewRoman"/>
          <w:szCs w:val="22"/>
          <w:lang w:eastAsia="en-US"/>
        </w:rPr>
        <w:t>ívania</w:t>
      </w:r>
      <w:r w:rsidRPr="008F7ACD">
        <w:rPr>
          <w:rFonts w:eastAsia="TimesNewRoman"/>
          <w:szCs w:val="22"/>
          <w:lang w:eastAsia="en-US"/>
        </w:rPr>
        <w:t xml:space="preserve"> očakávaný konzultovanými</w:t>
      </w:r>
      <w:r w:rsidR="006827D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investigátormi pre podobnú populáciu pacientov. Pri multivariačnej analýze, bol počet odpovedí</w:t>
      </w:r>
      <w:r w:rsidR="006827D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nezávislý od typu myelómu, výkonnostného stavu, delécie chromozómu 13 alebo od</w:t>
      </w:r>
      <w:r w:rsidR="00D610E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počtu a typu</w:t>
      </w:r>
      <w:r w:rsidR="006827D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predchádzajúc</w:t>
      </w:r>
      <w:r w:rsidR="00D610EB" w:rsidRPr="008F7ACD">
        <w:rPr>
          <w:rFonts w:eastAsia="TimesNewRoman"/>
          <w:szCs w:val="22"/>
          <w:lang w:eastAsia="en-US"/>
        </w:rPr>
        <w:t>ich</w:t>
      </w:r>
      <w:r w:rsidRPr="008F7ACD">
        <w:rPr>
          <w:rFonts w:eastAsia="TimesNewRoman"/>
          <w:szCs w:val="22"/>
          <w:lang w:eastAsia="en-US"/>
        </w:rPr>
        <w:t xml:space="preserve"> terapi</w:t>
      </w:r>
      <w:r w:rsidR="00D610EB" w:rsidRPr="008F7ACD">
        <w:rPr>
          <w:rFonts w:eastAsia="TimesNewRoman"/>
          <w:szCs w:val="22"/>
          <w:lang w:eastAsia="en-US"/>
        </w:rPr>
        <w:t>í</w:t>
      </w:r>
      <w:r w:rsidRPr="008F7ACD">
        <w:rPr>
          <w:rFonts w:eastAsia="TimesNewRoman"/>
          <w:szCs w:val="22"/>
          <w:lang w:eastAsia="en-US"/>
        </w:rPr>
        <w:t>. Pacienti, ktorí absolvovali 2-3 predchádzajúce terapeutické schémy mali</w:t>
      </w:r>
      <w:r w:rsidR="006827D7" w:rsidRPr="008F7ACD">
        <w:rPr>
          <w:rFonts w:eastAsia="TimesNewRoman"/>
          <w:szCs w:val="22"/>
          <w:lang w:eastAsia="en-US"/>
        </w:rPr>
        <w:t xml:space="preserve"> </w:t>
      </w:r>
      <w:r w:rsidR="00A7619D" w:rsidRPr="008F7ACD">
        <w:rPr>
          <w:rFonts w:eastAsia="TimesNewRoman"/>
          <w:szCs w:val="22"/>
          <w:lang w:eastAsia="en-US"/>
        </w:rPr>
        <w:t>mieru</w:t>
      </w:r>
      <w:r w:rsidRPr="008F7ACD">
        <w:rPr>
          <w:rFonts w:eastAsia="TimesNewRoman"/>
          <w:szCs w:val="22"/>
          <w:lang w:eastAsia="en-US"/>
        </w:rPr>
        <w:t xml:space="preserve"> odpovede 32</w:t>
      </w:r>
      <w:r w:rsidR="006827D7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(10/32) a pacienti, ktorí absolvovali viac ako 7 predchádzajúcich</w:t>
      </w:r>
      <w:r w:rsidR="006827D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terapeutických schém mali </w:t>
      </w:r>
      <w:r w:rsidR="00D610EB" w:rsidRPr="008F7ACD">
        <w:rPr>
          <w:rFonts w:eastAsia="TimesNewRoman"/>
          <w:szCs w:val="22"/>
          <w:lang w:eastAsia="en-US"/>
        </w:rPr>
        <w:t xml:space="preserve">mieru </w:t>
      </w:r>
      <w:r w:rsidRPr="008F7ACD">
        <w:rPr>
          <w:rFonts w:eastAsia="TimesNewRoman"/>
          <w:szCs w:val="22"/>
          <w:lang w:eastAsia="en-US"/>
        </w:rPr>
        <w:t>odpovede 31</w:t>
      </w:r>
      <w:r w:rsidR="006827D7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(21/67).</w:t>
      </w:r>
    </w:p>
    <w:p w:rsidR="00615D7C" w:rsidRPr="008F7ACD" w:rsidRDefault="00615D7C" w:rsidP="00615D7C">
      <w:pPr>
        <w:ind w:left="0" w:firstLine="0"/>
        <w:rPr>
          <w:rFonts w:eastAsia="TimesNewRoman"/>
          <w:szCs w:val="22"/>
          <w:lang w:eastAsia="en-US"/>
        </w:rPr>
      </w:pPr>
    </w:p>
    <w:p w:rsidR="00B1262A" w:rsidRPr="008F7ACD" w:rsidRDefault="006827D7" w:rsidP="00B1262A">
      <w:pPr>
        <w:rPr>
          <w:color w:val="000000"/>
          <w:szCs w:val="22"/>
        </w:rPr>
      </w:pPr>
      <w:r w:rsidRPr="008F7ACD">
        <w:rPr>
          <w:rFonts w:eastAsia="TimesNewRoman,Italic"/>
          <w:i/>
          <w:iCs/>
          <w:szCs w:val="22"/>
          <w:lang w:eastAsia="en-US"/>
        </w:rPr>
        <w:t>Tabuľka 14: Súhrn výsledkov liečby zo štúdií fázy III (APEX) a fázy II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91"/>
        <w:gridCol w:w="992"/>
        <w:gridCol w:w="1007"/>
        <w:gridCol w:w="909"/>
        <w:gridCol w:w="911"/>
        <w:gridCol w:w="972"/>
        <w:gridCol w:w="972"/>
        <w:gridCol w:w="1966"/>
      </w:tblGrid>
      <w:tr w:rsidR="00B1262A" w:rsidRPr="008F7ACD" w:rsidTr="002405B3">
        <w:trPr>
          <w:tblCellSpacing w:w="0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</w:p>
        </w:tc>
        <w:tc>
          <w:tcPr>
            <w:tcW w:w="10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6827D7" w:rsidP="006827D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fáza</w:t>
            </w:r>
            <w:r w:rsidR="00B1262A" w:rsidRPr="008F7ACD">
              <w:rPr>
                <w:b/>
                <w:bCs/>
                <w:color w:val="000000"/>
                <w:szCs w:val="22"/>
              </w:rPr>
              <w:t xml:space="preserve"> III</w:t>
            </w:r>
          </w:p>
        </w:tc>
        <w:tc>
          <w:tcPr>
            <w:tcW w:w="9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6827D7" w:rsidP="006827D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fáza</w:t>
            </w:r>
            <w:r w:rsidR="00B1262A" w:rsidRPr="008F7ACD">
              <w:rPr>
                <w:b/>
                <w:bCs/>
                <w:color w:val="000000"/>
                <w:szCs w:val="22"/>
              </w:rPr>
              <w:t xml:space="preserve"> III</w:t>
            </w:r>
          </w:p>
        </w:tc>
        <w:tc>
          <w:tcPr>
            <w:tcW w:w="10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6827D7" w:rsidP="006827D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fáza</w:t>
            </w:r>
            <w:r w:rsidR="00B1262A" w:rsidRPr="008F7ACD">
              <w:rPr>
                <w:b/>
                <w:bCs/>
                <w:color w:val="000000"/>
                <w:szCs w:val="22"/>
              </w:rPr>
              <w:t xml:space="preserve"> III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6827D7" w:rsidP="006827D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fáza</w:t>
            </w:r>
            <w:r w:rsidR="00B1262A" w:rsidRPr="008F7ACD">
              <w:rPr>
                <w:b/>
                <w:bCs/>
                <w:color w:val="000000"/>
                <w:szCs w:val="22"/>
              </w:rPr>
              <w:t xml:space="preserve"> II</w:t>
            </w:r>
          </w:p>
        </w:tc>
      </w:tr>
      <w:tr w:rsidR="00B1262A" w:rsidRPr="008F7ACD" w:rsidTr="002405B3">
        <w:trPr>
          <w:tblCellSpacing w:w="0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</w:p>
        </w:tc>
        <w:tc>
          <w:tcPr>
            <w:tcW w:w="10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6827D7" w:rsidP="006827D7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Všetci pacienti</w:t>
            </w:r>
          </w:p>
        </w:tc>
        <w:tc>
          <w:tcPr>
            <w:tcW w:w="9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7D7" w:rsidRPr="008F7ACD" w:rsidRDefault="006827D7" w:rsidP="006827D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NewRoman,Bold"/>
                <w:b/>
                <w:bCs/>
                <w:szCs w:val="22"/>
                <w:lang w:eastAsia="en-US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1 predchádzajúca</w:t>
            </w:r>
          </w:p>
          <w:p w:rsidR="00B1262A" w:rsidRPr="008F7ACD" w:rsidRDefault="006827D7" w:rsidP="006827D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liečba</w:t>
            </w:r>
          </w:p>
        </w:tc>
        <w:tc>
          <w:tcPr>
            <w:tcW w:w="10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7D7" w:rsidRPr="008F7ACD" w:rsidRDefault="006827D7" w:rsidP="006827D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NewRoman,Bold"/>
                <w:b/>
                <w:bCs/>
                <w:szCs w:val="22"/>
                <w:lang w:eastAsia="en-US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&gt;1 predchádzajúca</w:t>
            </w:r>
          </w:p>
          <w:p w:rsidR="00B1262A" w:rsidRPr="008F7ACD" w:rsidRDefault="006827D7" w:rsidP="006827D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liečba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7D7" w:rsidRPr="008F7ACD" w:rsidRDefault="00A7619D" w:rsidP="006827D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NewRoman,Bold"/>
                <w:b/>
                <w:bCs/>
                <w:szCs w:val="22"/>
                <w:lang w:eastAsia="en-US"/>
              </w:rPr>
            </w:pPr>
            <w:r w:rsidRPr="008F7ACD">
              <w:rPr>
                <w:szCs w:val="22"/>
                <w:lang w:eastAsia="en-US"/>
              </w:rPr>
              <w:t>≥</w:t>
            </w:r>
            <w:r w:rsidR="006827D7" w:rsidRPr="008F7ACD">
              <w:rPr>
                <w:rFonts w:eastAsia="TimesNewRoman,Bold"/>
                <w:b/>
                <w:bCs/>
                <w:szCs w:val="22"/>
                <w:lang w:eastAsia="en-US"/>
              </w:rPr>
              <w:t>2 predchádzajúce</w:t>
            </w:r>
          </w:p>
          <w:p w:rsidR="00B1262A" w:rsidRPr="008F7ACD" w:rsidRDefault="006827D7" w:rsidP="006827D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liečby</w:t>
            </w:r>
          </w:p>
        </w:tc>
      </w:tr>
      <w:tr w:rsidR="002405B3" w:rsidRPr="008F7ACD" w:rsidTr="002405B3">
        <w:trPr>
          <w:tblCellSpacing w:w="0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7D7" w:rsidRPr="008F7ACD" w:rsidRDefault="006827D7" w:rsidP="006827D7">
            <w:pPr>
              <w:autoSpaceDE w:val="0"/>
              <w:autoSpaceDN w:val="0"/>
              <w:adjustRightInd w:val="0"/>
              <w:ind w:left="0" w:firstLine="0"/>
              <w:rPr>
                <w:rFonts w:eastAsia="TimesNewRoman,Bold"/>
                <w:bCs/>
                <w:szCs w:val="22"/>
                <w:lang w:eastAsia="en-US"/>
              </w:rPr>
            </w:pPr>
            <w:r w:rsidRPr="008F7ACD">
              <w:rPr>
                <w:rFonts w:eastAsia="TimesNewRoman,Bold"/>
                <w:bCs/>
                <w:szCs w:val="22"/>
                <w:lang w:eastAsia="en-US"/>
              </w:rPr>
              <w:t>Časovo závislé</w:t>
            </w:r>
          </w:p>
          <w:p w:rsidR="00B1262A" w:rsidRPr="008F7ACD" w:rsidRDefault="006827D7" w:rsidP="006827D7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,Bold"/>
                <w:bCs/>
                <w:szCs w:val="22"/>
                <w:lang w:eastAsia="en-US"/>
              </w:rPr>
              <w:t>udalosti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827D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Cs/>
                <w:color w:val="000000"/>
                <w:szCs w:val="22"/>
              </w:rPr>
              <w:t>B</w:t>
            </w:r>
          </w:p>
          <w:p w:rsidR="00B1262A" w:rsidRPr="008F7ACD" w:rsidRDefault="00B1262A" w:rsidP="006827D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Cs/>
                <w:color w:val="000000"/>
                <w:szCs w:val="22"/>
              </w:rPr>
              <w:t>n</w:t>
            </w:r>
            <w:r w:rsidR="002405B3" w:rsidRPr="008F7ACD">
              <w:rPr>
                <w:bCs/>
                <w:color w:val="000000"/>
                <w:szCs w:val="22"/>
              </w:rPr>
              <w:t xml:space="preserve"> </w:t>
            </w:r>
            <w:r w:rsidRPr="008F7ACD">
              <w:rPr>
                <w:bCs/>
                <w:color w:val="000000"/>
                <w:szCs w:val="22"/>
              </w:rPr>
              <w:t>=</w:t>
            </w:r>
            <w:r w:rsidR="002405B3" w:rsidRPr="008F7ACD">
              <w:rPr>
                <w:bCs/>
                <w:color w:val="000000"/>
                <w:szCs w:val="22"/>
              </w:rPr>
              <w:t xml:space="preserve"> </w:t>
            </w:r>
            <w:r w:rsidRPr="008F7ACD">
              <w:rPr>
                <w:bCs/>
                <w:color w:val="000000"/>
                <w:szCs w:val="22"/>
              </w:rPr>
              <w:t>333</w:t>
            </w:r>
            <w:r w:rsidRPr="008F7ACD">
              <w:rPr>
                <w:bCs/>
                <w:color w:val="000000"/>
                <w:szCs w:val="22"/>
                <w:vertAlign w:val="superscript"/>
              </w:rPr>
              <w:t>a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827D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Cs/>
                <w:color w:val="000000"/>
                <w:szCs w:val="22"/>
              </w:rPr>
              <w:t>Dex</w:t>
            </w:r>
          </w:p>
          <w:p w:rsidR="00B1262A" w:rsidRPr="008F7ACD" w:rsidRDefault="002405B3" w:rsidP="006827D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Cs/>
                <w:color w:val="000000"/>
                <w:szCs w:val="22"/>
              </w:rPr>
              <w:t xml:space="preserve">n </w:t>
            </w:r>
            <w:r w:rsidR="00B1262A" w:rsidRPr="008F7ACD">
              <w:rPr>
                <w:bCs/>
                <w:color w:val="000000"/>
                <w:szCs w:val="22"/>
              </w:rPr>
              <w:t>=</w:t>
            </w:r>
            <w:r w:rsidRPr="008F7ACD">
              <w:rPr>
                <w:bCs/>
                <w:color w:val="000000"/>
                <w:szCs w:val="22"/>
              </w:rPr>
              <w:t xml:space="preserve"> </w:t>
            </w:r>
            <w:r w:rsidR="00B1262A" w:rsidRPr="008F7ACD">
              <w:rPr>
                <w:bCs/>
                <w:color w:val="000000"/>
                <w:szCs w:val="22"/>
              </w:rPr>
              <w:t>336</w:t>
            </w:r>
            <w:r w:rsidR="00B1262A" w:rsidRPr="008F7ACD">
              <w:rPr>
                <w:bCs/>
                <w:color w:val="000000"/>
                <w:szCs w:val="22"/>
                <w:vertAlign w:val="superscript"/>
              </w:rPr>
              <w:t>a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827D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Cs/>
                <w:color w:val="000000"/>
                <w:szCs w:val="22"/>
              </w:rPr>
              <w:t>B</w:t>
            </w:r>
          </w:p>
          <w:p w:rsidR="00B1262A" w:rsidRPr="008F7ACD" w:rsidRDefault="002405B3" w:rsidP="006827D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Cs/>
                <w:color w:val="000000"/>
                <w:szCs w:val="22"/>
              </w:rPr>
              <w:t xml:space="preserve">n </w:t>
            </w:r>
            <w:r w:rsidR="00B1262A" w:rsidRPr="008F7ACD">
              <w:rPr>
                <w:bCs/>
                <w:color w:val="000000"/>
                <w:szCs w:val="22"/>
              </w:rPr>
              <w:t>=</w:t>
            </w:r>
            <w:r w:rsidRPr="008F7ACD">
              <w:rPr>
                <w:bCs/>
                <w:color w:val="000000"/>
                <w:szCs w:val="22"/>
              </w:rPr>
              <w:t xml:space="preserve"> </w:t>
            </w:r>
            <w:r w:rsidR="00B1262A" w:rsidRPr="008F7ACD">
              <w:rPr>
                <w:bCs/>
                <w:color w:val="000000"/>
                <w:szCs w:val="22"/>
              </w:rPr>
              <w:t>132</w:t>
            </w:r>
            <w:r w:rsidR="00B1262A" w:rsidRPr="008F7ACD">
              <w:rPr>
                <w:bCs/>
                <w:color w:val="000000"/>
                <w:szCs w:val="22"/>
                <w:vertAlign w:val="superscript"/>
              </w:rPr>
              <w:t>a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827D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Cs/>
                <w:color w:val="000000"/>
                <w:szCs w:val="22"/>
              </w:rPr>
              <w:t>Dex</w:t>
            </w:r>
          </w:p>
          <w:p w:rsidR="00B1262A" w:rsidRPr="008F7ACD" w:rsidRDefault="002405B3" w:rsidP="006827D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Cs/>
                <w:color w:val="000000"/>
                <w:szCs w:val="22"/>
              </w:rPr>
              <w:t xml:space="preserve">n </w:t>
            </w:r>
            <w:r w:rsidR="00B1262A" w:rsidRPr="008F7ACD">
              <w:rPr>
                <w:bCs/>
                <w:color w:val="000000"/>
                <w:szCs w:val="22"/>
              </w:rPr>
              <w:t>=</w:t>
            </w:r>
            <w:r w:rsidRPr="008F7ACD">
              <w:rPr>
                <w:bCs/>
                <w:color w:val="000000"/>
                <w:szCs w:val="22"/>
              </w:rPr>
              <w:t xml:space="preserve"> </w:t>
            </w:r>
            <w:r w:rsidR="00B1262A" w:rsidRPr="008F7ACD">
              <w:rPr>
                <w:bCs/>
                <w:color w:val="000000"/>
                <w:szCs w:val="22"/>
              </w:rPr>
              <w:t>119</w:t>
            </w:r>
            <w:r w:rsidR="00B1262A" w:rsidRPr="008F7ACD">
              <w:rPr>
                <w:bCs/>
                <w:color w:val="000000"/>
                <w:szCs w:val="22"/>
                <w:vertAlign w:val="superscript"/>
              </w:rPr>
              <w:t>a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827D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Cs/>
                <w:color w:val="000000"/>
                <w:szCs w:val="22"/>
              </w:rPr>
              <w:t>B</w:t>
            </w:r>
          </w:p>
          <w:p w:rsidR="00B1262A" w:rsidRPr="008F7ACD" w:rsidRDefault="002405B3" w:rsidP="006827D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Cs/>
                <w:color w:val="000000"/>
                <w:szCs w:val="22"/>
              </w:rPr>
              <w:t xml:space="preserve">n </w:t>
            </w:r>
            <w:r w:rsidR="00B1262A" w:rsidRPr="008F7ACD">
              <w:rPr>
                <w:bCs/>
                <w:color w:val="000000"/>
                <w:szCs w:val="22"/>
              </w:rPr>
              <w:t>=</w:t>
            </w:r>
            <w:r w:rsidRPr="008F7ACD">
              <w:rPr>
                <w:bCs/>
                <w:color w:val="000000"/>
                <w:szCs w:val="22"/>
              </w:rPr>
              <w:t xml:space="preserve"> </w:t>
            </w:r>
            <w:r w:rsidR="00B1262A" w:rsidRPr="008F7ACD">
              <w:rPr>
                <w:bCs/>
                <w:color w:val="000000"/>
                <w:szCs w:val="22"/>
              </w:rPr>
              <w:t>200</w:t>
            </w:r>
            <w:r w:rsidR="00B1262A" w:rsidRPr="008F7ACD">
              <w:rPr>
                <w:bCs/>
                <w:color w:val="000000"/>
                <w:szCs w:val="22"/>
                <w:vertAlign w:val="superscript"/>
              </w:rPr>
              <w:t>a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827D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Cs/>
                <w:color w:val="000000"/>
                <w:szCs w:val="22"/>
              </w:rPr>
              <w:t>Dex</w:t>
            </w:r>
          </w:p>
          <w:p w:rsidR="00B1262A" w:rsidRPr="008F7ACD" w:rsidRDefault="002405B3" w:rsidP="006827D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Cs/>
                <w:color w:val="000000"/>
                <w:szCs w:val="22"/>
              </w:rPr>
              <w:t xml:space="preserve">n </w:t>
            </w:r>
            <w:r w:rsidR="00B1262A" w:rsidRPr="008F7ACD">
              <w:rPr>
                <w:bCs/>
                <w:color w:val="000000"/>
                <w:szCs w:val="22"/>
              </w:rPr>
              <w:t>=</w:t>
            </w:r>
            <w:r w:rsidRPr="008F7ACD">
              <w:rPr>
                <w:bCs/>
                <w:color w:val="000000"/>
                <w:szCs w:val="22"/>
              </w:rPr>
              <w:t xml:space="preserve"> </w:t>
            </w:r>
            <w:r w:rsidR="00B1262A" w:rsidRPr="008F7ACD">
              <w:rPr>
                <w:bCs/>
                <w:color w:val="000000"/>
                <w:szCs w:val="22"/>
              </w:rPr>
              <w:t>217</w:t>
            </w:r>
            <w:r w:rsidR="00B1262A" w:rsidRPr="008F7ACD">
              <w:rPr>
                <w:bCs/>
                <w:color w:val="000000"/>
                <w:szCs w:val="22"/>
                <w:vertAlign w:val="superscript"/>
              </w:rPr>
              <w:t>a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827D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Cs/>
                <w:color w:val="000000"/>
                <w:szCs w:val="22"/>
              </w:rPr>
              <w:t>B</w:t>
            </w:r>
          </w:p>
          <w:p w:rsidR="00B1262A" w:rsidRPr="008F7ACD" w:rsidRDefault="002405B3" w:rsidP="006827D7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Cs/>
                <w:color w:val="000000"/>
                <w:szCs w:val="22"/>
              </w:rPr>
              <w:t xml:space="preserve">n </w:t>
            </w:r>
            <w:r w:rsidR="00B1262A" w:rsidRPr="008F7ACD">
              <w:rPr>
                <w:bCs/>
                <w:color w:val="000000"/>
                <w:szCs w:val="22"/>
              </w:rPr>
              <w:t>=</w:t>
            </w:r>
            <w:r w:rsidRPr="008F7ACD">
              <w:rPr>
                <w:bCs/>
                <w:color w:val="000000"/>
                <w:szCs w:val="22"/>
              </w:rPr>
              <w:t xml:space="preserve"> </w:t>
            </w:r>
            <w:r w:rsidR="00B1262A" w:rsidRPr="008F7ACD">
              <w:rPr>
                <w:bCs/>
                <w:color w:val="000000"/>
                <w:szCs w:val="22"/>
              </w:rPr>
              <w:t>202</w:t>
            </w:r>
            <w:r w:rsidR="00B1262A" w:rsidRPr="008F7ACD">
              <w:rPr>
                <w:bCs/>
                <w:color w:val="000000"/>
                <w:szCs w:val="22"/>
                <w:vertAlign w:val="superscript"/>
              </w:rPr>
              <w:t>a</w:t>
            </w:r>
          </w:p>
        </w:tc>
      </w:tr>
      <w:tr w:rsidR="002405B3" w:rsidRPr="008F7ACD" w:rsidTr="002405B3">
        <w:trPr>
          <w:tblCellSpacing w:w="0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7D7" w:rsidRPr="008F7ACD" w:rsidRDefault="00792F95" w:rsidP="006827D7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Čas do progresie (</w:t>
            </w:r>
            <w:r w:rsidR="006827D7" w:rsidRPr="008F7ACD">
              <w:rPr>
                <w:rFonts w:eastAsia="TimesNewRoman"/>
                <w:szCs w:val="22"/>
                <w:lang w:eastAsia="en-US"/>
              </w:rPr>
              <w:t>TTP</w:t>
            </w:r>
            <w:r w:rsidRPr="008F7ACD">
              <w:rPr>
                <w:rFonts w:eastAsia="TimesNewRoman"/>
                <w:szCs w:val="22"/>
                <w:lang w:eastAsia="en-US"/>
              </w:rPr>
              <w:t>)</w:t>
            </w:r>
            <w:r w:rsidR="006827D7" w:rsidRPr="008F7ACD">
              <w:rPr>
                <w:rFonts w:eastAsia="TimesNewRoman"/>
                <w:szCs w:val="22"/>
                <w:lang w:eastAsia="en-US"/>
              </w:rPr>
              <w:t>, dni</w:t>
            </w:r>
          </w:p>
          <w:p w:rsidR="00B1262A" w:rsidRPr="008F7ACD" w:rsidRDefault="006827D7" w:rsidP="006827D7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[95 % CI]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8D1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189</w:t>
            </w:r>
            <w:r w:rsidRPr="008F7ACD">
              <w:rPr>
                <w:color w:val="000000"/>
                <w:szCs w:val="22"/>
                <w:vertAlign w:val="superscript"/>
              </w:rPr>
              <w:t>b</w:t>
            </w:r>
          </w:p>
          <w:p w:rsidR="00B1262A" w:rsidRPr="008F7ACD" w:rsidRDefault="00B1262A" w:rsidP="007A469B">
            <w:pPr>
              <w:ind w:left="12" w:hanging="12"/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[148, 211]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106</w:t>
            </w:r>
            <w:r w:rsidRPr="008F7ACD">
              <w:rPr>
                <w:color w:val="000000"/>
                <w:szCs w:val="22"/>
                <w:vertAlign w:val="superscript"/>
              </w:rPr>
              <w:t>b</w:t>
            </w:r>
          </w:p>
          <w:p w:rsidR="00B1262A" w:rsidRPr="008F7ACD" w:rsidRDefault="00B1262A" w:rsidP="007A469B">
            <w:pPr>
              <w:ind w:left="8" w:hanging="8"/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[86, 128]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212</w:t>
            </w:r>
            <w:r w:rsidRPr="008F7ACD">
              <w:rPr>
                <w:color w:val="000000"/>
                <w:szCs w:val="22"/>
                <w:vertAlign w:val="superscript"/>
              </w:rPr>
              <w:t>d</w:t>
            </w:r>
          </w:p>
          <w:p w:rsidR="00B1262A" w:rsidRPr="008F7ACD" w:rsidRDefault="00B1262A" w:rsidP="007A469B">
            <w:pPr>
              <w:ind w:left="0" w:firstLine="0"/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[188, 267]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169</w:t>
            </w:r>
            <w:r w:rsidRPr="008F7ACD">
              <w:rPr>
                <w:color w:val="000000"/>
                <w:szCs w:val="22"/>
                <w:vertAlign w:val="superscript"/>
              </w:rPr>
              <w:t>d</w:t>
            </w:r>
          </w:p>
          <w:p w:rsidR="00B1262A" w:rsidRPr="008F7ACD" w:rsidRDefault="00B1262A" w:rsidP="007A469B">
            <w:pPr>
              <w:ind w:left="0" w:firstLine="0"/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[105, 191]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148</w:t>
            </w:r>
            <w:r w:rsidRPr="008F7ACD">
              <w:rPr>
                <w:color w:val="000000"/>
                <w:szCs w:val="22"/>
                <w:vertAlign w:val="superscript"/>
              </w:rPr>
              <w:t>b</w:t>
            </w:r>
          </w:p>
          <w:p w:rsidR="00B1262A" w:rsidRPr="008F7ACD" w:rsidRDefault="00B1262A" w:rsidP="007A469B">
            <w:pPr>
              <w:ind w:left="25" w:hanging="25"/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[129, 192]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87</w:t>
            </w:r>
            <w:r w:rsidRPr="008F7ACD">
              <w:rPr>
                <w:color w:val="000000"/>
                <w:szCs w:val="22"/>
                <w:vertAlign w:val="superscript"/>
              </w:rPr>
              <w:t>b</w:t>
            </w:r>
          </w:p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[84, 107]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210</w:t>
            </w:r>
          </w:p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[154, 281]</w:t>
            </w:r>
          </w:p>
        </w:tc>
      </w:tr>
      <w:tr w:rsidR="002405B3" w:rsidRPr="008F7ACD" w:rsidTr="002405B3">
        <w:trPr>
          <w:tblCellSpacing w:w="0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69B" w:rsidRPr="008F7ACD" w:rsidRDefault="007A469B" w:rsidP="007A469B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  <w:lang w:eastAsia="en-US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1 rok prež</w:t>
            </w:r>
            <w:r w:rsidR="00D610EB" w:rsidRPr="008F7ACD">
              <w:rPr>
                <w:rFonts w:eastAsia="TimesNewRoman"/>
                <w:szCs w:val="22"/>
                <w:lang w:eastAsia="en-US"/>
              </w:rPr>
              <w:t>ívania</w:t>
            </w:r>
            <w:r w:rsidRPr="008F7ACD">
              <w:rPr>
                <w:rFonts w:eastAsia="TimesNewRoman"/>
                <w:szCs w:val="22"/>
                <w:lang w:eastAsia="en-US"/>
              </w:rPr>
              <w:t>, %</w:t>
            </w:r>
          </w:p>
          <w:p w:rsidR="00B1262A" w:rsidRPr="008F7ACD" w:rsidRDefault="007A469B" w:rsidP="007A469B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[95 % CI]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80</w:t>
            </w:r>
            <w:r w:rsidRPr="008F7ACD">
              <w:rPr>
                <w:color w:val="000000"/>
                <w:szCs w:val="22"/>
                <w:vertAlign w:val="superscript"/>
              </w:rPr>
              <w:t>d</w:t>
            </w:r>
          </w:p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[74,85]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66</w:t>
            </w:r>
            <w:r w:rsidRPr="008F7ACD">
              <w:rPr>
                <w:color w:val="000000"/>
                <w:szCs w:val="22"/>
                <w:vertAlign w:val="superscript"/>
              </w:rPr>
              <w:t>d</w:t>
            </w:r>
          </w:p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[59,72]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89</w:t>
            </w:r>
            <w:r w:rsidRPr="008F7ACD">
              <w:rPr>
                <w:color w:val="000000"/>
                <w:szCs w:val="22"/>
                <w:vertAlign w:val="superscript"/>
              </w:rPr>
              <w:t>d</w:t>
            </w:r>
          </w:p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[82,95]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72</w:t>
            </w:r>
            <w:r w:rsidRPr="008F7ACD">
              <w:rPr>
                <w:color w:val="000000"/>
                <w:szCs w:val="22"/>
                <w:vertAlign w:val="superscript"/>
              </w:rPr>
              <w:t>d</w:t>
            </w:r>
          </w:p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[62,83]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73</w:t>
            </w:r>
          </w:p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[64,82]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62</w:t>
            </w:r>
          </w:p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[53,71]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60</w:t>
            </w:r>
          </w:p>
        </w:tc>
      </w:tr>
      <w:tr w:rsidR="002405B3" w:rsidRPr="008F7ACD" w:rsidTr="002405B3">
        <w:trPr>
          <w:tblCellSpacing w:w="0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7A469B" w:rsidP="007A469B">
            <w:pPr>
              <w:ind w:left="0" w:firstLine="0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 xml:space="preserve">Najlepšia odpoveď </w:t>
            </w:r>
            <w:r w:rsidR="00B1262A" w:rsidRPr="008F7ACD">
              <w:rPr>
                <w:b/>
                <w:bCs/>
                <w:color w:val="000000"/>
                <w:szCs w:val="22"/>
              </w:rPr>
              <w:t>(%)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B</w:t>
            </w:r>
          </w:p>
          <w:p w:rsidR="00B1262A" w:rsidRPr="008F7ACD" w:rsidRDefault="004044E0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 xml:space="preserve">n </w:t>
            </w:r>
            <w:r w:rsidR="00B1262A" w:rsidRPr="008F7ACD">
              <w:rPr>
                <w:b/>
                <w:bCs/>
                <w:color w:val="000000"/>
                <w:szCs w:val="22"/>
              </w:rPr>
              <w:t>=</w:t>
            </w:r>
            <w:r w:rsidRPr="008F7ACD">
              <w:rPr>
                <w:b/>
                <w:bCs/>
                <w:color w:val="000000"/>
                <w:szCs w:val="22"/>
              </w:rPr>
              <w:t xml:space="preserve"> </w:t>
            </w:r>
            <w:r w:rsidR="00B1262A" w:rsidRPr="008F7ACD">
              <w:rPr>
                <w:b/>
                <w:bCs/>
                <w:color w:val="000000"/>
                <w:szCs w:val="22"/>
              </w:rPr>
              <w:t>315</w:t>
            </w:r>
            <w:r w:rsidR="00B1262A" w:rsidRPr="008F7ACD">
              <w:rPr>
                <w:color w:val="000000"/>
                <w:szCs w:val="22"/>
                <w:vertAlign w:val="superscript"/>
              </w:rPr>
              <w:t>c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Dex</w:t>
            </w:r>
          </w:p>
          <w:p w:rsidR="00B1262A" w:rsidRPr="008F7ACD" w:rsidRDefault="004044E0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 xml:space="preserve">n </w:t>
            </w:r>
            <w:r w:rsidR="00B1262A" w:rsidRPr="008F7ACD">
              <w:rPr>
                <w:b/>
                <w:bCs/>
                <w:color w:val="000000"/>
                <w:szCs w:val="22"/>
              </w:rPr>
              <w:t>=</w:t>
            </w:r>
            <w:r w:rsidRPr="008F7ACD">
              <w:rPr>
                <w:b/>
                <w:bCs/>
                <w:color w:val="000000"/>
                <w:szCs w:val="22"/>
              </w:rPr>
              <w:t xml:space="preserve"> </w:t>
            </w:r>
            <w:r w:rsidR="00B1262A" w:rsidRPr="008F7ACD">
              <w:rPr>
                <w:b/>
                <w:bCs/>
                <w:color w:val="000000"/>
                <w:szCs w:val="22"/>
              </w:rPr>
              <w:t>312</w:t>
            </w:r>
            <w:r w:rsidR="00B1262A" w:rsidRPr="008F7ACD">
              <w:rPr>
                <w:color w:val="000000"/>
                <w:szCs w:val="22"/>
                <w:vertAlign w:val="superscript"/>
              </w:rPr>
              <w:t>c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B</w:t>
            </w:r>
          </w:p>
          <w:p w:rsidR="00B1262A" w:rsidRPr="008F7ACD" w:rsidRDefault="004044E0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 xml:space="preserve">n </w:t>
            </w:r>
            <w:r w:rsidR="00B1262A" w:rsidRPr="008F7ACD">
              <w:rPr>
                <w:b/>
                <w:bCs/>
                <w:color w:val="000000"/>
                <w:szCs w:val="22"/>
              </w:rPr>
              <w:t>=</w:t>
            </w:r>
            <w:r w:rsidRPr="008F7ACD">
              <w:rPr>
                <w:b/>
                <w:bCs/>
                <w:color w:val="000000"/>
                <w:szCs w:val="22"/>
              </w:rPr>
              <w:t xml:space="preserve"> </w:t>
            </w:r>
            <w:r w:rsidR="00B1262A" w:rsidRPr="008F7ACD">
              <w:rPr>
                <w:b/>
                <w:bCs/>
                <w:color w:val="000000"/>
                <w:szCs w:val="22"/>
              </w:rPr>
              <w:t>128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Dex</w:t>
            </w:r>
          </w:p>
          <w:p w:rsidR="00B1262A" w:rsidRPr="008F7ACD" w:rsidRDefault="004044E0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 xml:space="preserve">n </w:t>
            </w:r>
            <w:r w:rsidR="00B1262A" w:rsidRPr="008F7ACD">
              <w:rPr>
                <w:b/>
                <w:bCs/>
                <w:color w:val="000000"/>
                <w:szCs w:val="22"/>
              </w:rPr>
              <w:t>=</w:t>
            </w:r>
            <w:r w:rsidRPr="008F7ACD">
              <w:rPr>
                <w:b/>
                <w:bCs/>
                <w:color w:val="000000"/>
                <w:szCs w:val="22"/>
              </w:rPr>
              <w:t xml:space="preserve"> </w:t>
            </w:r>
            <w:r w:rsidR="00B1262A" w:rsidRPr="008F7ACD">
              <w:rPr>
                <w:b/>
                <w:bCs/>
                <w:color w:val="000000"/>
                <w:szCs w:val="22"/>
              </w:rPr>
              <w:t>110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B</w:t>
            </w:r>
          </w:p>
          <w:p w:rsidR="00B1262A" w:rsidRPr="008F7ACD" w:rsidRDefault="004044E0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 xml:space="preserve">n </w:t>
            </w:r>
            <w:r w:rsidR="00B1262A" w:rsidRPr="008F7ACD">
              <w:rPr>
                <w:b/>
                <w:bCs/>
                <w:color w:val="000000"/>
                <w:szCs w:val="22"/>
              </w:rPr>
              <w:t>=</w:t>
            </w:r>
            <w:r w:rsidRPr="008F7ACD">
              <w:rPr>
                <w:b/>
                <w:bCs/>
                <w:color w:val="000000"/>
                <w:szCs w:val="22"/>
              </w:rPr>
              <w:t xml:space="preserve"> </w:t>
            </w:r>
            <w:r w:rsidR="00B1262A" w:rsidRPr="008F7ACD">
              <w:rPr>
                <w:b/>
                <w:bCs/>
                <w:color w:val="000000"/>
                <w:szCs w:val="22"/>
              </w:rPr>
              <w:t>187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Dex</w:t>
            </w:r>
          </w:p>
          <w:p w:rsidR="00B1262A" w:rsidRPr="008F7ACD" w:rsidRDefault="004044E0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 xml:space="preserve">n </w:t>
            </w:r>
            <w:r w:rsidR="00B1262A" w:rsidRPr="008F7ACD">
              <w:rPr>
                <w:b/>
                <w:bCs/>
                <w:color w:val="000000"/>
                <w:szCs w:val="22"/>
              </w:rPr>
              <w:t>=</w:t>
            </w:r>
            <w:r w:rsidRPr="008F7ACD">
              <w:rPr>
                <w:b/>
                <w:bCs/>
                <w:color w:val="000000"/>
                <w:szCs w:val="22"/>
              </w:rPr>
              <w:t xml:space="preserve"> </w:t>
            </w:r>
            <w:r w:rsidR="00B1262A" w:rsidRPr="008F7ACD">
              <w:rPr>
                <w:b/>
                <w:bCs/>
                <w:color w:val="000000"/>
                <w:szCs w:val="22"/>
              </w:rPr>
              <w:t>202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B</w:t>
            </w:r>
          </w:p>
          <w:p w:rsidR="00B1262A" w:rsidRPr="008F7ACD" w:rsidRDefault="002405B3" w:rsidP="007A469B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 xml:space="preserve">n </w:t>
            </w:r>
            <w:r w:rsidR="00B1262A" w:rsidRPr="008F7ACD">
              <w:rPr>
                <w:b/>
                <w:bCs/>
                <w:color w:val="000000"/>
                <w:szCs w:val="22"/>
              </w:rPr>
              <w:t>=</w:t>
            </w:r>
            <w:r w:rsidRPr="008F7ACD">
              <w:rPr>
                <w:b/>
                <w:bCs/>
                <w:color w:val="000000"/>
                <w:szCs w:val="22"/>
              </w:rPr>
              <w:t xml:space="preserve"> </w:t>
            </w:r>
            <w:r w:rsidR="00B1262A" w:rsidRPr="008F7ACD">
              <w:rPr>
                <w:b/>
                <w:bCs/>
                <w:color w:val="000000"/>
                <w:szCs w:val="22"/>
              </w:rPr>
              <w:t>193</w:t>
            </w:r>
          </w:p>
        </w:tc>
      </w:tr>
      <w:tr w:rsidR="002405B3" w:rsidRPr="008F7ACD" w:rsidTr="002405B3">
        <w:trPr>
          <w:tblCellSpacing w:w="0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CR 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20 (6)</w:t>
            </w:r>
            <w:r w:rsidRPr="008F7ACD">
              <w:rPr>
                <w:color w:val="000000"/>
                <w:szCs w:val="22"/>
                <w:vertAlign w:val="superscript"/>
              </w:rPr>
              <w:t>b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 (&lt;</w:t>
            </w:r>
            <w:r w:rsidR="007A469B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>1)</w:t>
            </w:r>
            <w:r w:rsidRPr="008F7ACD">
              <w:rPr>
                <w:color w:val="000000"/>
                <w:szCs w:val="22"/>
                <w:vertAlign w:val="superscript"/>
              </w:rPr>
              <w:t>b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8 (6) 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2 (2) 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12 (6) 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0 (0) 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(4)** </w:t>
            </w:r>
          </w:p>
        </w:tc>
      </w:tr>
      <w:tr w:rsidR="002405B3" w:rsidRPr="008F7ACD" w:rsidTr="002405B3">
        <w:trPr>
          <w:tblCellSpacing w:w="0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CR+nCR 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ind w:left="0" w:firstLine="0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41 (13)</w:t>
            </w:r>
            <w:r w:rsidRPr="008F7ACD">
              <w:rPr>
                <w:color w:val="000000"/>
                <w:szCs w:val="22"/>
                <w:vertAlign w:val="superscript"/>
              </w:rPr>
              <w:t>b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5 (2)</w:t>
            </w:r>
            <w:r w:rsidRPr="008F7ACD">
              <w:rPr>
                <w:color w:val="000000"/>
                <w:szCs w:val="22"/>
                <w:vertAlign w:val="superscript"/>
              </w:rPr>
              <w:t>b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16 (13) 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4 (4) 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25 (13) 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 (&lt;</w:t>
            </w:r>
            <w:r w:rsidR="007A469B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 xml:space="preserve">1) 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(10)** </w:t>
            </w:r>
          </w:p>
        </w:tc>
      </w:tr>
      <w:tr w:rsidR="002405B3" w:rsidRPr="008F7ACD" w:rsidTr="002405B3">
        <w:trPr>
          <w:tblCellSpacing w:w="0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CR+nCR+PR 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ind w:left="12" w:hanging="12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121 (38)</w:t>
            </w:r>
            <w:r w:rsidRPr="008F7ACD">
              <w:rPr>
                <w:color w:val="000000"/>
                <w:szCs w:val="22"/>
                <w:vertAlign w:val="superscript"/>
              </w:rPr>
              <w:t>b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ind w:left="0" w:firstLine="0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56 (18)</w:t>
            </w:r>
            <w:r w:rsidRPr="008F7ACD">
              <w:rPr>
                <w:color w:val="000000"/>
                <w:szCs w:val="22"/>
                <w:vertAlign w:val="superscript"/>
              </w:rPr>
              <w:t>b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57 (45)</w:t>
            </w:r>
            <w:r w:rsidRPr="008F7ACD">
              <w:rPr>
                <w:color w:val="000000"/>
                <w:szCs w:val="22"/>
                <w:vertAlign w:val="superscript"/>
              </w:rPr>
              <w:t>d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29 (26)</w:t>
            </w:r>
            <w:r w:rsidRPr="008F7ACD">
              <w:rPr>
                <w:color w:val="000000"/>
                <w:szCs w:val="22"/>
                <w:vertAlign w:val="superscript"/>
              </w:rPr>
              <w:t>d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64 (34)</w:t>
            </w:r>
            <w:r w:rsidRPr="008F7ACD">
              <w:rPr>
                <w:color w:val="000000"/>
                <w:szCs w:val="22"/>
                <w:vertAlign w:val="superscript"/>
              </w:rPr>
              <w:t>b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27 (13)</w:t>
            </w:r>
            <w:r w:rsidRPr="008F7ACD">
              <w:rPr>
                <w:color w:val="000000"/>
                <w:szCs w:val="22"/>
                <w:vertAlign w:val="superscript"/>
              </w:rPr>
              <w:t>b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(27)** </w:t>
            </w:r>
          </w:p>
        </w:tc>
      </w:tr>
      <w:tr w:rsidR="002405B3" w:rsidRPr="008F7ACD" w:rsidTr="002405B3">
        <w:trPr>
          <w:tblCellSpacing w:w="0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CR+nCR+PR+MR 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ind w:left="12" w:hanging="12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146 (46) 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ind w:left="8" w:hanging="8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108 (35) 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66 (52) 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45 (41) 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80 (43) 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63 (31) 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(35)** </w:t>
            </w:r>
          </w:p>
        </w:tc>
      </w:tr>
      <w:tr w:rsidR="002405B3" w:rsidRPr="008F7ACD" w:rsidTr="002405B3">
        <w:trPr>
          <w:tblCellSpacing w:w="0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69B" w:rsidRPr="008F7ACD" w:rsidRDefault="007A469B" w:rsidP="007A469B">
            <w:pPr>
              <w:autoSpaceDE w:val="0"/>
              <w:autoSpaceDN w:val="0"/>
              <w:adjustRightInd w:val="0"/>
              <w:ind w:left="0" w:firstLine="0"/>
              <w:rPr>
                <w:rFonts w:eastAsia="TimesNewRoman,Bold"/>
                <w:b/>
                <w:bCs/>
                <w:szCs w:val="22"/>
                <w:lang w:eastAsia="en-US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Priemerná dĺžka trvania</w:t>
            </w:r>
          </w:p>
          <w:p w:rsidR="00B1262A" w:rsidRPr="008F7ACD" w:rsidRDefault="007A469B" w:rsidP="007A469B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Dni (mesiace)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ind w:left="12" w:hanging="12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242 (8</w:t>
            </w:r>
            <w:r w:rsidR="007A469B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0) 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ind w:left="0" w:firstLine="0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169 (5</w:t>
            </w:r>
            <w:r w:rsidR="007A469B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6) 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ind w:left="0" w:firstLine="0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246 (8</w:t>
            </w:r>
            <w:r w:rsidR="007A469B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1) 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ind w:left="0" w:firstLine="0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189 (6</w:t>
            </w:r>
            <w:r w:rsidR="007A469B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2) 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238 (7</w:t>
            </w:r>
            <w:r w:rsidR="007A469B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8) 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7A469B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126 (4</w:t>
            </w:r>
            <w:r w:rsidR="007A469B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 xml:space="preserve">1) 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385* </w:t>
            </w:r>
          </w:p>
        </w:tc>
      </w:tr>
      <w:tr w:rsidR="002405B3" w:rsidRPr="008F7ACD" w:rsidTr="002405B3">
        <w:trPr>
          <w:tblCellSpacing w:w="0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69B" w:rsidRPr="008F7ACD" w:rsidRDefault="007A469B" w:rsidP="007A469B">
            <w:pPr>
              <w:autoSpaceDE w:val="0"/>
              <w:autoSpaceDN w:val="0"/>
              <w:adjustRightInd w:val="0"/>
              <w:ind w:left="0" w:firstLine="0"/>
              <w:rPr>
                <w:rFonts w:eastAsia="TimesNewRoman,Bold"/>
                <w:b/>
                <w:bCs/>
                <w:szCs w:val="22"/>
                <w:lang w:eastAsia="en-US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lastRenderedPageBreak/>
              <w:t>Čas do odpovede</w:t>
            </w:r>
          </w:p>
          <w:p w:rsidR="00B1262A" w:rsidRPr="008F7ACD" w:rsidRDefault="007A469B" w:rsidP="007A469B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CR+PR (dni)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43 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43 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44 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46 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41 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27 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38* </w:t>
            </w:r>
          </w:p>
        </w:tc>
      </w:tr>
    </w:tbl>
    <w:p w:rsidR="009E6376" w:rsidRPr="008F7ACD" w:rsidRDefault="009E6376" w:rsidP="009E6376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a</w:t>
      </w:r>
      <w:r w:rsidRPr="008F7ACD">
        <w:rPr>
          <w:rFonts w:eastAsia="TimesNewRoman"/>
          <w:szCs w:val="22"/>
          <w:lang w:eastAsia="en-US"/>
        </w:rPr>
        <w:t xml:space="preserve"> Populácia so zámerom terapie (ITT – intent to treat).</w:t>
      </w:r>
    </w:p>
    <w:p w:rsidR="009E6376" w:rsidRPr="008F7ACD" w:rsidRDefault="009E6376" w:rsidP="009E6376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 xml:space="preserve"> p-hodnota z rozvrstveného log-rank testu; analýza podľa línie liečby s vylúčením stratifikácie podľa predchádzajúcej liečby; p &lt; 0,0001</w:t>
      </w:r>
    </w:p>
    <w:p w:rsidR="009E6376" w:rsidRPr="008F7ACD" w:rsidRDefault="009E6376" w:rsidP="009E6376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c</w:t>
      </w:r>
      <w:r w:rsidRPr="008F7ACD">
        <w:rPr>
          <w:rFonts w:eastAsia="TimesNewRoman"/>
          <w:szCs w:val="22"/>
          <w:lang w:eastAsia="en-US"/>
        </w:rPr>
        <w:t xml:space="preserve"> Reagujúca populácia zahŕňajúca pacientov, ktorí mali </w:t>
      </w:r>
      <w:r w:rsidR="00D610EB" w:rsidRPr="008F7ACD">
        <w:rPr>
          <w:rFonts w:eastAsia="TimesNewRoman"/>
          <w:szCs w:val="22"/>
          <w:lang w:eastAsia="en-US"/>
        </w:rPr>
        <w:t>merateľné</w:t>
      </w:r>
      <w:r w:rsidRPr="008F7ACD">
        <w:rPr>
          <w:rFonts w:eastAsia="TimesNewRoman"/>
          <w:szCs w:val="22"/>
          <w:lang w:eastAsia="en-US"/>
        </w:rPr>
        <w:t xml:space="preserve"> ochorenie na začiatku liečby a dostali aspoň jednu dávku sledovaného lieku.</w:t>
      </w:r>
    </w:p>
    <w:p w:rsidR="009E6376" w:rsidRPr="008F7ACD" w:rsidRDefault="009E6376" w:rsidP="009E6376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d</w:t>
      </w:r>
      <w:r w:rsidRPr="008F7ACD">
        <w:rPr>
          <w:rFonts w:eastAsia="TimesNewRoman"/>
          <w:szCs w:val="22"/>
          <w:lang w:eastAsia="en-US"/>
        </w:rPr>
        <w:t xml:space="preserve"> p-hodnota z Cochran</w:t>
      </w:r>
      <w:r w:rsidR="009A30B0" w:rsidRPr="008F7ACD">
        <w:rPr>
          <w:rFonts w:eastAsia="TimesNewRoman"/>
          <w:szCs w:val="22"/>
          <w:lang w:eastAsia="en-US"/>
        </w:rPr>
        <w:t>ovho</w:t>
      </w:r>
      <w:r w:rsidRPr="008F7ACD">
        <w:rPr>
          <w:rFonts w:eastAsia="TimesNewRoman"/>
          <w:szCs w:val="22"/>
          <w:lang w:eastAsia="en-US"/>
        </w:rPr>
        <w:t>-Mantel</w:t>
      </w:r>
      <w:r w:rsidR="009A30B0" w:rsidRPr="008F7ACD">
        <w:rPr>
          <w:rFonts w:eastAsia="TimesNewRoman"/>
          <w:szCs w:val="22"/>
          <w:lang w:eastAsia="en-US"/>
        </w:rPr>
        <w:t>ovho</w:t>
      </w:r>
      <w:r w:rsidRPr="008F7ACD">
        <w:rPr>
          <w:rFonts w:eastAsia="TimesNewRoman"/>
          <w:szCs w:val="22"/>
          <w:lang w:eastAsia="en-US"/>
        </w:rPr>
        <w:t>-Haenszel</w:t>
      </w:r>
      <w:r w:rsidR="009A30B0" w:rsidRPr="008F7ACD">
        <w:rPr>
          <w:rFonts w:eastAsia="TimesNewRoman"/>
          <w:szCs w:val="22"/>
          <w:lang w:eastAsia="en-US"/>
        </w:rPr>
        <w:t>ovho</w:t>
      </w:r>
      <w:r w:rsidRPr="008F7ACD">
        <w:rPr>
          <w:rFonts w:eastAsia="TimesNewRoman"/>
          <w:szCs w:val="22"/>
          <w:lang w:eastAsia="en-US"/>
        </w:rPr>
        <w:t xml:space="preserve"> chi-kvadrant testu prispôsobeného pre stratifikačné faktory, analýza podľa línie liečby s vylúčením stratifikácie podľa predchádzajúcej liečby.</w:t>
      </w:r>
    </w:p>
    <w:p w:rsidR="009E6376" w:rsidRPr="008F7ACD" w:rsidRDefault="009E6376" w:rsidP="009E6376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* CR+PR+MR **CR</w:t>
      </w:r>
      <w:r w:rsidR="00C6373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=</w:t>
      </w:r>
      <w:r w:rsidR="00C6373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CR, (IF-); nCR</w:t>
      </w:r>
      <w:r w:rsidR="00C6373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=</w:t>
      </w:r>
      <w:r w:rsidR="00C6373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CR (IF+)</w:t>
      </w:r>
    </w:p>
    <w:p w:rsidR="009E6376" w:rsidRPr="008F7ACD" w:rsidRDefault="009E6376" w:rsidP="009E6376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NA = nevzťahuje sa, NE = nehodnotiteľné</w:t>
      </w:r>
    </w:p>
    <w:p w:rsidR="009E6376" w:rsidRPr="008F7ACD" w:rsidRDefault="009E6376" w:rsidP="009E6376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TTP - čas do progresie (z angl. Time to Progression)</w:t>
      </w:r>
    </w:p>
    <w:p w:rsidR="009E6376" w:rsidRPr="008F7ACD" w:rsidRDefault="009E6376" w:rsidP="009E6376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CI = interval spoľahlivosti (z angl. Confidence Interval)</w:t>
      </w:r>
    </w:p>
    <w:p w:rsidR="009E6376" w:rsidRPr="008F7ACD" w:rsidRDefault="009E6376" w:rsidP="009E6376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B = bortezomib; Dex = dexametazón</w:t>
      </w:r>
    </w:p>
    <w:p w:rsidR="009E6376" w:rsidRPr="008F7ACD" w:rsidRDefault="009E6376" w:rsidP="009E6376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CR = kompletná odpoveď (z angl. Complete Response); nCR = takmer kompletná odpoveď (z angl. near Complete response)</w:t>
      </w:r>
    </w:p>
    <w:p w:rsidR="00B1262A" w:rsidRPr="008F7ACD" w:rsidRDefault="009E6376" w:rsidP="009E6376">
      <w:pPr>
        <w:rPr>
          <w:color w:val="000000"/>
          <w:szCs w:val="22"/>
        </w:rPr>
      </w:pPr>
      <w:r w:rsidRPr="008F7ACD">
        <w:rPr>
          <w:rFonts w:eastAsia="TimesNewRoman"/>
          <w:szCs w:val="22"/>
          <w:lang w:eastAsia="en-US"/>
        </w:rPr>
        <w:t>PR = čiastočná odpoveď (z angl. Partial Response); MR = minimálna odpoveď (z angl. Minimal response)</w:t>
      </w:r>
    </w:p>
    <w:p w:rsidR="00B1262A" w:rsidRPr="008F7ACD" w:rsidRDefault="00B1262A" w:rsidP="00615D7C">
      <w:pPr>
        <w:ind w:left="0" w:firstLine="0"/>
        <w:rPr>
          <w:rFonts w:eastAsia="TimesNewRoman"/>
          <w:szCs w:val="22"/>
          <w:lang w:eastAsia="en-US"/>
        </w:rPr>
      </w:pPr>
    </w:p>
    <w:p w:rsidR="00333C3B" w:rsidRPr="008F7ACD" w:rsidRDefault="00333C3B" w:rsidP="00333C3B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8F7ACD">
        <w:rPr>
          <w:rFonts w:eastAsia="TimesNewRoman"/>
          <w:color w:val="000000"/>
          <w:szCs w:val="22"/>
          <w:lang w:eastAsia="en-US"/>
        </w:rPr>
        <w:t xml:space="preserve">Pacienti v štúdii fázy II, ktorí nedosiahli optimálnu odpoveď </w:t>
      </w:r>
      <w:r w:rsidR="001F379B" w:rsidRPr="008F7ACD">
        <w:rPr>
          <w:rFonts w:eastAsia="TimesNewRoman"/>
          <w:color w:val="000000"/>
          <w:szCs w:val="22"/>
          <w:lang w:eastAsia="en-US"/>
        </w:rPr>
        <w:t>na</w:t>
      </w:r>
      <w:r w:rsidRPr="008F7ACD">
        <w:rPr>
          <w:rFonts w:eastAsia="TimesNewRoman"/>
          <w:color w:val="000000"/>
          <w:szCs w:val="22"/>
          <w:lang w:eastAsia="en-US"/>
        </w:rPr>
        <w:t xml:space="preserve"> liečbu </w:t>
      </w:r>
      <w:r w:rsidR="009E6376" w:rsidRPr="008F7ACD">
        <w:rPr>
          <w:rFonts w:eastAsia="TimesNewRoman"/>
          <w:color w:val="000000"/>
          <w:szCs w:val="22"/>
          <w:lang w:eastAsia="en-US"/>
        </w:rPr>
        <w:t>bortezomibom</w:t>
      </w:r>
      <w:r w:rsidRPr="008F7ACD">
        <w:rPr>
          <w:rFonts w:eastAsia="TimesNewRoman"/>
          <w:color w:val="000000"/>
          <w:szCs w:val="22"/>
          <w:lang w:eastAsia="en-US"/>
        </w:rPr>
        <w:t xml:space="preserve"> v monoterapii,</w:t>
      </w:r>
      <w:r w:rsidR="009E6376" w:rsidRPr="008F7ACD">
        <w:rPr>
          <w:rFonts w:eastAsia="TimesNewRoman"/>
          <w:color w:val="000000"/>
          <w:szCs w:val="22"/>
          <w:lang w:eastAsia="en-US"/>
        </w:rPr>
        <w:t xml:space="preserve"> </w:t>
      </w:r>
      <w:r w:rsidRPr="008F7ACD">
        <w:rPr>
          <w:rFonts w:eastAsia="TimesNewRoman"/>
          <w:color w:val="000000"/>
          <w:szCs w:val="22"/>
          <w:lang w:eastAsia="en-US"/>
        </w:rPr>
        <w:t xml:space="preserve">mohli dostávať vysoké dávky dexametazónu spolu s </w:t>
      </w:r>
      <w:r w:rsidR="009E6376" w:rsidRPr="008F7ACD">
        <w:rPr>
          <w:rFonts w:eastAsia="TimesNewRoman"/>
          <w:color w:val="000000"/>
          <w:szCs w:val="22"/>
          <w:lang w:eastAsia="en-US"/>
        </w:rPr>
        <w:t>bortezomibom</w:t>
      </w:r>
      <w:r w:rsidRPr="008F7ACD">
        <w:rPr>
          <w:rFonts w:eastAsia="TimesNewRoman"/>
          <w:color w:val="000000"/>
          <w:szCs w:val="22"/>
          <w:lang w:eastAsia="en-US"/>
        </w:rPr>
        <w:t>. Protokol dovoľoval podávať</w:t>
      </w:r>
      <w:r w:rsidR="009E6376" w:rsidRPr="008F7ACD">
        <w:rPr>
          <w:rFonts w:eastAsia="TimesNewRoman"/>
          <w:color w:val="000000"/>
          <w:szCs w:val="22"/>
          <w:lang w:eastAsia="en-US"/>
        </w:rPr>
        <w:t xml:space="preserve"> </w:t>
      </w:r>
      <w:r w:rsidRPr="008F7ACD">
        <w:rPr>
          <w:rFonts w:eastAsia="TimesNewRoman"/>
          <w:color w:val="000000"/>
          <w:szCs w:val="22"/>
          <w:lang w:eastAsia="en-US"/>
        </w:rPr>
        <w:t xml:space="preserve">dexametazón pacientom, u ktorých bola nižšia ako optimálna odpoveď na </w:t>
      </w:r>
      <w:r w:rsidR="009E6376" w:rsidRPr="008F7ACD">
        <w:rPr>
          <w:rFonts w:eastAsia="TimesNewRoman"/>
          <w:color w:val="000000"/>
          <w:szCs w:val="22"/>
          <w:lang w:eastAsia="en-US"/>
        </w:rPr>
        <w:t>bortezomib</w:t>
      </w:r>
      <w:r w:rsidRPr="008F7ACD">
        <w:rPr>
          <w:rFonts w:eastAsia="TimesNewRoman"/>
          <w:color w:val="000000"/>
          <w:szCs w:val="22"/>
          <w:lang w:eastAsia="en-US"/>
        </w:rPr>
        <w:t xml:space="preserve"> v monoterapii.</w:t>
      </w:r>
    </w:p>
    <w:p w:rsidR="00333C3B" w:rsidRPr="008F7ACD" w:rsidRDefault="00333C3B" w:rsidP="00333C3B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8F7ACD">
        <w:rPr>
          <w:rFonts w:eastAsia="TimesNewRoman"/>
          <w:color w:val="000000"/>
          <w:szCs w:val="22"/>
          <w:lang w:eastAsia="en-US"/>
        </w:rPr>
        <w:t xml:space="preserve">Celkovo sa 74 hodnoteným pacientom podával dexametazón v kombinácii s </w:t>
      </w:r>
      <w:r w:rsidR="009E6376" w:rsidRPr="008F7ACD">
        <w:rPr>
          <w:rFonts w:eastAsia="TimesNewRoman"/>
          <w:color w:val="000000"/>
          <w:szCs w:val="22"/>
          <w:lang w:eastAsia="en-US"/>
        </w:rPr>
        <w:t>bortezomibom</w:t>
      </w:r>
      <w:r w:rsidRPr="008F7ACD">
        <w:rPr>
          <w:rFonts w:eastAsia="TimesNewRoman"/>
          <w:color w:val="000000"/>
          <w:szCs w:val="22"/>
          <w:lang w:eastAsia="en-US"/>
        </w:rPr>
        <w:t>. U</w:t>
      </w:r>
      <w:r w:rsidR="00FA30D9" w:rsidRPr="008F7ACD">
        <w:rPr>
          <w:rFonts w:eastAsia="TimesNewRoman"/>
          <w:color w:val="000000"/>
          <w:szCs w:val="22"/>
          <w:lang w:eastAsia="en-US"/>
        </w:rPr>
        <w:t> </w:t>
      </w:r>
      <w:r w:rsidRPr="008F7ACD">
        <w:rPr>
          <w:rFonts w:eastAsia="TimesNewRoman"/>
          <w:color w:val="000000"/>
          <w:szCs w:val="22"/>
          <w:lang w:eastAsia="en-US"/>
        </w:rPr>
        <w:t>osemnás</w:t>
      </w:r>
      <w:r w:rsidR="00F40F62" w:rsidRPr="008F7ACD">
        <w:rPr>
          <w:rFonts w:eastAsia="TimesNewRoman"/>
          <w:color w:val="000000"/>
          <w:szCs w:val="22"/>
          <w:lang w:eastAsia="en-US"/>
        </w:rPr>
        <w:t>tich</w:t>
      </w:r>
      <w:r w:rsidR="009E6376" w:rsidRPr="008F7ACD">
        <w:rPr>
          <w:rFonts w:eastAsia="TimesNewRoman"/>
          <w:color w:val="000000"/>
          <w:szCs w:val="22"/>
          <w:lang w:eastAsia="en-US"/>
        </w:rPr>
        <w:t xml:space="preserve"> </w:t>
      </w:r>
      <w:r w:rsidRPr="008F7ACD">
        <w:rPr>
          <w:rFonts w:eastAsia="TimesNewRoman"/>
          <w:color w:val="000000"/>
          <w:szCs w:val="22"/>
          <w:lang w:eastAsia="en-US"/>
        </w:rPr>
        <w:t>percent pacientov sa dosiahla odpoveď alebo sa zlepšila odpoveď [minimálna odpoveď-MR (11</w:t>
      </w:r>
      <w:r w:rsidR="009E6376" w:rsidRPr="008F7ACD">
        <w:rPr>
          <w:rFonts w:eastAsia="TimesNewRoman"/>
          <w:color w:val="000000"/>
          <w:szCs w:val="22"/>
          <w:lang w:eastAsia="en-US"/>
        </w:rPr>
        <w:t> </w:t>
      </w:r>
      <w:r w:rsidRPr="008F7ACD">
        <w:rPr>
          <w:rFonts w:eastAsia="TimesNewRoman"/>
          <w:color w:val="000000"/>
          <w:szCs w:val="22"/>
          <w:lang w:eastAsia="en-US"/>
        </w:rPr>
        <w:t>%)</w:t>
      </w:r>
      <w:r w:rsidR="009E6376" w:rsidRPr="008F7ACD">
        <w:rPr>
          <w:rFonts w:eastAsia="TimesNewRoman"/>
          <w:color w:val="000000"/>
          <w:szCs w:val="22"/>
          <w:lang w:eastAsia="en-US"/>
        </w:rPr>
        <w:t xml:space="preserve"> </w:t>
      </w:r>
      <w:r w:rsidRPr="008F7ACD">
        <w:rPr>
          <w:rFonts w:eastAsia="TimesNewRoman"/>
          <w:color w:val="000000"/>
          <w:szCs w:val="22"/>
          <w:lang w:eastAsia="en-US"/>
        </w:rPr>
        <w:t>alebo parciálna odpoveď-PR (7</w:t>
      </w:r>
      <w:r w:rsidR="009E6376" w:rsidRPr="008F7ACD">
        <w:rPr>
          <w:rFonts w:eastAsia="TimesNewRoman"/>
          <w:color w:val="000000"/>
          <w:szCs w:val="22"/>
          <w:lang w:eastAsia="en-US"/>
        </w:rPr>
        <w:t> </w:t>
      </w:r>
      <w:r w:rsidRPr="008F7ACD">
        <w:rPr>
          <w:rFonts w:eastAsia="TimesNewRoman"/>
          <w:color w:val="000000"/>
          <w:szCs w:val="22"/>
          <w:lang w:eastAsia="en-US"/>
        </w:rPr>
        <w:t>%)] pri kombinovanej liečbe.</w:t>
      </w:r>
    </w:p>
    <w:p w:rsidR="009E6376" w:rsidRPr="008F7ACD" w:rsidRDefault="009E6376" w:rsidP="00333C3B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</w:p>
    <w:p w:rsidR="005E0C19" w:rsidRPr="008F7ACD" w:rsidRDefault="005E0C19" w:rsidP="005E0C1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 xml:space="preserve">Klinická </w:t>
      </w:r>
      <w:r w:rsidR="00126470" w:rsidRPr="008F7ACD">
        <w:rPr>
          <w:rFonts w:eastAsia="TimesNewRoman,Italic"/>
          <w:i/>
          <w:iCs/>
          <w:szCs w:val="22"/>
          <w:lang w:eastAsia="en-US"/>
        </w:rPr>
        <w:t>účinnosť</w:t>
      </w:r>
      <w:r w:rsidRPr="008F7ACD">
        <w:rPr>
          <w:rFonts w:eastAsia="TimesNewRoman,Italic"/>
          <w:i/>
          <w:iCs/>
          <w:szCs w:val="22"/>
          <w:lang w:eastAsia="en-US"/>
        </w:rPr>
        <w:t xml:space="preserve"> pri subkutánnom podaní bortezomibu u pacientov s recidivujúcim/refraktérnym</w:t>
      </w:r>
    </w:p>
    <w:p w:rsidR="005E0C19" w:rsidRPr="008F7ACD" w:rsidRDefault="005E0C19" w:rsidP="005E0C1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mnohopočetným myelómom</w:t>
      </w:r>
    </w:p>
    <w:p w:rsidR="005E0C19" w:rsidRPr="008F7ACD" w:rsidRDefault="005E0C19" w:rsidP="005E0C19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Otvorená randomizovaná štúdia non-inferiority fázy III porovnávala účinnosť a bezpečnosť subkutánneho oproti intravenóznemu podaniu bortezomibu. Táto štúdia zahŕňala 222 pacientov s recidivujúcim/refraktérnym mnohopočetným myelómom, ktorí boli randomizovaní v pomere 2:1, a dostávali 1,3 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bortezomibu buď subkutánnou alebo intravenóznou cestou v 8 cykloch. Pacienti, ktorí nedosiahli optimálnu odpoveď (menej ako kompletná odpoveď) na liečbu samotným bortezomibom, mohli po 4 cykloch dostať dexametazón 20 mg denne v deň podania a jeden deň po</w:t>
      </w:r>
      <w:r w:rsidR="00F40F6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podaní bortezomibu. Pacienti s východiskovou periférnou neuropatiou ≥ 2. stupňa alebo počtom krvných doštičiek &lt;</w:t>
      </w:r>
      <w:r w:rsidR="006A3E7B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50 000/μl boli vylúčení. Odpoveď bola hodnotená celkovo u 218 pacientov.</w:t>
      </w:r>
    </w:p>
    <w:p w:rsidR="005E0C19" w:rsidRPr="008F7ACD" w:rsidRDefault="005E0C19" w:rsidP="00333C3B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</w:p>
    <w:p w:rsidR="005E0C19" w:rsidRPr="008F7ACD" w:rsidRDefault="005E0C19" w:rsidP="005E0C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Táto štúdia splnila svoj primárny </w:t>
      </w:r>
      <w:r w:rsidR="00017B30" w:rsidRPr="008F7ACD">
        <w:rPr>
          <w:rFonts w:eastAsia="TimesNewRoman"/>
          <w:szCs w:val="22"/>
          <w:lang w:eastAsia="en-US"/>
        </w:rPr>
        <w:t>koncový ukazovateľ</w:t>
      </w:r>
      <w:r w:rsidRPr="008F7ACD">
        <w:rPr>
          <w:rFonts w:eastAsia="TimesNewRoman"/>
          <w:szCs w:val="22"/>
          <w:lang w:eastAsia="en-US"/>
        </w:rPr>
        <w:t xml:space="preserve">, non-inferioritu pre mieru odpovede (CR+PR) po 4 cykloch monoterapie bortezomibom pre subkutánnu aj intravenóznu cestu, 42 % v oboch skupinách. Rovnako sekundárne </w:t>
      </w:r>
      <w:r w:rsidR="00017B30" w:rsidRPr="008F7ACD">
        <w:rPr>
          <w:rFonts w:eastAsia="TimesNewRoman"/>
          <w:szCs w:val="22"/>
          <w:lang w:eastAsia="en-US"/>
        </w:rPr>
        <w:t>koncové ukazovatele</w:t>
      </w:r>
      <w:r w:rsidRPr="008F7ACD">
        <w:rPr>
          <w:rFonts w:eastAsia="TimesNewRoman"/>
          <w:szCs w:val="22"/>
          <w:lang w:eastAsia="en-US"/>
        </w:rPr>
        <w:t xml:space="preserve"> účinnosti, </w:t>
      </w:r>
      <w:r w:rsidR="00903ED8" w:rsidRPr="008F7ACD">
        <w:rPr>
          <w:rFonts w:eastAsia="TimesNewRoman"/>
          <w:szCs w:val="22"/>
          <w:lang w:eastAsia="en-US"/>
        </w:rPr>
        <w:t xml:space="preserve">vzťahujúce sa na </w:t>
      </w:r>
      <w:r w:rsidRPr="008F7ACD">
        <w:rPr>
          <w:rFonts w:eastAsia="TimesNewRoman"/>
          <w:szCs w:val="22"/>
          <w:lang w:eastAsia="en-US"/>
        </w:rPr>
        <w:t>odpoveď a dob</w:t>
      </w:r>
      <w:r w:rsidR="00903ED8" w:rsidRPr="008F7ACD">
        <w:rPr>
          <w:rFonts w:eastAsia="TimesNewRoman"/>
          <w:szCs w:val="22"/>
          <w:lang w:eastAsia="en-US"/>
        </w:rPr>
        <w:t>u</w:t>
      </w:r>
      <w:r w:rsidRPr="008F7ACD">
        <w:rPr>
          <w:rFonts w:eastAsia="TimesNewRoman"/>
          <w:szCs w:val="22"/>
          <w:lang w:eastAsia="en-US"/>
        </w:rPr>
        <w:t xml:space="preserve"> k účinku bol</w:t>
      </w:r>
      <w:r w:rsidR="00903ED8" w:rsidRPr="008F7ACD">
        <w:rPr>
          <w:rFonts w:eastAsia="TimesNewRoman"/>
          <w:szCs w:val="22"/>
          <w:lang w:eastAsia="en-US"/>
        </w:rPr>
        <w:t>i</w:t>
      </w:r>
      <w:r w:rsidRPr="008F7ACD">
        <w:rPr>
          <w:rFonts w:eastAsia="TimesNewRoman"/>
          <w:szCs w:val="22"/>
          <w:lang w:eastAsia="en-US"/>
        </w:rPr>
        <w:t xml:space="preserve"> konzistentn</w:t>
      </w:r>
      <w:r w:rsidR="00903ED8" w:rsidRPr="008F7ACD">
        <w:rPr>
          <w:rFonts w:eastAsia="TimesNewRoman"/>
          <w:szCs w:val="22"/>
          <w:lang w:eastAsia="en-US"/>
        </w:rPr>
        <w:t>é</w:t>
      </w:r>
      <w:r w:rsidRPr="008F7ACD">
        <w:rPr>
          <w:rFonts w:eastAsia="TimesNewRoman"/>
          <w:szCs w:val="22"/>
          <w:lang w:eastAsia="en-US"/>
        </w:rPr>
        <w:t xml:space="preserve"> pre subkutánne a intravenózne podanie (tabuľka 15).</w:t>
      </w:r>
    </w:p>
    <w:p w:rsidR="005E0C19" w:rsidRPr="008F7ACD" w:rsidRDefault="005E0C19" w:rsidP="005E0C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5E0C19" w:rsidRPr="008F7ACD" w:rsidRDefault="005E0C19" w:rsidP="005E0C19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 xml:space="preserve">Tabuľka 15: Súhrn analýz účinnosti porovnávajúci subkutánne a intravenózne podanie </w:t>
      </w:r>
      <w:r w:rsidR="00A93321" w:rsidRPr="008F7ACD">
        <w:rPr>
          <w:rFonts w:eastAsia="TimesNewRoman,Italic"/>
          <w:i/>
          <w:iCs/>
          <w:szCs w:val="22"/>
          <w:lang w:eastAsia="en-US"/>
        </w:rPr>
        <w:t>bortezomibu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88"/>
        <w:gridCol w:w="2766"/>
        <w:gridCol w:w="2766"/>
      </w:tblGrid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bortezomib intraven</w:t>
            </w:r>
            <w:r w:rsidR="00660D22" w:rsidRPr="008F7ACD">
              <w:rPr>
                <w:b/>
                <w:bCs/>
                <w:color w:val="000000"/>
                <w:szCs w:val="22"/>
              </w:rPr>
              <w:t>ózn</w:t>
            </w:r>
            <w:r w:rsidR="00903ED8" w:rsidRPr="008F7ACD">
              <w:rPr>
                <w:b/>
                <w:bCs/>
                <w:color w:val="000000"/>
                <w:szCs w:val="22"/>
              </w:rPr>
              <w:t>a</w:t>
            </w:r>
            <w:r w:rsidR="00660D22" w:rsidRPr="008F7ACD">
              <w:rPr>
                <w:b/>
                <w:bCs/>
                <w:color w:val="000000"/>
                <w:szCs w:val="22"/>
              </w:rPr>
              <w:t xml:space="preserve"> </w:t>
            </w:r>
            <w:r w:rsidR="00903ED8" w:rsidRPr="008F7ACD">
              <w:rPr>
                <w:b/>
                <w:bCs/>
                <w:color w:val="000000"/>
                <w:szCs w:val="22"/>
              </w:rPr>
              <w:t>skupina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bortezomib sub</w:t>
            </w:r>
            <w:r w:rsidR="00660D22" w:rsidRPr="008F7ACD">
              <w:rPr>
                <w:b/>
                <w:bCs/>
                <w:color w:val="000000"/>
                <w:szCs w:val="22"/>
              </w:rPr>
              <w:t>kutánn</w:t>
            </w:r>
            <w:r w:rsidR="00903ED8" w:rsidRPr="008F7ACD">
              <w:rPr>
                <w:b/>
                <w:bCs/>
                <w:color w:val="000000"/>
                <w:szCs w:val="22"/>
              </w:rPr>
              <w:t>a</w:t>
            </w:r>
            <w:r w:rsidR="00660D22" w:rsidRPr="008F7ACD">
              <w:rPr>
                <w:b/>
                <w:bCs/>
                <w:color w:val="000000"/>
                <w:szCs w:val="22"/>
              </w:rPr>
              <w:t xml:space="preserve"> </w:t>
            </w:r>
            <w:r w:rsidR="00903ED8" w:rsidRPr="008F7ACD">
              <w:rPr>
                <w:b/>
                <w:bCs/>
                <w:color w:val="000000"/>
                <w:szCs w:val="22"/>
              </w:rPr>
              <w:t>skupina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660D22" w:rsidP="006D5845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Populácia s hodnotenou odpoveďou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0337F3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 xml:space="preserve">n </w:t>
            </w:r>
            <w:r w:rsidR="00B1262A" w:rsidRPr="008F7ACD">
              <w:rPr>
                <w:b/>
                <w:bCs/>
                <w:color w:val="000000"/>
                <w:szCs w:val="22"/>
              </w:rPr>
              <w:t>=</w:t>
            </w:r>
            <w:r w:rsidRPr="008F7ACD">
              <w:rPr>
                <w:b/>
                <w:bCs/>
                <w:color w:val="000000"/>
                <w:szCs w:val="22"/>
              </w:rPr>
              <w:t xml:space="preserve"> </w:t>
            </w:r>
            <w:r w:rsidR="00B1262A" w:rsidRPr="008F7ACD">
              <w:rPr>
                <w:b/>
                <w:bCs/>
                <w:color w:val="000000"/>
                <w:szCs w:val="22"/>
              </w:rPr>
              <w:t>73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0337F3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 xml:space="preserve">n </w:t>
            </w:r>
            <w:r w:rsidR="00B1262A" w:rsidRPr="008F7ACD">
              <w:rPr>
                <w:b/>
                <w:bCs/>
                <w:color w:val="000000"/>
                <w:szCs w:val="22"/>
              </w:rPr>
              <w:t>=</w:t>
            </w:r>
            <w:r w:rsidRPr="008F7ACD">
              <w:rPr>
                <w:b/>
                <w:bCs/>
                <w:color w:val="000000"/>
                <w:szCs w:val="22"/>
              </w:rPr>
              <w:t xml:space="preserve"> </w:t>
            </w:r>
            <w:r w:rsidR="00B1262A" w:rsidRPr="008F7ACD">
              <w:rPr>
                <w:b/>
                <w:bCs/>
                <w:color w:val="000000"/>
                <w:szCs w:val="22"/>
              </w:rPr>
              <w:t>145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660D22" w:rsidP="006D5845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Miera odpovede po 4 cykloch n (%)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</w:p>
        </w:tc>
      </w:tr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ORR (CR+PR)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31 (42)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61 (42)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p-</w:t>
            </w:r>
            <w:r w:rsidR="00660D22" w:rsidRPr="008F7ACD">
              <w:rPr>
                <w:color w:val="000000"/>
                <w:szCs w:val="22"/>
              </w:rPr>
              <w:t>hodnota</w:t>
            </w:r>
            <w:r w:rsidRPr="008F7ACD">
              <w:rPr>
                <w:color w:val="000000"/>
                <w:szCs w:val="22"/>
                <w:vertAlign w:val="superscript"/>
              </w:rPr>
              <w:t>a</w:t>
            </w:r>
          </w:p>
        </w:tc>
        <w:tc>
          <w:tcPr>
            <w:tcW w:w="3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0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00201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lastRenderedPageBreak/>
              <w:t xml:space="preserve">CR n (%)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6 (8)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9 (6)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PR n (%)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25 (34)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52 (36)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nCR n (%)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4 (5)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9 (6)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660D22" w:rsidP="006D5845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Miera odpovede po 8 cykloch n (%)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</w:p>
        </w:tc>
      </w:tr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ORR (CR+PR)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38 (52)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76 (52)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p-</w:t>
            </w:r>
            <w:r w:rsidR="00660D22" w:rsidRPr="008F7ACD">
              <w:rPr>
                <w:color w:val="000000"/>
                <w:szCs w:val="22"/>
              </w:rPr>
              <w:t>hodnota</w:t>
            </w:r>
            <w:r w:rsidRPr="008F7ACD">
              <w:rPr>
                <w:color w:val="000000"/>
                <w:szCs w:val="22"/>
                <w:vertAlign w:val="superscript"/>
              </w:rPr>
              <w:t>a</w:t>
            </w:r>
          </w:p>
        </w:tc>
        <w:tc>
          <w:tcPr>
            <w:tcW w:w="3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0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0001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CR n (%)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9 (12)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15 (10)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PR n (%)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29 (40)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61 (42)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 xml:space="preserve">nCR n (%)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7 (10)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14 (10)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660D22" w:rsidP="006D5845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Populácia so zámerom terapie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b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1913AB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 xml:space="preserve">n </w:t>
            </w:r>
            <w:r w:rsidR="00B1262A" w:rsidRPr="008F7ACD">
              <w:rPr>
                <w:b/>
                <w:bCs/>
                <w:color w:val="000000"/>
                <w:szCs w:val="22"/>
              </w:rPr>
              <w:t>=</w:t>
            </w:r>
            <w:r w:rsidRPr="008F7ACD">
              <w:rPr>
                <w:b/>
                <w:bCs/>
                <w:color w:val="000000"/>
                <w:szCs w:val="22"/>
              </w:rPr>
              <w:t xml:space="preserve"> </w:t>
            </w:r>
            <w:r w:rsidR="00B1262A" w:rsidRPr="008F7ACD">
              <w:rPr>
                <w:b/>
                <w:bCs/>
                <w:color w:val="000000"/>
                <w:szCs w:val="22"/>
              </w:rPr>
              <w:t>74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1913AB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 xml:space="preserve">n </w:t>
            </w:r>
            <w:r w:rsidR="00B1262A" w:rsidRPr="008F7ACD">
              <w:rPr>
                <w:b/>
                <w:bCs/>
                <w:color w:val="000000"/>
                <w:szCs w:val="22"/>
              </w:rPr>
              <w:t>=</w:t>
            </w:r>
            <w:r w:rsidRPr="008F7ACD">
              <w:rPr>
                <w:b/>
                <w:bCs/>
                <w:color w:val="000000"/>
                <w:szCs w:val="22"/>
              </w:rPr>
              <w:t xml:space="preserve"> </w:t>
            </w:r>
            <w:r w:rsidR="00B1262A" w:rsidRPr="008F7ACD">
              <w:rPr>
                <w:b/>
                <w:bCs/>
                <w:color w:val="000000"/>
                <w:szCs w:val="22"/>
              </w:rPr>
              <w:t>148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rPr>
                <w:color w:val="000000"/>
                <w:szCs w:val="22"/>
              </w:rPr>
            </w:pPr>
            <w:r w:rsidRPr="008F7ACD">
              <w:rPr>
                <w:b/>
                <w:bCs/>
                <w:color w:val="000000"/>
                <w:szCs w:val="22"/>
              </w:rPr>
              <w:t>TTP, m</w:t>
            </w:r>
            <w:r w:rsidR="00660D22" w:rsidRPr="008F7ACD">
              <w:rPr>
                <w:b/>
                <w:bCs/>
                <w:color w:val="000000"/>
                <w:szCs w:val="22"/>
              </w:rPr>
              <w:t>esiace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9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10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4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(95</w:t>
            </w:r>
            <w:r w:rsidR="00660D22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 xml:space="preserve">% CI)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(7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6</w:t>
            </w:r>
            <w:r w:rsidR="00660D22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10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6)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(8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5</w:t>
            </w:r>
            <w:r w:rsidR="00660D22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11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7)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1913AB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Miera rizika</w:t>
            </w:r>
            <w:r w:rsidR="00B1262A" w:rsidRPr="008F7ACD">
              <w:rPr>
                <w:color w:val="000000"/>
                <w:szCs w:val="22"/>
              </w:rPr>
              <w:t xml:space="preserve"> (95</w:t>
            </w:r>
            <w:r w:rsidR="00660D22" w:rsidRPr="008F7ACD">
              <w:rPr>
                <w:color w:val="000000"/>
                <w:szCs w:val="22"/>
              </w:rPr>
              <w:t> </w:t>
            </w:r>
            <w:r w:rsidR="00B1262A" w:rsidRPr="008F7ACD">
              <w:rPr>
                <w:color w:val="000000"/>
                <w:szCs w:val="22"/>
              </w:rPr>
              <w:t>% CI)</w:t>
            </w:r>
            <w:r w:rsidR="00B1262A" w:rsidRPr="008F7ACD">
              <w:rPr>
                <w:color w:val="000000"/>
                <w:szCs w:val="22"/>
                <w:vertAlign w:val="superscript"/>
              </w:rPr>
              <w:t>c</w:t>
            </w:r>
            <w:r w:rsidR="00B1262A" w:rsidRPr="008F7ACD">
              <w:rPr>
                <w:color w:val="000000"/>
                <w:szCs w:val="22"/>
              </w:rPr>
              <w:t xml:space="preserve"> </w:t>
            </w:r>
          </w:p>
          <w:p w:rsidR="00B1262A" w:rsidRPr="008F7ACD" w:rsidRDefault="00B1262A" w:rsidP="00660D22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p-</w:t>
            </w:r>
            <w:r w:rsidR="00660D22" w:rsidRPr="008F7ACD">
              <w:rPr>
                <w:color w:val="000000"/>
                <w:szCs w:val="22"/>
              </w:rPr>
              <w:t>hodnota</w:t>
            </w:r>
            <w:r w:rsidRPr="008F7ACD">
              <w:rPr>
                <w:color w:val="000000"/>
                <w:szCs w:val="22"/>
                <w:vertAlign w:val="superscript"/>
              </w:rPr>
              <w:t>d</w:t>
            </w:r>
          </w:p>
        </w:tc>
        <w:tc>
          <w:tcPr>
            <w:tcW w:w="3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0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839 (0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564</w:t>
            </w:r>
            <w:r w:rsidR="00660D22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1</w:t>
            </w:r>
            <w:r w:rsidR="001913AB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249)</w:t>
            </w:r>
          </w:p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0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38657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660D22" w:rsidP="006D5845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Prežívanie bez progresie, mesiace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8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10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2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(95</w:t>
            </w:r>
            <w:r w:rsidR="00660D22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 xml:space="preserve">% CI)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(6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7</w:t>
            </w:r>
            <w:r w:rsidR="00660D22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9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8)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(8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1</w:t>
            </w:r>
            <w:r w:rsidR="00660D22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10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8)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C933D7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Miera rizika</w:t>
            </w:r>
            <w:r w:rsidR="00B1262A" w:rsidRPr="008F7ACD">
              <w:rPr>
                <w:color w:val="000000"/>
                <w:szCs w:val="22"/>
              </w:rPr>
              <w:t xml:space="preserve"> (95</w:t>
            </w:r>
            <w:r w:rsidR="00660D22" w:rsidRPr="008F7ACD">
              <w:rPr>
                <w:color w:val="000000"/>
                <w:szCs w:val="22"/>
              </w:rPr>
              <w:t> </w:t>
            </w:r>
            <w:r w:rsidR="00B1262A" w:rsidRPr="008F7ACD">
              <w:rPr>
                <w:color w:val="000000"/>
                <w:szCs w:val="22"/>
              </w:rPr>
              <w:t>% CI)</w:t>
            </w:r>
            <w:r w:rsidR="00B1262A" w:rsidRPr="008F7ACD">
              <w:rPr>
                <w:color w:val="000000"/>
                <w:szCs w:val="22"/>
                <w:vertAlign w:val="superscript"/>
              </w:rPr>
              <w:t>c</w:t>
            </w:r>
            <w:r w:rsidR="00B1262A" w:rsidRPr="008F7ACD">
              <w:rPr>
                <w:color w:val="000000"/>
                <w:szCs w:val="22"/>
              </w:rPr>
              <w:t xml:space="preserve"> </w:t>
            </w:r>
          </w:p>
          <w:p w:rsidR="00B1262A" w:rsidRPr="008F7ACD" w:rsidRDefault="00B1262A" w:rsidP="00660D22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p-</w:t>
            </w:r>
            <w:r w:rsidR="00660D22" w:rsidRPr="008F7ACD">
              <w:rPr>
                <w:color w:val="000000"/>
                <w:szCs w:val="22"/>
              </w:rPr>
              <w:t>hodnota</w:t>
            </w:r>
            <w:r w:rsidRPr="008F7ACD">
              <w:rPr>
                <w:color w:val="000000"/>
                <w:szCs w:val="22"/>
                <w:vertAlign w:val="superscript"/>
              </w:rPr>
              <w:t>d</w:t>
            </w:r>
          </w:p>
        </w:tc>
        <w:tc>
          <w:tcPr>
            <w:tcW w:w="3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0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824 (0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574</w:t>
            </w:r>
            <w:r w:rsidR="00660D22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1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183)</w:t>
            </w:r>
          </w:p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0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295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660D22" w:rsidP="006D5845">
            <w:pPr>
              <w:rPr>
                <w:color w:val="000000"/>
                <w:szCs w:val="22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Celkové prežívanie 1 rok (%)</w:t>
            </w:r>
            <w:r w:rsidRPr="008F7ACD">
              <w:rPr>
                <w:rFonts w:eastAsia="TimesNewRoman"/>
                <w:szCs w:val="22"/>
                <w:vertAlign w:val="superscript"/>
                <w:lang w:eastAsia="en-US"/>
              </w:rPr>
              <w:t>e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76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72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6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(95</w:t>
            </w:r>
            <w:r w:rsidR="00660D22" w:rsidRPr="008F7ACD">
              <w:rPr>
                <w:color w:val="000000"/>
                <w:szCs w:val="22"/>
              </w:rPr>
              <w:t> </w:t>
            </w:r>
            <w:r w:rsidRPr="008F7ACD">
              <w:rPr>
                <w:color w:val="000000"/>
                <w:szCs w:val="22"/>
              </w:rPr>
              <w:t xml:space="preserve">% CI)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(64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1</w:t>
            </w:r>
            <w:r w:rsidR="00660D22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85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4)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60D22">
            <w:pPr>
              <w:jc w:val="center"/>
              <w:rPr>
                <w:color w:val="000000"/>
                <w:szCs w:val="22"/>
              </w:rPr>
            </w:pPr>
            <w:r w:rsidRPr="008F7ACD">
              <w:rPr>
                <w:color w:val="000000"/>
                <w:szCs w:val="22"/>
              </w:rPr>
              <w:t>(63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1</w:t>
            </w:r>
            <w:r w:rsidR="00660D22" w:rsidRPr="008F7ACD">
              <w:rPr>
                <w:color w:val="000000"/>
                <w:szCs w:val="22"/>
              </w:rPr>
              <w:t>;</w:t>
            </w:r>
            <w:r w:rsidRPr="008F7ACD">
              <w:rPr>
                <w:color w:val="000000"/>
                <w:szCs w:val="22"/>
              </w:rPr>
              <w:t xml:space="preserve"> 80</w:t>
            </w:r>
            <w:r w:rsidR="00660D22" w:rsidRPr="008F7ACD">
              <w:rPr>
                <w:color w:val="000000"/>
                <w:szCs w:val="22"/>
              </w:rPr>
              <w:t>,</w:t>
            </w:r>
            <w:r w:rsidRPr="008F7ACD">
              <w:rPr>
                <w:color w:val="000000"/>
                <w:szCs w:val="22"/>
              </w:rPr>
              <w:t>0)</w:t>
            </w:r>
          </w:p>
        </w:tc>
      </w:tr>
    </w:tbl>
    <w:p w:rsidR="00660D22" w:rsidRPr="008F7ACD" w:rsidRDefault="00660D22" w:rsidP="00660D22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 xml:space="preserve">a </w:t>
      </w:r>
      <w:r w:rsidRPr="008F7ACD">
        <w:rPr>
          <w:rFonts w:eastAsia="TimesNewRoman"/>
          <w:szCs w:val="22"/>
          <w:lang w:eastAsia="en-US"/>
        </w:rPr>
        <w:t xml:space="preserve">p-hodnota je pre hypotézu non-inferiority, že </w:t>
      </w:r>
      <w:r w:rsidR="00903ED8" w:rsidRPr="008F7ACD">
        <w:rPr>
          <w:rFonts w:eastAsia="TimesNewRoman"/>
          <w:szCs w:val="22"/>
          <w:lang w:eastAsia="en-US"/>
        </w:rPr>
        <w:t>s.c</w:t>
      </w:r>
      <w:r w:rsidRPr="008F7ACD">
        <w:rPr>
          <w:rFonts w:eastAsia="TimesNewRoman"/>
          <w:szCs w:val="22"/>
          <w:lang w:eastAsia="en-US"/>
        </w:rPr>
        <w:t xml:space="preserve"> </w:t>
      </w:r>
      <w:r w:rsidR="00903ED8" w:rsidRPr="008F7ACD">
        <w:rPr>
          <w:rFonts w:eastAsia="TimesNewRoman"/>
          <w:szCs w:val="22"/>
          <w:lang w:eastAsia="en-US"/>
        </w:rPr>
        <w:t>skupina</w:t>
      </w:r>
      <w:r w:rsidRPr="008F7ACD">
        <w:rPr>
          <w:rFonts w:eastAsia="TimesNewRoman"/>
          <w:szCs w:val="22"/>
          <w:lang w:eastAsia="en-US"/>
        </w:rPr>
        <w:t xml:space="preserve"> si udrží aspoň 60 % z pomeru odpovedí v i.v.</w:t>
      </w:r>
      <w:r w:rsidR="0055691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ramene.</w:t>
      </w:r>
    </w:p>
    <w:p w:rsidR="00660D22" w:rsidRPr="008F7ACD" w:rsidRDefault="00660D22" w:rsidP="00660D22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 xml:space="preserve"> </w:t>
      </w:r>
      <w:r w:rsidR="007E7CC3" w:rsidRPr="008F7ACD">
        <w:rPr>
          <w:rFonts w:eastAsia="TimesNewRoman"/>
          <w:szCs w:val="22"/>
          <w:lang w:eastAsia="en-US"/>
        </w:rPr>
        <w:t>D</w:t>
      </w:r>
      <w:r w:rsidRPr="008F7ACD">
        <w:rPr>
          <w:rFonts w:eastAsia="TimesNewRoman"/>
          <w:szCs w:val="22"/>
          <w:lang w:eastAsia="en-US"/>
        </w:rPr>
        <w:t xml:space="preserve">o štúdie bolo zaradených 222 </w:t>
      </w:r>
      <w:r w:rsidR="007E7CC3" w:rsidRPr="008F7ACD">
        <w:rPr>
          <w:rFonts w:eastAsia="TimesNewRoman"/>
          <w:szCs w:val="22"/>
          <w:lang w:eastAsia="en-US"/>
        </w:rPr>
        <w:t>osôb</w:t>
      </w:r>
      <w:r w:rsidRPr="008F7ACD">
        <w:rPr>
          <w:rFonts w:eastAsia="TimesNewRoman"/>
          <w:szCs w:val="22"/>
          <w:lang w:eastAsia="en-US"/>
        </w:rPr>
        <w:t xml:space="preserve">; 221 </w:t>
      </w:r>
      <w:r w:rsidR="007E7CC3" w:rsidRPr="008F7ACD">
        <w:rPr>
          <w:rFonts w:eastAsia="TimesNewRoman"/>
          <w:szCs w:val="22"/>
          <w:lang w:eastAsia="en-US"/>
        </w:rPr>
        <w:t>osôb</w:t>
      </w:r>
      <w:r w:rsidRPr="008F7ACD">
        <w:rPr>
          <w:rFonts w:eastAsia="TimesNewRoman"/>
          <w:szCs w:val="22"/>
          <w:lang w:eastAsia="en-US"/>
        </w:rPr>
        <w:t xml:space="preserve"> bolo liečených s bortezomibom</w:t>
      </w:r>
    </w:p>
    <w:p w:rsidR="00660D22" w:rsidRPr="008F7ACD" w:rsidRDefault="00660D22" w:rsidP="00660D22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c</w:t>
      </w:r>
      <w:r w:rsidRPr="008F7ACD">
        <w:rPr>
          <w:rFonts w:eastAsia="TimesNewRoman"/>
          <w:szCs w:val="22"/>
          <w:lang w:eastAsia="en-US"/>
        </w:rPr>
        <w:t xml:space="preserve"> Odhad </w:t>
      </w:r>
      <w:r w:rsidR="009A2DBE" w:rsidRPr="008F7ACD">
        <w:rPr>
          <w:rFonts w:eastAsia="TimesNewRoman"/>
          <w:szCs w:val="22"/>
          <w:lang w:eastAsia="en-US"/>
        </w:rPr>
        <w:t>miery</w:t>
      </w:r>
      <w:r w:rsidR="00945039" w:rsidRPr="008F7ACD">
        <w:rPr>
          <w:rFonts w:eastAsia="TimesNewRoman"/>
          <w:szCs w:val="22"/>
          <w:lang w:eastAsia="en-US"/>
        </w:rPr>
        <w:t xml:space="preserve"> rizika</w:t>
      </w:r>
      <w:r w:rsidRPr="008F7ACD">
        <w:rPr>
          <w:rFonts w:eastAsia="TimesNewRoman"/>
          <w:szCs w:val="22"/>
          <w:lang w:eastAsia="en-US"/>
        </w:rPr>
        <w:t xml:space="preserve"> je založený na Coxovom modeli upravenom pre stratifikačné faktory: ISS štádium (z angl. International Staging System) a počet predchádzajúcich línií liečby.</w:t>
      </w:r>
    </w:p>
    <w:p w:rsidR="00660D22" w:rsidRPr="008F7ACD" w:rsidRDefault="00660D22" w:rsidP="00660D22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d</w:t>
      </w:r>
      <w:r w:rsidRPr="008F7ACD">
        <w:rPr>
          <w:rFonts w:eastAsia="TimesNewRoman"/>
          <w:szCs w:val="22"/>
          <w:lang w:eastAsia="en-US"/>
        </w:rPr>
        <w:t xml:space="preserve"> Log rank test upravený pre stratifikačné faktory: ISS štádium a počet predchádzajúcich línií liečby.</w:t>
      </w:r>
    </w:p>
    <w:p w:rsidR="00B1262A" w:rsidRPr="008F7ACD" w:rsidRDefault="00660D22" w:rsidP="00660D22">
      <w:pPr>
        <w:rPr>
          <w:color w:val="000000"/>
          <w:szCs w:val="22"/>
        </w:rPr>
      </w:pPr>
      <w:r w:rsidRPr="008F7ACD">
        <w:rPr>
          <w:rFonts w:eastAsia="TimesNewRoman"/>
          <w:szCs w:val="22"/>
          <w:vertAlign w:val="superscript"/>
          <w:lang w:eastAsia="en-US"/>
        </w:rPr>
        <w:t>e</w:t>
      </w:r>
      <w:r w:rsidRPr="008F7ACD">
        <w:rPr>
          <w:rFonts w:eastAsia="TimesNewRoman"/>
          <w:szCs w:val="22"/>
          <w:lang w:eastAsia="en-US"/>
        </w:rPr>
        <w:t xml:space="preserve"> Priemerné trvanie sledovania je 11,8 mesiacov</w:t>
      </w:r>
      <w:r w:rsidR="00B1262A" w:rsidRPr="008F7ACD">
        <w:rPr>
          <w:color w:val="000000"/>
          <w:szCs w:val="22"/>
        </w:rPr>
        <w:t xml:space="preserve"> </w:t>
      </w:r>
    </w:p>
    <w:p w:rsidR="00B1262A" w:rsidRPr="008F7ACD" w:rsidRDefault="00B1262A" w:rsidP="00B1262A">
      <w:pPr>
        <w:rPr>
          <w:i/>
          <w:iCs/>
          <w:color w:val="000000"/>
          <w:szCs w:val="22"/>
        </w:rPr>
      </w:pPr>
    </w:p>
    <w:p w:rsidR="00E32277" w:rsidRPr="008F7ACD" w:rsidRDefault="00E32277" w:rsidP="00E32277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color w:val="000000"/>
          <w:szCs w:val="22"/>
          <w:lang w:eastAsia="en-US"/>
        </w:rPr>
      </w:pPr>
      <w:r w:rsidRPr="008F7ACD">
        <w:rPr>
          <w:rFonts w:eastAsia="TimesNewRoman,Italic"/>
          <w:i/>
          <w:iCs/>
          <w:color w:val="000000"/>
          <w:szCs w:val="22"/>
          <w:lang w:eastAsia="en-US"/>
        </w:rPr>
        <w:t>Kombinovaná liečba bortezomibom a pegylovaným lipozomálnym doxorubicínom (štúdia DOXIL-MMY-3001)</w:t>
      </w:r>
    </w:p>
    <w:p w:rsidR="00E32277" w:rsidRPr="008F7ACD" w:rsidRDefault="00E32277" w:rsidP="00E32277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8F7ACD">
        <w:rPr>
          <w:rFonts w:eastAsia="TimesNewRoman"/>
          <w:color w:val="000000"/>
          <w:szCs w:val="22"/>
          <w:lang w:eastAsia="en-US"/>
        </w:rPr>
        <w:t>U 646 pacientov sa vykonala randomizovaná, otvorená, multicentrická štúdia fázy III s paralelnou skupinou, ktorá porovnávala bezpečnosť a</w:t>
      </w:r>
      <w:r w:rsidR="00A00BA7" w:rsidRPr="008F7ACD">
        <w:rPr>
          <w:rFonts w:eastAsia="TimesNewRoman"/>
          <w:color w:val="000000"/>
          <w:szCs w:val="22"/>
          <w:lang w:eastAsia="en-US"/>
        </w:rPr>
        <w:t> </w:t>
      </w:r>
      <w:r w:rsidRPr="008F7ACD">
        <w:rPr>
          <w:rFonts w:eastAsia="TimesNewRoman"/>
          <w:color w:val="000000"/>
          <w:szCs w:val="22"/>
          <w:lang w:eastAsia="en-US"/>
        </w:rPr>
        <w:t>účinnosť</w:t>
      </w:r>
      <w:r w:rsidR="00A00BA7" w:rsidRPr="008F7ACD">
        <w:rPr>
          <w:rFonts w:eastAsia="TimesNewRoman"/>
          <w:color w:val="000000"/>
          <w:szCs w:val="22"/>
          <w:lang w:eastAsia="en-US"/>
        </w:rPr>
        <w:t xml:space="preserve"> </w:t>
      </w:r>
      <w:r w:rsidRPr="008F7ACD">
        <w:rPr>
          <w:rFonts w:eastAsia="TimesNewRoman"/>
          <w:color w:val="000000"/>
          <w:szCs w:val="22"/>
          <w:lang w:eastAsia="en-US"/>
        </w:rPr>
        <w:t>bortezomibu a pegylovaného lipozomálneho doxorubicínu oproti monoterapii bortezomibom u pacientov s mnohopočetným myelómom, ktorí dostali aspoň 1 predchádzajúcu liečbu a ktorí neprogredovali</w:t>
      </w:r>
      <w:r w:rsidR="00907C7B" w:rsidRPr="008F7ACD">
        <w:rPr>
          <w:rFonts w:eastAsia="TimesNewRoman"/>
          <w:color w:val="000000"/>
          <w:szCs w:val="22"/>
          <w:lang w:eastAsia="en-US"/>
        </w:rPr>
        <w:t xml:space="preserve"> počas</w:t>
      </w:r>
      <w:r w:rsidRPr="008F7ACD">
        <w:rPr>
          <w:rFonts w:eastAsia="TimesNewRoman"/>
          <w:color w:val="000000"/>
          <w:szCs w:val="22"/>
          <w:lang w:eastAsia="en-US"/>
        </w:rPr>
        <w:t xml:space="preserve"> liečb</w:t>
      </w:r>
      <w:r w:rsidR="00907C7B" w:rsidRPr="008F7ACD">
        <w:rPr>
          <w:rFonts w:eastAsia="TimesNewRoman"/>
          <w:color w:val="000000"/>
          <w:szCs w:val="22"/>
          <w:lang w:eastAsia="en-US"/>
        </w:rPr>
        <w:t>y</w:t>
      </w:r>
      <w:r w:rsidRPr="008F7ACD">
        <w:rPr>
          <w:rFonts w:eastAsia="TimesNewRoman"/>
          <w:color w:val="000000"/>
          <w:szCs w:val="22"/>
          <w:lang w:eastAsia="en-US"/>
        </w:rPr>
        <w:t xml:space="preserve"> založen</w:t>
      </w:r>
      <w:r w:rsidR="00907C7B" w:rsidRPr="008F7ACD">
        <w:rPr>
          <w:rFonts w:eastAsia="TimesNewRoman"/>
          <w:color w:val="000000"/>
          <w:szCs w:val="22"/>
          <w:lang w:eastAsia="en-US"/>
        </w:rPr>
        <w:t>ej</w:t>
      </w:r>
      <w:r w:rsidRPr="008F7ACD">
        <w:rPr>
          <w:rFonts w:eastAsia="TimesNewRoman"/>
          <w:color w:val="000000"/>
          <w:szCs w:val="22"/>
          <w:lang w:eastAsia="en-US"/>
        </w:rPr>
        <w:t xml:space="preserve"> na</w:t>
      </w:r>
      <w:r w:rsidR="007E7CC3" w:rsidRPr="008F7ACD">
        <w:rPr>
          <w:rFonts w:eastAsia="TimesNewRoman"/>
          <w:color w:val="000000"/>
          <w:szCs w:val="22"/>
          <w:lang w:eastAsia="en-US"/>
        </w:rPr>
        <w:t> </w:t>
      </w:r>
      <w:r w:rsidRPr="008F7ACD">
        <w:rPr>
          <w:rFonts w:eastAsia="TimesNewRoman"/>
          <w:color w:val="000000"/>
          <w:szCs w:val="22"/>
          <w:lang w:eastAsia="en-US"/>
        </w:rPr>
        <w:t xml:space="preserve">antracyklínoch. Primárny </w:t>
      </w:r>
      <w:r w:rsidR="00F920D9" w:rsidRPr="008F7ACD">
        <w:rPr>
          <w:rFonts w:eastAsia="TimesNewRoman"/>
          <w:color w:val="000000"/>
          <w:szCs w:val="22"/>
          <w:lang w:eastAsia="en-US"/>
        </w:rPr>
        <w:t>koncový ukazovateľ</w:t>
      </w:r>
      <w:r w:rsidRPr="008F7ACD">
        <w:rPr>
          <w:rFonts w:eastAsia="TimesNewRoman"/>
          <w:color w:val="000000"/>
          <w:szCs w:val="22"/>
          <w:lang w:eastAsia="en-US"/>
        </w:rPr>
        <w:t xml:space="preserve"> účinnosti bol TTP, </w:t>
      </w:r>
      <w:r w:rsidR="00A00BA7" w:rsidRPr="008F7ACD">
        <w:rPr>
          <w:rFonts w:eastAsia="TimesNewRoman"/>
          <w:color w:val="000000"/>
          <w:szCs w:val="22"/>
          <w:lang w:eastAsia="en-US"/>
        </w:rPr>
        <w:t>pokiaľ</w:t>
      </w:r>
      <w:r w:rsidRPr="008F7ACD">
        <w:rPr>
          <w:rFonts w:eastAsia="TimesNewRoman"/>
          <w:color w:val="000000"/>
          <w:szCs w:val="22"/>
          <w:lang w:eastAsia="en-US"/>
        </w:rPr>
        <w:t xml:space="preserve"> sekundárne </w:t>
      </w:r>
      <w:r w:rsidR="00F920D9" w:rsidRPr="008F7ACD">
        <w:rPr>
          <w:rFonts w:eastAsia="TimesNewRoman"/>
          <w:color w:val="000000"/>
          <w:szCs w:val="22"/>
          <w:lang w:eastAsia="en-US"/>
        </w:rPr>
        <w:t>koncové ukazovatele</w:t>
      </w:r>
      <w:r w:rsidRPr="008F7ACD">
        <w:rPr>
          <w:rFonts w:eastAsia="TimesNewRoman"/>
          <w:color w:val="000000"/>
          <w:szCs w:val="22"/>
          <w:lang w:eastAsia="en-US"/>
        </w:rPr>
        <w:t xml:space="preserve"> účinnosti boli OS a ORR (CR+PR), použitím kritérií Európskej skupiny pre transplantáciu krvi a kostnej drene </w:t>
      </w:r>
      <w:r w:rsidRPr="008F7ACD">
        <w:rPr>
          <w:rFonts w:eastAsia="TimesNewRoman"/>
          <w:color w:val="545454"/>
          <w:szCs w:val="22"/>
          <w:lang w:eastAsia="en-US"/>
        </w:rPr>
        <w:t>(</w:t>
      </w:r>
      <w:r w:rsidRPr="008F7ACD">
        <w:rPr>
          <w:rFonts w:eastAsia="TimesNewRoman"/>
          <w:color w:val="000000"/>
          <w:szCs w:val="22"/>
          <w:lang w:eastAsia="en-US"/>
        </w:rPr>
        <w:t>EBMT, z angl. European Group for Blood and Marrow Transplantation).</w:t>
      </w:r>
    </w:p>
    <w:p w:rsidR="00E32277" w:rsidRPr="008F7ACD" w:rsidRDefault="00E32277" w:rsidP="00E32277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8F7ACD">
        <w:rPr>
          <w:rFonts w:eastAsia="TimesNewRoman"/>
          <w:color w:val="000000"/>
          <w:szCs w:val="22"/>
          <w:lang w:eastAsia="en-US"/>
        </w:rPr>
        <w:t>V protokole definovaná predbežná analýza (na základe 249 prípadov TTP) vyvolala predčasné ukončenie štúdie z dôvodu účinnosti. Táto predbežná analýza preukázala zníženie rizika TTP o 45 %</w:t>
      </w:r>
      <w:r w:rsidR="00A00BA7" w:rsidRPr="008F7ACD">
        <w:rPr>
          <w:rFonts w:eastAsia="TimesNewRoman"/>
          <w:color w:val="000000"/>
          <w:szCs w:val="22"/>
          <w:lang w:eastAsia="en-US"/>
        </w:rPr>
        <w:t xml:space="preserve"> </w:t>
      </w:r>
      <w:r w:rsidRPr="008F7ACD">
        <w:rPr>
          <w:rFonts w:eastAsia="TimesNewRoman"/>
          <w:color w:val="000000"/>
          <w:szCs w:val="22"/>
          <w:lang w:eastAsia="en-US"/>
        </w:rPr>
        <w:t>(95 % CI; 29</w:t>
      </w:r>
      <w:r w:rsidR="00907C7B" w:rsidRPr="008F7ACD">
        <w:rPr>
          <w:rFonts w:eastAsia="TimesNewRoman"/>
          <w:color w:val="000000"/>
          <w:szCs w:val="22"/>
          <w:lang w:eastAsia="en-US"/>
        </w:rPr>
        <w:t xml:space="preserve"> –</w:t>
      </w:r>
      <w:r w:rsidR="00907C7B" w:rsidRPr="008F7ACD">
        <w:rPr>
          <w:rFonts w:eastAsia="TimesNewRoman,Italic"/>
          <w:i/>
          <w:iCs/>
          <w:color w:val="000000"/>
          <w:szCs w:val="22"/>
          <w:lang w:eastAsia="en-US"/>
        </w:rPr>
        <w:t xml:space="preserve"> </w:t>
      </w:r>
      <w:r w:rsidRPr="008F7ACD">
        <w:rPr>
          <w:rFonts w:eastAsia="TimesNewRoman"/>
          <w:color w:val="000000"/>
          <w:szCs w:val="22"/>
          <w:lang w:eastAsia="en-US"/>
        </w:rPr>
        <w:t>57 %, p &lt; 0,0001) u pacientov liečených kombinovanou liečbou bortezomibom a</w:t>
      </w:r>
      <w:r w:rsidR="007E7CC3" w:rsidRPr="008F7ACD">
        <w:rPr>
          <w:rFonts w:eastAsia="TimesNewRoman"/>
          <w:color w:val="000000"/>
          <w:szCs w:val="22"/>
          <w:lang w:eastAsia="en-US"/>
        </w:rPr>
        <w:t> </w:t>
      </w:r>
      <w:r w:rsidRPr="008F7ACD">
        <w:rPr>
          <w:rFonts w:eastAsia="TimesNewRoman"/>
          <w:color w:val="000000"/>
          <w:szCs w:val="22"/>
          <w:lang w:eastAsia="en-US"/>
        </w:rPr>
        <w:t xml:space="preserve">pegylovaným lipozomálnym doxorubicínom. Medián TTP bol 6,5 mesiaca u pacientov dostávajúcich monoterapiu bortezomibom v porovnaní s 9,3 mesiacmi u pacientov dostávajúcich kombinovanú liečbu bortezomibom a pegylovaným lipozomálnym doxorubicínom. Tieto výsledky, hoci </w:t>
      </w:r>
      <w:r w:rsidR="00F920D9" w:rsidRPr="008F7ACD">
        <w:rPr>
          <w:rFonts w:eastAsia="TimesNewRoman"/>
          <w:color w:val="000000"/>
          <w:szCs w:val="22"/>
          <w:lang w:eastAsia="en-US"/>
        </w:rPr>
        <w:t xml:space="preserve">predčasne </w:t>
      </w:r>
      <w:r w:rsidR="000C0A5E" w:rsidRPr="008F7ACD">
        <w:rPr>
          <w:rFonts w:eastAsia="TimesNewRoman"/>
          <w:color w:val="000000"/>
          <w:szCs w:val="22"/>
          <w:lang w:eastAsia="en-US"/>
        </w:rPr>
        <w:t>vyvodené</w:t>
      </w:r>
      <w:r w:rsidRPr="008F7ACD">
        <w:rPr>
          <w:rFonts w:eastAsia="TimesNewRoman"/>
          <w:color w:val="000000"/>
          <w:szCs w:val="22"/>
          <w:lang w:eastAsia="en-US"/>
        </w:rPr>
        <w:t>, predstavovali v protokole definovanú záverečnú analýzu.</w:t>
      </w:r>
    </w:p>
    <w:p w:rsidR="00E32277" w:rsidRPr="008F7ACD" w:rsidRDefault="006A0F90" w:rsidP="00E32277">
      <w:pPr>
        <w:ind w:left="0" w:firstLine="0"/>
        <w:rPr>
          <w:szCs w:val="22"/>
        </w:rPr>
      </w:pPr>
      <w:r w:rsidRPr="008F7ACD">
        <w:rPr>
          <w:szCs w:val="22"/>
        </w:rPr>
        <w:lastRenderedPageBreak/>
        <w:t xml:space="preserve">Záverečná analýza OS vykonaná po mediáne </w:t>
      </w:r>
      <w:r w:rsidR="000C0A5E" w:rsidRPr="008F7ACD">
        <w:rPr>
          <w:szCs w:val="22"/>
        </w:rPr>
        <w:t>sledovania</w:t>
      </w:r>
      <w:r w:rsidRPr="008F7ACD">
        <w:rPr>
          <w:szCs w:val="22"/>
        </w:rPr>
        <w:t xml:space="preserve"> 8,6 rokov nepreukázala žiadny významný rozdiel v OS medzi dvoma liečenými skupinami. Medián OS bol 30,8 mesiacov (95</w:t>
      </w:r>
      <w:r w:rsidR="00FC32B4" w:rsidRPr="008F7ACD">
        <w:rPr>
          <w:szCs w:val="22"/>
        </w:rPr>
        <w:t> </w:t>
      </w:r>
      <w:r w:rsidRPr="008F7ACD">
        <w:rPr>
          <w:szCs w:val="22"/>
        </w:rPr>
        <w:t>% CI; 25,2</w:t>
      </w:r>
      <w:r w:rsidR="00907C7B" w:rsidRPr="008F7ACD">
        <w:rPr>
          <w:szCs w:val="22"/>
        </w:rPr>
        <w:t xml:space="preserve"> – </w:t>
      </w:r>
      <w:r w:rsidRPr="008F7ACD">
        <w:rPr>
          <w:szCs w:val="22"/>
        </w:rPr>
        <w:t>36,5</w:t>
      </w:r>
      <w:r w:rsidR="00FC32B4" w:rsidRPr="008F7ACD">
        <w:rPr>
          <w:szCs w:val="22"/>
        </w:rPr>
        <w:t xml:space="preserve"> </w:t>
      </w:r>
      <w:r w:rsidRPr="008F7ACD">
        <w:rPr>
          <w:szCs w:val="22"/>
        </w:rPr>
        <w:t>mesiacov) u pacientov liečených bortezomib</w:t>
      </w:r>
      <w:r w:rsidR="00907C7B" w:rsidRPr="008F7ACD">
        <w:rPr>
          <w:szCs w:val="22"/>
        </w:rPr>
        <w:t>om</w:t>
      </w:r>
      <w:r w:rsidRPr="008F7ACD">
        <w:rPr>
          <w:szCs w:val="22"/>
        </w:rPr>
        <w:t xml:space="preserve"> v monoterapii a 33,0 mesiacov (95</w:t>
      </w:r>
      <w:r w:rsidR="00FC32B4" w:rsidRPr="008F7ACD">
        <w:rPr>
          <w:szCs w:val="22"/>
        </w:rPr>
        <w:t> </w:t>
      </w:r>
      <w:r w:rsidRPr="008F7ACD">
        <w:rPr>
          <w:szCs w:val="22"/>
        </w:rPr>
        <w:t>% CI; 28,9</w:t>
      </w:r>
      <w:r w:rsidR="00907C7B" w:rsidRPr="008F7ACD">
        <w:rPr>
          <w:szCs w:val="22"/>
        </w:rPr>
        <w:t xml:space="preserve"> – </w:t>
      </w:r>
      <w:r w:rsidRPr="008F7ACD">
        <w:rPr>
          <w:szCs w:val="22"/>
        </w:rPr>
        <w:t>37,1 mesiacov) u pacientov liečených kombinovanou liečbou bortezomib plus pegylovaný lipozomálny doxorubicín.</w:t>
      </w:r>
    </w:p>
    <w:p w:rsidR="006A0F90" w:rsidRPr="008F7ACD" w:rsidRDefault="006A0F90" w:rsidP="00E32277">
      <w:pPr>
        <w:ind w:left="0" w:firstLine="0"/>
        <w:rPr>
          <w:rFonts w:eastAsia="TimesNewRoman"/>
          <w:color w:val="000000"/>
          <w:szCs w:val="22"/>
          <w:lang w:eastAsia="en-US"/>
        </w:rPr>
      </w:pPr>
    </w:p>
    <w:p w:rsidR="00E32277" w:rsidRPr="008F7ACD" w:rsidRDefault="00E32277" w:rsidP="00E32277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Kombinovaná liečba bortezomibom a dexametazónom</w:t>
      </w:r>
    </w:p>
    <w:p w:rsidR="00E32277" w:rsidRPr="008F7ACD" w:rsidRDefault="00E32277" w:rsidP="00E32277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Pre absenciu akéhokoľvek priameho porovnania medzi bortezomibom a kombináciou bortezomibu s dexametazónom u pacientov s progresívnym mnohopočetným myelómom sa použila</w:t>
      </w:r>
      <w:r w:rsidR="002B097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štatistická párová analýza (</w:t>
      </w:r>
      <w:r w:rsidRPr="008F7ACD">
        <w:rPr>
          <w:rFonts w:eastAsia="TimesNewRoman,Italic"/>
          <w:i/>
          <w:iCs/>
          <w:szCs w:val="22"/>
          <w:lang w:eastAsia="en-US"/>
        </w:rPr>
        <w:t>matched-pair analysis</w:t>
      </w:r>
      <w:r w:rsidRPr="008F7ACD">
        <w:rPr>
          <w:rFonts w:eastAsia="TimesNewRoman"/>
          <w:szCs w:val="22"/>
          <w:lang w:eastAsia="en-US"/>
        </w:rPr>
        <w:t>) na porovnanie výsledkov z nerandomizovanej</w:t>
      </w:r>
      <w:r w:rsidR="002B097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skupiny s</w:t>
      </w:r>
      <w:r w:rsidR="00907C7B" w:rsidRPr="008F7ACD">
        <w:rPr>
          <w:rFonts w:eastAsia="TimesNewRoman"/>
          <w:szCs w:val="22"/>
          <w:lang w:eastAsia="en-US"/>
        </w:rPr>
        <w:t> </w:t>
      </w:r>
      <w:r w:rsidR="002B0971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v kombinácii s dexametazónom (otvorená štúdia fázy II MMY-2045)</w:t>
      </w:r>
      <w:r w:rsidR="002B097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s výsledkami získanými v skupine s </w:t>
      </w:r>
      <w:r w:rsidR="002B0971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v monoterapii z rôznych randomizovaných</w:t>
      </w:r>
      <w:r w:rsidR="002B097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štúdií fázy III (M34101-039 [APEX] a DOXIL MMY-3001) v rovnakej indikácii.</w:t>
      </w:r>
    </w:p>
    <w:p w:rsidR="00E32277" w:rsidRPr="008F7ACD" w:rsidRDefault="00E32277" w:rsidP="00E32277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Analýza </w:t>
      </w:r>
      <w:r w:rsidRPr="008F7ACD">
        <w:rPr>
          <w:rFonts w:eastAsia="TimesNewRoman,Italic"/>
          <w:i/>
          <w:iCs/>
          <w:szCs w:val="22"/>
          <w:lang w:eastAsia="en-US"/>
        </w:rPr>
        <w:t xml:space="preserve">matched-pair </w:t>
      </w:r>
      <w:r w:rsidRPr="008F7ACD">
        <w:rPr>
          <w:rFonts w:eastAsia="TimesNewRoman"/>
          <w:szCs w:val="22"/>
          <w:lang w:eastAsia="en-US"/>
        </w:rPr>
        <w:t xml:space="preserve">je štatistická metóda, v ktorej sú pacienti z liečenej skupiny (napr. </w:t>
      </w:r>
      <w:r w:rsidR="00A00BA7" w:rsidRPr="008F7ACD">
        <w:rPr>
          <w:rFonts w:eastAsia="TimesNewRoman"/>
          <w:szCs w:val="22"/>
          <w:lang w:eastAsia="en-US"/>
        </w:rPr>
        <w:t>b</w:t>
      </w:r>
      <w:r w:rsidR="002B0971" w:rsidRPr="008F7ACD">
        <w:rPr>
          <w:rFonts w:eastAsia="TimesNewRoman"/>
          <w:szCs w:val="22"/>
          <w:lang w:eastAsia="en-US"/>
        </w:rPr>
        <w:t>ortezom</w:t>
      </w:r>
      <w:r w:rsidR="00121661" w:rsidRPr="008F7ACD">
        <w:rPr>
          <w:rFonts w:eastAsia="TimesNewRoman"/>
          <w:szCs w:val="22"/>
          <w:lang w:eastAsia="en-US"/>
        </w:rPr>
        <w:t>ib</w:t>
      </w:r>
      <w:r w:rsidR="002B097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</w:t>
      </w:r>
      <w:r w:rsidR="00907C7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kombinácii s dexametazónom) a pacienti z porovnávanej skupiny (napr. </w:t>
      </w:r>
      <w:r w:rsidR="002B0971" w:rsidRPr="008F7ACD">
        <w:rPr>
          <w:rFonts w:eastAsia="TimesNewRoman"/>
          <w:szCs w:val="22"/>
          <w:lang w:eastAsia="en-US"/>
        </w:rPr>
        <w:t>bortezomib</w:t>
      </w:r>
      <w:r w:rsidRPr="008F7ACD">
        <w:rPr>
          <w:rFonts w:eastAsia="TimesNewRoman"/>
          <w:szCs w:val="22"/>
          <w:lang w:eastAsia="en-US"/>
        </w:rPr>
        <w:t>) porovnávaní</w:t>
      </w:r>
      <w:r w:rsidR="002B097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</w:t>
      </w:r>
      <w:r w:rsidR="002B097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ohľadom na súčasne pôsobiace faktory (confounding factors) individuálnym spárovaním </w:t>
      </w:r>
      <w:r w:rsidR="000C0A5E" w:rsidRPr="008F7ACD">
        <w:rPr>
          <w:rFonts w:eastAsia="TimesNewRoman"/>
          <w:szCs w:val="22"/>
          <w:lang w:eastAsia="en-US"/>
        </w:rPr>
        <w:t xml:space="preserve">jedincov v </w:t>
      </w:r>
      <w:r w:rsidR="00F131B4" w:rsidRPr="008F7ACD">
        <w:rPr>
          <w:rFonts w:eastAsia="TimesNewRoman"/>
          <w:szCs w:val="22"/>
          <w:lang w:eastAsia="en-US"/>
        </w:rPr>
        <w:t>skúšania</w:t>
      </w:r>
      <w:r w:rsidR="000C0A5E" w:rsidRPr="008F7ACD">
        <w:rPr>
          <w:rFonts w:eastAsia="TimesNewRoman"/>
          <w:szCs w:val="22"/>
          <w:lang w:eastAsia="en-US"/>
        </w:rPr>
        <w:t>ch</w:t>
      </w:r>
      <w:r w:rsidRPr="008F7ACD">
        <w:rPr>
          <w:rFonts w:eastAsia="TimesNewRoman"/>
          <w:szCs w:val="22"/>
          <w:lang w:eastAsia="en-US"/>
        </w:rPr>
        <w:t>.</w:t>
      </w:r>
      <w:r w:rsidR="002B097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To minimalizuje pôsobenie pozorovaných súčasne pôsobiacich faktorov pri odhade účinku liečby pri</w:t>
      </w:r>
      <w:r w:rsidR="002B097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použití nerandomizovaných údajov.</w:t>
      </w:r>
    </w:p>
    <w:p w:rsidR="00E32277" w:rsidRPr="008F7ACD" w:rsidRDefault="00E32277" w:rsidP="00E32277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Bolo identifikovaných stodvadsaťsedem zodpovedajúcich si párov pacientov. Analýza preukázala</w:t>
      </w:r>
      <w:r w:rsidR="002B097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zlepšenie ORR (CR+PR) (</w:t>
      </w:r>
      <w:r w:rsidR="00670744" w:rsidRPr="008F7ACD">
        <w:rPr>
          <w:rFonts w:eastAsia="TimesNewRoman"/>
          <w:szCs w:val="22"/>
          <w:lang w:eastAsia="en-US"/>
        </w:rPr>
        <w:t>pomer pravdepodobnosti</w:t>
      </w:r>
      <w:r w:rsidRPr="008F7ACD">
        <w:rPr>
          <w:rFonts w:eastAsia="TimesNewRoman"/>
          <w:szCs w:val="22"/>
          <w:lang w:eastAsia="en-US"/>
        </w:rPr>
        <w:t xml:space="preserve"> 3,769; 95</w:t>
      </w:r>
      <w:r w:rsidR="002B097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CI 2,045</w:t>
      </w:r>
      <w:r w:rsidR="00907C7B" w:rsidRPr="008F7ACD">
        <w:rPr>
          <w:rFonts w:eastAsia="TimesNewRoman"/>
          <w:szCs w:val="22"/>
          <w:lang w:eastAsia="en-US"/>
        </w:rPr>
        <w:t xml:space="preserve"> – </w:t>
      </w:r>
      <w:r w:rsidRPr="008F7ACD">
        <w:rPr>
          <w:rFonts w:eastAsia="TimesNewRoman"/>
          <w:szCs w:val="22"/>
          <w:lang w:eastAsia="en-US"/>
        </w:rPr>
        <w:t>6,947; p &lt;</w:t>
      </w:r>
      <w:r w:rsidR="002B097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0,001), PFS (</w:t>
      </w:r>
      <w:r w:rsidR="0039192C" w:rsidRPr="008F7ACD">
        <w:rPr>
          <w:rFonts w:eastAsia="TimesNewRoman"/>
          <w:szCs w:val="22"/>
          <w:lang w:eastAsia="en-US"/>
        </w:rPr>
        <w:t>miera rizika</w:t>
      </w:r>
      <w:r w:rsidRPr="008F7ACD">
        <w:rPr>
          <w:rFonts w:eastAsia="TimesNewRoman"/>
          <w:szCs w:val="22"/>
          <w:lang w:eastAsia="en-US"/>
        </w:rPr>
        <w:t xml:space="preserve"> 0,511;</w:t>
      </w:r>
      <w:r w:rsidR="004F4D9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95</w:t>
      </w:r>
      <w:r w:rsidR="002B097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CI 0,309</w:t>
      </w:r>
      <w:r w:rsidR="00907C7B" w:rsidRPr="008F7ACD">
        <w:rPr>
          <w:rFonts w:eastAsia="TimesNewRoman"/>
          <w:szCs w:val="22"/>
          <w:lang w:eastAsia="en-US"/>
        </w:rPr>
        <w:t xml:space="preserve"> – </w:t>
      </w:r>
      <w:r w:rsidRPr="008F7ACD">
        <w:rPr>
          <w:rFonts w:eastAsia="TimesNewRoman"/>
          <w:szCs w:val="22"/>
          <w:lang w:eastAsia="en-US"/>
        </w:rPr>
        <w:t>0,845; p</w:t>
      </w:r>
      <w:r w:rsidR="005B75C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=</w:t>
      </w:r>
      <w:r w:rsidR="005B75C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0,008), TTP (</w:t>
      </w:r>
      <w:r w:rsidR="009A61AD" w:rsidRPr="008F7ACD">
        <w:rPr>
          <w:rFonts w:eastAsia="TimesNewRoman"/>
          <w:szCs w:val="22"/>
          <w:lang w:eastAsia="en-US"/>
        </w:rPr>
        <w:t>miera rizika</w:t>
      </w:r>
      <w:r w:rsidRPr="008F7ACD">
        <w:rPr>
          <w:rFonts w:eastAsia="TimesNewRoman"/>
          <w:szCs w:val="22"/>
          <w:lang w:eastAsia="en-US"/>
        </w:rPr>
        <w:t xml:space="preserve"> 0,385; 95</w:t>
      </w:r>
      <w:r w:rsidR="002B097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CI 0,212</w:t>
      </w:r>
      <w:r w:rsidR="00907C7B" w:rsidRPr="008F7ACD">
        <w:rPr>
          <w:rFonts w:eastAsia="TimesNewRoman"/>
          <w:szCs w:val="22"/>
          <w:lang w:eastAsia="en-US"/>
        </w:rPr>
        <w:t xml:space="preserve"> – </w:t>
      </w:r>
      <w:r w:rsidRPr="008F7ACD">
        <w:rPr>
          <w:rFonts w:eastAsia="TimesNewRoman"/>
          <w:szCs w:val="22"/>
          <w:lang w:eastAsia="en-US"/>
        </w:rPr>
        <w:t>0,698; p</w:t>
      </w:r>
      <w:r w:rsidR="00E62FF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=</w:t>
      </w:r>
      <w:r w:rsidR="00E62FFD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0,001) pre</w:t>
      </w:r>
      <w:r w:rsidR="002B0971" w:rsidRPr="008F7ACD">
        <w:rPr>
          <w:rFonts w:eastAsia="TimesNewRoman"/>
          <w:szCs w:val="22"/>
          <w:lang w:eastAsia="en-US"/>
        </w:rPr>
        <w:t xml:space="preserve"> bortezomib</w:t>
      </w:r>
      <w:r w:rsidRPr="008F7ACD">
        <w:rPr>
          <w:rFonts w:eastAsia="TimesNewRoman"/>
          <w:szCs w:val="22"/>
          <w:lang w:eastAsia="en-US"/>
        </w:rPr>
        <w:t xml:space="preserve"> v kombinácii s dexametazónom </w:t>
      </w:r>
      <w:r w:rsidR="002B0971" w:rsidRPr="008F7ACD">
        <w:rPr>
          <w:rFonts w:eastAsia="TimesNewRoman"/>
          <w:szCs w:val="22"/>
          <w:lang w:eastAsia="en-US"/>
        </w:rPr>
        <w:t>o</w:t>
      </w:r>
      <w:r w:rsidRPr="008F7ACD">
        <w:rPr>
          <w:rFonts w:eastAsia="TimesNewRoman"/>
          <w:szCs w:val="22"/>
          <w:lang w:eastAsia="en-US"/>
        </w:rPr>
        <w:t>proti monoterapii</w:t>
      </w:r>
      <w:r w:rsidR="002B0971" w:rsidRPr="008F7ACD">
        <w:rPr>
          <w:rFonts w:eastAsia="TimesNewRoman"/>
          <w:szCs w:val="22"/>
          <w:lang w:eastAsia="en-US"/>
        </w:rPr>
        <w:t xml:space="preserve"> bortezomibom</w:t>
      </w:r>
      <w:r w:rsidRPr="008F7ACD">
        <w:rPr>
          <w:rFonts w:eastAsia="TimesNewRoman"/>
          <w:szCs w:val="22"/>
          <w:lang w:eastAsia="en-US"/>
        </w:rPr>
        <w:t>.</w:t>
      </w:r>
    </w:p>
    <w:p w:rsidR="002B0971" w:rsidRPr="008F7ACD" w:rsidRDefault="002B0971" w:rsidP="00E32277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E32277" w:rsidRPr="008F7ACD" w:rsidRDefault="00E32277" w:rsidP="00E32277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Údaje o opakovanej liečbe </w:t>
      </w:r>
      <w:r w:rsidR="002B0971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 xml:space="preserve"> pri relapse mnohopočetného myelómu sú obmedzené.</w:t>
      </w:r>
    </w:p>
    <w:p w:rsidR="00E32277" w:rsidRPr="008F7ACD" w:rsidRDefault="00E32277" w:rsidP="00E32277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Štúdia fázy II MMY-2036 (RETRIEVE) bola jednoramenná otvorená štúdia na stanovenie účinnosti a</w:t>
      </w:r>
      <w:r w:rsidR="00907C7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bezpečnosti opakovanej liečby </w:t>
      </w:r>
      <w:r w:rsidR="002B0971" w:rsidRPr="008F7ACD">
        <w:rPr>
          <w:rFonts w:eastAsia="TimesNewRoman"/>
          <w:szCs w:val="22"/>
          <w:lang w:eastAsia="en-US"/>
        </w:rPr>
        <w:t>bortezomibom</w:t>
      </w:r>
      <w:r w:rsidRPr="008F7ACD">
        <w:rPr>
          <w:rFonts w:eastAsia="TimesNewRoman"/>
          <w:szCs w:val="22"/>
          <w:lang w:eastAsia="en-US"/>
        </w:rPr>
        <w:t>. Stotridsať pacientov (vo veku ≥</w:t>
      </w:r>
      <w:r w:rsidR="002B097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18 rokov)</w:t>
      </w:r>
      <w:r w:rsidR="002B097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</w:t>
      </w:r>
      <w:r w:rsidR="002B097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mnohopočetným myelómom, ktorí aspoň čiastočne odpovedali na liečbu obsahujúcu </w:t>
      </w:r>
      <w:r w:rsidR="002B0971" w:rsidRPr="008F7ACD">
        <w:rPr>
          <w:rFonts w:eastAsia="TimesNewRoman"/>
          <w:szCs w:val="22"/>
          <w:lang w:eastAsia="en-US"/>
        </w:rPr>
        <w:t>bortezomib</w:t>
      </w:r>
      <w:r w:rsidRPr="008F7ACD">
        <w:rPr>
          <w:rFonts w:eastAsia="TimesNewRoman"/>
          <w:szCs w:val="22"/>
          <w:lang w:eastAsia="en-US"/>
        </w:rPr>
        <w:t>,</w:t>
      </w:r>
      <w:r w:rsidR="002B097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bolo opakovane liečených po progresii. Najmenej 6 mesiacov po predchádzajúcej liečbe sa začal</w:t>
      </w:r>
      <w:r w:rsidR="002B0971" w:rsidRPr="008F7ACD">
        <w:rPr>
          <w:rFonts w:eastAsia="TimesNewRoman"/>
          <w:szCs w:val="22"/>
          <w:lang w:eastAsia="en-US"/>
        </w:rPr>
        <w:t xml:space="preserve"> bortezomib</w:t>
      </w:r>
      <w:r w:rsidRPr="008F7ACD">
        <w:rPr>
          <w:rFonts w:eastAsia="TimesNewRoman"/>
          <w:szCs w:val="22"/>
          <w:lang w:eastAsia="en-US"/>
        </w:rPr>
        <w:t xml:space="preserve"> podávať v poslednej tolerovanej dávke 1,3</w:t>
      </w:r>
      <w:r w:rsidR="002B097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(n</w:t>
      </w:r>
      <w:r w:rsidR="002B097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=</w:t>
      </w:r>
      <w:r w:rsidR="002B097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93) alebo ≤</w:t>
      </w:r>
      <w:r w:rsidR="002B097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1,0</w:t>
      </w:r>
      <w:r w:rsidR="002B097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(n</w:t>
      </w:r>
      <w:r w:rsidR="008315B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=</w:t>
      </w:r>
      <w:r w:rsidR="008315BF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37) v</w:t>
      </w:r>
      <w:r w:rsidR="00907C7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1.,</w:t>
      </w:r>
      <w:r w:rsidR="002B097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4., 8. a 11. deň každé 3 týždne maximálne 8 cyklov buď v monoterapii alebo spolu s</w:t>
      </w:r>
      <w:r w:rsidR="00907C7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dexametazónom</w:t>
      </w:r>
      <w:r w:rsidR="002B097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 súlade s liečebným štandardom. Dexametazón sa podával v kombinácii s</w:t>
      </w:r>
      <w:r w:rsidR="00907C7B" w:rsidRPr="008F7ACD">
        <w:rPr>
          <w:rFonts w:eastAsia="TimesNewRoman"/>
          <w:szCs w:val="22"/>
          <w:lang w:eastAsia="en-US"/>
        </w:rPr>
        <w:t> </w:t>
      </w:r>
      <w:r w:rsidR="002B0971" w:rsidRPr="008F7ACD">
        <w:rPr>
          <w:rFonts w:eastAsia="TimesNewRoman"/>
          <w:szCs w:val="22"/>
          <w:lang w:eastAsia="en-US"/>
        </w:rPr>
        <w:t xml:space="preserve">bortezomibom </w:t>
      </w:r>
      <w:r w:rsidRPr="008F7ACD">
        <w:rPr>
          <w:rFonts w:eastAsia="TimesNewRoman"/>
          <w:szCs w:val="22"/>
          <w:lang w:eastAsia="en-US"/>
        </w:rPr>
        <w:t>83</w:t>
      </w:r>
      <w:r w:rsidR="002B0971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pacientom v 1. cykle a ďalší 11 pacienti dostávali dexametazón počas opakovaných liečebných</w:t>
      </w:r>
      <w:r w:rsidR="002B0971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cyklov</w:t>
      </w:r>
      <w:r w:rsidR="0032146E" w:rsidRPr="008F7ACD">
        <w:rPr>
          <w:rFonts w:eastAsia="TimesNewRoman"/>
          <w:szCs w:val="22"/>
          <w:lang w:eastAsia="en-US"/>
        </w:rPr>
        <w:t xml:space="preserve"> bortezomibom</w:t>
      </w:r>
      <w:r w:rsidRPr="008F7ACD">
        <w:rPr>
          <w:rFonts w:eastAsia="TimesNewRoman"/>
          <w:szCs w:val="22"/>
          <w:lang w:eastAsia="en-US"/>
        </w:rPr>
        <w:t>.</w:t>
      </w:r>
    </w:p>
    <w:p w:rsidR="00E32277" w:rsidRPr="008F7ACD" w:rsidRDefault="00E32277" w:rsidP="00E32277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Primárnym</w:t>
      </w:r>
      <w:r w:rsidR="0032146E" w:rsidRPr="008F7ACD">
        <w:rPr>
          <w:rFonts w:eastAsia="TimesNewRoman"/>
          <w:szCs w:val="22"/>
          <w:lang w:eastAsia="en-US"/>
        </w:rPr>
        <w:t xml:space="preserve"> koncovým ukazovateľom</w:t>
      </w:r>
      <w:r w:rsidRPr="008F7ACD">
        <w:rPr>
          <w:rFonts w:eastAsia="TimesNewRoman"/>
          <w:szCs w:val="22"/>
          <w:lang w:eastAsia="en-US"/>
        </w:rPr>
        <w:t xml:space="preserve"> bola najlepšia potvrdená odpoveď na opakovanú liečbu podľa kritérií EBMT.</w:t>
      </w:r>
      <w:r w:rsidR="0032146E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Celková najlepšia miera odpovede (CR + PR) na opakovanú liečbu u 130 pacientov bola 38,5</w:t>
      </w:r>
      <w:r w:rsidR="0032146E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(95</w:t>
      </w:r>
      <w:r w:rsidR="0032146E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</w:t>
      </w:r>
      <w:r w:rsidR="0054265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CI: 30,1; 47,4).</w:t>
      </w:r>
    </w:p>
    <w:p w:rsidR="00542657" w:rsidRPr="008F7ACD" w:rsidRDefault="00542657" w:rsidP="00E32277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E32277" w:rsidRPr="008F7ACD" w:rsidRDefault="00E32277" w:rsidP="00E32277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Klinická účinnosť pri doteraz neliečenom lymfóme z plášťových buniek (MCL)</w:t>
      </w:r>
    </w:p>
    <w:p w:rsidR="00E32277" w:rsidRPr="008F7ACD" w:rsidRDefault="00E32277" w:rsidP="00542657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Štúdia LYM-3002 bola randomizovaná otvorená štúdia fázy III porovnávajúca účinnosť a bezpečnosť</w:t>
      </w:r>
      <w:r w:rsidR="0054265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kombinácie </w:t>
      </w:r>
      <w:r w:rsidR="00542657" w:rsidRPr="008F7ACD">
        <w:rPr>
          <w:rFonts w:eastAsia="TimesNewRoman"/>
          <w:szCs w:val="22"/>
          <w:lang w:eastAsia="en-US"/>
        </w:rPr>
        <w:t>bortezomibu</w:t>
      </w:r>
      <w:r w:rsidRPr="008F7ACD">
        <w:rPr>
          <w:rFonts w:eastAsia="TimesNewRoman"/>
          <w:szCs w:val="22"/>
          <w:lang w:eastAsia="en-US"/>
        </w:rPr>
        <w:t>, rituximabu, cyklofosfamidu, doxorubicínu a prednizónu (</w:t>
      </w:r>
      <w:r w:rsidR="00542657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R-CAP; n</w:t>
      </w:r>
      <w:r w:rsidR="00C33ED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=</w:t>
      </w:r>
      <w:r w:rsidR="00C33ED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243)</w:t>
      </w:r>
      <w:r w:rsidR="0054265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 rituximabom, cyklofosfamidom, doxorubicínom, vinkristínom a prednizónom (R-CHOP; n</w:t>
      </w:r>
      <w:r w:rsidR="00C33ED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=</w:t>
      </w:r>
      <w:r w:rsidR="00C33ED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244)</w:t>
      </w:r>
      <w:r w:rsidR="0054265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u</w:t>
      </w:r>
      <w:r w:rsidR="00907C7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dospelých pacientov s doteraz neliečeným MCL (štádium II, III alebo IV). Pacienti v liečenej</w:t>
      </w:r>
      <w:r w:rsidR="0054265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skupine s </w:t>
      </w:r>
      <w:r w:rsidR="00542657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 xml:space="preserve">R-CAP dostávali </w:t>
      </w:r>
      <w:r w:rsidR="00542657" w:rsidRPr="008F7ACD">
        <w:rPr>
          <w:rFonts w:eastAsia="TimesNewRoman"/>
          <w:szCs w:val="22"/>
          <w:lang w:eastAsia="en-US"/>
        </w:rPr>
        <w:t>bortezomib</w:t>
      </w:r>
      <w:r w:rsidRPr="008F7ACD">
        <w:rPr>
          <w:rFonts w:eastAsia="TimesNewRoman"/>
          <w:szCs w:val="22"/>
          <w:lang w:eastAsia="en-US"/>
        </w:rPr>
        <w:t xml:space="preserve"> (1,3</w:t>
      </w:r>
      <w:r w:rsidR="00542657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>; v 1., 4., 8., 11. deň, prestávka v 12.</w:t>
      </w:r>
      <w:r w:rsidR="00907C7B" w:rsidRPr="008F7ACD">
        <w:rPr>
          <w:rFonts w:eastAsia="TimesNewRoman"/>
          <w:szCs w:val="22"/>
          <w:lang w:eastAsia="en-US"/>
        </w:rPr>
        <w:t xml:space="preserve"> –</w:t>
      </w:r>
      <w:r w:rsidR="00C33ED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21. deň),</w:t>
      </w:r>
      <w:r w:rsidR="0054265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rituximab 375</w:t>
      </w:r>
      <w:r w:rsidR="00542657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i.v. v 1. deň; cyklofosfamid 750</w:t>
      </w:r>
      <w:r w:rsidR="00542657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i.v. v 1. deň; doxorubicín 50</w:t>
      </w:r>
      <w:r w:rsidR="00542657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i.v.</w:t>
      </w:r>
      <w:r w:rsidR="0054265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 1. deň a prednizón 100</w:t>
      </w:r>
      <w:r w:rsidR="00542657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perorálne v 1. až 5. deň 21-d</w:t>
      </w:r>
      <w:r w:rsidR="00D34FED" w:rsidRPr="008F7ACD">
        <w:rPr>
          <w:rFonts w:eastAsia="TimesNewRoman"/>
          <w:szCs w:val="22"/>
          <w:lang w:eastAsia="en-US"/>
        </w:rPr>
        <w:t>ňového</w:t>
      </w:r>
      <w:r w:rsidRPr="008F7ACD">
        <w:rPr>
          <w:rFonts w:eastAsia="TimesNewRoman"/>
          <w:szCs w:val="22"/>
          <w:lang w:eastAsia="en-US"/>
        </w:rPr>
        <w:t xml:space="preserve"> terapeutického cyklu </w:t>
      </w:r>
      <w:r w:rsidR="00542657" w:rsidRPr="008F7ACD">
        <w:rPr>
          <w:rFonts w:eastAsia="TimesNewRoman"/>
          <w:szCs w:val="22"/>
          <w:lang w:eastAsia="en-US"/>
        </w:rPr>
        <w:t>s</w:t>
      </w:r>
      <w:r w:rsidR="00D34FED" w:rsidRPr="008F7ACD">
        <w:rPr>
          <w:rFonts w:eastAsia="TimesNewRoman"/>
          <w:szCs w:val="22"/>
          <w:lang w:eastAsia="en-US"/>
        </w:rPr>
        <w:t> </w:t>
      </w:r>
      <w:r w:rsidR="00542657" w:rsidRPr="008F7ACD">
        <w:rPr>
          <w:rFonts w:eastAsia="TimesNewRoman"/>
          <w:szCs w:val="22"/>
          <w:lang w:eastAsia="en-US"/>
        </w:rPr>
        <w:t>bortezomibom. U </w:t>
      </w:r>
      <w:r w:rsidRPr="008F7ACD">
        <w:rPr>
          <w:rFonts w:eastAsia="TimesNewRoman"/>
          <w:szCs w:val="22"/>
          <w:lang w:eastAsia="en-US"/>
        </w:rPr>
        <w:t>pacientov s odpoveďou zaznamenanou po prvýkrát v 6. cykle boli podané dva ďalšie terapeutické</w:t>
      </w:r>
      <w:r w:rsidR="0054265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cykly.</w:t>
      </w:r>
    </w:p>
    <w:p w:rsidR="00E1523D" w:rsidRPr="008F7ACD" w:rsidRDefault="00E1523D" w:rsidP="00E1523D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Primárnym </w:t>
      </w:r>
      <w:r w:rsidR="006E475E" w:rsidRPr="008F7ACD">
        <w:rPr>
          <w:rFonts w:eastAsia="TimesNewRoman"/>
          <w:szCs w:val="22"/>
          <w:lang w:eastAsia="en-US"/>
        </w:rPr>
        <w:t xml:space="preserve">koncovým </w:t>
      </w:r>
      <w:r w:rsidRPr="008F7ACD">
        <w:rPr>
          <w:rFonts w:eastAsia="TimesNewRoman"/>
          <w:szCs w:val="22"/>
          <w:lang w:eastAsia="en-US"/>
        </w:rPr>
        <w:t xml:space="preserve">ukazovateľom účinnosti bolo prežívanie bez progresie založené na hodnotení Nezávislej hodnotiacej komisie (IRC). Sekundárne </w:t>
      </w:r>
      <w:r w:rsidR="006E475E" w:rsidRPr="008F7ACD">
        <w:rPr>
          <w:rFonts w:eastAsia="TimesNewRoman"/>
          <w:szCs w:val="22"/>
          <w:lang w:eastAsia="en-US"/>
        </w:rPr>
        <w:t>koncové ukazovatele</w:t>
      </w:r>
      <w:r w:rsidRPr="008F7ACD">
        <w:rPr>
          <w:rFonts w:eastAsia="TimesNewRoman"/>
          <w:szCs w:val="22"/>
          <w:lang w:eastAsia="en-US"/>
        </w:rPr>
        <w:t xml:space="preserve"> zahŕňali čas do progresie (TTP), čas do ďalšej liečby lymfómu (TNT), trvanie intervalu bez liečby (TFI), celková miera odpovede (ORR) a miera kompletnej odpovede (CR/CRu), celkové prežívanie (OS) a trvanie odpovede.</w:t>
      </w:r>
    </w:p>
    <w:p w:rsidR="006E475E" w:rsidRPr="008F7ACD" w:rsidRDefault="006E475E" w:rsidP="00E1523D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E1523D" w:rsidRPr="008F7ACD" w:rsidRDefault="00E1523D" w:rsidP="00E1523D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Demografické a východiskové charakteristiky ochorenia boli vo všeobecnosti medzi oboma liečenými skupinami vyvážené: stredná hodnota veku pacienta bola 66 rokov, 74 % bolo mužov, 66 % bolo belochov a 32 % aziatov, 69 % pacientov malo pozitívny aspirát kostnej drene a/alebo biopsiu kostnej </w:t>
      </w:r>
      <w:r w:rsidRPr="008F7ACD">
        <w:rPr>
          <w:rFonts w:eastAsia="TimesNewRoman"/>
          <w:szCs w:val="22"/>
          <w:lang w:eastAsia="en-US"/>
        </w:rPr>
        <w:lastRenderedPageBreak/>
        <w:t xml:space="preserve">drene pozitívnu na MCL, 54 % pacientov malo skóre IPI (International Prognostic Index) ≥ 3 a 76 % malo ochorenie v štádiu IV. Trvanie liečby (stredná hodnota = 17 týždňov) a trvanie </w:t>
      </w:r>
      <w:r w:rsidR="006E475E" w:rsidRPr="008F7ACD">
        <w:rPr>
          <w:rFonts w:eastAsia="TimesNewRoman"/>
          <w:szCs w:val="22"/>
          <w:lang w:eastAsia="en-US"/>
        </w:rPr>
        <w:t>sledovania</w:t>
      </w:r>
      <w:r w:rsidRPr="008F7ACD">
        <w:rPr>
          <w:rFonts w:eastAsia="TimesNewRoman"/>
          <w:szCs w:val="22"/>
          <w:lang w:eastAsia="en-US"/>
        </w:rPr>
        <w:t xml:space="preserve"> (stredná hodnota = 40 mesiacov) bolo porovnateľné v oboch liečených skupinách. Medián 6 cyklov bolo podaných pacientom v oboch liečených skupinách, pričom 14 % pacientov v skupine BR-CAP a</w:t>
      </w:r>
      <w:r w:rsidR="00907C7B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17 % pacientov v skupine R-CHOP dostalo ďalšie 2 cykly. Väčšina pacientov v oboch skupinách</w:t>
      </w:r>
      <w:r w:rsidR="0083509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ukončila liečbu, 80</w:t>
      </w:r>
      <w:r w:rsidR="00835097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% v skupine </w:t>
      </w:r>
      <w:r w:rsidR="00835097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R-CAP a 82</w:t>
      </w:r>
      <w:r w:rsidR="00835097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v skupine R-CHOP. Výsledky účinnosti sú uvedené</w:t>
      </w:r>
      <w:r w:rsidR="0083509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v tabuľke 16:</w:t>
      </w:r>
    </w:p>
    <w:p w:rsidR="00835097" w:rsidRPr="008F7ACD" w:rsidRDefault="00835097" w:rsidP="00E1523D">
      <w:pPr>
        <w:ind w:left="0" w:firstLine="0"/>
        <w:rPr>
          <w:rFonts w:eastAsia="TimesNewRoman,Italic"/>
          <w:i/>
          <w:iCs/>
          <w:szCs w:val="22"/>
          <w:lang w:eastAsia="en-US"/>
        </w:rPr>
      </w:pPr>
    </w:p>
    <w:p w:rsidR="00542657" w:rsidRPr="008F7ACD" w:rsidRDefault="00E1523D" w:rsidP="00E1523D">
      <w:pPr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Tabuľka 16: Výsledky účinnosti zo štúdie LYM-3002</w:t>
      </w:r>
    </w:p>
    <w:tbl>
      <w:tblPr>
        <w:tblW w:w="89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93"/>
        <w:gridCol w:w="2590"/>
        <w:gridCol w:w="1808"/>
        <w:gridCol w:w="1985"/>
      </w:tblGrid>
      <w:tr w:rsidR="00B1262A" w:rsidRPr="008F7ACD" w:rsidTr="006D5845">
        <w:trPr>
          <w:tblCellSpacing w:w="0" w:type="dxa"/>
        </w:trPr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253B30" w:rsidP="00253B30">
            <w:pPr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b/>
                <w:bCs/>
                <w:color w:val="000000"/>
                <w:szCs w:val="22"/>
              </w:rPr>
              <w:t>Koncové ukazovatele účinnosti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253B30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b/>
                <w:bCs/>
                <w:color w:val="000000"/>
                <w:szCs w:val="22"/>
                <w:lang w:eastAsia="de-AT"/>
              </w:rPr>
              <w:t>BR-CAP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253B30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b/>
                <w:bCs/>
                <w:color w:val="000000"/>
                <w:szCs w:val="22"/>
                <w:lang w:eastAsia="de-AT"/>
              </w:rPr>
              <w:t>R-CHOP</w:t>
            </w:r>
          </w:p>
        </w:tc>
        <w:tc>
          <w:tcPr>
            <w:tcW w:w="11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  <w:lang w:eastAsia="de-AT"/>
              </w:rPr>
            </w:pPr>
          </w:p>
        </w:tc>
      </w:tr>
      <w:tr w:rsidR="00B1262A" w:rsidRPr="008F7ACD" w:rsidTr="006D5845">
        <w:trPr>
          <w:tblCellSpacing w:w="0" w:type="dxa"/>
        </w:trPr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253B30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 xml:space="preserve">n: </w:t>
            </w:r>
            <w:r w:rsidR="00253B30" w:rsidRPr="008F7ACD">
              <w:rPr>
                <w:color w:val="000000"/>
                <w:szCs w:val="22"/>
                <w:lang w:eastAsia="de-AT"/>
              </w:rPr>
              <w:t xml:space="preserve">pacienti </w:t>
            </w:r>
            <w:r w:rsidRPr="008F7ACD">
              <w:rPr>
                <w:color w:val="000000"/>
                <w:szCs w:val="22"/>
                <w:lang w:eastAsia="de-AT"/>
              </w:rPr>
              <w:t xml:space="preserve">ITT 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253B30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243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253B30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244</w:t>
            </w:r>
          </w:p>
        </w:tc>
        <w:tc>
          <w:tcPr>
            <w:tcW w:w="11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  <w:lang w:eastAsia="de-AT"/>
              </w:rPr>
            </w:pPr>
          </w:p>
        </w:tc>
      </w:tr>
      <w:tr w:rsidR="00B1262A" w:rsidRPr="008F7ACD" w:rsidTr="006D5845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253B30" w:rsidP="006D5845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,Bold"/>
                <w:b/>
                <w:bCs/>
                <w:szCs w:val="22"/>
                <w:lang w:eastAsia="en-US"/>
              </w:rPr>
              <w:t>Prežívanie bez progresie (IRC)</w:t>
            </w:r>
            <w:r w:rsidRPr="008F7ACD">
              <w:rPr>
                <w:rFonts w:eastAsia="TimesNewRoman,Bold"/>
                <w:b/>
                <w:bCs/>
                <w:szCs w:val="22"/>
                <w:vertAlign w:val="superscript"/>
                <w:lang w:eastAsia="en-US"/>
              </w:rPr>
              <w:t>a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253B30" w:rsidP="006D5845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Udalosti n (%)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921368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133 (54</w:t>
            </w:r>
            <w:r w:rsidR="00253B30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>7</w:t>
            </w:r>
            <w:r w:rsidR="00253B30" w:rsidRPr="008F7ACD">
              <w:rPr>
                <w:color w:val="000000"/>
                <w:szCs w:val="22"/>
                <w:lang w:eastAsia="de-AT"/>
              </w:rPr>
              <w:t> </w:t>
            </w:r>
            <w:r w:rsidRPr="008F7ACD">
              <w:rPr>
                <w:color w:val="000000"/>
                <w:szCs w:val="22"/>
                <w:lang w:eastAsia="de-AT"/>
              </w:rPr>
              <w:t>%)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921368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165 (67</w:t>
            </w:r>
            <w:r w:rsidR="00253B30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>6</w:t>
            </w:r>
            <w:r w:rsidR="00253B30" w:rsidRPr="008F7ACD">
              <w:rPr>
                <w:color w:val="000000"/>
                <w:szCs w:val="22"/>
                <w:lang w:eastAsia="de-AT"/>
              </w:rPr>
              <w:t> </w:t>
            </w:r>
            <w:r w:rsidRPr="008F7ACD">
              <w:rPr>
                <w:color w:val="000000"/>
                <w:szCs w:val="22"/>
                <w:lang w:eastAsia="de-AT"/>
              </w:rPr>
              <w:t>%)</w:t>
            </w:r>
          </w:p>
        </w:tc>
        <w:tc>
          <w:tcPr>
            <w:tcW w:w="11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253B30">
            <w:pPr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HR</w:t>
            </w:r>
            <w:r w:rsidRPr="008F7ACD">
              <w:rPr>
                <w:color w:val="000000"/>
                <w:szCs w:val="22"/>
                <w:vertAlign w:val="superscript"/>
                <w:lang w:eastAsia="de-AT"/>
              </w:rPr>
              <w:t>b</w:t>
            </w:r>
            <w:r w:rsidRPr="008F7ACD">
              <w:rPr>
                <w:color w:val="000000"/>
                <w:szCs w:val="22"/>
                <w:lang w:eastAsia="de-AT"/>
              </w:rPr>
              <w:t xml:space="preserve"> (95</w:t>
            </w:r>
            <w:r w:rsidR="00225393" w:rsidRPr="008F7ACD">
              <w:rPr>
                <w:color w:val="000000"/>
                <w:szCs w:val="22"/>
                <w:lang w:eastAsia="de-AT"/>
              </w:rPr>
              <w:t xml:space="preserve"> </w:t>
            </w:r>
            <w:r w:rsidRPr="008F7ACD">
              <w:rPr>
                <w:color w:val="000000"/>
                <w:szCs w:val="22"/>
                <w:lang w:eastAsia="de-AT"/>
              </w:rPr>
              <w:t>% CI)</w:t>
            </w:r>
            <w:r w:rsidR="00BA0EA3" w:rsidRPr="008F7ACD">
              <w:rPr>
                <w:color w:val="000000"/>
                <w:szCs w:val="22"/>
                <w:lang w:eastAsia="de-AT"/>
              </w:rPr>
              <w:t xml:space="preserve"> </w:t>
            </w:r>
            <w:r w:rsidRPr="008F7ACD">
              <w:rPr>
                <w:color w:val="000000"/>
                <w:szCs w:val="22"/>
                <w:lang w:eastAsia="de-AT"/>
              </w:rPr>
              <w:t>=</w:t>
            </w:r>
            <w:r w:rsidR="00BA0EA3" w:rsidRPr="008F7ACD">
              <w:rPr>
                <w:color w:val="000000"/>
                <w:szCs w:val="22"/>
                <w:lang w:eastAsia="de-AT"/>
              </w:rPr>
              <w:t xml:space="preserve"> </w:t>
            </w:r>
            <w:r w:rsidRPr="008F7ACD">
              <w:rPr>
                <w:color w:val="000000"/>
                <w:szCs w:val="22"/>
                <w:lang w:eastAsia="de-AT"/>
              </w:rPr>
              <w:t>0</w:t>
            </w:r>
            <w:r w:rsidR="00253B30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>63 (0</w:t>
            </w:r>
            <w:r w:rsidR="00253B30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>50; 0</w:t>
            </w:r>
            <w:r w:rsidR="00253B30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 xml:space="preserve">79) </w:t>
            </w:r>
          </w:p>
          <w:p w:rsidR="00B1262A" w:rsidRPr="008F7ACD" w:rsidRDefault="00B1262A" w:rsidP="00253B30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p-</w:t>
            </w:r>
            <w:r w:rsidR="00253B30" w:rsidRPr="008F7ACD">
              <w:rPr>
                <w:color w:val="000000"/>
                <w:szCs w:val="22"/>
                <w:lang w:eastAsia="de-AT"/>
              </w:rPr>
              <w:t>hodnota</w:t>
            </w:r>
            <w:r w:rsidRPr="008F7ACD">
              <w:rPr>
                <w:color w:val="000000"/>
                <w:szCs w:val="22"/>
                <w:vertAlign w:val="superscript"/>
                <w:lang w:eastAsia="de-AT"/>
              </w:rPr>
              <w:t xml:space="preserve">d </w:t>
            </w:r>
            <w:r w:rsidRPr="008F7ACD">
              <w:rPr>
                <w:color w:val="000000"/>
                <w:szCs w:val="22"/>
                <w:lang w:eastAsia="de-AT"/>
              </w:rPr>
              <w:t>&lt;</w:t>
            </w:r>
            <w:r w:rsidR="00253B30" w:rsidRPr="008F7ACD">
              <w:rPr>
                <w:color w:val="000000"/>
                <w:szCs w:val="22"/>
                <w:lang w:eastAsia="de-AT"/>
              </w:rPr>
              <w:t> </w:t>
            </w:r>
            <w:r w:rsidRPr="008F7ACD">
              <w:rPr>
                <w:color w:val="000000"/>
                <w:szCs w:val="22"/>
                <w:lang w:eastAsia="de-AT"/>
              </w:rPr>
              <w:t>0</w:t>
            </w:r>
            <w:r w:rsidR="00253B30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 xml:space="preserve">001 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253B30" w:rsidP="00253B30">
            <w:pPr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Stredná hodnota</w:t>
            </w:r>
            <w:r w:rsidR="00B1262A" w:rsidRPr="008F7ACD">
              <w:rPr>
                <w:color w:val="000000"/>
                <w:szCs w:val="22"/>
                <w:vertAlign w:val="superscript"/>
                <w:lang w:eastAsia="de-AT"/>
              </w:rPr>
              <w:t>c</w:t>
            </w:r>
            <w:r w:rsidR="003D483F" w:rsidRPr="008F7ACD">
              <w:rPr>
                <w:color w:val="000000"/>
                <w:szCs w:val="22"/>
                <w:vertAlign w:val="superscript"/>
                <w:lang w:eastAsia="de-AT"/>
              </w:rPr>
              <w:t xml:space="preserve"> </w:t>
            </w:r>
            <w:r w:rsidR="00B1262A" w:rsidRPr="008F7ACD">
              <w:rPr>
                <w:color w:val="000000"/>
                <w:szCs w:val="22"/>
                <w:lang w:eastAsia="de-AT"/>
              </w:rPr>
              <w:t>(95% CI) (m</w:t>
            </w:r>
            <w:r w:rsidRPr="008F7ACD">
              <w:rPr>
                <w:color w:val="000000"/>
                <w:szCs w:val="22"/>
                <w:lang w:eastAsia="de-AT"/>
              </w:rPr>
              <w:t>esiace</w:t>
            </w:r>
            <w:r w:rsidR="00B1262A" w:rsidRPr="008F7ACD">
              <w:rPr>
                <w:color w:val="000000"/>
                <w:szCs w:val="22"/>
                <w:lang w:eastAsia="de-AT"/>
              </w:rPr>
              <w:t xml:space="preserve">) 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921368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24</w:t>
            </w:r>
            <w:r w:rsidR="00253B30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>7 (19</w:t>
            </w:r>
            <w:r w:rsidR="00253B30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>8; 31</w:t>
            </w:r>
            <w:r w:rsidR="00253B30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>8)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921368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14</w:t>
            </w:r>
            <w:r w:rsidR="00253B30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>4 (12; 16</w:t>
            </w:r>
            <w:r w:rsidR="00253B30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>9)</w:t>
            </w:r>
          </w:p>
        </w:tc>
        <w:tc>
          <w:tcPr>
            <w:tcW w:w="11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  <w:lang w:eastAsia="de-AT"/>
              </w:rPr>
            </w:pPr>
          </w:p>
        </w:tc>
      </w:tr>
      <w:tr w:rsidR="00B1262A" w:rsidRPr="008F7ACD" w:rsidTr="006D5845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253B30" w:rsidP="00253B30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b/>
                <w:bCs/>
                <w:color w:val="000000"/>
                <w:szCs w:val="22"/>
                <w:lang w:eastAsia="de-AT"/>
              </w:rPr>
              <w:t>Miera odpovede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253B30" w:rsidP="00D34FED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"/>
                <w:szCs w:val="22"/>
                <w:lang w:eastAsia="en-US"/>
              </w:rPr>
              <w:t>n: pacienti s hodnot</w:t>
            </w:r>
            <w:r w:rsidR="00D34FED" w:rsidRPr="008F7ACD">
              <w:rPr>
                <w:rFonts w:eastAsia="TimesNewRoman"/>
                <w:szCs w:val="22"/>
                <w:lang w:eastAsia="en-US"/>
              </w:rPr>
              <w:t>iteľ</w:t>
            </w:r>
            <w:r w:rsidRPr="008F7ACD">
              <w:rPr>
                <w:rFonts w:eastAsia="TimesNewRoman"/>
                <w:szCs w:val="22"/>
                <w:lang w:eastAsia="en-US"/>
              </w:rPr>
              <w:t>nou</w:t>
            </w:r>
            <w:r w:rsidR="00921368" w:rsidRPr="008F7ACD">
              <w:rPr>
                <w:rFonts w:eastAsia="TimesNewRoman"/>
                <w:szCs w:val="22"/>
                <w:lang w:eastAsia="en-US"/>
              </w:rPr>
              <w:t xml:space="preserve"> </w:t>
            </w:r>
            <w:r w:rsidRPr="008F7ACD">
              <w:rPr>
                <w:rFonts w:eastAsia="TimesNewRoman"/>
                <w:szCs w:val="22"/>
                <w:lang w:eastAsia="en-US"/>
              </w:rPr>
              <w:t>odpoveďou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921368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229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921368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228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6D5845">
            <w:pPr>
              <w:rPr>
                <w:color w:val="000000"/>
                <w:szCs w:val="22"/>
                <w:lang w:eastAsia="de-AT"/>
              </w:rPr>
            </w:pPr>
          </w:p>
        </w:tc>
      </w:tr>
      <w:tr w:rsidR="00B1262A" w:rsidRPr="008F7ACD" w:rsidTr="006D5845">
        <w:trPr>
          <w:tblCellSpacing w:w="0" w:type="dxa"/>
        </w:trPr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B30" w:rsidRPr="008F7ACD" w:rsidRDefault="00253B30" w:rsidP="00253B30">
            <w:pPr>
              <w:autoSpaceDE w:val="0"/>
              <w:autoSpaceDN w:val="0"/>
              <w:adjustRightInd w:val="0"/>
              <w:ind w:left="0" w:firstLine="0"/>
              <w:rPr>
                <w:rFonts w:eastAsia="TimesNewRoman,Italic"/>
                <w:i/>
                <w:iCs/>
                <w:szCs w:val="22"/>
                <w:lang w:eastAsia="en-US"/>
              </w:rPr>
            </w:pPr>
            <w:r w:rsidRPr="008F7ACD">
              <w:rPr>
                <w:rFonts w:eastAsia="TimesNewRoman,Italic"/>
                <w:i/>
                <w:iCs/>
                <w:szCs w:val="22"/>
                <w:lang w:eastAsia="en-US"/>
              </w:rPr>
              <w:t>Celková kompletná odpoveď</w:t>
            </w:r>
          </w:p>
          <w:p w:rsidR="00B1262A" w:rsidRPr="008F7ACD" w:rsidRDefault="00253B30" w:rsidP="00253B30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,Italic"/>
                <w:i/>
                <w:iCs/>
                <w:szCs w:val="22"/>
                <w:lang w:eastAsia="en-US"/>
              </w:rPr>
              <w:t>(CR+C</w:t>
            </w:r>
            <w:r w:rsidR="00507185" w:rsidRPr="008F7ACD">
              <w:rPr>
                <w:rFonts w:eastAsia="TimesNewRoman,Italic"/>
                <w:i/>
                <w:iCs/>
                <w:szCs w:val="22"/>
                <w:lang w:eastAsia="en-US"/>
              </w:rPr>
              <w:t>R</w:t>
            </w:r>
            <w:r w:rsidRPr="008F7ACD">
              <w:rPr>
                <w:rFonts w:eastAsia="TimesNewRoman,Italic"/>
                <w:i/>
                <w:iCs/>
                <w:szCs w:val="22"/>
                <w:lang w:eastAsia="en-US"/>
              </w:rPr>
              <w:t>u</w:t>
            </w:r>
            <w:r w:rsidR="00507185" w:rsidRPr="008F7ACD">
              <w:rPr>
                <w:rFonts w:eastAsia="TimesNewRoman,Italic"/>
                <w:i/>
                <w:iCs/>
                <w:szCs w:val="22"/>
                <w:lang w:eastAsia="en-US"/>
              </w:rPr>
              <w:t>)</w:t>
            </w:r>
            <w:r w:rsidRPr="008F7ACD">
              <w:rPr>
                <w:rFonts w:eastAsia="TimesNewRoman,Italic"/>
                <w:i/>
                <w:iCs/>
                <w:szCs w:val="22"/>
                <w:vertAlign w:val="superscript"/>
                <w:lang w:eastAsia="en-US"/>
              </w:rPr>
              <w:t>f</w:t>
            </w:r>
            <w:r w:rsidRPr="008F7ACD">
              <w:rPr>
                <w:rFonts w:eastAsia="TimesNewRoman,Italic"/>
                <w:i/>
                <w:iCs/>
                <w:szCs w:val="22"/>
                <w:lang w:eastAsia="en-US"/>
              </w:rPr>
              <w:t xml:space="preserve"> n(%)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921368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122 (53</w:t>
            </w:r>
            <w:r w:rsidR="00921368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>3</w:t>
            </w:r>
            <w:r w:rsidR="00225393" w:rsidRPr="008F7ACD">
              <w:rPr>
                <w:color w:val="000000"/>
                <w:szCs w:val="22"/>
                <w:lang w:eastAsia="de-AT"/>
              </w:rPr>
              <w:t xml:space="preserve"> </w:t>
            </w:r>
            <w:r w:rsidRPr="008F7ACD">
              <w:rPr>
                <w:color w:val="000000"/>
                <w:szCs w:val="22"/>
                <w:lang w:eastAsia="de-AT"/>
              </w:rPr>
              <w:t>%)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921368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95 (41</w:t>
            </w:r>
            <w:r w:rsidR="00921368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>7</w:t>
            </w:r>
            <w:r w:rsidR="00225393" w:rsidRPr="008F7ACD">
              <w:rPr>
                <w:color w:val="000000"/>
                <w:szCs w:val="22"/>
                <w:lang w:eastAsia="de-AT"/>
              </w:rPr>
              <w:t xml:space="preserve"> </w:t>
            </w:r>
            <w:r w:rsidRPr="008F7ACD">
              <w:rPr>
                <w:color w:val="000000"/>
                <w:szCs w:val="22"/>
                <w:lang w:eastAsia="de-AT"/>
              </w:rPr>
              <w:t>%)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921368">
            <w:pPr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OR</w:t>
            </w:r>
            <w:r w:rsidRPr="008F7ACD">
              <w:rPr>
                <w:color w:val="000000"/>
                <w:szCs w:val="22"/>
                <w:vertAlign w:val="superscript"/>
                <w:lang w:eastAsia="de-AT"/>
              </w:rPr>
              <w:t>e</w:t>
            </w:r>
            <w:r w:rsidRPr="008F7ACD">
              <w:rPr>
                <w:color w:val="000000"/>
                <w:szCs w:val="22"/>
                <w:lang w:eastAsia="de-AT"/>
              </w:rPr>
              <w:t xml:space="preserve"> (95% CI)</w:t>
            </w:r>
            <w:r w:rsidR="00794D3C" w:rsidRPr="008F7ACD">
              <w:rPr>
                <w:color w:val="000000"/>
                <w:szCs w:val="22"/>
                <w:lang w:eastAsia="de-AT"/>
              </w:rPr>
              <w:t xml:space="preserve"> </w:t>
            </w:r>
            <w:r w:rsidRPr="008F7ACD">
              <w:rPr>
                <w:color w:val="000000"/>
                <w:szCs w:val="22"/>
                <w:lang w:eastAsia="de-AT"/>
              </w:rPr>
              <w:t>=</w:t>
            </w:r>
            <w:r w:rsidR="00794D3C" w:rsidRPr="008F7ACD">
              <w:rPr>
                <w:color w:val="000000"/>
                <w:szCs w:val="22"/>
                <w:lang w:eastAsia="de-AT"/>
              </w:rPr>
              <w:t xml:space="preserve"> </w:t>
            </w:r>
            <w:r w:rsidRPr="008F7ACD">
              <w:rPr>
                <w:color w:val="000000"/>
                <w:szCs w:val="22"/>
                <w:lang w:eastAsia="de-AT"/>
              </w:rPr>
              <w:t>1</w:t>
            </w:r>
            <w:r w:rsidR="00921368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>688 (1</w:t>
            </w:r>
            <w:r w:rsidR="00921368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>148; 2</w:t>
            </w:r>
            <w:r w:rsidR="00921368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 xml:space="preserve">481) </w:t>
            </w:r>
          </w:p>
          <w:p w:rsidR="00B1262A" w:rsidRPr="008F7ACD" w:rsidRDefault="00B1262A" w:rsidP="00921368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p-</w:t>
            </w:r>
            <w:r w:rsidR="00921368" w:rsidRPr="008F7ACD">
              <w:rPr>
                <w:color w:val="000000"/>
                <w:szCs w:val="22"/>
                <w:lang w:eastAsia="de-AT"/>
              </w:rPr>
              <w:t>hodnota</w:t>
            </w:r>
            <w:r w:rsidRPr="008F7ACD">
              <w:rPr>
                <w:color w:val="000000"/>
                <w:szCs w:val="22"/>
                <w:vertAlign w:val="superscript"/>
                <w:lang w:eastAsia="de-AT"/>
              </w:rPr>
              <w:t>g</w:t>
            </w:r>
            <w:r w:rsidR="00794D3C" w:rsidRPr="008F7ACD">
              <w:rPr>
                <w:color w:val="000000"/>
                <w:szCs w:val="22"/>
                <w:vertAlign w:val="superscript"/>
                <w:lang w:eastAsia="de-AT"/>
              </w:rPr>
              <w:t xml:space="preserve"> </w:t>
            </w:r>
            <w:r w:rsidRPr="008F7ACD">
              <w:rPr>
                <w:color w:val="000000"/>
                <w:szCs w:val="22"/>
                <w:lang w:eastAsia="de-AT"/>
              </w:rPr>
              <w:t>=</w:t>
            </w:r>
            <w:r w:rsidR="00794D3C" w:rsidRPr="008F7ACD">
              <w:rPr>
                <w:color w:val="000000"/>
                <w:szCs w:val="22"/>
                <w:lang w:eastAsia="de-AT"/>
              </w:rPr>
              <w:t xml:space="preserve"> </w:t>
            </w:r>
            <w:r w:rsidRPr="008F7ACD">
              <w:rPr>
                <w:color w:val="000000"/>
                <w:szCs w:val="22"/>
                <w:lang w:eastAsia="de-AT"/>
              </w:rPr>
              <w:t>0</w:t>
            </w:r>
            <w:r w:rsidR="00921368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 xml:space="preserve">007 </w:t>
            </w:r>
          </w:p>
        </w:tc>
      </w:tr>
      <w:tr w:rsidR="00B1262A" w:rsidRPr="008F7ACD" w:rsidTr="006D5845">
        <w:trPr>
          <w:tblCellSpacing w:w="0" w:type="dxa"/>
        </w:trPr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368" w:rsidRPr="008F7ACD" w:rsidRDefault="00921368" w:rsidP="00921368">
            <w:pPr>
              <w:autoSpaceDE w:val="0"/>
              <w:autoSpaceDN w:val="0"/>
              <w:adjustRightInd w:val="0"/>
              <w:ind w:left="0" w:firstLine="0"/>
              <w:rPr>
                <w:rFonts w:eastAsia="TimesNewRoman,Italic"/>
                <w:i/>
                <w:iCs/>
                <w:szCs w:val="22"/>
                <w:lang w:eastAsia="en-US"/>
              </w:rPr>
            </w:pPr>
            <w:r w:rsidRPr="008F7ACD">
              <w:rPr>
                <w:rFonts w:eastAsia="TimesNewRoman,Italic"/>
                <w:i/>
                <w:iCs/>
                <w:szCs w:val="22"/>
                <w:lang w:eastAsia="en-US"/>
              </w:rPr>
              <w:t>Celková odpoveď</w:t>
            </w:r>
          </w:p>
          <w:p w:rsidR="00B1262A" w:rsidRPr="008F7ACD" w:rsidRDefault="00921368" w:rsidP="00921368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rFonts w:eastAsia="TimesNewRoman,Italic"/>
                <w:i/>
                <w:iCs/>
                <w:szCs w:val="22"/>
                <w:lang w:eastAsia="en-US"/>
              </w:rPr>
              <w:t>(CR+CRu+P</w:t>
            </w:r>
            <w:r w:rsidR="00091173" w:rsidRPr="008F7ACD">
              <w:rPr>
                <w:rFonts w:eastAsia="TimesNewRoman,Italic"/>
                <w:i/>
                <w:iCs/>
                <w:szCs w:val="22"/>
                <w:lang w:eastAsia="en-US"/>
              </w:rPr>
              <w:t>R)</w:t>
            </w:r>
            <w:r w:rsidRPr="008F7ACD">
              <w:rPr>
                <w:rFonts w:eastAsia="TimesNewRoman,Italic"/>
                <w:i/>
                <w:iCs/>
                <w:szCs w:val="22"/>
                <w:vertAlign w:val="superscript"/>
                <w:lang w:eastAsia="en-US"/>
              </w:rPr>
              <w:t>h</w:t>
            </w:r>
            <w:r w:rsidRPr="008F7ACD">
              <w:rPr>
                <w:rFonts w:eastAsia="TimesNewRoman,Italic"/>
                <w:i/>
                <w:iCs/>
                <w:szCs w:val="22"/>
                <w:lang w:eastAsia="en-US"/>
              </w:rPr>
              <w:t xml:space="preserve"> n(%)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921368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211 (92</w:t>
            </w:r>
            <w:r w:rsidR="00921368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>1</w:t>
            </w:r>
            <w:r w:rsidR="00225393" w:rsidRPr="008F7ACD">
              <w:rPr>
                <w:color w:val="000000"/>
                <w:szCs w:val="22"/>
                <w:lang w:eastAsia="de-AT"/>
              </w:rPr>
              <w:t xml:space="preserve"> </w:t>
            </w:r>
            <w:r w:rsidRPr="008F7ACD">
              <w:rPr>
                <w:color w:val="000000"/>
                <w:szCs w:val="22"/>
                <w:lang w:eastAsia="de-AT"/>
              </w:rPr>
              <w:t>%)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921368">
            <w:pPr>
              <w:jc w:val="center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204 (89</w:t>
            </w:r>
            <w:r w:rsidR="00921368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>5</w:t>
            </w:r>
            <w:r w:rsidR="00225393" w:rsidRPr="008F7ACD">
              <w:rPr>
                <w:color w:val="000000"/>
                <w:szCs w:val="22"/>
                <w:lang w:eastAsia="de-AT"/>
              </w:rPr>
              <w:t xml:space="preserve"> </w:t>
            </w:r>
            <w:r w:rsidRPr="008F7ACD">
              <w:rPr>
                <w:color w:val="000000"/>
                <w:szCs w:val="22"/>
                <w:lang w:eastAsia="de-AT"/>
              </w:rPr>
              <w:t>%)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62A" w:rsidRPr="008F7ACD" w:rsidRDefault="00B1262A" w:rsidP="00921368">
            <w:pPr>
              <w:ind w:left="0" w:firstLine="0"/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OR</w:t>
            </w:r>
            <w:r w:rsidRPr="008F7ACD">
              <w:rPr>
                <w:color w:val="000000"/>
                <w:szCs w:val="22"/>
                <w:vertAlign w:val="superscript"/>
                <w:lang w:eastAsia="de-AT"/>
              </w:rPr>
              <w:t xml:space="preserve">e </w:t>
            </w:r>
            <w:r w:rsidRPr="008F7ACD">
              <w:rPr>
                <w:color w:val="000000"/>
                <w:szCs w:val="22"/>
                <w:lang w:eastAsia="de-AT"/>
              </w:rPr>
              <w:t>(95% CI)</w:t>
            </w:r>
            <w:r w:rsidR="00794D3C" w:rsidRPr="008F7ACD">
              <w:rPr>
                <w:color w:val="000000"/>
                <w:szCs w:val="22"/>
                <w:lang w:eastAsia="de-AT"/>
              </w:rPr>
              <w:t xml:space="preserve"> </w:t>
            </w:r>
            <w:r w:rsidRPr="008F7ACD">
              <w:rPr>
                <w:b/>
                <w:bCs/>
                <w:color w:val="000000"/>
                <w:szCs w:val="22"/>
                <w:lang w:eastAsia="de-AT"/>
              </w:rPr>
              <w:t>=</w:t>
            </w:r>
            <w:r w:rsidR="00794D3C" w:rsidRPr="008F7ACD">
              <w:rPr>
                <w:b/>
                <w:bCs/>
                <w:color w:val="000000"/>
                <w:szCs w:val="22"/>
                <w:lang w:eastAsia="de-AT"/>
              </w:rPr>
              <w:t xml:space="preserve"> </w:t>
            </w:r>
            <w:r w:rsidRPr="008F7ACD">
              <w:rPr>
                <w:color w:val="000000"/>
                <w:szCs w:val="22"/>
                <w:lang w:eastAsia="de-AT"/>
              </w:rPr>
              <w:t>1</w:t>
            </w:r>
            <w:r w:rsidR="00921368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>428 (0</w:t>
            </w:r>
            <w:r w:rsidR="00921368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>749; 2</w:t>
            </w:r>
            <w:r w:rsidR="00921368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 xml:space="preserve">722) </w:t>
            </w:r>
          </w:p>
          <w:p w:rsidR="00B1262A" w:rsidRPr="008F7ACD" w:rsidRDefault="00B1262A" w:rsidP="00921368">
            <w:pPr>
              <w:rPr>
                <w:color w:val="000000"/>
                <w:szCs w:val="22"/>
                <w:lang w:eastAsia="de-AT"/>
              </w:rPr>
            </w:pPr>
            <w:r w:rsidRPr="008F7ACD">
              <w:rPr>
                <w:color w:val="000000"/>
                <w:szCs w:val="22"/>
                <w:lang w:eastAsia="de-AT"/>
              </w:rPr>
              <w:t>p-</w:t>
            </w:r>
            <w:r w:rsidR="00921368" w:rsidRPr="008F7ACD">
              <w:rPr>
                <w:color w:val="000000"/>
                <w:szCs w:val="22"/>
                <w:lang w:eastAsia="de-AT"/>
              </w:rPr>
              <w:t>hodnota</w:t>
            </w:r>
            <w:r w:rsidRPr="008F7ACD">
              <w:rPr>
                <w:color w:val="000000"/>
                <w:szCs w:val="22"/>
                <w:vertAlign w:val="superscript"/>
                <w:lang w:eastAsia="de-AT"/>
              </w:rPr>
              <w:t>g</w:t>
            </w:r>
            <w:r w:rsidR="00794D3C" w:rsidRPr="008F7ACD">
              <w:rPr>
                <w:color w:val="000000"/>
                <w:szCs w:val="22"/>
                <w:vertAlign w:val="superscript"/>
                <w:lang w:eastAsia="de-AT"/>
              </w:rPr>
              <w:t xml:space="preserve"> </w:t>
            </w:r>
            <w:r w:rsidRPr="008F7ACD">
              <w:rPr>
                <w:b/>
                <w:bCs/>
                <w:color w:val="000000"/>
                <w:szCs w:val="22"/>
                <w:lang w:eastAsia="de-AT"/>
              </w:rPr>
              <w:t>=</w:t>
            </w:r>
            <w:r w:rsidR="00794D3C" w:rsidRPr="008F7ACD">
              <w:rPr>
                <w:b/>
                <w:bCs/>
                <w:color w:val="000000"/>
                <w:szCs w:val="22"/>
                <w:lang w:eastAsia="de-AT"/>
              </w:rPr>
              <w:t xml:space="preserve"> </w:t>
            </w:r>
            <w:r w:rsidRPr="008F7ACD">
              <w:rPr>
                <w:color w:val="000000"/>
                <w:szCs w:val="22"/>
                <w:lang w:eastAsia="de-AT"/>
              </w:rPr>
              <w:t>0</w:t>
            </w:r>
            <w:r w:rsidR="00921368" w:rsidRPr="008F7ACD">
              <w:rPr>
                <w:color w:val="000000"/>
                <w:szCs w:val="22"/>
                <w:lang w:eastAsia="de-AT"/>
              </w:rPr>
              <w:t>,</w:t>
            </w:r>
            <w:r w:rsidRPr="008F7ACD">
              <w:rPr>
                <w:color w:val="000000"/>
                <w:szCs w:val="22"/>
                <w:lang w:eastAsia="de-AT"/>
              </w:rPr>
              <w:t xml:space="preserve">275 </w:t>
            </w:r>
          </w:p>
        </w:tc>
      </w:tr>
    </w:tbl>
    <w:p w:rsidR="00921368" w:rsidRPr="008F7ACD" w:rsidRDefault="00921368" w:rsidP="0092136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a</w:t>
      </w:r>
      <w:r w:rsidRPr="008F7ACD">
        <w:rPr>
          <w:rFonts w:eastAsia="TimesNewRoman"/>
          <w:szCs w:val="22"/>
          <w:lang w:eastAsia="en-US"/>
        </w:rPr>
        <w:t xml:space="preserve"> Na základe hodnotenia Nezávislou hodnotiacou komisiou (IRC) (len rádiografické údaje).</w:t>
      </w:r>
    </w:p>
    <w:p w:rsidR="00921368" w:rsidRPr="008F7ACD" w:rsidRDefault="00921368" w:rsidP="0092136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 xml:space="preserve"> Odhad </w:t>
      </w:r>
      <w:r w:rsidR="007021FD" w:rsidRPr="008F7ACD">
        <w:rPr>
          <w:rFonts w:eastAsia="TimesNewRoman"/>
          <w:szCs w:val="22"/>
          <w:lang w:eastAsia="en-US"/>
        </w:rPr>
        <w:t>miery rizika</w:t>
      </w:r>
      <w:r w:rsidRPr="008F7ACD">
        <w:rPr>
          <w:rFonts w:eastAsia="TimesNewRoman"/>
          <w:szCs w:val="22"/>
          <w:lang w:eastAsia="en-US"/>
        </w:rPr>
        <w:t xml:space="preserve"> je založený na Coxovom modeli stratifikovanom podľa rizika IPI a štádia ochorenia. </w:t>
      </w:r>
      <w:r w:rsidR="00952AA8" w:rsidRPr="008F7ACD">
        <w:rPr>
          <w:rFonts w:eastAsia="TimesNewRoman"/>
          <w:szCs w:val="22"/>
          <w:lang w:eastAsia="en-US"/>
        </w:rPr>
        <w:t>Miera rizika</w:t>
      </w:r>
      <w:r w:rsidRPr="008F7ACD">
        <w:rPr>
          <w:rFonts w:eastAsia="TimesNewRoman"/>
          <w:szCs w:val="22"/>
          <w:lang w:eastAsia="en-US"/>
        </w:rPr>
        <w:t xml:space="preserve"> &lt; 1 naznačuje výhodu pre BR-CAP.</w:t>
      </w:r>
    </w:p>
    <w:p w:rsidR="00921368" w:rsidRPr="008F7ACD" w:rsidRDefault="00921368" w:rsidP="0092136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 xml:space="preserve">c </w:t>
      </w:r>
      <w:r w:rsidRPr="008F7ACD">
        <w:rPr>
          <w:rFonts w:eastAsia="TimesNewRoman"/>
          <w:szCs w:val="22"/>
          <w:lang w:eastAsia="en-US"/>
        </w:rPr>
        <w:t>Na základe Kaplanovho-Meierovho odhadu funkcie prežitia.</w:t>
      </w:r>
    </w:p>
    <w:p w:rsidR="00921368" w:rsidRPr="008F7ACD" w:rsidRDefault="00921368" w:rsidP="0092136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d</w:t>
      </w:r>
      <w:r w:rsidRPr="008F7ACD">
        <w:rPr>
          <w:rFonts w:eastAsia="TimesNewRoman"/>
          <w:szCs w:val="22"/>
          <w:lang w:eastAsia="en-US"/>
        </w:rPr>
        <w:t xml:space="preserve"> Na základe log rank testu stratifikovanom podľa rizika IPI a štádia ochorenia.</w:t>
      </w:r>
    </w:p>
    <w:p w:rsidR="00921368" w:rsidRPr="008F7ACD" w:rsidRDefault="00921368" w:rsidP="0092136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e</w:t>
      </w:r>
      <w:r w:rsidRPr="008F7ACD">
        <w:rPr>
          <w:rFonts w:eastAsia="TimesNewRoman"/>
          <w:szCs w:val="22"/>
          <w:lang w:eastAsia="en-US"/>
        </w:rPr>
        <w:t xml:space="preserve"> Použil sa Mantelov-Haenszelov odhad bežného</w:t>
      </w:r>
      <w:r w:rsidR="00F61C8C" w:rsidRPr="008F7ACD">
        <w:rPr>
          <w:rFonts w:eastAsia="TimesNewRoman"/>
          <w:szCs w:val="22"/>
          <w:lang w:eastAsia="en-US"/>
        </w:rPr>
        <w:t xml:space="preserve"> pomeru pravdepodobnosti</w:t>
      </w:r>
      <w:r w:rsidRPr="008F7ACD">
        <w:rPr>
          <w:rFonts w:eastAsia="TimesNewRoman"/>
          <w:szCs w:val="22"/>
          <w:lang w:eastAsia="en-US"/>
        </w:rPr>
        <w:t xml:space="preserve"> pre stratifikované tabuľky, s IPI rizikom a štádiom ochorenia ako stratifikačnými faktormi. </w:t>
      </w:r>
      <w:r w:rsidR="00681452" w:rsidRPr="008F7ACD">
        <w:rPr>
          <w:rFonts w:eastAsia="TimesNewRoman"/>
          <w:szCs w:val="22"/>
          <w:lang w:eastAsia="en-US"/>
        </w:rPr>
        <w:t xml:space="preserve">Miera pravdepodobnosti </w:t>
      </w:r>
      <w:r w:rsidRPr="008F7ACD">
        <w:rPr>
          <w:rFonts w:eastAsia="TimesNewRoman"/>
          <w:szCs w:val="22"/>
          <w:lang w:eastAsia="en-US"/>
        </w:rPr>
        <w:t>(OR) &gt; 1 naznačuje výhodu pre BR-CAP.</w:t>
      </w:r>
    </w:p>
    <w:p w:rsidR="00921368" w:rsidRPr="008F7ACD" w:rsidRDefault="00921368" w:rsidP="0092136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f</w:t>
      </w:r>
      <w:r w:rsidRPr="008F7ACD">
        <w:rPr>
          <w:rFonts w:eastAsia="TimesNewRoman"/>
          <w:szCs w:val="22"/>
          <w:lang w:eastAsia="en-US"/>
        </w:rPr>
        <w:t xml:space="preserve"> Zahŕňa všetky CR + CRu, podľa IRC, kostnej drene a LDH.</w:t>
      </w:r>
    </w:p>
    <w:p w:rsidR="00921368" w:rsidRPr="008F7ACD" w:rsidRDefault="00921368" w:rsidP="0092136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 xml:space="preserve">g </w:t>
      </w:r>
      <w:r w:rsidRPr="008F7ACD">
        <w:rPr>
          <w:rFonts w:eastAsia="TimesNewRoman"/>
          <w:szCs w:val="22"/>
          <w:lang w:eastAsia="en-US"/>
        </w:rPr>
        <w:t>P-hodnota z Cochranovho Mantelovho-Haenszelovho chí-kvadrant testu, s IPI rizikom a štádiom ochorenia ako stratifikačnými faktormi.</w:t>
      </w:r>
    </w:p>
    <w:p w:rsidR="00921368" w:rsidRPr="008F7ACD" w:rsidRDefault="00921368" w:rsidP="0092136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vertAlign w:val="superscript"/>
          <w:lang w:eastAsia="en-US"/>
        </w:rPr>
        <w:t>h</w:t>
      </w:r>
      <w:r w:rsidRPr="008F7ACD">
        <w:rPr>
          <w:rFonts w:eastAsia="TimesNewRoman"/>
          <w:szCs w:val="22"/>
          <w:lang w:eastAsia="en-US"/>
        </w:rPr>
        <w:t xml:space="preserve"> Zahŕňa všetky rádiografické CR+CRu+PR podľa IRC bez ohľadu na overenie podľa kostnej drene a LDH.</w:t>
      </w:r>
    </w:p>
    <w:p w:rsidR="00921368" w:rsidRPr="008F7ACD" w:rsidRDefault="00921368" w:rsidP="0092136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CR = kompletná odpoveď; CRu = kompletná odpoveď nepotvrdená; PR = čiastočná odpoveď; </w:t>
      </w:r>
    </w:p>
    <w:p w:rsidR="00B1262A" w:rsidRPr="008F7ACD" w:rsidRDefault="00921368" w:rsidP="0092136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CI = interval spoľahlivosti, HR = </w:t>
      </w:r>
      <w:r w:rsidR="009F7C22" w:rsidRPr="008F7ACD">
        <w:rPr>
          <w:rFonts w:eastAsia="TimesNewRoman"/>
          <w:szCs w:val="22"/>
          <w:lang w:eastAsia="en-US"/>
        </w:rPr>
        <w:t>miera rizika</w:t>
      </w:r>
      <w:r w:rsidR="0017266F" w:rsidRPr="008F7ACD">
        <w:rPr>
          <w:rFonts w:eastAsia="TimesNewRoman"/>
          <w:szCs w:val="22"/>
          <w:lang w:eastAsia="en-US"/>
        </w:rPr>
        <w:t xml:space="preserve"> (z angl. hazard ratio)</w:t>
      </w:r>
      <w:r w:rsidRPr="008F7ACD">
        <w:rPr>
          <w:rFonts w:eastAsia="TimesNewRoman"/>
          <w:szCs w:val="22"/>
          <w:lang w:eastAsia="en-US"/>
        </w:rPr>
        <w:t xml:space="preserve">; OR = </w:t>
      </w:r>
      <w:r w:rsidR="0017266F" w:rsidRPr="008F7ACD">
        <w:rPr>
          <w:rFonts w:eastAsia="TimesNewRoman"/>
          <w:szCs w:val="22"/>
          <w:lang w:eastAsia="en-US"/>
        </w:rPr>
        <w:t>pomer pravdepodobnosti (z angl. odds ratio)</w:t>
      </w:r>
      <w:r w:rsidRPr="008F7ACD">
        <w:rPr>
          <w:rFonts w:eastAsia="TimesNewRoman"/>
          <w:szCs w:val="22"/>
          <w:lang w:eastAsia="en-US"/>
        </w:rPr>
        <w:t>; ITT = s úmyslom liečby (z angl. intention to treat)</w:t>
      </w:r>
    </w:p>
    <w:p w:rsidR="00921368" w:rsidRPr="008F7ACD" w:rsidRDefault="00921368" w:rsidP="00921368">
      <w:pPr>
        <w:autoSpaceDE w:val="0"/>
        <w:autoSpaceDN w:val="0"/>
        <w:adjustRightInd w:val="0"/>
        <w:ind w:left="0" w:firstLine="0"/>
        <w:rPr>
          <w:b/>
          <w:szCs w:val="22"/>
          <w:u w:val="single"/>
        </w:rPr>
      </w:pPr>
    </w:p>
    <w:p w:rsidR="00D47819" w:rsidRPr="008F7ACD" w:rsidRDefault="00D47819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Stredná hodnota PFS bola podľa posúdenia skúšajúceho 30,7 mesiacov v skupine </w:t>
      </w:r>
      <w:r w:rsidR="000863BA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R-CAP a</w:t>
      </w:r>
      <w:r w:rsidR="000863BA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16,1</w:t>
      </w:r>
      <w:r w:rsidR="000863BA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mesiacov v skupine R-CHOP (</w:t>
      </w:r>
      <w:r w:rsidR="001C1979" w:rsidRPr="008F7ACD">
        <w:rPr>
          <w:rFonts w:eastAsia="TimesNewRoman"/>
          <w:szCs w:val="22"/>
          <w:lang w:eastAsia="en-US"/>
        </w:rPr>
        <w:t>miera rizika</w:t>
      </w:r>
      <w:r w:rsidRPr="008F7ACD">
        <w:rPr>
          <w:rFonts w:eastAsia="TimesNewRoman"/>
          <w:szCs w:val="22"/>
          <w:lang w:eastAsia="en-US"/>
        </w:rPr>
        <w:t xml:space="preserve"> [HR]</w:t>
      </w:r>
      <w:r w:rsidR="0013429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=</w:t>
      </w:r>
      <w:r w:rsidR="0013429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0,51; p &lt;</w:t>
      </w:r>
      <w:r w:rsidR="000863BA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0,001). Štatisticky významný prínos</w:t>
      </w:r>
      <w:r w:rsidR="000863BA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(p &lt;</w:t>
      </w:r>
      <w:r w:rsidR="000863BA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0,001) v prospech skupiny liečenej </w:t>
      </w:r>
      <w:r w:rsidR="000863BA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R-CAP v porovnaní so skupinou R-CHOP bol pozorovaný</w:t>
      </w:r>
      <w:r w:rsidR="000863BA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pre TTP (stredná hodnota 30,5 </w:t>
      </w:r>
      <w:r w:rsidR="000863BA" w:rsidRPr="008F7ACD">
        <w:rPr>
          <w:rFonts w:eastAsia="TimesNewRoman"/>
          <w:szCs w:val="22"/>
          <w:lang w:eastAsia="en-US"/>
        </w:rPr>
        <w:t>oproti</w:t>
      </w:r>
      <w:r w:rsidRPr="008F7ACD">
        <w:rPr>
          <w:rFonts w:eastAsia="TimesNewRoman"/>
          <w:szCs w:val="22"/>
          <w:lang w:eastAsia="en-US"/>
        </w:rPr>
        <w:t xml:space="preserve"> 16,1 mesiacov), TNT (stredná hodnota 44,5</w:t>
      </w:r>
      <w:r w:rsidR="000934F2" w:rsidRPr="008F7ACD">
        <w:rPr>
          <w:rFonts w:eastAsia="TimesNewRoman"/>
          <w:szCs w:val="22"/>
          <w:lang w:eastAsia="en-US"/>
        </w:rPr>
        <w:t xml:space="preserve"> </w:t>
      </w:r>
      <w:r w:rsidR="000863BA" w:rsidRPr="008F7ACD">
        <w:rPr>
          <w:rFonts w:eastAsia="TimesNewRoman"/>
          <w:szCs w:val="22"/>
          <w:lang w:eastAsia="en-US"/>
        </w:rPr>
        <w:t>oproti 24,8 m</w:t>
      </w:r>
      <w:r w:rsidRPr="008F7ACD">
        <w:rPr>
          <w:rFonts w:eastAsia="TimesNewRoman"/>
          <w:szCs w:val="22"/>
          <w:lang w:eastAsia="en-US"/>
        </w:rPr>
        <w:t xml:space="preserve">esiacov) a TFI (stredná hodnota 40,6 </w:t>
      </w:r>
      <w:r w:rsidR="000863BA" w:rsidRPr="008F7ACD">
        <w:rPr>
          <w:rFonts w:eastAsia="TimesNewRoman"/>
          <w:szCs w:val="22"/>
          <w:lang w:eastAsia="en-US"/>
        </w:rPr>
        <w:t>oproti</w:t>
      </w:r>
      <w:r w:rsidRPr="008F7ACD">
        <w:rPr>
          <w:rFonts w:eastAsia="TimesNewRoman"/>
          <w:szCs w:val="22"/>
          <w:lang w:eastAsia="en-US"/>
        </w:rPr>
        <w:t xml:space="preserve"> 20,5 mesiacov). Stredná hodnota trvania</w:t>
      </w:r>
      <w:r w:rsidR="000863BA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kompletnej odpovede bola 42,1 mesiacov v skupine </w:t>
      </w:r>
      <w:r w:rsidR="000863BA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R-CAP v porovnaní s 18 mesiacmi v</w:t>
      </w:r>
      <w:r w:rsidR="000863BA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skupine</w:t>
      </w:r>
      <w:r w:rsidR="000863BA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R</w:t>
      </w:r>
      <w:r w:rsidR="000863BA" w:rsidRPr="008F7ACD">
        <w:rPr>
          <w:rFonts w:eastAsia="TimesNewRoman"/>
          <w:szCs w:val="22"/>
          <w:lang w:eastAsia="en-US"/>
        </w:rPr>
        <w:noBreakHyphen/>
      </w:r>
      <w:r w:rsidRPr="008F7ACD">
        <w:rPr>
          <w:rFonts w:eastAsia="TimesNewRoman"/>
          <w:szCs w:val="22"/>
          <w:lang w:eastAsia="en-US"/>
        </w:rPr>
        <w:t xml:space="preserve">CHOP. Trvanie celkovej odpovede bolo o 21,4 mesiacov dlhšie v skupine </w:t>
      </w:r>
      <w:r w:rsidR="000863BA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R-CAP (stredná</w:t>
      </w:r>
      <w:r w:rsidR="000863BA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hodnota 36,5 mesiacov </w:t>
      </w:r>
      <w:r w:rsidR="000863BA" w:rsidRPr="008F7ACD">
        <w:rPr>
          <w:rFonts w:eastAsia="TimesNewRoman"/>
          <w:szCs w:val="22"/>
          <w:lang w:eastAsia="en-US"/>
        </w:rPr>
        <w:t>oproti</w:t>
      </w:r>
      <w:r w:rsidRPr="008F7ACD">
        <w:rPr>
          <w:rFonts w:eastAsia="TimesNewRoman"/>
          <w:szCs w:val="22"/>
          <w:lang w:eastAsia="en-US"/>
        </w:rPr>
        <w:t xml:space="preserve"> 15,1 mesiacov v skupine R-CHOP). Pri strednej hodnote trvania</w:t>
      </w:r>
      <w:r w:rsidR="000863BA" w:rsidRPr="008F7ACD">
        <w:rPr>
          <w:rFonts w:eastAsia="TimesNewRoman"/>
          <w:szCs w:val="22"/>
          <w:lang w:eastAsia="en-US"/>
        </w:rPr>
        <w:t xml:space="preserve"> </w:t>
      </w:r>
      <w:r w:rsidR="00E57AEA" w:rsidRPr="008F7ACD">
        <w:rPr>
          <w:rFonts w:eastAsia="TimesNewRoman"/>
          <w:szCs w:val="22"/>
          <w:lang w:eastAsia="en-US"/>
        </w:rPr>
        <w:t>sledovania</w:t>
      </w:r>
      <w:r w:rsidRPr="008F7ACD">
        <w:rPr>
          <w:rFonts w:eastAsia="TimesNewRoman"/>
          <w:szCs w:val="22"/>
          <w:lang w:eastAsia="en-US"/>
        </w:rPr>
        <w:t xml:space="preserve"> 40 mesiacov, stredná hodnota OS (56,3 mesiacov v skupine R-CHOP a v skupine </w:t>
      </w:r>
      <w:r w:rsidR="000863BA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R-CAP</w:t>
      </w:r>
      <w:r w:rsidR="000863BA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nebol</w:t>
      </w:r>
      <w:r w:rsidR="00D34FED" w:rsidRPr="008F7ACD">
        <w:rPr>
          <w:rFonts w:eastAsia="TimesNewRoman"/>
          <w:szCs w:val="22"/>
          <w:lang w:eastAsia="en-US"/>
        </w:rPr>
        <w:t>a</w:t>
      </w:r>
      <w:r w:rsidRPr="008F7ACD">
        <w:rPr>
          <w:rFonts w:eastAsia="TimesNewRoman"/>
          <w:szCs w:val="22"/>
          <w:lang w:eastAsia="en-US"/>
        </w:rPr>
        <w:t xml:space="preserve"> dosiahnut</w:t>
      </w:r>
      <w:r w:rsidR="00D34FED" w:rsidRPr="008F7ACD">
        <w:rPr>
          <w:rFonts w:eastAsia="TimesNewRoman"/>
          <w:szCs w:val="22"/>
          <w:lang w:eastAsia="en-US"/>
        </w:rPr>
        <w:t>á</w:t>
      </w:r>
      <w:r w:rsidRPr="008F7ACD">
        <w:rPr>
          <w:rFonts w:eastAsia="TimesNewRoman"/>
          <w:szCs w:val="22"/>
          <w:lang w:eastAsia="en-US"/>
        </w:rPr>
        <w:t xml:space="preserve">) bola v prospech skupiny </w:t>
      </w:r>
      <w:r w:rsidR="000863BA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R-CAP (odhad HR = 0,80; p = 0,173). Zaznamenal sa</w:t>
      </w:r>
      <w:r w:rsidR="000863BA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lastRenderedPageBreak/>
        <w:t xml:space="preserve">trend smerom k predĺženému celkovému prežívaniu v prospech skupiny </w:t>
      </w:r>
      <w:r w:rsidR="000863BA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R-CAP; odhadovaná</w:t>
      </w:r>
      <w:r w:rsidR="000863BA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miera 4-ročného prežívania bola 53,9</w:t>
      </w:r>
      <w:r w:rsidR="000863BA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v skupine R-CHOP a 64,4</w:t>
      </w:r>
      <w:r w:rsidR="000863BA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% v skupine </w:t>
      </w:r>
      <w:r w:rsidR="000863BA" w:rsidRPr="008F7ACD">
        <w:rPr>
          <w:rFonts w:eastAsia="TimesNewRoman"/>
          <w:szCs w:val="22"/>
          <w:lang w:eastAsia="en-US"/>
        </w:rPr>
        <w:t>B</w:t>
      </w:r>
      <w:r w:rsidRPr="008F7ACD">
        <w:rPr>
          <w:rFonts w:eastAsia="TimesNewRoman"/>
          <w:szCs w:val="22"/>
          <w:lang w:eastAsia="en-US"/>
        </w:rPr>
        <w:t>R-CAP.</w:t>
      </w:r>
    </w:p>
    <w:p w:rsidR="000863BA" w:rsidRPr="008F7ACD" w:rsidRDefault="000863BA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D47819" w:rsidRPr="008F7ACD" w:rsidRDefault="00D47819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Pacienti, u ktorých bola predtým liečená amyloidóza ľahkých reťazcov (AL - light-chain)</w:t>
      </w:r>
    </w:p>
    <w:p w:rsidR="00D47819" w:rsidRPr="008F7ACD" w:rsidRDefault="00D47819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Vykonala sa </w:t>
      </w:r>
      <w:r w:rsidR="00D34FED" w:rsidRPr="008F7ACD">
        <w:rPr>
          <w:rFonts w:eastAsia="TimesNewRoman"/>
          <w:szCs w:val="22"/>
          <w:lang w:eastAsia="en-US"/>
        </w:rPr>
        <w:t xml:space="preserve">otvorená nerandomizovaná </w:t>
      </w:r>
      <w:r w:rsidRPr="008F7ACD">
        <w:rPr>
          <w:rFonts w:eastAsia="TimesNewRoman"/>
          <w:szCs w:val="22"/>
          <w:lang w:eastAsia="en-US"/>
        </w:rPr>
        <w:t xml:space="preserve">klinická štúdia fázy I/II na stanovenie bezpečnosti a účinnosti </w:t>
      </w:r>
      <w:r w:rsidR="00115538" w:rsidRPr="008F7ACD">
        <w:rPr>
          <w:rFonts w:eastAsia="TimesNewRoman"/>
          <w:szCs w:val="22"/>
          <w:lang w:eastAsia="en-US"/>
        </w:rPr>
        <w:t xml:space="preserve">bortezomibu </w:t>
      </w:r>
      <w:r w:rsidRPr="008F7ACD">
        <w:rPr>
          <w:rFonts w:eastAsia="TimesNewRoman"/>
          <w:szCs w:val="22"/>
          <w:lang w:eastAsia="en-US"/>
        </w:rPr>
        <w:t>u pacientov, u ktorých bola predtým liečená amyloidóza ľahkých reťazcov (AL - light-chain). Počas</w:t>
      </w:r>
      <w:r w:rsidR="00115538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štúdie sa nepozorovali žiadne nové bezpečnostné riziká a hlavne </w:t>
      </w:r>
      <w:r w:rsidR="00115538" w:rsidRPr="008F7ACD">
        <w:rPr>
          <w:rFonts w:eastAsia="TimesNewRoman"/>
          <w:szCs w:val="22"/>
          <w:lang w:eastAsia="en-US"/>
        </w:rPr>
        <w:t>bortezomib</w:t>
      </w:r>
      <w:r w:rsidRPr="008F7ACD">
        <w:rPr>
          <w:rFonts w:eastAsia="TimesNewRoman"/>
          <w:szCs w:val="22"/>
          <w:lang w:eastAsia="en-US"/>
        </w:rPr>
        <w:t xml:space="preserve"> ne</w:t>
      </w:r>
      <w:r w:rsidR="00D34FED" w:rsidRPr="008F7ACD">
        <w:rPr>
          <w:rFonts w:eastAsia="TimesNewRoman"/>
          <w:szCs w:val="22"/>
          <w:lang w:eastAsia="en-US"/>
        </w:rPr>
        <w:t>zhoršoval</w:t>
      </w:r>
      <w:r w:rsidR="00115538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poškodenie cieľového orgánu (srdce, obličky a pečeň). </w:t>
      </w:r>
      <w:r w:rsidR="00EF515E" w:rsidRPr="008F7ACD">
        <w:rPr>
          <w:rFonts w:eastAsia="TimesNewRoman"/>
          <w:szCs w:val="22"/>
          <w:lang w:eastAsia="en-US"/>
        </w:rPr>
        <w:t>V prieskumnej analýze účinnosti bola u</w:t>
      </w:r>
      <w:r w:rsidRPr="008F7ACD">
        <w:rPr>
          <w:rFonts w:eastAsia="TimesNewRoman"/>
          <w:szCs w:val="22"/>
          <w:lang w:eastAsia="en-US"/>
        </w:rPr>
        <w:t xml:space="preserve"> 49 hodnotených pacientov, ktorým sa</w:t>
      </w:r>
      <w:r w:rsidR="00115538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podával</w:t>
      </w:r>
      <w:r w:rsidR="00D34FED" w:rsidRPr="008F7ACD">
        <w:rPr>
          <w:rFonts w:eastAsia="TimesNewRoman"/>
          <w:szCs w:val="22"/>
          <w:lang w:eastAsia="en-US"/>
        </w:rPr>
        <w:t>a maximálna povolená dávka</w:t>
      </w:r>
      <w:r w:rsidRPr="008F7ACD">
        <w:rPr>
          <w:rFonts w:eastAsia="TimesNewRoman"/>
          <w:szCs w:val="22"/>
          <w:lang w:eastAsia="en-US"/>
        </w:rPr>
        <w:t xml:space="preserve"> 1,6</w:t>
      </w:r>
      <w:r w:rsidR="00115538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jedenkrát za týždeň a 1,3</w:t>
      </w:r>
      <w:r w:rsidR="00115538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dvakrát za</w:t>
      </w:r>
      <w:r w:rsidR="00C6294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týždeň, dosiahnutá 67,3</w:t>
      </w:r>
      <w:r w:rsidR="00115538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% </w:t>
      </w:r>
      <w:r w:rsidR="00EF515E" w:rsidRPr="008F7ACD">
        <w:rPr>
          <w:rFonts w:eastAsia="TimesNewRoman"/>
          <w:szCs w:val="22"/>
          <w:lang w:eastAsia="en-US"/>
        </w:rPr>
        <w:t>miera</w:t>
      </w:r>
      <w:r w:rsidR="00115538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odpove</w:t>
      </w:r>
      <w:r w:rsidR="00EF515E" w:rsidRPr="008F7ACD">
        <w:rPr>
          <w:rFonts w:eastAsia="TimesNewRoman"/>
          <w:szCs w:val="22"/>
          <w:lang w:eastAsia="en-US"/>
        </w:rPr>
        <w:t>de</w:t>
      </w:r>
      <w:r w:rsidRPr="008F7ACD">
        <w:rPr>
          <w:rFonts w:eastAsia="TimesNewRoman"/>
          <w:szCs w:val="22"/>
          <w:lang w:eastAsia="en-US"/>
        </w:rPr>
        <w:t xml:space="preserve"> (vrátane 28,6</w:t>
      </w:r>
      <w:r w:rsidR="00115538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% </w:t>
      </w:r>
      <w:r w:rsidR="00EF515E" w:rsidRPr="008F7ACD">
        <w:rPr>
          <w:rFonts w:eastAsia="TimesNewRoman"/>
          <w:szCs w:val="22"/>
          <w:lang w:eastAsia="en-US"/>
        </w:rPr>
        <w:t>miery úplnej odpovede</w:t>
      </w:r>
      <w:r w:rsidRPr="008F7ACD">
        <w:rPr>
          <w:rFonts w:eastAsia="TimesNewRoman"/>
          <w:szCs w:val="22"/>
          <w:lang w:eastAsia="en-US"/>
        </w:rPr>
        <w:t xml:space="preserve"> (CR)) na</w:t>
      </w:r>
      <w:r w:rsidR="00C6294F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základe merania hematologickej odpovede (M</w:t>
      </w:r>
      <w:r w:rsidR="0021304F" w:rsidRPr="008F7ACD">
        <w:rPr>
          <w:rFonts w:eastAsia="TimesNewRoman"/>
          <w:szCs w:val="22"/>
          <w:lang w:eastAsia="en-US"/>
        </w:rPr>
        <w:t>-</w:t>
      </w:r>
      <w:r w:rsidRPr="008F7ACD">
        <w:rPr>
          <w:rFonts w:eastAsia="TimesNewRoman"/>
          <w:szCs w:val="22"/>
          <w:lang w:eastAsia="en-US"/>
        </w:rPr>
        <w:t>proteín).</w:t>
      </w:r>
      <w:r w:rsidR="00115538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Pri týchto dávkach bolo kombinované 1-ročné prežívanie 88,1</w:t>
      </w:r>
      <w:r w:rsidR="00115538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%.</w:t>
      </w:r>
    </w:p>
    <w:p w:rsidR="00115538" w:rsidRPr="008F7ACD" w:rsidRDefault="00115538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D47819" w:rsidRPr="008F7ACD" w:rsidRDefault="00D47819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Pediatrická populácia</w:t>
      </w:r>
    </w:p>
    <w:p w:rsidR="00D47819" w:rsidRPr="008F7ACD" w:rsidRDefault="00D47819" w:rsidP="006456B7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Európska agentúra pre lieky udelila výnimku z povinnosti predložiť výsledky štúdií s</w:t>
      </w:r>
      <w:r w:rsidR="006456B7" w:rsidRPr="008F7ACD">
        <w:rPr>
          <w:rFonts w:eastAsia="TimesNewRoman"/>
          <w:szCs w:val="22"/>
          <w:lang w:eastAsia="en-US"/>
        </w:rPr>
        <w:t xml:space="preserve"> bortezomibom</w:t>
      </w:r>
      <w:r w:rsidRPr="008F7ACD">
        <w:rPr>
          <w:rFonts w:eastAsia="TimesNewRoman"/>
          <w:szCs w:val="22"/>
          <w:lang w:eastAsia="en-US"/>
        </w:rPr>
        <w:t xml:space="preserve"> vo všetkých podskupinách pediatrickej populácie </w:t>
      </w:r>
      <w:r w:rsidR="00D34FED" w:rsidRPr="008F7ACD">
        <w:rPr>
          <w:rFonts w:eastAsia="TimesNewRoman"/>
          <w:szCs w:val="22"/>
          <w:lang w:eastAsia="en-US"/>
        </w:rPr>
        <w:t>pre</w:t>
      </w:r>
      <w:r w:rsidRPr="008F7ACD">
        <w:rPr>
          <w:rFonts w:eastAsia="TimesNewRoman"/>
          <w:szCs w:val="22"/>
          <w:lang w:eastAsia="en-US"/>
        </w:rPr>
        <w:t xml:space="preserve"> indikáci</w:t>
      </w:r>
      <w:r w:rsidR="00D34FED" w:rsidRPr="008F7ACD">
        <w:rPr>
          <w:rFonts w:eastAsia="TimesNewRoman"/>
          <w:szCs w:val="22"/>
          <w:lang w:eastAsia="en-US"/>
        </w:rPr>
        <w:t>u</w:t>
      </w:r>
      <w:r w:rsidRPr="008F7ACD">
        <w:rPr>
          <w:rFonts w:eastAsia="TimesNewRoman"/>
          <w:szCs w:val="22"/>
          <w:lang w:eastAsia="en-US"/>
        </w:rPr>
        <w:t xml:space="preserve"> mnohopočetný myelóm</w:t>
      </w:r>
      <w:r w:rsidR="006456B7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a lymfóm z</w:t>
      </w:r>
      <w:r w:rsidR="00D34FED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plášťových buniek (informácie o použití v pediatrickej populácii, pozri časť 4.2).</w:t>
      </w:r>
    </w:p>
    <w:p w:rsidR="00D34FED" w:rsidRPr="008F7ACD" w:rsidRDefault="00D34FED" w:rsidP="006456B7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FC32B4" w:rsidRPr="008F7ACD" w:rsidRDefault="00FC32B4" w:rsidP="00FC32B4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8F7ACD">
        <w:rPr>
          <w:color w:val="000000"/>
          <w:szCs w:val="22"/>
        </w:rPr>
        <w:t>Štúdia fázy II s jednou skupinou sledujúca aktivitu, bezpečnosť a farmakokinetiku, ktorú vykonala Children’s Oncology Group, hodnotila aktivitu spôsobenú pridaním bortezomibu k opakovanej indukčnej chemoterapii viacerými látkami u pediatrických a mladých dospelých pacientov s</w:t>
      </w:r>
      <w:r w:rsidR="00D34FED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lymfatickými malignitami (pre-B bunková akútna lymfoblastická leukémia [ALL], T-bunková ALL a</w:t>
      </w:r>
      <w:r w:rsidR="00D34FED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 xml:space="preserve">T-bunkový lymfoblastický lymfóm [LL]). Účinná opakovaná indukčná chemoterapia viacerými látkami bola podávaná v 3 blokoch. Bortezomib bol podávaný iba v Blokoch 1 a 2, aby sa predišlo potenciálnemu prekrytiu toxicít so </w:t>
      </w:r>
      <w:r w:rsidR="00EF515E" w:rsidRPr="008F7ACD">
        <w:rPr>
          <w:color w:val="000000"/>
          <w:szCs w:val="22"/>
        </w:rPr>
        <w:t>súbežne</w:t>
      </w:r>
      <w:r w:rsidRPr="008F7ACD">
        <w:rPr>
          <w:color w:val="000000"/>
          <w:szCs w:val="22"/>
        </w:rPr>
        <w:t xml:space="preserve"> podávanými liekmi v Bloku 3.</w:t>
      </w:r>
    </w:p>
    <w:p w:rsidR="00FC32B4" w:rsidRPr="008F7ACD" w:rsidRDefault="00FC32B4" w:rsidP="00FC32B4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:rsidR="00FC32B4" w:rsidRPr="008F7ACD" w:rsidRDefault="00FC32B4" w:rsidP="00FC32B4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8F7ACD">
        <w:rPr>
          <w:color w:val="000000"/>
          <w:szCs w:val="22"/>
        </w:rPr>
        <w:t>Kompletná odpoveď (CR) bola hodnotená na konci Bloku 1. U pacientov s B-ALL s relapsom do 18 mesiacov od diagnózy (n = 27) bola miera CR 67 % (95 % CI: 46, 84); miera 4-mesačného prežívania bez ochorenia bola 44 % (95% CI: 26, 62). U pacientov s B-ALL s relapsom 18</w:t>
      </w:r>
      <w:r w:rsidR="00321960" w:rsidRPr="008F7ACD">
        <w:rPr>
          <w:color w:val="000000"/>
          <w:szCs w:val="22"/>
        </w:rPr>
        <w:t xml:space="preserve"> – </w:t>
      </w:r>
      <w:r w:rsidRPr="008F7ACD">
        <w:rPr>
          <w:color w:val="000000"/>
          <w:szCs w:val="22"/>
        </w:rPr>
        <w:t>36 mesiacov od</w:t>
      </w:r>
      <w:r w:rsidR="00321960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diagnózy (n = 33) bola miera CR 79 % (95 % CI: 61, 91) a miera 4-mesačného prežívania bez</w:t>
      </w:r>
      <w:r w:rsidR="00321960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ochorenia bola 73 % (95 % CI: 54, 85). Miera CR u pacientov s prvým relapsom T-bunkovej ALL (n = 22) bola 68 % (95 % CI: 45, 86) a miera 4-mesačného prežívania bez ochorenia bola 67 % (95 % CI: 42, 83). Hlásené údaje o účinnosti sa považujú za nepreukázateľné (pozri časť 4.2).</w:t>
      </w:r>
    </w:p>
    <w:p w:rsidR="00FC32B4" w:rsidRPr="008F7ACD" w:rsidRDefault="00FC32B4" w:rsidP="00FC32B4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:rsidR="001E7D3E" w:rsidRPr="008F7ACD" w:rsidRDefault="00FC32B4" w:rsidP="001E7D3E">
      <w:pPr>
        <w:ind w:left="0" w:firstLine="0"/>
        <w:rPr>
          <w:color w:val="000000"/>
          <w:szCs w:val="22"/>
        </w:rPr>
      </w:pPr>
      <w:r w:rsidRPr="008F7ACD">
        <w:rPr>
          <w:color w:val="000000"/>
          <w:szCs w:val="22"/>
        </w:rPr>
        <w:t>140 pacientov s ALL alebo LL bolo zaradených a hodnotených z hľadiska bezpečnosti; medián veku 10 rokov (rozp</w:t>
      </w:r>
      <w:r w:rsidR="00D34FED" w:rsidRPr="008F7ACD">
        <w:rPr>
          <w:color w:val="000000"/>
          <w:szCs w:val="22"/>
        </w:rPr>
        <w:t>ä</w:t>
      </w:r>
      <w:r w:rsidRPr="008F7ACD">
        <w:rPr>
          <w:color w:val="000000"/>
          <w:szCs w:val="22"/>
        </w:rPr>
        <w:t xml:space="preserve">tie 1 až 26). Neboli pozorované žiadne nové bezpečnostné riziká, keď sa </w:t>
      </w:r>
      <w:r w:rsidR="00141808" w:rsidRPr="008F7ACD">
        <w:rPr>
          <w:color w:val="000000"/>
          <w:szCs w:val="22"/>
        </w:rPr>
        <w:t>bo</w:t>
      </w:r>
      <w:r w:rsidRPr="008F7ACD">
        <w:rPr>
          <w:color w:val="000000"/>
          <w:szCs w:val="22"/>
        </w:rPr>
        <w:t>rtezomib pridal k štandardnému pediatrickému základnému režimu chemoterapie pre pre-B bunkovú ALL. Nasledovné nežiaduce reakcie (≥</w:t>
      </w:r>
      <w:r w:rsidR="00141808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3. stupňa) boli pozorované s vyššou incidenciou v liečebnom režime obsahujú</w:t>
      </w:r>
      <w:r w:rsidR="00141808" w:rsidRPr="008F7ACD">
        <w:rPr>
          <w:color w:val="000000"/>
          <w:szCs w:val="22"/>
        </w:rPr>
        <w:t>com bo</w:t>
      </w:r>
      <w:r w:rsidRPr="008F7ACD">
        <w:rPr>
          <w:color w:val="000000"/>
          <w:szCs w:val="22"/>
        </w:rPr>
        <w:t>rtezomib v porovnaní s historickou kontrolnou štúdiou, v ktorej sa základný režim podával samostatne: v Bloku 1 periférna senzorická neuropatia (3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% oproti 0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%); ileus (2,1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% oproti 0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%); hypoxia (8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% oproti 2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 xml:space="preserve">%). V tejto štúdii neboli k dispozícii žiadne informácie o možných následkoch alebo mierach </w:t>
      </w:r>
      <w:r w:rsidR="00D34FED" w:rsidRPr="008F7ACD">
        <w:rPr>
          <w:color w:val="000000"/>
          <w:szCs w:val="22"/>
        </w:rPr>
        <w:t>vy</w:t>
      </w:r>
      <w:r w:rsidRPr="008F7ACD">
        <w:rPr>
          <w:color w:val="000000"/>
          <w:szCs w:val="22"/>
        </w:rPr>
        <w:t>miznutia periférnej neuropatie. Vyššie incidencie boli tiež zaznamenané v</w:t>
      </w:r>
      <w:r w:rsidR="00C6294F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prípade infekcií s neutropéniou ≥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3. stupňa (24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% oproti 19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% v Bloku 1 a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22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% op</w:t>
      </w:r>
      <w:r w:rsidR="00D34FED" w:rsidRPr="008F7ACD">
        <w:rPr>
          <w:color w:val="000000"/>
          <w:szCs w:val="22"/>
        </w:rPr>
        <w:t>r</w:t>
      </w:r>
      <w:r w:rsidRPr="008F7ACD">
        <w:rPr>
          <w:color w:val="000000"/>
          <w:szCs w:val="22"/>
        </w:rPr>
        <w:t>oti 11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% v Bloku 2), zvýšenia ALT (17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% oproti 8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% v Bloku 2), hypokaliémie (18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% oproti 6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% v Bloku 1 a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21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% oproti 12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% v Bloku 2) a hyponatriémie (12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% oproti 5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% v Bloku 1 a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>4</w:t>
      </w:r>
      <w:r w:rsidR="001E7D3E" w:rsidRPr="008F7ACD">
        <w:rPr>
          <w:color w:val="000000"/>
          <w:szCs w:val="22"/>
        </w:rPr>
        <w:t> </w:t>
      </w:r>
      <w:r w:rsidRPr="008F7ACD">
        <w:rPr>
          <w:color w:val="000000"/>
          <w:szCs w:val="22"/>
        </w:rPr>
        <w:t xml:space="preserve">% oproti 0 v Bloku 2). </w:t>
      </w:r>
    </w:p>
    <w:p w:rsidR="009E59C0" w:rsidRPr="008F7ACD" w:rsidRDefault="009E59C0" w:rsidP="00C22352">
      <w:pPr>
        <w:ind w:left="0" w:firstLine="0"/>
        <w:rPr>
          <w:color w:val="000000"/>
          <w:szCs w:val="22"/>
        </w:rPr>
      </w:pPr>
    </w:p>
    <w:p w:rsidR="00EE6E61" w:rsidRPr="008F7ACD" w:rsidRDefault="00EE6E61" w:rsidP="00C92B0B">
      <w:pPr>
        <w:rPr>
          <w:b/>
          <w:szCs w:val="22"/>
        </w:rPr>
      </w:pPr>
      <w:r w:rsidRPr="008F7ACD">
        <w:rPr>
          <w:b/>
          <w:szCs w:val="22"/>
        </w:rPr>
        <w:t>5.2</w:t>
      </w:r>
      <w:r w:rsidR="00512679" w:rsidRPr="008F7ACD">
        <w:rPr>
          <w:b/>
          <w:szCs w:val="22"/>
        </w:rPr>
        <w:tab/>
      </w:r>
      <w:r w:rsidRPr="008F7ACD">
        <w:rPr>
          <w:b/>
          <w:szCs w:val="22"/>
        </w:rPr>
        <w:t>Farmakokinetické vlastnosti</w:t>
      </w:r>
    </w:p>
    <w:p w:rsidR="00A61A1D" w:rsidRPr="008F7ACD" w:rsidRDefault="00A61A1D" w:rsidP="00C92B0B">
      <w:pPr>
        <w:ind w:left="0" w:firstLine="0"/>
        <w:rPr>
          <w:i/>
          <w:szCs w:val="22"/>
        </w:rPr>
      </w:pPr>
    </w:p>
    <w:p w:rsidR="00D47819" w:rsidRPr="008F7ACD" w:rsidRDefault="00D47819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Absorpcia</w:t>
      </w:r>
    </w:p>
    <w:p w:rsidR="00D47819" w:rsidRPr="008F7ACD" w:rsidRDefault="00D47819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Po intravenóznom boluse 1,0</w:t>
      </w:r>
      <w:r w:rsidR="001A5E7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 xml:space="preserve">2 </w:t>
      </w:r>
      <w:r w:rsidRPr="008F7ACD">
        <w:rPr>
          <w:rFonts w:eastAsia="TimesNewRoman"/>
          <w:szCs w:val="22"/>
          <w:lang w:eastAsia="en-US"/>
        </w:rPr>
        <w:t>a 1,3</w:t>
      </w:r>
      <w:r w:rsidR="001A5E7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dávky 11 pacientom s mnohopočetným myelómom a</w:t>
      </w:r>
      <w:r w:rsidR="001D12D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hodnotami klírensu kreatinínu vyššími ako 50</w:t>
      </w:r>
      <w:r w:rsidR="001A5E7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ml/min, boli priemerné maximálne koncentrácie</w:t>
      </w:r>
      <w:r w:rsidR="001A5E7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bortezomibu v plazme po prvej dávke 57 a</w:t>
      </w:r>
      <w:r w:rsidR="001A5E7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112</w:t>
      </w:r>
      <w:r w:rsidR="001A5E7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ng/ml. Po nasledujúcich dávkach sa priemerné</w:t>
      </w:r>
      <w:r w:rsidR="001A5E7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pozorované maximálne koncentrácie v plazme pohybovali od 67 do 106</w:t>
      </w:r>
      <w:r w:rsidR="001A5E7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ng/ml pri </w:t>
      </w:r>
      <w:r w:rsidR="001D12D9" w:rsidRPr="008F7ACD">
        <w:rPr>
          <w:rFonts w:eastAsia="TimesNewRoman"/>
          <w:szCs w:val="22"/>
          <w:lang w:eastAsia="en-US"/>
        </w:rPr>
        <w:t xml:space="preserve">dávke </w:t>
      </w:r>
      <w:r w:rsidRPr="008F7ACD">
        <w:rPr>
          <w:rFonts w:eastAsia="TimesNewRoman"/>
          <w:szCs w:val="22"/>
          <w:lang w:eastAsia="en-US"/>
        </w:rPr>
        <w:t>1,0</w:t>
      </w:r>
      <w:r w:rsidR="001A5E7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a</w:t>
      </w:r>
      <w:r w:rsidR="001A5E7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od 89 do 120</w:t>
      </w:r>
      <w:r w:rsidR="001A5E7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ng/ml pri </w:t>
      </w:r>
      <w:r w:rsidR="001D12D9" w:rsidRPr="008F7ACD">
        <w:rPr>
          <w:rFonts w:eastAsia="TimesNewRoman"/>
          <w:szCs w:val="22"/>
          <w:lang w:eastAsia="en-US"/>
        </w:rPr>
        <w:t xml:space="preserve">dávke </w:t>
      </w:r>
      <w:r w:rsidRPr="008F7ACD">
        <w:rPr>
          <w:rFonts w:eastAsia="TimesNewRoman"/>
          <w:szCs w:val="22"/>
          <w:lang w:eastAsia="en-US"/>
        </w:rPr>
        <w:t>1,3</w:t>
      </w:r>
      <w:r w:rsidR="001A5E7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>.</w:t>
      </w:r>
    </w:p>
    <w:p w:rsidR="001A5E7C" w:rsidRPr="008F7ACD" w:rsidRDefault="001A5E7C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1A5E7C" w:rsidRPr="008F7ACD" w:rsidRDefault="001A5E7C" w:rsidP="001A5E7C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lastRenderedPageBreak/>
        <w:t>Po intravenóznom boluse alebo subkutánnej injekcii 1,3 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dávky pacientom s mnohopočetným myelómom (n = 14 v intravenóznej skupine, n = 17 v subkutánnej skupine), úplná systémová expozícia po pod</w:t>
      </w:r>
      <w:r w:rsidR="00D84CF9" w:rsidRPr="008F7ACD">
        <w:rPr>
          <w:rFonts w:eastAsia="TimesNewRoman"/>
          <w:szCs w:val="22"/>
          <w:lang w:eastAsia="en-US"/>
        </w:rPr>
        <w:t>áva</w:t>
      </w:r>
      <w:r w:rsidRPr="008F7ACD">
        <w:rPr>
          <w:rFonts w:eastAsia="TimesNewRoman"/>
          <w:szCs w:val="22"/>
          <w:lang w:eastAsia="en-US"/>
        </w:rPr>
        <w:t>ní opakovanej dávky (AUC</w:t>
      </w:r>
      <w:r w:rsidRPr="008F7ACD">
        <w:rPr>
          <w:rFonts w:eastAsia="TimesNewRoman"/>
          <w:szCs w:val="22"/>
          <w:vertAlign w:val="subscript"/>
          <w:lang w:eastAsia="en-US"/>
        </w:rPr>
        <w:t>last</w:t>
      </w:r>
      <w:r w:rsidRPr="008F7ACD">
        <w:rPr>
          <w:rFonts w:eastAsia="TimesNewRoman"/>
          <w:szCs w:val="22"/>
          <w:lang w:eastAsia="en-US"/>
        </w:rPr>
        <w:t>) bola ekvivalentná pre subkutánne a intravenózne podania. C</w:t>
      </w:r>
      <w:r w:rsidRPr="008F7ACD">
        <w:rPr>
          <w:rFonts w:eastAsia="TimesNewRoman"/>
          <w:szCs w:val="22"/>
          <w:vertAlign w:val="subscript"/>
          <w:lang w:eastAsia="en-US"/>
        </w:rPr>
        <w:t>max</w:t>
      </w:r>
      <w:r w:rsidRPr="008F7ACD">
        <w:rPr>
          <w:rFonts w:eastAsia="TimesNewRoman"/>
          <w:szCs w:val="22"/>
          <w:lang w:eastAsia="en-US"/>
        </w:rPr>
        <w:t xml:space="preserve"> po subkutánnom podaní (20,4 ng/ml) bola nižšia ako po intravenóznom podaní (223 ng/ml). Stredný geometrický pomer AUC</w:t>
      </w:r>
      <w:r w:rsidRPr="008F7ACD">
        <w:rPr>
          <w:rFonts w:eastAsia="TimesNewRoman"/>
          <w:szCs w:val="22"/>
          <w:vertAlign w:val="subscript"/>
          <w:lang w:eastAsia="en-US"/>
        </w:rPr>
        <w:t>last</w:t>
      </w:r>
      <w:r w:rsidRPr="008F7ACD">
        <w:rPr>
          <w:rFonts w:eastAsia="TimesNewRoman"/>
          <w:szCs w:val="22"/>
          <w:lang w:eastAsia="en-US"/>
        </w:rPr>
        <w:t xml:space="preserve"> bol 0,99 a 90 % interval spoľahlivosti bol 80,18 % </w:t>
      </w:r>
      <w:r w:rsidR="001D12D9" w:rsidRPr="008F7ACD">
        <w:rPr>
          <w:rFonts w:eastAsia="TimesNewRoman"/>
          <w:szCs w:val="22"/>
          <w:lang w:eastAsia="en-US"/>
        </w:rPr>
        <w:t>–</w:t>
      </w:r>
      <w:r w:rsidRPr="008F7ACD">
        <w:rPr>
          <w:rFonts w:eastAsia="TimesNewRoman"/>
          <w:szCs w:val="22"/>
          <w:lang w:eastAsia="en-US"/>
        </w:rPr>
        <w:t> 122,80 %.</w:t>
      </w:r>
    </w:p>
    <w:p w:rsidR="001A5E7C" w:rsidRPr="008F7ACD" w:rsidRDefault="001A5E7C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D47819" w:rsidRPr="008F7ACD" w:rsidRDefault="00D47819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Distribúcia</w:t>
      </w:r>
    </w:p>
    <w:p w:rsidR="00D47819" w:rsidRPr="008F7ACD" w:rsidRDefault="00D47819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Priemerný distribučný objem (V</w:t>
      </w:r>
      <w:r w:rsidRPr="008F7ACD">
        <w:rPr>
          <w:rFonts w:eastAsia="TimesNewRoman"/>
          <w:szCs w:val="22"/>
          <w:vertAlign w:val="subscript"/>
          <w:lang w:eastAsia="en-US"/>
        </w:rPr>
        <w:t>d</w:t>
      </w:r>
      <w:r w:rsidRPr="008F7ACD">
        <w:rPr>
          <w:rFonts w:eastAsia="TimesNewRoman"/>
          <w:szCs w:val="22"/>
          <w:lang w:eastAsia="en-US"/>
        </w:rPr>
        <w:t>) bortezomibu sa pohyboval v rozmedzí od 1</w:t>
      </w:r>
      <w:r w:rsidR="001A5E7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659</w:t>
      </w:r>
      <w:r w:rsidR="001A5E7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l do 3</w:t>
      </w:r>
      <w:r w:rsidR="001A5E7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294</w:t>
      </w:r>
      <w:r w:rsidR="001A5E7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l po</w:t>
      </w:r>
      <w:r w:rsidR="001D12D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jednorazovom alebo opakovanom intravenóznom podaní 1,0</w:t>
      </w:r>
      <w:r w:rsidR="001A5E7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alebo 1,3</w:t>
      </w:r>
      <w:r w:rsidR="001A5E7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pacientom</w:t>
      </w:r>
      <w:r w:rsidR="001A5E7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</w:t>
      </w:r>
      <w:r w:rsidR="001A5E7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 xml:space="preserve">mnohopočetným myelómom. To svedčí o tom, že sa bortezomib </w:t>
      </w:r>
      <w:r w:rsidR="001D12D9" w:rsidRPr="008F7ACD">
        <w:rPr>
          <w:rFonts w:eastAsia="TimesNewRoman"/>
          <w:szCs w:val="22"/>
          <w:lang w:eastAsia="en-US"/>
        </w:rPr>
        <w:t>výrazne</w:t>
      </w:r>
      <w:r w:rsidRPr="008F7ACD">
        <w:rPr>
          <w:rFonts w:eastAsia="TimesNewRoman"/>
          <w:szCs w:val="22"/>
          <w:lang w:eastAsia="en-US"/>
        </w:rPr>
        <w:t xml:space="preserve"> distribuuje do</w:t>
      </w:r>
      <w:r w:rsidR="001D12D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periférnych</w:t>
      </w:r>
      <w:r w:rsidR="001A5E7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tkanív. V koncentračnom rozmedzí bortezomibu od 0,01 do 1,0</w:t>
      </w:r>
      <w:r w:rsidR="001A5E7C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μg/ml bola väzba na</w:t>
      </w:r>
      <w:r w:rsidR="001D12D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ľudské</w:t>
      </w:r>
      <w:r w:rsidR="001A5E7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plazmatické proteíny </w:t>
      </w:r>
      <w:r w:rsidR="00C06B08" w:rsidRPr="008F7ACD">
        <w:rPr>
          <w:rFonts w:eastAsia="TimesNewRoman"/>
          <w:i/>
          <w:szCs w:val="22"/>
          <w:lang w:eastAsia="en-US"/>
        </w:rPr>
        <w:t>in vitro</w:t>
      </w:r>
      <w:r w:rsidR="00C06B08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priemerne 82,9</w:t>
      </w:r>
      <w:r w:rsidR="00C06B08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%. Časť bortezomibu naviazaného na plazmatické proteíny</w:t>
      </w:r>
      <w:r w:rsidR="00C06B08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nezávisela od koncentrácie.</w:t>
      </w:r>
    </w:p>
    <w:p w:rsidR="00C06B08" w:rsidRPr="008F7ACD" w:rsidRDefault="00C06B08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D47819" w:rsidRPr="008F7ACD" w:rsidRDefault="00D47819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Biotransformácia</w:t>
      </w:r>
    </w:p>
    <w:p w:rsidR="00D47819" w:rsidRPr="008F7ACD" w:rsidRDefault="00D47819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 xml:space="preserve">In vitro </w:t>
      </w:r>
      <w:r w:rsidRPr="008F7ACD">
        <w:rPr>
          <w:rFonts w:eastAsia="TimesNewRoman"/>
          <w:szCs w:val="22"/>
          <w:lang w:eastAsia="en-US"/>
        </w:rPr>
        <w:t>štúdie na mikrozómoch ľudskej pečene a ľudskej cDNA, ktorá indukuje izoenzýmy</w:t>
      </w:r>
      <w:r w:rsidR="008D473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cytrochrómu P450 naznačujú, že bortezomib je primárne metabolizovaný oxidáciou prostredníctvom</w:t>
      </w:r>
      <w:r w:rsidR="008D473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enzýmov cytochrómu P450, 3A4, 2C19 a 1A2. Hlavnou metabolickou cestou je deboronácia na dva</w:t>
      </w:r>
      <w:r w:rsidR="008D473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deboronované metabolity, ktoré sa n</w:t>
      </w:r>
      <w:r w:rsidR="001D12D9" w:rsidRPr="008F7ACD">
        <w:rPr>
          <w:rFonts w:eastAsia="TimesNewRoman"/>
          <w:szCs w:val="22"/>
          <w:lang w:eastAsia="en-US"/>
        </w:rPr>
        <w:t>á</w:t>
      </w:r>
      <w:r w:rsidRPr="008F7ACD">
        <w:rPr>
          <w:rFonts w:eastAsia="TimesNewRoman"/>
          <w:szCs w:val="22"/>
          <w:lang w:eastAsia="en-US"/>
        </w:rPr>
        <w:t>sledne štiepia hydroxyláciou na niekoľko metabolitov.</w:t>
      </w:r>
      <w:r w:rsidR="008D473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Deboronované metabolity bortezomibu nevykazujú aktivitu ako inhibítory proteazómu 26S.</w:t>
      </w:r>
    </w:p>
    <w:p w:rsidR="008D4732" w:rsidRPr="008F7ACD" w:rsidRDefault="008D4732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D47819" w:rsidRPr="008F7ACD" w:rsidRDefault="00D47819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Eliminácia</w:t>
      </w:r>
    </w:p>
    <w:p w:rsidR="00D47819" w:rsidRPr="008F7ACD" w:rsidRDefault="00D47819" w:rsidP="008D4732">
      <w:pPr>
        <w:autoSpaceDE w:val="0"/>
        <w:autoSpaceDN w:val="0"/>
        <w:adjustRightInd w:val="0"/>
        <w:ind w:left="0" w:firstLine="0"/>
        <w:rPr>
          <w:i/>
          <w:szCs w:val="22"/>
        </w:rPr>
      </w:pPr>
      <w:r w:rsidRPr="008F7ACD">
        <w:rPr>
          <w:rFonts w:eastAsia="TimesNewRoman"/>
          <w:szCs w:val="22"/>
          <w:lang w:eastAsia="en-US"/>
        </w:rPr>
        <w:t>Priemerný polčas eliminácie (</w:t>
      </w:r>
      <w:r w:rsidR="008D4732" w:rsidRPr="008F7ACD">
        <w:rPr>
          <w:rFonts w:eastAsia="TimesNewRoman"/>
          <w:szCs w:val="22"/>
          <w:lang w:eastAsia="en-US"/>
        </w:rPr>
        <w:t>t</w:t>
      </w:r>
      <w:r w:rsidRPr="008F7ACD">
        <w:rPr>
          <w:rFonts w:eastAsia="TimesNewRoman"/>
          <w:szCs w:val="22"/>
          <w:vertAlign w:val="subscript"/>
          <w:lang w:eastAsia="en-US"/>
        </w:rPr>
        <w:t>1/2</w:t>
      </w:r>
      <w:r w:rsidRPr="008F7ACD">
        <w:rPr>
          <w:rFonts w:eastAsia="TimesNewRoman"/>
          <w:szCs w:val="22"/>
          <w:lang w:eastAsia="en-US"/>
        </w:rPr>
        <w:t>) bortezomibu sa po viacnásobnej dávke pohyboval medzi</w:t>
      </w:r>
      <w:r w:rsidR="008D473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40</w:t>
      </w:r>
      <w:r w:rsidR="001D12D9" w:rsidRPr="008F7ACD">
        <w:rPr>
          <w:rFonts w:eastAsia="TimesNewRoman"/>
          <w:szCs w:val="22"/>
          <w:lang w:eastAsia="en-US"/>
        </w:rPr>
        <w:t xml:space="preserve"> –</w:t>
      </w:r>
      <w:r w:rsidRPr="008F7ACD">
        <w:rPr>
          <w:rFonts w:eastAsia="TimesNewRoman"/>
          <w:szCs w:val="22"/>
          <w:lang w:eastAsia="en-US"/>
        </w:rPr>
        <w:t>193</w:t>
      </w:r>
      <w:r w:rsidR="008D473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hodinami. Bortezomib je eliminovaný rýchlejšie po prvej dávke v porovnaní s nasledujúcimi</w:t>
      </w:r>
      <w:r w:rsidR="008D473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dávkami. Priemerný celkový telesný klírens po prvej dávke bol 102</w:t>
      </w:r>
      <w:r w:rsidR="001D12D9" w:rsidRPr="008F7ACD">
        <w:rPr>
          <w:rFonts w:eastAsia="TimesNewRoman"/>
          <w:szCs w:val="22"/>
          <w:lang w:eastAsia="en-US"/>
        </w:rPr>
        <w:t xml:space="preserve"> l/h</w:t>
      </w:r>
      <w:r w:rsidRPr="008F7ACD">
        <w:rPr>
          <w:rFonts w:eastAsia="TimesNewRoman"/>
          <w:szCs w:val="22"/>
          <w:lang w:eastAsia="en-US"/>
        </w:rPr>
        <w:t xml:space="preserve"> pre dávku 1,0</w:t>
      </w:r>
      <w:r w:rsidR="008D473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a 112</w:t>
      </w:r>
      <w:r w:rsidR="008D473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l/h pre</w:t>
      </w:r>
      <w:r w:rsidR="008D473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dávku 1,3</w:t>
      </w:r>
      <w:r w:rsidR="008D473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a pohyboval sa v rozpätí od 15 do 32</w:t>
      </w:r>
      <w:r w:rsidR="008D473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l/h po opakovaných dávkach 1,0</w:t>
      </w:r>
      <w:r w:rsidR="008D473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a</w:t>
      </w:r>
      <w:r w:rsidR="001D12D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od</w:t>
      </w:r>
      <w:r w:rsidR="008D473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18 do 32</w:t>
      </w:r>
      <w:r w:rsidR="008D473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l/h po opakovaných dávkach 1,3</w:t>
      </w:r>
      <w:r w:rsidR="008D473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>.</w:t>
      </w:r>
    </w:p>
    <w:p w:rsidR="00D47819" w:rsidRPr="008F7ACD" w:rsidRDefault="00D47819" w:rsidP="00C92B0B">
      <w:pPr>
        <w:ind w:left="0" w:firstLine="0"/>
        <w:rPr>
          <w:i/>
          <w:szCs w:val="22"/>
        </w:rPr>
      </w:pPr>
    </w:p>
    <w:p w:rsidR="00D47819" w:rsidRPr="008F7ACD" w:rsidRDefault="00D47819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Osobitné skupiny pacientov</w:t>
      </w:r>
    </w:p>
    <w:p w:rsidR="00D47819" w:rsidRPr="008F7ACD" w:rsidRDefault="00D47819" w:rsidP="00D4781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Porucha funkcie pečene</w:t>
      </w:r>
    </w:p>
    <w:p w:rsidR="00D47819" w:rsidRPr="008F7ACD" w:rsidRDefault="00D47819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Účinok poruchy funkcie pečene na farmakokinetiku bortezomibu bol sledovaný v štúdii fázy I</w:t>
      </w:r>
      <w:r w:rsidR="00DC3B3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počas</w:t>
      </w:r>
      <w:r w:rsidR="00DC3B3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prvého liečebného cyklu, ktorá zahŕňala 61 pacientov najmä so solídnymi tumormi a s</w:t>
      </w:r>
      <w:r w:rsidR="00DC3B3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rôznymi</w:t>
      </w:r>
      <w:r w:rsidR="00DC3B3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stupňami poruchy funkcie pečene s dávkami bortezomibu v rozsahu od 0,5 do 1,3</w:t>
      </w:r>
      <w:r w:rsidR="00DC3B3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>.</w:t>
      </w:r>
    </w:p>
    <w:p w:rsidR="00DC3B36" w:rsidRPr="008F7ACD" w:rsidRDefault="00DC3B36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D47819" w:rsidRPr="008F7ACD" w:rsidRDefault="00D47819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Pri porovnaní s pacientmi s normálnou funkciou pečene, mierna porucha funkcie pečene nezmenila</w:t>
      </w:r>
      <w:r w:rsidR="00DC3B3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dávkou normalizovanú AUC bortezomibu. Hodnoty dávkou normalizovanej AUC však boli zvýšené</w:t>
      </w:r>
      <w:r w:rsidR="00DC3B3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o</w:t>
      </w:r>
      <w:r w:rsidR="00DC3B3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približne 60</w:t>
      </w:r>
      <w:r w:rsidR="00DC3B3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% u pacientov so stredne závažnou alebo závažnou poruchou funkcie pečene.</w:t>
      </w:r>
      <w:r w:rsidR="00DC3B3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U</w:t>
      </w:r>
      <w:r w:rsidR="00DC3B3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pacientov so stredne závažnou alebo závažnou poruchou funkcie pečene sa odporúča nižšia úvodná</w:t>
      </w:r>
      <w:r w:rsidR="00DC3B3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dávka a týchto pacientov treba starostlivo sledovať (pozri časť 4.2, tabuľku 6).</w:t>
      </w:r>
    </w:p>
    <w:p w:rsidR="00DC3B36" w:rsidRPr="008F7ACD" w:rsidRDefault="00DC3B36" w:rsidP="00D4781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</w:p>
    <w:p w:rsidR="00D47819" w:rsidRPr="008F7ACD" w:rsidRDefault="00D47819" w:rsidP="00D47819">
      <w:pPr>
        <w:autoSpaceDE w:val="0"/>
        <w:autoSpaceDN w:val="0"/>
        <w:adjustRightInd w:val="0"/>
        <w:ind w:left="0" w:firstLine="0"/>
        <w:rPr>
          <w:rFonts w:eastAsia="TimesNewRoman,Italic"/>
          <w:i/>
          <w:iCs/>
          <w:szCs w:val="22"/>
          <w:lang w:eastAsia="en-US"/>
        </w:rPr>
      </w:pPr>
      <w:r w:rsidRPr="008F7ACD">
        <w:rPr>
          <w:rFonts w:eastAsia="TimesNewRoman,Italic"/>
          <w:i/>
          <w:iCs/>
          <w:szCs w:val="22"/>
          <w:lang w:eastAsia="en-US"/>
        </w:rPr>
        <w:t>Porucha funkcie obličiek</w:t>
      </w:r>
    </w:p>
    <w:p w:rsidR="00D47819" w:rsidRPr="008F7ACD" w:rsidRDefault="00D47819" w:rsidP="00DC3B36">
      <w:pPr>
        <w:autoSpaceDE w:val="0"/>
        <w:autoSpaceDN w:val="0"/>
        <w:adjustRightInd w:val="0"/>
        <w:ind w:left="0" w:firstLine="0"/>
        <w:rPr>
          <w:i/>
          <w:szCs w:val="22"/>
        </w:rPr>
      </w:pPr>
      <w:r w:rsidRPr="008F7ACD">
        <w:rPr>
          <w:rFonts w:eastAsia="TimesNewRoman"/>
          <w:szCs w:val="22"/>
          <w:lang w:eastAsia="en-US"/>
        </w:rPr>
        <w:t xml:space="preserve">Vykonala sa štúdia farmakokinetiky u pacientov s rôznymi stupňami </w:t>
      </w:r>
      <w:r w:rsidR="001D12D9" w:rsidRPr="008F7ACD">
        <w:rPr>
          <w:rFonts w:eastAsia="TimesNewRoman"/>
          <w:szCs w:val="22"/>
          <w:lang w:eastAsia="en-US"/>
        </w:rPr>
        <w:t xml:space="preserve">poruchy </w:t>
      </w:r>
      <w:r w:rsidRPr="008F7ACD">
        <w:rPr>
          <w:rFonts w:eastAsia="TimesNewRoman"/>
          <w:szCs w:val="22"/>
          <w:lang w:eastAsia="en-US"/>
        </w:rPr>
        <w:t>funkcie obličiek,</w:t>
      </w:r>
      <w:r w:rsidR="00DC3B3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ktorí boli zaradení podľa ich hodnôt klírensu kreatinínu (CrCL) do nasled</w:t>
      </w:r>
      <w:r w:rsidR="001D12D9" w:rsidRPr="008F7ACD">
        <w:rPr>
          <w:rFonts w:eastAsia="TimesNewRoman"/>
          <w:szCs w:val="22"/>
          <w:lang w:eastAsia="en-US"/>
        </w:rPr>
        <w:t>ovných</w:t>
      </w:r>
      <w:r w:rsidRPr="008F7ACD">
        <w:rPr>
          <w:rFonts w:eastAsia="TimesNewRoman"/>
          <w:szCs w:val="22"/>
          <w:lang w:eastAsia="en-US"/>
        </w:rPr>
        <w:t xml:space="preserve"> skupín: normálne</w:t>
      </w:r>
      <w:r w:rsidR="00DC3B3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(CrCL ≥</w:t>
      </w:r>
      <w:r w:rsidR="00DC3B3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60</w:t>
      </w:r>
      <w:r w:rsidR="00DC3B3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ml/min/1,73</w:t>
      </w:r>
      <w:r w:rsidR="00DC3B3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>, n</w:t>
      </w:r>
      <w:r w:rsidR="002D5CC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=</w:t>
      </w:r>
      <w:r w:rsidR="002D5CC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12), mierne (CrCL</w:t>
      </w:r>
      <w:r w:rsidR="002D5CC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=</w:t>
      </w:r>
      <w:r w:rsidR="002D5CC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40</w:t>
      </w:r>
      <w:r w:rsidR="001D12D9" w:rsidRPr="008F7ACD">
        <w:rPr>
          <w:rFonts w:eastAsia="TimesNewRoman"/>
          <w:szCs w:val="22"/>
          <w:lang w:eastAsia="en-US"/>
        </w:rPr>
        <w:t xml:space="preserve"> – </w:t>
      </w:r>
      <w:r w:rsidRPr="008F7ACD">
        <w:rPr>
          <w:rFonts w:eastAsia="TimesNewRoman"/>
          <w:szCs w:val="22"/>
          <w:lang w:eastAsia="en-US"/>
        </w:rPr>
        <w:t>59</w:t>
      </w:r>
      <w:r w:rsidR="00DC3B3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ml/min/1,73</w:t>
      </w:r>
      <w:r w:rsidR="00DC3B3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>, n</w:t>
      </w:r>
      <w:r w:rsidR="002D5CC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=</w:t>
      </w:r>
      <w:r w:rsidR="002D5CC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10), stredné</w:t>
      </w:r>
      <w:r w:rsidR="00DC3B3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(CrCL</w:t>
      </w:r>
      <w:r w:rsidR="002D5CC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=</w:t>
      </w:r>
      <w:r w:rsidR="002D5CC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20</w:t>
      </w:r>
      <w:r w:rsidR="001D12D9" w:rsidRPr="008F7ACD">
        <w:rPr>
          <w:rFonts w:eastAsia="TimesNewRoman"/>
          <w:szCs w:val="22"/>
          <w:lang w:eastAsia="en-US"/>
        </w:rPr>
        <w:t xml:space="preserve"> – </w:t>
      </w:r>
      <w:r w:rsidRPr="008F7ACD">
        <w:rPr>
          <w:rFonts w:eastAsia="TimesNewRoman"/>
          <w:szCs w:val="22"/>
          <w:lang w:eastAsia="en-US"/>
        </w:rPr>
        <w:t>39</w:t>
      </w:r>
      <w:r w:rsidR="00DC3B3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ml/min/1,73</w:t>
      </w:r>
      <w:r w:rsidR="00DC3B3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>, n</w:t>
      </w:r>
      <w:r w:rsidR="002D5CC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=</w:t>
      </w:r>
      <w:r w:rsidR="002D5CC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9) a závažné (CrCL &lt;</w:t>
      </w:r>
      <w:r w:rsidR="00DC3B3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20</w:t>
      </w:r>
      <w:r w:rsidR="00DC3B3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ml/min/1,73</w:t>
      </w:r>
      <w:r w:rsidR="00DC3B3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>, n</w:t>
      </w:r>
      <w:r w:rsidR="002D5CC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=</w:t>
      </w:r>
      <w:r w:rsidR="002D5CC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3). Do štúdie bola tiež</w:t>
      </w:r>
      <w:r w:rsidR="00DC3B3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zaradená skupina dialyzovaných pacientov (n</w:t>
      </w:r>
      <w:r w:rsidR="002D5CC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=</w:t>
      </w:r>
      <w:r w:rsidR="002D5CC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8), ktorí dostali dávku po dialýze. Pacienti dostávali</w:t>
      </w:r>
      <w:r w:rsidR="00DC3B36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intravenózne dávky 0,7 až 1,3</w:t>
      </w:r>
      <w:r w:rsidR="00DC3B36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 xml:space="preserve"> </w:t>
      </w:r>
      <w:r w:rsidR="00DC3B36" w:rsidRPr="008F7ACD">
        <w:rPr>
          <w:rFonts w:eastAsia="TimesNewRoman"/>
          <w:szCs w:val="22"/>
          <w:lang w:eastAsia="en-US"/>
        </w:rPr>
        <w:t>bortezomibu</w:t>
      </w:r>
      <w:r w:rsidRPr="008F7ACD">
        <w:rPr>
          <w:rFonts w:eastAsia="TimesNewRoman"/>
          <w:szCs w:val="22"/>
          <w:lang w:eastAsia="en-US"/>
        </w:rPr>
        <w:t xml:space="preserve"> dvakrát týždenne. Expozícia </w:t>
      </w:r>
      <w:r w:rsidR="00DC3B36" w:rsidRPr="008F7ACD">
        <w:rPr>
          <w:rFonts w:eastAsia="TimesNewRoman"/>
          <w:szCs w:val="22"/>
          <w:lang w:eastAsia="en-US"/>
        </w:rPr>
        <w:t xml:space="preserve">bortezomibu </w:t>
      </w:r>
      <w:r w:rsidRPr="008F7ACD">
        <w:rPr>
          <w:rFonts w:eastAsia="TimesNewRoman"/>
          <w:szCs w:val="22"/>
          <w:lang w:eastAsia="en-US"/>
        </w:rPr>
        <w:t>(dávkou normalizovaná AUC a C</w:t>
      </w:r>
      <w:r w:rsidRPr="008F7ACD">
        <w:rPr>
          <w:rFonts w:eastAsia="TimesNewRoman"/>
          <w:szCs w:val="22"/>
          <w:vertAlign w:val="subscript"/>
          <w:lang w:eastAsia="en-US"/>
        </w:rPr>
        <w:t>max</w:t>
      </w:r>
      <w:r w:rsidRPr="008F7ACD">
        <w:rPr>
          <w:rFonts w:eastAsia="TimesNewRoman"/>
          <w:szCs w:val="22"/>
          <w:lang w:eastAsia="en-US"/>
        </w:rPr>
        <w:t>) bola porovnateľná vo všetkých skupinách (pozri časť 4.2).</w:t>
      </w:r>
    </w:p>
    <w:p w:rsidR="00387ED6" w:rsidRPr="008F7ACD" w:rsidRDefault="00387ED6" w:rsidP="00D47819">
      <w:pPr>
        <w:ind w:left="0" w:firstLine="0"/>
        <w:rPr>
          <w:i/>
          <w:szCs w:val="22"/>
        </w:rPr>
      </w:pPr>
    </w:p>
    <w:p w:rsidR="001E7D3E" w:rsidRPr="008F7ACD" w:rsidRDefault="001E7D3E" w:rsidP="001E7D3E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8F7ACD">
        <w:rPr>
          <w:i/>
          <w:iCs/>
          <w:szCs w:val="22"/>
        </w:rPr>
        <w:t>Vek</w:t>
      </w:r>
    </w:p>
    <w:p w:rsidR="002F20F1" w:rsidRPr="008F7ACD" w:rsidRDefault="001E7D3E" w:rsidP="001E7D3E">
      <w:pPr>
        <w:autoSpaceDE w:val="0"/>
        <w:autoSpaceDN w:val="0"/>
        <w:adjustRightInd w:val="0"/>
        <w:ind w:left="0" w:firstLine="0"/>
        <w:rPr>
          <w:szCs w:val="22"/>
        </w:rPr>
      </w:pPr>
      <w:r w:rsidRPr="008F7ACD">
        <w:rPr>
          <w:szCs w:val="22"/>
        </w:rPr>
        <w:t>Farmakokinetika bortezomibu bola sledovaná po intravenóznom bolusovom podaní dávok 1,3 mg/m</w:t>
      </w:r>
      <w:r w:rsidRPr="008F7ACD">
        <w:rPr>
          <w:szCs w:val="22"/>
          <w:vertAlign w:val="superscript"/>
        </w:rPr>
        <w:t xml:space="preserve">2 </w:t>
      </w:r>
      <w:r w:rsidRPr="008F7ACD">
        <w:rPr>
          <w:szCs w:val="22"/>
        </w:rPr>
        <w:t>dvakrát týždenne 104 pediatrickým pacientom (vo veku 2</w:t>
      </w:r>
      <w:r w:rsidR="001D12D9" w:rsidRPr="008F7ACD">
        <w:rPr>
          <w:szCs w:val="22"/>
        </w:rPr>
        <w:t xml:space="preserve"> – </w:t>
      </w:r>
      <w:r w:rsidRPr="008F7ACD">
        <w:rPr>
          <w:szCs w:val="22"/>
        </w:rPr>
        <w:t>16 rokov) s akútnou lymfoblastickou leukémiou (ALL) alebo akútnou myeloidnou leukémiou (AML). Na základe analýzy farmakokinetiky podľa populácie sa klírens bortezomibu zvyšoval so zvyšujúcim sa povrchom tela (BSA, z angl. body surface area). Geometrický priemer (% CV) klírensu bol 7,79 (25 %) l/h/m</w:t>
      </w:r>
      <w:r w:rsidRPr="008F7ACD">
        <w:rPr>
          <w:szCs w:val="22"/>
          <w:vertAlign w:val="superscript"/>
        </w:rPr>
        <w:t>2</w:t>
      </w:r>
      <w:r w:rsidRPr="008F7ACD">
        <w:rPr>
          <w:szCs w:val="22"/>
        </w:rPr>
        <w:t xml:space="preserve">, distribučný objem </w:t>
      </w:r>
      <w:r w:rsidRPr="008F7ACD">
        <w:rPr>
          <w:szCs w:val="22"/>
        </w:rPr>
        <w:lastRenderedPageBreak/>
        <w:t>v</w:t>
      </w:r>
      <w:r w:rsidR="001D12D9" w:rsidRPr="008F7ACD">
        <w:rPr>
          <w:szCs w:val="22"/>
        </w:rPr>
        <w:t> </w:t>
      </w:r>
      <w:r w:rsidRPr="008F7ACD">
        <w:rPr>
          <w:szCs w:val="22"/>
        </w:rPr>
        <w:t>ustálenom stave bol 834 (39 %) l/m</w:t>
      </w:r>
      <w:r w:rsidRPr="008F7ACD">
        <w:rPr>
          <w:szCs w:val="22"/>
          <w:vertAlign w:val="superscript"/>
        </w:rPr>
        <w:t>2</w:t>
      </w:r>
      <w:r w:rsidRPr="008F7ACD">
        <w:rPr>
          <w:szCs w:val="22"/>
        </w:rPr>
        <w:t xml:space="preserve"> a polčas eliminácie bol 100 (44 %) hodín. Po korekcii vplyvu BSA nemali ďalšie demografické ukazovatele ako vek, telesná hmotnosť a pohlavie klinicky významný vplyv na klírens bortezomibu. BSA-normalizovaný klírens bortezomibu u pediatrických pacientov bol podobný ako klírens pozorovaný u dospelých.</w:t>
      </w:r>
    </w:p>
    <w:p w:rsidR="002F20F1" w:rsidRPr="008F7ACD" w:rsidRDefault="002F20F1" w:rsidP="00D47819">
      <w:pPr>
        <w:ind w:left="0" w:firstLine="0"/>
        <w:rPr>
          <w:i/>
          <w:szCs w:val="22"/>
        </w:rPr>
      </w:pPr>
    </w:p>
    <w:p w:rsidR="00EE6E61" w:rsidRPr="008F7ACD" w:rsidRDefault="00626362" w:rsidP="00C92B0B">
      <w:pPr>
        <w:rPr>
          <w:b/>
          <w:szCs w:val="22"/>
        </w:rPr>
      </w:pPr>
      <w:r w:rsidRPr="008F7ACD">
        <w:rPr>
          <w:b/>
          <w:szCs w:val="22"/>
        </w:rPr>
        <w:t>5.3</w:t>
      </w:r>
      <w:r w:rsidR="00636C42" w:rsidRPr="008F7ACD">
        <w:rPr>
          <w:b/>
          <w:szCs w:val="22"/>
        </w:rPr>
        <w:tab/>
      </w:r>
      <w:r w:rsidR="00EE6E61" w:rsidRPr="008F7ACD">
        <w:rPr>
          <w:b/>
          <w:szCs w:val="22"/>
        </w:rPr>
        <w:t>Predklinické údaje o bezpečnosti</w:t>
      </w:r>
    </w:p>
    <w:p w:rsidR="00DB3CFA" w:rsidRPr="008F7ACD" w:rsidRDefault="00DB3CFA" w:rsidP="00C92B0B">
      <w:pPr>
        <w:ind w:left="0" w:firstLine="0"/>
        <w:rPr>
          <w:szCs w:val="22"/>
          <w:u w:val="single"/>
        </w:rPr>
      </w:pPr>
    </w:p>
    <w:p w:rsidR="00D47819" w:rsidRPr="008F7ACD" w:rsidRDefault="00D47819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Bortezomib mal pozitívnu klastogénnu aktivitu (štrukturálne chromozómové aberácie) v </w:t>
      </w:r>
      <w:r w:rsidRPr="008F7ACD">
        <w:rPr>
          <w:rFonts w:eastAsia="TimesNewRoman,Italic"/>
          <w:i/>
          <w:iCs/>
          <w:szCs w:val="22"/>
          <w:lang w:eastAsia="en-US"/>
        </w:rPr>
        <w:t>in vitro</w:t>
      </w:r>
      <w:r w:rsidR="00626362" w:rsidRPr="008F7ACD">
        <w:rPr>
          <w:rFonts w:eastAsia="TimesNewRoman,Italic"/>
          <w:i/>
          <w:iCs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štúdiách hodnotiacich chromozómové aberácie ovariálnych buniek čínskych škrečkov (CHO, z angl.</w:t>
      </w:r>
      <w:r w:rsidR="0062636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Chinese hamster ovary) pri nízkych koncentráciách </w:t>
      </w:r>
      <w:r w:rsidR="001D12D9" w:rsidRPr="008F7ACD">
        <w:rPr>
          <w:rFonts w:eastAsia="TimesNewRoman"/>
          <w:szCs w:val="22"/>
          <w:lang w:eastAsia="en-US"/>
        </w:rPr>
        <w:t xml:space="preserve">ako je </w:t>
      </w:r>
      <w:r w:rsidRPr="008F7ACD">
        <w:rPr>
          <w:rFonts w:eastAsia="TimesNewRoman"/>
          <w:szCs w:val="22"/>
          <w:lang w:eastAsia="en-US"/>
        </w:rPr>
        <w:t>3,125</w:t>
      </w:r>
      <w:r w:rsidR="0062636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μg/ml, čo bola najnižšia hodnotená</w:t>
      </w:r>
      <w:r w:rsidR="0062636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koncentrácia. Bortezomib nebol genotoxický pri </w:t>
      </w:r>
      <w:r w:rsidRPr="008F7ACD">
        <w:rPr>
          <w:rFonts w:eastAsia="TimesNewRoman,Italic"/>
          <w:i/>
          <w:iCs/>
          <w:szCs w:val="22"/>
          <w:lang w:eastAsia="en-US"/>
        </w:rPr>
        <w:t xml:space="preserve">in vitro </w:t>
      </w:r>
      <w:r w:rsidRPr="008F7ACD">
        <w:rPr>
          <w:rFonts w:eastAsia="TimesNewRoman"/>
          <w:szCs w:val="22"/>
          <w:lang w:eastAsia="en-US"/>
        </w:rPr>
        <w:t>testovaní na mutagenitu (Amesov test) a</w:t>
      </w:r>
      <w:r w:rsidR="001D12D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pri</w:t>
      </w:r>
      <w:r w:rsidR="001D12D9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,Italic"/>
          <w:i/>
          <w:iCs/>
          <w:szCs w:val="22"/>
          <w:lang w:eastAsia="en-US"/>
        </w:rPr>
        <w:t xml:space="preserve">in vivo </w:t>
      </w:r>
      <w:r w:rsidRPr="008F7ACD">
        <w:rPr>
          <w:rFonts w:eastAsia="TimesNewRoman"/>
          <w:szCs w:val="22"/>
          <w:lang w:eastAsia="en-US"/>
        </w:rPr>
        <w:t>testovaní mikronukle</w:t>
      </w:r>
      <w:r w:rsidR="004159E3" w:rsidRPr="008F7ACD">
        <w:rPr>
          <w:rFonts w:eastAsia="TimesNewRoman"/>
          <w:szCs w:val="22"/>
          <w:lang w:eastAsia="en-US"/>
        </w:rPr>
        <w:t>a</w:t>
      </w:r>
      <w:r w:rsidRPr="008F7ACD">
        <w:rPr>
          <w:rFonts w:eastAsia="TimesNewRoman"/>
          <w:szCs w:val="22"/>
          <w:lang w:eastAsia="en-US"/>
        </w:rPr>
        <w:t xml:space="preserve"> na myšiach.</w:t>
      </w:r>
    </w:p>
    <w:p w:rsidR="00626362" w:rsidRPr="008F7ACD" w:rsidRDefault="00626362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D47819" w:rsidRPr="008F7ACD" w:rsidRDefault="00D47819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Štúdie vývojovej toxicity na potkanoch a králikoch ukázali embryo-fetálnu letalitu pri</w:t>
      </w:r>
      <w:r w:rsidR="0062636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toxických dávkach</w:t>
      </w:r>
      <w:r w:rsidR="004159E3" w:rsidRPr="008F7ACD">
        <w:rPr>
          <w:rFonts w:eastAsia="TimesNewRoman"/>
          <w:szCs w:val="22"/>
          <w:lang w:eastAsia="en-US"/>
        </w:rPr>
        <w:t xml:space="preserve"> pre matku</w:t>
      </w:r>
      <w:r w:rsidRPr="008F7ACD">
        <w:rPr>
          <w:rFonts w:eastAsia="TimesNewRoman"/>
          <w:szCs w:val="22"/>
          <w:lang w:eastAsia="en-US"/>
        </w:rPr>
        <w:t>, ale nezistila sa priama embryo-fetálna toxicita pri dávkach nižších ako</w:t>
      </w:r>
      <w:r w:rsidR="0062636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toxických</w:t>
      </w:r>
      <w:r w:rsidR="004159E3" w:rsidRPr="008F7ACD">
        <w:rPr>
          <w:rFonts w:eastAsia="TimesNewRoman"/>
          <w:szCs w:val="22"/>
          <w:lang w:eastAsia="en-US"/>
        </w:rPr>
        <w:t xml:space="preserve"> pre matku</w:t>
      </w:r>
      <w:r w:rsidRPr="008F7ACD">
        <w:rPr>
          <w:rFonts w:eastAsia="TimesNewRoman"/>
          <w:szCs w:val="22"/>
          <w:lang w:eastAsia="en-US"/>
        </w:rPr>
        <w:t>. Nerobili sa štúdie zamerané na plodnosť, ale sledovanie reprodukčného tkaniva sa robilo</w:t>
      </w:r>
      <w:r w:rsidR="0062636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pri štúdiách celkovej toxicity. V 6-mesačnej štúdii na potkanoch boli pozorované degeneratívne</w:t>
      </w:r>
      <w:r w:rsidR="0062636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účinky na semenníkoch a</w:t>
      </w:r>
      <w:r w:rsidR="001D12D9" w:rsidRPr="008F7ACD">
        <w:rPr>
          <w:rFonts w:eastAsia="TimesNewRoman"/>
          <w:szCs w:val="22"/>
          <w:lang w:eastAsia="en-US"/>
        </w:rPr>
        <w:t>j</w:t>
      </w:r>
      <w:r w:rsidRPr="008F7ACD">
        <w:rPr>
          <w:rFonts w:eastAsia="TimesNewRoman"/>
          <w:szCs w:val="22"/>
          <w:lang w:eastAsia="en-US"/>
        </w:rPr>
        <w:t xml:space="preserve"> vaječníkoch. Preto je pravdepodobné, že bortezomib by mohol mať</w:t>
      </w:r>
      <w:r w:rsidR="0062636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potenciálny účinok, buď na mužskú alebo ženskú plodnosť. Peri- a postnatálne vývojové štúdie sa</w:t>
      </w:r>
      <w:r w:rsidR="0062636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nerobili.</w:t>
      </w:r>
    </w:p>
    <w:p w:rsidR="00626362" w:rsidRPr="008F7ACD" w:rsidRDefault="00626362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D47819" w:rsidRPr="008F7ACD" w:rsidRDefault="00D47819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Vo viaccyklových štúdiách celkovej toxicity vykonaných na potkanoch a opiciach patrili k hlavným</w:t>
      </w:r>
      <w:r w:rsidR="0062636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cieľovým orgánom tráviaci systém s prejavmi vracania a/alebo diare</w:t>
      </w:r>
      <w:r w:rsidR="004D1386" w:rsidRPr="008F7ACD">
        <w:rPr>
          <w:rFonts w:eastAsia="TimesNewRoman"/>
          <w:szCs w:val="22"/>
          <w:lang w:eastAsia="en-US"/>
        </w:rPr>
        <w:t>y</w:t>
      </w:r>
      <w:r w:rsidRPr="008F7ACD">
        <w:rPr>
          <w:rFonts w:eastAsia="TimesNewRoman"/>
          <w:szCs w:val="22"/>
          <w:lang w:eastAsia="en-US"/>
        </w:rPr>
        <w:t>; hematopoetické a lymfatické</w:t>
      </w:r>
      <w:r w:rsidR="0062636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tkanivo s prejavom cytopénie periférnej krvi, atrofie lymfatického tkaniva a hematopoetickou</w:t>
      </w:r>
      <w:r w:rsidR="0062636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hypocelularitou kostnej drene; periférna neuropatia (pozorovaná na opiciach, myšiach a psoch)</w:t>
      </w:r>
      <w:r w:rsidR="0062636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zahŕňajúca senzitívne nervové axóny a mierne zmeny na obličkách. Po ukončení liečby bolo možné</w:t>
      </w:r>
      <w:r w:rsidR="00626362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u</w:t>
      </w:r>
      <w:r w:rsidR="00626362" w:rsidRPr="008F7ACD">
        <w:rPr>
          <w:rFonts w:eastAsia="TimesNewRoman"/>
          <w:szCs w:val="22"/>
          <w:lang w:eastAsia="en-US"/>
        </w:rPr>
        <w:t> </w:t>
      </w:r>
      <w:r w:rsidRPr="008F7ACD">
        <w:rPr>
          <w:rFonts w:eastAsia="TimesNewRoman"/>
          <w:szCs w:val="22"/>
          <w:lang w:eastAsia="en-US"/>
        </w:rPr>
        <w:t>všetkých týchto cieľových orgánov pozorovať parciálnu až kompletnú úpravu.</w:t>
      </w:r>
    </w:p>
    <w:p w:rsidR="00226790" w:rsidRPr="008F7ACD" w:rsidRDefault="00226790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D47819" w:rsidRPr="008F7ACD" w:rsidRDefault="00D47819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Na základe štúdií na zvieratách sa zdá, že prienik bortezomibu hematoencefalickou bariérou je</w:t>
      </w:r>
      <w:r w:rsidR="0022679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obmedzený, </w:t>
      </w:r>
      <w:r w:rsidR="00B4222F" w:rsidRPr="008F7ACD">
        <w:rPr>
          <w:rFonts w:eastAsia="TimesNewRoman"/>
          <w:szCs w:val="22"/>
          <w:lang w:eastAsia="en-US"/>
        </w:rPr>
        <w:t xml:space="preserve">ak k nemu vôbec dôjde, </w:t>
      </w:r>
      <w:r w:rsidRPr="008F7ACD">
        <w:rPr>
          <w:rFonts w:eastAsia="TimesNewRoman"/>
          <w:szCs w:val="22"/>
          <w:lang w:eastAsia="en-US"/>
        </w:rPr>
        <w:t>možná relevancia pre ľudí nie je známa.</w:t>
      </w:r>
    </w:p>
    <w:p w:rsidR="00226790" w:rsidRPr="008F7ACD" w:rsidRDefault="00226790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FB024A" w:rsidRPr="008F7ACD" w:rsidRDefault="00D47819" w:rsidP="00226790">
      <w:pPr>
        <w:autoSpaceDE w:val="0"/>
        <w:autoSpaceDN w:val="0"/>
        <w:adjustRightInd w:val="0"/>
        <w:ind w:left="0" w:firstLine="0"/>
        <w:rPr>
          <w:i/>
          <w:szCs w:val="22"/>
        </w:rPr>
      </w:pPr>
      <w:r w:rsidRPr="008F7ACD">
        <w:rPr>
          <w:rFonts w:eastAsia="TimesNewRoman"/>
          <w:szCs w:val="22"/>
          <w:lang w:eastAsia="en-US"/>
        </w:rPr>
        <w:t xml:space="preserve">Farmakologické štúdie kardiovaskulárnej bezpečnosti u opíc a psov </w:t>
      </w:r>
      <w:r w:rsidR="00B4222F" w:rsidRPr="008F7ACD">
        <w:rPr>
          <w:rFonts w:eastAsia="TimesNewRoman"/>
          <w:szCs w:val="22"/>
          <w:lang w:eastAsia="en-US"/>
        </w:rPr>
        <w:t xml:space="preserve">ukázali, že </w:t>
      </w:r>
      <w:r w:rsidRPr="008F7ACD">
        <w:rPr>
          <w:rFonts w:eastAsia="TimesNewRoman"/>
          <w:szCs w:val="22"/>
          <w:lang w:eastAsia="en-US"/>
        </w:rPr>
        <w:t>po intravenóznych dávkach</w:t>
      </w:r>
      <w:r w:rsidR="0022679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približne dvoj až trojnásobne vyšších ako odporúčaná klinická dávka v mg/m</w:t>
      </w:r>
      <w:r w:rsidRPr="008F7ACD">
        <w:rPr>
          <w:rFonts w:eastAsia="TimesNewRoman"/>
          <w:szCs w:val="22"/>
          <w:vertAlign w:val="superscript"/>
          <w:lang w:eastAsia="en-US"/>
        </w:rPr>
        <w:t>2</w:t>
      </w:r>
      <w:r w:rsidRPr="008F7ACD">
        <w:rPr>
          <w:rFonts w:eastAsia="TimesNewRoman"/>
          <w:szCs w:val="22"/>
          <w:lang w:eastAsia="en-US"/>
        </w:rPr>
        <w:t>, sú spojené so zvýšením</w:t>
      </w:r>
      <w:r w:rsidR="0022679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srdcovej frekvencie, znížením kontraktility, hypotenziou a úmrtím. </w:t>
      </w:r>
      <w:r w:rsidR="0057242D" w:rsidRPr="008F7ACD">
        <w:rPr>
          <w:rFonts w:eastAsia="TimesNewRoman"/>
          <w:szCs w:val="22"/>
          <w:lang w:eastAsia="en-US"/>
        </w:rPr>
        <w:t>Z</w:t>
      </w:r>
      <w:r w:rsidRPr="008F7ACD">
        <w:rPr>
          <w:rFonts w:eastAsia="TimesNewRoman"/>
          <w:szCs w:val="22"/>
          <w:lang w:eastAsia="en-US"/>
        </w:rPr>
        <w:t>nížená srdcová</w:t>
      </w:r>
      <w:r w:rsidR="0022679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kontraktilita a hypotenzia </w:t>
      </w:r>
      <w:r w:rsidR="0057242D" w:rsidRPr="008F7ACD">
        <w:rPr>
          <w:rFonts w:eastAsia="TimesNewRoman"/>
          <w:szCs w:val="22"/>
          <w:lang w:eastAsia="en-US"/>
        </w:rPr>
        <w:t xml:space="preserve">u psov </w:t>
      </w:r>
      <w:r w:rsidR="003F6CDA" w:rsidRPr="008F7ACD">
        <w:rPr>
          <w:rFonts w:eastAsia="TimesNewRoman"/>
          <w:szCs w:val="22"/>
          <w:lang w:eastAsia="en-US"/>
        </w:rPr>
        <w:t>odpove</w:t>
      </w:r>
      <w:r w:rsidR="00B57298" w:rsidRPr="008F7ACD">
        <w:rPr>
          <w:rFonts w:eastAsia="TimesNewRoman"/>
          <w:szCs w:val="22"/>
          <w:lang w:eastAsia="en-US"/>
        </w:rPr>
        <w:t>dala</w:t>
      </w:r>
      <w:r w:rsidR="0057242D" w:rsidRPr="008F7ACD">
        <w:rPr>
          <w:rFonts w:eastAsia="TimesNewRoman"/>
          <w:szCs w:val="22"/>
          <w:lang w:eastAsia="en-US"/>
        </w:rPr>
        <w:t xml:space="preserve"> na</w:t>
      </w:r>
      <w:r w:rsidRPr="008F7ACD">
        <w:rPr>
          <w:rFonts w:eastAsia="TimesNewRoman"/>
          <w:szCs w:val="22"/>
          <w:lang w:eastAsia="en-US"/>
        </w:rPr>
        <w:t xml:space="preserve"> akútnu </w:t>
      </w:r>
      <w:r w:rsidR="0057242D" w:rsidRPr="008F7ACD">
        <w:rPr>
          <w:rFonts w:eastAsia="TimesNewRoman"/>
          <w:szCs w:val="22"/>
          <w:lang w:eastAsia="en-US"/>
        </w:rPr>
        <w:t>liečbu</w:t>
      </w:r>
      <w:r w:rsidRPr="008F7ACD">
        <w:rPr>
          <w:rFonts w:eastAsia="TimesNewRoman"/>
          <w:szCs w:val="22"/>
          <w:lang w:eastAsia="en-US"/>
        </w:rPr>
        <w:t xml:space="preserve"> pozitívne inotropný</w:t>
      </w:r>
      <w:r w:rsidR="0057242D" w:rsidRPr="008F7ACD">
        <w:rPr>
          <w:rFonts w:eastAsia="TimesNewRoman"/>
          <w:szCs w:val="22"/>
          <w:lang w:eastAsia="en-US"/>
        </w:rPr>
        <w:t>mi</w:t>
      </w:r>
      <w:r w:rsidRPr="008F7ACD">
        <w:rPr>
          <w:rFonts w:eastAsia="TimesNewRoman"/>
          <w:szCs w:val="22"/>
          <w:lang w:eastAsia="en-US"/>
        </w:rPr>
        <w:t xml:space="preserve"> alebo presorický</w:t>
      </w:r>
      <w:r w:rsidR="0057242D" w:rsidRPr="008F7ACD">
        <w:rPr>
          <w:rFonts w:eastAsia="TimesNewRoman"/>
          <w:szCs w:val="22"/>
          <w:lang w:eastAsia="en-US"/>
        </w:rPr>
        <w:t>mi</w:t>
      </w:r>
      <w:r w:rsidRPr="008F7ACD">
        <w:rPr>
          <w:rFonts w:eastAsia="TimesNewRoman"/>
          <w:szCs w:val="22"/>
          <w:lang w:eastAsia="en-US"/>
        </w:rPr>
        <w:t xml:space="preserve"> látk</w:t>
      </w:r>
      <w:r w:rsidR="0057242D" w:rsidRPr="008F7ACD">
        <w:rPr>
          <w:rFonts w:eastAsia="TimesNewRoman"/>
          <w:szCs w:val="22"/>
          <w:lang w:eastAsia="en-US"/>
        </w:rPr>
        <w:t>ami</w:t>
      </w:r>
      <w:r w:rsidRPr="008F7ACD">
        <w:rPr>
          <w:rFonts w:eastAsia="TimesNewRoman"/>
          <w:szCs w:val="22"/>
          <w:lang w:eastAsia="en-US"/>
        </w:rPr>
        <w:t>.</w:t>
      </w:r>
      <w:r w:rsidR="00226790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Okrem toho, v štúdiách u psov bolo pozorované mierne zvýšenie upraveného QT intervalu.</w:t>
      </w:r>
    </w:p>
    <w:p w:rsidR="00D47819" w:rsidRPr="008F7ACD" w:rsidRDefault="00D47819" w:rsidP="00C92B0B">
      <w:pPr>
        <w:ind w:left="0" w:firstLine="0"/>
        <w:rPr>
          <w:i/>
          <w:szCs w:val="22"/>
        </w:rPr>
      </w:pPr>
    </w:p>
    <w:p w:rsidR="00636C42" w:rsidRPr="008F7ACD" w:rsidRDefault="00636C42" w:rsidP="00C92B0B">
      <w:pPr>
        <w:ind w:left="0" w:firstLine="0"/>
        <w:rPr>
          <w:b/>
          <w:szCs w:val="22"/>
        </w:rPr>
      </w:pPr>
    </w:p>
    <w:p w:rsidR="00FF6BE0" w:rsidRPr="008F7ACD" w:rsidRDefault="00FF6BE0" w:rsidP="00C92B0B">
      <w:pPr>
        <w:rPr>
          <w:b/>
          <w:szCs w:val="22"/>
        </w:rPr>
      </w:pPr>
      <w:r w:rsidRPr="008F7ACD">
        <w:rPr>
          <w:b/>
          <w:szCs w:val="22"/>
        </w:rPr>
        <w:t>6.</w:t>
      </w:r>
      <w:r w:rsidRPr="008F7ACD">
        <w:rPr>
          <w:b/>
          <w:szCs w:val="22"/>
        </w:rPr>
        <w:tab/>
        <w:t>FARMACEUTICKÉ INFORMÁCIE</w:t>
      </w:r>
    </w:p>
    <w:p w:rsidR="00FF6BE0" w:rsidRPr="008F7ACD" w:rsidRDefault="00FF6BE0" w:rsidP="00C92B0B">
      <w:pPr>
        <w:rPr>
          <w:szCs w:val="22"/>
        </w:rPr>
      </w:pPr>
    </w:p>
    <w:p w:rsidR="00FF6BE0" w:rsidRPr="008F7ACD" w:rsidRDefault="00FF6BE0" w:rsidP="00C92B0B">
      <w:pPr>
        <w:rPr>
          <w:szCs w:val="22"/>
        </w:rPr>
      </w:pPr>
      <w:r w:rsidRPr="008F7ACD">
        <w:rPr>
          <w:b/>
          <w:szCs w:val="22"/>
        </w:rPr>
        <w:t>6.1</w:t>
      </w:r>
      <w:r w:rsidRPr="008F7ACD">
        <w:rPr>
          <w:b/>
          <w:szCs w:val="22"/>
        </w:rPr>
        <w:tab/>
        <w:t>Zoznam pomocných látok</w:t>
      </w:r>
    </w:p>
    <w:p w:rsidR="00FF6BE0" w:rsidRPr="008F7ACD" w:rsidRDefault="00FF6BE0" w:rsidP="00C92B0B">
      <w:pPr>
        <w:rPr>
          <w:szCs w:val="22"/>
        </w:rPr>
      </w:pPr>
    </w:p>
    <w:p w:rsidR="00D47819" w:rsidRPr="008F7ACD" w:rsidRDefault="00126470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m</w:t>
      </w:r>
      <w:r w:rsidR="00D47819" w:rsidRPr="008F7ACD">
        <w:rPr>
          <w:rFonts w:eastAsia="TimesNewRoman"/>
          <w:szCs w:val="22"/>
          <w:lang w:eastAsia="en-US"/>
        </w:rPr>
        <w:t xml:space="preserve">anitol </w:t>
      </w:r>
    </w:p>
    <w:p w:rsidR="00126470" w:rsidRPr="008F7ACD" w:rsidRDefault="00126470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chlorid sodný</w:t>
      </w:r>
    </w:p>
    <w:p w:rsidR="00126470" w:rsidRPr="008F7ACD" w:rsidRDefault="00126470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voda na injekcie</w:t>
      </w:r>
    </w:p>
    <w:p w:rsidR="00FB095A" w:rsidRPr="008F7ACD" w:rsidRDefault="00FB095A" w:rsidP="00C92B0B">
      <w:pPr>
        <w:rPr>
          <w:b/>
          <w:szCs w:val="22"/>
        </w:rPr>
      </w:pPr>
    </w:p>
    <w:p w:rsidR="00FF6BE0" w:rsidRPr="008F7ACD" w:rsidRDefault="00FF6BE0" w:rsidP="00C92B0B">
      <w:pPr>
        <w:rPr>
          <w:szCs w:val="22"/>
        </w:rPr>
      </w:pPr>
      <w:r w:rsidRPr="008F7ACD">
        <w:rPr>
          <w:b/>
          <w:szCs w:val="22"/>
        </w:rPr>
        <w:t>6.2</w:t>
      </w:r>
      <w:r w:rsidRPr="008F7ACD">
        <w:rPr>
          <w:b/>
          <w:szCs w:val="22"/>
        </w:rPr>
        <w:tab/>
        <w:t>Inkompatibility</w:t>
      </w:r>
    </w:p>
    <w:p w:rsidR="00FF6BE0" w:rsidRPr="008F7ACD" w:rsidRDefault="00FF6BE0" w:rsidP="00C92B0B">
      <w:pPr>
        <w:rPr>
          <w:szCs w:val="22"/>
        </w:rPr>
      </w:pPr>
    </w:p>
    <w:p w:rsidR="00FF6BE0" w:rsidRPr="008F7ACD" w:rsidRDefault="00D47819" w:rsidP="00C92B0B">
      <w:pPr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Tento liek sa nesmie miešať s inými liekmi okrem tých, ktoré sú uvedené v časti 6.6.</w:t>
      </w:r>
    </w:p>
    <w:p w:rsidR="00D47819" w:rsidRPr="008F7ACD" w:rsidRDefault="00D47819" w:rsidP="00C92B0B">
      <w:pPr>
        <w:ind w:left="0" w:firstLine="0"/>
        <w:rPr>
          <w:szCs w:val="22"/>
        </w:rPr>
      </w:pPr>
    </w:p>
    <w:p w:rsidR="00FF6BE0" w:rsidRPr="008F7ACD" w:rsidRDefault="00FF6BE0" w:rsidP="00C92B0B">
      <w:pPr>
        <w:rPr>
          <w:szCs w:val="22"/>
        </w:rPr>
      </w:pPr>
      <w:r w:rsidRPr="008F7ACD">
        <w:rPr>
          <w:b/>
          <w:szCs w:val="22"/>
        </w:rPr>
        <w:t>6.3</w:t>
      </w:r>
      <w:r w:rsidRPr="008F7ACD">
        <w:rPr>
          <w:b/>
          <w:szCs w:val="22"/>
        </w:rPr>
        <w:tab/>
        <w:t>Čas použiteľnosti</w:t>
      </w:r>
    </w:p>
    <w:p w:rsidR="00FF6BE0" w:rsidRPr="008F7ACD" w:rsidRDefault="00FF6BE0" w:rsidP="00C92B0B">
      <w:pPr>
        <w:rPr>
          <w:szCs w:val="22"/>
        </w:rPr>
      </w:pPr>
    </w:p>
    <w:p w:rsidR="00D47819" w:rsidRPr="008F7ACD" w:rsidRDefault="00D47819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Neotvorená injekčná liekovka</w:t>
      </w:r>
    </w:p>
    <w:p w:rsidR="00126470" w:rsidRDefault="009225E8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>
        <w:rPr>
          <w:rFonts w:eastAsia="TimesNewRoman"/>
          <w:szCs w:val="22"/>
          <w:lang w:eastAsia="en-US"/>
        </w:rPr>
        <w:t>3 roky</w:t>
      </w:r>
    </w:p>
    <w:p w:rsidR="00351EAB" w:rsidRPr="008F7ACD" w:rsidRDefault="00351EAB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126470" w:rsidRPr="008F7ACD" w:rsidRDefault="00762F20" w:rsidP="00126470">
      <w:pPr>
        <w:autoSpaceDE w:val="0"/>
        <w:autoSpaceDN w:val="0"/>
        <w:adjustRightInd w:val="0"/>
        <w:rPr>
          <w:szCs w:val="22"/>
          <w:u w:val="single"/>
        </w:rPr>
      </w:pPr>
      <w:r w:rsidRPr="008F7ACD">
        <w:rPr>
          <w:szCs w:val="22"/>
          <w:u w:val="single"/>
        </w:rPr>
        <w:lastRenderedPageBreak/>
        <w:t>Stabilita po prvom otvorení</w:t>
      </w:r>
    </w:p>
    <w:p w:rsidR="00126470" w:rsidRPr="008F7ACD" w:rsidRDefault="00126470" w:rsidP="00126470">
      <w:pPr>
        <w:autoSpaceDE w:val="0"/>
        <w:autoSpaceDN w:val="0"/>
        <w:adjustRightInd w:val="0"/>
        <w:ind w:left="0" w:firstLine="0"/>
        <w:rPr>
          <w:szCs w:val="22"/>
        </w:rPr>
      </w:pPr>
      <w:r w:rsidRPr="008F7ACD">
        <w:rPr>
          <w:szCs w:val="22"/>
        </w:rPr>
        <w:t xml:space="preserve">Chemická a fyzikálna stabilita </w:t>
      </w:r>
      <w:r w:rsidR="00762F20" w:rsidRPr="008F7ACD">
        <w:rPr>
          <w:szCs w:val="22"/>
        </w:rPr>
        <w:t xml:space="preserve">po prvom otvorení a/alebo </w:t>
      </w:r>
      <w:r w:rsidRPr="008F7ACD">
        <w:rPr>
          <w:szCs w:val="22"/>
        </w:rPr>
        <w:t xml:space="preserve">po </w:t>
      </w:r>
      <w:r w:rsidR="00AF1E6E">
        <w:rPr>
          <w:szCs w:val="22"/>
        </w:rPr>
        <w:t xml:space="preserve">zriedení </w:t>
      </w:r>
      <w:r w:rsidR="00762F20" w:rsidRPr="008F7ACD">
        <w:rPr>
          <w:szCs w:val="22"/>
        </w:rPr>
        <w:t xml:space="preserve">bola dokázaná počas </w:t>
      </w:r>
      <w:r w:rsidR="009225E8">
        <w:rPr>
          <w:szCs w:val="22"/>
        </w:rPr>
        <w:t>28 dní pri 2 – 8 °C a ochrane pred svetlom, 7 dní pri 25 °C pri ochrane pred svetlom a</w:t>
      </w:r>
      <w:r w:rsidR="00533653">
        <w:rPr>
          <w:szCs w:val="22"/>
        </w:rPr>
        <w:t>lebo</w:t>
      </w:r>
      <w:r w:rsidR="009225E8">
        <w:rPr>
          <w:szCs w:val="22"/>
        </w:rPr>
        <w:t> </w:t>
      </w:r>
      <w:r w:rsidR="00564109">
        <w:rPr>
          <w:szCs w:val="22"/>
        </w:rPr>
        <w:t>24 hodín</w:t>
      </w:r>
      <w:r w:rsidR="009225E8">
        <w:rPr>
          <w:szCs w:val="22"/>
        </w:rPr>
        <w:t xml:space="preserve"> pri 25 °C pri </w:t>
      </w:r>
      <w:r w:rsidR="00564109">
        <w:rPr>
          <w:szCs w:val="22"/>
        </w:rPr>
        <w:t>normálnych</w:t>
      </w:r>
      <w:r w:rsidR="009225E8">
        <w:rPr>
          <w:szCs w:val="22"/>
        </w:rPr>
        <w:t xml:space="preserve"> izbových svetelných podmienkach </w:t>
      </w:r>
      <w:r w:rsidR="00762F20" w:rsidRPr="008F7ACD">
        <w:rPr>
          <w:szCs w:val="22"/>
        </w:rPr>
        <w:t>pri uchovávaní v pôvodnej injekčnej liekovke a/alebo v polypropylénovej injekčnej striekačke.</w:t>
      </w:r>
      <w:r w:rsidRPr="008F7ACD">
        <w:rPr>
          <w:szCs w:val="22"/>
        </w:rPr>
        <w:t xml:space="preserve"> </w:t>
      </w:r>
    </w:p>
    <w:p w:rsidR="00C33AD5" w:rsidRPr="008F7ACD" w:rsidRDefault="00C33AD5" w:rsidP="00126470">
      <w:pPr>
        <w:autoSpaceDE w:val="0"/>
        <w:autoSpaceDN w:val="0"/>
        <w:adjustRightInd w:val="0"/>
        <w:ind w:left="0" w:firstLine="0"/>
        <w:rPr>
          <w:szCs w:val="22"/>
        </w:rPr>
      </w:pPr>
    </w:p>
    <w:p w:rsidR="00126470" w:rsidRPr="008F7ACD" w:rsidRDefault="00126470" w:rsidP="00126470">
      <w:pPr>
        <w:autoSpaceDE w:val="0"/>
        <w:autoSpaceDN w:val="0"/>
        <w:adjustRightInd w:val="0"/>
        <w:ind w:left="0" w:firstLine="0"/>
        <w:rPr>
          <w:szCs w:val="22"/>
        </w:rPr>
      </w:pPr>
      <w:r w:rsidRPr="008F7ACD">
        <w:rPr>
          <w:szCs w:val="22"/>
        </w:rPr>
        <w:t>Z mikrobiologického hľadiska sa liek má použiť ihneď</w:t>
      </w:r>
      <w:r w:rsidR="00C33AD5" w:rsidRPr="008F7ACD">
        <w:rPr>
          <w:szCs w:val="22"/>
        </w:rPr>
        <w:t xml:space="preserve">, pokiaľ metódy otvorenia a/alebo </w:t>
      </w:r>
      <w:r w:rsidR="00AF1E6E">
        <w:rPr>
          <w:szCs w:val="22"/>
        </w:rPr>
        <w:t xml:space="preserve">riedenia </w:t>
      </w:r>
      <w:r w:rsidR="00C33AD5" w:rsidRPr="008F7ACD">
        <w:rPr>
          <w:szCs w:val="22"/>
        </w:rPr>
        <w:t xml:space="preserve">nevylučujú riziko mikrobiálnej kontaminácie. </w:t>
      </w:r>
      <w:r w:rsidRPr="008F7ACD">
        <w:rPr>
          <w:szCs w:val="22"/>
        </w:rPr>
        <w:t xml:space="preserve">Ak sa nepoužije ihneď, za čas použiteľnosti </w:t>
      </w:r>
      <w:r w:rsidR="00C33AD5" w:rsidRPr="008F7ACD">
        <w:rPr>
          <w:szCs w:val="22"/>
        </w:rPr>
        <w:t xml:space="preserve">po prvom otvorení </w:t>
      </w:r>
      <w:r w:rsidRPr="008F7ACD">
        <w:rPr>
          <w:szCs w:val="22"/>
        </w:rPr>
        <w:t xml:space="preserve">a podmienky </w:t>
      </w:r>
      <w:r w:rsidR="00C33AD5" w:rsidRPr="008F7ACD">
        <w:rPr>
          <w:szCs w:val="22"/>
        </w:rPr>
        <w:t>je zodpovedný používateľ.</w:t>
      </w:r>
    </w:p>
    <w:p w:rsidR="00C33AD5" w:rsidRPr="008F7ACD" w:rsidRDefault="00C33AD5" w:rsidP="00126470">
      <w:pPr>
        <w:autoSpaceDE w:val="0"/>
        <w:autoSpaceDN w:val="0"/>
        <w:adjustRightInd w:val="0"/>
        <w:ind w:left="0" w:firstLine="0"/>
        <w:rPr>
          <w:szCs w:val="22"/>
        </w:rPr>
      </w:pPr>
    </w:p>
    <w:p w:rsidR="00C33AD5" w:rsidRPr="008F7ACD" w:rsidRDefault="00C33AD5" w:rsidP="00126470">
      <w:pPr>
        <w:autoSpaceDE w:val="0"/>
        <w:autoSpaceDN w:val="0"/>
        <w:adjustRightInd w:val="0"/>
        <w:ind w:left="0" w:firstLine="0"/>
        <w:rPr>
          <w:szCs w:val="22"/>
        </w:rPr>
      </w:pPr>
    </w:p>
    <w:p w:rsidR="00C33AD5" w:rsidRPr="008F7ACD" w:rsidRDefault="00C33AD5" w:rsidP="00126470">
      <w:pPr>
        <w:autoSpaceDE w:val="0"/>
        <w:autoSpaceDN w:val="0"/>
        <w:adjustRightInd w:val="0"/>
        <w:ind w:left="0" w:firstLine="0"/>
        <w:rPr>
          <w:szCs w:val="22"/>
        </w:rPr>
      </w:pPr>
      <w:r w:rsidRPr="008F7ACD">
        <w:rPr>
          <w:szCs w:val="22"/>
        </w:rPr>
        <w:t>Pri príprave na podanie a počas podávania samotného nie je potrebné chrániť liek pred svetlom.</w:t>
      </w:r>
    </w:p>
    <w:p w:rsidR="001E7D3E" w:rsidRPr="008F7ACD" w:rsidRDefault="001E7D3E" w:rsidP="001E7D3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FF6BE0" w:rsidRPr="008F7ACD" w:rsidRDefault="00FF6BE0" w:rsidP="00C92B0B">
      <w:pPr>
        <w:rPr>
          <w:szCs w:val="22"/>
        </w:rPr>
      </w:pPr>
      <w:r w:rsidRPr="008F7ACD">
        <w:rPr>
          <w:b/>
          <w:szCs w:val="22"/>
        </w:rPr>
        <w:t>6.4</w:t>
      </w:r>
      <w:r w:rsidRPr="008F7ACD">
        <w:rPr>
          <w:b/>
          <w:szCs w:val="22"/>
        </w:rPr>
        <w:tab/>
        <w:t>Špeciálne upozornenia na uchovávanie</w:t>
      </w:r>
    </w:p>
    <w:p w:rsidR="007567B5" w:rsidRPr="008F7ACD" w:rsidRDefault="007567B5" w:rsidP="00C92B0B">
      <w:pPr>
        <w:autoSpaceDE w:val="0"/>
        <w:autoSpaceDN w:val="0"/>
        <w:adjustRightInd w:val="0"/>
        <w:ind w:left="0" w:firstLine="0"/>
        <w:rPr>
          <w:szCs w:val="22"/>
        </w:rPr>
      </w:pPr>
    </w:p>
    <w:p w:rsidR="009C2BB1" w:rsidRPr="008F7ACD" w:rsidRDefault="00C33AD5" w:rsidP="00D47819">
      <w:pPr>
        <w:autoSpaceDE w:val="0"/>
        <w:autoSpaceDN w:val="0"/>
        <w:adjustRightInd w:val="0"/>
        <w:ind w:left="0" w:firstLine="0"/>
        <w:rPr>
          <w:szCs w:val="22"/>
        </w:rPr>
      </w:pPr>
      <w:r w:rsidRPr="008F7ACD">
        <w:rPr>
          <w:szCs w:val="22"/>
        </w:rPr>
        <w:t>Uchovávajte v chladničke pri teplote 2</w:t>
      </w:r>
      <w:r w:rsidR="001A0340" w:rsidRPr="008F7ACD">
        <w:rPr>
          <w:szCs w:val="22"/>
        </w:rPr>
        <w:t> </w:t>
      </w:r>
      <w:r w:rsidRPr="008F7ACD">
        <w:rPr>
          <w:szCs w:val="22"/>
        </w:rPr>
        <w:sym w:font="Symbol" w:char="F0B0"/>
      </w:r>
      <w:r w:rsidRPr="008F7ACD">
        <w:rPr>
          <w:szCs w:val="22"/>
        </w:rPr>
        <w:t>C – 8</w:t>
      </w:r>
      <w:r w:rsidR="001A0340" w:rsidRPr="008F7ACD">
        <w:rPr>
          <w:szCs w:val="22"/>
        </w:rPr>
        <w:t> </w:t>
      </w:r>
      <w:r w:rsidRPr="008F7ACD">
        <w:rPr>
          <w:szCs w:val="22"/>
        </w:rPr>
        <w:sym w:font="Symbol" w:char="F0B0"/>
      </w:r>
      <w:r w:rsidRPr="008F7ACD">
        <w:rPr>
          <w:szCs w:val="22"/>
        </w:rPr>
        <w:t>C.</w:t>
      </w:r>
    </w:p>
    <w:p w:rsidR="00C33AD5" w:rsidRPr="008F7ACD" w:rsidRDefault="00C33AD5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D47819" w:rsidRPr="008F7ACD" w:rsidRDefault="00D47819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Injekčnú liekovku uchovávajte </w:t>
      </w:r>
      <w:r w:rsidR="00C33AD5" w:rsidRPr="008F7ACD">
        <w:rPr>
          <w:rFonts w:eastAsia="TimesNewRoman"/>
          <w:szCs w:val="22"/>
          <w:lang w:eastAsia="en-US"/>
        </w:rPr>
        <w:t>vo vonkajšom</w:t>
      </w:r>
      <w:r w:rsidRPr="008F7ACD">
        <w:rPr>
          <w:rFonts w:eastAsia="TimesNewRoman"/>
          <w:szCs w:val="22"/>
          <w:lang w:eastAsia="en-US"/>
        </w:rPr>
        <w:t xml:space="preserve"> obale na ochranu pred svetlom.</w:t>
      </w:r>
      <w:r w:rsidR="00C33AD5" w:rsidRPr="008F7ACD">
        <w:rPr>
          <w:rFonts w:eastAsia="TimesNewRoman"/>
          <w:szCs w:val="22"/>
          <w:lang w:eastAsia="en-US"/>
        </w:rPr>
        <w:t xml:space="preserve"> Pre podmienky uchovávania po </w:t>
      </w:r>
      <w:r w:rsidR="00AF1E6E">
        <w:rPr>
          <w:rFonts w:eastAsia="TimesNewRoman"/>
          <w:szCs w:val="22"/>
          <w:lang w:eastAsia="en-US"/>
        </w:rPr>
        <w:t xml:space="preserve">zriedení </w:t>
      </w:r>
      <w:r w:rsidR="00C33AD5" w:rsidRPr="008F7ACD">
        <w:rPr>
          <w:rFonts w:eastAsia="TimesNewRoman"/>
          <w:szCs w:val="22"/>
          <w:lang w:eastAsia="en-US"/>
        </w:rPr>
        <w:t>lieku pozri časť 6.3.</w:t>
      </w:r>
    </w:p>
    <w:p w:rsidR="009C2BB1" w:rsidRPr="008F7ACD" w:rsidRDefault="009C2BB1" w:rsidP="00D47819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FF6BE0" w:rsidRPr="008F7ACD" w:rsidRDefault="00FF6BE0" w:rsidP="00C92B0B">
      <w:pPr>
        <w:rPr>
          <w:szCs w:val="22"/>
        </w:rPr>
      </w:pPr>
      <w:r w:rsidRPr="008F7ACD">
        <w:rPr>
          <w:b/>
          <w:szCs w:val="22"/>
        </w:rPr>
        <w:t>6.5</w:t>
      </w:r>
      <w:r w:rsidRPr="008F7ACD">
        <w:rPr>
          <w:b/>
          <w:szCs w:val="22"/>
        </w:rPr>
        <w:tab/>
        <w:t>Druh obalu a obsah balenia</w:t>
      </w:r>
      <w:r w:rsidRPr="008F7ACD">
        <w:rPr>
          <w:b/>
          <w:color w:val="0000FF"/>
          <w:szCs w:val="22"/>
        </w:rPr>
        <w:t xml:space="preserve"> </w:t>
      </w:r>
    </w:p>
    <w:p w:rsidR="00D21D8D" w:rsidRPr="008F7ACD" w:rsidRDefault="00D21D8D" w:rsidP="00C92B0B">
      <w:pPr>
        <w:rPr>
          <w:szCs w:val="22"/>
        </w:rPr>
      </w:pPr>
    </w:p>
    <w:p w:rsidR="004F0B1A" w:rsidRPr="008F7ACD" w:rsidRDefault="00DE53D9" w:rsidP="004F0B1A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szCs w:val="22"/>
        </w:rPr>
        <w:t xml:space="preserve">Sklenená </w:t>
      </w:r>
      <w:r w:rsidR="007567B5" w:rsidRPr="008F7ACD">
        <w:rPr>
          <w:szCs w:val="22"/>
        </w:rPr>
        <w:t>10</w:t>
      </w:r>
      <w:r w:rsidR="003A24D7" w:rsidRPr="008F7ACD">
        <w:rPr>
          <w:rFonts w:eastAsia="TimesNewRoman"/>
          <w:szCs w:val="22"/>
          <w:lang w:eastAsia="en-US"/>
        </w:rPr>
        <w:t> ml</w:t>
      </w:r>
      <w:r w:rsidRPr="008F7ACD">
        <w:rPr>
          <w:rFonts w:eastAsia="TimesNewRoman"/>
          <w:szCs w:val="22"/>
          <w:lang w:eastAsia="en-US"/>
        </w:rPr>
        <w:t xml:space="preserve"> </w:t>
      </w:r>
      <w:r w:rsidR="003A24D7" w:rsidRPr="008F7ACD">
        <w:rPr>
          <w:rFonts w:eastAsia="TimesNewRoman"/>
          <w:szCs w:val="22"/>
          <w:lang w:eastAsia="en-US"/>
        </w:rPr>
        <w:t xml:space="preserve">injekčná liekovka </w:t>
      </w:r>
      <w:r w:rsidR="004F0B1A" w:rsidRPr="008F7ACD">
        <w:rPr>
          <w:rFonts w:eastAsia="TimesNewRoman"/>
          <w:szCs w:val="22"/>
          <w:lang w:eastAsia="en-US"/>
        </w:rPr>
        <w:t>typu I</w:t>
      </w:r>
      <w:r w:rsidR="00AE2056" w:rsidRPr="008F7ACD">
        <w:rPr>
          <w:rFonts w:eastAsia="TimesNewRoman"/>
          <w:szCs w:val="22"/>
          <w:lang w:eastAsia="en-US"/>
        </w:rPr>
        <w:t> uzatvorená</w:t>
      </w:r>
      <w:r w:rsidR="003A24D7" w:rsidRPr="008F7ACD">
        <w:rPr>
          <w:rFonts w:eastAsia="TimesNewRoman"/>
          <w:szCs w:val="22"/>
          <w:lang w:eastAsia="en-US"/>
        </w:rPr>
        <w:t xml:space="preserve"> </w:t>
      </w:r>
      <w:r w:rsidR="00C33AD5" w:rsidRPr="008F7ACD">
        <w:rPr>
          <w:rFonts w:eastAsia="TimesNewRoman"/>
          <w:szCs w:val="22"/>
          <w:lang w:eastAsia="en-US"/>
        </w:rPr>
        <w:t>bróm</w:t>
      </w:r>
      <w:r w:rsidR="00A95B99" w:rsidRPr="008F7ACD">
        <w:rPr>
          <w:rFonts w:eastAsia="TimesNewRoman"/>
          <w:szCs w:val="22"/>
          <w:lang w:eastAsia="en-US"/>
        </w:rPr>
        <w:t>b</w:t>
      </w:r>
      <w:r w:rsidR="004F0B1A" w:rsidRPr="008F7ACD">
        <w:rPr>
          <w:rFonts w:eastAsia="TimesNewRoman"/>
          <w:szCs w:val="22"/>
          <w:lang w:eastAsia="en-US"/>
        </w:rPr>
        <w:t xml:space="preserve">utylovým </w:t>
      </w:r>
      <w:r w:rsidR="009A48F3" w:rsidRPr="008F7ACD">
        <w:rPr>
          <w:rFonts w:eastAsia="TimesNewRoman"/>
          <w:szCs w:val="22"/>
          <w:lang w:eastAsia="en-US"/>
        </w:rPr>
        <w:t xml:space="preserve">gumovým </w:t>
      </w:r>
      <w:r w:rsidR="004F0B1A" w:rsidRPr="008F7ACD">
        <w:rPr>
          <w:rFonts w:eastAsia="TimesNewRoman"/>
          <w:szCs w:val="22"/>
          <w:lang w:eastAsia="en-US"/>
        </w:rPr>
        <w:t>uzáverom a</w:t>
      </w:r>
      <w:r w:rsidR="00A95B99" w:rsidRPr="008F7ACD">
        <w:rPr>
          <w:rFonts w:eastAsia="TimesNewRoman"/>
          <w:szCs w:val="22"/>
          <w:lang w:eastAsia="en-US"/>
        </w:rPr>
        <w:t> </w:t>
      </w:r>
      <w:r w:rsidR="004F0B1A" w:rsidRPr="008F7ACD">
        <w:rPr>
          <w:rFonts w:eastAsia="TimesNewRoman"/>
          <w:szCs w:val="22"/>
          <w:lang w:eastAsia="en-US"/>
        </w:rPr>
        <w:t>hliníkovým</w:t>
      </w:r>
      <w:r w:rsidR="003A24D7" w:rsidRPr="008F7ACD">
        <w:rPr>
          <w:rFonts w:eastAsia="TimesNewRoman"/>
          <w:szCs w:val="22"/>
          <w:lang w:eastAsia="en-US"/>
        </w:rPr>
        <w:t xml:space="preserve"> </w:t>
      </w:r>
      <w:r w:rsidR="00C33AD5" w:rsidRPr="008F7ACD">
        <w:rPr>
          <w:rFonts w:eastAsia="TimesNewRoman"/>
          <w:szCs w:val="22"/>
          <w:lang w:eastAsia="en-US"/>
        </w:rPr>
        <w:t>viečkom s obrubou</w:t>
      </w:r>
      <w:r w:rsidRPr="008F7ACD">
        <w:rPr>
          <w:rFonts w:eastAsia="TimesNewRoman"/>
          <w:szCs w:val="22"/>
          <w:lang w:eastAsia="en-US"/>
        </w:rPr>
        <w:t xml:space="preserve"> </w:t>
      </w:r>
      <w:r w:rsidR="00D27D3D">
        <w:rPr>
          <w:rFonts w:eastAsia="TimesNewRoman"/>
          <w:szCs w:val="22"/>
          <w:lang w:eastAsia="en-US"/>
        </w:rPr>
        <w:t xml:space="preserve">so žltým </w:t>
      </w:r>
      <w:r w:rsidR="00C33AD5" w:rsidRPr="008F7ACD">
        <w:rPr>
          <w:rFonts w:eastAsia="TimesNewRoman"/>
          <w:szCs w:val="22"/>
          <w:lang w:eastAsia="en-US"/>
        </w:rPr>
        <w:t>polypropylénovým odklápacím viečkom</w:t>
      </w:r>
      <w:r w:rsidR="005A38A4" w:rsidRPr="008F7ACD">
        <w:rPr>
          <w:rFonts w:eastAsia="TimesNewRoman"/>
          <w:szCs w:val="22"/>
          <w:lang w:eastAsia="en-US"/>
        </w:rPr>
        <w:t xml:space="preserve"> s </w:t>
      </w:r>
      <w:r w:rsidRPr="008F7ACD">
        <w:rPr>
          <w:rFonts w:eastAsia="TimesNewRoman"/>
          <w:szCs w:val="22"/>
          <w:lang w:eastAsia="en-US"/>
        </w:rPr>
        <w:t xml:space="preserve">obsahom </w:t>
      </w:r>
      <w:r w:rsidR="005A38A4" w:rsidRPr="008F7ACD">
        <w:rPr>
          <w:rFonts w:eastAsia="TimesNewRoman"/>
          <w:szCs w:val="22"/>
          <w:lang w:eastAsia="en-US"/>
        </w:rPr>
        <w:t>1,4</w:t>
      </w:r>
      <w:r w:rsidR="003A24D7" w:rsidRPr="008F7ACD">
        <w:rPr>
          <w:rFonts w:eastAsia="TimesNewRoman"/>
          <w:szCs w:val="22"/>
          <w:lang w:eastAsia="en-US"/>
        </w:rPr>
        <w:t> </w:t>
      </w:r>
      <w:r w:rsidR="001A0340" w:rsidRPr="008F7ACD">
        <w:rPr>
          <w:rFonts w:eastAsia="TimesNewRoman"/>
          <w:szCs w:val="22"/>
          <w:lang w:eastAsia="en-US"/>
        </w:rPr>
        <w:t>ml</w:t>
      </w:r>
      <w:r w:rsidR="004F0B1A" w:rsidRPr="008F7ACD">
        <w:rPr>
          <w:rFonts w:eastAsia="TimesNewRoman"/>
          <w:szCs w:val="22"/>
          <w:lang w:eastAsia="en-US"/>
        </w:rPr>
        <w:t xml:space="preserve"> </w:t>
      </w:r>
      <w:r w:rsidR="005A38A4" w:rsidRPr="008F7ACD">
        <w:rPr>
          <w:rFonts w:eastAsia="TimesNewRoman"/>
          <w:szCs w:val="22"/>
          <w:lang w:eastAsia="en-US"/>
        </w:rPr>
        <w:t>roztoku</w:t>
      </w:r>
      <w:r w:rsidR="004F0B1A" w:rsidRPr="008F7ACD">
        <w:rPr>
          <w:rFonts w:eastAsia="TimesNewRoman"/>
          <w:szCs w:val="22"/>
          <w:lang w:eastAsia="en-US"/>
        </w:rPr>
        <w:t>.</w:t>
      </w:r>
    </w:p>
    <w:p w:rsidR="003A24D7" w:rsidRPr="008F7ACD" w:rsidRDefault="003A24D7" w:rsidP="004F0B1A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FF6BE0" w:rsidRPr="008F7ACD" w:rsidRDefault="005A38A4" w:rsidP="005A38A4">
      <w:pPr>
        <w:ind w:left="0" w:firstLine="0"/>
        <w:rPr>
          <w:szCs w:val="22"/>
        </w:rPr>
      </w:pPr>
      <w:r w:rsidRPr="008F7ACD">
        <w:rPr>
          <w:szCs w:val="22"/>
        </w:rPr>
        <w:t>Injekčná liekovka je umiestnená v papierovej škatuľke. Každé balenie obsahuje 1 jednorazovú injekčnú liekovku.</w:t>
      </w:r>
    </w:p>
    <w:p w:rsidR="00FF6BE0" w:rsidRPr="008F7ACD" w:rsidRDefault="00FF6BE0" w:rsidP="00C92B0B">
      <w:pPr>
        <w:rPr>
          <w:szCs w:val="22"/>
        </w:rPr>
      </w:pPr>
    </w:p>
    <w:p w:rsidR="00FF6BE0" w:rsidRPr="008F7ACD" w:rsidRDefault="00FF6BE0" w:rsidP="00C92B0B">
      <w:pPr>
        <w:rPr>
          <w:b/>
          <w:bCs/>
          <w:szCs w:val="22"/>
        </w:rPr>
      </w:pPr>
      <w:r w:rsidRPr="008F7ACD">
        <w:rPr>
          <w:b/>
          <w:szCs w:val="22"/>
        </w:rPr>
        <w:t>6.6</w:t>
      </w:r>
      <w:r w:rsidRPr="008F7ACD">
        <w:rPr>
          <w:b/>
          <w:szCs w:val="22"/>
        </w:rPr>
        <w:tab/>
      </w:r>
      <w:r w:rsidRPr="008F7ACD">
        <w:rPr>
          <w:b/>
          <w:bCs/>
          <w:szCs w:val="22"/>
        </w:rPr>
        <w:t>Špeciálne opatrenia na likvidáciu</w:t>
      </w:r>
      <w:r w:rsidR="003A24D7" w:rsidRPr="008F7ACD">
        <w:rPr>
          <w:b/>
          <w:bCs/>
          <w:szCs w:val="22"/>
        </w:rPr>
        <w:t xml:space="preserve"> a iné zaobchádzanie s liekom</w:t>
      </w:r>
    </w:p>
    <w:p w:rsidR="00FF6BE0" w:rsidRPr="008F7ACD" w:rsidRDefault="00FF6BE0" w:rsidP="00C92B0B">
      <w:pPr>
        <w:rPr>
          <w:b/>
          <w:bCs/>
          <w:szCs w:val="22"/>
        </w:rPr>
      </w:pPr>
    </w:p>
    <w:p w:rsidR="005A38A4" w:rsidRPr="008F7ACD" w:rsidRDefault="005A38A4" w:rsidP="00C92B0B">
      <w:pPr>
        <w:rPr>
          <w:bCs/>
          <w:szCs w:val="22"/>
        </w:rPr>
      </w:pPr>
      <w:r w:rsidRPr="008F7ACD">
        <w:rPr>
          <w:bCs/>
          <w:szCs w:val="22"/>
        </w:rPr>
        <w:t>Tehotné zdravotnícke pracovníčky nesmú manipulovať s týmto liekom.</w:t>
      </w:r>
    </w:p>
    <w:p w:rsidR="005A38A4" w:rsidRPr="008F7ACD" w:rsidRDefault="005A38A4" w:rsidP="00C92B0B">
      <w:pPr>
        <w:rPr>
          <w:bCs/>
          <w:szCs w:val="22"/>
        </w:rPr>
      </w:pPr>
    </w:p>
    <w:p w:rsidR="004F0B1A" w:rsidRPr="008F7ACD" w:rsidRDefault="004F0B1A" w:rsidP="004F0B1A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Všeobecné opatrenia</w:t>
      </w:r>
    </w:p>
    <w:p w:rsidR="004F0B1A" w:rsidRPr="008F7ACD" w:rsidRDefault="004F0B1A" w:rsidP="004F0B1A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Bortezomib je cytotoxická látka. Preto buďte opatrní pri manipulácii a príprave </w:t>
      </w:r>
      <w:r w:rsidR="00822511" w:rsidRPr="008F7ACD">
        <w:rPr>
          <w:rFonts w:eastAsia="TimesNewRoman"/>
          <w:szCs w:val="22"/>
          <w:lang w:eastAsia="en-US"/>
        </w:rPr>
        <w:t>Bortezomib</w:t>
      </w:r>
      <w:r w:rsidR="005760B0" w:rsidRPr="008F7ACD">
        <w:rPr>
          <w:rFonts w:eastAsia="TimesNewRoman"/>
          <w:szCs w:val="22"/>
          <w:lang w:eastAsia="en-US"/>
        </w:rPr>
        <w:t>u</w:t>
      </w:r>
      <w:r w:rsidR="00822511" w:rsidRPr="008F7ACD">
        <w:rPr>
          <w:rFonts w:eastAsia="TimesNewRoman"/>
          <w:szCs w:val="22"/>
          <w:lang w:eastAsia="en-US"/>
        </w:rPr>
        <w:t xml:space="preserve"> </w:t>
      </w:r>
      <w:r w:rsidR="00134C1D" w:rsidRPr="008F7ACD">
        <w:rPr>
          <w:rFonts w:eastAsia="TimesNewRoman"/>
          <w:szCs w:val="22"/>
          <w:lang w:eastAsia="en-US"/>
        </w:rPr>
        <w:t>STADA</w:t>
      </w:r>
      <w:r w:rsidRPr="008F7ACD">
        <w:rPr>
          <w:rFonts w:eastAsia="TimesNewRoman"/>
          <w:szCs w:val="22"/>
          <w:lang w:eastAsia="en-US"/>
        </w:rPr>
        <w:t>. Na</w:t>
      </w:r>
      <w:r w:rsidR="00C346E9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 xml:space="preserve">ochranu pred kontaktom s </w:t>
      </w:r>
      <w:r w:rsidR="00311C04" w:rsidRPr="008F7ACD">
        <w:rPr>
          <w:rFonts w:eastAsia="TimesNewRoman"/>
          <w:szCs w:val="22"/>
          <w:lang w:eastAsia="en-US"/>
        </w:rPr>
        <w:t>kožou</w:t>
      </w:r>
      <w:r w:rsidRPr="008F7ACD">
        <w:rPr>
          <w:rFonts w:eastAsia="TimesNewRoman"/>
          <w:szCs w:val="22"/>
          <w:lang w:eastAsia="en-US"/>
        </w:rPr>
        <w:t xml:space="preserve"> používajte rukavice a iný ochranný odev.</w:t>
      </w:r>
    </w:p>
    <w:p w:rsidR="00A95B99" w:rsidRPr="008F7ACD" w:rsidRDefault="00A95B99" w:rsidP="004F0B1A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4F0B1A" w:rsidRPr="008F7ACD" w:rsidRDefault="004F0B1A" w:rsidP="004F0B1A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,Bold"/>
          <w:b/>
          <w:bCs/>
          <w:szCs w:val="22"/>
          <w:lang w:eastAsia="en-US"/>
        </w:rPr>
        <w:t xml:space="preserve">Aseptické techniky </w:t>
      </w:r>
      <w:r w:rsidRPr="008F7ACD">
        <w:rPr>
          <w:rFonts w:eastAsia="TimesNewRoman"/>
          <w:szCs w:val="22"/>
          <w:lang w:eastAsia="en-US"/>
        </w:rPr>
        <w:t>sa musia prísne dodržiavať pri zaobchádzaní s</w:t>
      </w:r>
      <w:r w:rsidR="00133395" w:rsidRPr="008F7ACD">
        <w:rPr>
          <w:rFonts w:eastAsia="TimesNewRoman"/>
          <w:szCs w:val="22"/>
          <w:lang w:eastAsia="en-US"/>
        </w:rPr>
        <w:t> </w:t>
      </w:r>
      <w:r w:rsidR="00822511" w:rsidRPr="008F7ACD">
        <w:rPr>
          <w:rFonts w:eastAsia="TimesNewRoman"/>
          <w:szCs w:val="22"/>
          <w:lang w:eastAsia="en-US"/>
        </w:rPr>
        <w:t>Bortezomib</w:t>
      </w:r>
      <w:r w:rsidR="005760B0" w:rsidRPr="008F7ACD">
        <w:rPr>
          <w:rFonts w:eastAsia="TimesNewRoman"/>
          <w:szCs w:val="22"/>
          <w:lang w:eastAsia="en-US"/>
        </w:rPr>
        <w:t>om</w:t>
      </w:r>
      <w:r w:rsidR="00822511" w:rsidRPr="008F7ACD">
        <w:rPr>
          <w:rFonts w:eastAsia="TimesNewRoman"/>
          <w:szCs w:val="22"/>
          <w:lang w:eastAsia="en-US"/>
        </w:rPr>
        <w:t xml:space="preserve"> </w:t>
      </w:r>
      <w:r w:rsidR="00134C1D" w:rsidRPr="008F7ACD">
        <w:rPr>
          <w:rFonts w:eastAsia="TimesNewRoman"/>
          <w:szCs w:val="22"/>
          <w:lang w:eastAsia="en-US"/>
        </w:rPr>
        <w:t>STADA</w:t>
      </w:r>
      <w:r w:rsidRPr="008F7ACD">
        <w:rPr>
          <w:rFonts w:eastAsia="TimesNewRoman"/>
          <w:szCs w:val="22"/>
          <w:lang w:eastAsia="en-US"/>
        </w:rPr>
        <w:t>, pretože liek</w:t>
      </w:r>
      <w:r w:rsidR="0004491C" w:rsidRPr="008F7ACD">
        <w:rPr>
          <w:rFonts w:eastAsia="TimesNewRoman"/>
          <w:szCs w:val="22"/>
          <w:lang w:eastAsia="en-US"/>
        </w:rPr>
        <w:t xml:space="preserve"> </w:t>
      </w:r>
      <w:r w:rsidRPr="008F7ACD">
        <w:rPr>
          <w:rFonts w:eastAsia="TimesNewRoman"/>
          <w:szCs w:val="22"/>
          <w:lang w:eastAsia="en-US"/>
        </w:rPr>
        <w:t>neobsahuje žiadnu konzervačnú látku.</w:t>
      </w:r>
    </w:p>
    <w:p w:rsidR="00A95B99" w:rsidRPr="008F7ACD" w:rsidRDefault="00A95B99" w:rsidP="004F0B1A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4F0B1A" w:rsidRPr="008F7ACD" w:rsidRDefault="0004491C" w:rsidP="005A38A4">
      <w:pPr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>Po neúmyselnom podaní bortezomibu intratekálne boli zaznamenané prípady úmrtia.</w:t>
      </w:r>
      <w:r w:rsidR="005A38A4" w:rsidRPr="008F7ACD">
        <w:rPr>
          <w:rFonts w:eastAsia="TimesNewRoman"/>
          <w:szCs w:val="22"/>
          <w:lang w:eastAsia="en-US"/>
        </w:rPr>
        <w:t xml:space="preserve"> </w:t>
      </w:r>
      <w:r w:rsidR="005A38A4" w:rsidRPr="008F7ACD">
        <w:rPr>
          <w:szCs w:val="22"/>
        </w:rPr>
        <w:t xml:space="preserve">Bortezomib STADA 2,5 mg/ml injekčný roztok je určený na subkutánnu injekciu a po zriedení aj na intravenózne použitie. </w:t>
      </w:r>
      <w:r w:rsidR="00822511" w:rsidRPr="008F7ACD">
        <w:rPr>
          <w:rFonts w:eastAsia="TimesNewRoman"/>
          <w:szCs w:val="22"/>
          <w:lang w:eastAsia="en-US"/>
        </w:rPr>
        <w:t xml:space="preserve">Bortezomib </w:t>
      </w:r>
      <w:r w:rsidR="00134C1D" w:rsidRPr="008F7ACD">
        <w:rPr>
          <w:rFonts w:eastAsia="TimesNewRoman"/>
          <w:szCs w:val="22"/>
          <w:lang w:eastAsia="en-US"/>
        </w:rPr>
        <w:t>STADA</w:t>
      </w:r>
      <w:r w:rsidRPr="008F7ACD">
        <w:rPr>
          <w:rFonts w:eastAsia="TimesNewRoman"/>
          <w:szCs w:val="22"/>
          <w:lang w:eastAsia="en-US"/>
        </w:rPr>
        <w:t xml:space="preserve"> sa nesmie </w:t>
      </w:r>
      <w:r w:rsidR="004F0B1A" w:rsidRPr="008F7ACD">
        <w:rPr>
          <w:rFonts w:eastAsia="TimesNewRoman"/>
          <w:szCs w:val="22"/>
          <w:lang w:eastAsia="en-US"/>
        </w:rPr>
        <w:t>podávať intratekálne.</w:t>
      </w:r>
    </w:p>
    <w:p w:rsidR="0004491C" w:rsidRPr="008F7ACD" w:rsidRDefault="0004491C" w:rsidP="004F0B1A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4F0B1A" w:rsidRPr="008F7ACD" w:rsidRDefault="009C3E7C" w:rsidP="004F0B1A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Pokyny</w:t>
      </w:r>
      <w:r w:rsidR="004F0B1A" w:rsidRPr="008F7ACD">
        <w:rPr>
          <w:rFonts w:eastAsia="TimesNewRoman"/>
          <w:szCs w:val="22"/>
          <w:u w:val="single"/>
          <w:lang w:eastAsia="en-US"/>
        </w:rPr>
        <w:t xml:space="preserve"> na </w:t>
      </w:r>
      <w:r w:rsidR="005A38A4" w:rsidRPr="008F7ACD">
        <w:rPr>
          <w:rFonts w:eastAsia="TimesNewRoman"/>
          <w:szCs w:val="22"/>
          <w:u w:val="single"/>
          <w:lang w:eastAsia="en-US"/>
        </w:rPr>
        <w:t>prípravu a podávanie</w:t>
      </w:r>
    </w:p>
    <w:p w:rsidR="004F0B1A" w:rsidRPr="008F7ACD" w:rsidRDefault="00822511" w:rsidP="004F0B1A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Bortezomib </w:t>
      </w:r>
      <w:r w:rsidR="00134C1D" w:rsidRPr="008F7ACD">
        <w:rPr>
          <w:rFonts w:eastAsia="TimesNewRoman"/>
          <w:szCs w:val="22"/>
          <w:lang w:eastAsia="en-US"/>
        </w:rPr>
        <w:t>STADA</w:t>
      </w:r>
      <w:r w:rsidR="004F0B1A" w:rsidRPr="008F7ACD">
        <w:rPr>
          <w:rFonts w:eastAsia="TimesNewRoman"/>
          <w:szCs w:val="22"/>
          <w:lang w:eastAsia="en-US"/>
        </w:rPr>
        <w:t xml:space="preserve"> musí </w:t>
      </w:r>
      <w:r w:rsidR="005A38A4" w:rsidRPr="008F7ACD">
        <w:rPr>
          <w:rFonts w:eastAsia="TimesNewRoman"/>
          <w:szCs w:val="22"/>
          <w:lang w:eastAsia="en-US"/>
        </w:rPr>
        <w:t>pripravovať</w:t>
      </w:r>
      <w:r w:rsidR="004F0B1A" w:rsidRPr="008F7ACD">
        <w:rPr>
          <w:rFonts w:eastAsia="TimesNewRoman"/>
          <w:szCs w:val="22"/>
          <w:lang w:eastAsia="en-US"/>
        </w:rPr>
        <w:t xml:space="preserve"> zdravotnícky pracovník.</w:t>
      </w:r>
    </w:p>
    <w:p w:rsidR="009C3E7C" w:rsidRPr="008F7ACD" w:rsidRDefault="009C3E7C" w:rsidP="004F0B1A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001FD4" w:rsidRPr="008F7ACD" w:rsidRDefault="00001FD4" w:rsidP="004F0B1A">
      <w:pPr>
        <w:autoSpaceDE w:val="0"/>
        <w:autoSpaceDN w:val="0"/>
        <w:adjustRightInd w:val="0"/>
        <w:ind w:left="0" w:firstLine="0"/>
        <w:rPr>
          <w:rFonts w:eastAsia="TimesNewRoman"/>
          <w:i/>
          <w:szCs w:val="22"/>
          <w:lang w:eastAsia="en-US"/>
        </w:rPr>
      </w:pPr>
      <w:r w:rsidRPr="008F7ACD">
        <w:rPr>
          <w:rFonts w:eastAsia="TimesNewRoman"/>
          <w:i/>
          <w:szCs w:val="22"/>
          <w:lang w:eastAsia="en-US"/>
        </w:rPr>
        <w:t>Intravenózna injekcia</w:t>
      </w:r>
    </w:p>
    <w:p w:rsidR="005A38A4" w:rsidRPr="008F7ACD" w:rsidRDefault="00001FD4" w:rsidP="004F0B1A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Každá </w:t>
      </w:r>
      <w:r w:rsidR="004F0B1A" w:rsidRPr="008F7ACD">
        <w:rPr>
          <w:rFonts w:eastAsia="TimesNewRoman"/>
          <w:szCs w:val="22"/>
          <w:lang w:eastAsia="en-US"/>
        </w:rPr>
        <w:t>injekčná liekovka</w:t>
      </w:r>
      <w:r w:rsidRPr="008F7ACD">
        <w:rPr>
          <w:rFonts w:eastAsia="TimesNewRoman"/>
          <w:szCs w:val="22"/>
          <w:lang w:eastAsia="en-US"/>
        </w:rPr>
        <w:t xml:space="preserve"> </w:t>
      </w:r>
      <w:r w:rsidR="00822511" w:rsidRPr="008F7ACD">
        <w:rPr>
          <w:rFonts w:eastAsia="TimesNewRoman"/>
          <w:szCs w:val="22"/>
          <w:lang w:eastAsia="en-US"/>
        </w:rPr>
        <w:t>Bortezomib</w:t>
      </w:r>
      <w:r w:rsidR="009C3E7C" w:rsidRPr="008F7ACD">
        <w:rPr>
          <w:rFonts w:eastAsia="TimesNewRoman"/>
          <w:szCs w:val="22"/>
          <w:lang w:eastAsia="en-US"/>
        </w:rPr>
        <w:t>u</w:t>
      </w:r>
      <w:r w:rsidR="00822511" w:rsidRPr="008F7ACD">
        <w:rPr>
          <w:rFonts w:eastAsia="TimesNewRoman"/>
          <w:szCs w:val="22"/>
          <w:lang w:eastAsia="en-US"/>
        </w:rPr>
        <w:t xml:space="preserve"> </w:t>
      </w:r>
      <w:r w:rsidR="00134C1D" w:rsidRPr="008F7ACD">
        <w:rPr>
          <w:rFonts w:eastAsia="TimesNewRoman"/>
          <w:szCs w:val="22"/>
          <w:lang w:eastAsia="en-US"/>
        </w:rPr>
        <w:t>STADA</w:t>
      </w:r>
      <w:r w:rsidRPr="008F7ACD">
        <w:rPr>
          <w:rFonts w:eastAsia="TimesNewRoman"/>
          <w:szCs w:val="22"/>
          <w:lang w:eastAsia="en-US"/>
        </w:rPr>
        <w:t xml:space="preserve"> </w:t>
      </w:r>
      <w:r w:rsidR="004F0B1A" w:rsidRPr="008F7ACD">
        <w:rPr>
          <w:rFonts w:eastAsia="TimesNewRoman"/>
          <w:szCs w:val="22"/>
          <w:lang w:eastAsia="en-US"/>
        </w:rPr>
        <w:t xml:space="preserve">sa </w:t>
      </w:r>
      <w:r w:rsidR="005A38A4" w:rsidRPr="008F7ACD">
        <w:rPr>
          <w:rFonts w:eastAsia="TimesNewRoman"/>
          <w:szCs w:val="22"/>
          <w:lang w:eastAsia="en-US"/>
        </w:rPr>
        <w:t xml:space="preserve">na intravenóznu injekciu </w:t>
      </w:r>
      <w:r w:rsidR="004F0B1A" w:rsidRPr="008F7ACD">
        <w:rPr>
          <w:rFonts w:eastAsia="TimesNewRoman"/>
          <w:szCs w:val="22"/>
          <w:lang w:eastAsia="en-US"/>
        </w:rPr>
        <w:t xml:space="preserve">musí </w:t>
      </w:r>
      <w:r w:rsidR="00AF1E6E">
        <w:rPr>
          <w:rFonts w:eastAsia="TimesNewRoman"/>
          <w:szCs w:val="22"/>
          <w:lang w:eastAsia="en-US"/>
        </w:rPr>
        <w:t xml:space="preserve">opatrne zriediť </w:t>
      </w:r>
      <w:r w:rsidR="004F0B1A" w:rsidRPr="008F7ACD">
        <w:rPr>
          <w:rFonts w:eastAsia="TimesNewRoman"/>
          <w:szCs w:val="22"/>
          <w:lang w:eastAsia="en-US"/>
        </w:rPr>
        <w:t>s</w:t>
      </w:r>
      <w:r w:rsidR="005A38A4" w:rsidRPr="008F7ACD">
        <w:rPr>
          <w:rFonts w:eastAsia="TimesNewRoman"/>
          <w:szCs w:val="22"/>
          <w:lang w:eastAsia="en-US"/>
        </w:rPr>
        <w:t> 2,1</w:t>
      </w:r>
      <w:r w:rsidRPr="008F7ACD">
        <w:rPr>
          <w:rFonts w:eastAsia="TimesNewRoman"/>
          <w:szCs w:val="22"/>
          <w:lang w:eastAsia="en-US"/>
        </w:rPr>
        <w:t> ml</w:t>
      </w:r>
      <w:r w:rsidR="004F0B1A" w:rsidRPr="008F7ACD">
        <w:rPr>
          <w:rFonts w:eastAsia="TimesNewRoman"/>
          <w:szCs w:val="22"/>
          <w:lang w:eastAsia="en-US"/>
        </w:rPr>
        <w:t xml:space="preserve"> injekčného roztoku</w:t>
      </w:r>
      <w:r w:rsidRPr="008F7ACD">
        <w:rPr>
          <w:rFonts w:eastAsia="TimesNewRoman"/>
          <w:szCs w:val="22"/>
          <w:lang w:eastAsia="en-US"/>
        </w:rPr>
        <w:t xml:space="preserve"> </w:t>
      </w:r>
      <w:r w:rsidR="004F0B1A" w:rsidRPr="008F7ACD">
        <w:rPr>
          <w:rFonts w:eastAsia="TimesNewRoman"/>
          <w:szCs w:val="22"/>
          <w:lang w:eastAsia="en-US"/>
        </w:rPr>
        <w:t>chloridu sodného 9</w:t>
      </w:r>
      <w:r w:rsidRPr="008F7ACD">
        <w:rPr>
          <w:rFonts w:eastAsia="TimesNewRoman"/>
          <w:szCs w:val="22"/>
          <w:lang w:eastAsia="en-US"/>
        </w:rPr>
        <w:t> </w:t>
      </w:r>
      <w:r w:rsidR="004F0B1A" w:rsidRPr="008F7ACD">
        <w:rPr>
          <w:rFonts w:eastAsia="TimesNewRoman"/>
          <w:szCs w:val="22"/>
          <w:lang w:eastAsia="en-US"/>
        </w:rPr>
        <w:t>mg/ml (0,9</w:t>
      </w:r>
      <w:r w:rsidRPr="008F7ACD">
        <w:rPr>
          <w:rFonts w:eastAsia="TimesNewRoman"/>
          <w:szCs w:val="22"/>
          <w:lang w:eastAsia="en-US"/>
        </w:rPr>
        <w:t> </w:t>
      </w:r>
      <w:r w:rsidR="004F0B1A" w:rsidRPr="008F7ACD">
        <w:rPr>
          <w:rFonts w:eastAsia="TimesNewRoman"/>
          <w:szCs w:val="22"/>
          <w:lang w:eastAsia="en-US"/>
        </w:rPr>
        <w:t>%)</w:t>
      </w:r>
      <w:r w:rsidR="005A38A4" w:rsidRPr="008F7ACD">
        <w:rPr>
          <w:rFonts w:eastAsia="TimesNewRoman"/>
          <w:szCs w:val="22"/>
          <w:lang w:eastAsia="en-US"/>
        </w:rPr>
        <w:t xml:space="preserve"> </w:t>
      </w:r>
      <w:r w:rsidR="005A38A4" w:rsidRPr="00351EAB">
        <w:rPr>
          <w:rFonts w:eastAsia="TimesNewRoman"/>
          <w:i/>
          <w:szCs w:val="22"/>
          <w:u w:val="single"/>
          <w:lang w:eastAsia="en-US"/>
        </w:rPr>
        <w:t xml:space="preserve">s použitím injekčnej striekačky vhodnej veľkosti </w:t>
      </w:r>
      <w:r w:rsidR="00DE4874" w:rsidRPr="00351EAB">
        <w:rPr>
          <w:rFonts w:eastAsia="TimesNewRoman"/>
          <w:i/>
          <w:szCs w:val="22"/>
          <w:u w:val="single"/>
          <w:lang w:eastAsia="en-US"/>
        </w:rPr>
        <w:t xml:space="preserve">a </w:t>
      </w:r>
      <w:r w:rsidR="005A38A4" w:rsidRPr="00351EAB">
        <w:rPr>
          <w:rFonts w:eastAsia="TimesNewRoman"/>
          <w:i/>
          <w:szCs w:val="22"/>
          <w:u w:val="single"/>
          <w:lang w:eastAsia="en-US"/>
        </w:rPr>
        <w:t>bez odstránenia gumového uzáveru liekovky</w:t>
      </w:r>
      <w:r w:rsidR="004F0B1A" w:rsidRPr="008F7ACD">
        <w:rPr>
          <w:rFonts w:eastAsia="TimesNewRoman"/>
          <w:szCs w:val="22"/>
          <w:lang w:eastAsia="en-US"/>
        </w:rPr>
        <w:t xml:space="preserve">. </w:t>
      </w:r>
      <w:r w:rsidR="005A38A4" w:rsidRPr="008F7ACD">
        <w:rPr>
          <w:rFonts w:eastAsia="TimesNewRoman"/>
          <w:szCs w:val="22"/>
          <w:lang w:eastAsia="en-US"/>
        </w:rPr>
        <w:t xml:space="preserve">Po </w:t>
      </w:r>
      <w:r w:rsidR="00AF1E6E">
        <w:rPr>
          <w:rFonts w:eastAsia="TimesNewRoman"/>
          <w:szCs w:val="22"/>
          <w:lang w:eastAsia="en-US"/>
        </w:rPr>
        <w:t xml:space="preserve">zriedení </w:t>
      </w:r>
      <w:r w:rsidR="005A38A4" w:rsidRPr="008F7ACD">
        <w:rPr>
          <w:rFonts w:eastAsia="TimesNewRoman"/>
          <w:szCs w:val="22"/>
          <w:lang w:eastAsia="en-US"/>
        </w:rPr>
        <w:t>každý ml roztoku obsahuje 1 mg bortezomibu.</w:t>
      </w:r>
      <w:r w:rsidR="00DE4874" w:rsidRPr="008F7ACD">
        <w:rPr>
          <w:rFonts w:eastAsia="TimesNewRoman"/>
          <w:szCs w:val="22"/>
          <w:lang w:eastAsia="en-US"/>
        </w:rPr>
        <w:t xml:space="preserve"> </w:t>
      </w:r>
      <w:r w:rsidR="00AF1E6E">
        <w:rPr>
          <w:rFonts w:eastAsia="TimesNewRoman"/>
          <w:szCs w:val="22"/>
          <w:lang w:eastAsia="en-US"/>
        </w:rPr>
        <w:t xml:space="preserve">Zriedený </w:t>
      </w:r>
      <w:r w:rsidR="00DE4874" w:rsidRPr="008F7ACD">
        <w:rPr>
          <w:rFonts w:eastAsia="TimesNewRoman"/>
          <w:szCs w:val="22"/>
          <w:lang w:eastAsia="en-US"/>
        </w:rPr>
        <w:t xml:space="preserve">roztok je číry a bezfarebný až svetložltý s výsledným pH 4,0 – </w:t>
      </w:r>
      <w:r w:rsidR="001C0CB3" w:rsidRPr="008F7ACD">
        <w:rPr>
          <w:rFonts w:eastAsia="TimesNewRoman"/>
          <w:szCs w:val="22"/>
          <w:lang w:eastAsia="en-US"/>
        </w:rPr>
        <w:t>7,0</w:t>
      </w:r>
      <w:r w:rsidR="00DE4874" w:rsidRPr="008F7ACD">
        <w:rPr>
          <w:rFonts w:eastAsia="TimesNewRoman"/>
          <w:szCs w:val="22"/>
          <w:lang w:eastAsia="en-US"/>
        </w:rPr>
        <w:t xml:space="preserve">. </w:t>
      </w:r>
      <w:r w:rsidR="00AF1E6E">
        <w:rPr>
          <w:rFonts w:eastAsia="TimesNewRoman"/>
          <w:szCs w:val="22"/>
          <w:lang w:eastAsia="en-US"/>
        </w:rPr>
        <w:t xml:space="preserve">Zriedený </w:t>
      </w:r>
      <w:r w:rsidR="00DE4874" w:rsidRPr="008F7ACD">
        <w:rPr>
          <w:rFonts w:eastAsia="TimesNewRoman"/>
          <w:szCs w:val="22"/>
          <w:lang w:eastAsia="en-US"/>
        </w:rPr>
        <w:t>roztok sa musí pred podaním vizuálne prezrieť na prítomnosť pevných častíc a zmenu zafarbenia. Ak sa spozoruje akákoľvek zmena zafarbenia alebo pevná častica, zriedený roztok sa musí zlikvidovať.</w:t>
      </w:r>
    </w:p>
    <w:p w:rsidR="005A38A4" w:rsidRPr="008F7ACD" w:rsidRDefault="005A38A4" w:rsidP="004F0B1A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001FD4" w:rsidRPr="008F7ACD" w:rsidRDefault="00001FD4" w:rsidP="004F0B1A">
      <w:pPr>
        <w:autoSpaceDE w:val="0"/>
        <w:autoSpaceDN w:val="0"/>
        <w:adjustRightInd w:val="0"/>
        <w:ind w:left="0" w:firstLine="0"/>
        <w:rPr>
          <w:rFonts w:eastAsia="TimesNewRoman"/>
          <w:i/>
          <w:szCs w:val="22"/>
          <w:lang w:eastAsia="en-US"/>
        </w:rPr>
      </w:pPr>
      <w:r w:rsidRPr="008F7ACD">
        <w:rPr>
          <w:rFonts w:eastAsia="TimesNewRoman"/>
          <w:i/>
          <w:szCs w:val="22"/>
          <w:lang w:eastAsia="en-US"/>
        </w:rPr>
        <w:t>Subkutánna injekcia</w:t>
      </w:r>
    </w:p>
    <w:p w:rsidR="00DE4874" w:rsidRPr="008F7ACD" w:rsidRDefault="00001FD4" w:rsidP="00001FD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lastRenderedPageBreak/>
        <w:t xml:space="preserve">Každá injekčná liekovka </w:t>
      </w:r>
      <w:r w:rsidR="00822511" w:rsidRPr="008F7ACD">
        <w:rPr>
          <w:rFonts w:eastAsia="TimesNewRoman"/>
          <w:szCs w:val="22"/>
          <w:lang w:eastAsia="en-US"/>
        </w:rPr>
        <w:t>Bortezomib</w:t>
      </w:r>
      <w:r w:rsidR="009C3E7C" w:rsidRPr="008F7ACD">
        <w:rPr>
          <w:rFonts w:eastAsia="TimesNewRoman"/>
          <w:szCs w:val="22"/>
          <w:lang w:eastAsia="en-US"/>
        </w:rPr>
        <w:t>u</w:t>
      </w:r>
      <w:r w:rsidR="00822511" w:rsidRPr="008F7ACD">
        <w:rPr>
          <w:rFonts w:eastAsia="TimesNewRoman"/>
          <w:szCs w:val="22"/>
          <w:lang w:eastAsia="en-US"/>
        </w:rPr>
        <w:t xml:space="preserve"> </w:t>
      </w:r>
      <w:r w:rsidR="00134C1D" w:rsidRPr="008F7ACD">
        <w:rPr>
          <w:rFonts w:eastAsia="TimesNewRoman"/>
          <w:szCs w:val="22"/>
          <w:lang w:eastAsia="en-US"/>
        </w:rPr>
        <w:t>STADA</w:t>
      </w:r>
      <w:r w:rsidRPr="008F7ACD">
        <w:rPr>
          <w:rFonts w:eastAsia="TimesNewRoman"/>
          <w:szCs w:val="22"/>
          <w:lang w:eastAsia="en-US"/>
        </w:rPr>
        <w:t xml:space="preserve"> </w:t>
      </w:r>
      <w:r w:rsidR="00DE4874" w:rsidRPr="008F7ACD">
        <w:rPr>
          <w:rFonts w:eastAsia="TimesNewRoman"/>
          <w:szCs w:val="22"/>
          <w:lang w:eastAsia="en-US"/>
        </w:rPr>
        <w:t>je pripravená na použitie na subkutánnu injekciu. Každý ml roztoku obsahuje 2,5 mg bortezomibu. Roztok je číry a bezfarebný až svetložltý s výsledným pH 4,0 – 5,5. Roztok sa musí pred podaním vizuálne prezrieť na prítomnosť pevných častíc a zmenu zafarbenia. Ak sa spozoruje akákoľvek zmena zafarbenia alebo pevná častica, roztok sa musí zlikvidovať.</w:t>
      </w:r>
    </w:p>
    <w:p w:rsidR="00001FD4" w:rsidRPr="008F7ACD" w:rsidRDefault="00001FD4" w:rsidP="004F0B1A">
      <w:pPr>
        <w:autoSpaceDE w:val="0"/>
        <w:autoSpaceDN w:val="0"/>
        <w:adjustRightInd w:val="0"/>
        <w:ind w:left="0" w:firstLine="0"/>
        <w:rPr>
          <w:rFonts w:eastAsia="TimesNewRoman"/>
          <w:i/>
          <w:szCs w:val="22"/>
          <w:lang w:eastAsia="en-US"/>
        </w:rPr>
      </w:pPr>
    </w:p>
    <w:p w:rsidR="004F0B1A" w:rsidRPr="008F7ACD" w:rsidRDefault="004F0B1A" w:rsidP="004F0B1A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r w:rsidRPr="008F7ACD">
        <w:rPr>
          <w:rFonts w:eastAsia="TimesNewRoman"/>
          <w:szCs w:val="22"/>
          <w:u w:val="single"/>
          <w:lang w:eastAsia="en-US"/>
        </w:rPr>
        <w:t>Likvidácia</w:t>
      </w:r>
    </w:p>
    <w:p w:rsidR="00FF6BE0" w:rsidRPr="008F7ACD" w:rsidRDefault="00822511" w:rsidP="00001FD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8F7ACD">
        <w:rPr>
          <w:rFonts w:eastAsia="TimesNewRoman"/>
          <w:szCs w:val="22"/>
          <w:lang w:eastAsia="en-US"/>
        </w:rPr>
        <w:t xml:space="preserve">Bortezomib </w:t>
      </w:r>
      <w:r w:rsidR="00134C1D" w:rsidRPr="008F7ACD">
        <w:rPr>
          <w:rFonts w:eastAsia="TimesNewRoman"/>
          <w:szCs w:val="22"/>
          <w:lang w:eastAsia="en-US"/>
        </w:rPr>
        <w:t>STADA</w:t>
      </w:r>
      <w:r w:rsidR="00001FD4" w:rsidRPr="008F7ACD">
        <w:rPr>
          <w:rFonts w:eastAsia="TimesNewRoman"/>
          <w:szCs w:val="22"/>
          <w:lang w:eastAsia="en-US"/>
        </w:rPr>
        <w:t xml:space="preserve"> je len na jednorazové použitie</w:t>
      </w:r>
      <w:r w:rsidR="00DE4874" w:rsidRPr="008F7ACD">
        <w:rPr>
          <w:rFonts w:eastAsia="TimesNewRoman"/>
          <w:szCs w:val="22"/>
          <w:lang w:eastAsia="en-US"/>
        </w:rPr>
        <w:t xml:space="preserve">. </w:t>
      </w:r>
    </w:p>
    <w:p w:rsidR="00001FD4" w:rsidRPr="008F7ACD" w:rsidRDefault="00001FD4" w:rsidP="00001FD4">
      <w:pPr>
        <w:autoSpaceDE w:val="0"/>
        <w:autoSpaceDN w:val="0"/>
        <w:adjustRightInd w:val="0"/>
        <w:ind w:left="0" w:firstLine="0"/>
        <w:rPr>
          <w:szCs w:val="22"/>
        </w:rPr>
      </w:pPr>
      <w:r w:rsidRPr="008F7ACD">
        <w:rPr>
          <w:rFonts w:eastAsia="TimesNewRoman"/>
          <w:szCs w:val="22"/>
          <w:lang w:eastAsia="en-US"/>
        </w:rPr>
        <w:t>Všetok nepoužitý liek alebo odpad vzniknutý z lieku sa má zlikvidovať v </w:t>
      </w:r>
      <w:r w:rsidR="00DE4874" w:rsidRPr="008F7ACD">
        <w:rPr>
          <w:rFonts w:eastAsia="TimesNewRoman"/>
          <w:szCs w:val="22"/>
          <w:lang w:eastAsia="en-US"/>
        </w:rPr>
        <w:t>súlade s národnými požiadavkami pre cytotoxické látky.</w:t>
      </w:r>
    </w:p>
    <w:p w:rsidR="00FF6BE0" w:rsidRPr="008F7ACD" w:rsidRDefault="00FF6BE0" w:rsidP="00C92B0B">
      <w:pPr>
        <w:rPr>
          <w:szCs w:val="22"/>
        </w:rPr>
      </w:pPr>
    </w:p>
    <w:p w:rsidR="00D21D8D" w:rsidRPr="008F7ACD" w:rsidRDefault="00D21D8D" w:rsidP="00C92B0B">
      <w:pPr>
        <w:rPr>
          <w:szCs w:val="22"/>
        </w:rPr>
      </w:pPr>
    </w:p>
    <w:p w:rsidR="00FF6BE0" w:rsidRPr="008F7ACD" w:rsidRDefault="00FF6BE0" w:rsidP="00C92B0B">
      <w:pPr>
        <w:rPr>
          <w:b/>
          <w:szCs w:val="22"/>
        </w:rPr>
      </w:pPr>
      <w:r w:rsidRPr="008F7ACD">
        <w:rPr>
          <w:b/>
          <w:szCs w:val="22"/>
        </w:rPr>
        <w:t>7.</w:t>
      </w:r>
      <w:r w:rsidRPr="008F7ACD">
        <w:rPr>
          <w:b/>
          <w:szCs w:val="22"/>
        </w:rPr>
        <w:tab/>
        <w:t>DRŽ</w:t>
      </w:r>
      <w:smartTag w:uri="urn:schemas-microsoft-com:office:smarttags" w:element="PersonName">
        <w:r w:rsidRPr="008F7ACD">
          <w:rPr>
            <w:b/>
            <w:szCs w:val="22"/>
          </w:rPr>
          <w:t>IT</w:t>
        </w:r>
      </w:smartTag>
      <w:r w:rsidRPr="008F7ACD">
        <w:rPr>
          <w:b/>
          <w:szCs w:val="22"/>
        </w:rPr>
        <w:t>EĽ ROZHODNUTIA O REGISTRÁCII</w:t>
      </w:r>
    </w:p>
    <w:p w:rsidR="00FF6BE0" w:rsidRPr="008F7ACD" w:rsidRDefault="00FF6BE0" w:rsidP="00C92B0B">
      <w:pPr>
        <w:rPr>
          <w:szCs w:val="22"/>
        </w:rPr>
      </w:pPr>
    </w:p>
    <w:p w:rsidR="001A5201" w:rsidRPr="008F7ACD" w:rsidRDefault="00DE4874" w:rsidP="00C92B0B">
      <w:pPr>
        <w:rPr>
          <w:szCs w:val="22"/>
        </w:rPr>
      </w:pPr>
      <w:r w:rsidRPr="008F7ACD">
        <w:rPr>
          <w:szCs w:val="22"/>
        </w:rPr>
        <w:t>STADA Arzneimittel AG</w:t>
      </w:r>
    </w:p>
    <w:p w:rsidR="00DE4874" w:rsidRPr="008F7ACD" w:rsidRDefault="00DE4874" w:rsidP="00C92B0B">
      <w:pPr>
        <w:rPr>
          <w:szCs w:val="22"/>
        </w:rPr>
      </w:pPr>
      <w:r w:rsidRPr="008F7ACD">
        <w:rPr>
          <w:szCs w:val="22"/>
        </w:rPr>
        <w:t>Stadastrasse 2-18</w:t>
      </w:r>
    </w:p>
    <w:p w:rsidR="00DE4874" w:rsidRPr="008F7ACD" w:rsidRDefault="00DE4874" w:rsidP="00C92B0B">
      <w:pPr>
        <w:rPr>
          <w:szCs w:val="22"/>
        </w:rPr>
      </w:pPr>
      <w:r w:rsidRPr="008F7ACD">
        <w:rPr>
          <w:szCs w:val="22"/>
        </w:rPr>
        <w:t>61118 Bad Vilbel</w:t>
      </w:r>
    </w:p>
    <w:p w:rsidR="00DE4874" w:rsidRPr="008F7ACD" w:rsidRDefault="00DE4874" w:rsidP="00C92B0B">
      <w:pPr>
        <w:rPr>
          <w:szCs w:val="22"/>
        </w:rPr>
      </w:pPr>
      <w:r w:rsidRPr="008F7ACD">
        <w:rPr>
          <w:szCs w:val="22"/>
        </w:rPr>
        <w:t>Nemecko</w:t>
      </w:r>
    </w:p>
    <w:p w:rsidR="008764DA" w:rsidRPr="008F7ACD" w:rsidRDefault="008764DA" w:rsidP="00C92B0B">
      <w:pPr>
        <w:ind w:left="0" w:firstLine="0"/>
        <w:rPr>
          <w:szCs w:val="22"/>
        </w:rPr>
      </w:pPr>
    </w:p>
    <w:p w:rsidR="00FF6BE0" w:rsidRPr="008F7ACD" w:rsidRDefault="00FF6BE0" w:rsidP="00C92B0B">
      <w:pPr>
        <w:rPr>
          <w:szCs w:val="22"/>
        </w:rPr>
      </w:pPr>
    </w:p>
    <w:p w:rsidR="00FF6BE0" w:rsidRPr="008F7ACD" w:rsidRDefault="00D21D8D" w:rsidP="00C92B0B">
      <w:pPr>
        <w:rPr>
          <w:b/>
          <w:szCs w:val="22"/>
        </w:rPr>
      </w:pPr>
      <w:r w:rsidRPr="008F7ACD">
        <w:rPr>
          <w:b/>
          <w:szCs w:val="22"/>
        </w:rPr>
        <w:t>8.</w:t>
      </w:r>
      <w:r w:rsidRPr="008F7ACD">
        <w:rPr>
          <w:b/>
          <w:szCs w:val="22"/>
        </w:rPr>
        <w:tab/>
        <w:t>REGISTRAČNÉ ČÍSL</w:t>
      </w:r>
      <w:r w:rsidR="00A52522" w:rsidRPr="008F7ACD">
        <w:rPr>
          <w:b/>
          <w:szCs w:val="22"/>
        </w:rPr>
        <w:t>O</w:t>
      </w:r>
    </w:p>
    <w:p w:rsidR="00610650" w:rsidRPr="008F7ACD" w:rsidRDefault="00610650" w:rsidP="00C92B0B">
      <w:pPr>
        <w:rPr>
          <w:szCs w:val="22"/>
        </w:rPr>
      </w:pPr>
    </w:p>
    <w:p w:rsidR="00FF6BE0" w:rsidRPr="008F7ACD" w:rsidRDefault="005760B0" w:rsidP="00C92B0B">
      <w:pPr>
        <w:rPr>
          <w:szCs w:val="22"/>
        </w:rPr>
      </w:pPr>
      <w:r w:rsidRPr="008F7ACD">
        <w:rPr>
          <w:szCs w:val="22"/>
        </w:rPr>
        <w:t>44</w:t>
      </w:r>
      <w:r w:rsidR="005802BE" w:rsidRPr="008F7ACD">
        <w:rPr>
          <w:szCs w:val="22"/>
        </w:rPr>
        <w:t>/0163/18-S</w:t>
      </w:r>
    </w:p>
    <w:p w:rsidR="008C0B69" w:rsidRPr="008F7ACD" w:rsidRDefault="008C0B69" w:rsidP="00C92B0B">
      <w:pPr>
        <w:rPr>
          <w:szCs w:val="22"/>
        </w:rPr>
      </w:pPr>
    </w:p>
    <w:p w:rsidR="00FF6BE0" w:rsidRPr="008F7ACD" w:rsidRDefault="00FF6BE0" w:rsidP="00C92B0B">
      <w:pPr>
        <w:rPr>
          <w:szCs w:val="22"/>
        </w:rPr>
      </w:pPr>
    </w:p>
    <w:p w:rsidR="00FF6BE0" w:rsidRPr="008F7ACD" w:rsidRDefault="00FF6BE0" w:rsidP="00C92B0B">
      <w:pPr>
        <w:rPr>
          <w:b/>
          <w:szCs w:val="22"/>
        </w:rPr>
      </w:pPr>
      <w:r w:rsidRPr="008F7ACD">
        <w:rPr>
          <w:b/>
          <w:szCs w:val="22"/>
        </w:rPr>
        <w:t>9.</w:t>
      </w:r>
      <w:r w:rsidRPr="008F7ACD">
        <w:rPr>
          <w:b/>
          <w:szCs w:val="22"/>
        </w:rPr>
        <w:tab/>
        <w:t>DÁTUM PRVEJ REGISTRÁCIE/PREDĹŽENIA REGISTRÁCIE</w:t>
      </w:r>
    </w:p>
    <w:p w:rsidR="00D534C5" w:rsidRPr="008F7ACD" w:rsidRDefault="00D534C5" w:rsidP="00C92B0B">
      <w:pPr>
        <w:ind w:left="0" w:firstLine="0"/>
        <w:rPr>
          <w:szCs w:val="22"/>
        </w:rPr>
      </w:pPr>
    </w:p>
    <w:p w:rsidR="00FF6BE0" w:rsidRPr="008F7ACD" w:rsidRDefault="00D534C5" w:rsidP="00C92B0B">
      <w:pPr>
        <w:ind w:left="0" w:firstLine="0"/>
        <w:rPr>
          <w:szCs w:val="22"/>
        </w:rPr>
      </w:pPr>
      <w:r w:rsidRPr="008F7ACD">
        <w:rPr>
          <w:szCs w:val="22"/>
        </w:rPr>
        <w:t xml:space="preserve">Dátum prvej registrácie: </w:t>
      </w:r>
      <w:r w:rsidR="008F7ACD">
        <w:rPr>
          <w:szCs w:val="22"/>
        </w:rPr>
        <w:t>22. mája 2018</w:t>
      </w:r>
    </w:p>
    <w:p w:rsidR="00586500" w:rsidRPr="008F7ACD" w:rsidRDefault="00586500" w:rsidP="00C92B0B">
      <w:pPr>
        <w:ind w:left="0" w:firstLine="0"/>
        <w:rPr>
          <w:szCs w:val="22"/>
        </w:rPr>
      </w:pPr>
    </w:p>
    <w:p w:rsidR="00FF6BE0" w:rsidRPr="008F7ACD" w:rsidRDefault="00FF6BE0" w:rsidP="00C92B0B">
      <w:pPr>
        <w:rPr>
          <w:szCs w:val="22"/>
        </w:rPr>
      </w:pPr>
    </w:p>
    <w:p w:rsidR="00FF6BE0" w:rsidRPr="008F7ACD" w:rsidRDefault="00FF6BE0" w:rsidP="00C92B0B">
      <w:pPr>
        <w:rPr>
          <w:b/>
          <w:szCs w:val="22"/>
        </w:rPr>
      </w:pPr>
      <w:r w:rsidRPr="008F7ACD">
        <w:rPr>
          <w:b/>
          <w:szCs w:val="22"/>
        </w:rPr>
        <w:t>10.</w:t>
      </w:r>
      <w:r w:rsidRPr="008F7ACD">
        <w:rPr>
          <w:b/>
          <w:szCs w:val="22"/>
        </w:rPr>
        <w:tab/>
        <w:t>DÁTUM REVÍZIE TEXTU</w:t>
      </w:r>
    </w:p>
    <w:p w:rsidR="005760B0" w:rsidRPr="008F7ACD" w:rsidRDefault="005760B0" w:rsidP="00C92B0B">
      <w:pPr>
        <w:rPr>
          <w:szCs w:val="22"/>
        </w:rPr>
      </w:pPr>
    </w:p>
    <w:p w:rsidR="00F277C3" w:rsidRPr="008F7ACD" w:rsidRDefault="005568AE" w:rsidP="00C92B0B">
      <w:pPr>
        <w:rPr>
          <w:szCs w:val="22"/>
        </w:rPr>
      </w:pPr>
      <w:r>
        <w:rPr>
          <w:szCs w:val="22"/>
        </w:rPr>
        <w:t>09/2020</w:t>
      </w:r>
    </w:p>
    <w:p w:rsidR="00F277C3" w:rsidRPr="008F7ACD" w:rsidRDefault="00F277C3" w:rsidP="00C92B0B">
      <w:pPr>
        <w:rPr>
          <w:szCs w:val="22"/>
        </w:rPr>
      </w:pPr>
    </w:p>
    <w:sectPr w:rsidR="00F277C3" w:rsidRPr="008F7ACD" w:rsidSect="0059152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498" w:rsidRDefault="00410498" w:rsidP="0035564D">
      <w:r>
        <w:separator/>
      </w:r>
    </w:p>
  </w:endnote>
  <w:endnote w:type="continuationSeparator" w:id="0">
    <w:p w:rsidR="00410498" w:rsidRDefault="00410498" w:rsidP="0035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1DC" w:rsidRPr="007950D7" w:rsidRDefault="002F61DC">
    <w:pPr>
      <w:pStyle w:val="Pta"/>
      <w:jc w:val="center"/>
      <w:rPr>
        <w:sz w:val="18"/>
        <w:szCs w:val="18"/>
      </w:rPr>
    </w:pPr>
    <w:r w:rsidRPr="007950D7">
      <w:rPr>
        <w:sz w:val="18"/>
        <w:szCs w:val="18"/>
      </w:rPr>
      <w:fldChar w:fldCharType="begin"/>
    </w:r>
    <w:r w:rsidRPr="007950D7">
      <w:rPr>
        <w:sz w:val="18"/>
        <w:szCs w:val="18"/>
      </w:rPr>
      <w:instrText xml:space="preserve"> PAGE   \* MERGEFORMAT </w:instrText>
    </w:r>
    <w:r w:rsidRPr="007950D7">
      <w:rPr>
        <w:sz w:val="18"/>
        <w:szCs w:val="18"/>
      </w:rPr>
      <w:fldChar w:fldCharType="separate"/>
    </w:r>
    <w:r w:rsidR="000418B8">
      <w:rPr>
        <w:noProof/>
        <w:sz w:val="18"/>
        <w:szCs w:val="18"/>
      </w:rPr>
      <w:t>37</w:t>
    </w:r>
    <w:r w:rsidRPr="007950D7">
      <w:rPr>
        <w:noProof/>
        <w:sz w:val="18"/>
        <w:szCs w:val="18"/>
      </w:rPr>
      <w:fldChar w:fldCharType="end"/>
    </w:r>
  </w:p>
  <w:p w:rsidR="002F61DC" w:rsidRDefault="002F61D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1DC" w:rsidRPr="0056175F" w:rsidRDefault="002F61DC">
    <w:pPr>
      <w:pStyle w:val="Pta"/>
      <w:jc w:val="center"/>
      <w:rPr>
        <w:sz w:val="18"/>
        <w:szCs w:val="18"/>
      </w:rPr>
    </w:pPr>
    <w:r w:rsidRPr="0056175F">
      <w:rPr>
        <w:sz w:val="18"/>
        <w:szCs w:val="18"/>
      </w:rPr>
      <w:fldChar w:fldCharType="begin"/>
    </w:r>
    <w:r w:rsidRPr="0056175F">
      <w:rPr>
        <w:sz w:val="18"/>
        <w:szCs w:val="18"/>
      </w:rPr>
      <w:instrText xml:space="preserve"> PAGE   \* MERGEFORMAT </w:instrText>
    </w:r>
    <w:r w:rsidRPr="0056175F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56175F">
      <w:rPr>
        <w:sz w:val="18"/>
        <w:szCs w:val="18"/>
      </w:rPr>
      <w:fldChar w:fldCharType="end"/>
    </w:r>
  </w:p>
  <w:p w:rsidR="002F61DC" w:rsidRDefault="002F61D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498" w:rsidRDefault="00410498" w:rsidP="0035564D">
      <w:r>
        <w:separator/>
      </w:r>
    </w:p>
  </w:footnote>
  <w:footnote w:type="continuationSeparator" w:id="0">
    <w:p w:rsidR="00410498" w:rsidRDefault="00410498" w:rsidP="00355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1DC" w:rsidRDefault="002F61DC">
    <w:pPr>
      <w:pStyle w:val="Hlavika"/>
      <w:rPr>
        <w:sz w:val="18"/>
        <w:szCs w:val="18"/>
      </w:rPr>
    </w:pPr>
    <w:r w:rsidRPr="00FD6082">
      <w:rPr>
        <w:sz w:val="18"/>
        <w:szCs w:val="18"/>
      </w:rPr>
      <w:t>Príloha č. 1 k notifikácii o zmene, ev. č.: 201</w:t>
    </w:r>
    <w:r>
      <w:rPr>
        <w:sz w:val="18"/>
        <w:szCs w:val="18"/>
      </w:rPr>
      <w:t>9/01313-Z1B</w:t>
    </w:r>
  </w:p>
  <w:p w:rsidR="002F61DC" w:rsidRDefault="002F61DC" w:rsidP="009225E8">
    <w:pPr>
      <w:pStyle w:val="Hlavika"/>
      <w:rPr>
        <w:sz w:val="18"/>
        <w:szCs w:val="18"/>
      </w:rPr>
    </w:pPr>
    <w:r w:rsidRPr="00FD6082">
      <w:rPr>
        <w:sz w:val="18"/>
        <w:szCs w:val="18"/>
      </w:rPr>
      <w:t xml:space="preserve">Príloha č. 1 k notifikácii o zmene, ev. č.: </w:t>
    </w:r>
    <w:r>
      <w:rPr>
        <w:sz w:val="18"/>
        <w:szCs w:val="18"/>
      </w:rPr>
      <w:t>2020/00818-ZIB</w:t>
    </w:r>
  </w:p>
  <w:p w:rsidR="002F61DC" w:rsidRDefault="002F61D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1DC" w:rsidRDefault="002F61DC" w:rsidP="009E145F">
    <w:pPr>
      <w:ind w:left="0" w:firstLine="0"/>
    </w:pPr>
    <w:r>
      <w:rPr>
        <w:sz w:val="18"/>
        <w:szCs w:val="18"/>
      </w:rPr>
      <w:t>Schválený text k</w:t>
    </w:r>
    <w:r w:rsidRPr="00BF7256">
      <w:rPr>
        <w:sz w:val="18"/>
        <w:szCs w:val="18"/>
      </w:rPr>
      <w:t> rozhodnutiu o registrácii lieku, ev.</w:t>
    </w:r>
    <w:r>
      <w:rPr>
        <w:sz w:val="18"/>
        <w:szCs w:val="18"/>
      </w:rPr>
      <w:t xml:space="preserve"> </w:t>
    </w:r>
    <w:r w:rsidRPr="00BF7256">
      <w:rPr>
        <w:sz w:val="18"/>
        <w:szCs w:val="18"/>
      </w:rPr>
      <w:t>č</w:t>
    </w:r>
    <w:r>
      <w:rPr>
        <w:sz w:val="18"/>
        <w:szCs w:val="18"/>
      </w:rPr>
      <w:t>.: 2016/06359-REG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09F9"/>
    <w:multiLevelType w:val="hybridMultilevel"/>
    <w:tmpl w:val="7590A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733DD"/>
    <w:multiLevelType w:val="hybridMultilevel"/>
    <w:tmpl w:val="968E5C1C"/>
    <w:lvl w:ilvl="0" w:tplc="041B000B">
      <w:start w:val="10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F5848"/>
    <w:multiLevelType w:val="hybridMultilevel"/>
    <w:tmpl w:val="0C92AEA0"/>
    <w:lvl w:ilvl="0" w:tplc="45E24A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EA3417"/>
    <w:multiLevelType w:val="hybridMultilevel"/>
    <w:tmpl w:val="4BFA3D9C"/>
    <w:lvl w:ilvl="0" w:tplc="8CBC76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72C6E0D"/>
    <w:multiLevelType w:val="hybridMultilevel"/>
    <w:tmpl w:val="4D7C17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450FC"/>
    <w:multiLevelType w:val="multilevel"/>
    <w:tmpl w:val="335CA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A5231"/>
    <w:multiLevelType w:val="hybridMultilevel"/>
    <w:tmpl w:val="92D2244C"/>
    <w:lvl w:ilvl="0" w:tplc="2D50C9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5830AE"/>
    <w:multiLevelType w:val="hybridMultilevel"/>
    <w:tmpl w:val="E0D04E6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393043"/>
    <w:multiLevelType w:val="hybridMultilevel"/>
    <w:tmpl w:val="AEA0A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1691B"/>
    <w:multiLevelType w:val="hybridMultilevel"/>
    <w:tmpl w:val="80DCF726"/>
    <w:lvl w:ilvl="0" w:tplc="2BDC1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28433C"/>
    <w:multiLevelType w:val="hybridMultilevel"/>
    <w:tmpl w:val="1BA02B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70"/>
    <w:rsid w:val="00000393"/>
    <w:rsid w:val="00001FD4"/>
    <w:rsid w:val="0000282B"/>
    <w:rsid w:val="0000557C"/>
    <w:rsid w:val="00016AD9"/>
    <w:rsid w:val="00017B30"/>
    <w:rsid w:val="00017E0D"/>
    <w:rsid w:val="00021F45"/>
    <w:rsid w:val="00022A9C"/>
    <w:rsid w:val="00022DDE"/>
    <w:rsid w:val="0002432A"/>
    <w:rsid w:val="00026D02"/>
    <w:rsid w:val="00026EAF"/>
    <w:rsid w:val="000272DF"/>
    <w:rsid w:val="00030337"/>
    <w:rsid w:val="00032623"/>
    <w:rsid w:val="000337F3"/>
    <w:rsid w:val="00035C58"/>
    <w:rsid w:val="0003605E"/>
    <w:rsid w:val="000418B8"/>
    <w:rsid w:val="00042DE6"/>
    <w:rsid w:val="0004491C"/>
    <w:rsid w:val="00050031"/>
    <w:rsid w:val="00053821"/>
    <w:rsid w:val="00054934"/>
    <w:rsid w:val="0005539E"/>
    <w:rsid w:val="000563B9"/>
    <w:rsid w:val="00057A09"/>
    <w:rsid w:val="00057DC0"/>
    <w:rsid w:val="000621DD"/>
    <w:rsid w:val="00063713"/>
    <w:rsid w:val="0006510C"/>
    <w:rsid w:val="00065A28"/>
    <w:rsid w:val="0006652A"/>
    <w:rsid w:val="000741CC"/>
    <w:rsid w:val="0008045A"/>
    <w:rsid w:val="00084624"/>
    <w:rsid w:val="000863BA"/>
    <w:rsid w:val="00087EE0"/>
    <w:rsid w:val="00091173"/>
    <w:rsid w:val="000934F2"/>
    <w:rsid w:val="00094D5D"/>
    <w:rsid w:val="000963BB"/>
    <w:rsid w:val="00097ADC"/>
    <w:rsid w:val="00097EF1"/>
    <w:rsid w:val="000A2851"/>
    <w:rsid w:val="000A2E5F"/>
    <w:rsid w:val="000A43E8"/>
    <w:rsid w:val="000A5899"/>
    <w:rsid w:val="000A7ABD"/>
    <w:rsid w:val="000B2BAF"/>
    <w:rsid w:val="000C0536"/>
    <w:rsid w:val="000C0A5E"/>
    <w:rsid w:val="000C19AD"/>
    <w:rsid w:val="000C2ED2"/>
    <w:rsid w:val="000C3699"/>
    <w:rsid w:val="000C636C"/>
    <w:rsid w:val="000C69DF"/>
    <w:rsid w:val="000C75BC"/>
    <w:rsid w:val="000D0CF1"/>
    <w:rsid w:val="000D3D55"/>
    <w:rsid w:val="000D4A2B"/>
    <w:rsid w:val="000D5353"/>
    <w:rsid w:val="000D69B3"/>
    <w:rsid w:val="000E1BBD"/>
    <w:rsid w:val="000E1C10"/>
    <w:rsid w:val="000F2F1D"/>
    <w:rsid w:val="000F43E3"/>
    <w:rsid w:val="000F619E"/>
    <w:rsid w:val="000F6BBA"/>
    <w:rsid w:val="0010561A"/>
    <w:rsid w:val="00113D7B"/>
    <w:rsid w:val="00115538"/>
    <w:rsid w:val="00116387"/>
    <w:rsid w:val="001171A6"/>
    <w:rsid w:val="00121434"/>
    <w:rsid w:val="001214C2"/>
    <w:rsid w:val="00121661"/>
    <w:rsid w:val="00125754"/>
    <w:rsid w:val="00126470"/>
    <w:rsid w:val="00130E3D"/>
    <w:rsid w:val="00133395"/>
    <w:rsid w:val="00134290"/>
    <w:rsid w:val="00134C1D"/>
    <w:rsid w:val="00136F77"/>
    <w:rsid w:val="00141808"/>
    <w:rsid w:val="00142F89"/>
    <w:rsid w:val="001517C4"/>
    <w:rsid w:val="00151C68"/>
    <w:rsid w:val="0015227B"/>
    <w:rsid w:val="00152AA4"/>
    <w:rsid w:val="00155F8F"/>
    <w:rsid w:val="00160C14"/>
    <w:rsid w:val="00162A96"/>
    <w:rsid w:val="001637E7"/>
    <w:rsid w:val="001642BC"/>
    <w:rsid w:val="00165F40"/>
    <w:rsid w:val="00167ED3"/>
    <w:rsid w:val="00171525"/>
    <w:rsid w:val="0017266F"/>
    <w:rsid w:val="00172AFE"/>
    <w:rsid w:val="00172B86"/>
    <w:rsid w:val="00176449"/>
    <w:rsid w:val="001829AF"/>
    <w:rsid w:val="0018565C"/>
    <w:rsid w:val="001876D3"/>
    <w:rsid w:val="00190622"/>
    <w:rsid w:val="001913AB"/>
    <w:rsid w:val="001958EC"/>
    <w:rsid w:val="001976FE"/>
    <w:rsid w:val="001A0340"/>
    <w:rsid w:val="001A0480"/>
    <w:rsid w:val="001A1018"/>
    <w:rsid w:val="001A5201"/>
    <w:rsid w:val="001A5E7C"/>
    <w:rsid w:val="001B1E32"/>
    <w:rsid w:val="001B3103"/>
    <w:rsid w:val="001B488D"/>
    <w:rsid w:val="001B592E"/>
    <w:rsid w:val="001B7BD1"/>
    <w:rsid w:val="001B7ED2"/>
    <w:rsid w:val="001C0CB3"/>
    <w:rsid w:val="001C1774"/>
    <w:rsid w:val="001C1979"/>
    <w:rsid w:val="001C6A17"/>
    <w:rsid w:val="001D07AD"/>
    <w:rsid w:val="001D12D9"/>
    <w:rsid w:val="001D3BCE"/>
    <w:rsid w:val="001D66BC"/>
    <w:rsid w:val="001D6D78"/>
    <w:rsid w:val="001D722B"/>
    <w:rsid w:val="001D7FCD"/>
    <w:rsid w:val="001E2372"/>
    <w:rsid w:val="001E7D3E"/>
    <w:rsid w:val="001F2987"/>
    <w:rsid w:val="001F2FBA"/>
    <w:rsid w:val="001F379B"/>
    <w:rsid w:val="001F3FBF"/>
    <w:rsid w:val="001F44C5"/>
    <w:rsid w:val="001F52ED"/>
    <w:rsid w:val="00201E31"/>
    <w:rsid w:val="00204515"/>
    <w:rsid w:val="002066CC"/>
    <w:rsid w:val="0020718A"/>
    <w:rsid w:val="00207947"/>
    <w:rsid w:val="00210401"/>
    <w:rsid w:val="0021304F"/>
    <w:rsid w:val="00213293"/>
    <w:rsid w:val="00214242"/>
    <w:rsid w:val="00220B14"/>
    <w:rsid w:val="002219D1"/>
    <w:rsid w:val="00222693"/>
    <w:rsid w:val="00222A57"/>
    <w:rsid w:val="0022350C"/>
    <w:rsid w:val="00225393"/>
    <w:rsid w:val="00226790"/>
    <w:rsid w:val="00230D9A"/>
    <w:rsid w:val="00231D4F"/>
    <w:rsid w:val="002336F1"/>
    <w:rsid w:val="00235A74"/>
    <w:rsid w:val="002405B3"/>
    <w:rsid w:val="0024778E"/>
    <w:rsid w:val="0025013D"/>
    <w:rsid w:val="00251492"/>
    <w:rsid w:val="00253B30"/>
    <w:rsid w:val="0025774F"/>
    <w:rsid w:val="00261851"/>
    <w:rsid w:val="002701C9"/>
    <w:rsid w:val="0027077F"/>
    <w:rsid w:val="0027329E"/>
    <w:rsid w:val="002732F1"/>
    <w:rsid w:val="00276D40"/>
    <w:rsid w:val="0028451E"/>
    <w:rsid w:val="00285C91"/>
    <w:rsid w:val="0028720D"/>
    <w:rsid w:val="00290673"/>
    <w:rsid w:val="00293BBC"/>
    <w:rsid w:val="00294F05"/>
    <w:rsid w:val="00296C58"/>
    <w:rsid w:val="00297A6F"/>
    <w:rsid w:val="002A1267"/>
    <w:rsid w:val="002A302C"/>
    <w:rsid w:val="002A3C66"/>
    <w:rsid w:val="002A466B"/>
    <w:rsid w:val="002A68E4"/>
    <w:rsid w:val="002A7763"/>
    <w:rsid w:val="002A77DD"/>
    <w:rsid w:val="002B0971"/>
    <w:rsid w:val="002B2EF5"/>
    <w:rsid w:val="002B3270"/>
    <w:rsid w:val="002B43BA"/>
    <w:rsid w:val="002C3285"/>
    <w:rsid w:val="002D04D9"/>
    <w:rsid w:val="002D217D"/>
    <w:rsid w:val="002D3530"/>
    <w:rsid w:val="002D373C"/>
    <w:rsid w:val="002D5CC0"/>
    <w:rsid w:val="002E04F8"/>
    <w:rsid w:val="002F20F1"/>
    <w:rsid w:val="002F61DC"/>
    <w:rsid w:val="00304887"/>
    <w:rsid w:val="00305BF2"/>
    <w:rsid w:val="00311C04"/>
    <w:rsid w:val="00314674"/>
    <w:rsid w:val="00316415"/>
    <w:rsid w:val="0032146E"/>
    <w:rsid w:val="0032147F"/>
    <w:rsid w:val="00321960"/>
    <w:rsid w:val="00322012"/>
    <w:rsid w:val="00323B22"/>
    <w:rsid w:val="003253BE"/>
    <w:rsid w:val="00326712"/>
    <w:rsid w:val="00326A40"/>
    <w:rsid w:val="00326C0E"/>
    <w:rsid w:val="003308BE"/>
    <w:rsid w:val="00332DA3"/>
    <w:rsid w:val="00333C3B"/>
    <w:rsid w:val="00333D03"/>
    <w:rsid w:val="0033548F"/>
    <w:rsid w:val="003371C5"/>
    <w:rsid w:val="003412BF"/>
    <w:rsid w:val="00341A5B"/>
    <w:rsid w:val="00342AC6"/>
    <w:rsid w:val="00342EE8"/>
    <w:rsid w:val="00342FBA"/>
    <w:rsid w:val="00343A10"/>
    <w:rsid w:val="00344788"/>
    <w:rsid w:val="00350A32"/>
    <w:rsid w:val="00350BD4"/>
    <w:rsid w:val="00351688"/>
    <w:rsid w:val="00351EAB"/>
    <w:rsid w:val="00354FF5"/>
    <w:rsid w:val="0035564D"/>
    <w:rsid w:val="00356FF4"/>
    <w:rsid w:val="00357316"/>
    <w:rsid w:val="003612A9"/>
    <w:rsid w:val="00361670"/>
    <w:rsid w:val="003619B2"/>
    <w:rsid w:val="00362339"/>
    <w:rsid w:val="00362C4E"/>
    <w:rsid w:val="00363B8B"/>
    <w:rsid w:val="0036617C"/>
    <w:rsid w:val="00366753"/>
    <w:rsid w:val="00366CA0"/>
    <w:rsid w:val="00370E6A"/>
    <w:rsid w:val="00373D38"/>
    <w:rsid w:val="00374934"/>
    <w:rsid w:val="00375092"/>
    <w:rsid w:val="003769D3"/>
    <w:rsid w:val="0038093E"/>
    <w:rsid w:val="00381A83"/>
    <w:rsid w:val="00387A8B"/>
    <w:rsid w:val="00387ED6"/>
    <w:rsid w:val="0039192C"/>
    <w:rsid w:val="00393BC8"/>
    <w:rsid w:val="003A15FE"/>
    <w:rsid w:val="003A1DB0"/>
    <w:rsid w:val="003A2005"/>
    <w:rsid w:val="003A24D7"/>
    <w:rsid w:val="003A521D"/>
    <w:rsid w:val="003A6CB0"/>
    <w:rsid w:val="003A7154"/>
    <w:rsid w:val="003B6A9D"/>
    <w:rsid w:val="003B7621"/>
    <w:rsid w:val="003B76DC"/>
    <w:rsid w:val="003C2635"/>
    <w:rsid w:val="003C7A5A"/>
    <w:rsid w:val="003D0A2D"/>
    <w:rsid w:val="003D483F"/>
    <w:rsid w:val="003D4F19"/>
    <w:rsid w:val="003E6717"/>
    <w:rsid w:val="003F471C"/>
    <w:rsid w:val="003F5557"/>
    <w:rsid w:val="003F56C1"/>
    <w:rsid w:val="003F6CDA"/>
    <w:rsid w:val="004022F5"/>
    <w:rsid w:val="004044E0"/>
    <w:rsid w:val="00404561"/>
    <w:rsid w:val="00407C35"/>
    <w:rsid w:val="00410498"/>
    <w:rsid w:val="00412431"/>
    <w:rsid w:val="004159E3"/>
    <w:rsid w:val="00417FA3"/>
    <w:rsid w:val="00420270"/>
    <w:rsid w:val="00421B17"/>
    <w:rsid w:val="004250D8"/>
    <w:rsid w:val="00426357"/>
    <w:rsid w:val="0042637C"/>
    <w:rsid w:val="0042671E"/>
    <w:rsid w:val="004323ED"/>
    <w:rsid w:val="004339B9"/>
    <w:rsid w:val="00434FAE"/>
    <w:rsid w:val="00441847"/>
    <w:rsid w:val="004425DD"/>
    <w:rsid w:val="0044540A"/>
    <w:rsid w:val="00450E4E"/>
    <w:rsid w:val="004536C4"/>
    <w:rsid w:val="004552A7"/>
    <w:rsid w:val="004552D0"/>
    <w:rsid w:val="00461AD8"/>
    <w:rsid w:val="00463306"/>
    <w:rsid w:val="00466025"/>
    <w:rsid w:val="004665C1"/>
    <w:rsid w:val="004667FA"/>
    <w:rsid w:val="00466ED4"/>
    <w:rsid w:val="00467503"/>
    <w:rsid w:val="00476C10"/>
    <w:rsid w:val="00477C5E"/>
    <w:rsid w:val="0048414E"/>
    <w:rsid w:val="004863BF"/>
    <w:rsid w:val="0048755B"/>
    <w:rsid w:val="0049138B"/>
    <w:rsid w:val="004958E2"/>
    <w:rsid w:val="00495E1B"/>
    <w:rsid w:val="00495F24"/>
    <w:rsid w:val="0049656A"/>
    <w:rsid w:val="00496AA0"/>
    <w:rsid w:val="004B0442"/>
    <w:rsid w:val="004B592B"/>
    <w:rsid w:val="004B7597"/>
    <w:rsid w:val="004B794C"/>
    <w:rsid w:val="004C1BAC"/>
    <w:rsid w:val="004C6EF8"/>
    <w:rsid w:val="004D074C"/>
    <w:rsid w:val="004D1386"/>
    <w:rsid w:val="004D39D1"/>
    <w:rsid w:val="004D3F04"/>
    <w:rsid w:val="004D69AB"/>
    <w:rsid w:val="004D7AAB"/>
    <w:rsid w:val="004E31B7"/>
    <w:rsid w:val="004E6B26"/>
    <w:rsid w:val="004E6F33"/>
    <w:rsid w:val="004F0B1A"/>
    <w:rsid w:val="004F19E1"/>
    <w:rsid w:val="004F4D99"/>
    <w:rsid w:val="00505AF2"/>
    <w:rsid w:val="00505D59"/>
    <w:rsid w:val="0050604B"/>
    <w:rsid w:val="00507185"/>
    <w:rsid w:val="00512679"/>
    <w:rsid w:val="0051598B"/>
    <w:rsid w:val="005179BF"/>
    <w:rsid w:val="00517B98"/>
    <w:rsid w:val="00522EC5"/>
    <w:rsid w:val="005258CF"/>
    <w:rsid w:val="00525F8C"/>
    <w:rsid w:val="00531703"/>
    <w:rsid w:val="00533653"/>
    <w:rsid w:val="005351A8"/>
    <w:rsid w:val="00536511"/>
    <w:rsid w:val="0053679A"/>
    <w:rsid w:val="00537BE1"/>
    <w:rsid w:val="00541026"/>
    <w:rsid w:val="00542657"/>
    <w:rsid w:val="005428B8"/>
    <w:rsid w:val="00542F79"/>
    <w:rsid w:val="00550DB0"/>
    <w:rsid w:val="00555D28"/>
    <w:rsid w:val="00556838"/>
    <w:rsid w:val="005568AE"/>
    <w:rsid w:val="0055691F"/>
    <w:rsid w:val="0056175F"/>
    <w:rsid w:val="0056230C"/>
    <w:rsid w:val="005632FA"/>
    <w:rsid w:val="00564109"/>
    <w:rsid w:val="0056415D"/>
    <w:rsid w:val="005641E1"/>
    <w:rsid w:val="00567082"/>
    <w:rsid w:val="0057242D"/>
    <w:rsid w:val="0057429F"/>
    <w:rsid w:val="00575663"/>
    <w:rsid w:val="005760B0"/>
    <w:rsid w:val="005802BE"/>
    <w:rsid w:val="0058394F"/>
    <w:rsid w:val="0058500C"/>
    <w:rsid w:val="00586500"/>
    <w:rsid w:val="005875E7"/>
    <w:rsid w:val="005913B3"/>
    <w:rsid w:val="00591529"/>
    <w:rsid w:val="005942E1"/>
    <w:rsid w:val="005952F5"/>
    <w:rsid w:val="00596E39"/>
    <w:rsid w:val="005A1D84"/>
    <w:rsid w:val="005A2B0E"/>
    <w:rsid w:val="005A38A4"/>
    <w:rsid w:val="005A67C3"/>
    <w:rsid w:val="005B6E63"/>
    <w:rsid w:val="005B75C6"/>
    <w:rsid w:val="005C020A"/>
    <w:rsid w:val="005C43FB"/>
    <w:rsid w:val="005C5DF7"/>
    <w:rsid w:val="005D0830"/>
    <w:rsid w:val="005D0FF6"/>
    <w:rsid w:val="005D4F02"/>
    <w:rsid w:val="005D6E03"/>
    <w:rsid w:val="005D7DDE"/>
    <w:rsid w:val="005E0C19"/>
    <w:rsid w:val="005E39AE"/>
    <w:rsid w:val="005E3E87"/>
    <w:rsid w:val="005E5F27"/>
    <w:rsid w:val="005E735F"/>
    <w:rsid w:val="005F08D3"/>
    <w:rsid w:val="005F149D"/>
    <w:rsid w:val="005F16BC"/>
    <w:rsid w:val="005F4BCC"/>
    <w:rsid w:val="005F7B7F"/>
    <w:rsid w:val="00604786"/>
    <w:rsid w:val="0060536D"/>
    <w:rsid w:val="0060671F"/>
    <w:rsid w:val="00606EA7"/>
    <w:rsid w:val="006073F1"/>
    <w:rsid w:val="00607FA4"/>
    <w:rsid w:val="00610650"/>
    <w:rsid w:val="006126B3"/>
    <w:rsid w:val="00612AC5"/>
    <w:rsid w:val="00615D7C"/>
    <w:rsid w:val="006211F2"/>
    <w:rsid w:val="00626362"/>
    <w:rsid w:val="00627A3D"/>
    <w:rsid w:val="0063164A"/>
    <w:rsid w:val="006321A9"/>
    <w:rsid w:val="00632C61"/>
    <w:rsid w:val="00636961"/>
    <w:rsid w:val="00636C42"/>
    <w:rsid w:val="00636D05"/>
    <w:rsid w:val="00640181"/>
    <w:rsid w:val="00640660"/>
    <w:rsid w:val="00641FD0"/>
    <w:rsid w:val="00642A26"/>
    <w:rsid w:val="006440DA"/>
    <w:rsid w:val="0064420C"/>
    <w:rsid w:val="00645216"/>
    <w:rsid w:val="006456B7"/>
    <w:rsid w:val="00645960"/>
    <w:rsid w:val="00646978"/>
    <w:rsid w:val="006477CA"/>
    <w:rsid w:val="00647AFA"/>
    <w:rsid w:val="00655013"/>
    <w:rsid w:val="006571D0"/>
    <w:rsid w:val="00660D22"/>
    <w:rsid w:val="006616CC"/>
    <w:rsid w:val="00662643"/>
    <w:rsid w:val="00663E94"/>
    <w:rsid w:val="00666AFB"/>
    <w:rsid w:val="006675BC"/>
    <w:rsid w:val="00667CC3"/>
    <w:rsid w:val="00670744"/>
    <w:rsid w:val="0067169E"/>
    <w:rsid w:val="00674DB0"/>
    <w:rsid w:val="00676009"/>
    <w:rsid w:val="00676F6D"/>
    <w:rsid w:val="00680259"/>
    <w:rsid w:val="00680B2F"/>
    <w:rsid w:val="00681452"/>
    <w:rsid w:val="006827D7"/>
    <w:rsid w:val="0068294C"/>
    <w:rsid w:val="00682A4D"/>
    <w:rsid w:val="00683E95"/>
    <w:rsid w:val="0068464F"/>
    <w:rsid w:val="006863FF"/>
    <w:rsid w:val="00690DFA"/>
    <w:rsid w:val="00691FB1"/>
    <w:rsid w:val="00692714"/>
    <w:rsid w:val="00692B47"/>
    <w:rsid w:val="0069523A"/>
    <w:rsid w:val="006A0F90"/>
    <w:rsid w:val="006A1141"/>
    <w:rsid w:val="006A24D9"/>
    <w:rsid w:val="006A3E7B"/>
    <w:rsid w:val="006A46AE"/>
    <w:rsid w:val="006A4761"/>
    <w:rsid w:val="006A498D"/>
    <w:rsid w:val="006A525E"/>
    <w:rsid w:val="006A58A1"/>
    <w:rsid w:val="006B34E5"/>
    <w:rsid w:val="006B3D7B"/>
    <w:rsid w:val="006B3F97"/>
    <w:rsid w:val="006B414D"/>
    <w:rsid w:val="006B45DB"/>
    <w:rsid w:val="006B6451"/>
    <w:rsid w:val="006B7136"/>
    <w:rsid w:val="006C0794"/>
    <w:rsid w:val="006C3F98"/>
    <w:rsid w:val="006C4DD5"/>
    <w:rsid w:val="006C63D5"/>
    <w:rsid w:val="006C7292"/>
    <w:rsid w:val="006D0CC4"/>
    <w:rsid w:val="006D2543"/>
    <w:rsid w:val="006D2F37"/>
    <w:rsid w:val="006D5845"/>
    <w:rsid w:val="006D7A3E"/>
    <w:rsid w:val="006E1225"/>
    <w:rsid w:val="006E2B0E"/>
    <w:rsid w:val="006E3F7B"/>
    <w:rsid w:val="006E475E"/>
    <w:rsid w:val="006F22EC"/>
    <w:rsid w:val="006F4D4B"/>
    <w:rsid w:val="006F5161"/>
    <w:rsid w:val="006F6B19"/>
    <w:rsid w:val="006F7B89"/>
    <w:rsid w:val="00701916"/>
    <w:rsid w:val="00702191"/>
    <w:rsid w:val="007021FD"/>
    <w:rsid w:val="00703387"/>
    <w:rsid w:val="0070429F"/>
    <w:rsid w:val="0070556B"/>
    <w:rsid w:val="00707BEC"/>
    <w:rsid w:val="00710A08"/>
    <w:rsid w:val="00712C18"/>
    <w:rsid w:val="007137D2"/>
    <w:rsid w:val="0072102A"/>
    <w:rsid w:val="00721230"/>
    <w:rsid w:val="00722C5A"/>
    <w:rsid w:val="00723259"/>
    <w:rsid w:val="00723720"/>
    <w:rsid w:val="007310E4"/>
    <w:rsid w:val="00734197"/>
    <w:rsid w:val="00734386"/>
    <w:rsid w:val="00737B33"/>
    <w:rsid w:val="00740B0B"/>
    <w:rsid w:val="00743473"/>
    <w:rsid w:val="00744DA2"/>
    <w:rsid w:val="00755DCD"/>
    <w:rsid w:val="007567B5"/>
    <w:rsid w:val="00762F20"/>
    <w:rsid w:val="0076335A"/>
    <w:rsid w:val="0076418E"/>
    <w:rsid w:val="00767D49"/>
    <w:rsid w:val="00767EF5"/>
    <w:rsid w:val="00772B13"/>
    <w:rsid w:val="00775591"/>
    <w:rsid w:val="00775668"/>
    <w:rsid w:val="00775B9F"/>
    <w:rsid w:val="00776342"/>
    <w:rsid w:val="00780817"/>
    <w:rsid w:val="007843AC"/>
    <w:rsid w:val="00786C18"/>
    <w:rsid w:val="007873EC"/>
    <w:rsid w:val="00790189"/>
    <w:rsid w:val="00790783"/>
    <w:rsid w:val="00791834"/>
    <w:rsid w:val="00792F95"/>
    <w:rsid w:val="00794D3C"/>
    <w:rsid w:val="007950D7"/>
    <w:rsid w:val="007A14F9"/>
    <w:rsid w:val="007A469B"/>
    <w:rsid w:val="007A6E62"/>
    <w:rsid w:val="007B053F"/>
    <w:rsid w:val="007B0ABD"/>
    <w:rsid w:val="007B1E19"/>
    <w:rsid w:val="007B734A"/>
    <w:rsid w:val="007C004B"/>
    <w:rsid w:val="007C08AC"/>
    <w:rsid w:val="007C0AA7"/>
    <w:rsid w:val="007C2793"/>
    <w:rsid w:val="007C2DEB"/>
    <w:rsid w:val="007D0687"/>
    <w:rsid w:val="007D09BC"/>
    <w:rsid w:val="007D1215"/>
    <w:rsid w:val="007D2110"/>
    <w:rsid w:val="007D2EB1"/>
    <w:rsid w:val="007D3342"/>
    <w:rsid w:val="007E038F"/>
    <w:rsid w:val="007E4D11"/>
    <w:rsid w:val="007E7CC3"/>
    <w:rsid w:val="007F25F6"/>
    <w:rsid w:val="007F2A4A"/>
    <w:rsid w:val="007F5E2F"/>
    <w:rsid w:val="007F630E"/>
    <w:rsid w:val="00804114"/>
    <w:rsid w:val="00804E5F"/>
    <w:rsid w:val="00806617"/>
    <w:rsid w:val="00807828"/>
    <w:rsid w:val="00810BCC"/>
    <w:rsid w:val="00821363"/>
    <w:rsid w:val="0082242D"/>
    <w:rsid w:val="00822511"/>
    <w:rsid w:val="008258AF"/>
    <w:rsid w:val="00830013"/>
    <w:rsid w:val="00830DB6"/>
    <w:rsid w:val="008315BF"/>
    <w:rsid w:val="00835097"/>
    <w:rsid w:val="00835A31"/>
    <w:rsid w:val="00836F3A"/>
    <w:rsid w:val="00842941"/>
    <w:rsid w:val="00847AA5"/>
    <w:rsid w:val="00852D4B"/>
    <w:rsid w:val="008537DF"/>
    <w:rsid w:val="008541DD"/>
    <w:rsid w:val="00855F45"/>
    <w:rsid w:val="00860C8B"/>
    <w:rsid w:val="00866FA0"/>
    <w:rsid w:val="00870975"/>
    <w:rsid w:val="00872C68"/>
    <w:rsid w:val="00873391"/>
    <w:rsid w:val="008764DA"/>
    <w:rsid w:val="008830E8"/>
    <w:rsid w:val="00883BAF"/>
    <w:rsid w:val="00887CC9"/>
    <w:rsid w:val="008914AF"/>
    <w:rsid w:val="00891FE9"/>
    <w:rsid w:val="0089395A"/>
    <w:rsid w:val="008A40EA"/>
    <w:rsid w:val="008A6781"/>
    <w:rsid w:val="008A6DDA"/>
    <w:rsid w:val="008B2B1E"/>
    <w:rsid w:val="008B43B1"/>
    <w:rsid w:val="008B5655"/>
    <w:rsid w:val="008B5894"/>
    <w:rsid w:val="008B6707"/>
    <w:rsid w:val="008B7120"/>
    <w:rsid w:val="008C026F"/>
    <w:rsid w:val="008C0B69"/>
    <w:rsid w:val="008C0F94"/>
    <w:rsid w:val="008C1E56"/>
    <w:rsid w:val="008C1F72"/>
    <w:rsid w:val="008C47F8"/>
    <w:rsid w:val="008C6B12"/>
    <w:rsid w:val="008D0973"/>
    <w:rsid w:val="008D4732"/>
    <w:rsid w:val="008E3EF1"/>
    <w:rsid w:val="008E47FE"/>
    <w:rsid w:val="008E5220"/>
    <w:rsid w:val="008E5A25"/>
    <w:rsid w:val="008E5DE7"/>
    <w:rsid w:val="008E6817"/>
    <w:rsid w:val="008F7ACD"/>
    <w:rsid w:val="009008DE"/>
    <w:rsid w:val="00903ED8"/>
    <w:rsid w:val="00904C72"/>
    <w:rsid w:val="009074FD"/>
    <w:rsid w:val="00907C7B"/>
    <w:rsid w:val="0091085B"/>
    <w:rsid w:val="009110A0"/>
    <w:rsid w:val="0091168A"/>
    <w:rsid w:val="00915D40"/>
    <w:rsid w:val="00920419"/>
    <w:rsid w:val="009210C1"/>
    <w:rsid w:val="00921368"/>
    <w:rsid w:val="009225E8"/>
    <w:rsid w:val="00925F7E"/>
    <w:rsid w:val="00927521"/>
    <w:rsid w:val="00927DFF"/>
    <w:rsid w:val="00927F38"/>
    <w:rsid w:val="00932762"/>
    <w:rsid w:val="0093297B"/>
    <w:rsid w:val="009419A3"/>
    <w:rsid w:val="00945039"/>
    <w:rsid w:val="009460C2"/>
    <w:rsid w:val="009462DF"/>
    <w:rsid w:val="00947D8E"/>
    <w:rsid w:val="00952AA8"/>
    <w:rsid w:val="009578A7"/>
    <w:rsid w:val="00960729"/>
    <w:rsid w:val="00960A47"/>
    <w:rsid w:val="00973573"/>
    <w:rsid w:val="00981814"/>
    <w:rsid w:val="00982584"/>
    <w:rsid w:val="0098626F"/>
    <w:rsid w:val="009862AD"/>
    <w:rsid w:val="00986411"/>
    <w:rsid w:val="00990658"/>
    <w:rsid w:val="00990F68"/>
    <w:rsid w:val="00993B76"/>
    <w:rsid w:val="0099431A"/>
    <w:rsid w:val="00994C2C"/>
    <w:rsid w:val="009952BB"/>
    <w:rsid w:val="00996258"/>
    <w:rsid w:val="00997EAD"/>
    <w:rsid w:val="009A0D6A"/>
    <w:rsid w:val="009A2DBE"/>
    <w:rsid w:val="009A30B0"/>
    <w:rsid w:val="009A37A5"/>
    <w:rsid w:val="009A48F3"/>
    <w:rsid w:val="009A4D29"/>
    <w:rsid w:val="009A538D"/>
    <w:rsid w:val="009A5560"/>
    <w:rsid w:val="009A61AD"/>
    <w:rsid w:val="009A6FD8"/>
    <w:rsid w:val="009A7086"/>
    <w:rsid w:val="009A7134"/>
    <w:rsid w:val="009B070A"/>
    <w:rsid w:val="009B082E"/>
    <w:rsid w:val="009B19EF"/>
    <w:rsid w:val="009B2C13"/>
    <w:rsid w:val="009B35A8"/>
    <w:rsid w:val="009B652C"/>
    <w:rsid w:val="009C26D7"/>
    <w:rsid w:val="009C2BB1"/>
    <w:rsid w:val="009C3E7C"/>
    <w:rsid w:val="009C420F"/>
    <w:rsid w:val="009D0F10"/>
    <w:rsid w:val="009D3F81"/>
    <w:rsid w:val="009E145F"/>
    <w:rsid w:val="009E3BF8"/>
    <w:rsid w:val="009E59C0"/>
    <w:rsid w:val="009E6376"/>
    <w:rsid w:val="009F032D"/>
    <w:rsid w:val="009F082F"/>
    <w:rsid w:val="009F4832"/>
    <w:rsid w:val="009F4D0F"/>
    <w:rsid w:val="009F53D3"/>
    <w:rsid w:val="009F7C22"/>
    <w:rsid w:val="00A00BA7"/>
    <w:rsid w:val="00A0110B"/>
    <w:rsid w:val="00A03412"/>
    <w:rsid w:val="00A05DE6"/>
    <w:rsid w:val="00A06A75"/>
    <w:rsid w:val="00A13178"/>
    <w:rsid w:val="00A140D3"/>
    <w:rsid w:val="00A14D1F"/>
    <w:rsid w:val="00A1590E"/>
    <w:rsid w:val="00A17AB9"/>
    <w:rsid w:val="00A17FC2"/>
    <w:rsid w:val="00A21F0D"/>
    <w:rsid w:val="00A2589F"/>
    <w:rsid w:val="00A30ED5"/>
    <w:rsid w:val="00A3127A"/>
    <w:rsid w:val="00A31F6E"/>
    <w:rsid w:val="00A33184"/>
    <w:rsid w:val="00A34D0F"/>
    <w:rsid w:val="00A3746A"/>
    <w:rsid w:val="00A416F6"/>
    <w:rsid w:val="00A43F30"/>
    <w:rsid w:val="00A47DAA"/>
    <w:rsid w:val="00A50E6C"/>
    <w:rsid w:val="00A52522"/>
    <w:rsid w:val="00A55F4E"/>
    <w:rsid w:val="00A576C4"/>
    <w:rsid w:val="00A61A1D"/>
    <w:rsid w:val="00A61D0D"/>
    <w:rsid w:val="00A62985"/>
    <w:rsid w:val="00A62C56"/>
    <w:rsid w:val="00A62F81"/>
    <w:rsid w:val="00A720DE"/>
    <w:rsid w:val="00A7306C"/>
    <w:rsid w:val="00A7619D"/>
    <w:rsid w:val="00A76C79"/>
    <w:rsid w:val="00A81DA0"/>
    <w:rsid w:val="00A86587"/>
    <w:rsid w:val="00A86DA3"/>
    <w:rsid w:val="00A90FC3"/>
    <w:rsid w:val="00A92325"/>
    <w:rsid w:val="00A927F8"/>
    <w:rsid w:val="00A93321"/>
    <w:rsid w:val="00A93F5E"/>
    <w:rsid w:val="00A95B99"/>
    <w:rsid w:val="00A95E74"/>
    <w:rsid w:val="00AB55D5"/>
    <w:rsid w:val="00AB69FE"/>
    <w:rsid w:val="00AC4C81"/>
    <w:rsid w:val="00AC5006"/>
    <w:rsid w:val="00AC6A80"/>
    <w:rsid w:val="00AC71C9"/>
    <w:rsid w:val="00AD20E9"/>
    <w:rsid w:val="00AD67CF"/>
    <w:rsid w:val="00AD7624"/>
    <w:rsid w:val="00AE2056"/>
    <w:rsid w:val="00AE5C76"/>
    <w:rsid w:val="00AF1E6E"/>
    <w:rsid w:val="00AF332B"/>
    <w:rsid w:val="00AF4666"/>
    <w:rsid w:val="00AF587A"/>
    <w:rsid w:val="00AF5C54"/>
    <w:rsid w:val="00AF7C47"/>
    <w:rsid w:val="00AF7E58"/>
    <w:rsid w:val="00B00E79"/>
    <w:rsid w:val="00B02A4B"/>
    <w:rsid w:val="00B0487E"/>
    <w:rsid w:val="00B1262A"/>
    <w:rsid w:val="00B12DB6"/>
    <w:rsid w:val="00B13414"/>
    <w:rsid w:val="00B15819"/>
    <w:rsid w:val="00B15A1D"/>
    <w:rsid w:val="00B16068"/>
    <w:rsid w:val="00B213AA"/>
    <w:rsid w:val="00B32BD7"/>
    <w:rsid w:val="00B34AC9"/>
    <w:rsid w:val="00B36D44"/>
    <w:rsid w:val="00B4222F"/>
    <w:rsid w:val="00B46EF2"/>
    <w:rsid w:val="00B50636"/>
    <w:rsid w:val="00B51CE4"/>
    <w:rsid w:val="00B5293F"/>
    <w:rsid w:val="00B53EF2"/>
    <w:rsid w:val="00B5638C"/>
    <w:rsid w:val="00B56BFE"/>
    <w:rsid w:val="00B57298"/>
    <w:rsid w:val="00B57DE6"/>
    <w:rsid w:val="00B60809"/>
    <w:rsid w:val="00B61FE6"/>
    <w:rsid w:val="00B63B62"/>
    <w:rsid w:val="00B641BA"/>
    <w:rsid w:val="00B645CB"/>
    <w:rsid w:val="00B669E9"/>
    <w:rsid w:val="00B6723E"/>
    <w:rsid w:val="00B72C2F"/>
    <w:rsid w:val="00B7330A"/>
    <w:rsid w:val="00B733FB"/>
    <w:rsid w:val="00B74FFA"/>
    <w:rsid w:val="00B7569C"/>
    <w:rsid w:val="00B84AC4"/>
    <w:rsid w:val="00B85A68"/>
    <w:rsid w:val="00B8681B"/>
    <w:rsid w:val="00B86A28"/>
    <w:rsid w:val="00B90B3B"/>
    <w:rsid w:val="00B91742"/>
    <w:rsid w:val="00B929B4"/>
    <w:rsid w:val="00B95196"/>
    <w:rsid w:val="00BA0EA3"/>
    <w:rsid w:val="00BA15E2"/>
    <w:rsid w:val="00BA177B"/>
    <w:rsid w:val="00BA2971"/>
    <w:rsid w:val="00BA3908"/>
    <w:rsid w:val="00BA3A19"/>
    <w:rsid w:val="00BA5A2E"/>
    <w:rsid w:val="00BB04DE"/>
    <w:rsid w:val="00BB41A3"/>
    <w:rsid w:val="00BB4401"/>
    <w:rsid w:val="00BB5048"/>
    <w:rsid w:val="00BB5A2D"/>
    <w:rsid w:val="00BC0CBB"/>
    <w:rsid w:val="00BC584F"/>
    <w:rsid w:val="00BD21B9"/>
    <w:rsid w:val="00BD2899"/>
    <w:rsid w:val="00BD4A74"/>
    <w:rsid w:val="00BD4D70"/>
    <w:rsid w:val="00BD5CC0"/>
    <w:rsid w:val="00BE4209"/>
    <w:rsid w:val="00BE63E1"/>
    <w:rsid w:val="00BE6953"/>
    <w:rsid w:val="00BF005A"/>
    <w:rsid w:val="00BF0862"/>
    <w:rsid w:val="00BF09BE"/>
    <w:rsid w:val="00BF292A"/>
    <w:rsid w:val="00BF31D1"/>
    <w:rsid w:val="00BF7FC7"/>
    <w:rsid w:val="00C06B08"/>
    <w:rsid w:val="00C133A2"/>
    <w:rsid w:val="00C163AA"/>
    <w:rsid w:val="00C17E87"/>
    <w:rsid w:val="00C2031C"/>
    <w:rsid w:val="00C2078F"/>
    <w:rsid w:val="00C22352"/>
    <w:rsid w:val="00C265C4"/>
    <w:rsid w:val="00C30FC2"/>
    <w:rsid w:val="00C33AD5"/>
    <w:rsid w:val="00C33ED0"/>
    <w:rsid w:val="00C346E9"/>
    <w:rsid w:val="00C41D8E"/>
    <w:rsid w:val="00C44325"/>
    <w:rsid w:val="00C44D0B"/>
    <w:rsid w:val="00C44E01"/>
    <w:rsid w:val="00C45F25"/>
    <w:rsid w:val="00C505C9"/>
    <w:rsid w:val="00C52B78"/>
    <w:rsid w:val="00C577E9"/>
    <w:rsid w:val="00C61255"/>
    <w:rsid w:val="00C626AD"/>
    <w:rsid w:val="00C6294F"/>
    <w:rsid w:val="00C62B27"/>
    <w:rsid w:val="00C63739"/>
    <w:rsid w:val="00C637C8"/>
    <w:rsid w:val="00C6419A"/>
    <w:rsid w:val="00C6455A"/>
    <w:rsid w:val="00C67F5B"/>
    <w:rsid w:val="00C725A1"/>
    <w:rsid w:val="00C73810"/>
    <w:rsid w:val="00C7512B"/>
    <w:rsid w:val="00C75CFD"/>
    <w:rsid w:val="00C76D68"/>
    <w:rsid w:val="00C81B8F"/>
    <w:rsid w:val="00C830F4"/>
    <w:rsid w:val="00C92A77"/>
    <w:rsid w:val="00C92B0B"/>
    <w:rsid w:val="00C933D7"/>
    <w:rsid w:val="00C94E54"/>
    <w:rsid w:val="00C955FE"/>
    <w:rsid w:val="00CA079B"/>
    <w:rsid w:val="00CA3D81"/>
    <w:rsid w:val="00CA413E"/>
    <w:rsid w:val="00CA44FE"/>
    <w:rsid w:val="00CA4C27"/>
    <w:rsid w:val="00CA6DEE"/>
    <w:rsid w:val="00CA7D95"/>
    <w:rsid w:val="00CB5732"/>
    <w:rsid w:val="00CB5BCE"/>
    <w:rsid w:val="00CB6FDF"/>
    <w:rsid w:val="00CB77D3"/>
    <w:rsid w:val="00CB7B4D"/>
    <w:rsid w:val="00CC311A"/>
    <w:rsid w:val="00CC332E"/>
    <w:rsid w:val="00CC4802"/>
    <w:rsid w:val="00CC4CBD"/>
    <w:rsid w:val="00CC585A"/>
    <w:rsid w:val="00CC67CA"/>
    <w:rsid w:val="00CD1E9E"/>
    <w:rsid w:val="00CD3A10"/>
    <w:rsid w:val="00CD3D64"/>
    <w:rsid w:val="00CD684E"/>
    <w:rsid w:val="00CD714B"/>
    <w:rsid w:val="00CD7F91"/>
    <w:rsid w:val="00CE3D68"/>
    <w:rsid w:val="00CF68DD"/>
    <w:rsid w:val="00D0115E"/>
    <w:rsid w:val="00D03E31"/>
    <w:rsid w:val="00D05C48"/>
    <w:rsid w:val="00D06068"/>
    <w:rsid w:val="00D217AB"/>
    <w:rsid w:val="00D21D8D"/>
    <w:rsid w:val="00D26B78"/>
    <w:rsid w:val="00D27D3D"/>
    <w:rsid w:val="00D30333"/>
    <w:rsid w:val="00D34FED"/>
    <w:rsid w:val="00D35224"/>
    <w:rsid w:val="00D35AF1"/>
    <w:rsid w:val="00D41B96"/>
    <w:rsid w:val="00D43F72"/>
    <w:rsid w:val="00D463F2"/>
    <w:rsid w:val="00D46837"/>
    <w:rsid w:val="00D47819"/>
    <w:rsid w:val="00D50758"/>
    <w:rsid w:val="00D5140A"/>
    <w:rsid w:val="00D518F7"/>
    <w:rsid w:val="00D51E12"/>
    <w:rsid w:val="00D534C5"/>
    <w:rsid w:val="00D53A77"/>
    <w:rsid w:val="00D610EB"/>
    <w:rsid w:val="00D61E31"/>
    <w:rsid w:val="00D62B97"/>
    <w:rsid w:val="00D67E26"/>
    <w:rsid w:val="00D7029A"/>
    <w:rsid w:val="00D70C62"/>
    <w:rsid w:val="00D71BE3"/>
    <w:rsid w:val="00D76626"/>
    <w:rsid w:val="00D81262"/>
    <w:rsid w:val="00D843AC"/>
    <w:rsid w:val="00D84CF9"/>
    <w:rsid w:val="00D85CB9"/>
    <w:rsid w:val="00D976B9"/>
    <w:rsid w:val="00D97DF9"/>
    <w:rsid w:val="00DA0C20"/>
    <w:rsid w:val="00DA27A7"/>
    <w:rsid w:val="00DA2C83"/>
    <w:rsid w:val="00DA3D49"/>
    <w:rsid w:val="00DA4CBE"/>
    <w:rsid w:val="00DA4DDE"/>
    <w:rsid w:val="00DA73E9"/>
    <w:rsid w:val="00DB3CFA"/>
    <w:rsid w:val="00DB62E1"/>
    <w:rsid w:val="00DB6D0F"/>
    <w:rsid w:val="00DB7658"/>
    <w:rsid w:val="00DC1C4D"/>
    <w:rsid w:val="00DC3B36"/>
    <w:rsid w:val="00DC4190"/>
    <w:rsid w:val="00DC4868"/>
    <w:rsid w:val="00DD0215"/>
    <w:rsid w:val="00DD5198"/>
    <w:rsid w:val="00DD685F"/>
    <w:rsid w:val="00DD6C6A"/>
    <w:rsid w:val="00DE1F62"/>
    <w:rsid w:val="00DE2338"/>
    <w:rsid w:val="00DE2DE1"/>
    <w:rsid w:val="00DE4288"/>
    <w:rsid w:val="00DE4874"/>
    <w:rsid w:val="00DE53D9"/>
    <w:rsid w:val="00DE5444"/>
    <w:rsid w:val="00DE72BB"/>
    <w:rsid w:val="00DF4615"/>
    <w:rsid w:val="00DF4DA1"/>
    <w:rsid w:val="00E05096"/>
    <w:rsid w:val="00E07DCD"/>
    <w:rsid w:val="00E122F7"/>
    <w:rsid w:val="00E128A6"/>
    <w:rsid w:val="00E13D2E"/>
    <w:rsid w:val="00E14099"/>
    <w:rsid w:val="00E1523D"/>
    <w:rsid w:val="00E17BDD"/>
    <w:rsid w:val="00E22A54"/>
    <w:rsid w:val="00E23C45"/>
    <w:rsid w:val="00E32277"/>
    <w:rsid w:val="00E32BE5"/>
    <w:rsid w:val="00E3311C"/>
    <w:rsid w:val="00E3635B"/>
    <w:rsid w:val="00E37CE3"/>
    <w:rsid w:val="00E407B4"/>
    <w:rsid w:val="00E52083"/>
    <w:rsid w:val="00E52AA7"/>
    <w:rsid w:val="00E53024"/>
    <w:rsid w:val="00E54069"/>
    <w:rsid w:val="00E560AB"/>
    <w:rsid w:val="00E57AEA"/>
    <w:rsid w:val="00E61D5F"/>
    <w:rsid w:val="00E6281F"/>
    <w:rsid w:val="00E62FFD"/>
    <w:rsid w:val="00E67113"/>
    <w:rsid w:val="00E67A22"/>
    <w:rsid w:val="00E71B0D"/>
    <w:rsid w:val="00E7303A"/>
    <w:rsid w:val="00E73DD6"/>
    <w:rsid w:val="00E801CB"/>
    <w:rsid w:val="00E83574"/>
    <w:rsid w:val="00E83869"/>
    <w:rsid w:val="00E83DF1"/>
    <w:rsid w:val="00E85923"/>
    <w:rsid w:val="00E908C9"/>
    <w:rsid w:val="00E93E15"/>
    <w:rsid w:val="00EA0C85"/>
    <w:rsid w:val="00EA4433"/>
    <w:rsid w:val="00EA5065"/>
    <w:rsid w:val="00EB153D"/>
    <w:rsid w:val="00EB45A3"/>
    <w:rsid w:val="00EC1913"/>
    <w:rsid w:val="00EC2E6E"/>
    <w:rsid w:val="00EC37DF"/>
    <w:rsid w:val="00EC3CA3"/>
    <w:rsid w:val="00ED07D1"/>
    <w:rsid w:val="00ED4952"/>
    <w:rsid w:val="00ED4F8C"/>
    <w:rsid w:val="00EE16B4"/>
    <w:rsid w:val="00EE6E61"/>
    <w:rsid w:val="00EF039F"/>
    <w:rsid w:val="00EF4851"/>
    <w:rsid w:val="00EF515E"/>
    <w:rsid w:val="00EF61FA"/>
    <w:rsid w:val="00F03B45"/>
    <w:rsid w:val="00F131B4"/>
    <w:rsid w:val="00F20B63"/>
    <w:rsid w:val="00F21E69"/>
    <w:rsid w:val="00F22078"/>
    <w:rsid w:val="00F238D1"/>
    <w:rsid w:val="00F243A5"/>
    <w:rsid w:val="00F2516E"/>
    <w:rsid w:val="00F2614F"/>
    <w:rsid w:val="00F26440"/>
    <w:rsid w:val="00F277C3"/>
    <w:rsid w:val="00F343B7"/>
    <w:rsid w:val="00F400D9"/>
    <w:rsid w:val="00F40F62"/>
    <w:rsid w:val="00F4168C"/>
    <w:rsid w:val="00F43CA4"/>
    <w:rsid w:val="00F57156"/>
    <w:rsid w:val="00F57749"/>
    <w:rsid w:val="00F60861"/>
    <w:rsid w:val="00F61C8C"/>
    <w:rsid w:val="00F67358"/>
    <w:rsid w:val="00F70715"/>
    <w:rsid w:val="00F72769"/>
    <w:rsid w:val="00F73469"/>
    <w:rsid w:val="00F7394C"/>
    <w:rsid w:val="00F74818"/>
    <w:rsid w:val="00F76EA4"/>
    <w:rsid w:val="00F80F77"/>
    <w:rsid w:val="00F846B4"/>
    <w:rsid w:val="00F84758"/>
    <w:rsid w:val="00F85DEF"/>
    <w:rsid w:val="00F91CCF"/>
    <w:rsid w:val="00F920D9"/>
    <w:rsid w:val="00F95AC8"/>
    <w:rsid w:val="00FA1033"/>
    <w:rsid w:val="00FA30D9"/>
    <w:rsid w:val="00FA3EDE"/>
    <w:rsid w:val="00FB024A"/>
    <w:rsid w:val="00FB095A"/>
    <w:rsid w:val="00FB33D9"/>
    <w:rsid w:val="00FB6377"/>
    <w:rsid w:val="00FB7694"/>
    <w:rsid w:val="00FC00E2"/>
    <w:rsid w:val="00FC130F"/>
    <w:rsid w:val="00FC1862"/>
    <w:rsid w:val="00FC32B4"/>
    <w:rsid w:val="00FC360F"/>
    <w:rsid w:val="00FC7322"/>
    <w:rsid w:val="00FD09B2"/>
    <w:rsid w:val="00FD2021"/>
    <w:rsid w:val="00FD4455"/>
    <w:rsid w:val="00FD5138"/>
    <w:rsid w:val="00FD6082"/>
    <w:rsid w:val="00FD64C6"/>
    <w:rsid w:val="00FD6CF0"/>
    <w:rsid w:val="00FE1924"/>
    <w:rsid w:val="00FE3E73"/>
    <w:rsid w:val="00FE664F"/>
    <w:rsid w:val="00FE6CEA"/>
    <w:rsid w:val="00FF0F77"/>
    <w:rsid w:val="00FF5802"/>
    <w:rsid w:val="00FF60EF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6BE0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F6BE0"/>
    <w:rPr>
      <w:color w:val="0000FF"/>
      <w:u w:val="single"/>
    </w:rPr>
  </w:style>
  <w:style w:type="paragraph" w:styleId="Zkladntext">
    <w:name w:val="Body Text"/>
    <w:basedOn w:val="Normlny"/>
    <w:rsid w:val="00FF6BE0"/>
    <w:pPr>
      <w:ind w:left="0" w:firstLine="0"/>
    </w:pPr>
  </w:style>
  <w:style w:type="paragraph" w:customStyle="1" w:styleId="EMEAEnBodyText">
    <w:name w:val="EMEA En Body Text"/>
    <w:basedOn w:val="Normlny"/>
    <w:rsid w:val="00FF6BE0"/>
    <w:pPr>
      <w:spacing w:before="120" w:after="120"/>
      <w:ind w:left="0" w:firstLine="0"/>
      <w:jc w:val="both"/>
    </w:pPr>
    <w:rPr>
      <w:szCs w:val="20"/>
      <w:lang w:val="en-US" w:eastAsia="en-US"/>
    </w:rPr>
  </w:style>
  <w:style w:type="character" w:styleId="Odkaznakomentr">
    <w:name w:val="annotation reference"/>
    <w:semiHidden/>
    <w:rsid w:val="00D217AB"/>
    <w:rPr>
      <w:sz w:val="16"/>
      <w:szCs w:val="16"/>
    </w:rPr>
  </w:style>
  <w:style w:type="paragraph" w:styleId="Textkomentra">
    <w:name w:val="annotation text"/>
    <w:basedOn w:val="Normlny"/>
    <w:semiHidden/>
    <w:rsid w:val="00D217AB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217AB"/>
    <w:rPr>
      <w:b/>
      <w:bCs/>
    </w:rPr>
  </w:style>
  <w:style w:type="paragraph" w:styleId="Textbubliny">
    <w:name w:val="Balloon Text"/>
    <w:basedOn w:val="Normlny"/>
    <w:semiHidden/>
    <w:rsid w:val="00D217AB"/>
    <w:rPr>
      <w:rFonts w:ascii="Tahoma" w:hAnsi="Tahoma" w:cs="Tahoma"/>
      <w:sz w:val="16"/>
      <w:szCs w:val="16"/>
    </w:rPr>
  </w:style>
  <w:style w:type="character" w:customStyle="1" w:styleId="st1">
    <w:name w:val="st1"/>
    <w:rsid w:val="0038093E"/>
  </w:style>
  <w:style w:type="character" w:styleId="Zvraznenie">
    <w:name w:val="Emphasis"/>
    <w:uiPriority w:val="20"/>
    <w:qFormat/>
    <w:rsid w:val="00F73469"/>
    <w:rPr>
      <w:i/>
      <w:iCs/>
    </w:rPr>
  </w:style>
  <w:style w:type="paragraph" w:styleId="Normlnywebov">
    <w:name w:val="Normal (Web)"/>
    <w:basedOn w:val="Normlny"/>
    <w:uiPriority w:val="99"/>
    <w:unhideWhenUsed/>
    <w:rsid w:val="00C52B78"/>
    <w:pPr>
      <w:spacing w:after="100" w:afterAutospacing="1" w:line="336" w:lineRule="auto"/>
      <w:ind w:left="0" w:firstLine="0"/>
    </w:pPr>
    <w:rPr>
      <w:sz w:val="24"/>
      <w:lang w:val="en-US" w:eastAsia="en-US"/>
    </w:rPr>
  </w:style>
  <w:style w:type="paragraph" w:customStyle="1" w:styleId="Default">
    <w:name w:val="Default"/>
    <w:rsid w:val="00646978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35564D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uiPriority w:val="99"/>
    <w:rsid w:val="0035564D"/>
    <w:rPr>
      <w:sz w:val="22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35564D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rsid w:val="0035564D"/>
    <w:rPr>
      <w:sz w:val="22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273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uitHypertextovPrepojenie">
    <w:name w:val="FollowedHyperlink"/>
    <w:uiPriority w:val="99"/>
    <w:semiHidden/>
    <w:unhideWhenUsed/>
    <w:rsid w:val="001D66BC"/>
    <w:rPr>
      <w:color w:val="800080"/>
      <w:u w:val="single"/>
    </w:rPr>
  </w:style>
  <w:style w:type="paragraph" w:styleId="Revzia">
    <w:name w:val="Revision"/>
    <w:hidden/>
    <w:uiPriority w:val="99"/>
    <w:semiHidden/>
    <w:rsid w:val="00DE4874"/>
    <w:rPr>
      <w:sz w:val="22"/>
      <w:szCs w:val="24"/>
    </w:rPr>
  </w:style>
  <w:style w:type="character" w:customStyle="1" w:styleId="TextChar1">
    <w:name w:val="Text Char1"/>
    <w:link w:val="Text"/>
    <w:locked/>
    <w:rsid w:val="008F7ACD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8F7ACD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6BE0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F6BE0"/>
    <w:rPr>
      <w:color w:val="0000FF"/>
      <w:u w:val="single"/>
    </w:rPr>
  </w:style>
  <w:style w:type="paragraph" w:styleId="Zkladntext">
    <w:name w:val="Body Text"/>
    <w:basedOn w:val="Normlny"/>
    <w:rsid w:val="00FF6BE0"/>
    <w:pPr>
      <w:ind w:left="0" w:firstLine="0"/>
    </w:pPr>
  </w:style>
  <w:style w:type="paragraph" w:customStyle="1" w:styleId="EMEAEnBodyText">
    <w:name w:val="EMEA En Body Text"/>
    <w:basedOn w:val="Normlny"/>
    <w:rsid w:val="00FF6BE0"/>
    <w:pPr>
      <w:spacing w:before="120" w:after="120"/>
      <w:ind w:left="0" w:firstLine="0"/>
      <w:jc w:val="both"/>
    </w:pPr>
    <w:rPr>
      <w:szCs w:val="20"/>
      <w:lang w:val="en-US" w:eastAsia="en-US"/>
    </w:rPr>
  </w:style>
  <w:style w:type="character" w:styleId="Odkaznakomentr">
    <w:name w:val="annotation reference"/>
    <w:semiHidden/>
    <w:rsid w:val="00D217AB"/>
    <w:rPr>
      <w:sz w:val="16"/>
      <w:szCs w:val="16"/>
    </w:rPr>
  </w:style>
  <w:style w:type="paragraph" w:styleId="Textkomentra">
    <w:name w:val="annotation text"/>
    <w:basedOn w:val="Normlny"/>
    <w:semiHidden/>
    <w:rsid w:val="00D217AB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217AB"/>
    <w:rPr>
      <w:b/>
      <w:bCs/>
    </w:rPr>
  </w:style>
  <w:style w:type="paragraph" w:styleId="Textbubliny">
    <w:name w:val="Balloon Text"/>
    <w:basedOn w:val="Normlny"/>
    <w:semiHidden/>
    <w:rsid w:val="00D217AB"/>
    <w:rPr>
      <w:rFonts w:ascii="Tahoma" w:hAnsi="Tahoma" w:cs="Tahoma"/>
      <w:sz w:val="16"/>
      <w:szCs w:val="16"/>
    </w:rPr>
  </w:style>
  <w:style w:type="character" w:customStyle="1" w:styleId="st1">
    <w:name w:val="st1"/>
    <w:rsid w:val="0038093E"/>
  </w:style>
  <w:style w:type="character" w:styleId="Zvraznenie">
    <w:name w:val="Emphasis"/>
    <w:uiPriority w:val="20"/>
    <w:qFormat/>
    <w:rsid w:val="00F73469"/>
    <w:rPr>
      <w:i/>
      <w:iCs/>
    </w:rPr>
  </w:style>
  <w:style w:type="paragraph" w:styleId="Normlnywebov">
    <w:name w:val="Normal (Web)"/>
    <w:basedOn w:val="Normlny"/>
    <w:uiPriority w:val="99"/>
    <w:unhideWhenUsed/>
    <w:rsid w:val="00C52B78"/>
    <w:pPr>
      <w:spacing w:after="100" w:afterAutospacing="1" w:line="336" w:lineRule="auto"/>
      <w:ind w:left="0" w:firstLine="0"/>
    </w:pPr>
    <w:rPr>
      <w:sz w:val="24"/>
      <w:lang w:val="en-US" w:eastAsia="en-US"/>
    </w:rPr>
  </w:style>
  <w:style w:type="paragraph" w:customStyle="1" w:styleId="Default">
    <w:name w:val="Default"/>
    <w:rsid w:val="00646978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35564D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uiPriority w:val="99"/>
    <w:rsid w:val="0035564D"/>
    <w:rPr>
      <w:sz w:val="22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35564D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rsid w:val="0035564D"/>
    <w:rPr>
      <w:sz w:val="22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273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uitHypertextovPrepojenie">
    <w:name w:val="FollowedHyperlink"/>
    <w:uiPriority w:val="99"/>
    <w:semiHidden/>
    <w:unhideWhenUsed/>
    <w:rsid w:val="001D66BC"/>
    <w:rPr>
      <w:color w:val="800080"/>
      <w:u w:val="single"/>
    </w:rPr>
  </w:style>
  <w:style w:type="paragraph" w:styleId="Revzia">
    <w:name w:val="Revision"/>
    <w:hidden/>
    <w:uiPriority w:val="99"/>
    <w:semiHidden/>
    <w:rsid w:val="00DE4874"/>
    <w:rPr>
      <w:sz w:val="22"/>
      <w:szCs w:val="24"/>
    </w:rPr>
  </w:style>
  <w:style w:type="character" w:customStyle="1" w:styleId="TextChar1">
    <w:name w:val="Text Char1"/>
    <w:link w:val="Text"/>
    <w:locked/>
    <w:rsid w:val="008F7ACD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8F7ACD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3544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7643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58458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1507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7693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4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1923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7A58F-4656-4E62-9544-BE094D89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16428</Words>
  <Characters>93642</Characters>
  <Application>Microsoft Office Word</Application>
  <DocSecurity>0</DocSecurity>
  <Lines>780</Lines>
  <Paragraphs>219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Novartis</Company>
  <LinksUpToDate>false</LinksUpToDate>
  <CharactersWithSpaces>109851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Regpharm;Stada AG</dc:creator>
  <cp:lastModifiedBy>Kubáčková, Jaroslava</cp:lastModifiedBy>
  <cp:revision>3</cp:revision>
  <cp:lastPrinted>2020-09-22T10:45:00Z</cp:lastPrinted>
  <dcterms:created xsi:type="dcterms:W3CDTF">2020-09-22T10:34:00Z</dcterms:created>
  <dcterms:modified xsi:type="dcterms:W3CDTF">2020-09-22T10:46:00Z</dcterms:modified>
</cp:coreProperties>
</file>