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314B8" w14:textId="77777777" w:rsidR="00977BF3" w:rsidRPr="00921EF2" w:rsidRDefault="00977BF3" w:rsidP="005C64C0">
      <w:pPr>
        <w:pStyle w:val="Nzov"/>
        <w:rPr>
          <w:sz w:val="22"/>
          <w:szCs w:val="22"/>
          <w:u w:val="none"/>
        </w:rPr>
      </w:pPr>
      <w:r w:rsidRPr="00921EF2">
        <w:rPr>
          <w:sz w:val="22"/>
          <w:szCs w:val="22"/>
          <w:u w:val="none"/>
        </w:rPr>
        <w:t>SÚHRN CHARAKTERISTICKÝCH VLASTNOSTÍ LIEKU</w:t>
      </w:r>
    </w:p>
    <w:p w14:paraId="051EBACD" w14:textId="77777777" w:rsidR="00012805" w:rsidRPr="00921EF2" w:rsidRDefault="00012805" w:rsidP="005C64C0">
      <w:pPr>
        <w:pStyle w:val="Nzov"/>
        <w:rPr>
          <w:b w:val="0"/>
          <w:sz w:val="22"/>
          <w:szCs w:val="22"/>
          <w:u w:val="none"/>
        </w:rPr>
      </w:pPr>
    </w:p>
    <w:p w14:paraId="06F109CA" w14:textId="77777777" w:rsidR="004E2AD3" w:rsidRPr="00921EF2" w:rsidRDefault="004E2AD3" w:rsidP="00B124D9">
      <w:pPr>
        <w:rPr>
          <w:sz w:val="22"/>
          <w:szCs w:val="22"/>
          <w:lang w:val="sk-SK"/>
        </w:rPr>
      </w:pPr>
    </w:p>
    <w:p w14:paraId="68115083" w14:textId="77777777" w:rsidR="004E2AD3" w:rsidRPr="00921EF2" w:rsidRDefault="004E2AD3" w:rsidP="00B124D9">
      <w:pPr>
        <w:autoSpaceDE w:val="0"/>
        <w:autoSpaceDN w:val="0"/>
        <w:adjustRightInd w:val="0"/>
        <w:rPr>
          <w:noProof/>
          <w:sz w:val="22"/>
          <w:szCs w:val="22"/>
          <w:lang w:val="sk-SK"/>
        </w:rPr>
      </w:pPr>
      <w:r w:rsidRPr="00921EF2">
        <w:rPr>
          <w:rFonts w:eastAsia="Calibri"/>
          <w:i/>
          <w:iCs/>
          <w:sz w:val="22"/>
          <w:szCs w:val="22"/>
          <w:lang w:val="sk-SK" w:eastAsia="en-US"/>
        </w:rPr>
        <w:t xml:space="preserve">▼ </w:t>
      </w:r>
      <w:r w:rsidRPr="00921EF2">
        <w:rPr>
          <w:noProof/>
          <w:sz w:val="22"/>
          <w:szCs w:val="22"/>
          <w:lang w:val="sk-SK"/>
        </w:rPr>
        <w:t>Tento liek je predmetom ďalšieho monitorovania. To umožní rýchle získanie nových informácií o bezpečnosti.</w:t>
      </w:r>
      <w:r w:rsidRPr="00921EF2">
        <w:rPr>
          <w:sz w:val="22"/>
          <w:szCs w:val="22"/>
          <w:lang w:val="sk-SK"/>
        </w:rPr>
        <w:t xml:space="preserve"> Od </w:t>
      </w:r>
      <w:r w:rsidRPr="00921EF2">
        <w:rPr>
          <w:noProof/>
          <w:sz w:val="22"/>
          <w:szCs w:val="22"/>
          <w:lang w:val="sk-SK"/>
        </w:rPr>
        <w:t>zdravotníckych pracovníkov sa vyžaduje, aby hlásili akékoľvek podozrenia na nežiaduce reakcie.</w:t>
      </w:r>
      <w:r w:rsidRPr="00921EF2">
        <w:rPr>
          <w:sz w:val="22"/>
          <w:szCs w:val="22"/>
          <w:lang w:val="sk-SK"/>
        </w:rPr>
        <w:t xml:space="preserve"> </w:t>
      </w:r>
      <w:r w:rsidRPr="00921EF2">
        <w:rPr>
          <w:noProof/>
          <w:sz w:val="22"/>
          <w:szCs w:val="22"/>
          <w:lang w:val="sk-SK"/>
        </w:rPr>
        <w:t>Informácie o tom, ako hlásiť nežiaduce reakcie, nájdete v časti 4.8.</w:t>
      </w:r>
    </w:p>
    <w:p w14:paraId="7B4AB263" w14:textId="77777777" w:rsidR="00977BF3" w:rsidRPr="00921EF2" w:rsidRDefault="00977BF3" w:rsidP="005C64C0">
      <w:pPr>
        <w:rPr>
          <w:sz w:val="22"/>
          <w:szCs w:val="22"/>
          <w:lang w:val="sk-SK"/>
        </w:rPr>
      </w:pPr>
    </w:p>
    <w:p w14:paraId="7BAA8961" w14:textId="77777777" w:rsidR="00977BF3" w:rsidRPr="00921EF2" w:rsidRDefault="00977BF3" w:rsidP="00B124D9">
      <w:pPr>
        <w:rPr>
          <w:sz w:val="22"/>
          <w:szCs w:val="22"/>
          <w:lang w:val="sk-SK"/>
        </w:rPr>
      </w:pPr>
    </w:p>
    <w:p w14:paraId="58655389"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1.</w:t>
      </w:r>
      <w:r w:rsidRPr="00921EF2">
        <w:rPr>
          <w:rFonts w:ascii="Times New Roman" w:hAnsi="Times New Roman" w:cs="Times New Roman"/>
          <w:sz w:val="22"/>
          <w:szCs w:val="22"/>
        </w:rPr>
        <w:tab/>
        <w:t>NÁZOV LIEKU</w:t>
      </w:r>
    </w:p>
    <w:p w14:paraId="42428E01" w14:textId="77777777" w:rsidR="00977BF3" w:rsidRPr="00921EF2" w:rsidRDefault="00977BF3" w:rsidP="00B124D9">
      <w:pPr>
        <w:rPr>
          <w:sz w:val="22"/>
          <w:szCs w:val="22"/>
          <w:lang w:val="sk-SK"/>
        </w:rPr>
      </w:pPr>
    </w:p>
    <w:p w14:paraId="0E4E9109" w14:textId="77777777" w:rsidR="005E7C64" w:rsidRPr="00921EF2" w:rsidRDefault="005E7C64" w:rsidP="005E7C64">
      <w:pPr>
        <w:tabs>
          <w:tab w:val="left" w:pos="426"/>
        </w:tabs>
        <w:jc w:val="both"/>
        <w:rPr>
          <w:sz w:val="22"/>
          <w:szCs w:val="22"/>
          <w:lang w:val="sk-SK"/>
        </w:rPr>
      </w:pPr>
      <w:bookmarkStart w:id="0" w:name="OLE_LINK4"/>
      <w:r w:rsidRPr="00921EF2">
        <w:rPr>
          <w:sz w:val="22"/>
          <w:szCs w:val="22"/>
          <w:lang w:val="sk-SK"/>
        </w:rPr>
        <w:t>Orfiril long 150 mg</w:t>
      </w:r>
    </w:p>
    <w:p w14:paraId="771EC37C" w14:textId="77777777" w:rsidR="005E7C64" w:rsidRPr="00921EF2" w:rsidRDefault="005E7C64" w:rsidP="00921EF2">
      <w:pPr>
        <w:tabs>
          <w:tab w:val="left" w:pos="426"/>
        </w:tabs>
        <w:jc w:val="both"/>
        <w:rPr>
          <w:sz w:val="22"/>
          <w:szCs w:val="22"/>
          <w:lang w:val="sk-SK"/>
        </w:rPr>
      </w:pPr>
      <w:r w:rsidRPr="00921EF2">
        <w:rPr>
          <w:sz w:val="22"/>
          <w:szCs w:val="22"/>
          <w:lang w:val="sk-SK"/>
        </w:rPr>
        <w:t>Orfiril long 300 mg</w:t>
      </w:r>
    </w:p>
    <w:p w14:paraId="723E553E" w14:textId="77777777" w:rsidR="005E7C64" w:rsidRPr="00921EF2" w:rsidRDefault="005E7C64" w:rsidP="005E7C64">
      <w:pPr>
        <w:tabs>
          <w:tab w:val="left" w:pos="426"/>
        </w:tabs>
        <w:jc w:val="both"/>
        <w:rPr>
          <w:sz w:val="22"/>
          <w:szCs w:val="22"/>
          <w:lang w:val="sk-SK"/>
        </w:rPr>
      </w:pPr>
      <w:r w:rsidRPr="00921EF2">
        <w:rPr>
          <w:sz w:val="22"/>
          <w:szCs w:val="22"/>
          <w:lang w:val="sk-SK"/>
        </w:rPr>
        <w:t>Orfiril long 500 mg</w:t>
      </w:r>
    </w:p>
    <w:p w14:paraId="5C592CA0" w14:textId="77777777" w:rsidR="005E7C64" w:rsidRPr="00921EF2" w:rsidRDefault="005E7C64" w:rsidP="005E7C64">
      <w:pPr>
        <w:tabs>
          <w:tab w:val="left" w:pos="426"/>
        </w:tabs>
        <w:jc w:val="both"/>
        <w:rPr>
          <w:sz w:val="22"/>
          <w:szCs w:val="22"/>
          <w:lang w:val="sk-SK"/>
        </w:rPr>
      </w:pPr>
      <w:r w:rsidRPr="00921EF2">
        <w:rPr>
          <w:sz w:val="22"/>
          <w:szCs w:val="22"/>
          <w:lang w:val="sk-SK"/>
        </w:rPr>
        <w:t>Orfiril long 1000 mg</w:t>
      </w:r>
    </w:p>
    <w:bookmarkEnd w:id="0"/>
    <w:p w14:paraId="6411CEC3" w14:textId="77777777" w:rsidR="00977BF3" w:rsidRPr="00921EF2" w:rsidRDefault="00977BF3" w:rsidP="00B124D9">
      <w:pPr>
        <w:rPr>
          <w:sz w:val="22"/>
          <w:szCs w:val="22"/>
          <w:lang w:val="sk-SK"/>
        </w:rPr>
      </w:pPr>
    </w:p>
    <w:p w14:paraId="1A360A79" w14:textId="77777777" w:rsidR="002474D3" w:rsidRPr="00921EF2" w:rsidRDefault="002474D3" w:rsidP="00B124D9">
      <w:pPr>
        <w:rPr>
          <w:sz w:val="22"/>
          <w:szCs w:val="22"/>
          <w:lang w:val="sk-SK"/>
        </w:rPr>
      </w:pPr>
    </w:p>
    <w:p w14:paraId="263C928F"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2.</w:t>
      </w:r>
      <w:r w:rsidRPr="00921EF2">
        <w:rPr>
          <w:rFonts w:ascii="Times New Roman" w:hAnsi="Times New Roman" w:cs="Times New Roman"/>
          <w:sz w:val="22"/>
          <w:szCs w:val="22"/>
        </w:rPr>
        <w:tab/>
        <w:t>KVALITATÍVNE A KVANTITATÍVNE ZLOŽENIE</w:t>
      </w:r>
    </w:p>
    <w:p w14:paraId="7CCF402D" w14:textId="77777777" w:rsidR="00977BF3" w:rsidRPr="00921EF2" w:rsidRDefault="00977BF3" w:rsidP="00B124D9">
      <w:pPr>
        <w:rPr>
          <w:sz w:val="22"/>
          <w:szCs w:val="22"/>
          <w:lang w:val="sk-SK"/>
        </w:rPr>
      </w:pPr>
    </w:p>
    <w:p w14:paraId="35DE0272" w14:textId="444E13E8" w:rsidR="005E7C64" w:rsidRPr="00921EF2" w:rsidRDefault="005E7C64" w:rsidP="005E7C64">
      <w:pPr>
        <w:tabs>
          <w:tab w:val="left" w:pos="426"/>
        </w:tabs>
        <w:rPr>
          <w:sz w:val="22"/>
          <w:szCs w:val="22"/>
          <w:lang w:val="sk-SK"/>
        </w:rPr>
      </w:pPr>
      <w:r w:rsidRPr="00921EF2">
        <w:rPr>
          <w:sz w:val="22"/>
          <w:szCs w:val="22"/>
          <w:lang w:val="sk-SK"/>
        </w:rPr>
        <w:t xml:space="preserve">Orfiril long 150 mg: 1 kapsula s predĺženým uvoľňovaním obsahuje 150 mg </w:t>
      </w:r>
      <w:r w:rsidR="0023483F" w:rsidRPr="00921EF2">
        <w:rPr>
          <w:sz w:val="22"/>
          <w:szCs w:val="22"/>
          <w:lang w:val="sk-SK"/>
        </w:rPr>
        <w:t>valproát</w:t>
      </w:r>
      <w:r w:rsidRPr="00921EF2">
        <w:rPr>
          <w:sz w:val="22"/>
          <w:szCs w:val="22"/>
          <w:lang w:val="sk-SK" w:eastAsia="sk-SK"/>
        </w:rPr>
        <w:t>u sodného</w:t>
      </w:r>
    </w:p>
    <w:p w14:paraId="2110B23F" w14:textId="7F176894" w:rsidR="005E7C64" w:rsidRPr="00921EF2" w:rsidRDefault="005E7C64" w:rsidP="005E7C64">
      <w:pPr>
        <w:tabs>
          <w:tab w:val="left" w:pos="426"/>
        </w:tabs>
        <w:rPr>
          <w:sz w:val="22"/>
          <w:szCs w:val="22"/>
          <w:lang w:val="sk-SK"/>
        </w:rPr>
      </w:pPr>
      <w:r w:rsidRPr="00921EF2">
        <w:rPr>
          <w:sz w:val="22"/>
          <w:szCs w:val="22"/>
          <w:lang w:val="sk-SK"/>
        </w:rPr>
        <w:t xml:space="preserve">Orfiril long 300 mg: 1 kapsula s predĺženým uvoľňovaním obsahuje 300 mg </w:t>
      </w:r>
      <w:r w:rsidR="0023483F" w:rsidRPr="00921EF2">
        <w:rPr>
          <w:sz w:val="22"/>
          <w:szCs w:val="22"/>
          <w:lang w:val="sk-SK"/>
        </w:rPr>
        <w:t>valproát</w:t>
      </w:r>
      <w:r w:rsidRPr="00921EF2">
        <w:rPr>
          <w:sz w:val="22"/>
          <w:szCs w:val="22"/>
          <w:lang w:val="sk-SK" w:eastAsia="sk-SK"/>
        </w:rPr>
        <w:t>u sodného</w:t>
      </w:r>
    </w:p>
    <w:p w14:paraId="1892E4C5" w14:textId="56159345" w:rsidR="005E7C64" w:rsidRPr="00921EF2" w:rsidRDefault="005E7C64" w:rsidP="005E7C64">
      <w:pPr>
        <w:tabs>
          <w:tab w:val="left" w:pos="426"/>
        </w:tabs>
        <w:rPr>
          <w:sz w:val="22"/>
          <w:szCs w:val="22"/>
          <w:lang w:val="sk-SK"/>
        </w:rPr>
      </w:pPr>
      <w:r w:rsidRPr="00921EF2">
        <w:rPr>
          <w:sz w:val="22"/>
          <w:szCs w:val="22"/>
          <w:lang w:val="sk-SK"/>
        </w:rPr>
        <w:t xml:space="preserve">Orfiril long 500 mg: 1 vrecko obsahuje 500 mg </w:t>
      </w:r>
      <w:r w:rsidR="0023483F" w:rsidRPr="00921EF2">
        <w:rPr>
          <w:sz w:val="22"/>
          <w:szCs w:val="22"/>
          <w:lang w:val="sk-SK"/>
        </w:rPr>
        <w:t>valproát</w:t>
      </w:r>
      <w:r w:rsidRPr="00921EF2">
        <w:rPr>
          <w:sz w:val="22"/>
          <w:szCs w:val="22"/>
          <w:lang w:val="sk-SK" w:eastAsia="sk-SK"/>
        </w:rPr>
        <w:t>u sodného</w:t>
      </w:r>
    </w:p>
    <w:p w14:paraId="565F10CA" w14:textId="156A0E80" w:rsidR="005E7C64" w:rsidRDefault="005E7C64" w:rsidP="005E7C64">
      <w:pPr>
        <w:tabs>
          <w:tab w:val="left" w:pos="426"/>
        </w:tabs>
        <w:rPr>
          <w:sz w:val="22"/>
          <w:szCs w:val="22"/>
          <w:lang w:val="sk-SK" w:eastAsia="sk-SK"/>
        </w:rPr>
      </w:pPr>
      <w:r w:rsidRPr="00921EF2">
        <w:rPr>
          <w:sz w:val="22"/>
          <w:szCs w:val="22"/>
          <w:lang w:val="sk-SK"/>
        </w:rPr>
        <w:t>Orfiril long 1 000 mg: 1 vrecko obsahuje 1</w:t>
      </w:r>
      <w:r w:rsidR="002F26F2" w:rsidRPr="00921EF2">
        <w:rPr>
          <w:sz w:val="22"/>
          <w:szCs w:val="22"/>
          <w:lang w:val="sk-SK"/>
        </w:rPr>
        <w:t> </w:t>
      </w:r>
      <w:r w:rsidRPr="00921EF2">
        <w:rPr>
          <w:sz w:val="22"/>
          <w:szCs w:val="22"/>
          <w:lang w:val="sk-SK"/>
        </w:rPr>
        <w:t xml:space="preserve">000 mg </w:t>
      </w:r>
      <w:r w:rsidR="0023483F" w:rsidRPr="00921EF2">
        <w:rPr>
          <w:sz w:val="22"/>
          <w:szCs w:val="22"/>
          <w:lang w:val="sk-SK"/>
        </w:rPr>
        <w:t>valproát</w:t>
      </w:r>
      <w:r w:rsidRPr="00921EF2">
        <w:rPr>
          <w:sz w:val="22"/>
          <w:szCs w:val="22"/>
          <w:lang w:val="sk-SK" w:eastAsia="sk-SK"/>
        </w:rPr>
        <w:t>u sodného</w:t>
      </w:r>
    </w:p>
    <w:p w14:paraId="1813EA34" w14:textId="3F7A66FC" w:rsidR="00921EF2" w:rsidRPr="00921EF2" w:rsidRDefault="00921EF2" w:rsidP="005E7C64">
      <w:pPr>
        <w:tabs>
          <w:tab w:val="left" w:pos="426"/>
        </w:tabs>
        <w:rPr>
          <w:sz w:val="22"/>
          <w:szCs w:val="22"/>
          <w:lang w:val="sk-SK"/>
        </w:rPr>
      </w:pPr>
    </w:p>
    <w:p w14:paraId="4F0C980B" w14:textId="77777777" w:rsidR="005E7C64" w:rsidRPr="001B59B9" w:rsidRDefault="005E7C64" w:rsidP="005E7C64">
      <w:pPr>
        <w:tabs>
          <w:tab w:val="left" w:pos="426"/>
        </w:tabs>
        <w:rPr>
          <w:sz w:val="22"/>
          <w:u w:val="single"/>
          <w:lang w:val="sk-SK"/>
        </w:rPr>
      </w:pPr>
      <w:r w:rsidRPr="00921EF2">
        <w:rPr>
          <w:sz w:val="22"/>
          <w:szCs w:val="22"/>
          <w:u w:val="single"/>
          <w:lang w:val="sk-SK"/>
        </w:rPr>
        <w:t>Pomocné</w:t>
      </w:r>
      <w:r w:rsidRPr="001B59B9">
        <w:rPr>
          <w:sz w:val="22"/>
          <w:u w:val="single"/>
          <w:lang w:val="sk-SK"/>
        </w:rPr>
        <w:t xml:space="preserve"> látky so známym účinkom:</w:t>
      </w:r>
    </w:p>
    <w:p w14:paraId="3131BEF4" w14:textId="77777777" w:rsidR="005E7C64" w:rsidRPr="00921EF2" w:rsidRDefault="005E7C64" w:rsidP="005E7C64">
      <w:pPr>
        <w:rPr>
          <w:sz w:val="22"/>
          <w:szCs w:val="22"/>
          <w:lang w:val="sk-SK"/>
        </w:rPr>
      </w:pPr>
      <w:r w:rsidRPr="00921EF2">
        <w:rPr>
          <w:sz w:val="22"/>
          <w:szCs w:val="22"/>
          <w:lang w:val="sk-SK"/>
        </w:rPr>
        <w:t>Orfiril long 150 mg: obsahuje menej ako 1 mmol (23 mg) sodíka v kapsule.</w:t>
      </w:r>
    </w:p>
    <w:p w14:paraId="5C777220" w14:textId="77777777" w:rsidR="005E7C64" w:rsidRPr="00921EF2" w:rsidRDefault="005E7C64" w:rsidP="005E7C64">
      <w:pPr>
        <w:rPr>
          <w:sz w:val="22"/>
          <w:szCs w:val="22"/>
          <w:lang w:val="sk-SK"/>
        </w:rPr>
      </w:pPr>
      <w:r w:rsidRPr="00921EF2">
        <w:rPr>
          <w:sz w:val="22"/>
          <w:szCs w:val="22"/>
          <w:lang w:val="sk-SK"/>
        </w:rPr>
        <w:t xml:space="preserve">Orfiril long 300 mg: </w:t>
      </w:r>
      <w:r w:rsidR="005D3B0E" w:rsidRPr="00921EF2">
        <w:rPr>
          <w:sz w:val="22"/>
          <w:szCs w:val="22"/>
          <w:lang w:val="sk-SK"/>
        </w:rPr>
        <w:t>obsahuje 1,8 mmol (</w:t>
      </w:r>
      <w:r w:rsidRPr="00921EF2">
        <w:rPr>
          <w:sz w:val="22"/>
          <w:szCs w:val="22"/>
          <w:lang w:val="sk-SK"/>
        </w:rPr>
        <w:t>41,4 mg</w:t>
      </w:r>
      <w:r w:rsidR="005D3B0E" w:rsidRPr="00921EF2">
        <w:rPr>
          <w:sz w:val="22"/>
          <w:szCs w:val="22"/>
          <w:lang w:val="sk-SK"/>
        </w:rPr>
        <w:t>)</w:t>
      </w:r>
      <w:r w:rsidRPr="00921EF2">
        <w:rPr>
          <w:sz w:val="22"/>
          <w:szCs w:val="22"/>
          <w:lang w:val="sk-SK"/>
        </w:rPr>
        <w:t xml:space="preserve"> sodíka v kapsule.</w:t>
      </w:r>
    </w:p>
    <w:p w14:paraId="6D622D82" w14:textId="77777777" w:rsidR="005E7C64" w:rsidRPr="00921EF2" w:rsidRDefault="005E7C64" w:rsidP="005E7C64">
      <w:pPr>
        <w:rPr>
          <w:sz w:val="22"/>
          <w:szCs w:val="22"/>
          <w:lang w:val="sk-SK"/>
        </w:rPr>
      </w:pPr>
      <w:r w:rsidRPr="00921EF2">
        <w:rPr>
          <w:sz w:val="22"/>
          <w:szCs w:val="22"/>
          <w:lang w:val="sk-SK"/>
        </w:rPr>
        <w:t xml:space="preserve">Orfiril long 500 mg: </w:t>
      </w:r>
      <w:r w:rsidR="005D3B0E" w:rsidRPr="00921EF2">
        <w:rPr>
          <w:sz w:val="22"/>
          <w:szCs w:val="22"/>
          <w:lang w:val="sk-SK"/>
        </w:rPr>
        <w:t>obsahuje 3 mmol (</w:t>
      </w:r>
      <w:r w:rsidRPr="00921EF2">
        <w:rPr>
          <w:sz w:val="22"/>
          <w:szCs w:val="22"/>
          <w:lang w:val="sk-SK"/>
        </w:rPr>
        <w:t>69,0 mg</w:t>
      </w:r>
      <w:r w:rsidR="005D3B0E" w:rsidRPr="00921EF2">
        <w:rPr>
          <w:sz w:val="22"/>
          <w:szCs w:val="22"/>
          <w:lang w:val="sk-SK"/>
        </w:rPr>
        <w:t>)</w:t>
      </w:r>
      <w:r w:rsidRPr="00921EF2">
        <w:rPr>
          <w:sz w:val="22"/>
          <w:szCs w:val="22"/>
          <w:lang w:val="sk-SK"/>
        </w:rPr>
        <w:t xml:space="preserve"> sodíka vo vrecku.</w:t>
      </w:r>
    </w:p>
    <w:p w14:paraId="6A78C60A" w14:textId="52E44E9A" w:rsidR="005E7C64" w:rsidRPr="00921EF2" w:rsidRDefault="005E7C64" w:rsidP="005E7C64">
      <w:pPr>
        <w:outlineLvl w:val="0"/>
        <w:rPr>
          <w:sz w:val="22"/>
          <w:szCs w:val="22"/>
          <w:lang w:val="sk-SK"/>
        </w:rPr>
      </w:pPr>
      <w:r w:rsidRPr="00921EF2">
        <w:rPr>
          <w:sz w:val="22"/>
          <w:szCs w:val="22"/>
          <w:lang w:val="sk-SK"/>
        </w:rPr>
        <w:t xml:space="preserve">Orfiril long 1 000 mg: </w:t>
      </w:r>
      <w:r w:rsidR="00D632DA" w:rsidRPr="004F754C">
        <w:rPr>
          <w:sz w:val="22"/>
          <w:szCs w:val="22"/>
          <w:lang w:val="sk-SK"/>
        </w:rPr>
        <w:t xml:space="preserve">obsahuje </w:t>
      </w:r>
      <w:r w:rsidR="005D3B0E" w:rsidRPr="00921EF2">
        <w:rPr>
          <w:sz w:val="22"/>
          <w:szCs w:val="22"/>
          <w:lang w:val="sk-SK"/>
        </w:rPr>
        <w:t xml:space="preserve">6 mmol </w:t>
      </w:r>
      <w:r w:rsidR="005D3B0E" w:rsidRPr="00921EF2">
        <w:rPr>
          <w:lang w:val="sk-SK"/>
        </w:rPr>
        <w:t>(</w:t>
      </w:r>
      <w:r w:rsidRPr="00921EF2">
        <w:rPr>
          <w:sz w:val="22"/>
          <w:szCs w:val="22"/>
          <w:lang w:val="sk-SK"/>
        </w:rPr>
        <w:t>137,9 mg</w:t>
      </w:r>
      <w:r w:rsidR="005D3B0E" w:rsidRPr="00921EF2">
        <w:rPr>
          <w:sz w:val="22"/>
          <w:szCs w:val="22"/>
          <w:lang w:val="sk-SK"/>
        </w:rPr>
        <w:t>)</w:t>
      </w:r>
      <w:r w:rsidRPr="00921EF2">
        <w:rPr>
          <w:sz w:val="22"/>
          <w:szCs w:val="22"/>
          <w:lang w:val="sk-SK"/>
        </w:rPr>
        <w:t xml:space="preserve"> sodíka vo vrecku.</w:t>
      </w:r>
    </w:p>
    <w:p w14:paraId="36526A8A" w14:textId="77777777" w:rsidR="005E7C64" w:rsidRPr="00921EF2" w:rsidRDefault="005E7C64">
      <w:pPr>
        <w:autoSpaceDE w:val="0"/>
        <w:autoSpaceDN w:val="0"/>
        <w:adjustRightInd w:val="0"/>
        <w:rPr>
          <w:color w:val="000000"/>
          <w:sz w:val="22"/>
          <w:szCs w:val="22"/>
          <w:lang w:val="sk-SK"/>
        </w:rPr>
      </w:pPr>
    </w:p>
    <w:p w14:paraId="12CE021C" w14:textId="77777777" w:rsidR="00977BF3" w:rsidRPr="00921EF2" w:rsidRDefault="00977BF3" w:rsidP="00B124D9">
      <w:pPr>
        <w:autoSpaceDE w:val="0"/>
        <w:autoSpaceDN w:val="0"/>
        <w:adjustRightInd w:val="0"/>
        <w:rPr>
          <w:color w:val="000000"/>
          <w:sz w:val="22"/>
          <w:szCs w:val="22"/>
          <w:lang w:val="sk-SK"/>
        </w:rPr>
      </w:pPr>
      <w:r w:rsidRPr="00921EF2">
        <w:rPr>
          <w:color w:val="000000"/>
          <w:sz w:val="22"/>
          <w:szCs w:val="22"/>
          <w:lang w:val="sk-SK"/>
        </w:rPr>
        <w:t>Úplný zoznam pomocných látok, pozri ča</w:t>
      </w:r>
      <w:r w:rsidR="00FF6A2E" w:rsidRPr="00921EF2">
        <w:rPr>
          <w:color w:val="000000"/>
          <w:sz w:val="22"/>
          <w:szCs w:val="22"/>
          <w:lang w:val="sk-SK"/>
        </w:rPr>
        <w:t>s</w:t>
      </w:r>
      <w:r w:rsidRPr="00921EF2">
        <w:rPr>
          <w:color w:val="000000"/>
          <w:sz w:val="22"/>
          <w:szCs w:val="22"/>
          <w:lang w:val="sk-SK"/>
        </w:rPr>
        <w:t>ť 6.1.</w:t>
      </w:r>
    </w:p>
    <w:p w14:paraId="043394B6" w14:textId="77777777" w:rsidR="00977BF3" w:rsidRPr="00921EF2" w:rsidRDefault="00977BF3" w:rsidP="00B124D9">
      <w:pPr>
        <w:rPr>
          <w:sz w:val="22"/>
          <w:szCs w:val="22"/>
          <w:lang w:val="sk-SK"/>
        </w:rPr>
      </w:pPr>
    </w:p>
    <w:p w14:paraId="49DCC7DC" w14:textId="77777777" w:rsidR="00977BF3" w:rsidRPr="00921EF2" w:rsidRDefault="00977BF3" w:rsidP="00B124D9">
      <w:pPr>
        <w:rPr>
          <w:sz w:val="22"/>
          <w:szCs w:val="22"/>
          <w:lang w:val="sk-SK"/>
        </w:rPr>
      </w:pPr>
    </w:p>
    <w:p w14:paraId="35EC102D"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3.</w:t>
      </w:r>
      <w:r w:rsidRPr="00921EF2">
        <w:rPr>
          <w:rFonts w:ascii="Times New Roman" w:hAnsi="Times New Roman" w:cs="Times New Roman"/>
          <w:sz w:val="22"/>
          <w:szCs w:val="22"/>
        </w:rPr>
        <w:tab/>
        <w:t>LIEKOVÁ FORMA</w:t>
      </w:r>
    </w:p>
    <w:p w14:paraId="3C354C3D" w14:textId="77777777" w:rsidR="00977BF3" w:rsidRPr="00921EF2" w:rsidRDefault="00977BF3" w:rsidP="00B124D9">
      <w:pPr>
        <w:rPr>
          <w:sz w:val="22"/>
          <w:szCs w:val="22"/>
          <w:lang w:val="sk-SK"/>
        </w:rPr>
      </w:pPr>
    </w:p>
    <w:p w14:paraId="63BA9B59" w14:textId="77777777" w:rsidR="005E7C64" w:rsidRPr="00921EF2" w:rsidRDefault="005E7C64" w:rsidP="00921EF2">
      <w:pPr>
        <w:tabs>
          <w:tab w:val="left" w:pos="0"/>
        </w:tabs>
        <w:ind w:right="98"/>
        <w:rPr>
          <w:sz w:val="22"/>
          <w:szCs w:val="22"/>
          <w:u w:val="single"/>
          <w:lang w:val="sk-SK"/>
        </w:rPr>
      </w:pPr>
      <w:r w:rsidRPr="00921EF2">
        <w:rPr>
          <w:sz w:val="22"/>
          <w:szCs w:val="22"/>
          <w:lang w:val="sk-SK"/>
        </w:rPr>
        <w:t>Orfiril long 150 mg a Orfiril long 300 mg: kapsul</w:t>
      </w:r>
      <w:r w:rsidR="002F26F2" w:rsidRPr="00921EF2">
        <w:rPr>
          <w:sz w:val="22"/>
          <w:szCs w:val="22"/>
          <w:lang w:val="sk-SK"/>
        </w:rPr>
        <w:t>y</w:t>
      </w:r>
      <w:r w:rsidRPr="00921EF2">
        <w:rPr>
          <w:sz w:val="22"/>
          <w:szCs w:val="22"/>
          <w:lang w:val="sk-SK"/>
        </w:rPr>
        <w:t xml:space="preserve"> s predĺženým uvoľňovaním</w:t>
      </w:r>
    </w:p>
    <w:p w14:paraId="08E68159" w14:textId="77777777" w:rsidR="007B085D" w:rsidRPr="00921EF2" w:rsidRDefault="007B085D" w:rsidP="001B59B9">
      <w:pPr>
        <w:pStyle w:val="knZulassung02"/>
        <w:tabs>
          <w:tab w:val="left" w:pos="0"/>
        </w:tabs>
        <w:spacing w:before="0" w:after="0"/>
        <w:ind w:left="0" w:right="-143"/>
        <w:rPr>
          <w:rFonts w:ascii="Times New Roman" w:hAnsi="Times New Roman" w:cs="Times New Roman"/>
          <w:lang w:val="sk-SK"/>
        </w:rPr>
      </w:pPr>
      <w:r w:rsidRPr="00921EF2">
        <w:rPr>
          <w:rFonts w:ascii="Times New Roman" w:hAnsi="Times New Roman" w:cs="Times New Roman"/>
          <w:lang w:val="sk-SK"/>
        </w:rPr>
        <w:t>Kapsuly obsahujú biele až takmer biele minitablety s predĺženým uvoľňovaním (priemer: približne 2 mm)</w:t>
      </w:r>
    </w:p>
    <w:p w14:paraId="0DFCE8E9" w14:textId="77777777" w:rsidR="007B085D" w:rsidRPr="00921EF2" w:rsidRDefault="007B085D" w:rsidP="001B59B9">
      <w:pPr>
        <w:pStyle w:val="knZulassung02"/>
        <w:tabs>
          <w:tab w:val="left" w:pos="0"/>
        </w:tabs>
        <w:spacing w:before="0" w:after="0"/>
        <w:ind w:left="0" w:right="0"/>
        <w:rPr>
          <w:rFonts w:ascii="Times New Roman" w:hAnsi="Times New Roman" w:cs="Times New Roman"/>
          <w:lang w:val="sk-SK"/>
        </w:rPr>
      </w:pPr>
      <w:r w:rsidRPr="00921EF2">
        <w:rPr>
          <w:rFonts w:ascii="Times New Roman" w:hAnsi="Times New Roman" w:cs="Times New Roman"/>
          <w:lang w:val="sk-SK"/>
        </w:rPr>
        <w:t xml:space="preserve">Orfiril long 150 mg: </w:t>
      </w:r>
      <w:r w:rsidR="00CA42D2" w:rsidRPr="00921EF2">
        <w:rPr>
          <w:rFonts w:ascii="Times New Roman" w:hAnsi="Times New Roman" w:cs="Times New Roman"/>
          <w:lang w:val="sk-SK"/>
        </w:rPr>
        <w:t xml:space="preserve">kapsuly s </w:t>
      </w:r>
      <w:r w:rsidRPr="00921EF2">
        <w:rPr>
          <w:rFonts w:ascii="Times New Roman" w:hAnsi="Times New Roman" w:cs="Times New Roman"/>
          <w:lang w:val="sk-SK"/>
        </w:rPr>
        <w:t>priehľadn</w:t>
      </w:r>
      <w:r w:rsidR="00CA42D2" w:rsidRPr="00921EF2">
        <w:rPr>
          <w:rFonts w:ascii="Times New Roman" w:hAnsi="Times New Roman" w:cs="Times New Roman"/>
          <w:lang w:val="sk-SK"/>
        </w:rPr>
        <w:t xml:space="preserve">ým </w:t>
      </w:r>
      <w:r w:rsidRPr="00921EF2">
        <w:rPr>
          <w:rFonts w:ascii="Times New Roman" w:hAnsi="Times New Roman" w:cs="Times New Roman"/>
          <w:lang w:val="sk-SK"/>
        </w:rPr>
        <w:t>bezfarebn</w:t>
      </w:r>
      <w:r w:rsidR="00CA42D2" w:rsidRPr="00921EF2">
        <w:rPr>
          <w:rFonts w:ascii="Times New Roman" w:hAnsi="Times New Roman" w:cs="Times New Roman"/>
          <w:lang w:val="sk-SK"/>
        </w:rPr>
        <w:t xml:space="preserve">ým </w:t>
      </w:r>
      <w:r w:rsidRPr="00921EF2">
        <w:rPr>
          <w:rFonts w:ascii="Times New Roman" w:hAnsi="Times New Roman" w:cs="Times New Roman"/>
          <w:lang w:val="sk-SK"/>
        </w:rPr>
        <w:t>telo</w:t>
      </w:r>
      <w:r w:rsidR="00CA42D2" w:rsidRPr="00921EF2">
        <w:rPr>
          <w:rFonts w:ascii="Times New Roman" w:hAnsi="Times New Roman" w:cs="Times New Roman"/>
          <w:lang w:val="sk-SK"/>
        </w:rPr>
        <w:t xml:space="preserve">m a </w:t>
      </w:r>
      <w:r w:rsidRPr="00921EF2">
        <w:rPr>
          <w:rFonts w:ascii="Times New Roman" w:hAnsi="Times New Roman" w:cs="Times New Roman"/>
          <w:lang w:val="sk-SK"/>
        </w:rPr>
        <w:t>priehľadn</w:t>
      </w:r>
      <w:r w:rsidR="00CA42D2" w:rsidRPr="00921EF2">
        <w:rPr>
          <w:rFonts w:ascii="Times New Roman" w:hAnsi="Times New Roman" w:cs="Times New Roman"/>
          <w:lang w:val="sk-SK"/>
        </w:rPr>
        <w:t xml:space="preserve">ým </w:t>
      </w:r>
      <w:r w:rsidR="002F26F2" w:rsidRPr="00921EF2">
        <w:rPr>
          <w:rFonts w:ascii="Times New Roman" w:hAnsi="Times New Roman" w:cs="Times New Roman"/>
          <w:lang w:val="sk-SK"/>
        </w:rPr>
        <w:t>modr</w:t>
      </w:r>
      <w:r w:rsidR="00CA42D2" w:rsidRPr="00921EF2">
        <w:rPr>
          <w:rFonts w:ascii="Times New Roman" w:hAnsi="Times New Roman" w:cs="Times New Roman"/>
          <w:lang w:val="sk-SK"/>
        </w:rPr>
        <w:t xml:space="preserve">ým </w:t>
      </w:r>
      <w:r w:rsidRPr="00921EF2">
        <w:rPr>
          <w:rFonts w:ascii="Times New Roman" w:hAnsi="Times New Roman" w:cs="Times New Roman"/>
          <w:lang w:val="sk-SK"/>
        </w:rPr>
        <w:t>viečko</w:t>
      </w:r>
      <w:r w:rsidR="00CA42D2" w:rsidRPr="00921EF2">
        <w:rPr>
          <w:rFonts w:ascii="Times New Roman" w:hAnsi="Times New Roman" w:cs="Times New Roman"/>
          <w:lang w:val="sk-SK"/>
        </w:rPr>
        <w:t>m</w:t>
      </w:r>
    </w:p>
    <w:p w14:paraId="3A7FE140" w14:textId="77777777" w:rsidR="007B085D" w:rsidRPr="00921EF2" w:rsidRDefault="007B085D" w:rsidP="001B59B9">
      <w:pPr>
        <w:pStyle w:val="knZulassung02"/>
        <w:tabs>
          <w:tab w:val="left" w:pos="0"/>
        </w:tabs>
        <w:spacing w:before="0" w:after="0"/>
        <w:ind w:left="0" w:right="0"/>
        <w:rPr>
          <w:rFonts w:ascii="Times New Roman" w:hAnsi="Times New Roman" w:cs="Times New Roman"/>
          <w:lang w:val="sk-SK"/>
        </w:rPr>
      </w:pPr>
      <w:r w:rsidRPr="00921EF2">
        <w:rPr>
          <w:rFonts w:ascii="Times New Roman" w:hAnsi="Times New Roman" w:cs="Times New Roman"/>
          <w:lang w:val="sk-SK"/>
        </w:rPr>
        <w:t xml:space="preserve">Orfiril long 300 mg: </w:t>
      </w:r>
      <w:r w:rsidR="00CA42D2" w:rsidRPr="00921EF2">
        <w:rPr>
          <w:rFonts w:ascii="Times New Roman" w:hAnsi="Times New Roman" w:cs="Times New Roman"/>
          <w:lang w:val="sk-SK"/>
        </w:rPr>
        <w:t>kapsuly s priehľadným bezfarebným telom a priehľadným zeleným viečkom</w:t>
      </w:r>
    </w:p>
    <w:p w14:paraId="56F12D57" w14:textId="77777777" w:rsidR="007B085D" w:rsidRPr="001B59B9" w:rsidRDefault="007B085D" w:rsidP="00921EF2">
      <w:pPr>
        <w:tabs>
          <w:tab w:val="left" w:pos="-720"/>
          <w:tab w:val="left" w:pos="0"/>
        </w:tabs>
        <w:suppressAutoHyphens/>
        <w:rPr>
          <w:sz w:val="22"/>
          <w:highlight w:val="green"/>
          <w:lang w:val="sk-SK"/>
        </w:rPr>
      </w:pPr>
    </w:p>
    <w:p w14:paraId="7D653B51" w14:textId="77777777" w:rsidR="005E7C64" w:rsidRPr="00921EF2" w:rsidRDefault="005E7C64" w:rsidP="00921EF2">
      <w:pPr>
        <w:tabs>
          <w:tab w:val="left" w:pos="-720"/>
          <w:tab w:val="left" w:pos="0"/>
        </w:tabs>
        <w:suppressAutoHyphens/>
        <w:rPr>
          <w:sz w:val="22"/>
          <w:szCs w:val="22"/>
          <w:lang w:val="sk-SK"/>
        </w:rPr>
      </w:pPr>
      <w:r w:rsidRPr="00921EF2">
        <w:rPr>
          <w:sz w:val="22"/>
          <w:szCs w:val="22"/>
          <w:lang w:val="sk-SK"/>
        </w:rPr>
        <w:t>Orfiril long 500 mg a Orfiril long 1 000 mg: tablety s predĺženým uvoľňovaním (minitablety s predĺženým uvoľňovaním vo vrecku určené na jednorazové použitie)</w:t>
      </w:r>
    </w:p>
    <w:p w14:paraId="2FA19507" w14:textId="77777777" w:rsidR="007B085D" w:rsidRPr="00921EF2" w:rsidRDefault="007B085D" w:rsidP="007B085D">
      <w:pPr>
        <w:pStyle w:val="knZulassung02"/>
        <w:spacing w:before="0" w:after="0"/>
        <w:ind w:left="0" w:right="-142"/>
        <w:rPr>
          <w:rFonts w:ascii="Times New Roman" w:hAnsi="Times New Roman" w:cs="Times New Roman"/>
          <w:lang w:val="sk-SK"/>
        </w:rPr>
      </w:pPr>
      <w:r w:rsidRPr="00921EF2">
        <w:rPr>
          <w:rFonts w:ascii="Times New Roman" w:hAnsi="Times New Roman" w:cs="Times New Roman"/>
          <w:lang w:val="sk-SK"/>
        </w:rPr>
        <w:t>Vrecká obsahujú biele až takmer biele minitablety s predĺženým uvoľňovaním (priemer: približne 2 mm)</w:t>
      </w:r>
    </w:p>
    <w:p w14:paraId="64DEF818" w14:textId="77777777" w:rsidR="00977BF3" w:rsidRPr="00921EF2" w:rsidRDefault="00977BF3" w:rsidP="00B124D9">
      <w:pPr>
        <w:rPr>
          <w:sz w:val="22"/>
          <w:szCs w:val="22"/>
          <w:lang w:val="sk-SK"/>
        </w:rPr>
      </w:pPr>
    </w:p>
    <w:p w14:paraId="58E0A6A8" w14:textId="77777777" w:rsidR="00977BF3" w:rsidRPr="00921EF2" w:rsidRDefault="00977BF3" w:rsidP="00B124D9">
      <w:pPr>
        <w:rPr>
          <w:sz w:val="22"/>
          <w:szCs w:val="22"/>
          <w:lang w:val="sk-SK"/>
        </w:rPr>
      </w:pPr>
    </w:p>
    <w:p w14:paraId="3D665120"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4.</w:t>
      </w:r>
      <w:r w:rsidRPr="00921EF2">
        <w:rPr>
          <w:rFonts w:ascii="Times New Roman" w:hAnsi="Times New Roman" w:cs="Times New Roman"/>
          <w:sz w:val="22"/>
          <w:szCs w:val="22"/>
        </w:rPr>
        <w:tab/>
        <w:t>KLINICKÉ ÚDAJE</w:t>
      </w:r>
    </w:p>
    <w:p w14:paraId="19430727" w14:textId="77777777" w:rsidR="00977BF3" w:rsidRPr="00921EF2" w:rsidRDefault="00977BF3" w:rsidP="00B124D9">
      <w:pPr>
        <w:tabs>
          <w:tab w:val="left" w:pos="567"/>
        </w:tabs>
        <w:ind w:left="567" w:hanging="567"/>
        <w:rPr>
          <w:sz w:val="22"/>
          <w:szCs w:val="22"/>
          <w:lang w:val="sk-SK"/>
        </w:rPr>
      </w:pPr>
    </w:p>
    <w:p w14:paraId="3B76246E" w14:textId="77777777" w:rsidR="00977BF3" w:rsidRPr="00921EF2" w:rsidRDefault="00977BF3" w:rsidP="00B124D9">
      <w:pPr>
        <w:pStyle w:val="Nadpis2"/>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4.1</w:t>
      </w:r>
      <w:r w:rsidR="004668B5" w:rsidRPr="00921EF2">
        <w:rPr>
          <w:rFonts w:ascii="Times New Roman" w:hAnsi="Times New Roman" w:cs="Times New Roman"/>
          <w:sz w:val="22"/>
          <w:szCs w:val="22"/>
        </w:rPr>
        <w:tab/>
      </w:r>
      <w:r w:rsidRPr="00921EF2">
        <w:rPr>
          <w:rFonts w:ascii="Times New Roman" w:hAnsi="Times New Roman" w:cs="Times New Roman"/>
          <w:sz w:val="22"/>
          <w:szCs w:val="22"/>
        </w:rPr>
        <w:t>Terapeutické indikácie</w:t>
      </w:r>
    </w:p>
    <w:p w14:paraId="3E6071D1" w14:textId="77777777" w:rsidR="00977BF3" w:rsidRPr="00921EF2" w:rsidRDefault="00977BF3" w:rsidP="00B124D9">
      <w:pPr>
        <w:pStyle w:val="Zkladntext"/>
        <w:jc w:val="left"/>
        <w:rPr>
          <w:sz w:val="22"/>
          <w:szCs w:val="22"/>
        </w:rPr>
      </w:pPr>
    </w:p>
    <w:p w14:paraId="14FB414F" w14:textId="77777777" w:rsidR="007F3BDE" w:rsidRPr="00921EF2" w:rsidRDefault="007F3BDE" w:rsidP="007F3BDE">
      <w:pPr>
        <w:numPr>
          <w:ilvl w:val="0"/>
          <w:numId w:val="23"/>
        </w:numPr>
        <w:jc w:val="both"/>
        <w:rPr>
          <w:sz w:val="22"/>
          <w:szCs w:val="22"/>
          <w:lang w:val="sk-SK"/>
        </w:rPr>
      </w:pPr>
      <w:r w:rsidRPr="00921EF2">
        <w:rPr>
          <w:sz w:val="22"/>
          <w:szCs w:val="22"/>
          <w:lang w:val="sk-SK"/>
        </w:rPr>
        <w:t>Liečba</w:t>
      </w:r>
    </w:p>
    <w:p w14:paraId="06053A23" w14:textId="77777777" w:rsidR="007F3BDE" w:rsidRPr="00921EF2" w:rsidRDefault="007F3BDE" w:rsidP="007F3BDE">
      <w:pPr>
        <w:numPr>
          <w:ilvl w:val="1"/>
          <w:numId w:val="24"/>
        </w:numPr>
        <w:ind w:left="1037" w:hanging="357"/>
        <w:rPr>
          <w:sz w:val="22"/>
          <w:szCs w:val="22"/>
          <w:lang w:val="sk-SK"/>
        </w:rPr>
      </w:pPr>
      <w:r w:rsidRPr="00921EF2">
        <w:rPr>
          <w:sz w:val="22"/>
          <w:szCs w:val="22"/>
          <w:lang w:val="sk-SK"/>
        </w:rPr>
        <w:t>generalizovaných záchvatov vo forme absencií, myoklonických a tonicko-klonických záchvatov,</w:t>
      </w:r>
    </w:p>
    <w:p w14:paraId="1193FA4E" w14:textId="77777777" w:rsidR="007F3BDE" w:rsidRPr="00921EF2" w:rsidRDefault="007F3BDE" w:rsidP="007F3BDE">
      <w:pPr>
        <w:numPr>
          <w:ilvl w:val="1"/>
          <w:numId w:val="25"/>
        </w:numPr>
        <w:spacing w:after="60"/>
        <w:ind w:left="1037" w:hanging="357"/>
        <w:rPr>
          <w:sz w:val="22"/>
          <w:szCs w:val="22"/>
          <w:lang w:val="sk-SK"/>
        </w:rPr>
      </w:pPr>
      <w:r w:rsidRPr="00921EF2">
        <w:rPr>
          <w:sz w:val="22"/>
          <w:szCs w:val="22"/>
          <w:lang w:val="sk-SK"/>
        </w:rPr>
        <w:t xml:space="preserve">parciálnych a </w:t>
      </w:r>
      <w:r w:rsidRPr="00921EF2">
        <w:rPr>
          <w:snapToGrid w:val="0"/>
          <w:sz w:val="22"/>
          <w:szCs w:val="22"/>
          <w:lang w:val="sk-SK"/>
        </w:rPr>
        <w:t>sekundárne generalizovaných záchvatov.</w:t>
      </w:r>
    </w:p>
    <w:p w14:paraId="74F62E8A" w14:textId="77777777" w:rsidR="007F3BDE" w:rsidRPr="00921EF2" w:rsidRDefault="007F3BDE" w:rsidP="007F3BDE">
      <w:pPr>
        <w:numPr>
          <w:ilvl w:val="0"/>
          <w:numId w:val="25"/>
        </w:numPr>
        <w:rPr>
          <w:sz w:val="22"/>
          <w:szCs w:val="22"/>
          <w:lang w:val="sk-SK"/>
        </w:rPr>
      </w:pPr>
      <w:r w:rsidRPr="00921EF2">
        <w:rPr>
          <w:sz w:val="22"/>
          <w:szCs w:val="22"/>
          <w:lang w:val="sk-SK"/>
        </w:rPr>
        <w:lastRenderedPageBreak/>
        <w:t>Kombinovaná liečba ostatných foriem epileptických záchvatov, napr. parciálnych záchvatov s elementárnou a komplexnou symptomatológiou, ako aj fokálnych záchvatov so sekundárnou generalizáciou, ak tieto formy neodpovedajú na obvyklú antiepileptickú liečbu.</w:t>
      </w:r>
    </w:p>
    <w:p w14:paraId="23646AC8" w14:textId="4D90EE02" w:rsidR="007F3BDE" w:rsidRPr="00921EF2" w:rsidRDefault="007F3BDE" w:rsidP="007F3BDE">
      <w:pPr>
        <w:numPr>
          <w:ilvl w:val="0"/>
          <w:numId w:val="25"/>
        </w:numPr>
        <w:rPr>
          <w:sz w:val="22"/>
          <w:szCs w:val="22"/>
          <w:lang w:val="sk-SK"/>
        </w:rPr>
      </w:pPr>
      <w:r w:rsidRPr="00921EF2">
        <w:rPr>
          <w:sz w:val="22"/>
          <w:szCs w:val="22"/>
          <w:lang w:val="sk-SK"/>
        </w:rPr>
        <w:t xml:space="preserve">Liečba manickej epizódy u pacientov s bipolárnou afektívnou poruchou, u ktorých je liečba lítiom kontraindikovaná alebo nie je tolerovaná. U pacientov, ktorí odpovedali na liečbu akútnej mánie </w:t>
      </w:r>
      <w:r w:rsidR="0023483F" w:rsidRPr="00921EF2">
        <w:rPr>
          <w:sz w:val="22"/>
          <w:szCs w:val="22"/>
          <w:lang w:val="sk-SK"/>
        </w:rPr>
        <w:t>valproát</w:t>
      </w:r>
      <w:r w:rsidRPr="00921EF2">
        <w:rPr>
          <w:sz w:val="22"/>
          <w:szCs w:val="22"/>
          <w:lang w:val="sk-SK" w:eastAsia="sk-SK"/>
        </w:rPr>
        <w:t>om</w:t>
      </w:r>
      <w:r w:rsidRPr="00921EF2">
        <w:rPr>
          <w:sz w:val="22"/>
          <w:szCs w:val="22"/>
          <w:lang w:val="sk-SK"/>
        </w:rPr>
        <w:t>, sa môže zvážiť pokračovanie liečby po manickej epizóde.</w:t>
      </w:r>
    </w:p>
    <w:p w14:paraId="5E613DDE" w14:textId="77777777" w:rsidR="007F3BDE" w:rsidRPr="00921EF2" w:rsidRDefault="007F3BDE" w:rsidP="007F3BDE">
      <w:pPr>
        <w:jc w:val="both"/>
        <w:rPr>
          <w:i/>
          <w:sz w:val="22"/>
          <w:szCs w:val="22"/>
          <w:lang w:val="sk-SK"/>
        </w:rPr>
      </w:pPr>
    </w:p>
    <w:p w14:paraId="538F44DD" w14:textId="77777777" w:rsidR="007F3BDE" w:rsidRPr="001B59B9" w:rsidRDefault="007F3BDE" w:rsidP="007F3BDE">
      <w:pPr>
        <w:jc w:val="both"/>
        <w:rPr>
          <w:sz w:val="22"/>
          <w:lang w:val="sk-SK"/>
        </w:rPr>
      </w:pPr>
      <w:r w:rsidRPr="001B59B9">
        <w:rPr>
          <w:sz w:val="22"/>
          <w:lang w:val="sk-SK"/>
        </w:rPr>
        <w:t>Upozornenie:</w:t>
      </w:r>
    </w:p>
    <w:p w14:paraId="3A51BC9C" w14:textId="5BB210FA" w:rsidR="007F3BDE" w:rsidRPr="00921EF2" w:rsidRDefault="007F3BDE" w:rsidP="007F3BDE">
      <w:pPr>
        <w:rPr>
          <w:sz w:val="22"/>
          <w:szCs w:val="22"/>
          <w:lang w:val="sk-SK"/>
        </w:rPr>
      </w:pPr>
      <w:r w:rsidRPr="00921EF2">
        <w:rPr>
          <w:sz w:val="22"/>
          <w:szCs w:val="22"/>
          <w:lang w:val="sk-SK"/>
        </w:rPr>
        <w:t xml:space="preserve">U malých detí sa </w:t>
      </w:r>
      <w:r w:rsidR="0023483F" w:rsidRPr="00921EF2">
        <w:rPr>
          <w:sz w:val="22"/>
          <w:szCs w:val="22"/>
          <w:lang w:val="sk-SK"/>
        </w:rPr>
        <w:t>valproát</w:t>
      </w:r>
      <w:r w:rsidRPr="00921EF2">
        <w:rPr>
          <w:sz w:val="22"/>
          <w:szCs w:val="22"/>
          <w:lang w:val="sk-SK" w:eastAsia="sk-SK"/>
        </w:rPr>
        <w:t xml:space="preserve"> sodný </w:t>
      </w:r>
      <w:r w:rsidRPr="00921EF2">
        <w:rPr>
          <w:sz w:val="22"/>
          <w:szCs w:val="22"/>
          <w:lang w:val="sk-SK"/>
        </w:rPr>
        <w:t>používa ako liek prvej voľby len vo výnimočných prípadoch; má sa indikovať len s mimoriadnou opatrnosťou po prísnom zvážení rizika a prínosu liečby a pokiaľ možno v monoterapii.</w:t>
      </w:r>
    </w:p>
    <w:p w14:paraId="6CBD7CD8" w14:textId="77777777" w:rsidR="005759F7" w:rsidRPr="005E746B" w:rsidRDefault="005759F7" w:rsidP="001B59B9">
      <w:pPr>
        <w:rPr>
          <w:sz w:val="22"/>
        </w:rPr>
      </w:pPr>
    </w:p>
    <w:p w14:paraId="3C6B51F2"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4.2</w:t>
      </w:r>
      <w:r w:rsidR="004668B5" w:rsidRPr="00921EF2">
        <w:rPr>
          <w:rFonts w:ascii="Times New Roman" w:hAnsi="Times New Roman" w:cs="Times New Roman"/>
          <w:sz w:val="22"/>
          <w:szCs w:val="22"/>
        </w:rPr>
        <w:tab/>
      </w:r>
      <w:r w:rsidRPr="00921EF2">
        <w:rPr>
          <w:rFonts w:ascii="Times New Roman" w:hAnsi="Times New Roman" w:cs="Times New Roman"/>
          <w:sz w:val="22"/>
          <w:szCs w:val="22"/>
        </w:rPr>
        <w:t>Dávkovanie a spôsob pod</w:t>
      </w:r>
      <w:r w:rsidR="00B910AC" w:rsidRPr="00921EF2">
        <w:rPr>
          <w:rFonts w:ascii="Times New Roman" w:hAnsi="Times New Roman" w:cs="Times New Roman"/>
          <w:sz w:val="22"/>
          <w:szCs w:val="22"/>
        </w:rPr>
        <w:t>ávania</w:t>
      </w:r>
    </w:p>
    <w:p w14:paraId="7C3384E8" w14:textId="77777777" w:rsidR="00977BF3" w:rsidRPr="00921EF2" w:rsidRDefault="00977BF3" w:rsidP="00B124D9">
      <w:pPr>
        <w:keepNext/>
        <w:ind w:left="567" w:hanging="567"/>
        <w:rPr>
          <w:sz w:val="22"/>
          <w:szCs w:val="22"/>
          <w:lang w:val="sk-SK"/>
        </w:rPr>
      </w:pPr>
    </w:p>
    <w:p w14:paraId="5F7EA9DF" w14:textId="58256DFD" w:rsidR="00977BF3" w:rsidRDefault="00977BF3" w:rsidP="00B124D9">
      <w:pPr>
        <w:rPr>
          <w:sz w:val="22"/>
          <w:szCs w:val="22"/>
          <w:lang w:val="sk-SK"/>
        </w:rPr>
      </w:pPr>
      <w:r w:rsidRPr="00921EF2">
        <w:rPr>
          <w:sz w:val="22"/>
          <w:szCs w:val="22"/>
          <w:lang w:val="sk-SK"/>
        </w:rPr>
        <w:t xml:space="preserve">Denná dávka </w:t>
      </w:r>
      <w:r w:rsidR="00FF6A2E" w:rsidRPr="00921EF2">
        <w:rPr>
          <w:sz w:val="22"/>
          <w:szCs w:val="22"/>
          <w:lang w:val="sk-SK"/>
        </w:rPr>
        <w:t>má</w:t>
      </w:r>
      <w:r w:rsidRPr="00921EF2">
        <w:rPr>
          <w:sz w:val="22"/>
          <w:szCs w:val="22"/>
          <w:lang w:val="sk-SK"/>
        </w:rPr>
        <w:t xml:space="preserve"> byť nastavená v závislosti od veku a telesnej hmotnosti, avšak do úvahy treba brať aj individuálnu znášanlivosť </w:t>
      </w:r>
      <w:r w:rsidR="0023483F" w:rsidRPr="00921EF2">
        <w:rPr>
          <w:sz w:val="22"/>
          <w:szCs w:val="22"/>
          <w:lang w:val="sk-SK"/>
        </w:rPr>
        <w:t>valproát</w:t>
      </w:r>
      <w:r w:rsidRPr="00921EF2">
        <w:rPr>
          <w:sz w:val="22"/>
          <w:szCs w:val="22"/>
          <w:lang w:val="sk-SK"/>
        </w:rPr>
        <w:t>u sodného.</w:t>
      </w:r>
    </w:p>
    <w:p w14:paraId="1947B7F1" w14:textId="77777777" w:rsidR="00921EF2" w:rsidRPr="001B59B9" w:rsidRDefault="00921EF2" w:rsidP="001B59B9">
      <w:pPr>
        <w:rPr>
          <w:sz w:val="22"/>
          <w:lang w:val="sk-SK"/>
        </w:rPr>
      </w:pPr>
    </w:p>
    <w:p w14:paraId="6F68498D" w14:textId="77777777" w:rsidR="005759F7" w:rsidRPr="00921EF2" w:rsidRDefault="005759F7" w:rsidP="00B124D9">
      <w:pPr>
        <w:keepNext/>
        <w:rPr>
          <w:sz w:val="22"/>
          <w:szCs w:val="22"/>
          <w:u w:val="single"/>
          <w:lang w:val="sk-SK"/>
        </w:rPr>
      </w:pPr>
      <w:r w:rsidRPr="00921EF2">
        <w:rPr>
          <w:sz w:val="22"/>
          <w:szCs w:val="22"/>
          <w:u w:val="single"/>
          <w:lang w:val="sk-SK"/>
        </w:rPr>
        <w:t>Liečba epilepsie</w:t>
      </w:r>
    </w:p>
    <w:p w14:paraId="0EDA9E7C" w14:textId="77777777" w:rsidR="00977BF3" w:rsidRPr="00921EF2" w:rsidRDefault="00977BF3" w:rsidP="00B124D9">
      <w:pPr>
        <w:rPr>
          <w:sz w:val="22"/>
          <w:szCs w:val="22"/>
          <w:lang w:val="sk-SK"/>
        </w:rPr>
      </w:pPr>
      <w:r w:rsidRPr="00921EF2">
        <w:rPr>
          <w:sz w:val="22"/>
          <w:szCs w:val="22"/>
          <w:lang w:val="sk-SK"/>
        </w:rPr>
        <w:t>Terapeutická účinnosť je zvyčajne dosiahnutá pri plazmatických hladinách 40</w:t>
      </w:r>
      <w:r w:rsidR="00092C0A" w:rsidRPr="00921EF2">
        <w:rPr>
          <w:sz w:val="22"/>
          <w:szCs w:val="22"/>
          <w:lang w:val="sk-SK"/>
        </w:rPr>
        <w:t> </w:t>
      </w:r>
      <w:r w:rsidRPr="00921EF2">
        <w:rPr>
          <w:sz w:val="22"/>
          <w:szCs w:val="22"/>
          <w:lang w:val="sk-SK"/>
        </w:rPr>
        <w:t>-</w:t>
      </w:r>
      <w:r w:rsidR="00092C0A" w:rsidRPr="00921EF2">
        <w:rPr>
          <w:sz w:val="22"/>
          <w:szCs w:val="22"/>
          <w:lang w:val="sk-SK"/>
        </w:rPr>
        <w:t> </w:t>
      </w:r>
      <w:r w:rsidRPr="00921EF2">
        <w:rPr>
          <w:sz w:val="22"/>
          <w:szCs w:val="22"/>
          <w:lang w:val="sk-SK"/>
        </w:rPr>
        <w:t>100 mg/l, (300</w:t>
      </w:r>
      <w:r w:rsidR="00092C0A" w:rsidRPr="00921EF2">
        <w:rPr>
          <w:sz w:val="22"/>
          <w:szCs w:val="22"/>
          <w:lang w:val="sk-SK"/>
        </w:rPr>
        <w:t> </w:t>
      </w:r>
      <w:r w:rsidR="007B4C62" w:rsidRPr="00921EF2">
        <w:rPr>
          <w:sz w:val="22"/>
          <w:szCs w:val="22"/>
          <w:lang w:val="sk-SK"/>
        </w:rPr>
        <w:t>–</w:t>
      </w:r>
      <w:r w:rsidR="00092C0A" w:rsidRPr="00921EF2">
        <w:rPr>
          <w:sz w:val="22"/>
          <w:szCs w:val="22"/>
          <w:lang w:val="sk-SK"/>
        </w:rPr>
        <w:t> </w:t>
      </w:r>
      <w:r w:rsidRPr="00921EF2">
        <w:rPr>
          <w:sz w:val="22"/>
          <w:szCs w:val="22"/>
          <w:lang w:val="sk-SK"/>
        </w:rPr>
        <w:t>700</w:t>
      </w:r>
      <w:r w:rsidR="007B4C62" w:rsidRPr="00921EF2">
        <w:rPr>
          <w:sz w:val="22"/>
          <w:szCs w:val="22"/>
          <w:lang w:val="sk-SK"/>
        </w:rPr>
        <w:t> </w:t>
      </w:r>
      <w:r w:rsidRPr="00921EF2">
        <w:rPr>
          <w:sz w:val="22"/>
          <w:szCs w:val="22"/>
          <w:lang w:val="sk-SK"/>
        </w:rPr>
        <w:sym w:font="Times New Roman" w:char="00B5"/>
      </w:r>
      <w:r w:rsidRPr="00921EF2">
        <w:rPr>
          <w:sz w:val="22"/>
          <w:szCs w:val="22"/>
          <w:lang w:val="sk-SK"/>
        </w:rPr>
        <w:t>mol/l). Optimálne plazmatické hladiny sú odlišné medzi jednotlivcami a pravdepodobne aj u toho istého jedinca v rôznom čase.</w:t>
      </w:r>
    </w:p>
    <w:p w14:paraId="73FEC30D" w14:textId="77777777" w:rsidR="00977BF3" w:rsidRPr="00921EF2" w:rsidRDefault="00977BF3" w:rsidP="00B124D9">
      <w:pPr>
        <w:rPr>
          <w:i/>
          <w:iCs/>
          <w:sz w:val="22"/>
          <w:szCs w:val="22"/>
          <w:u w:val="single"/>
          <w:lang w:val="sk-SK"/>
        </w:rPr>
      </w:pPr>
    </w:p>
    <w:p w14:paraId="0F8DB8EB" w14:textId="77777777" w:rsidR="00977BF3" w:rsidRPr="00921EF2" w:rsidRDefault="00062430" w:rsidP="00B124D9">
      <w:pPr>
        <w:rPr>
          <w:i/>
          <w:iCs/>
          <w:sz w:val="22"/>
          <w:szCs w:val="22"/>
          <w:u w:val="single"/>
          <w:lang w:val="sk-SK"/>
        </w:rPr>
      </w:pPr>
      <w:r w:rsidRPr="00921EF2">
        <w:rPr>
          <w:i/>
          <w:iCs/>
          <w:sz w:val="22"/>
          <w:szCs w:val="22"/>
          <w:u w:val="single"/>
          <w:lang w:val="sk-SK"/>
        </w:rPr>
        <w:t>Za</w:t>
      </w:r>
      <w:r w:rsidR="00977BF3" w:rsidRPr="00921EF2">
        <w:rPr>
          <w:i/>
          <w:iCs/>
          <w:sz w:val="22"/>
          <w:szCs w:val="22"/>
          <w:u w:val="single"/>
          <w:lang w:val="sk-SK"/>
        </w:rPr>
        <w:t xml:space="preserve">čiatočná fáza liečby liekom </w:t>
      </w:r>
      <w:r w:rsidR="007F3BDE" w:rsidRPr="00921EF2">
        <w:rPr>
          <w:i/>
          <w:sz w:val="22"/>
          <w:szCs w:val="22"/>
          <w:u w:val="single"/>
          <w:lang w:val="sk-SK"/>
        </w:rPr>
        <w:t>Orfiril long</w:t>
      </w:r>
      <w:r w:rsidR="007F3BDE" w:rsidRPr="001B59B9">
        <w:rPr>
          <w:sz w:val="22"/>
          <w:u w:val="single"/>
          <w:lang w:val="sk-SK"/>
        </w:rPr>
        <w:t xml:space="preserve"> </w:t>
      </w:r>
      <w:r w:rsidR="00977BF3" w:rsidRPr="00921EF2">
        <w:rPr>
          <w:i/>
          <w:iCs/>
          <w:sz w:val="22"/>
          <w:szCs w:val="22"/>
          <w:u w:val="single"/>
          <w:lang w:val="sk-SK"/>
        </w:rPr>
        <w:t>(perorálne podávanie)</w:t>
      </w:r>
    </w:p>
    <w:p w14:paraId="4AFBD820" w14:textId="77777777" w:rsidR="00977BF3" w:rsidRPr="00921EF2" w:rsidRDefault="00977BF3" w:rsidP="00B124D9">
      <w:pPr>
        <w:numPr>
          <w:ilvl w:val="0"/>
          <w:numId w:val="2"/>
        </w:numPr>
        <w:tabs>
          <w:tab w:val="clear" w:pos="600"/>
          <w:tab w:val="num" w:pos="284"/>
        </w:tabs>
        <w:ind w:left="284" w:hanging="284"/>
        <w:rPr>
          <w:sz w:val="22"/>
          <w:szCs w:val="22"/>
          <w:lang w:val="sk-SK"/>
        </w:rPr>
      </w:pPr>
      <w:r w:rsidRPr="00921EF2">
        <w:rPr>
          <w:sz w:val="22"/>
          <w:szCs w:val="22"/>
          <w:lang w:val="sk-SK"/>
        </w:rPr>
        <w:t>U pacientov, ktorí neužívajú iné antiepileptiká</w:t>
      </w:r>
      <w:r w:rsidR="00CF0229" w:rsidRPr="00921EF2">
        <w:rPr>
          <w:sz w:val="22"/>
          <w:szCs w:val="22"/>
          <w:lang w:val="sk-SK"/>
        </w:rPr>
        <w:t>,</w:t>
      </w:r>
      <w:r w:rsidRPr="00921EF2">
        <w:rPr>
          <w:sz w:val="22"/>
          <w:szCs w:val="22"/>
          <w:lang w:val="sk-SK"/>
        </w:rPr>
        <w:t xml:space="preserve"> sa dávka zvyšuje postupne v</w:t>
      </w:r>
      <w:r w:rsidR="00092C0A" w:rsidRPr="00921EF2">
        <w:rPr>
          <w:sz w:val="22"/>
          <w:szCs w:val="22"/>
          <w:lang w:val="sk-SK"/>
        </w:rPr>
        <w:t> </w:t>
      </w:r>
      <w:r w:rsidRPr="00921EF2">
        <w:rPr>
          <w:sz w:val="22"/>
          <w:szCs w:val="22"/>
          <w:lang w:val="sk-SK"/>
        </w:rPr>
        <w:t>2</w:t>
      </w:r>
      <w:r w:rsidR="00092C0A" w:rsidRPr="00921EF2">
        <w:rPr>
          <w:sz w:val="22"/>
          <w:szCs w:val="22"/>
          <w:lang w:val="sk-SK"/>
        </w:rPr>
        <w:t> </w:t>
      </w:r>
      <w:r w:rsidRPr="00921EF2">
        <w:rPr>
          <w:sz w:val="22"/>
          <w:szCs w:val="22"/>
          <w:lang w:val="sk-SK"/>
        </w:rPr>
        <w:t>-</w:t>
      </w:r>
      <w:r w:rsidR="00092C0A" w:rsidRPr="00921EF2">
        <w:rPr>
          <w:sz w:val="22"/>
          <w:szCs w:val="22"/>
          <w:lang w:val="sk-SK"/>
        </w:rPr>
        <w:t> </w:t>
      </w:r>
      <w:r w:rsidRPr="00921EF2">
        <w:rPr>
          <w:sz w:val="22"/>
          <w:szCs w:val="22"/>
          <w:lang w:val="sk-SK"/>
        </w:rPr>
        <w:t xml:space="preserve">3 dňových intervaloch tak, aby sa optimálna dávka dosiahla </w:t>
      </w:r>
      <w:r w:rsidR="00FF6A2E" w:rsidRPr="00921EF2">
        <w:rPr>
          <w:sz w:val="22"/>
          <w:szCs w:val="22"/>
          <w:lang w:val="sk-SK"/>
        </w:rPr>
        <w:t xml:space="preserve">počas </w:t>
      </w:r>
      <w:r w:rsidRPr="00921EF2">
        <w:rPr>
          <w:sz w:val="22"/>
          <w:szCs w:val="22"/>
          <w:lang w:val="sk-SK"/>
        </w:rPr>
        <w:t>1 týžd</w:t>
      </w:r>
      <w:r w:rsidR="00FF6A2E" w:rsidRPr="00921EF2">
        <w:rPr>
          <w:sz w:val="22"/>
          <w:szCs w:val="22"/>
          <w:lang w:val="sk-SK"/>
        </w:rPr>
        <w:t>ňa</w:t>
      </w:r>
      <w:r w:rsidRPr="00921EF2">
        <w:rPr>
          <w:sz w:val="22"/>
          <w:szCs w:val="22"/>
          <w:lang w:val="sk-SK"/>
        </w:rPr>
        <w:t>.</w:t>
      </w:r>
    </w:p>
    <w:p w14:paraId="3A9F2BC7" w14:textId="77777777" w:rsidR="00977BF3" w:rsidRPr="00921EF2" w:rsidRDefault="00977BF3" w:rsidP="00B124D9">
      <w:pPr>
        <w:rPr>
          <w:sz w:val="22"/>
          <w:szCs w:val="22"/>
          <w:lang w:val="sk-SK"/>
        </w:rPr>
      </w:pPr>
    </w:p>
    <w:p w14:paraId="075F3734" w14:textId="77777777" w:rsidR="00977BF3" w:rsidRPr="00921EF2" w:rsidRDefault="00977BF3" w:rsidP="00B124D9">
      <w:pPr>
        <w:numPr>
          <w:ilvl w:val="0"/>
          <w:numId w:val="3"/>
        </w:numPr>
        <w:tabs>
          <w:tab w:val="clear" w:pos="600"/>
          <w:tab w:val="num" w:pos="284"/>
        </w:tabs>
        <w:ind w:left="284" w:hanging="284"/>
        <w:rPr>
          <w:sz w:val="22"/>
          <w:szCs w:val="22"/>
          <w:lang w:val="sk-SK"/>
        </w:rPr>
      </w:pPr>
      <w:r w:rsidRPr="00921EF2">
        <w:rPr>
          <w:sz w:val="22"/>
          <w:szCs w:val="22"/>
          <w:lang w:val="sk-SK"/>
        </w:rPr>
        <w:t xml:space="preserve">U pacientov, ktorí užívajú iné antiepileptiká, má byť náhrada liekom </w:t>
      </w:r>
      <w:r w:rsidR="007F3BDE" w:rsidRPr="00921EF2">
        <w:rPr>
          <w:sz w:val="22"/>
          <w:szCs w:val="22"/>
          <w:lang w:val="sk-SK"/>
        </w:rPr>
        <w:t xml:space="preserve">Orfiril long </w:t>
      </w:r>
      <w:r w:rsidRPr="00921EF2">
        <w:rPr>
          <w:sz w:val="22"/>
          <w:szCs w:val="22"/>
          <w:lang w:val="sk-SK"/>
        </w:rPr>
        <w:t xml:space="preserve">postupná, optimálna dávka sa dosahuje </w:t>
      </w:r>
      <w:r w:rsidR="00FF6A2E" w:rsidRPr="00921EF2">
        <w:rPr>
          <w:sz w:val="22"/>
          <w:szCs w:val="22"/>
          <w:lang w:val="sk-SK"/>
        </w:rPr>
        <w:t xml:space="preserve">počas </w:t>
      </w:r>
      <w:r w:rsidRPr="00921EF2">
        <w:rPr>
          <w:sz w:val="22"/>
          <w:szCs w:val="22"/>
          <w:lang w:val="sk-SK"/>
        </w:rPr>
        <w:t>2 týžd</w:t>
      </w:r>
      <w:r w:rsidR="00FF6A2E" w:rsidRPr="00921EF2">
        <w:rPr>
          <w:sz w:val="22"/>
          <w:szCs w:val="22"/>
          <w:lang w:val="sk-SK"/>
        </w:rPr>
        <w:t>ňov</w:t>
      </w:r>
      <w:r w:rsidRPr="00921EF2">
        <w:rPr>
          <w:sz w:val="22"/>
          <w:szCs w:val="22"/>
          <w:lang w:val="sk-SK"/>
        </w:rPr>
        <w:t xml:space="preserve"> a predchádzajúci liek sa postupne obmedzuje až </w:t>
      </w:r>
      <w:r w:rsidR="00F33C94" w:rsidRPr="00921EF2">
        <w:rPr>
          <w:sz w:val="22"/>
          <w:szCs w:val="22"/>
          <w:lang w:val="sk-SK"/>
        </w:rPr>
        <w:t>sa vysadí</w:t>
      </w:r>
      <w:r w:rsidRPr="00921EF2">
        <w:rPr>
          <w:sz w:val="22"/>
          <w:szCs w:val="22"/>
          <w:lang w:val="sk-SK"/>
        </w:rPr>
        <w:t>.</w:t>
      </w:r>
    </w:p>
    <w:p w14:paraId="6AD58B6C" w14:textId="77777777" w:rsidR="00977BF3" w:rsidRPr="00921EF2" w:rsidRDefault="00977BF3" w:rsidP="00B124D9">
      <w:pPr>
        <w:rPr>
          <w:sz w:val="22"/>
          <w:szCs w:val="22"/>
          <w:lang w:val="sk-SK"/>
        </w:rPr>
      </w:pPr>
    </w:p>
    <w:p w14:paraId="1D529DA8" w14:textId="77777777" w:rsidR="00977BF3" w:rsidRPr="00921EF2" w:rsidRDefault="00977BF3" w:rsidP="00B124D9">
      <w:pPr>
        <w:numPr>
          <w:ilvl w:val="0"/>
          <w:numId w:val="3"/>
        </w:numPr>
        <w:tabs>
          <w:tab w:val="clear" w:pos="600"/>
          <w:tab w:val="num" w:pos="284"/>
        </w:tabs>
        <w:ind w:left="284" w:hanging="284"/>
        <w:rPr>
          <w:i/>
          <w:iCs/>
          <w:sz w:val="22"/>
          <w:szCs w:val="22"/>
          <w:lang w:val="sk-SK"/>
        </w:rPr>
      </w:pPr>
      <w:r w:rsidRPr="00921EF2">
        <w:rPr>
          <w:sz w:val="22"/>
          <w:szCs w:val="22"/>
          <w:lang w:val="sk-SK"/>
        </w:rPr>
        <w:t xml:space="preserve">Ak je nevyhnutná kombinácia s inými antiepileptikami, </w:t>
      </w:r>
      <w:r w:rsidR="00F37595" w:rsidRPr="00921EF2">
        <w:rPr>
          <w:sz w:val="22"/>
          <w:szCs w:val="22"/>
          <w:lang w:val="sk-SK"/>
        </w:rPr>
        <w:t>má</w:t>
      </w:r>
      <w:r w:rsidRPr="00921EF2">
        <w:rPr>
          <w:sz w:val="22"/>
          <w:szCs w:val="22"/>
          <w:lang w:val="sk-SK"/>
        </w:rPr>
        <w:t xml:space="preserve"> sa uskutočniť postupne (pozri </w:t>
      </w:r>
      <w:r w:rsidR="007D679C" w:rsidRPr="00921EF2">
        <w:rPr>
          <w:sz w:val="22"/>
          <w:szCs w:val="22"/>
          <w:lang w:val="sk-SK"/>
        </w:rPr>
        <w:t xml:space="preserve">časť </w:t>
      </w:r>
      <w:r w:rsidRPr="00921EF2">
        <w:rPr>
          <w:sz w:val="22"/>
          <w:szCs w:val="22"/>
          <w:lang w:val="sk-SK"/>
        </w:rPr>
        <w:t>4.5)</w:t>
      </w:r>
    </w:p>
    <w:p w14:paraId="0576ED68" w14:textId="77777777" w:rsidR="00977BF3" w:rsidRPr="00921EF2" w:rsidRDefault="00977BF3" w:rsidP="00B124D9">
      <w:pPr>
        <w:rPr>
          <w:sz w:val="22"/>
          <w:szCs w:val="22"/>
          <w:lang w:val="sk-SK"/>
        </w:rPr>
      </w:pPr>
    </w:p>
    <w:p w14:paraId="3E7E6B2D" w14:textId="77777777" w:rsidR="00977BF3" w:rsidRPr="00921EF2" w:rsidRDefault="00977BF3" w:rsidP="00B124D9">
      <w:pPr>
        <w:pStyle w:val="Nadpis6"/>
        <w:autoSpaceDE/>
        <w:autoSpaceDN/>
        <w:jc w:val="left"/>
        <w:rPr>
          <w:rFonts w:ascii="Times New Roman" w:hAnsi="Times New Roman" w:cs="Times New Roman"/>
          <w:b w:val="0"/>
          <w:bCs w:val="0"/>
          <w:i/>
          <w:sz w:val="22"/>
          <w:szCs w:val="22"/>
        </w:rPr>
      </w:pPr>
      <w:r w:rsidRPr="00921EF2">
        <w:rPr>
          <w:rFonts w:ascii="Times New Roman" w:hAnsi="Times New Roman" w:cs="Times New Roman"/>
          <w:b w:val="0"/>
          <w:bCs w:val="0"/>
          <w:i/>
          <w:sz w:val="22"/>
          <w:szCs w:val="22"/>
        </w:rPr>
        <w:t>Dávkovanie</w:t>
      </w:r>
    </w:p>
    <w:p w14:paraId="12E26043" w14:textId="77777777" w:rsidR="00977BF3" w:rsidRPr="00921EF2" w:rsidRDefault="00062430" w:rsidP="00B124D9">
      <w:pPr>
        <w:rPr>
          <w:sz w:val="22"/>
          <w:szCs w:val="22"/>
          <w:lang w:val="sk-SK"/>
        </w:rPr>
      </w:pPr>
      <w:r w:rsidRPr="00921EF2">
        <w:rPr>
          <w:sz w:val="22"/>
          <w:szCs w:val="22"/>
          <w:lang w:val="sk-SK"/>
        </w:rPr>
        <w:t>Za</w:t>
      </w:r>
      <w:r w:rsidR="00977BF3" w:rsidRPr="00921EF2">
        <w:rPr>
          <w:sz w:val="22"/>
          <w:szCs w:val="22"/>
          <w:lang w:val="sk-SK"/>
        </w:rPr>
        <w:t>čiatočná denná dávka je zvyčajne 10</w:t>
      </w:r>
      <w:r w:rsidR="00092C0A" w:rsidRPr="00921EF2">
        <w:rPr>
          <w:sz w:val="22"/>
          <w:szCs w:val="22"/>
          <w:lang w:val="sk-SK"/>
        </w:rPr>
        <w:t> </w:t>
      </w:r>
      <w:r w:rsidR="00977BF3" w:rsidRPr="00921EF2">
        <w:rPr>
          <w:sz w:val="22"/>
          <w:szCs w:val="22"/>
          <w:lang w:val="sk-SK"/>
        </w:rPr>
        <w:t>-</w:t>
      </w:r>
      <w:r w:rsidR="00092C0A" w:rsidRPr="00921EF2">
        <w:rPr>
          <w:sz w:val="22"/>
          <w:szCs w:val="22"/>
          <w:lang w:val="sk-SK"/>
        </w:rPr>
        <w:t> </w:t>
      </w:r>
      <w:r w:rsidR="00977BF3" w:rsidRPr="00921EF2">
        <w:rPr>
          <w:sz w:val="22"/>
          <w:szCs w:val="22"/>
          <w:lang w:val="sk-SK"/>
        </w:rPr>
        <w:t>15 mg/kg. Dávka sa postupne titruje na optimálnu a je rozdelená do 1</w:t>
      </w:r>
      <w:r w:rsidR="00092C0A" w:rsidRPr="00921EF2">
        <w:rPr>
          <w:sz w:val="22"/>
          <w:szCs w:val="22"/>
          <w:lang w:val="sk-SK"/>
        </w:rPr>
        <w:t> </w:t>
      </w:r>
      <w:r w:rsidR="00977BF3" w:rsidRPr="00921EF2">
        <w:rPr>
          <w:sz w:val="22"/>
          <w:szCs w:val="22"/>
          <w:lang w:val="sk-SK"/>
        </w:rPr>
        <w:t>-</w:t>
      </w:r>
      <w:r w:rsidR="00092C0A" w:rsidRPr="00921EF2">
        <w:rPr>
          <w:sz w:val="22"/>
          <w:szCs w:val="22"/>
          <w:lang w:val="sk-SK"/>
        </w:rPr>
        <w:t> </w:t>
      </w:r>
      <w:r w:rsidR="00977BF3" w:rsidRPr="00921EF2">
        <w:rPr>
          <w:sz w:val="22"/>
          <w:szCs w:val="22"/>
          <w:lang w:val="sk-SK"/>
        </w:rPr>
        <w:t>2 dávok denne.</w:t>
      </w:r>
    </w:p>
    <w:p w14:paraId="1193A5B0" w14:textId="77777777" w:rsidR="00977BF3" w:rsidRPr="00921EF2" w:rsidRDefault="00977BF3" w:rsidP="00B124D9">
      <w:pPr>
        <w:rPr>
          <w:sz w:val="22"/>
          <w:szCs w:val="22"/>
          <w:lang w:val="sk-SK"/>
        </w:rPr>
      </w:pPr>
    </w:p>
    <w:p w14:paraId="6847FF04" w14:textId="77777777" w:rsidR="005759F7" w:rsidRPr="00921EF2" w:rsidRDefault="00977BF3" w:rsidP="00B124D9">
      <w:pPr>
        <w:rPr>
          <w:sz w:val="22"/>
          <w:szCs w:val="22"/>
          <w:lang w:val="sk-SK"/>
        </w:rPr>
      </w:pPr>
      <w:r w:rsidRPr="00921EF2">
        <w:rPr>
          <w:i/>
          <w:iCs/>
          <w:sz w:val="22"/>
          <w:szCs w:val="22"/>
          <w:lang w:val="sk-SK"/>
        </w:rPr>
        <w:t>U dospelých</w:t>
      </w:r>
    </w:p>
    <w:p w14:paraId="2D0F317E" w14:textId="77777777" w:rsidR="00977BF3" w:rsidRPr="00921EF2" w:rsidRDefault="005759F7" w:rsidP="00B124D9">
      <w:pPr>
        <w:rPr>
          <w:sz w:val="22"/>
          <w:szCs w:val="22"/>
          <w:lang w:val="sk-SK"/>
        </w:rPr>
      </w:pPr>
      <w:r w:rsidRPr="00921EF2">
        <w:rPr>
          <w:sz w:val="22"/>
          <w:szCs w:val="22"/>
          <w:lang w:val="sk-SK"/>
        </w:rPr>
        <w:t>B</w:t>
      </w:r>
      <w:r w:rsidR="00977BF3" w:rsidRPr="00921EF2">
        <w:rPr>
          <w:sz w:val="22"/>
          <w:szCs w:val="22"/>
          <w:lang w:val="sk-SK"/>
        </w:rPr>
        <w:t xml:space="preserve">ežná dávka </w:t>
      </w:r>
      <w:r w:rsidRPr="00921EF2">
        <w:rPr>
          <w:sz w:val="22"/>
          <w:szCs w:val="22"/>
          <w:lang w:val="sk-SK"/>
        </w:rPr>
        <w:t xml:space="preserve">je </w:t>
      </w:r>
      <w:r w:rsidR="00977BF3" w:rsidRPr="00921EF2">
        <w:rPr>
          <w:sz w:val="22"/>
          <w:szCs w:val="22"/>
          <w:lang w:val="sk-SK"/>
        </w:rPr>
        <w:t>20</w:t>
      </w:r>
      <w:r w:rsidR="00092C0A" w:rsidRPr="00921EF2">
        <w:rPr>
          <w:sz w:val="22"/>
          <w:szCs w:val="22"/>
          <w:lang w:val="sk-SK"/>
        </w:rPr>
        <w:t> </w:t>
      </w:r>
      <w:r w:rsidR="00977BF3" w:rsidRPr="00921EF2">
        <w:rPr>
          <w:sz w:val="22"/>
          <w:szCs w:val="22"/>
          <w:lang w:val="sk-SK"/>
        </w:rPr>
        <w:t>-</w:t>
      </w:r>
      <w:r w:rsidR="00092C0A" w:rsidRPr="00921EF2">
        <w:rPr>
          <w:sz w:val="22"/>
          <w:szCs w:val="22"/>
          <w:lang w:val="sk-SK"/>
        </w:rPr>
        <w:t> </w:t>
      </w:r>
      <w:r w:rsidR="00977BF3" w:rsidRPr="00921EF2">
        <w:rPr>
          <w:sz w:val="22"/>
          <w:szCs w:val="22"/>
          <w:lang w:val="sk-SK"/>
        </w:rPr>
        <w:t xml:space="preserve">30 mg/kg na deň. Ak </w:t>
      </w:r>
      <w:r w:rsidR="001E309B" w:rsidRPr="00921EF2">
        <w:rPr>
          <w:sz w:val="22"/>
          <w:szCs w:val="22"/>
          <w:lang w:val="sk-SK"/>
        </w:rPr>
        <w:t>sa pri takomto dávkovaní ne</w:t>
      </w:r>
      <w:r w:rsidR="00977BF3" w:rsidRPr="00921EF2">
        <w:rPr>
          <w:sz w:val="22"/>
          <w:szCs w:val="22"/>
          <w:lang w:val="sk-SK"/>
        </w:rPr>
        <w:t>dosiahn</w:t>
      </w:r>
      <w:r w:rsidR="001E309B" w:rsidRPr="00921EF2">
        <w:rPr>
          <w:sz w:val="22"/>
          <w:szCs w:val="22"/>
          <w:lang w:val="sk-SK"/>
        </w:rPr>
        <w:t>e</w:t>
      </w:r>
      <w:r w:rsidR="00977BF3" w:rsidRPr="00921EF2">
        <w:rPr>
          <w:sz w:val="22"/>
          <w:szCs w:val="22"/>
          <w:lang w:val="sk-SK"/>
        </w:rPr>
        <w:t xml:space="preserve"> kontrola </w:t>
      </w:r>
      <w:r w:rsidR="00CF7DC2" w:rsidRPr="00921EF2">
        <w:rPr>
          <w:sz w:val="22"/>
          <w:szCs w:val="22"/>
          <w:lang w:val="sk-SK"/>
        </w:rPr>
        <w:t xml:space="preserve">epileptických </w:t>
      </w:r>
      <w:r w:rsidR="00977BF3" w:rsidRPr="00921EF2">
        <w:rPr>
          <w:sz w:val="22"/>
          <w:szCs w:val="22"/>
          <w:lang w:val="sk-SK"/>
        </w:rPr>
        <w:t xml:space="preserve">záchvatov, dávka sa môže ďalej </w:t>
      </w:r>
      <w:r w:rsidR="001E309B" w:rsidRPr="00921EF2">
        <w:rPr>
          <w:sz w:val="22"/>
          <w:szCs w:val="22"/>
          <w:lang w:val="sk-SK"/>
        </w:rPr>
        <w:t>zvyšovať</w:t>
      </w:r>
      <w:r w:rsidR="00977BF3" w:rsidRPr="00921EF2">
        <w:rPr>
          <w:sz w:val="22"/>
          <w:szCs w:val="22"/>
          <w:lang w:val="sk-SK"/>
        </w:rPr>
        <w:t>. Ak denná dávka dosiahne viac ako 50 mg/kg (pozri časť 4.4), pacienti sa ma</w:t>
      </w:r>
      <w:r w:rsidR="00F37595" w:rsidRPr="00921EF2">
        <w:rPr>
          <w:sz w:val="22"/>
          <w:szCs w:val="22"/>
          <w:lang w:val="sk-SK"/>
        </w:rPr>
        <w:t>jú</w:t>
      </w:r>
      <w:r w:rsidR="00977BF3" w:rsidRPr="00921EF2">
        <w:rPr>
          <w:sz w:val="22"/>
          <w:szCs w:val="22"/>
          <w:lang w:val="sk-SK"/>
        </w:rPr>
        <w:t xml:space="preserve"> starostlivo monitorovať.</w:t>
      </w:r>
    </w:p>
    <w:p w14:paraId="3AEA7DF9" w14:textId="77777777" w:rsidR="00977BF3" w:rsidRPr="00921EF2" w:rsidRDefault="00977BF3" w:rsidP="00B124D9">
      <w:pPr>
        <w:pStyle w:val="Pta"/>
        <w:tabs>
          <w:tab w:val="clear" w:pos="4536"/>
          <w:tab w:val="clear" w:pos="9072"/>
        </w:tabs>
        <w:rPr>
          <w:sz w:val="22"/>
          <w:szCs w:val="22"/>
          <w:lang w:val="sk-SK"/>
        </w:rPr>
      </w:pPr>
    </w:p>
    <w:p w14:paraId="50EF9312" w14:textId="77777777" w:rsidR="005759F7" w:rsidRPr="00921EF2" w:rsidRDefault="00E4267E" w:rsidP="00B124D9">
      <w:pPr>
        <w:tabs>
          <w:tab w:val="left" w:pos="284"/>
        </w:tabs>
        <w:rPr>
          <w:i/>
          <w:sz w:val="22"/>
          <w:szCs w:val="22"/>
          <w:lang w:val="sk-SK"/>
        </w:rPr>
      </w:pPr>
      <w:r w:rsidRPr="00921EF2">
        <w:rPr>
          <w:i/>
          <w:iCs/>
          <w:sz w:val="22"/>
          <w:szCs w:val="22"/>
          <w:lang w:val="sk-SK"/>
        </w:rPr>
        <w:t>Pediatrická populácia</w:t>
      </w:r>
    </w:p>
    <w:p w14:paraId="11E9FCAC" w14:textId="77777777" w:rsidR="00977BF3" w:rsidRPr="00921EF2" w:rsidRDefault="006F76D5" w:rsidP="00B124D9">
      <w:pPr>
        <w:tabs>
          <w:tab w:val="left" w:pos="284"/>
        </w:tabs>
        <w:rPr>
          <w:sz w:val="22"/>
          <w:szCs w:val="22"/>
          <w:lang w:val="sk-SK"/>
        </w:rPr>
      </w:pPr>
      <w:r w:rsidRPr="00921EF2">
        <w:rPr>
          <w:sz w:val="22"/>
          <w:szCs w:val="22"/>
          <w:lang w:val="sk-SK"/>
        </w:rPr>
        <w:t>U detí je b</w:t>
      </w:r>
      <w:r w:rsidR="00977BF3" w:rsidRPr="00921EF2">
        <w:rPr>
          <w:sz w:val="22"/>
          <w:szCs w:val="22"/>
          <w:lang w:val="sk-SK"/>
        </w:rPr>
        <w:t>ežná dávka</w:t>
      </w:r>
      <w:r w:rsidR="005759F7" w:rsidRPr="00921EF2">
        <w:rPr>
          <w:sz w:val="22"/>
          <w:szCs w:val="22"/>
          <w:lang w:val="sk-SK"/>
        </w:rPr>
        <w:t xml:space="preserve"> </w:t>
      </w:r>
      <w:r w:rsidR="00977BF3" w:rsidRPr="00921EF2">
        <w:rPr>
          <w:sz w:val="22"/>
          <w:szCs w:val="22"/>
          <w:lang w:val="sk-SK"/>
        </w:rPr>
        <w:t>okolo 30 mg/kg na deň.</w:t>
      </w:r>
    </w:p>
    <w:p w14:paraId="588F11DF" w14:textId="77777777" w:rsidR="006F76D5" w:rsidRPr="00921EF2" w:rsidRDefault="006F76D5" w:rsidP="00B124D9">
      <w:pPr>
        <w:rPr>
          <w:bCs/>
          <w:sz w:val="22"/>
          <w:szCs w:val="22"/>
          <w:lang w:val="sk-SK"/>
        </w:rPr>
      </w:pPr>
      <w:r w:rsidRPr="00921EF2">
        <w:rPr>
          <w:sz w:val="22"/>
          <w:szCs w:val="22"/>
          <w:lang w:val="sk-SK"/>
        </w:rPr>
        <w:t xml:space="preserve">U dospievajúcich je bežná dávka </w:t>
      </w:r>
      <w:r w:rsidR="00D74ADD" w:rsidRPr="00921EF2">
        <w:rPr>
          <w:sz w:val="22"/>
          <w:szCs w:val="22"/>
          <w:lang w:val="sk-SK"/>
        </w:rPr>
        <w:t xml:space="preserve">tak ako u dospelých </w:t>
      </w:r>
      <w:r w:rsidRPr="00921EF2">
        <w:rPr>
          <w:sz w:val="22"/>
          <w:szCs w:val="22"/>
          <w:lang w:val="sk-SK"/>
        </w:rPr>
        <w:t>20 - 30 mg/kg na deň. Ak sa pri takomto dávkovaní nedosiahne kontrola epileptických záchvatov, dávka sa môže ďalej zvyšovať. Ak denná dávka dosiahne viac ako 50 mg/kg (pozri časť 4.4), pacienti sa majú starostlivo monitorovať.</w:t>
      </w:r>
    </w:p>
    <w:p w14:paraId="03AD8B7B" w14:textId="77777777" w:rsidR="00C36FE5" w:rsidRPr="001B59B9" w:rsidRDefault="00C36FE5" w:rsidP="00B124D9">
      <w:pPr>
        <w:rPr>
          <w:sz w:val="22"/>
          <w:lang w:val="sk-SK"/>
        </w:rPr>
      </w:pPr>
    </w:p>
    <w:p w14:paraId="33CC9DA4" w14:textId="77777777" w:rsidR="005759F7" w:rsidRPr="00921EF2" w:rsidRDefault="005759F7" w:rsidP="00B124D9">
      <w:pPr>
        <w:rPr>
          <w:sz w:val="22"/>
          <w:szCs w:val="22"/>
          <w:u w:val="single"/>
          <w:lang w:val="sk-SK"/>
        </w:rPr>
      </w:pPr>
      <w:r w:rsidRPr="00921EF2">
        <w:rPr>
          <w:sz w:val="22"/>
          <w:szCs w:val="22"/>
          <w:u w:val="single"/>
          <w:lang w:val="sk-SK"/>
        </w:rPr>
        <w:t>Manické epizódy u pacientov s bipolárnou afektívnou poruchou</w:t>
      </w:r>
    </w:p>
    <w:p w14:paraId="4BC859A5" w14:textId="77777777" w:rsidR="0017179D" w:rsidRPr="00921EF2" w:rsidRDefault="0017179D" w:rsidP="00B124D9">
      <w:pPr>
        <w:rPr>
          <w:i/>
          <w:sz w:val="22"/>
          <w:szCs w:val="22"/>
          <w:lang w:val="sk-SK"/>
        </w:rPr>
      </w:pPr>
    </w:p>
    <w:p w14:paraId="6023EA34" w14:textId="77777777" w:rsidR="005759F7" w:rsidRPr="00921EF2" w:rsidRDefault="005759F7" w:rsidP="00B124D9">
      <w:pPr>
        <w:rPr>
          <w:i/>
          <w:sz w:val="22"/>
          <w:szCs w:val="22"/>
          <w:lang w:val="sk-SK"/>
        </w:rPr>
      </w:pPr>
      <w:r w:rsidRPr="00921EF2">
        <w:rPr>
          <w:i/>
          <w:sz w:val="22"/>
          <w:szCs w:val="22"/>
          <w:lang w:val="sk-SK"/>
        </w:rPr>
        <w:t>U dospelých</w:t>
      </w:r>
    </w:p>
    <w:p w14:paraId="5CDCAFDF" w14:textId="77777777" w:rsidR="005759F7" w:rsidRPr="00921EF2" w:rsidRDefault="005759F7" w:rsidP="00B124D9">
      <w:pPr>
        <w:tabs>
          <w:tab w:val="left" w:pos="709"/>
          <w:tab w:val="right" w:leader="dot" w:pos="6804"/>
        </w:tabs>
        <w:rPr>
          <w:sz w:val="22"/>
          <w:szCs w:val="22"/>
          <w:lang w:val="sk-SK"/>
        </w:rPr>
      </w:pPr>
      <w:r w:rsidRPr="00921EF2">
        <w:rPr>
          <w:sz w:val="22"/>
          <w:szCs w:val="22"/>
          <w:lang w:val="sk-SK"/>
        </w:rPr>
        <w:t>Dennú dávku musí individuálne stanoviť a kontrolovať ošetrujúci lekár.</w:t>
      </w:r>
    </w:p>
    <w:p w14:paraId="1953D5D5" w14:textId="31B548E9" w:rsidR="005759F7" w:rsidRPr="00921EF2" w:rsidRDefault="005759F7" w:rsidP="00B124D9">
      <w:pPr>
        <w:pStyle w:val="TblTextLeft"/>
        <w:spacing w:before="0" w:after="0"/>
        <w:rPr>
          <w:rFonts w:ascii="Times New Roman" w:hAnsi="Times New Roman"/>
          <w:sz w:val="22"/>
          <w:szCs w:val="22"/>
          <w:lang w:val="sk-SK"/>
        </w:rPr>
      </w:pPr>
      <w:r w:rsidRPr="00921EF2">
        <w:rPr>
          <w:rFonts w:ascii="Times New Roman" w:hAnsi="Times New Roman"/>
          <w:sz w:val="22"/>
          <w:szCs w:val="22"/>
          <w:lang w:val="sk-SK"/>
        </w:rPr>
        <w:t xml:space="preserve">Úvodná odporúčaná denná dávka je 750 mg. Ďalej sa v klinických štúdiách ukázalo, že z hľadiska bezpečnostného profilu je akceptovateľná aj úvodná dávka 20 mg </w:t>
      </w:r>
      <w:r w:rsidR="0023483F" w:rsidRPr="00921EF2">
        <w:rPr>
          <w:rFonts w:ascii="Times New Roman" w:hAnsi="Times New Roman"/>
          <w:sz w:val="22"/>
          <w:szCs w:val="22"/>
          <w:lang w:val="sk-SK"/>
        </w:rPr>
        <w:t>valproát</w:t>
      </w:r>
      <w:r w:rsidRPr="00921EF2">
        <w:rPr>
          <w:rFonts w:ascii="Times New Roman" w:hAnsi="Times New Roman"/>
          <w:sz w:val="22"/>
          <w:szCs w:val="22"/>
          <w:lang w:val="sk-SK"/>
        </w:rPr>
        <w:t>u/kg telesnej hmotnosti.</w:t>
      </w:r>
    </w:p>
    <w:p w14:paraId="403EFB5C" w14:textId="77777777" w:rsidR="005759F7" w:rsidRPr="00921EF2" w:rsidRDefault="005759F7" w:rsidP="00B124D9">
      <w:pPr>
        <w:pStyle w:val="TblTextLeft"/>
        <w:spacing w:before="0" w:after="0"/>
        <w:rPr>
          <w:rFonts w:ascii="Times New Roman" w:hAnsi="Times New Roman"/>
          <w:sz w:val="22"/>
          <w:szCs w:val="22"/>
          <w:lang w:val="sk-SK"/>
        </w:rPr>
      </w:pPr>
      <w:r w:rsidRPr="00921EF2">
        <w:rPr>
          <w:rFonts w:ascii="Times New Roman" w:hAnsi="Times New Roman"/>
          <w:sz w:val="22"/>
          <w:szCs w:val="22"/>
          <w:lang w:val="sk-SK"/>
        </w:rPr>
        <w:t>Formy s predĺženým uvoľňovaním sa môžu podávať jedenkrát alebo dvakrát denne.</w:t>
      </w:r>
    </w:p>
    <w:p w14:paraId="4B3DCDFD" w14:textId="77777777" w:rsidR="005759F7" w:rsidRPr="00921EF2" w:rsidRDefault="005759F7" w:rsidP="00B124D9">
      <w:pPr>
        <w:pStyle w:val="TblTextLeft"/>
        <w:spacing w:before="0" w:after="0"/>
        <w:rPr>
          <w:rFonts w:ascii="Times New Roman" w:hAnsi="Times New Roman"/>
          <w:sz w:val="22"/>
          <w:szCs w:val="22"/>
          <w:lang w:val="sk-SK"/>
        </w:rPr>
      </w:pPr>
      <w:r w:rsidRPr="00921EF2">
        <w:rPr>
          <w:rFonts w:ascii="Times New Roman" w:hAnsi="Times New Roman"/>
          <w:sz w:val="22"/>
          <w:szCs w:val="22"/>
          <w:lang w:val="sk-SK"/>
        </w:rPr>
        <w:t>Dávka sa má zvyšovať tak rýchlo ako je to možné, aby sa dosiahli najnižšie terapeutické dávky s požadovaným klinickým účinkom. Denná dávka sa musí upraviť podľa klinickej odpovede, aby sa stanovila najnižšia účinná dávka individuálne pre každého pacienta.</w:t>
      </w:r>
    </w:p>
    <w:p w14:paraId="1D144D63" w14:textId="27DE44EB" w:rsidR="005759F7" w:rsidRPr="00921EF2" w:rsidRDefault="005759F7" w:rsidP="00B124D9">
      <w:pPr>
        <w:pStyle w:val="TblTextLeft"/>
        <w:spacing w:before="0" w:after="0"/>
        <w:rPr>
          <w:rFonts w:ascii="Times New Roman" w:hAnsi="Times New Roman"/>
          <w:sz w:val="22"/>
          <w:szCs w:val="22"/>
          <w:lang w:val="sk-SK"/>
        </w:rPr>
      </w:pPr>
      <w:r w:rsidRPr="00921EF2">
        <w:rPr>
          <w:rFonts w:ascii="Times New Roman" w:hAnsi="Times New Roman"/>
          <w:sz w:val="22"/>
          <w:szCs w:val="22"/>
          <w:lang w:val="sk-SK"/>
        </w:rPr>
        <w:lastRenderedPageBreak/>
        <w:t xml:space="preserve">Priemerná denná dávka sa pohybuje obvykle v rozsahu medzi 1 000 a 2 000 mg </w:t>
      </w:r>
      <w:r w:rsidR="0023483F" w:rsidRPr="00921EF2">
        <w:rPr>
          <w:rFonts w:ascii="Times New Roman" w:hAnsi="Times New Roman"/>
          <w:sz w:val="22"/>
          <w:szCs w:val="22"/>
          <w:lang w:val="sk-SK"/>
        </w:rPr>
        <w:t>valproát</w:t>
      </w:r>
      <w:r w:rsidRPr="00921EF2">
        <w:rPr>
          <w:rFonts w:ascii="Times New Roman" w:hAnsi="Times New Roman"/>
          <w:sz w:val="22"/>
          <w:szCs w:val="22"/>
          <w:lang w:val="sk-SK"/>
        </w:rPr>
        <w:t>u. Pacienti užívajúci denné dávky vyššie ako 45 mg/kg/deň telesnej hmotnosti musia byť dôkladne monitorovaní.</w:t>
      </w:r>
    </w:p>
    <w:p w14:paraId="2EE986B6" w14:textId="77777777" w:rsidR="005759F7" w:rsidRPr="00921EF2" w:rsidRDefault="005759F7" w:rsidP="00B124D9">
      <w:pPr>
        <w:pStyle w:val="TblTextLeft"/>
        <w:spacing w:before="0" w:after="0"/>
        <w:rPr>
          <w:rFonts w:ascii="Times New Roman" w:hAnsi="Times New Roman"/>
          <w:sz w:val="22"/>
          <w:szCs w:val="22"/>
          <w:lang w:val="sk-SK"/>
        </w:rPr>
      </w:pPr>
      <w:r w:rsidRPr="00921EF2">
        <w:rPr>
          <w:rFonts w:ascii="Times New Roman" w:hAnsi="Times New Roman"/>
          <w:sz w:val="22"/>
          <w:szCs w:val="22"/>
          <w:lang w:val="sk-SK"/>
        </w:rPr>
        <w:t>Pokračovanie liečby manických epizód v bipolárnej afektívnej poruche sa musí upraviť individuálne, s použitím najnižšej účinnej dávky.</w:t>
      </w:r>
    </w:p>
    <w:p w14:paraId="4FE1D35A" w14:textId="77777777" w:rsidR="005759F7" w:rsidRPr="00921EF2" w:rsidRDefault="005759F7" w:rsidP="00B124D9">
      <w:pPr>
        <w:pStyle w:val="TblTextLeft"/>
        <w:spacing w:before="0" w:after="0"/>
        <w:rPr>
          <w:rFonts w:ascii="Times New Roman" w:hAnsi="Times New Roman"/>
          <w:i/>
          <w:iCs/>
          <w:sz w:val="22"/>
          <w:szCs w:val="22"/>
          <w:lang w:val="sk-SK"/>
        </w:rPr>
      </w:pPr>
    </w:p>
    <w:p w14:paraId="2575F85E" w14:textId="77777777" w:rsidR="005759F7" w:rsidRPr="00921EF2" w:rsidRDefault="00333023" w:rsidP="00B124D9">
      <w:pPr>
        <w:pStyle w:val="TblTextLeft"/>
        <w:spacing w:before="0" w:after="0"/>
        <w:rPr>
          <w:rFonts w:ascii="Times New Roman" w:hAnsi="Times New Roman"/>
          <w:i/>
          <w:sz w:val="22"/>
          <w:szCs w:val="22"/>
          <w:lang w:val="sk-SK"/>
        </w:rPr>
      </w:pPr>
      <w:r w:rsidRPr="00921EF2">
        <w:rPr>
          <w:rFonts w:ascii="Times New Roman" w:hAnsi="Times New Roman"/>
          <w:i/>
          <w:sz w:val="22"/>
          <w:szCs w:val="22"/>
          <w:lang w:val="sk-SK"/>
        </w:rPr>
        <w:t>Pediatrická populácia</w:t>
      </w:r>
    </w:p>
    <w:p w14:paraId="39C5EB5E" w14:textId="1506BE18" w:rsidR="005759F7" w:rsidRPr="00921EF2" w:rsidRDefault="005759F7" w:rsidP="005C64C0">
      <w:pPr>
        <w:tabs>
          <w:tab w:val="left" w:pos="709"/>
          <w:tab w:val="right" w:leader="dot" w:pos="6804"/>
        </w:tabs>
        <w:rPr>
          <w:sz w:val="22"/>
          <w:szCs w:val="22"/>
          <w:lang w:val="sk-SK"/>
        </w:rPr>
      </w:pPr>
      <w:r w:rsidRPr="00921EF2">
        <w:rPr>
          <w:sz w:val="22"/>
          <w:szCs w:val="22"/>
          <w:lang w:val="sk-SK"/>
        </w:rPr>
        <w:t xml:space="preserve">Bezpečnosť a účinnosť </w:t>
      </w:r>
      <w:r w:rsidR="00090C02" w:rsidRPr="00921EF2">
        <w:rPr>
          <w:sz w:val="22"/>
          <w:szCs w:val="22"/>
          <w:lang w:val="sk-SK"/>
        </w:rPr>
        <w:t>Orfiril</w:t>
      </w:r>
      <w:r w:rsidR="00C36FE5" w:rsidRPr="00921EF2">
        <w:rPr>
          <w:sz w:val="22"/>
          <w:szCs w:val="22"/>
          <w:lang w:val="sk-SK"/>
        </w:rPr>
        <w:t>u</w:t>
      </w:r>
      <w:r w:rsidR="00090C02" w:rsidRPr="00921EF2">
        <w:rPr>
          <w:sz w:val="22"/>
          <w:szCs w:val="22"/>
          <w:lang w:val="sk-SK"/>
        </w:rPr>
        <w:t xml:space="preserve"> long </w:t>
      </w:r>
      <w:r w:rsidRPr="00921EF2">
        <w:rPr>
          <w:sz w:val="22"/>
          <w:szCs w:val="22"/>
          <w:lang w:val="sk-SK"/>
        </w:rPr>
        <w:t>na liečbu manických epizód bipolárnej afektívnej poruchy u pacientov vo veku do 18 rokov nebola stanovená.</w:t>
      </w:r>
    </w:p>
    <w:p w14:paraId="78E337FB" w14:textId="77777777" w:rsidR="004E2AD3" w:rsidRPr="00921EF2" w:rsidRDefault="004E2AD3" w:rsidP="00B124D9">
      <w:pPr>
        <w:rPr>
          <w:rFonts w:eastAsia="Calibri"/>
          <w:sz w:val="22"/>
          <w:szCs w:val="22"/>
          <w:lang w:val="sk-SK"/>
        </w:rPr>
      </w:pPr>
    </w:p>
    <w:p w14:paraId="3FE79949" w14:textId="77777777" w:rsidR="00296C1D" w:rsidRPr="00921EF2" w:rsidRDefault="00296C1D" w:rsidP="00B124D9">
      <w:pPr>
        <w:rPr>
          <w:rFonts w:eastAsia="Calibri"/>
          <w:sz w:val="22"/>
          <w:szCs w:val="22"/>
          <w:u w:val="single"/>
          <w:lang w:eastAsia="en-US"/>
        </w:rPr>
      </w:pPr>
      <w:r w:rsidRPr="00921EF2">
        <w:rPr>
          <w:rFonts w:eastAsia="Calibri"/>
          <w:noProof/>
          <w:sz w:val="22"/>
          <w:szCs w:val="22"/>
          <w:u w:val="single"/>
          <w:lang w:val="sk-SK" w:eastAsia="en-US"/>
        </w:rPr>
        <w:t>Dievčatá v detskom veku, ženy vo fertilnom veku</w:t>
      </w:r>
    </w:p>
    <w:p w14:paraId="32F05E29" w14:textId="63918264" w:rsidR="00296C1D" w:rsidRPr="00921EF2" w:rsidRDefault="00296C1D" w:rsidP="00B124D9">
      <w:pPr>
        <w:rPr>
          <w:rFonts w:eastAsia="Calibri"/>
          <w:sz w:val="22"/>
          <w:szCs w:val="22"/>
          <w:lang w:eastAsia="en-US"/>
        </w:rPr>
      </w:pPr>
      <w:r w:rsidRPr="00921EF2">
        <w:rPr>
          <w:rFonts w:eastAsia="Calibri"/>
          <w:noProof/>
          <w:sz w:val="22"/>
          <w:szCs w:val="22"/>
          <w:lang w:val="sk-SK" w:eastAsia="en-US"/>
        </w:rPr>
        <w:t xml:space="preserve">Liečbu </w:t>
      </w:r>
      <w:r w:rsidR="0023483F" w:rsidRPr="00921EF2">
        <w:rPr>
          <w:rFonts w:eastAsia="Calibri"/>
          <w:noProof/>
          <w:sz w:val="22"/>
          <w:szCs w:val="22"/>
          <w:lang w:val="sk-SK" w:eastAsia="en-US"/>
        </w:rPr>
        <w:t>valproát</w:t>
      </w:r>
      <w:r w:rsidRPr="00921EF2">
        <w:rPr>
          <w:rFonts w:eastAsia="Calibri"/>
          <w:noProof/>
          <w:sz w:val="22"/>
          <w:szCs w:val="22"/>
          <w:lang w:val="sk-SK" w:eastAsia="en-US"/>
        </w:rPr>
        <w:t xml:space="preserve">om musí začať a ďalej sledovať špecialista so skúsenosťami s liečbou epilepsie alebo bipolárnej poruchy. </w:t>
      </w:r>
      <w:r w:rsidR="0023483F" w:rsidRPr="00921EF2">
        <w:rPr>
          <w:rFonts w:eastAsia="Calibri"/>
          <w:noProof/>
          <w:sz w:val="22"/>
          <w:szCs w:val="22"/>
          <w:lang w:val="sk-SK" w:eastAsia="en-US"/>
        </w:rPr>
        <w:t>Valproát</w:t>
      </w:r>
      <w:r w:rsidRPr="00921EF2">
        <w:rPr>
          <w:rFonts w:eastAsia="Calibri"/>
          <w:noProof/>
          <w:sz w:val="22"/>
          <w:szCs w:val="22"/>
          <w:lang w:val="sk-SK" w:eastAsia="en-US"/>
        </w:rPr>
        <w:t xml:space="preserve"> sa má používať na liečbu u dievčat v detskom veku a žien vo fertilnom veku iba v prípade, pokiaľ nie sú účinné iné spôsoby liečby alebo ich pacientka netoleruje.</w:t>
      </w:r>
    </w:p>
    <w:p w14:paraId="4A59202A" w14:textId="0A12DBD9" w:rsidR="00296C1D" w:rsidRPr="00921EF2" w:rsidRDefault="0023483F" w:rsidP="00B124D9">
      <w:pPr>
        <w:rPr>
          <w:rFonts w:eastAsia="Calibri"/>
          <w:sz w:val="22"/>
          <w:szCs w:val="22"/>
          <w:lang w:eastAsia="en-US"/>
        </w:rPr>
      </w:pPr>
      <w:r w:rsidRPr="00921EF2">
        <w:rPr>
          <w:rFonts w:eastAsia="Calibri"/>
          <w:noProof/>
          <w:sz w:val="22"/>
          <w:szCs w:val="22"/>
          <w:lang w:val="sk-SK" w:eastAsia="en-US"/>
        </w:rPr>
        <w:t>Valproát</w:t>
      </w:r>
      <w:r w:rsidR="00296C1D" w:rsidRPr="00921EF2">
        <w:rPr>
          <w:rFonts w:eastAsia="Calibri"/>
          <w:noProof/>
          <w:sz w:val="22"/>
          <w:szCs w:val="22"/>
          <w:lang w:val="sk-SK" w:eastAsia="en-US"/>
        </w:rPr>
        <w:t xml:space="preserve"> sa predpisuje a vydáva v súlade s Programom </w:t>
      </w:r>
      <w:r w:rsidR="00746D2E" w:rsidRPr="00921EF2">
        <w:rPr>
          <w:rFonts w:eastAsia="Calibri"/>
          <w:noProof/>
          <w:sz w:val="22"/>
          <w:szCs w:val="22"/>
          <w:lang w:val="sk-SK" w:eastAsia="en-US"/>
        </w:rPr>
        <w:t xml:space="preserve">prevencie </w:t>
      </w:r>
      <w:r w:rsidR="00296C1D" w:rsidRPr="00921EF2">
        <w:rPr>
          <w:rFonts w:eastAsia="Calibri"/>
          <w:noProof/>
          <w:sz w:val="22"/>
          <w:szCs w:val="22"/>
          <w:lang w:val="sk-SK" w:eastAsia="en-US"/>
        </w:rPr>
        <w:t xml:space="preserve">tehotenstva týkajúceho sa </w:t>
      </w:r>
      <w:r w:rsidRPr="00921EF2">
        <w:rPr>
          <w:rFonts w:eastAsia="Calibri"/>
          <w:noProof/>
          <w:sz w:val="22"/>
          <w:szCs w:val="22"/>
          <w:lang w:val="sk-SK" w:eastAsia="en-US"/>
        </w:rPr>
        <w:t>valproát</w:t>
      </w:r>
      <w:r w:rsidR="00296C1D" w:rsidRPr="00921EF2">
        <w:rPr>
          <w:rFonts w:eastAsia="Calibri"/>
          <w:noProof/>
          <w:sz w:val="22"/>
          <w:szCs w:val="22"/>
          <w:lang w:val="sk-SK" w:eastAsia="en-US"/>
        </w:rPr>
        <w:t>u (pozri časti 4.3 a 4.4).</w:t>
      </w:r>
    </w:p>
    <w:p w14:paraId="5833B9DB" w14:textId="77777777" w:rsidR="00AD5D3D" w:rsidRPr="00921EF2" w:rsidRDefault="00AD5D3D" w:rsidP="00B124D9">
      <w:pPr>
        <w:rPr>
          <w:rFonts w:eastAsia="Calibri"/>
          <w:sz w:val="22"/>
          <w:szCs w:val="22"/>
          <w:lang w:val="sk-SK" w:eastAsia="en-US"/>
        </w:rPr>
      </w:pPr>
    </w:p>
    <w:p w14:paraId="536DF527" w14:textId="1088D925" w:rsidR="00296C1D" w:rsidRPr="00921EF2" w:rsidRDefault="0023483F" w:rsidP="00B124D9">
      <w:pPr>
        <w:rPr>
          <w:rFonts w:eastAsia="Calibri"/>
          <w:sz w:val="22"/>
          <w:szCs w:val="22"/>
          <w:lang w:eastAsia="en-US"/>
        </w:rPr>
      </w:pPr>
      <w:r w:rsidRPr="00921EF2">
        <w:rPr>
          <w:rFonts w:eastAsia="Calibri"/>
          <w:noProof/>
          <w:sz w:val="22"/>
          <w:szCs w:val="22"/>
          <w:lang w:val="sk-SK" w:eastAsia="en-US"/>
        </w:rPr>
        <w:t>Valproát</w:t>
      </w:r>
      <w:r w:rsidR="00296C1D" w:rsidRPr="00921EF2">
        <w:rPr>
          <w:rFonts w:eastAsia="Calibri"/>
          <w:noProof/>
          <w:sz w:val="22"/>
          <w:szCs w:val="22"/>
          <w:lang w:val="sk-SK" w:eastAsia="en-US"/>
        </w:rPr>
        <w:t xml:space="preserve"> sa má prednostne predpisovať ako monoterapia a v najnižšej účinnej dávke, pokiaľ možno vo forme s predĺženým uvoľňovaním. Denná dávka sa má rozdeliť na najmenej dve jednotlivé dávky (pozri časť 4.6).</w:t>
      </w:r>
    </w:p>
    <w:p w14:paraId="3C62B6E7" w14:textId="77777777" w:rsidR="00977BF3" w:rsidRPr="00921EF2" w:rsidRDefault="00977BF3" w:rsidP="005C64C0">
      <w:pPr>
        <w:rPr>
          <w:b/>
          <w:bCs/>
          <w:sz w:val="22"/>
          <w:szCs w:val="22"/>
          <w:lang w:val="sk-SK"/>
        </w:rPr>
      </w:pPr>
    </w:p>
    <w:p w14:paraId="320F9EAD" w14:textId="77777777" w:rsidR="00977BF3" w:rsidRPr="00921EF2" w:rsidRDefault="00977BF3" w:rsidP="00B124D9">
      <w:pPr>
        <w:pStyle w:val="Nadpis5"/>
        <w:jc w:val="left"/>
        <w:rPr>
          <w:rFonts w:ascii="Times New Roman" w:hAnsi="Times New Roman" w:cs="Times New Roman"/>
          <w:sz w:val="22"/>
          <w:szCs w:val="22"/>
        </w:rPr>
      </w:pPr>
      <w:r w:rsidRPr="00921EF2">
        <w:rPr>
          <w:rFonts w:ascii="Times New Roman" w:hAnsi="Times New Roman" w:cs="Times New Roman"/>
          <w:sz w:val="22"/>
          <w:szCs w:val="22"/>
        </w:rPr>
        <w:t>Spôsob pod</w:t>
      </w:r>
      <w:r w:rsidR="005C1194" w:rsidRPr="00921EF2">
        <w:rPr>
          <w:rFonts w:ascii="Times New Roman" w:hAnsi="Times New Roman" w:cs="Times New Roman"/>
          <w:sz w:val="22"/>
          <w:szCs w:val="22"/>
        </w:rPr>
        <w:t>ávania</w:t>
      </w:r>
    </w:p>
    <w:p w14:paraId="1C4715C3" w14:textId="77777777" w:rsidR="00090C02" w:rsidRPr="00921EF2" w:rsidRDefault="00090C02" w:rsidP="00090C02">
      <w:pPr>
        <w:rPr>
          <w:spacing w:val="-3"/>
          <w:sz w:val="22"/>
          <w:szCs w:val="22"/>
          <w:lang w:val="sk-SK"/>
        </w:rPr>
      </w:pPr>
      <w:r w:rsidRPr="00921EF2">
        <w:rPr>
          <w:spacing w:val="-3"/>
          <w:sz w:val="22"/>
          <w:szCs w:val="22"/>
          <w:lang w:val="sk-SK"/>
        </w:rPr>
        <w:t>Denná dávka sa má podať v 1-2 jednotlivých dávkach.</w:t>
      </w:r>
    </w:p>
    <w:p w14:paraId="6E1A952E" w14:textId="77777777" w:rsidR="00090C02" w:rsidRPr="00921EF2" w:rsidRDefault="00090C02" w:rsidP="00090C02">
      <w:pPr>
        <w:rPr>
          <w:spacing w:val="-3"/>
          <w:sz w:val="22"/>
          <w:szCs w:val="22"/>
          <w:lang w:val="sk-SK"/>
        </w:rPr>
      </w:pPr>
    </w:p>
    <w:p w14:paraId="0CDA0086" w14:textId="6CFF1497" w:rsidR="00090C02" w:rsidRPr="00921EF2" w:rsidRDefault="00090C02" w:rsidP="00090C02">
      <w:pPr>
        <w:rPr>
          <w:sz w:val="22"/>
          <w:szCs w:val="22"/>
          <w:lang w:val="sk-SK"/>
        </w:rPr>
      </w:pPr>
      <w:r w:rsidRPr="00921EF2">
        <w:rPr>
          <w:sz w:val="22"/>
          <w:szCs w:val="22"/>
          <w:lang w:val="sk-SK"/>
        </w:rPr>
        <w:t xml:space="preserve">Kapsuly Orfiril long sa môžu prehltnúť celé, a majú sa zapiť dostatočným množstvom tekutiny. Kapsuly sa môžu otvoriť, a ich obsah sa môže podať zamiešaním do mäkkého jedla. Tento spôsob užívania je obzvlášť vhodný u pacientov s ťažkosťami </w:t>
      </w:r>
      <w:r w:rsidR="00331F95" w:rsidRPr="00921EF2">
        <w:rPr>
          <w:sz w:val="22"/>
          <w:szCs w:val="22"/>
          <w:lang w:val="sk-SK"/>
        </w:rPr>
        <w:t xml:space="preserve">s </w:t>
      </w:r>
      <w:r w:rsidRPr="00921EF2">
        <w:rPr>
          <w:sz w:val="22"/>
          <w:szCs w:val="22"/>
          <w:lang w:val="sk-SK"/>
        </w:rPr>
        <w:t>preh</w:t>
      </w:r>
      <w:r w:rsidR="00331F95" w:rsidRPr="00921EF2">
        <w:rPr>
          <w:sz w:val="22"/>
          <w:szCs w:val="22"/>
          <w:lang w:val="sk-SK"/>
        </w:rPr>
        <w:t>ĺtaním</w:t>
      </w:r>
      <w:r w:rsidRPr="00921EF2">
        <w:rPr>
          <w:sz w:val="22"/>
          <w:szCs w:val="22"/>
          <w:lang w:val="sk-SK"/>
        </w:rPr>
        <w:t>, napr. u detí.</w:t>
      </w:r>
    </w:p>
    <w:p w14:paraId="2252BD11" w14:textId="77777777" w:rsidR="00090C02" w:rsidRPr="00921EF2" w:rsidRDefault="00090C02" w:rsidP="00090C02">
      <w:pPr>
        <w:rPr>
          <w:sz w:val="22"/>
          <w:szCs w:val="22"/>
          <w:lang w:val="sk-SK"/>
        </w:rPr>
      </w:pPr>
    </w:p>
    <w:p w14:paraId="5B2C0B58" w14:textId="0F9E687B" w:rsidR="00090C02" w:rsidRPr="00921EF2" w:rsidRDefault="00090C02" w:rsidP="00090C02">
      <w:pPr>
        <w:rPr>
          <w:sz w:val="22"/>
          <w:szCs w:val="22"/>
          <w:lang w:val="sk-SK"/>
        </w:rPr>
      </w:pPr>
      <w:r w:rsidRPr="00921EF2">
        <w:rPr>
          <w:sz w:val="22"/>
          <w:szCs w:val="22"/>
          <w:lang w:val="sk-SK"/>
        </w:rPr>
        <w:t xml:space="preserve">Minitablety s predĺženým uvoľňovaním Orfiril long sa prehĺtajú s tekutinou (napr. minerálnou vodou) alebo sa môžu zamiešať do mäkkého jedla, ako je napr. jogurt alebo puding. Tento spôsob užívania je obzvlášť vhodný u pacientov s ťažkosťami </w:t>
      </w:r>
      <w:r w:rsidR="00331F95" w:rsidRPr="00921EF2">
        <w:rPr>
          <w:sz w:val="22"/>
          <w:szCs w:val="22"/>
          <w:lang w:val="sk-SK"/>
        </w:rPr>
        <w:t xml:space="preserve">s </w:t>
      </w:r>
      <w:r w:rsidRPr="00921EF2">
        <w:rPr>
          <w:sz w:val="22"/>
          <w:szCs w:val="22"/>
          <w:lang w:val="sk-SK"/>
        </w:rPr>
        <w:t>preh</w:t>
      </w:r>
      <w:r w:rsidR="00331F95" w:rsidRPr="00921EF2">
        <w:rPr>
          <w:sz w:val="22"/>
          <w:szCs w:val="22"/>
          <w:lang w:val="sk-SK"/>
        </w:rPr>
        <w:t>ĺtaním</w:t>
      </w:r>
      <w:r w:rsidRPr="00921EF2">
        <w:rPr>
          <w:sz w:val="22"/>
          <w:szCs w:val="22"/>
          <w:lang w:val="sk-SK"/>
        </w:rPr>
        <w:t xml:space="preserve"> (napr. dojčatá).</w:t>
      </w:r>
    </w:p>
    <w:p w14:paraId="43BC0476" w14:textId="4B1AE8E3" w:rsidR="00090C02" w:rsidRPr="00921EF2" w:rsidRDefault="00090C02" w:rsidP="00B124D9">
      <w:pPr>
        <w:rPr>
          <w:sz w:val="22"/>
          <w:szCs w:val="22"/>
          <w:lang w:val="sk-SK"/>
        </w:rPr>
      </w:pPr>
      <w:r w:rsidRPr="00921EF2">
        <w:rPr>
          <w:sz w:val="22"/>
          <w:szCs w:val="22"/>
          <w:lang w:val="sk-SK"/>
        </w:rPr>
        <w:t>Vo všetkých týchto prípadoch sa liek nesmie rozhrýzť, lebo môže dôjsť k zhoršeniu účinku predĺženého uvoľňovania.</w:t>
      </w:r>
    </w:p>
    <w:p w14:paraId="1F040660" w14:textId="77777777" w:rsidR="00090C02" w:rsidRPr="00921EF2" w:rsidRDefault="00090C02" w:rsidP="00B124D9">
      <w:pPr>
        <w:rPr>
          <w:sz w:val="22"/>
          <w:szCs w:val="22"/>
          <w:lang w:val="sk-SK"/>
        </w:rPr>
      </w:pPr>
    </w:p>
    <w:p w14:paraId="78754CBD"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4.3</w:t>
      </w:r>
      <w:r w:rsidR="004668B5" w:rsidRPr="00921EF2">
        <w:rPr>
          <w:rFonts w:ascii="Times New Roman" w:hAnsi="Times New Roman" w:cs="Times New Roman"/>
          <w:sz w:val="22"/>
          <w:szCs w:val="22"/>
        </w:rPr>
        <w:tab/>
      </w:r>
      <w:r w:rsidRPr="00921EF2">
        <w:rPr>
          <w:rFonts w:ascii="Times New Roman" w:hAnsi="Times New Roman" w:cs="Times New Roman"/>
          <w:sz w:val="22"/>
          <w:szCs w:val="22"/>
        </w:rPr>
        <w:t>Kontraindikácie</w:t>
      </w:r>
    </w:p>
    <w:p w14:paraId="470DF3E2" w14:textId="77777777" w:rsidR="00977BF3" w:rsidRPr="00921EF2" w:rsidRDefault="00977BF3" w:rsidP="00B124D9">
      <w:pPr>
        <w:keepNext/>
        <w:rPr>
          <w:sz w:val="22"/>
          <w:szCs w:val="22"/>
          <w:lang w:val="sk-SK"/>
        </w:rPr>
      </w:pPr>
    </w:p>
    <w:p w14:paraId="7D51FD70" w14:textId="77777777" w:rsidR="00483FA8" w:rsidRPr="00921EF2" w:rsidRDefault="004601F1" w:rsidP="00B124D9">
      <w:pPr>
        <w:numPr>
          <w:ilvl w:val="0"/>
          <w:numId w:val="3"/>
        </w:numPr>
        <w:tabs>
          <w:tab w:val="clear" w:pos="600"/>
          <w:tab w:val="num" w:pos="567"/>
        </w:tabs>
        <w:ind w:left="567" w:hanging="567"/>
        <w:rPr>
          <w:sz w:val="22"/>
          <w:szCs w:val="22"/>
          <w:lang w:val="sk-SK"/>
        </w:rPr>
      </w:pPr>
      <w:r w:rsidRPr="00921EF2">
        <w:rPr>
          <w:sz w:val="22"/>
          <w:szCs w:val="22"/>
          <w:lang w:val="sk-SK"/>
        </w:rPr>
        <w:t>Precitlivenosť na liečiv</w:t>
      </w:r>
      <w:r w:rsidR="006A3A4F" w:rsidRPr="00921EF2">
        <w:rPr>
          <w:sz w:val="22"/>
          <w:szCs w:val="22"/>
          <w:lang w:val="sk-SK"/>
        </w:rPr>
        <w:t>o</w:t>
      </w:r>
      <w:r w:rsidR="00483FA8" w:rsidRPr="00921EF2">
        <w:rPr>
          <w:sz w:val="22"/>
          <w:szCs w:val="22"/>
          <w:lang w:val="sk-SK"/>
        </w:rPr>
        <w:t xml:space="preserve"> alebo na </w:t>
      </w:r>
      <w:r w:rsidR="00483FA8" w:rsidRPr="00921EF2">
        <w:rPr>
          <w:noProof/>
          <w:sz w:val="22"/>
          <w:szCs w:val="22"/>
          <w:lang w:val="sk-SK"/>
        </w:rPr>
        <w:t>ktorúkoľvek</w:t>
      </w:r>
      <w:r w:rsidR="00483FA8" w:rsidRPr="00921EF2">
        <w:rPr>
          <w:sz w:val="22"/>
          <w:szCs w:val="22"/>
          <w:lang w:val="sk-SK"/>
        </w:rPr>
        <w:t xml:space="preserve"> z pomocných látok </w:t>
      </w:r>
      <w:r w:rsidR="00483FA8" w:rsidRPr="00921EF2">
        <w:rPr>
          <w:noProof/>
          <w:sz w:val="22"/>
          <w:szCs w:val="22"/>
          <w:lang w:val="sk-SK"/>
        </w:rPr>
        <w:t>uvedených v časti 6.1.</w:t>
      </w:r>
    </w:p>
    <w:p w14:paraId="4D74B7CF" w14:textId="77777777" w:rsidR="00977BF3" w:rsidRPr="00921EF2" w:rsidRDefault="00977BF3" w:rsidP="00B124D9">
      <w:pPr>
        <w:numPr>
          <w:ilvl w:val="0"/>
          <w:numId w:val="3"/>
        </w:numPr>
        <w:tabs>
          <w:tab w:val="clear" w:pos="600"/>
          <w:tab w:val="num" w:pos="567"/>
        </w:tabs>
        <w:ind w:left="567" w:hanging="567"/>
        <w:rPr>
          <w:sz w:val="22"/>
          <w:szCs w:val="22"/>
          <w:lang w:val="sk-SK"/>
        </w:rPr>
      </w:pPr>
      <w:r w:rsidRPr="00921EF2">
        <w:rPr>
          <w:sz w:val="22"/>
          <w:szCs w:val="22"/>
          <w:lang w:val="sk-SK"/>
        </w:rPr>
        <w:t>Akútna hepatitída</w:t>
      </w:r>
    </w:p>
    <w:p w14:paraId="11BC5F70" w14:textId="77777777" w:rsidR="00977BF3" w:rsidRPr="00921EF2" w:rsidRDefault="00977BF3" w:rsidP="00B124D9">
      <w:pPr>
        <w:numPr>
          <w:ilvl w:val="0"/>
          <w:numId w:val="3"/>
        </w:numPr>
        <w:tabs>
          <w:tab w:val="clear" w:pos="600"/>
          <w:tab w:val="num" w:pos="567"/>
        </w:tabs>
        <w:ind w:left="567" w:hanging="567"/>
        <w:rPr>
          <w:sz w:val="22"/>
          <w:szCs w:val="22"/>
          <w:lang w:val="sk-SK"/>
        </w:rPr>
      </w:pPr>
      <w:r w:rsidRPr="00921EF2">
        <w:rPr>
          <w:sz w:val="22"/>
          <w:szCs w:val="22"/>
          <w:lang w:val="sk-SK"/>
        </w:rPr>
        <w:t>Chronická hepatitída</w:t>
      </w:r>
    </w:p>
    <w:p w14:paraId="02A5F9FF" w14:textId="77777777" w:rsidR="00977BF3" w:rsidRPr="00921EF2" w:rsidRDefault="00110CC7" w:rsidP="00B124D9">
      <w:pPr>
        <w:numPr>
          <w:ilvl w:val="0"/>
          <w:numId w:val="3"/>
        </w:numPr>
        <w:tabs>
          <w:tab w:val="clear" w:pos="600"/>
          <w:tab w:val="num" w:pos="567"/>
        </w:tabs>
        <w:ind w:left="567" w:hanging="567"/>
        <w:rPr>
          <w:sz w:val="22"/>
          <w:szCs w:val="22"/>
          <w:lang w:val="sk-SK"/>
        </w:rPr>
      </w:pPr>
      <w:r w:rsidRPr="00921EF2">
        <w:rPr>
          <w:sz w:val="22"/>
          <w:szCs w:val="22"/>
          <w:lang w:val="sk-SK"/>
        </w:rPr>
        <w:t>Ťažká hepatitída v o</w:t>
      </w:r>
      <w:r w:rsidR="00977BF3" w:rsidRPr="00921EF2">
        <w:rPr>
          <w:sz w:val="22"/>
          <w:szCs w:val="22"/>
          <w:lang w:val="sk-SK"/>
        </w:rPr>
        <w:t>sobn</w:t>
      </w:r>
      <w:r w:rsidRPr="00921EF2">
        <w:rPr>
          <w:sz w:val="22"/>
          <w:szCs w:val="22"/>
          <w:lang w:val="sk-SK"/>
        </w:rPr>
        <w:t>ej</w:t>
      </w:r>
      <w:r w:rsidR="00977BF3" w:rsidRPr="00921EF2">
        <w:rPr>
          <w:sz w:val="22"/>
          <w:szCs w:val="22"/>
          <w:lang w:val="sk-SK"/>
        </w:rPr>
        <w:t xml:space="preserve"> alebo rodinn</w:t>
      </w:r>
      <w:r w:rsidRPr="00921EF2">
        <w:rPr>
          <w:sz w:val="22"/>
          <w:szCs w:val="22"/>
          <w:lang w:val="sk-SK"/>
        </w:rPr>
        <w:t>ej</w:t>
      </w:r>
      <w:r w:rsidR="00977BF3" w:rsidRPr="00921EF2">
        <w:rPr>
          <w:sz w:val="22"/>
          <w:szCs w:val="22"/>
          <w:lang w:val="sk-SK"/>
        </w:rPr>
        <w:t xml:space="preserve"> anamnéz</w:t>
      </w:r>
      <w:r w:rsidRPr="00921EF2">
        <w:rPr>
          <w:sz w:val="22"/>
          <w:szCs w:val="22"/>
          <w:lang w:val="sk-SK"/>
        </w:rPr>
        <w:t>e</w:t>
      </w:r>
      <w:r w:rsidR="00977BF3" w:rsidRPr="00921EF2">
        <w:rPr>
          <w:sz w:val="22"/>
          <w:szCs w:val="22"/>
          <w:lang w:val="sk-SK"/>
        </w:rPr>
        <w:t>, spôsoben</w:t>
      </w:r>
      <w:r w:rsidRPr="00921EF2">
        <w:rPr>
          <w:sz w:val="22"/>
          <w:szCs w:val="22"/>
          <w:lang w:val="sk-SK"/>
        </w:rPr>
        <w:t>á najmä</w:t>
      </w:r>
      <w:r w:rsidR="00977BF3" w:rsidRPr="00921EF2">
        <w:rPr>
          <w:sz w:val="22"/>
          <w:szCs w:val="22"/>
          <w:lang w:val="sk-SK"/>
        </w:rPr>
        <w:t xml:space="preserve"> liekmi</w:t>
      </w:r>
    </w:p>
    <w:p w14:paraId="347468DB" w14:textId="77777777" w:rsidR="00977BF3" w:rsidRPr="00921EF2" w:rsidRDefault="00977BF3" w:rsidP="00B124D9">
      <w:pPr>
        <w:numPr>
          <w:ilvl w:val="0"/>
          <w:numId w:val="4"/>
        </w:numPr>
        <w:tabs>
          <w:tab w:val="clear" w:pos="600"/>
          <w:tab w:val="num" w:pos="567"/>
        </w:tabs>
        <w:ind w:left="567" w:hanging="567"/>
        <w:rPr>
          <w:sz w:val="22"/>
          <w:szCs w:val="22"/>
          <w:lang w:val="sk-SK"/>
        </w:rPr>
      </w:pPr>
      <w:r w:rsidRPr="00921EF2">
        <w:rPr>
          <w:sz w:val="22"/>
          <w:szCs w:val="22"/>
          <w:lang w:val="sk-SK"/>
        </w:rPr>
        <w:t>Hepatálna porfýria</w:t>
      </w:r>
    </w:p>
    <w:p w14:paraId="70E75C65" w14:textId="62651AC3" w:rsidR="004E2AD3" w:rsidRPr="00921EF2" w:rsidRDefault="0023483F" w:rsidP="00B124D9">
      <w:pPr>
        <w:numPr>
          <w:ilvl w:val="0"/>
          <w:numId w:val="4"/>
        </w:numPr>
        <w:tabs>
          <w:tab w:val="clear" w:pos="600"/>
          <w:tab w:val="num" w:pos="567"/>
        </w:tabs>
        <w:ind w:left="567" w:hanging="567"/>
        <w:rPr>
          <w:sz w:val="22"/>
          <w:szCs w:val="22"/>
          <w:lang w:val="sk-SK"/>
        </w:rPr>
      </w:pPr>
      <w:r w:rsidRPr="00921EF2">
        <w:rPr>
          <w:sz w:val="22"/>
          <w:szCs w:val="22"/>
          <w:lang w:val="sk-SK"/>
        </w:rPr>
        <w:t>Valproát</w:t>
      </w:r>
      <w:r w:rsidR="004E2AD3" w:rsidRPr="00921EF2">
        <w:rPr>
          <w:sz w:val="22"/>
          <w:szCs w:val="22"/>
          <w:lang w:val="sk-SK"/>
        </w:rPr>
        <w:t xml:space="preserve"> je kontraindikovaný u pacientov so známymi mitochondriálnymi poruchami zapríčinenými mutáciou jadrového génu kódujúceho mitochondriálny enzým polymerázu γ (POLG), ako je napr. Alpersov-Huttenlocherov syndróm, a u detí mladších ako dva roky, u</w:t>
      </w:r>
      <w:r w:rsidR="001F5235" w:rsidRPr="00921EF2">
        <w:rPr>
          <w:sz w:val="22"/>
          <w:szCs w:val="22"/>
          <w:lang w:val="sk-SK"/>
        </w:rPr>
        <w:t> </w:t>
      </w:r>
      <w:r w:rsidR="004E2AD3" w:rsidRPr="00921EF2">
        <w:rPr>
          <w:sz w:val="22"/>
          <w:szCs w:val="22"/>
          <w:lang w:val="sk-SK"/>
        </w:rPr>
        <w:t>ktorých je podozrenie, že majú poruchu súvisiacu s POLG (pozri časť 4.4)</w:t>
      </w:r>
    </w:p>
    <w:p w14:paraId="76D0806E" w14:textId="77777777" w:rsidR="004E2AD3" w:rsidRPr="00921EF2" w:rsidRDefault="004E2AD3" w:rsidP="00B124D9">
      <w:pPr>
        <w:numPr>
          <w:ilvl w:val="0"/>
          <w:numId w:val="4"/>
        </w:numPr>
        <w:tabs>
          <w:tab w:val="clear" w:pos="600"/>
          <w:tab w:val="num" w:pos="567"/>
        </w:tabs>
        <w:ind w:left="567" w:hanging="567"/>
        <w:rPr>
          <w:sz w:val="22"/>
          <w:szCs w:val="22"/>
          <w:lang w:val="sk-SK"/>
        </w:rPr>
      </w:pPr>
      <w:r w:rsidRPr="00921EF2">
        <w:rPr>
          <w:sz w:val="22"/>
          <w:szCs w:val="22"/>
          <w:lang w:val="sk-SK"/>
        </w:rPr>
        <w:t>Poruchy cyklu močoviny (pozri časť 4.4)</w:t>
      </w:r>
    </w:p>
    <w:p w14:paraId="37DBF1F9" w14:textId="77777777" w:rsidR="00296C1D" w:rsidRPr="00921EF2" w:rsidRDefault="00296C1D" w:rsidP="00B124D9">
      <w:pPr>
        <w:numPr>
          <w:ilvl w:val="0"/>
          <w:numId w:val="4"/>
        </w:numPr>
        <w:tabs>
          <w:tab w:val="clear" w:pos="600"/>
          <w:tab w:val="num" w:pos="567"/>
        </w:tabs>
        <w:ind w:left="567" w:hanging="567"/>
        <w:rPr>
          <w:rFonts w:eastAsia="Calibri"/>
          <w:i/>
          <w:sz w:val="22"/>
          <w:szCs w:val="22"/>
          <w:lang w:val="sk-SK" w:eastAsia="en-US"/>
        </w:rPr>
      </w:pPr>
      <w:r w:rsidRPr="00921EF2">
        <w:rPr>
          <w:rFonts w:eastAsia="Calibri"/>
          <w:sz w:val="22"/>
          <w:szCs w:val="22"/>
          <w:lang w:val="sk-SK" w:eastAsia="en-US"/>
        </w:rPr>
        <w:t>Počas tehotenstva, pokiaľ existuje iná vhodná alternatívna liečba epilepsie (pozri časti 4.4 a 4.6)</w:t>
      </w:r>
    </w:p>
    <w:p w14:paraId="0BDEBA99" w14:textId="77777777" w:rsidR="00296C1D" w:rsidRPr="00921EF2" w:rsidRDefault="00296C1D" w:rsidP="00B124D9">
      <w:pPr>
        <w:numPr>
          <w:ilvl w:val="0"/>
          <w:numId w:val="4"/>
        </w:numPr>
        <w:tabs>
          <w:tab w:val="clear" w:pos="600"/>
          <w:tab w:val="num" w:pos="567"/>
        </w:tabs>
        <w:ind w:left="567" w:hanging="567"/>
        <w:rPr>
          <w:rFonts w:eastAsia="Calibri"/>
          <w:i/>
          <w:sz w:val="22"/>
          <w:szCs w:val="22"/>
          <w:lang w:val="sk-SK" w:eastAsia="en-US"/>
        </w:rPr>
      </w:pPr>
      <w:r w:rsidRPr="00921EF2">
        <w:rPr>
          <w:rFonts w:eastAsia="Calibri"/>
          <w:noProof/>
          <w:sz w:val="22"/>
          <w:szCs w:val="22"/>
          <w:lang w:val="sk-SK" w:eastAsia="en-US"/>
        </w:rPr>
        <w:t>Počas tehotenstva (pozri časti 4.4 a 4.6) pri liečbe bipolárnej poruchy</w:t>
      </w:r>
    </w:p>
    <w:p w14:paraId="7AA92A96" w14:textId="77777777" w:rsidR="00296C1D" w:rsidRPr="00921EF2" w:rsidRDefault="00296C1D" w:rsidP="00B124D9">
      <w:pPr>
        <w:numPr>
          <w:ilvl w:val="0"/>
          <w:numId w:val="4"/>
        </w:numPr>
        <w:tabs>
          <w:tab w:val="clear" w:pos="600"/>
          <w:tab w:val="num" w:pos="567"/>
        </w:tabs>
        <w:ind w:left="567" w:hanging="567"/>
        <w:rPr>
          <w:rFonts w:eastAsia="Calibri"/>
          <w:i/>
          <w:sz w:val="22"/>
          <w:szCs w:val="22"/>
          <w:lang w:val="sk-SK" w:eastAsia="en-US"/>
        </w:rPr>
      </w:pPr>
      <w:r w:rsidRPr="00921EF2">
        <w:rPr>
          <w:rFonts w:eastAsia="Calibri"/>
          <w:sz w:val="22"/>
          <w:szCs w:val="22"/>
          <w:lang w:val="sk-SK" w:eastAsia="en-US"/>
        </w:rPr>
        <w:t xml:space="preserve">U žien vo fertilnom veku, pokiaľ nie sú splnené podmienky Programu </w:t>
      </w:r>
      <w:r w:rsidR="00746D2E" w:rsidRPr="00921EF2">
        <w:rPr>
          <w:rFonts w:eastAsia="Calibri"/>
          <w:sz w:val="22"/>
          <w:szCs w:val="22"/>
          <w:lang w:val="sk-SK" w:eastAsia="en-US"/>
        </w:rPr>
        <w:t xml:space="preserve">prevencie </w:t>
      </w:r>
      <w:r w:rsidRPr="00921EF2">
        <w:rPr>
          <w:rFonts w:eastAsia="Calibri"/>
          <w:sz w:val="22"/>
          <w:szCs w:val="22"/>
          <w:lang w:val="sk-SK" w:eastAsia="en-US"/>
        </w:rPr>
        <w:t>tehotenstva (pozri časti 4.4 a 4.6)</w:t>
      </w:r>
    </w:p>
    <w:p w14:paraId="46D3C6BC" w14:textId="425AB1B2" w:rsidR="008A1BA8" w:rsidRDefault="008A1BA8" w:rsidP="00B124D9">
      <w:pPr>
        <w:rPr>
          <w:sz w:val="22"/>
          <w:szCs w:val="22"/>
          <w:u w:val="single"/>
          <w:lang w:val="sk-SK"/>
        </w:rPr>
      </w:pPr>
      <w:r>
        <w:rPr>
          <w:sz w:val="22"/>
          <w:szCs w:val="22"/>
          <w:u w:val="single"/>
          <w:lang w:val="sk-SK"/>
        </w:rPr>
        <w:br w:type="page"/>
      </w:r>
    </w:p>
    <w:p w14:paraId="2C5FC8F1" w14:textId="77777777" w:rsidR="00977BF3" w:rsidRPr="00921EF2" w:rsidRDefault="00977BF3" w:rsidP="00B124D9">
      <w:pPr>
        <w:rPr>
          <w:sz w:val="22"/>
          <w:szCs w:val="22"/>
          <w:u w:val="single"/>
          <w:lang w:val="sk-SK"/>
        </w:rPr>
      </w:pPr>
    </w:p>
    <w:p w14:paraId="457BF915" w14:textId="77777777" w:rsidR="00977BF3" w:rsidRPr="00921EF2" w:rsidRDefault="00977BF3" w:rsidP="00B124D9">
      <w:pPr>
        <w:pStyle w:val="Nadpis2"/>
        <w:rPr>
          <w:rFonts w:ascii="Times New Roman" w:hAnsi="Times New Roman" w:cs="Times New Roman"/>
          <w:sz w:val="22"/>
          <w:szCs w:val="22"/>
        </w:rPr>
      </w:pPr>
      <w:bookmarkStart w:id="1" w:name="OLE_LINK1"/>
      <w:bookmarkStart w:id="2" w:name="OLE_LINK2"/>
      <w:r w:rsidRPr="00921EF2">
        <w:rPr>
          <w:rFonts w:ascii="Times New Roman" w:hAnsi="Times New Roman" w:cs="Times New Roman"/>
          <w:sz w:val="22"/>
          <w:szCs w:val="22"/>
        </w:rPr>
        <w:t>4.4</w:t>
      </w:r>
      <w:r w:rsidR="004668B5" w:rsidRPr="00921EF2">
        <w:rPr>
          <w:rFonts w:ascii="Times New Roman" w:hAnsi="Times New Roman" w:cs="Times New Roman"/>
          <w:sz w:val="22"/>
          <w:szCs w:val="22"/>
        </w:rPr>
        <w:tab/>
      </w:r>
      <w:r w:rsidRPr="00921EF2">
        <w:rPr>
          <w:rFonts w:ascii="Times New Roman" w:hAnsi="Times New Roman" w:cs="Times New Roman"/>
          <w:sz w:val="22"/>
          <w:szCs w:val="22"/>
        </w:rPr>
        <w:t>Osobitné upozornenia a opatrenia pri používaní</w:t>
      </w:r>
    </w:p>
    <w:p w14:paraId="400F6BDA" w14:textId="77777777" w:rsidR="00C311B9" w:rsidRPr="00921EF2" w:rsidRDefault="00C311B9" w:rsidP="00B124D9">
      <w:pPr>
        <w:keepNext/>
        <w:rPr>
          <w:b/>
          <w:bCs/>
          <w:sz w:val="22"/>
          <w:szCs w:val="22"/>
          <w:lang w:val="sk-SK"/>
        </w:rPr>
      </w:pPr>
    </w:p>
    <w:tbl>
      <w:tblPr>
        <w:tblW w:w="9180" w:type="dxa"/>
        <w:tblInd w:w="70" w:type="dxa"/>
        <w:tblCellMar>
          <w:left w:w="0" w:type="dxa"/>
          <w:right w:w="0" w:type="dxa"/>
        </w:tblCellMar>
        <w:tblLook w:val="04A0" w:firstRow="1" w:lastRow="0" w:firstColumn="1" w:lastColumn="0" w:noHBand="0" w:noVBand="1"/>
      </w:tblPr>
      <w:tblGrid>
        <w:gridCol w:w="9180"/>
      </w:tblGrid>
      <w:tr w:rsidR="00C311B9" w:rsidRPr="00921EF2" w14:paraId="58EE7EC1" w14:textId="77777777" w:rsidTr="005E746B">
        <w:trPr>
          <w:trHeight w:val="266"/>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2AA96024" w14:textId="77777777" w:rsidR="00296C1D" w:rsidRPr="00921EF2" w:rsidRDefault="00296C1D" w:rsidP="00B124D9">
            <w:pPr>
              <w:ind w:left="72" w:right="179"/>
              <w:rPr>
                <w:rFonts w:eastAsia="Calibri"/>
                <w:b/>
                <w:sz w:val="22"/>
                <w:szCs w:val="22"/>
                <w:u w:val="single"/>
                <w:lang w:eastAsia="en-US"/>
              </w:rPr>
            </w:pPr>
            <w:r w:rsidRPr="00921EF2">
              <w:rPr>
                <w:rFonts w:eastAsia="Calibri"/>
                <w:b/>
                <w:sz w:val="22"/>
                <w:szCs w:val="22"/>
                <w:u w:val="single"/>
                <w:lang w:val="sk-SK" w:eastAsia="en-US"/>
              </w:rPr>
              <w:t xml:space="preserve">Program </w:t>
            </w:r>
            <w:r w:rsidR="00746D2E" w:rsidRPr="00921EF2">
              <w:rPr>
                <w:b/>
                <w:sz w:val="22"/>
                <w:szCs w:val="22"/>
                <w:u w:val="single"/>
                <w:lang w:val="sk-SK"/>
              </w:rPr>
              <w:t>prevencie</w:t>
            </w:r>
            <w:r w:rsidRPr="00921EF2">
              <w:rPr>
                <w:b/>
                <w:sz w:val="22"/>
                <w:szCs w:val="22"/>
                <w:u w:val="single"/>
                <w:lang w:val="sk-SK"/>
              </w:rPr>
              <w:t xml:space="preserve"> tehotenstva</w:t>
            </w:r>
          </w:p>
          <w:p w14:paraId="3EDA05AB" w14:textId="0675ABE7" w:rsidR="00296C1D" w:rsidRPr="00921EF2" w:rsidRDefault="0023483F" w:rsidP="00B124D9">
            <w:pPr>
              <w:ind w:left="72" w:right="179"/>
              <w:rPr>
                <w:rFonts w:eastAsia="Calibri"/>
                <w:sz w:val="22"/>
                <w:szCs w:val="22"/>
                <w:lang w:val="sk-SK" w:eastAsia="en-US"/>
              </w:rPr>
            </w:pPr>
            <w:r w:rsidRPr="00921EF2">
              <w:rPr>
                <w:rFonts w:eastAsia="Calibri"/>
                <w:sz w:val="22"/>
                <w:szCs w:val="22"/>
                <w:lang w:val="sk-SK" w:eastAsia="en-US"/>
              </w:rPr>
              <w:t>Valproát</w:t>
            </w:r>
            <w:r w:rsidR="00296C1D" w:rsidRPr="00921EF2">
              <w:rPr>
                <w:rFonts w:eastAsia="Calibri"/>
                <w:sz w:val="22"/>
                <w:szCs w:val="22"/>
                <w:lang w:val="sk-SK" w:eastAsia="en-US"/>
              </w:rPr>
              <w:t xml:space="preserve"> má vysoký teratogénny potenciál a u detí vystavených účinku </w:t>
            </w:r>
            <w:r w:rsidRPr="00921EF2">
              <w:rPr>
                <w:rFonts w:eastAsia="Calibri"/>
                <w:sz w:val="22"/>
                <w:szCs w:val="22"/>
                <w:lang w:val="sk-SK" w:eastAsia="en-US"/>
              </w:rPr>
              <w:t>valproát</w:t>
            </w:r>
            <w:r w:rsidR="00296C1D" w:rsidRPr="00921EF2">
              <w:rPr>
                <w:rFonts w:eastAsia="Calibri"/>
                <w:sz w:val="22"/>
                <w:szCs w:val="22"/>
                <w:lang w:val="sk-SK" w:eastAsia="en-US"/>
              </w:rPr>
              <w:t xml:space="preserve">u </w:t>
            </w:r>
            <w:r w:rsidR="00296C1D" w:rsidRPr="00921EF2">
              <w:rPr>
                <w:rFonts w:eastAsia="Calibri"/>
                <w:i/>
                <w:sz w:val="22"/>
                <w:szCs w:val="22"/>
                <w:lang w:val="sk-SK" w:eastAsia="en-US"/>
              </w:rPr>
              <w:t xml:space="preserve">in utero </w:t>
            </w:r>
            <w:r w:rsidR="00296C1D" w:rsidRPr="00921EF2">
              <w:rPr>
                <w:rFonts w:eastAsia="Calibri"/>
                <w:sz w:val="22"/>
                <w:szCs w:val="22"/>
                <w:lang w:val="sk-SK" w:eastAsia="en-US"/>
              </w:rPr>
              <w:t>je vysoké riziko vrodených malformácií a porúch vývoja nervového systému (pozri časť 4.6).</w:t>
            </w:r>
          </w:p>
          <w:p w14:paraId="4D183AA0" w14:textId="77777777" w:rsidR="00296C1D" w:rsidRPr="00921EF2" w:rsidRDefault="00090C02" w:rsidP="00B124D9">
            <w:pPr>
              <w:ind w:left="72" w:right="179"/>
              <w:rPr>
                <w:rFonts w:eastAsia="Calibri"/>
                <w:i/>
                <w:sz w:val="22"/>
                <w:szCs w:val="22"/>
                <w:u w:val="single"/>
                <w:lang w:val="sk-SK" w:eastAsia="en-US"/>
              </w:rPr>
            </w:pPr>
            <w:r w:rsidRPr="00921EF2">
              <w:rPr>
                <w:sz w:val="22"/>
                <w:szCs w:val="22"/>
                <w:lang w:val="sk-SK"/>
              </w:rPr>
              <w:t xml:space="preserve">Orfiril long </w:t>
            </w:r>
            <w:r w:rsidR="00296C1D" w:rsidRPr="00921EF2">
              <w:rPr>
                <w:rFonts w:eastAsia="Calibri"/>
                <w:sz w:val="22"/>
                <w:szCs w:val="22"/>
                <w:lang w:val="sk-SK" w:eastAsia="en-US"/>
              </w:rPr>
              <w:t xml:space="preserve">je kontraidkovaný v nasledujúcich situáciách: </w:t>
            </w:r>
          </w:p>
          <w:p w14:paraId="358DED3C" w14:textId="77777777" w:rsidR="0017179D" w:rsidRPr="00921EF2" w:rsidRDefault="0017179D" w:rsidP="00B124D9">
            <w:pPr>
              <w:ind w:left="74" w:right="181"/>
              <w:rPr>
                <w:rFonts w:eastAsia="Calibri"/>
                <w:sz w:val="22"/>
                <w:szCs w:val="22"/>
                <w:u w:val="single"/>
                <w:lang w:val="sk-SK" w:eastAsia="en-US"/>
              </w:rPr>
            </w:pPr>
          </w:p>
          <w:p w14:paraId="20D2D9DC" w14:textId="77777777" w:rsidR="00296C1D" w:rsidRPr="00921EF2" w:rsidRDefault="00296C1D" w:rsidP="00B124D9">
            <w:pPr>
              <w:keepNext/>
              <w:ind w:left="74" w:right="181"/>
              <w:rPr>
                <w:rFonts w:eastAsia="Calibri"/>
                <w:sz w:val="22"/>
                <w:szCs w:val="22"/>
                <w:u w:val="single"/>
                <w:lang w:val="sk-SK" w:eastAsia="en-US"/>
              </w:rPr>
            </w:pPr>
            <w:r w:rsidRPr="00921EF2">
              <w:rPr>
                <w:rFonts w:eastAsia="Calibri"/>
                <w:sz w:val="22"/>
                <w:szCs w:val="22"/>
                <w:u w:val="single"/>
                <w:lang w:val="sk-SK" w:eastAsia="en-US"/>
              </w:rPr>
              <w:t>Liečba epilepsie</w:t>
            </w:r>
          </w:p>
          <w:p w14:paraId="53FC9633" w14:textId="77777777" w:rsidR="00296C1D" w:rsidRPr="00921EF2" w:rsidRDefault="00296C1D" w:rsidP="00B124D9">
            <w:pPr>
              <w:keepNext/>
              <w:numPr>
                <w:ilvl w:val="0"/>
                <w:numId w:val="21"/>
              </w:numPr>
              <w:rPr>
                <w:rFonts w:eastAsia="Calibri"/>
                <w:i/>
                <w:sz w:val="22"/>
                <w:szCs w:val="22"/>
                <w:lang w:val="sk-SK" w:eastAsia="en-US"/>
              </w:rPr>
            </w:pPr>
            <w:r w:rsidRPr="00921EF2">
              <w:rPr>
                <w:rFonts w:eastAsia="Calibri"/>
                <w:sz w:val="22"/>
                <w:szCs w:val="22"/>
                <w:lang w:val="sk-SK" w:eastAsia="en-US"/>
              </w:rPr>
              <w:t>počas tehotenstva, pokiaľ existuje iná vhodná alternatívna liečba (pozri časti 4.</w:t>
            </w:r>
            <w:r w:rsidR="00E26E0C" w:rsidRPr="00921EF2">
              <w:rPr>
                <w:rFonts w:eastAsia="Calibri"/>
                <w:sz w:val="22"/>
                <w:szCs w:val="22"/>
                <w:lang w:val="sk-SK" w:eastAsia="en-US"/>
              </w:rPr>
              <w:t>3</w:t>
            </w:r>
            <w:r w:rsidRPr="00921EF2">
              <w:rPr>
                <w:rFonts w:eastAsia="Calibri"/>
                <w:sz w:val="22"/>
                <w:szCs w:val="22"/>
                <w:lang w:val="sk-SK" w:eastAsia="en-US"/>
              </w:rPr>
              <w:t xml:space="preserve"> a 4.6).</w:t>
            </w:r>
          </w:p>
          <w:p w14:paraId="1C1B1518" w14:textId="77777777" w:rsidR="00296C1D" w:rsidRPr="00921EF2" w:rsidRDefault="00296C1D" w:rsidP="00B124D9">
            <w:pPr>
              <w:numPr>
                <w:ilvl w:val="0"/>
                <w:numId w:val="21"/>
              </w:numPr>
              <w:rPr>
                <w:rFonts w:eastAsia="Calibri"/>
                <w:i/>
                <w:sz w:val="22"/>
                <w:szCs w:val="22"/>
                <w:lang w:val="sk-SK" w:eastAsia="en-US"/>
              </w:rPr>
            </w:pPr>
            <w:r w:rsidRPr="00921EF2">
              <w:rPr>
                <w:rFonts w:eastAsia="Calibri"/>
                <w:sz w:val="22"/>
                <w:szCs w:val="22"/>
                <w:lang w:val="sk-SK" w:eastAsia="en-US"/>
              </w:rPr>
              <w:t xml:space="preserve">u žien vo fertilnom veku, pokiaľ nie sú splnené podmienky Programu </w:t>
            </w:r>
            <w:r w:rsidR="00746D2E" w:rsidRPr="00921EF2">
              <w:rPr>
                <w:rFonts w:eastAsia="Calibri"/>
                <w:sz w:val="22"/>
                <w:szCs w:val="22"/>
                <w:lang w:val="sk-SK" w:eastAsia="en-US"/>
              </w:rPr>
              <w:t xml:space="preserve">prevencie </w:t>
            </w:r>
            <w:r w:rsidRPr="00921EF2">
              <w:rPr>
                <w:rFonts w:eastAsia="Calibri"/>
                <w:sz w:val="22"/>
                <w:szCs w:val="22"/>
                <w:lang w:val="sk-SK" w:eastAsia="en-US"/>
              </w:rPr>
              <w:t>tehotenstva (pozri časti 4.3 and 4.6).</w:t>
            </w:r>
          </w:p>
          <w:p w14:paraId="56050924" w14:textId="77777777" w:rsidR="00CA42D2" w:rsidRPr="00921EF2" w:rsidRDefault="00CA42D2" w:rsidP="00B124D9">
            <w:pPr>
              <w:ind w:left="74" w:right="181"/>
              <w:rPr>
                <w:rFonts w:eastAsia="Calibri"/>
                <w:sz w:val="22"/>
                <w:szCs w:val="22"/>
                <w:u w:val="single"/>
                <w:lang w:val="sk-SK" w:eastAsia="en-US"/>
              </w:rPr>
            </w:pPr>
          </w:p>
          <w:p w14:paraId="1A3C989A" w14:textId="77777777" w:rsidR="00296C1D" w:rsidRPr="00921EF2" w:rsidRDefault="00296C1D" w:rsidP="00B124D9">
            <w:pPr>
              <w:ind w:left="74" w:right="181"/>
              <w:rPr>
                <w:rFonts w:eastAsia="Calibri"/>
                <w:i/>
                <w:sz w:val="22"/>
                <w:szCs w:val="22"/>
                <w:u w:val="single"/>
                <w:lang w:val="sk-SK" w:eastAsia="en-US"/>
              </w:rPr>
            </w:pPr>
            <w:r w:rsidRPr="00921EF2">
              <w:rPr>
                <w:rFonts w:eastAsia="Calibri"/>
                <w:sz w:val="22"/>
                <w:szCs w:val="22"/>
                <w:u w:val="single"/>
                <w:lang w:val="sk-SK" w:eastAsia="en-US"/>
              </w:rPr>
              <w:t>Liečba bipolárnej poruchy</w:t>
            </w:r>
          </w:p>
          <w:p w14:paraId="21B6FC5A" w14:textId="77777777" w:rsidR="00296C1D" w:rsidRPr="00921EF2" w:rsidRDefault="00296C1D" w:rsidP="00B124D9">
            <w:pPr>
              <w:numPr>
                <w:ilvl w:val="0"/>
                <w:numId w:val="21"/>
              </w:numPr>
              <w:rPr>
                <w:rFonts w:eastAsia="Calibri"/>
                <w:i/>
                <w:sz w:val="22"/>
                <w:szCs w:val="22"/>
                <w:lang w:val="sk-SK" w:eastAsia="en-US"/>
              </w:rPr>
            </w:pPr>
            <w:r w:rsidRPr="00921EF2">
              <w:rPr>
                <w:rFonts w:eastAsia="Calibri"/>
                <w:sz w:val="22"/>
                <w:szCs w:val="22"/>
                <w:lang w:val="sk-SK" w:eastAsia="en-US"/>
              </w:rPr>
              <w:t>počas tehotenstva (pozri časti 4.3 a 4.6).</w:t>
            </w:r>
          </w:p>
          <w:p w14:paraId="03FBC936" w14:textId="77777777" w:rsidR="00296C1D" w:rsidRPr="00921EF2" w:rsidRDefault="00296C1D" w:rsidP="00B124D9">
            <w:pPr>
              <w:numPr>
                <w:ilvl w:val="0"/>
                <w:numId w:val="21"/>
              </w:numPr>
              <w:rPr>
                <w:rFonts w:eastAsia="Calibri"/>
                <w:i/>
                <w:sz w:val="22"/>
                <w:szCs w:val="22"/>
                <w:lang w:val="sk-SK" w:eastAsia="en-US"/>
              </w:rPr>
            </w:pPr>
            <w:r w:rsidRPr="00921EF2">
              <w:rPr>
                <w:rFonts w:eastAsia="Calibri"/>
                <w:sz w:val="22"/>
                <w:szCs w:val="22"/>
                <w:lang w:val="sk-SK" w:eastAsia="en-US"/>
              </w:rPr>
              <w:t xml:space="preserve">u žien vo fertilnom veku, pokiaľ nie sú splnené podmienky Programu </w:t>
            </w:r>
            <w:r w:rsidR="00746D2E" w:rsidRPr="00921EF2">
              <w:rPr>
                <w:rFonts w:eastAsia="Calibri"/>
                <w:sz w:val="22"/>
                <w:szCs w:val="22"/>
                <w:lang w:val="sk-SK" w:eastAsia="en-US"/>
              </w:rPr>
              <w:t xml:space="preserve">prevencie </w:t>
            </w:r>
            <w:r w:rsidRPr="00921EF2">
              <w:rPr>
                <w:rFonts w:eastAsia="Calibri"/>
                <w:sz w:val="22"/>
                <w:szCs w:val="22"/>
                <w:lang w:val="sk-SK" w:eastAsia="en-US"/>
              </w:rPr>
              <w:t>tehotenstva (pozri časti 4.3 and 4.6).</w:t>
            </w:r>
          </w:p>
          <w:p w14:paraId="6D62DF27" w14:textId="77777777" w:rsidR="005C64C0" w:rsidRPr="00921EF2" w:rsidRDefault="005C64C0" w:rsidP="00B124D9">
            <w:pPr>
              <w:keepNext/>
              <w:ind w:left="74" w:right="181"/>
              <w:rPr>
                <w:rFonts w:eastAsia="Calibri"/>
                <w:sz w:val="22"/>
                <w:szCs w:val="22"/>
                <w:u w:val="single"/>
                <w:lang w:val="sk-SK" w:eastAsia="en-US"/>
              </w:rPr>
            </w:pPr>
          </w:p>
          <w:p w14:paraId="0517C066" w14:textId="77777777" w:rsidR="00296C1D" w:rsidRPr="00921EF2" w:rsidRDefault="00296C1D" w:rsidP="00B124D9">
            <w:pPr>
              <w:keepNext/>
              <w:ind w:left="74" w:right="181"/>
              <w:rPr>
                <w:rFonts w:eastAsia="Calibri"/>
                <w:sz w:val="22"/>
                <w:szCs w:val="22"/>
                <w:u w:val="single"/>
                <w:lang w:val="sk-SK" w:eastAsia="en-US"/>
              </w:rPr>
            </w:pPr>
            <w:r w:rsidRPr="00921EF2">
              <w:rPr>
                <w:rFonts w:eastAsia="Calibri"/>
                <w:sz w:val="22"/>
                <w:szCs w:val="22"/>
                <w:u w:val="single"/>
                <w:lang w:val="sk-SK" w:eastAsia="en-US"/>
              </w:rPr>
              <w:t xml:space="preserve">Podmienky Programu </w:t>
            </w:r>
            <w:r w:rsidR="00746D2E" w:rsidRPr="00921EF2">
              <w:rPr>
                <w:rFonts w:eastAsia="Calibri"/>
                <w:sz w:val="22"/>
                <w:szCs w:val="22"/>
                <w:u w:val="single"/>
                <w:lang w:val="sk-SK" w:eastAsia="en-US"/>
              </w:rPr>
              <w:t xml:space="preserve">prevencie </w:t>
            </w:r>
            <w:r w:rsidRPr="00921EF2">
              <w:rPr>
                <w:rFonts w:eastAsia="Calibri"/>
                <w:sz w:val="22"/>
                <w:szCs w:val="22"/>
                <w:u w:val="single"/>
                <w:lang w:val="sk-SK" w:eastAsia="en-US"/>
              </w:rPr>
              <w:t xml:space="preserve">tehotenstva: </w:t>
            </w:r>
          </w:p>
          <w:p w14:paraId="7B3CCBD0" w14:textId="77777777" w:rsidR="00296C1D" w:rsidRPr="00921EF2" w:rsidRDefault="00296C1D" w:rsidP="00B124D9">
            <w:pPr>
              <w:keepNext/>
              <w:ind w:left="74" w:right="181"/>
              <w:rPr>
                <w:rFonts w:eastAsia="Calibri"/>
                <w:sz w:val="22"/>
                <w:szCs w:val="22"/>
                <w:lang w:val="sk-SK" w:eastAsia="en-US"/>
              </w:rPr>
            </w:pPr>
            <w:r w:rsidRPr="00921EF2">
              <w:rPr>
                <w:rFonts w:eastAsia="Calibri"/>
                <w:sz w:val="22"/>
                <w:szCs w:val="22"/>
                <w:lang w:val="sk-SK" w:eastAsia="en-US"/>
              </w:rPr>
              <w:t>Predpisujúci lekár sa musí uistiť, že</w:t>
            </w:r>
          </w:p>
          <w:p w14:paraId="6663E4B2" w14:textId="77777777" w:rsidR="00296C1D" w:rsidRPr="00921EF2" w:rsidRDefault="00296C1D" w:rsidP="00B124D9">
            <w:pPr>
              <w:keepNext/>
              <w:numPr>
                <w:ilvl w:val="0"/>
                <w:numId w:val="21"/>
              </w:numPr>
              <w:ind w:right="179"/>
              <w:rPr>
                <w:rFonts w:eastAsia="Calibri"/>
                <w:sz w:val="22"/>
                <w:szCs w:val="22"/>
                <w:lang w:val="sk-SK" w:eastAsia="en-US"/>
              </w:rPr>
            </w:pPr>
            <w:r w:rsidRPr="00921EF2">
              <w:rPr>
                <w:rFonts w:eastAsia="Calibri"/>
                <w:sz w:val="22"/>
                <w:szCs w:val="22"/>
                <w:lang w:val="sk-SK" w:eastAsia="en-US"/>
              </w:rPr>
              <w:t>v každom prípade je nutné vyhodnotiť individuálne okolnosti zapojením pacientky do diskusie s cieľom prediskutovať terapeutické možnosti a uistiť sa, že pacientka rozumie rizikám a opatreniam potrebným na minimalizáciu týchto rizík.</w:t>
            </w:r>
          </w:p>
          <w:p w14:paraId="21495D81"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u všetkých pacientiek bola vyhodnotená možnosť otehotnenia.</w:t>
            </w:r>
          </w:p>
          <w:p w14:paraId="1694D35D" w14:textId="06A173A1"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 xml:space="preserve">pacientka rozumie rizikám vrodených malformácií a porúch vývoja nervového sytému, vrátane závažnosti týchto rizík u detí vystavených účinku </w:t>
            </w:r>
            <w:r w:rsidR="0023483F" w:rsidRPr="00921EF2">
              <w:rPr>
                <w:rFonts w:eastAsia="Calibri"/>
                <w:sz w:val="22"/>
                <w:szCs w:val="22"/>
                <w:lang w:val="sk-SK" w:eastAsia="en-US"/>
              </w:rPr>
              <w:t>valproát</w:t>
            </w:r>
            <w:r w:rsidRPr="00921EF2">
              <w:rPr>
                <w:rFonts w:eastAsia="Calibri"/>
                <w:sz w:val="22"/>
                <w:szCs w:val="22"/>
                <w:lang w:val="sk-SK" w:eastAsia="en-US"/>
              </w:rPr>
              <w:t xml:space="preserve">u </w:t>
            </w:r>
            <w:r w:rsidRPr="00921EF2">
              <w:rPr>
                <w:rFonts w:eastAsia="Calibri"/>
                <w:i/>
                <w:sz w:val="22"/>
                <w:szCs w:val="22"/>
                <w:lang w:val="sk-SK" w:eastAsia="en-US"/>
              </w:rPr>
              <w:t xml:space="preserve">in utero </w:t>
            </w:r>
            <w:r w:rsidRPr="00921EF2">
              <w:rPr>
                <w:rFonts w:eastAsia="Calibri"/>
                <w:sz w:val="22"/>
                <w:szCs w:val="22"/>
                <w:lang w:val="sk-SK" w:eastAsia="en-US"/>
              </w:rPr>
              <w:t>a je si ich vedomá</w:t>
            </w:r>
            <w:r w:rsidRPr="00921EF2">
              <w:rPr>
                <w:rFonts w:eastAsia="Calibri"/>
                <w:i/>
                <w:sz w:val="22"/>
                <w:szCs w:val="22"/>
                <w:lang w:val="sk-SK" w:eastAsia="en-US"/>
              </w:rPr>
              <w:t>.</w:t>
            </w:r>
          </w:p>
          <w:p w14:paraId="667D64C9"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pacientka rozumie nutnosti absolvovať tehotenský test pred začatím liečby a podľa potreby počas nej.</w:t>
            </w:r>
          </w:p>
          <w:p w14:paraId="7390503A" w14:textId="20A05DA6"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 xml:space="preserve">pacientka </w:t>
            </w:r>
            <w:r w:rsidRPr="00921EF2">
              <w:rPr>
                <w:rFonts w:eastAsia="Calibri"/>
                <w:sz w:val="22"/>
                <w:szCs w:val="22"/>
                <w:lang w:eastAsia="en-US"/>
              </w:rPr>
              <w:t xml:space="preserve">absolvovala poradenstvo o metódach </w:t>
            </w:r>
            <w:r w:rsidRPr="00921EF2">
              <w:rPr>
                <w:rFonts w:eastAsia="Calibri"/>
                <w:sz w:val="22"/>
                <w:szCs w:val="22"/>
                <w:lang w:val="sk-SK" w:eastAsia="en-US"/>
              </w:rPr>
              <w:t xml:space="preserve">antikoncepcie a </w:t>
            </w:r>
            <w:r w:rsidRPr="00921EF2">
              <w:rPr>
                <w:rFonts w:eastAsia="Calibri"/>
                <w:sz w:val="22"/>
                <w:szCs w:val="22"/>
                <w:lang w:eastAsia="en-US"/>
              </w:rPr>
              <w:t>je schopná dodržiavať pokyny</w:t>
            </w:r>
            <w:r w:rsidRPr="00921EF2">
              <w:rPr>
                <w:rFonts w:eastAsia="Calibri"/>
                <w:sz w:val="22"/>
                <w:szCs w:val="22"/>
                <w:lang w:val="sk-SK" w:eastAsia="en-US"/>
              </w:rPr>
              <w:t xml:space="preserve"> </w:t>
            </w:r>
            <w:r w:rsidRPr="00921EF2">
              <w:rPr>
                <w:rFonts w:eastAsia="Calibri"/>
                <w:sz w:val="22"/>
                <w:szCs w:val="22"/>
                <w:lang w:eastAsia="en-US"/>
              </w:rPr>
              <w:t>zaisťujúce efektívnu</w:t>
            </w:r>
            <w:r w:rsidRPr="00921EF2">
              <w:rPr>
                <w:rFonts w:eastAsia="Calibri"/>
                <w:sz w:val="22"/>
                <w:szCs w:val="22"/>
                <w:lang w:val="sk-SK" w:eastAsia="en-US"/>
              </w:rPr>
              <w:t xml:space="preserve"> antikoncepciu (ďalšie informácie nájdete v podsekcii Antikoncepcia tohto upozornenia v rámčeku), bez prerušenia počas celej doby trvania liečby </w:t>
            </w:r>
            <w:r w:rsidR="0023483F" w:rsidRPr="00921EF2">
              <w:rPr>
                <w:rFonts w:eastAsia="Calibri"/>
                <w:sz w:val="22"/>
                <w:szCs w:val="22"/>
                <w:lang w:val="sk-SK" w:eastAsia="en-US"/>
              </w:rPr>
              <w:t>valproát</w:t>
            </w:r>
            <w:r w:rsidRPr="00921EF2">
              <w:rPr>
                <w:rFonts w:eastAsia="Calibri"/>
                <w:sz w:val="22"/>
                <w:szCs w:val="22"/>
                <w:lang w:val="sk-SK" w:eastAsia="en-US"/>
              </w:rPr>
              <w:t>om.</w:t>
            </w:r>
          </w:p>
          <w:p w14:paraId="0262BFC7"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pacientka rozumie potrebe pravidelného (minimálne raz ročne) prehodnocovania liečby špecialistom so skúsenosťami s liečbou epilepsie alebo bipolárnej poruchy.</w:t>
            </w:r>
          </w:p>
          <w:p w14:paraId="2163EEC4"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pacientka rozumie potrebe skontaktovať sa so svojím lekárom, ihneď ako začne plánovať tehotenstvo, aby sa pred počatím a vysadením antikoncepcie zaistila včasná diskusia a prechod na alternatívne možnosti liečby.</w:t>
            </w:r>
          </w:p>
          <w:p w14:paraId="11CB94E6"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 xml:space="preserve">pacientka rozumie </w:t>
            </w:r>
            <w:r w:rsidRPr="00921EF2">
              <w:rPr>
                <w:rFonts w:eastAsia="Calibri"/>
                <w:sz w:val="22"/>
                <w:szCs w:val="22"/>
                <w:lang w:eastAsia="en-US"/>
              </w:rPr>
              <w:t>potrebe urgentne sa v prípade tehotenstva skontaktovať so svojím</w:t>
            </w:r>
            <w:r w:rsidRPr="00921EF2">
              <w:rPr>
                <w:rFonts w:eastAsia="Calibri"/>
                <w:sz w:val="22"/>
                <w:szCs w:val="22"/>
                <w:lang w:val="sk-SK" w:eastAsia="en-US"/>
              </w:rPr>
              <w:t xml:space="preserve"> lekárom. </w:t>
            </w:r>
          </w:p>
          <w:p w14:paraId="4A1BEECE" w14:textId="77777777"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pacientka dostala Informačnú príručku pre pacientku.</w:t>
            </w:r>
          </w:p>
          <w:p w14:paraId="2CA537F8" w14:textId="73E71749"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 xml:space="preserve">pacientka potvrdila, že rozumie rizikám a potrebným opatreniam spojeným s užívaním </w:t>
            </w:r>
            <w:r w:rsidR="0023483F" w:rsidRPr="00921EF2">
              <w:rPr>
                <w:rFonts w:eastAsia="Calibri"/>
                <w:sz w:val="22"/>
                <w:szCs w:val="22"/>
                <w:lang w:val="sk-SK" w:eastAsia="en-US"/>
              </w:rPr>
              <w:t>valproát</w:t>
            </w:r>
            <w:r w:rsidRPr="00921EF2">
              <w:rPr>
                <w:rFonts w:eastAsia="Calibri"/>
                <w:sz w:val="22"/>
                <w:szCs w:val="22"/>
                <w:lang w:val="sk-SK" w:eastAsia="en-US"/>
              </w:rPr>
              <w:t>u (</w:t>
            </w:r>
            <w:r w:rsidRPr="00921EF2">
              <w:rPr>
                <w:sz w:val="22"/>
                <w:szCs w:val="22"/>
              </w:rPr>
              <w:t>Formulár na potvrdenie o pravidelnom informovaní pacientky</w:t>
            </w:r>
            <w:r w:rsidRPr="00921EF2">
              <w:rPr>
                <w:rFonts w:eastAsia="Calibri"/>
                <w:sz w:val="22"/>
                <w:szCs w:val="22"/>
                <w:lang w:val="sk-SK" w:eastAsia="en-US"/>
              </w:rPr>
              <w:t xml:space="preserve">). </w:t>
            </w:r>
          </w:p>
          <w:p w14:paraId="5960E47B" w14:textId="77777777" w:rsidR="00296C1D" w:rsidRPr="00921EF2" w:rsidRDefault="00296C1D" w:rsidP="00B124D9">
            <w:pPr>
              <w:ind w:left="72" w:right="179"/>
              <w:rPr>
                <w:rFonts w:eastAsia="Calibri"/>
                <w:sz w:val="22"/>
                <w:szCs w:val="22"/>
                <w:u w:val="single"/>
                <w:lang w:val="sk-SK" w:eastAsia="en-US"/>
              </w:rPr>
            </w:pPr>
            <w:r w:rsidRPr="00921EF2">
              <w:rPr>
                <w:rFonts w:eastAsia="Calibri"/>
                <w:sz w:val="22"/>
                <w:szCs w:val="22"/>
                <w:lang w:val="sk-SK" w:eastAsia="en-US"/>
              </w:rPr>
              <w:t>Tieto podmienky sa vzťahujú aj na ženy, ktoré v súčasnosti nie sú sexuálne aktívne, pokiaľ lekár nemá presvedčivé dôkazy, že neexistuje riziko otehotnenia.</w:t>
            </w:r>
          </w:p>
          <w:p w14:paraId="752A3625" w14:textId="77777777" w:rsidR="00296C1D" w:rsidRPr="00921EF2" w:rsidRDefault="00296C1D" w:rsidP="00B124D9">
            <w:pPr>
              <w:ind w:left="72" w:right="179"/>
              <w:rPr>
                <w:rFonts w:eastAsia="Calibri"/>
                <w:sz w:val="22"/>
                <w:szCs w:val="22"/>
                <w:u w:val="single"/>
                <w:lang w:eastAsia="en-US"/>
              </w:rPr>
            </w:pPr>
          </w:p>
          <w:p w14:paraId="6F6C261F" w14:textId="77777777" w:rsidR="00296C1D" w:rsidRPr="00921EF2" w:rsidRDefault="00296C1D" w:rsidP="00B124D9">
            <w:pPr>
              <w:ind w:left="72" w:right="179"/>
              <w:rPr>
                <w:rFonts w:eastAsia="Calibri"/>
                <w:sz w:val="22"/>
                <w:szCs w:val="22"/>
                <w:u w:val="single"/>
                <w:lang w:val="sk-SK" w:eastAsia="en-US"/>
              </w:rPr>
            </w:pPr>
            <w:r w:rsidRPr="00921EF2">
              <w:rPr>
                <w:rFonts w:eastAsia="Calibri"/>
                <w:sz w:val="22"/>
                <w:szCs w:val="22"/>
                <w:u w:val="single"/>
                <w:lang w:val="sk-SK" w:eastAsia="en-US"/>
              </w:rPr>
              <w:t>Dievčatá v detskom veku</w:t>
            </w:r>
          </w:p>
          <w:p w14:paraId="22FF56B2" w14:textId="037553AB"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t xml:space="preserve">Predpisujúci lekár musí zaistiť, že rodičia/opatrovníci dievčat v detskom veku porozumeli nutnosti kontaktovať špecialistu ihneď ako sa u dievčaťa, užívajúceho </w:t>
            </w:r>
            <w:r w:rsidR="0023483F" w:rsidRPr="00921EF2">
              <w:rPr>
                <w:rFonts w:eastAsia="Calibri"/>
                <w:sz w:val="22"/>
                <w:szCs w:val="22"/>
                <w:lang w:val="sk-SK" w:eastAsia="en-US"/>
              </w:rPr>
              <w:t>valproát</w:t>
            </w:r>
            <w:r w:rsidRPr="00921EF2">
              <w:rPr>
                <w:rFonts w:eastAsia="Calibri"/>
                <w:sz w:val="22"/>
                <w:szCs w:val="22"/>
                <w:lang w:val="sk-SK" w:eastAsia="en-US"/>
              </w:rPr>
              <w:t>, vyskytne prvá menštruácia.</w:t>
            </w:r>
          </w:p>
          <w:p w14:paraId="38AD9FA4" w14:textId="6B064E68" w:rsidR="00296C1D" w:rsidRPr="00921EF2" w:rsidRDefault="00296C1D" w:rsidP="00B124D9">
            <w:pPr>
              <w:numPr>
                <w:ilvl w:val="0"/>
                <w:numId w:val="21"/>
              </w:numPr>
              <w:ind w:right="179"/>
              <w:rPr>
                <w:sz w:val="22"/>
                <w:szCs w:val="22"/>
                <w:lang w:val="sk-SK"/>
              </w:rPr>
            </w:pPr>
            <w:r w:rsidRPr="00921EF2">
              <w:rPr>
                <w:sz w:val="22"/>
                <w:szCs w:val="22"/>
                <w:lang w:val="sk-SK"/>
              </w:rPr>
              <w:t>Predpisujúci lekár sa musí uistiť, že rodič</w:t>
            </w:r>
            <w:r w:rsidR="00DC0C31" w:rsidRPr="00921EF2">
              <w:rPr>
                <w:sz w:val="22"/>
                <w:szCs w:val="22"/>
                <w:lang w:val="sk-SK"/>
              </w:rPr>
              <w:t>om</w:t>
            </w:r>
            <w:r w:rsidRPr="00921EF2">
              <w:rPr>
                <w:sz w:val="22"/>
                <w:szCs w:val="22"/>
                <w:lang w:val="sk-SK"/>
              </w:rPr>
              <w:t>/opatrovní</w:t>
            </w:r>
            <w:r w:rsidR="00DC0C31" w:rsidRPr="00921EF2">
              <w:rPr>
                <w:sz w:val="22"/>
                <w:szCs w:val="22"/>
                <w:lang w:val="sk-SK"/>
              </w:rPr>
              <w:t>kom</w:t>
            </w:r>
            <w:r w:rsidRPr="00921EF2">
              <w:rPr>
                <w:sz w:val="22"/>
                <w:szCs w:val="22"/>
                <w:lang w:val="sk-SK"/>
              </w:rPr>
              <w:t xml:space="preserve"> dievčat v detskom veku, u ktorých sa vyskytla prvá menštruácia, boli poskytnuté úplné informácie o možných rizikách vrodených malformácií a porúch vývoja nervového systému, vrátane závažnosti týchto rizík u detí vystavených účinku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p>
          <w:p w14:paraId="77D21A29" w14:textId="53928EAD" w:rsidR="00296C1D" w:rsidRPr="00921EF2" w:rsidRDefault="00296C1D" w:rsidP="00B124D9">
            <w:pPr>
              <w:numPr>
                <w:ilvl w:val="0"/>
                <w:numId w:val="21"/>
              </w:numPr>
              <w:ind w:right="179"/>
              <w:rPr>
                <w:rFonts w:eastAsia="Calibri"/>
                <w:sz w:val="22"/>
                <w:szCs w:val="22"/>
                <w:lang w:val="sk-SK" w:eastAsia="en-US"/>
              </w:rPr>
            </w:pPr>
            <w:r w:rsidRPr="00921EF2">
              <w:rPr>
                <w:rFonts w:eastAsia="Calibri"/>
                <w:sz w:val="22"/>
                <w:szCs w:val="22"/>
                <w:lang w:val="sk-SK" w:eastAsia="en-US"/>
              </w:rPr>
              <w:lastRenderedPageBreak/>
              <w:t>U pacientiek, u ktorých sa vyskytla prvá menštruácia</w:t>
            </w:r>
            <w:r w:rsidR="00DC0C31" w:rsidRPr="00921EF2">
              <w:rPr>
                <w:rFonts w:eastAsia="Calibri"/>
                <w:sz w:val="22"/>
                <w:szCs w:val="22"/>
                <w:lang w:val="sk-SK" w:eastAsia="en-US"/>
              </w:rPr>
              <w:t>,</w:t>
            </w:r>
            <w:r w:rsidRPr="00921EF2">
              <w:rPr>
                <w:rFonts w:eastAsia="Calibri"/>
                <w:sz w:val="22"/>
                <w:szCs w:val="22"/>
                <w:lang w:val="sk-SK" w:eastAsia="en-US"/>
              </w:rPr>
              <w:t xml:space="preserve"> musí lekár každý rok prehodnotiť potrebu liečby </w:t>
            </w:r>
            <w:r w:rsidR="0023483F" w:rsidRPr="00921EF2">
              <w:rPr>
                <w:rFonts w:eastAsia="Calibri"/>
                <w:sz w:val="22"/>
                <w:szCs w:val="22"/>
                <w:lang w:val="sk-SK" w:eastAsia="en-US"/>
              </w:rPr>
              <w:t>valproát</w:t>
            </w:r>
            <w:r w:rsidRPr="00921EF2">
              <w:rPr>
                <w:rFonts w:eastAsia="Calibri"/>
                <w:sz w:val="22"/>
                <w:szCs w:val="22"/>
                <w:lang w:val="sk-SK" w:eastAsia="en-US"/>
              </w:rPr>
              <w:t xml:space="preserve">om a zvážiť alternatívne možnosti liečby. Ak je </w:t>
            </w:r>
            <w:r w:rsidR="0023483F" w:rsidRPr="00921EF2">
              <w:rPr>
                <w:rFonts w:eastAsia="Calibri"/>
                <w:sz w:val="22"/>
                <w:szCs w:val="22"/>
                <w:lang w:val="sk-SK" w:eastAsia="en-US"/>
              </w:rPr>
              <w:t>valproát</w:t>
            </w:r>
            <w:r w:rsidRPr="00921EF2">
              <w:rPr>
                <w:rFonts w:eastAsia="Calibri"/>
                <w:sz w:val="22"/>
                <w:szCs w:val="22"/>
                <w:lang w:val="sk-SK" w:eastAsia="en-US"/>
              </w:rPr>
              <w:t xml:space="preserve"> jediná vhodná liečba, je potrebné prediskutovať použitie účinnej antikoncepcie a ďalšie podmienky Programu </w:t>
            </w:r>
            <w:r w:rsidR="00746D2E" w:rsidRPr="00921EF2">
              <w:rPr>
                <w:rFonts w:eastAsia="Calibri"/>
                <w:sz w:val="22"/>
                <w:szCs w:val="22"/>
                <w:lang w:val="sk-SK" w:eastAsia="en-US"/>
              </w:rPr>
              <w:t xml:space="preserve">prevencie </w:t>
            </w:r>
            <w:r w:rsidRPr="00921EF2">
              <w:rPr>
                <w:rFonts w:eastAsia="Calibri"/>
                <w:sz w:val="22"/>
                <w:szCs w:val="22"/>
                <w:lang w:val="sk-SK" w:eastAsia="en-US"/>
              </w:rPr>
              <w:t xml:space="preserve">tehotenstva. Lekár má vynaložiť všetko úsilie, aby zmenil liečbu </w:t>
            </w:r>
            <w:r w:rsidR="0023483F" w:rsidRPr="00921EF2">
              <w:rPr>
                <w:rFonts w:eastAsia="Calibri"/>
                <w:sz w:val="22"/>
                <w:szCs w:val="22"/>
                <w:lang w:val="sk-SK" w:eastAsia="en-US"/>
              </w:rPr>
              <w:t>valproát</w:t>
            </w:r>
            <w:r w:rsidRPr="00921EF2">
              <w:rPr>
                <w:rFonts w:eastAsia="Calibri"/>
                <w:sz w:val="22"/>
                <w:szCs w:val="22"/>
                <w:lang w:val="sk-SK" w:eastAsia="en-US"/>
              </w:rPr>
              <w:t>om u pacientky na alternatívnu liečbu, predtým ako pacientka dosiahne dospelosť.</w:t>
            </w:r>
          </w:p>
          <w:p w14:paraId="524290F4" w14:textId="77777777" w:rsidR="00296C1D" w:rsidRPr="00921EF2" w:rsidRDefault="00296C1D" w:rsidP="00B124D9">
            <w:pPr>
              <w:ind w:left="720" w:right="179"/>
              <w:rPr>
                <w:rFonts w:eastAsia="Calibri"/>
                <w:sz w:val="22"/>
                <w:szCs w:val="22"/>
                <w:lang w:eastAsia="en-US"/>
              </w:rPr>
            </w:pPr>
          </w:p>
          <w:p w14:paraId="5EBFB66F" w14:textId="77777777" w:rsidR="00296C1D" w:rsidRPr="00921EF2" w:rsidRDefault="00296C1D" w:rsidP="00B124D9">
            <w:pPr>
              <w:ind w:left="72" w:right="179"/>
              <w:rPr>
                <w:rFonts w:eastAsia="Calibri"/>
                <w:sz w:val="22"/>
                <w:szCs w:val="22"/>
                <w:u w:val="single"/>
                <w:lang w:val="sk-SK" w:eastAsia="en-US"/>
              </w:rPr>
            </w:pPr>
            <w:r w:rsidRPr="00921EF2">
              <w:rPr>
                <w:rFonts w:eastAsia="Calibri"/>
                <w:sz w:val="22"/>
                <w:szCs w:val="22"/>
                <w:u w:val="single"/>
                <w:lang w:val="sk-SK" w:eastAsia="en-US"/>
              </w:rPr>
              <w:t>Tehotenský test</w:t>
            </w:r>
          </w:p>
          <w:p w14:paraId="7BC69956" w14:textId="1D09E1CF"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Pred začiatkom liečby </w:t>
            </w:r>
            <w:r w:rsidR="0023483F" w:rsidRPr="00921EF2">
              <w:rPr>
                <w:rFonts w:eastAsia="Calibri"/>
                <w:sz w:val="22"/>
                <w:szCs w:val="22"/>
                <w:lang w:val="sk-SK" w:eastAsia="en-US"/>
              </w:rPr>
              <w:t>valproát</w:t>
            </w:r>
            <w:r w:rsidRPr="00921EF2">
              <w:rPr>
                <w:rFonts w:eastAsia="Calibri"/>
                <w:sz w:val="22"/>
                <w:szCs w:val="22"/>
                <w:lang w:val="sk-SK" w:eastAsia="en-US"/>
              </w:rPr>
              <w:t xml:space="preserve">om musí byť vylúčené tehotenstvo. Liečba </w:t>
            </w:r>
            <w:r w:rsidR="0023483F" w:rsidRPr="00921EF2">
              <w:rPr>
                <w:rFonts w:eastAsia="Calibri"/>
                <w:sz w:val="22"/>
                <w:szCs w:val="22"/>
                <w:lang w:val="sk-SK" w:eastAsia="en-US"/>
              </w:rPr>
              <w:t>valproát</w:t>
            </w:r>
            <w:r w:rsidRPr="00921EF2">
              <w:rPr>
                <w:rFonts w:eastAsia="Calibri"/>
                <w:sz w:val="22"/>
                <w:szCs w:val="22"/>
                <w:lang w:val="sk-SK" w:eastAsia="en-US"/>
              </w:rPr>
              <w:t>om nesmie začať u žien vo fertilnom veku bez negatívneho výsledku tehotenského testu (tehotenský test z krvnej plazmy), potvrdeného zdravotníkom, aby sa vylúčilo neúmyselné použitie počas tehotenstva.</w:t>
            </w:r>
          </w:p>
          <w:p w14:paraId="0CF5705B" w14:textId="77777777" w:rsidR="00296C1D" w:rsidRPr="00921EF2" w:rsidRDefault="00296C1D" w:rsidP="00B124D9">
            <w:pPr>
              <w:ind w:left="72" w:right="179"/>
              <w:rPr>
                <w:rFonts w:eastAsia="Calibri"/>
                <w:sz w:val="22"/>
                <w:szCs w:val="22"/>
                <w:lang w:eastAsia="en-US"/>
              </w:rPr>
            </w:pPr>
          </w:p>
          <w:p w14:paraId="3EE40D21" w14:textId="77777777" w:rsidR="00296C1D" w:rsidRPr="00921EF2" w:rsidRDefault="00296C1D" w:rsidP="00B124D9">
            <w:pPr>
              <w:ind w:left="72" w:right="179"/>
              <w:rPr>
                <w:rFonts w:eastAsia="Calibri"/>
                <w:sz w:val="22"/>
                <w:szCs w:val="22"/>
                <w:u w:val="single"/>
                <w:lang w:val="sk-SK" w:eastAsia="en-US"/>
              </w:rPr>
            </w:pPr>
            <w:r w:rsidRPr="00921EF2">
              <w:rPr>
                <w:rFonts w:eastAsia="Calibri"/>
                <w:sz w:val="22"/>
                <w:szCs w:val="22"/>
                <w:u w:val="single"/>
                <w:lang w:val="sk-SK" w:eastAsia="en-US"/>
              </w:rPr>
              <w:t>Antikoncepcia</w:t>
            </w:r>
          </w:p>
          <w:p w14:paraId="4DD87C0F" w14:textId="723F2863" w:rsidR="00296C1D" w:rsidRPr="00921EF2" w:rsidRDefault="00296C1D" w:rsidP="00B124D9">
            <w:pPr>
              <w:ind w:left="74" w:right="181"/>
              <w:rPr>
                <w:rFonts w:eastAsia="Calibri"/>
                <w:sz w:val="22"/>
                <w:szCs w:val="22"/>
                <w:lang w:val="sk-SK" w:eastAsia="en-US"/>
              </w:rPr>
            </w:pPr>
            <w:r w:rsidRPr="00921EF2">
              <w:rPr>
                <w:rFonts w:eastAsia="Calibri"/>
                <w:sz w:val="22"/>
                <w:szCs w:val="22"/>
                <w:lang w:val="sk-SK" w:eastAsia="en-US"/>
              </w:rPr>
              <w:t xml:space="preserve">Ženy vo fertilnom veku, ktorým je predpísaný </w:t>
            </w:r>
            <w:r w:rsidR="0023483F" w:rsidRPr="00921EF2">
              <w:rPr>
                <w:rFonts w:eastAsia="Calibri"/>
                <w:sz w:val="22"/>
                <w:szCs w:val="22"/>
                <w:lang w:val="sk-SK" w:eastAsia="en-US"/>
              </w:rPr>
              <w:t>valproát</w:t>
            </w:r>
            <w:r w:rsidRPr="00921EF2">
              <w:rPr>
                <w:rFonts w:eastAsia="Calibri"/>
                <w:sz w:val="22"/>
                <w:szCs w:val="22"/>
                <w:lang w:val="sk-SK" w:eastAsia="en-US"/>
              </w:rPr>
              <w:t xml:space="preserve">, musia užívať účinnú antikoncepciu bez prerušenia počas celej doby trvania liečby </w:t>
            </w:r>
            <w:r w:rsidR="0023483F" w:rsidRPr="00921EF2">
              <w:rPr>
                <w:rFonts w:eastAsia="Calibri"/>
                <w:sz w:val="22"/>
                <w:szCs w:val="22"/>
                <w:lang w:val="sk-SK" w:eastAsia="en-US"/>
              </w:rPr>
              <w:t>valproát</w:t>
            </w:r>
            <w:r w:rsidRPr="00921EF2">
              <w:rPr>
                <w:rFonts w:eastAsia="Calibri"/>
                <w:sz w:val="22"/>
                <w:szCs w:val="22"/>
                <w:lang w:val="sk-SK" w:eastAsia="en-US"/>
              </w:rPr>
              <w:t xml:space="preserve">om. Takýmto pacientkám musí byť poskytnutá komplexná informácia o prevencii tehotenstva a poradenstvo v prípade, že pacientka neužíva účinnú antikoncepciu. Má sa použiť aspoň jedna účinná metóda antikoncepcie (najlepšie nezávislá od 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w:t>
            </w:r>
            <w:r w:rsidRPr="00921EF2">
              <w:rPr>
                <w:rFonts w:eastAsia="Calibri"/>
                <w:sz w:val="22"/>
                <w:szCs w:val="22"/>
                <w:lang w:eastAsia="en-US"/>
              </w:rPr>
              <w:t>Pacientka musí dodržiavať všetky pokyny o efektívnej antikoncepcii aj v prípade amenorey</w:t>
            </w:r>
            <w:r w:rsidRPr="00921EF2">
              <w:rPr>
                <w:sz w:val="22"/>
                <w:szCs w:val="22"/>
              </w:rPr>
              <w:t>.</w:t>
            </w:r>
          </w:p>
          <w:p w14:paraId="051C39D3" w14:textId="77777777" w:rsidR="00AD5D3D" w:rsidRPr="00921EF2" w:rsidRDefault="00AD5D3D" w:rsidP="00B124D9">
            <w:pPr>
              <w:ind w:left="72"/>
              <w:rPr>
                <w:rFonts w:eastAsia="Calibri"/>
                <w:i/>
                <w:sz w:val="22"/>
                <w:szCs w:val="22"/>
                <w:lang w:val="sk-SK"/>
              </w:rPr>
            </w:pPr>
          </w:p>
          <w:p w14:paraId="26E2F61F" w14:textId="77777777" w:rsidR="00AD5D3D" w:rsidRPr="00921EF2" w:rsidRDefault="00AD5D3D" w:rsidP="00B124D9">
            <w:pPr>
              <w:ind w:left="72"/>
              <w:rPr>
                <w:rFonts w:eastAsia="Calibri"/>
                <w:i/>
                <w:sz w:val="22"/>
                <w:szCs w:val="22"/>
                <w:lang w:val="sk-SK"/>
              </w:rPr>
            </w:pPr>
            <w:r w:rsidRPr="00921EF2">
              <w:rPr>
                <w:rFonts w:eastAsia="Calibri"/>
                <w:i/>
                <w:sz w:val="22"/>
                <w:szCs w:val="22"/>
                <w:lang w:val="sk-SK"/>
              </w:rPr>
              <w:t>Produkty obsahujúce estrogén</w:t>
            </w:r>
          </w:p>
          <w:p w14:paraId="6C08CC04" w14:textId="432C1CB2" w:rsidR="00AD5D3D" w:rsidRPr="00921EF2" w:rsidRDefault="00AD5D3D" w:rsidP="00B124D9">
            <w:pPr>
              <w:ind w:left="72"/>
              <w:rPr>
                <w:sz w:val="22"/>
                <w:szCs w:val="22"/>
              </w:rPr>
            </w:pPr>
            <w:r w:rsidRPr="00921EF2">
              <w:rPr>
                <w:rFonts w:eastAsia="Calibri"/>
                <w:sz w:val="22"/>
                <w:szCs w:val="22"/>
                <w:lang w:val="sk-SK"/>
              </w:rPr>
              <w:t xml:space="preserve">Súbežné použitie s produktmi obsahujúcimi estrogén, vrátane hormonálnej antikoncepcie obsahujúcej estrogén, môže potenciálne viesť k zníženiu účinnosti </w:t>
            </w:r>
            <w:r w:rsidR="0023483F" w:rsidRPr="00921EF2">
              <w:rPr>
                <w:rFonts w:eastAsia="Calibri"/>
                <w:sz w:val="22"/>
                <w:szCs w:val="22"/>
                <w:lang w:val="sk-SK"/>
              </w:rPr>
              <w:t>valproát</w:t>
            </w:r>
            <w:r w:rsidRPr="00921EF2">
              <w:rPr>
                <w:rFonts w:eastAsia="Calibri"/>
                <w:sz w:val="22"/>
                <w:szCs w:val="22"/>
                <w:lang w:val="sk-SK"/>
              </w:rPr>
              <w:t xml:space="preserve">u (pozri časť 4.5). Lekár má sledovať klinickú odpoveď (kontrola záchvatov alebo kontrola nálady) pri začatí alebo ukončení liečby produktmi obsahujúcimi estrogén. </w:t>
            </w:r>
          </w:p>
          <w:p w14:paraId="28879D9B" w14:textId="77777777" w:rsidR="00AD5D3D" w:rsidRPr="00921EF2" w:rsidRDefault="00AD5D3D" w:rsidP="00B124D9">
            <w:pPr>
              <w:ind w:left="72"/>
              <w:rPr>
                <w:rFonts w:eastAsia="Calibri"/>
                <w:sz w:val="22"/>
                <w:szCs w:val="22"/>
                <w:lang w:eastAsia="en-US"/>
              </w:rPr>
            </w:pPr>
          </w:p>
          <w:p w14:paraId="75B6095D" w14:textId="0E55A4DF" w:rsidR="00AD5D3D" w:rsidRPr="00921EF2" w:rsidRDefault="00AD5D3D" w:rsidP="00B124D9">
            <w:pPr>
              <w:ind w:left="72"/>
              <w:rPr>
                <w:rFonts w:eastAsia="Calibri"/>
                <w:sz w:val="22"/>
                <w:szCs w:val="22"/>
                <w:lang w:val="sk-SK"/>
              </w:rPr>
            </w:pPr>
            <w:r w:rsidRPr="00921EF2">
              <w:rPr>
                <w:rFonts w:eastAsia="Calibri"/>
                <w:sz w:val="22"/>
                <w:szCs w:val="22"/>
                <w:lang w:eastAsia="en-US"/>
              </w:rPr>
              <w:t xml:space="preserve">Naopak, </w:t>
            </w:r>
            <w:r w:rsidR="0023483F" w:rsidRPr="00921EF2">
              <w:rPr>
                <w:rFonts w:eastAsia="Calibri"/>
                <w:sz w:val="22"/>
                <w:szCs w:val="22"/>
                <w:lang w:eastAsia="en-US"/>
              </w:rPr>
              <w:t>valproát</w:t>
            </w:r>
            <w:r w:rsidRPr="00921EF2">
              <w:rPr>
                <w:rFonts w:eastAsia="Calibri"/>
                <w:sz w:val="22"/>
                <w:szCs w:val="22"/>
                <w:lang w:val="sk-SK"/>
              </w:rPr>
              <w:t xml:space="preserve"> neznižuje účinnosť hormonálnej antikoncepcie.</w:t>
            </w:r>
          </w:p>
          <w:p w14:paraId="63922E9E" w14:textId="77777777" w:rsidR="0017179D" w:rsidRPr="00921EF2" w:rsidRDefault="0017179D" w:rsidP="00B124D9">
            <w:pPr>
              <w:ind w:left="74" w:right="181"/>
              <w:rPr>
                <w:rFonts w:eastAsia="Calibri"/>
                <w:sz w:val="22"/>
                <w:szCs w:val="22"/>
                <w:u w:val="single"/>
                <w:lang w:val="sk-SK" w:eastAsia="en-US"/>
              </w:rPr>
            </w:pPr>
          </w:p>
          <w:p w14:paraId="7A134AB9" w14:textId="77777777" w:rsidR="00296C1D" w:rsidRPr="00921EF2" w:rsidRDefault="00296C1D" w:rsidP="00B124D9">
            <w:pPr>
              <w:ind w:left="74" w:right="181"/>
              <w:rPr>
                <w:rFonts w:eastAsia="Calibri"/>
                <w:sz w:val="22"/>
                <w:szCs w:val="22"/>
                <w:u w:val="single"/>
                <w:lang w:val="sk-SK" w:eastAsia="en-US"/>
              </w:rPr>
            </w:pPr>
            <w:r w:rsidRPr="00921EF2">
              <w:rPr>
                <w:rFonts w:eastAsia="Calibri"/>
                <w:sz w:val="22"/>
                <w:szCs w:val="22"/>
                <w:u w:val="single"/>
                <w:lang w:val="sk-SK" w:eastAsia="en-US"/>
              </w:rPr>
              <w:t>Každoročné prehodnotenie liečby špecialistom</w:t>
            </w:r>
          </w:p>
          <w:p w14:paraId="5126878D" w14:textId="06A2A814"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Špecialista má aspoň raz ročne zhodnotiť, či je </w:t>
            </w:r>
            <w:r w:rsidR="0023483F" w:rsidRPr="00921EF2">
              <w:rPr>
                <w:rFonts w:eastAsia="Calibri"/>
                <w:sz w:val="22"/>
                <w:szCs w:val="22"/>
                <w:lang w:val="sk-SK" w:eastAsia="en-US"/>
              </w:rPr>
              <w:t>valproát</w:t>
            </w:r>
            <w:r w:rsidRPr="00921EF2">
              <w:rPr>
                <w:rFonts w:eastAsia="Calibri"/>
                <w:sz w:val="22"/>
                <w:szCs w:val="22"/>
                <w:lang w:val="sk-SK" w:eastAsia="en-US"/>
              </w:rPr>
              <w:t xml:space="preserve"> pre pacientku najvhodnejšou liečbou. Špecialista má s pacientkou prediskutovať </w:t>
            </w:r>
            <w:r w:rsidRPr="00921EF2">
              <w:rPr>
                <w:color w:val="000000"/>
                <w:sz w:val="22"/>
                <w:szCs w:val="22"/>
              </w:rPr>
              <w:t>Formulár na potvrdenie o pravidelnom informovaní pacientky</w:t>
            </w:r>
            <w:r w:rsidRPr="00921EF2">
              <w:rPr>
                <w:rFonts w:eastAsia="Calibri"/>
                <w:sz w:val="22"/>
                <w:szCs w:val="22"/>
                <w:lang w:val="sk-SK" w:eastAsia="en-US"/>
              </w:rPr>
              <w:t xml:space="preserve"> na začiatku liečby a počas každoročnej prehliadky a uistiť sa, že pacientka porozumela jeho obsahu. </w:t>
            </w:r>
          </w:p>
          <w:p w14:paraId="4E2B1F3D" w14:textId="77777777" w:rsidR="00296C1D" w:rsidRPr="00921EF2" w:rsidRDefault="00296C1D" w:rsidP="00B124D9">
            <w:pPr>
              <w:ind w:left="72" w:right="179"/>
              <w:rPr>
                <w:rFonts w:eastAsia="Calibri"/>
                <w:sz w:val="22"/>
                <w:szCs w:val="22"/>
                <w:u w:val="single"/>
                <w:lang w:eastAsia="en-US"/>
              </w:rPr>
            </w:pPr>
          </w:p>
          <w:p w14:paraId="675A3A07" w14:textId="77777777" w:rsidR="00296C1D" w:rsidRPr="00921EF2" w:rsidRDefault="00296C1D" w:rsidP="00B124D9">
            <w:pPr>
              <w:ind w:left="72" w:right="179"/>
              <w:rPr>
                <w:rFonts w:eastAsia="Calibri"/>
                <w:sz w:val="22"/>
                <w:szCs w:val="22"/>
                <w:u w:val="single"/>
                <w:lang w:val="sk-SK" w:eastAsia="en-US"/>
              </w:rPr>
            </w:pPr>
            <w:r w:rsidRPr="00921EF2">
              <w:rPr>
                <w:rFonts w:eastAsia="Calibri"/>
                <w:sz w:val="22"/>
                <w:szCs w:val="22"/>
                <w:u w:val="single"/>
                <w:lang w:val="sk-SK" w:eastAsia="en-US"/>
              </w:rPr>
              <w:t>Plánovanie tehotenstva</w:t>
            </w:r>
          </w:p>
          <w:p w14:paraId="0B711AB4" w14:textId="3B7EAABC"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Pokiaľ žena s epilepsiou plánuje otehotnieť, musí špecialista so skúsenosťami s liečbou epilepsie prehodnotiť liečbu </w:t>
            </w:r>
            <w:r w:rsidR="0023483F" w:rsidRPr="00921EF2">
              <w:rPr>
                <w:rFonts w:eastAsia="Calibri"/>
                <w:sz w:val="22"/>
                <w:szCs w:val="22"/>
                <w:lang w:val="sk-SK" w:eastAsia="en-US"/>
              </w:rPr>
              <w:t>valproát</w:t>
            </w:r>
            <w:r w:rsidRPr="00921EF2">
              <w:rPr>
                <w:rFonts w:eastAsia="Calibri"/>
                <w:sz w:val="22"/>
                <w:szCs w:val="22"/>
                <w:lang w:val="sk-SK" w:eastAsia="en-US"/>
              </w:rPr>
              <w:t xml:space="preserve">om a zvážiť alternatívne možnosti liečby. Má sa vynaložiť všetko úsilie na prechod na vhodnú alternatívnu liečbu pred počatím a vysadením antikoncepcie (pozri časť 4.6). Ak zmena liečby nie je možná, žena má dostať ďalšie poradenstvo týkajúce sa rizík </w:t>
            </w:r>
            <w:r w:rsidR="0023483F" w:rsidRPr="00921EF2">
              <w:rPr>
                <w:rFonts w:eastAsia="Calibri"/>
                <w:sz w:val="22"/>
                <w:szCs w:val="22"/>
                <w:lang w:val="sk-SK" w:eastAsia="en-US"/>
              </w:rPr>
              <w:t>valproát</w:t>
            </w:r>
            <w:r w:rsidRPr="00921EF2">
              <w:rPr>
                <w:rFonts w:eastAsia="Calibri"/>
                <w:sz w:val="22"/>
                <w:szCs w:val="22"/>
                <w:lang w:val="sk-SK" w:eastAsia="en-US"/>
              </w:rPr>
              <w:t xml:space="preserve">u pre nenarodené dieťa, ktoré jej dopomôže k informovanému rozhodnutiu o plánovaní rodiny. </w:t>
            </w:r>
          </w:p>
          <w:p w14:paraId="0D1A1E0C" w14:textId="1C5A805A"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Pokiaľ žena s bipolárnou poruchou</w:t>
            </w:r>
            <w:r w:rsidRPr="00921EF2">
              <w:rPr>
                <w:rFonts w:eastAsia="Calibri"/>
                <w:i/>
                <w:sz w:val="22"/>
                <w:szCs w:val="22"/>
                <w:lang w:eastAsia="en-US"/>
              </w:rPr>
              <w:t xml:space="preserve"> </w:t>
            </w:r>
            <w:r w:rsidRPr="00921EF2">
              <w:rPr>
                <w:rFonts w:eastAsia="Calibri"/>
                <w:sz w:val="22"/>
                <w:szCs w:val="22"/>
                <w:lang w:val="sk-SK" w:eastAsia="en-US"/>
              </w:rPr>
              <w:t>plánuje otehotnieť, musí sa poradiť so špecialistom so skúsenosťami s liečbou bipolárnej poruchy</w:t>
            </w:r>
            <w:r w:rsidRPr="00921EF2">
              <w:rPr>
                <w:rFonts w:eastAsia="Calibri"/>
                <w:sz w:val="22"/>
                <w:szCs w:val="22"/>
                <w:lang w:eastAsia="en-US"/>
              </w:rPr>
              <w:t xml:space="preserve"> </w:t>
            </w:r>
            <w:r w:rsidRPr="00921EF2">
              <w:rPr>
                <w:rFonts w:eastAsia="Calibri"/>
                <w:sz w:val="22"/>
                <w:szCs w:val="22"/>
                <w:lang w:val="sk-SK" w:eastAsia="en-US"/>
              </w:rPr>
              <w:t xml:space="preserve">a liečba </w:t>
            </w:r>
            <w:r w:rsidR="0023483F" w:rsidRPr="00921EF2">
              <w:rPr>
                <w:rFonts w:eastAsia="Calibri"/>
                <w:sz w:val="22"/>
                <w:szCs w:val="22"/>
                <w:lang w:val="sk-SK" w:eastAsia="en-US"/>
              </w:rPr>
              <w:t>valproát</w:t>
            </w:r>
            <w:r w:rsidRPr="00921EF2">
              <w:rPr>
                <w:rFonts w:eastAsia="Calibri"/>
                <w:sz w:val="22"/>
                <w:szCs w:val="22"/>
                <w:lang w:val="sk-SK" w:eastAsia="en-US"/>
              </w:rPr>
              <w:t>om má byť prerušená a podľa potreby nahradená alternatívnou liečbou v období pred počatím a pred vysadením antikoncepcie.</w:t>
            </w:r>
          </w:p>
          <w:p w14:paraId="3DFF5DBE" w14:textId="77777777" w:rsidR="00296C1D" w:rsidRPr="00921EF2" w:rsidRDefault="00296C1D" w:rsidP="00B124D9">
            <w:pPr>
              <w:ind w:left="72" w:right="179"/>
              <w:rPr>
                <w:rFonts w:eastAsia="Calibri"/>
                <w:sz w:val="22"/>
                <w:szCs w:val="22"/>
                <w:u w:val="single"/>
                <w:lang w:eastAsia="en-US"/>
              </w:rPr>
            </w:pPr>
          </w:p>
          <w:p w14:paraId="08BC2263" w14:textId="77777777" w:rsidR="00296C1D" w:rsidRPr="00921EF2" w:rsidRDefault="00296C1D" w:rsidP="00B124D9">
            <w:pPr>
              <w:ind w:left="74" w:right="181"/>
              <w:rPr>
                <w:rFonts w:eastAsia="Calibri"/>
                <w:sz w:val="22"/>
                <w:szCs w:val="22"/>
                <w:u w:val="single"/>
                <w:lang w:val="sk-SK" w:eastAsia="en-US"/>
              </w:rPr>
            </w:pPr>
            <w:r w:rsidRPr="00921EF2">
              <w:rPr>
                <w:rFonts w:eastAsia="Calibri"/>
                <w:sz w:val="22"/>
                <w:szCs w:val="22"/>
                <w:u w:val="single"/>
                <w:lang w:val="sk-SK" w:eastAsia="en-US"/>
              </w:rPr>
              <w:t>V prípade tehotenstva</w:t>
            </w:r>
          </w:p>
          <w:p w14:paraId="347FD3B5" w14:textId="23D3D3AE"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Pokiaľ žena užívajúca </w:t>
            </w:r>
            <w:r w:rsidR="0023483F" w:rsidRPr="00921EF2">
              <w:rPr>
                <w:rFonts w:eastAsia="Calibri"/>
                <w:sz w:val="22"/>
                <w:szCs w:val="22"/>
                <w:lang w:val="sk-SK" w:eastAsia="en-US"/>
              </w:rPr>
              <w:t>valproát</w:t>
            </w:r>
            <w:r w:rsidRPr="00921EF2">
              <w:rPr>
                <w:rFonts w:eastAsia="Calibri"/>
                <w:sz w:val="22"/>
                <w:szCs w:val="22"/>
                <w:lang w:val="sk-SK" w:eastAsia="en-US"/>
              </w:rPr>
              <w:t xml:space="preserve"> otehotnie, musí byť okamžite odoslaná k špecialistovi, aby bola prehodnotená liečba </w:t>
            </w:r>
            <w:r w:rsidR="0023483F" w:rsidRPr="00921EF2">
              <w:rPr>
                <w:rFonts w:eastAsia="Calibri"/>
                <w:sz w:val="22"/>
                <w:szCs w:val="22"/>
                <w:lang w:val="sk-SK" w:eastAsia="en-US"/>
              </w:rPr>
              <w:t>valproát</w:t>
            </w:r>
            <w:r w:rsidRPr="00921EF2">
              <w:rPr>
                <w:rFonts w:eastAsia="Calibri"/>
                <w:sz w:val="22"/>
                <w:szCs w:val="22"/>
                <w:lang w:val="sk-SK" w:eastAsia="en-US"/>
              </w:rPr>
              <w:t xml:space="preserve">om a zvážené alternatívne možnosti liečby. Pacientky vystavené účinku </w:t>
            </w:r>
            <w:r w:rsidR="0023483F" w:rsidRPr="00921EF2">
              <w:rPr>
                <w:rFonts w:eastAsia="Calibri"/>
                <w:sz w:val="22"/>
                <w:szCs w:val="22"/>
                <w:lang w:val="sk-SK" w:eastAsia="en-US"/>
              </w:rPr>
              <w:t>valproát</w:t>
            </w:r>
            <w:r w:rsidRPr="00921EF2">
              <w:rPr>
                <w:rFonts w:eastAsia="Calibri"/>
                <w:sz w:val="22"/>
                <w:szCs w:val="22"/>
                <w:lang w:val="sk-SK" w:eastAsia="en-US"/>
              </w:rPr>
              <w:t>u počas tehotenstva a ich partneri musia byť odoslaní k špecialistovi so skúsenosťami v teratológii kvôli zhodnoteniu situácie a poradenstvu ohľadne exponovaného tehotenstva (pozri časť 4.6).</w:t>
            </w:r>
          </w:p>
          <w:p w14:paraId="26E992E2" w14:textId="77777777" w:rsidR="00296C1D" w:rsidRDefault="00296C1D" w:rsidP="00B124D9">
            <w:pPr>
              <w:ind w:left="72" w:right="179"/>
              <w:rPr>
                <w:rFonts w:eastAsia="Calibri"/>
                <w:sz w:val="22"/>
                <w:szCs w:val="22"/>
                <w:lang w:eastAsia="en-US"/>
              </w:rPr>
            </w:pPr>
          </w:p>
          <w:p w14:paraId="71AC7FC4" w14:textId="77777777" w:rsidR="008A1BA8" w:rsidRDefault="008A1BA8" w:rsidP="00B124D9">
            <w:pPr>
              <w:ind w:left="72" w:right="179"/>
              <w:rPr>
                <w:rFonts w:eastAsia="Calibri"/>
                <w:sz w:val="22"/>
                <w:szCs w:val="22"/>
                <w:lang w:eastAsia="en-US"/>
              </w:rPr>
            </w:pPr>
          </w:p>
          <w:p w14:paraId="0AB242FE" w14:textId="77777777" w:rsidR="008A1BA8" w:rsidRPr="00921EF2" w:rsidRDefault="008A1BA8" w:rsidP="00B124D9">
            <w:pPr>
              <w:ind w:left="72" w:right="179"/>
              <w:rPr>
                <w:rFonts w:eastAsia="Calibri"/>
                <w:sz w:val="22"/>
                <w:szCs w:val="22"/>
                <w:lang w:eastAsia="en-US"/>
              </w:rPr>
            </w:pPr>
          </w:p>
          <w:p w14:paraId="69B4B08E" w14:textId="77777777" w:rsidR="00296C1D" w:rsidRPr="00921EF2" w:rsidRDefault="00296C1D" w:rsidP="008A1BA8">
            <w:pPr>
              <w:keepNext/>
              <w:ind w:left="72" w:right="181"/>
              <w:rPr>
                <w:rFonts w:eastAsia="Calibri"/>
                <w:sz w:val="22"/>
                <w:szCs w:val="22"/>
                <w:u w:val="single"/>
                <w:lang w:val="sk-SK" w:eastAsia="en-US"/>
              </w:rPr>
            </w:pPr>
            <w:r w:rsidRPr="00921EF2">
              <w:rPr>
                <w:rFonts w:eastAsia="Calibri"/>
                <w:sz w:val="22"/>
                <w:szCs w:val="22"/>
                <w:u w:val="single"/>
                <w:lang w:val="sk-SK" w:eastAsia="en-US"/>
              </w:rPr>
              <w:lastRenderedPageBreak/>
              <w:t>Lekárnik musí zaistiť, aby</w:t>
            </w:r>
          </w:p>
          <w:p w14:paraId="53E62A3A" w14:textId="2D706B50" w:rsidR="00296C1D" w:rsidRPr="00921EF2" w:rsidRDefault="00296C1D" w:rsidP="008A1BA8">
            <w:pPr>
              <w:keepNext/>
              <w:numPr>
                <w:ilvl w:val="0"/>
                <w:numId w:val="21"/>
              </w:numPr>
              <w:ind w:right="181"/>
              <w:rPr>
                <w:rFonts w:eastAsia="Calibri"/>
                <w:sz w:val="22"/>
                <w:szCs w:val="22"/>
                <w:lang w:val="sk-SK" w:eastAsia="en-US"/>
              </w:rPr>
            </w:pPr>
            <w:r w:rsidRPr="00921EF2">
              <w:rPr>
                <w:rFonts w:eastAsia="Calibri"/>
                <w:sz w:val="22"/>
                <w:szCs w:val="22"/>
                <w:lang w:val="sk-SK" w:eastAsia="en-US"/>
              </w:rPr>
              <w:t xml:space="preserve">pri každom vydávaní </w:t>
            </w:r>
            <w:r w:rsidR="0023483F" w:rsidRPr="00921EF2">
              <w:rPr>
                <w:rFonts w:eastAsia="Calibri"/>
                <w:sz w:val="22"/>
                <w:szCs w:val="22"/>
                <w:lang w:val="sk-SK" w:eastAsia="en-US"/>
              </w:rPr>
              <w:t>valproát</w:t>
            </w:r>
            <w:r w:rsidRPr="00921EF2">
              <w:rPr>
                <w:rFonts w:eastAsia="Calibri"/>
                <w:sz w:val="22"/>
                <w:szCs w:val="22"/>
                <w:lang w:val="sk-SK" w:eastAsia="en-US"/>
              </w:rPr>
              <w:t>u bola pacientke poskytnutá Karta pre pacientku a pacientka rozumela jej obsahu.</w:t>
            </w:r>
          </w:p>
          <w:p w14:paraId="3FEEC977" w14:textId="2430B11C" w:rsidR="00296C1D" w:rsidRPr="00921EF2" w:rsidRDefault="00296C1D" w:rsidP="008A1BA8">
            <w:pPr>
              <w:keepNext/>
              <w:numPr>
                <w:ilvl w:val="0"/>
                <w:numId w:val="21"/>
              </w:numPr>
              <w:ind w:right="181"/>
              <w:rPr>
                <w:rFonts w:eastAsia="Calibri"/>
                <w:sz w:val="22"/>
                <w:szCs w:val="22"/>
                <w:lang w:val="sk-SK" w:eastAsia="en-US"/>
              </w:rPr>
            </w:pPr>
            <w:r w:rsidRPr="00921EF2">
              <w:rPr>
                <w:rFonts w:eastAsia="Calibri"/>
                <w:sz w:val="22"/>
                <w:szCs w:val="22"/>
                <w:lang w:val="sk-SK" w:eastAsia="en-US"/>
              </w:rPr>
              <w:t xml:space="preserve">pacientky boli upozornené, aby v prípade plánovania alebo podozrenia na tehotenstvo liečbu </w:t>
            </w:r>
            <w:r w:rsidR="0023483F" w:rsidRPr="00921EF2">
              <w:rPr>
                <w:rFonts w:eastAsia="Calibri"/>
                <w:sz w:val="22"/>
                <w:szCs w:val="22"/>
                <w:lang w:val="sk-SK" w:eastAsia="en-US"/>
              </w:rPr>
              <w:t>valproát</w:t>
            </w:r>
            <w:r w:rsidRPr="00921EF2">
              <w:rPr>
                <w:rFonts w:eastAsia="Calibri"/>
                <w:sz w:val="22"/>
                <w:szCs w:val="22"/>
                <w:lang w:val="sk-SK" w:eastAsia="en-US"/>
              </w:rPr>
              <w:t>om neprerušovali, ale okamžite kontaktovali špecialistu.</w:t>
            </w:r>
          </w:p>
          <w:p w14:paraId="46B39E44" w14:textId="77777777" w:rsidR="00296C1D" w:rsidRPr="00921EF2" w:rsidRDefault="00296C1D" w:rsidP="00B124D9">
            <w:pPr>
              <w:ind w:left="72" w:right="179"/>
              <w:rPr>
                <w:rFonts w:eastAsia="Calibri"/>
                <w:sz w:val="22"/>
                <w:szCs w:val="22"/>
                <w:u w:val="single"/>
                <w:lang w:eastAsia="en-US"/>
              </w:rPr>
            </w:pPr>
          </w:p>
          <w:p w14:paraId="73CB6DD8" w14:textId="77777777" w:rsidR="00296C1D" w:rsidRPr="00921EF2" w:rsidRDefault="00296C1D" w:rsidP="00B124D9">
            <w:pPr>
              <w:ind w:left="72" w:right="179"/>
              <w:rPr>
                <w:rFonts w:eastAsia="Calibri"/>
                <w:i/>
                <w:sz w:val="22"/>
                <w:szCs w:val="22"/>
                <w:lang w:val="sk-SK" w:eastAsia="en-US"/>
              </w:rPr>
            </w:pPr>
            <w:r w:rsidRPr="00921EF2">
              <w:rPr>
                <w:rFonts w:eastAsia="Calibri"/>
                <w:sz w:val="22"/>
                <w:szCs w:val="22"/>
                <w:u w:val="single"/>
                <w:lang w:val="sk-SK" w:eastAsia="en-US"/>
              </w:rPr>
              <w:t>Edukačné materiály</w:t>
            </w:r>
          </w:p>
          <w:p w14:paraId="5E41DAD2" w14:textId="38C97B56"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V záujme pomoci zdravotníckym pracovníkom a pacientkám vyvarovať sa expozícii účinku </w:t>
            </w:r>
            <w:r w:rsidR="0023483F" w:rsidRPr="00921EF2">
              <w:rPr>
                <w:rFonts w:eastAsia="Calibri"/>
                <w:sz w:val="22"/>
                <w:szCs w:val="22"/>
                <w:lang w:val="sk-SK" w:eastAsia="en-US"/>
              </w:rPr>
              <w:t>valproát</w:t>
            </w:r>
            <w:r w:rsidRPr="00921EF2">
              <w:rPr>
                <w:rFonts w:eastAsia="Calibri"/>
                <w:sz w:val="22"/>
                <w:szCs w:val="22"/>
                <w:lang w:val="sk-SK" w:eastAsia="en-US"/>
              </w:rPr>
              <w:t>u počas tehotenstva, poskytuje držiteľ rozhodnutia o registrácii edukačné materiály, aby zdôraznil varovanie a poskytol návody ohľadne užíva</w:t>
            </w:r>
            <w:r w:rsidR="00DC0C31" w:rsidRPr="00921EF2">
              <w:rPr>
                <w:rFonts w:eastAsia="Calibri"/>
                <w:sz w:val="22"/>
                <w:szCs w:val="22"/>
                <w:lang w:val="sk-SK" w:eastAsia="en-US"/>
              </w:rPr>
              <w:t>n</w:t>
            </w:r>
            <w:r w:rsidRPr="00921EF2">
              <w:rPr>
                <w:rFonts w:eastAsia="Calibri"/>
                <w:sz w:val="22"/>
                <w:szCs w:val="22"/>
                <w:lang w:val="sk-SK" w:eastAsia="en-US"/>
              </w:rPr>
              <w:t xml:space="preserve">ia </w:t>
            </w:r>
            <w:r w:rsidR="0023483F" w:rsidRPr="00921EF2">
              <w:rPr>
                <w:rFonts w:eastAsia="Calibri"/>
                <w:sz w:val="22"/>
                <w:szCs w:val="22"/>
                <w:lang w:val="sk-SK" w:eastAsia="en-US"/>
              </w:rPr>
              <w:t>valproát</w:t>
            </w:r>
            <w:r w:rsidRPr="00921EF2">
              <w:rPr>
                <w:rFonts w:eastAsia="Calibri"/>
                <w:sz w:val="22"/>
                <w:szCs w:val="22"/>
                <w:lang w:val="sk-SK" w:eastAsia="en-US"/>
              </w:rPr>
              <w:t xml:space="preserve">u u žien vo fertilnom veku a detaily Programu </w:t>
            </w:r>
            <w:r w:rsidR="00746D2E" w:rsidRPr="00921EF2">
              <w:rPr>
                <w:rFonts w:eastAsia="Calibri"/>
                <w:sz w:val="22"/>
                <w:szCs w:val="22"/>
                <w:lang w:val="sk-SK" w:eastAsia="en-US"/>
              </w:rPr>
              <w:t>prevencie</w:t>
            </w:r>
            <w:r w:rsidRPr="00921EF2">
              <w:rPr>
                <w:rFonts w:eastAsia="Calibri"/>
                <w:sz w:val="22"/>
                <w:szCs w:val="22"/>
                <w:lang w:val="sk-SK" w:eastAsia="en-US"/>
              </w:rPr>
              <w:t xml:space="preserve"> tehotenstva. Informačná príručka pre pacientku a Karta pre pacientku majú byť poskytnuté všetkým ženám vo fertilnom veku, ktoré užívajú </w:t>
            </w:r>
            <w:r w:rsidR="0023483F" w:rsidRPr="00921EF2">
              <w:rPr>
                <w:rFonts w:eastAsia="Calibri"/>
                <w:sz w:val="22"/>
                <w:szCs w:val="22"/>
                <w:lang w:val="sk-SK" w:eastAsia="en-US"/>
              </w:rPr>
              <w:t>valproát</w:t>
            </w:r>
            <w:r w:rsidRPr="00921EF2">
              <w:rPr>
                <w:rFonts w:eastAsia="Calibri"/>
                <w:sz w:val="22"/>
                <w:szCs w:val="22"/>
                <w:lang w:val="sk-SK" w:eastAsia="en-US"/>
              </w:rPr>
              <w:t xml:space="preserve">. </w:t>
            </w:r>
          </w:p>
          <w:p w14:paraId="1F74A519" w14:textId="60D14F4A" w:rsidR="00C311B9" w:rsidRPr="00921EF2" w:rsidRDefault="00296C1D" w:rsidP="00B124D9">
            <w:pPr>
              <w:keepNext/>
              <w:keepLines/>
              <w:ind w:left="74" w:right="181"/>
              <w:rPr>
                <w:rFonts w:eastAsia="Calibri"/>
                <w:sz w:val="22"/>
                <w:szCs w:val="22"/>
                <w:lang w:val="sk-SK"/>
              </w:rPr>
            </w:pPr>
            <w:r w:rsidRPr="00921EF2">
              <w:rPr>
                <w:color w:val="000000"/>
                <w:sz w:val="22"/>
                <w:szCs w:val="22"/>
              </w:rPr>
              <w:t>Formulár na potvrdenie o pravidelnom informovaní pacientky</w:t>
            </w:r>
            <w:r w:rsidRPr="00921EF2">
              <w:rPr>
                <w:sz w:val="22"/>
                <w:szCs w:val="22"/>
                <w:lang w:val="sk-SK"/>
              </w:rPr>
              <w:t>,</w:t>
            </w:r>
            <w:r w:rsidRPr="00921EF2">
              <w:rPr>
                <w:rFonts w:eastAsia="Calibri"/>
                <w:sz w:val="22"/>
                <w:szCs w:val="22"/>
                <w:lang w:val="sk-SK" w:eastAsia="en-US"/>
              </w:rPr>
              <w:t xml:space="preserve"> musí byť použitý pri začiatku liečby a pri každoročnom špecialistom uskutočnenom prehodnocovaní liečby </w:t>
            </w:r>
            <w:r w:rsidR="0023483F" w:rsidRPr="00921EF2">
              <w:rPr>
                <w:rFonts w:eastAsia="Calibri"/>
                <w:sz w:val="22"/>
                <w:szCs w:val="22"/>
                <w:lang w:val="sk-SK" w:eastAsia="en-US"/>
              </w:rPr>
              <w:t>valproát</w:t>
            </w:r>
            <w:r w:rsidRPr="00921EF2">
              <w:rPr>
                <w:rFonts w:eastAsia="Calibri"/>
                <w:sz w:val="22"/>
                <w:szCs w:val="22"/>
                <w:lang w:val="sk-SK" w:eastAsia="en-US"/>
              </w:rPr>
              <w:t>om.</w:t>
            </w:r>
          </w:p>
        </w:tc>
      </w:tr>
    </w:tbl>
    <w:p w14:paraId="5081A7AD" w14:textId="77777777" w:rsidR="00793974" w:rsidRPr="00921EF2" w:rsidRDefault="00793974" w:rsidP="005C64C0">
      <w:pPr>
        <w:rPr>
          <w:b/>
          <w:bCs/>
          <w:sz w:val="22"/>
          <w:szCs w:val="22"/>
          <w:lang w:val="sk-SK"/>
        </w:rPr>
      </w:pPr>
    </w:p>
    <w:p w14:paraId="190A7177" w14:textId="77777777" w:rsidR="00977BF3" w:rsidRPr="00921EF2" w:rsidRDefault="006A1595" w:rsidP="00B124D9">
      <w:pPr>
        <w:keepNext/>
        <w:rPr>
          <w:bCs/>
          <w:sz w:val="22"/>
          <w:szCs w:val="22"/>
          <w:u w:val="single"/>
          <w:lang w:val="sk-SK"/>
        </w:rPr>
      </w:pPr>
      <w:r w:rsidRPr="00921EF2">
        <w:rPr>
          <w:bCs/>
          <w:sz w:val="22"/>
          <w:szCs w:val="22"/>
          <w:u w:val="single"/>
          <w:lang w:val="sk-SK"/>
        </w:rPr>
        <w:t>Porucha</w:t>
      </w:r>
      <w:r w:rsidR="00977BF3" w:rsidRPr="00921EF2">
        <w:rPr>
          <w:bCs/>
          <w:sz w:val="22"/>
          <w:szCs w:val="22"/>
          <w:u w:val="single"/>
          <w:lang w:val="sk-SK"/>
        </w:rPr>
        <w:t xml:space="preserve"> funkci</w:t>
      </w:r>
      <w:r w:rsidR="00DC0C31" w:rsidRPr="00921EF2">
        <w:rPr>
          <w:bCs/>
          <w:sz w:val="22"/>
          <w:szCs w:val="22"/>
          <w:u w:val="single"/>
          <w:lang w:val="sk-SK"/>
        </w:rPr>
        <w:t>e</w:t>
      </w:r>
      <w:r w:rsidR="00977BF3" w:rsidRPr="00921EF2">
        <w:rPr>
          <w:bCs/>
          <w:sz w:val="22"/>
          <w:szCs w:val="22"/>
          <w:u w:val="single"/>
          <w:lang w:val="sk-SK"/>
        </w:rPr>
        <w:t xml:space="preserve"> pečene</w:t>
      </w:r>
      <w:r w:rsidR="00090C02" w:rsidRPr="00921EF2">
        <w:rPr>
          <w:bCs/>
          <w:sz w:val="22"/>
          <w:szCs w:val="22"/>
          <w:u w:val="single"/>
          <w:lang w:val="sk-SK"/>
        </w:rPr>
        <w:t>:</w:t>
      </w:r>
    </w:p>
    <w:p w14:paraId="40AF9EFF" w14:textId="77777777" w:rsidR="00977BF3" w:rsidRPr="00921EF2" w:rsidRDefault="00977BF3" w:rsidP="00B124D9">
      <w:pPr>
        <w:keepNext/>
        <w:rPr>
          <w:i/>
          <w:sz w:val="22"/>
          <w:szCs w:val="22"/>
          <w:u w:val="single"/>
          <w:lang w:val="sk-SK"/>
        </w:rPr>
      </w:pPr>
      <w:r w:rsidRPr="00921EF2">
        <w:rPr>
          <w:i/>
          <w:sz w:val="22"/>
          <w:szCs w:val="22"/>
          <w:u w:val="single"/>
          <w:lang w:val="sk-SK"/>
        </w:rPr>
        <w:t>Podmienky vzniku</w:t>
      </w:r>
      <w:r w:rsidR="00090C02" w:rsidRPr="00921EF2">
        <w:rPr>
          <w:i/>
          <w:sz w:val="22"/>
          <w:szCs w:val="22"/>
          <w:u w:val="single"/>
          <w:lang w:val="sk-SK"/>
        </w:rPr>
        <w:t>:</w:t>
      </w:r>
    </w:p>
    <w:p w14:paraId="2C738264" w14:textId="77777777" w:rsidR="00977BF3" w:rsidRPr="00921EF2" w:rsidRDefault="00977BF3" w:rsidP="00B124D9">
      <w:pPr>
        <w:rPr>
          <w:sz w:val="22"/>
          <w:szCs w:val="22"/>
          <w:lang w:val="sk-SK"/>
        </w:rPr>
      </w:pPr>
      <w:r w:rsidRPr="00921EF2">
        <w:rPr>
          <w:sz w:val="22"/>
          <w:szCs w:val="22"/>
          <w:lang w:val="sk-SK"/>
        </w:rPr>
        <w:t>Výnimočne sa vyskytlo ťažké poškodenie pečene, končiace niekedy až fatálne.</w:t>
      </w:r>
    </w:p>
    <w:p w14:paraId="665E036D" w14:textId="77777777" w:rsidR="00977BF3" w:rsidRPr="00921EF2" w:rsidRDefault="00977BF3" w:rsidP="00B124D9">
      <w:pPr>
        <w:rPr>
          <w:sz w:val="22"/>
          <w:szCs w:val="22"/>
          <w:lang w:val="sk-SK"/>
        </w:rPr>
      </w:pPr>
      <w:r w:rsidRPr="00921EF2">
        <w:rPr>
          <w:sz w:val="22"/>
          <w:szCs w:val="22"/>
          <w:lang w:val="sk-SK"/>
        </w:rPr>
        <w:t xml:space="preserve">Skúsenosti </w:t>
      </w:r>
      <w:r w:rsidR="00910C80" w:rsidRPr="00921EF2">
        <w:rPr>
          <w:sz w:val="22"/>
          <w:szCs w:val="22"/>
          <w:lang w:val="sk-SK"/>
        </w:rPr>
        <w:t>s </w:t>
      </w:r>
      <w:r w:rsidRPr="00921EF2">
        <w:rPr>
          <w:sz w:val="22"/>
          <w:szCs w:val="22"/>
          <w:lang w:val="sk-SK"/>
        </w:rPr>
        <w:t>epilepsi</w:t>
      </w:r>
      <w:r w:rsidR="00910C80" w:rsidRPr="00921EF2">
        <w:rPr>
          <w:sz w:val="22"/>
          <w:szCs w:val="22"/>
          <w:lang w:val="sk-SK"/>
        </w:rPr>
        <w:t>ou</w:t>
      </w:r>
      <w:r w:rsidRPr="00921EF2">
        <w:rPr>
          <w:sz w:val="22"/>
          <w:szCs w:val="22"/>
          <w:lang w:val="sk-SK"/>
        </w:rPr>
        <w:t xml:space="preserve"> dokazujú, že </w:t>
      </w:r>
      <w:r w:rsidR="00910C80" w:rsidRPr="00921EF2">
        <w:rPr>
          <w:sz w:val="22"/>
          <w:szCs w:val="22"/>
          <w:lang w:val="sk-SK"/>
        </w:rPr>
        <w:t xml:space="preserve">najrizikovejšou skupinou </w:t>
      </w:r>
      <w:r w:rsidRPr="00921EF2">
        <w:rPr>
          <w:sz w:val="22"/>
          <w:szCs w:val="22"/>
          <w:lang w:val="sk-SK"/>
        </w:rPr>
        <w:t xml:space="preserve">pacientov, najmä v prípade kombinovanej antikonvulzívnej terapie sú </w:t>
      </w:r>
      <w:r w:rsidR="001166C6" w:rsidRPr="00921EF2">
        <w:rPr>
          <w:sz w:val="22"/>
          <w:szCs w:val="22"/>
          <w:lang w:val="sk-SK"/>
        </w:rPr>
        <w:t xml:space="preserve">dojčatá </w:t>
      </w:r>
      <w:r w:rsidRPr="00921EF2">
        <w:rPr>
          <w:sz w:val="22"/>
          <w:szCs w:val="22"/>
          <w:lang w:val="sk-SK"/>
        </w:rPr>
        <w:t xml:space="preserve">a deti do 3 rokov s ťažkými </w:t>
      </w:r>
      <w:r w:rsidR="00C930A0" w:rsidRPr="00921EF2">
        <w:rPr>
          <w:sz w:val="22"/>
          <w:szCs w:val="22"/>
          <w:lang w:val="sk-SK"/>
        </w:rPr>
        <w:t xml:space="preserve">epileptickými </w:t>
      </w:r>
      <w:r w:rsidRPr="00921EF2">
        <w:rPr>
          <w:sz w:val="22"/>
          <w:szCs w:val="22"/>
          <w:lang w:val="sk-SK"/>
        </w:rPr>
        <w:t>záchvatmi, predovšetkým tie</w:t>
      </w:r>
      <w:r w:rsidR="00D037B2" w:rsidRPr="00921EF2">
        <w:rPr>
          <w:sz w:val="22"/>
          <w:szCs w:val="22"/>
          <w:lang w:val="sk-SK"/>
        </w:rPr>
        <w:t>ž</w:t>
      </w:r>
      <w:r w:rsidRPr="00921EF2">
        <w:rPr>
          <w:sz w:val="22"/>
          <w:szCs w:val="22"/>
          <w:lang w:val="sk-SK"/>
        </w:rPr>
        <w:t xml:space="preserve"> s poškodením mozgu, mentálnou retardáciou a (alebo) vrodenými metabolickými alebo degeneratívnymi poruchami. </w:t>
      </w:r>
    </w:p>
    <w:p w14:paraId="3FB66947" w14:textId="77777777" w:rsidR="00977BF3" w:rsidRPr="00921EF2" w:rsidRDefault="00977BF3" w:rsidP="00B124D9">
      <w:pPr>
        <w:rPr>
          <w:sz w:val="22"/>
          <w:szCs w:val="22"/>
          <w:lang w:val="sk-SK"/>
        </w:rPr>
      </w:pPr>
      <w:r w:rsidRPr="00921EF2">
        <w:rPr>
          <w:sz w:val="22"/>
          <w:szCs w:val="22"/>
          <w:lang w:val="sk-SK"/>
        </w:rPr>
        <w:t xml:space="preserve">Po </w:t>
      </w:r>
      <w:r w:rsidR="00910C80" w:rsidRPr="00921EF2">
        <w:rPr>
          <w:sz w:val="22"/>
          <w:szCs w:val="22"/>
          <w:lang w:val="sk-SK"/>
        </w:rPr>
        <w:t xml:space="preserve">dosiahnutí veku </w:t>
      </w:r>
      <w:r w:rsidRPr="00921EF2">
        <w:rPr>
          <w:sz w:val="22"/>
          <w:szCs w:val="22"/>
          <w:lang w:val="sk-SK"/>
        </w:rPr>
        <w:t>3 rok</w:t>
      </w:r>
      <w:r w:rsidR="00910C80" w:rsidRPr="00921EF2">
        <w:rPr>
          <w:sz w:val="22"/>
          <w:szCs w:val="22"/>
          <w:lang w:val="sk-SK"/>
        </w:rPr>
        <w:t>ov</w:t>
      </w:r>
      <w:r w:rsidRPr="00921EF2">
        <w:rPr>
          <w:sz w:val="22"/>
          <w:szCs w:val="22"/>
          <w:lang w:val="sk-SK"/>
        </w:rPr>
        <w:t xml:space="preserve"> sa incidencia výrazne znižuje a </w:t>
      </w:r>
      <w:r w:rsidR="00910C80" w:rsidRPr="00921EF2">
        <w:rPr>
          <w:sz w:val="22"/>
          <w:szCs w:val="22"/>
          <w:lang w:val="sk-SK"/>
        </w:rPr>
        <w:t xml:space="preserve">s vekom </w:t>
      </w:r>
      <w:r w:rsidRPr="00921EF2">
        <w:rPr>
          <w:sz w:val="22"/>
          <w:szCs w:val="22"/>
          <w:lang w:val="sk-SK"/>
        </w:rPr>
        <w:t>postupne klesá.</w:t>
      </w:r>
    </w:p>
    <w:p w14:paraId="53F1AC39" w14:textId="77777777" w:rsidR="00977BF3" w:rsidRPr="00921EF2" w:rsidRDefault="00977BF3" w:rsidP="00B124D9">
      <w:pPr>
        <w:rPr>
          <w:sz w:val="22"/>
          <w:szCs w:val="22"/>
          <w:lang w:val="sk-SK"/>
        </w:rPr>
      </w:pPr>
      <w:r w:rsidRPr="00921EF2">
        <w:rPr>
          <w:sz w:val="22"/>
          <w:szCs w:val="22"/>
          <w:lang w:val="sk-SK"/>
        </w:rPr>
        <w:t>Vo viacerých prípadoch sa poškodenie pečene môže vyskytnúť počas prvých 6 mesiacov liečby.</w:t>
      </w:r>
    </w:p>
    <w:p w14:paraId="7968E1F7" w14:textId="77777777" w:rsidR="00977BF3" w:rsidRPr="00921EF2" w:rsidRDefault="00977BF3" w:rsidP="00B124D9">
      <w:pPr>
        <w:rPr>
          <w:sz w:val="22"/>
          <w:szCs w:val="22"/>
          <w:lang w:val="sk-SK"/>
        </w:rPr>
      </w:pPr>
    </w:p>
    <w:p w14:paraId="47B1CA13" w14:textId="77777777" w:rsidR="00977BF3" w:rsidRPr="00921EF2" w:rsidRDefault="00977BF3" w:rsidP="00B124D9">
      <w:pPr>
        <w:rPr>
          <w:i/>
          <w:sz w:val="22"/>
          <w:szCs w:val="22"/>
          <w:lang w:val="sk-SK"/>
        </w:rPr>
      </w:pPr>
      <w:r w:rsidRPr="00921EF2">
        <w:rPr>
          <w:i/>
          <w:sz w:val="22"/>
          <w:szCs w:val="22"/>
          <w:u w:val="single"/>
          <w:lang w:val="sk-SK"/>
        </w:rPr>
        <w:t>Klinické príznaky</w:t>
      </w:r>
      <w:r w:rsidR="00090C02" w:rsidRPr="00921EF2">
        <w:rPr>
          <w:i/>
          <w:sz w:val="22"/>
          <w:szCs w:val="22"/>
          <w:u w:val="single"/>
          <w:lang w:val="sk-SK"/>
        </w:rPr>
        <w:t>:</w:t>
      </w:r>
    </w:p>
    <w:p w14:paraId="0AA212CC" w14:textId="77777777" w:rsidR="00977BF3" w:rsidRPr="00921EF2" w:rsidRDefault="00977BF3" w:rsidP="00B124D9">
      <w:pPr>
        <w:rPr>
          <w:sz w:val="22"/>
          <w:szCs w:val="22"/>
          <w:lang w:val="sk-SK"/>
        </w:rPr>
      </w:pPr>
      <w:r w:rsidRPr="00921EF2">
        <w:rPr>
          <w:sz w:val="22"/>
          <w:szCs w:val="22"/>
          <w:lang w:val="sk-SK"/>
        </w:rPr>
        <w:t>Klinické symptómy umožňujú včasnú diagnózu. Hlavne u rizikových pacientov treba brať do úvahy nasledujúce príznaky, ktoré môžu predchádzať ikteru (</w:t>
      </w:r>
      <w:r w:rsidRPr="00921EF2">
        <w:rPr>
          <w:color w:val="000000"/>
          <w:sz w:val="22"/>
          <w:szCs w:val="22"/>
          <w:lang w:val="sk-SK"/>
        </w:rPr>
        <w:t>pozri časť 4.4</w:t>
      </w:r>
      <w:r w:rsidRPr="00921EF2">
        <w:rPr>
          <w:sz w:val="22"/>
          <w:szCs w:val="22"/>
          <w:lang w:val="sk-SK"/>
        </w:rPr>
        <w:t>):</w:t>
      </w:r>
    </w:p>
    <w:p w14:paraId="06B7D210" w14:textId="77777777" w:rsidR="00977BF3" w:rsidRPr="00921EF2" w:rsidRDefault="00977BF3" w:rsidP="00B124D9">
      <w:pPr>
        <w:numPr>
          <w:ilvl w:val="0"/>
          <w:numId w:val="4"/>
        </w:numPr>
        <w:rPr>
          <w:sz w:val="22"/>
          <w:szCs w:val="22"/>
          <w:lang w:val="sk-SK"/>
        </w:rPr>
      </w:pPr>
      <w:r w:rsidRPr="00921EF2">
        <w:rPr>
          <w:sz w:val="22"/>
          <w:szCs w:val="22"/>
          <w:lang w:val="sk-SK"/>
        </w:rPr>
        <w:t>nešpecifické symptómy, zvyčajne s náhlym začiatkom, ako asténia, anorexia, letargia, ospalosť, ktoré sú niekedy spojené s opakovaným vracaním a bolesťou brucha.</w:t>
      </w:r>
    </w:p>
    <w:p w14:paraId="55025AE5" w14:textId="77777777" w:rsidR="00977BF3" w:rsidRPr="00921EF2" w:rsidRDefault="00977BF3" w:rsidP="005C64C0">
      <w:pPr>
        <w:numPr>
          <w:ilvl w:val="0"/>
          <w:numId w:val="4"/>
        </w:numPr>
        <w:rPr>
          <w:sz w:val="22"/>
          <w:szCs w:val="22"/>
          <w:lang w:val="sk-SK"/>
        </w:rPr>
      </w:pPr>
      <w:r w:rsidRPr="00921EF2">
        <w:rPr>
          <w:sz w:val="22"/>
          <w:szCs w:val="22"/>
          <w:lang w:val="sk-SK"/>
        </w:rPr>
        <w:t xml:space="preserve">u pacientov s epilepsiou, opakovanie </w:t>
      </w:r>
      <w:r w:rsidR="00CF7DC2" w:rsidRPr="00921EF2">
        <w:rPr>
          <w:sz w:val="22"/>
          <w:szCs w:val="22"/>
          <w:lang w:val="sk-SK"/>
        </w:rPr>
        <w:t xml:space="preserve">epileptických </w:t>
      </w:r>
      <w:r w:rsidRPr="00921EF2">
        <w:rPr>
          <w:sz w:val="22"/>
          <w:szCs w:val="22"/>
          <w:lang w:val="sk-SK"/>
        </w:rPr>
        <w:t>záchvatov, napriek tomu, že liečba pokračuje.</w:t>
      </w:r>
    </w:p>
    <w:p w14:paraId="5665EE0A" w14:textId="77777777" w:rsidR="00977BF3" w:rsidRPr="00921EF2" w:rsidRDefault="00977BF3" w:rsidP="00B124D9">
      <w:pPr>
        <w:pStyle w:val="Zkladntext"/>
        <w:jc w:val="left"/>
        <w:rPr>
          <w:sz w:val="22"/>
          <w:szCs w:val="22"/>
        </w:rPr>
      </w:pPr>
      <w:r w:rsidRPr="00921EF2">
        <w:rPr>
          <w:sz w:val="22"/>
          <w:szCs w:val="22"/>
        </w:rPr>
        <w:t xml:space="preserve">Pacienti (alebo v prípade detí ich rodina) </w:t>
      </w:r>
      <w:r w:rsidR="00F37595" w:rsidRPr="00921EF2">
        <w:rPr>
          <w:sz w:val="22"/>
          <w:szCs w:val="22"/>
        </w:rPr>
        <w:t>majú</w:t>
      </w:r>
      <w:r w:rsidRPr="00921EF2">
        <w:rPr>
          <w:sz w:val="22"/>
          <w:szCs w:val="22"/>
        </w:rPr>
        <w:t xml:space="preserve"> byť poučení, že v takýchto a akýchkoľvek iných prípadoch majú okamžite informovať lekára. Okamžite je potrebné klinické vyšetrenie a funkčné vyšetrenie pečene.</w:t>
      </w:r>
    </w:p>
    <w:p w14:paraId="1F69D039" w14:textId="77777777" w:rsidR="00977BF3" w:rsidRPr="00921EF2" w:rsidRDefault="00977BF3" w:rsidP="00B124D9">
      <w:pPr>
        <w:rPr>
          <w:b/>
          <w:bCs/>
          <w:sz w:val="22"/>
          <w:szCs w:val="22"/>
          <w:lang w:val="sk-SK"/>
        </w:rPr>
      </w:pPr>
    </w:p>
    <w:p w14:paraId="3965E556" w14:textId="77777777" w:rsidR="00977BF3" w:rsidRPr="00921EF2" w:rsidRDefault="00977BF3" w:rsidP="00B124D9">
      <w:pPr>
        <w:rPr>
          <w:i/>
          <w:sz w:val="22"/>
          <w:szCs w:val="22"/>
          <w:lang w:val="sk-SK"/>
        </w:rPr>
      </w:pPr>
      <w:r w:rsidRPr="00921EF2">
        <w:rPr>
          <w:i/>
          <w:sz w:val="22"/>
          <w:szCs w:val="22"/>
          <w:u w:val="single"/>
          <w:lang w:val="sk-SK"/>
        </w:rPr>
        <w:t>Diagnostika</w:t>
      </w:r>
      <w:r w:rsidR="00090C02" w:rsidRPr="00921EF2">
        <w:rPr>
          <w:i/>
          <w:sz w:val="22"/>
          <w:szCs w:val="22"/>
          <w:u w:val="single"/>
          <w:lang w:val="sk-SK"/>
        </w:rPr>
        <w:t>:</w:t>
      </w:r>
    </w:p>
    <w:p w14:paraId="151BEACA" w14:textId="77777777" w:rsidR="00977BF3" w:rsidRPr="00921EF2" w:rsidRDefault="00977BF3" w:rsidP="00B124D9">
      <w:pPr>
        <w:rPr>
          <w:sz w:val="22"/>
          <w:szCs w:val="22"/>
          <w:lang w:val="sk-SK"/>
        </w:rPr>
      </w:pPr>
      <w:r w:rsidRPr="00921EF2">
        <w:rPr>
          <w:sz w:val="22"/>
          <w:szCs w:val="22"/>
          <w:lang w:val="sk-SK"/>
        </w:rPr>
        <w:t>Pred začatím liečby a potom periodicky počas prvých šiestich mesiacov liečby sa ma</w:t>
      </w:r>
      <w:r w:rsidR="00F37595" w:rsidRPr="00921EF2">
        <w:rPr>
          <w:sz w:val="22"/>
          <w:szCs w:val="22"/>
          <w:lang w:val="sk-SK"/>
        </w:rPr>
        <w:t>jú</w:t>
      </w:r>
      <w:r w:rsidRPr="00921EF2">
        <w:rPr>
          <w:sz w:val="22"/>
          <w:szCs w:val="22"/>
          <w:lang w:val="sk-SK"/>
        </w:rPr>
        <w:t xml:space="preserve"> vyšetrovať pečeňové testy. Najdôležitejšie vyšetrenie spomedzi vyšetrení monitorujúcich syntézu proteínov je protrombínový čas. Ak je protrombínový čas výrazne nízky súčasne s inými biologickými parametrami (výrazné zníženie fibrinogénu a koagulačných faktorov, zvýšenie hladiny bilirubínu a transamináz), musí sa terapia </w:t>
      </w:r>
      <w:r w:rsidR="00090C02" w:rsidRPr="00921EF2">
        <w:rPr>
          <w:sz w:val="22"/>
          <w:szCs w:val="22"/>
          <w:lang w:val="sk-SK"/>
        </w:rPr>
        <w:t xml:space="preserve">Orfirilom long </w:t>
      </w:r>
      <w:r w:rsidRPr="00921EF2">
        <w:rPr>
          <w:sz w:val="22"/>
          <w:szCs w:val="22"/>
          <w:lang w:val="sk-SK"/>
        </w:rPr>
        <w:t>prerušiť. Prerušenie je potrebné aj v prípade užívania salicylátov, keďže tieto sú metabolizované rovnakým spôsobom.</w:t>
      </w:r>
    </w:p>
    <w:p w14:paraId="6B0AF2FD" w14:textId="77777777" w:rsidR="00977BF3" w:rsidRPr="00921EF2" w:rsidRDefault="00977BF3" w:rsidP="00B124D9">
      <w:pPr>
        <w:rPr>
          <w:b/>
          <w:bCs/>
          <w:sz w:val="22"/>
          <w:szCs w:val="22"/>
          <w:lang w:val="sk-SK"/>
        </w:rPr>
      </w:pPr>
    </w:p>
    <w:p w14:paraId="1E18C92D" w14:textId="77777777" w:rsidR="00977BF3" w:rsidRPr="00921EF2" w:rsidRDefault="00977BF3" w:rsidP="00B124D9">
      <w:pPr>
        <w:pStyle w:val="Nadpis2"/>
        <w:rPr>
          <w:rFonts w:ascii="Times New Roman" w:hAnsi="Times New Roman" w:cs="Times New Roman"/>
          <w:b w:val="0"/>
          <w:sz w:val="22"/>
          <w:szCs w:val="22"/>
          <w:u w:val="single"/>
        </w:rPr>
      </w:pPr>
      <w:r w:rsidRPr="00921EF2">
        <w:rPr>
          <w:rFonts w:ascii="Times New Roman" w:hAnsi="Times New Roman" w:cs="Times New Roman"/>
          <w:b w:val="0"/>
          <w:sz w:val="22"/>
          <w:szCs w:val="22"/>
          <w:u w:val="single"/>
        </w:rPr>
        <w:t>Pankreatitída</w:t>
      </w:r>
    </w:p>
    <w:p w14:paraId="37EA812A" w14:textId="77777777" w:rsidR="00977BF3" w:rsidRPr="00921EF2" w:rsidRDefault="00977BF3" w:rsidP="005C64C0">
      <w:pPr>
        <w:pStyle w:val="Zkladntext"/>
        <w:jc w:val="left"/>
        <w:rPr>
          <w:sz w:val="22"/>
          <w:szCs w:val="22"/>
        </w:rPr>
      </w:pPr>
      <w:r w:rsidRPr="00921EF2">
        <w:rPr>
          <w:sz w:val="22"/>
          <w:szCs w:val="22"/>
        </w:rPr>
        <w:t xml:space="preserve">Veľmi zriedkavo bola hlásená ťažká pankreatitída, ktorá môže končiť smrťou. Najviac ohrozené sú malé deti. Toto riziko klesá s vekom. Rizikovými faktormi môžu byť ťažké </w:t>
      </w:r>
      <w:r w:rsidR="00CF7DC2" w:rsidRPr="00921EF2">
        <w:rPr>
          <w:sz w:val="22"/>
          <w:szCs w:val="22"/>
        </w:rPr>
        <w:t xml:space="preserve">epileptické </w:t>
      </w:r>
      <w:r w:rsidRPr="00921EF2">
        <w:rPr>
          <w:sz w:val="22"/>
          <w:szCs w:val="22"/>
        </w:rPr>
        <w:t>záchvaty, neurologické poškodenia alebo antikonvulzívna liečba. Zlyhanie pečene s pankreatitídou zvyšuje riziko fatálneho konca.</w:t>
      </w:r>
    </w:p>
    <w:p w14:paraId="3A69FC7A" w14:textId="00ED764D" w:rsidR="00977BF3" w:rsidRPr="00921EF2" w:rsidRDefault="00B46590" w:rsidP="00B124D9">
      <w:pPr>
        <w:pStyle w:val="Zkladntext"/>
        <w:jc w:val="left"/>
        <w:rPr>
          <w:sz w:val="22"/>
          <w:szCs w:val="22"/>
        </w:rPr>
      </w:pPr>
      <w:r w:rsidRPr="00921EF2">
        <w:rPr>
          <w:sz w:val="22"/>
          <w:szCs w:val="22"/>
        </w:rPr>
        <w:t>P</w:t>
      </w:r>
      <w:r w:rsidR="00977BF3" w:rsidRPr="00921EF2">
        <w:rPr>
          <w:sz w:val="22"/>
          <w:szCs w:val="22"/>
        </w:rPr>
        <w:t xml:space="preserve">acienti, ktorí majú akútne bolesti brucha </w:t>
      </w:r>
      <w:r w:rsidR="00F37595" w:rsidRPr="00921EF2">
        <w:rPr>
          <w:sz w:val="22"/>
          <w:szCs w:val="22"/>
        </w:rPr>
        <w:t xml:space="preserve">majú </w:t>
      </w:r>
      <w:r w:rsidR="00977BF3" w:rsidRPr="00921EF2">
        <w:rPr>
          <w:sz w:val="22"/>
          <w:szCs w:val="22"/>
        </w:rPr>
        <w:t>byť okamžite vyšetrení. V prípade pankreatitídy sa m</w:t>
      </w:r>
      <w:r w:rsidR="00F37595" w:rsidRPr="00921EF2">
        <w:rPr>
          <w:sz w:val="22"/>
          <w:szCs w:val="22"/>
        </w:rPr>
        <w:t>á</w:t>
      </w:r>
      <w:r w:rsidR="00977BF3" w:rsidRPr="00921EF2">
        <w:rPr>
          <w:sz w:val="22"/>
          <w:szCs w:val="22"/>
        </w:rPr>
        <w:t xml:space="preserve"> podávanie </w:t>
      </w:r>
      <w:r w:rsidR="0023483F" w:rsidRPr="00921EF2">
        <w:rPr>
          <w:sz w:val="22"/>
          <w:szCs w:val="22"/>
        </w:rPr>
        <w:t>valproát</w:t>
      </w:r>
      <w:r w:rsidR="00977BF3" w:rsidRPr="00921EF2">
        <w:rPr>
          <w:sz w:val="22"/>
          <w:szCs w:val="22"/>
        </w:rPr>
        <w:t>u prerušiť.</w:t>
      </w:r>
    </w:p>
    <w:p w14:paraId="0F07B475" w14:textId="77777777" w:rsidR="00977BF3" w:rsidRPr="00921EF2" w:rsidRDefault="00977BF3" w:rsidP="00B124D9">
      <w:pPr>
        <w:rPr>
          <w:b/>
          <w:bCs/>
          <w:i/>
          <w:iCs/>
          <w:sz w:val="22"/>
          <w:szCs w:val="22"/>
          <w:lang w:val="sk-SK"/>
        </w:rPr>
      </w:pPr>
    </w:p>
    <w:p w14:paraId="35A2A1B4" w14:textId="77777777" w:rsidR="00F27E6D" w:rsidRPr="00921EF2" w:rsidRDefault="00F27E6D" w:rsidP="005C64C0">
      <w:pPr>
        <w:keepNext/>
        <w:rPr>
          <w:sz w:val="22"/>
          <w:szCs w:val="22"/>
          <w:u w:val="single"/>
          <w:lang w:val="sk-SK"/>
        </w:rPr>
      </w:pPr>
      <w:r w:rsidRPr="00921EF2">
        <w:rPr>
          <w:sz w:val="22"/>
          <w:szCs w:val="22"/>
          <w:u w:val="single"/>
          <w:lang w:val="sk-SK"/>
        </w:rPr>
        <w:t>Suicidálne myšlienky a</w:t>
      </w:r>
      <w:r w:rsidR="006E7F09" w:rsidRPr="00921EF2">
        <w:rPr>
          <w:sz w:val="22"/>
          <w:szCs w:val="22"/>
          <w:u w:val="single"/>
          <w:lang w:val="sk-SK"/>
        </w:rPr>
        <w:t> </w:t>
      </w:r>
      <w:r w:rsidRPr="00921EF2">
        <w:rPr>
          <w:sz w:val="22"/>
          <w:szCs w:val="22"/>
          <w:u w:val="single"/>
          <w:lang w:val="sk-SK"/>
        </w:rPr>
        <w:t>správanie</w:t>
      </w:r>
    </w:p>
    <w:p w14:paraId="3B224EE2" w14:textId="1F508A8D" w:rsidR="006E7F09" w:rsidRPr="00921EF2" w:rsidRDefault="006E7F09" w:rsidP="00B124D9">
      <w:pPr>
        <w:rPr>
          <w:sz w:val="22"/>
          <w:szCs w:val="22"/>
          <w:lang w:val="sk-SK"/>
        </w:rPr>
      </w:pPr>
      <w:r w:rsidRPr="00921EF2">
        <w:rPr>
          <w:sz w:val="22"/>
          <w:szCs w:val="22"/>
          <w:lang w:val="sk-SK"/>
        </w:rPr>
        <w:t xml:space="preserve">Pri liečbe antiepileptikami v niekoľkých indikáciách boli u pacientov hlásené suicidálne myšlienky a správanie. Metaanalýza randomizovaných placebom kontrolovaných štúdií antiepileptikami ukázala malé zvýšenie rizika suicidálnych myšlienok a správania. Mechanizmus tohto rizika nie je známy </w:t>
      </w:r>
      <w:r w:rsidRPr="00921EF2">
        <w:rPr>
          <w:sz w:val="22"/>
          <w:szCs w:val="22"/>
          <w:lang w:val="sk-SK"/>
        </w:rPr>
        <w:lastRenderedPageBreak/>
        <w:t>a dostupné údaje nevylučujú možnosť zvýšeného rizika u </w:t>
      </w:r>
      <w:r w:rsidR="0023483F" w:rsidRPr="00921EF2">
        <w:rPr>
          <w:sz w:val="22"/>
          <w:szCs w:val="22"/>
          <w:lang w:val="sk-SK"/>
        </w:rPr>
        <w:t>valproát</w:t>
      </w:r>
      <w:r w:rsidR="007A649C" w:rsidRPr="00921EF2">
        <w:rPr>
          <w:sz w:val="22"/>
          <w:szCs w:val="22"/>
          <w:lang w:val="sk-SK"/>
        </w:rPr>
        <w:t>u</w:t>
      </w:r>
      <w:r w:rsidRPr="00921EF2">
        <w:rPr>
          <w:sz w:val="22"/>
          <w:szCs w:val="22"/>
          <w:lang w:val="sk-SK"/>
        </w:rPr>
        <w:t>. 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14:paraId="2E38FB6F" w14:textId="77777777" w:rsidR="001F7E04" w:rsidRPr="00921EF2" w:rsidRDefault="001F7E04" w:rsidP="00B124D9">
      <w:pPr>
        <w:pStyle w:val="Nadpis3"/>
        <w:keepNext w:val="0"/>
        <w:rPr>
          <w:rFonts w:ascii="Times New Roman" w:hAnsi="Times New Roman" w:cs="Times New Roman"/>
          <w:color w:val="auto"/>
          <w:sz w:val="22"/>
          <w:szCs w:val="22"/>
          <w:lang w:val="sk-SK"/>
        </w:rPr>
      </w:pPr>
    </w:p>
    <w:p w14:paraId="5B12A82A" w14:textId="77777777" w:rsidR="001F7E04" w:rsidRPr="00921EF2" w:rsidRDefault="001F7E04" w:rsidP="00B124D9">
      <w:pPr>
        <w:pStyle w:val="Default"/>
        <w:keepNext/>
        <w:rPr>
          <w:rFonts w:ascii="Times New Roman" w:hAnsi="Times New Roman" w:cs="Times New Roman"/>
          <w:color w:val="auto"/>
          <w:sz w:val="22"/>
          <w:szCs w:val="22"/>
          <w:u w:val="single"/>
        </w:rPr>
      </w:pPr>
      <w:r w:rsidRPr="00921EF2">
        <w:rPr>
          <w:rFonts w:ascii="Times New Roman" w:hAnsi="Times New Roman" w:cs="Times New Roman"/>
          <w:color w:val="auto"/>
          <w:sz w:val="22"/>
          <w:szCs w:val="22"/>
          <w:u w:val="single"/>
        </w:rPr>
        <w:t>Pacienti so známym mitochondriálnym ochorením alebo s podozrením na mitochondriálne ochorenie</w:t>
      </w:r>
    </w:p>
    <w:p w14:paraId="75CA411A" w14:textId="6EF2C7B1" w:rsidR="001F7E04" w:rsidRPr="00921EF2" w:rsidRDefault="0023483F" w:rsidP="00B124D9">
      <w:pPr>
        <w:pStyle w:val="Default"/>
        <w:rPr>
          <w:rFonts w:ascii="Times New Roman" w:hAnsi="Times New Roman" w:cs="Times New Roman"/>
          <w:color w:val="auto"/>
          <w:sz w:val="22"/>
          <w:szCs w:val="22"/>
        </w:rPr>
      </w:pPr>
      <w:r w:rsidRPr="00921EF2">
        <w:rPr>
          <w:rFonts w:ascii="Times New Roman" w:hAnsi="Times New Roman" w:cs="Times New Roman"/>
          <w:color w:val="auto"/>
          <w:sz w:val="22"/>
          <w:szCs w:val="22"/>
        </w:rPr>
        <w:t>Valproát</w:t>
      </w:r>
      <w:r w:rsidR="001F7E04" w:rsidRPr="00921EF2">
        <w:rPr>
          <w:rFonts w:ascii="Times New Roman" w:hAnsi="Times New Roman" w:cs="Times New Roman"/>
          <w:color w:val="auto"/>
          <w:sz w:val="22"/>
          <w:szCs w:val="22"/>
        </w:rPr>
        <w:t xml:space="preserve"> môže vyvolať alebo zhoršiť klinické prejavy základných mitochondriálnych ochorení zapríčinených mutáciami mitochondriálnej DNA, ako aj jadrového génu kódujúceho POLG. Konkrétne bolo hlásené akútne zlyhávanie pečene indukované </w:t>
      </w:r>
      <w:r w:rsidRPr="00921EF2">
        <w:rPr>
          <w:rFonts w:ascii="Times New Roman" w:hAnsi="Times New Roman" w:cs="Times New Roman"/>
          <w:color w:val="auto"/>
          <w:sz w:val="22"/>
          <w:szCs w:val="22"/>
        </w:rPr>
        <w:t>valproát</w:t>
      </w:r>
      <w:r w:rsidR="001F7E04" w:rsidRPr="00921EF2">
        <w:rPr>
          <w:rFonts w:ascii="Times New Roman" w:hAnsi="Times New Roman" w:cs="Times New Roman"/>
          <w:color w:val="auto"/>
          <w:sz w:val="22"/>
          <w:szCs w:val="22"/>
        </w:rPr>
        <w:t>om a úmrtia súvisiace s pečeňou vo vyššej miere u pacientov s dedičnými neurometabolickými syndrómami zapríčinenými mutáciami génu pre mitochondriálny enzým polymerázu γ (POLG), ako je napr. Alpersov-Huttenlocherov syndróm.</w:t>
      </w:r>
    </w:p>
    <w:p w14:paraId="6B306739" w14:textId="77777777" w:rsidR="001F7E04" w:rsidRPr="00921EF2" w:rsidRDefault="001F7E04" w:rsidP="00B124D9">
      <w:pPr>
        <w:rPr>
          <w:sz w:val="22"/>
          <w:szCs w:val="22"/>
          <w:lang w:val="sk-SK"/>
        </w:rPr>
      </w:pPr>
      <w:r w:rsidRPr="00921EF2">
        <w:rPr>
          <w:sz w:val="22"/>
          <w:szCs w:val="22"/>
          <w:lang w:val="sk-SK"/>
        </w:rPr>
        <w:t xml:space="preserve">U pacientov s rodinnou anamnézou alebo symptómami naznačujúcimi poruchu súvisiacu s POLG vrátane nevysvetlenej encefalopatie, ale bez obmedzenia na ňu, refraktérnej epilepsie (fokálnej, myoklonickej), </w:t>
      </w:r>
      <w:r w:rsidRPr="00921EF2">
        <w:rPr>
          <w:i/>
          <w:iCs/>
          <w:sz w:val="22"/>
          <w:szCs w:val="22"/>
          <w:lang w:val="sk-SK"/>
        </w:rPr>
        <w:t xml:space="preserve">status epilepticus </w:t>
      </w:r>
      <w:r w:rsidRPr="00921EF2">
        <w:rPr>
          <w:sz w:val="22"/>
          <w:szCs w:val="22"/>
          <w:lang w:val="sk-SK"/>
        </w:rPr>
        <w:t>pri prezentácii, oneskoreného vývinu, psychomotorickej regresie, axónovej senzorimotorickej neuropatie, myopatie, cerebelárnej ataxie, oftalmoplégie alebo komplikovanej migrény s okcipitálnou aurou prichádza do úvahy podozrenie na poruchy súvisiace s POLG. V súlade so súčasnou klinickou praxou sa musí vykonať testovanie mutácie POLG na diagnostické vyhodnotenie takýchto porúch (pozri časť 4.3).</w:t>
      </w:r>
    </w:p>
    <w:p w14:paraId="3AF4DB63" w14:textId="77777777" w:rsidR="00090C02" w:rsidRPr="00921EF2" w:rsidRDefault="00090C02" w:rsidP="00B124D9">
      <w:pPr>
        <w:rPr>
          <w:sz w:val="22"/>
          <w:szCs w:val="22"/>
          <w:lang w:val="sk-SK"/>
        </w:rPr>
      </w:pPr>
    </w:p>
    <w:p w14:paraId="5E912B2C" w14:textId="77777777" w:rsidR="00705FB1" w:rsidRPr="00921EF2" w:rsidRDefault="005A0966" w:rsidP="00B124D9">
      <w:pPr>
        <w:keepNext/>
        <w:rPr>
          <w:sz w:val="22"/>
          <w:szCs w:val="22"/>
          <w:u w:val="single"/>
          <w:lang w:val="sk-SK"/>
        </w:rPr>
      </w:pPr>
      <w:r w:rsidRPr="00921EF2">
        <w:rPr>
          <w:bCs/>
          <w:color w:val="000000"/>
          <w:sz w:val="22"/>
          <w:szCs w:val="22"/>
          <w:u w:val="single"/>
          <w:lang w:val="sk-SK"/>
        </w:rPr>
        <w:t xml:space="preserve">Zhoršenie </w:t>
      </w:r>
      <w:r w:rsidRPr="00921EF2">
        <w:rPr>
          <w:sz w:val="22"/>
          <w:szCs w:val="22"/>
          <w:u w:val="single"/>
          <w:lang w:val="sk-SK"/>
        </w:rPr>
        <w:t>záchvatov</w:t>
      </w:r>
    </w:p>
    <w:p w14:paraId="02321865" w14:textId="25C9F791" w:rsidR="00705FB1" w:rsidRPr="00921EF2" w:rsidRDefault="00705FB1" w:rsidP="00B124D9">
      <w:pPr>
        <w:rPr>
          <w:sz w:val="22"/>
          <w:szCs w:val="22"/>
          <w:lang w:val="sk-SK"/>
        </w:rPr>
      </w:pPr>
      <w:r w:rsidRPr="00921EF2">
        <w:rPr>
          <w:sz w:val="22"/>
          <w:szCs w:val="22"/>
          <w:lang w:val="sk-SK"/>
        </w:rPr>
        <w:t xml:space="preserve">Rovnako ako pri iných antiepileptikách, u niektorých pacientov liečených </w:t>
      </w:r>
      <w:r w:rsidR="0023483F" w:rsidRPr="00921EF2">
        <w:rPr>
          <w:sz w:val="22"/>
          <w:szCs w:val="22"/>
          <w:lang w:val="sk-SK"/>
        </w:rPr>
        <w:t>valproát</w:t>
      </w:r>
      <w:r w:rsidRPr="00921EF2">
        <w:rPr>
          <w:sz w:val="22"/>
          <w:szCs w:val="22"/>
          <w:lang w:val="sk-SK"/>
        </w:rPr>
        <w:t>om môže dôjsť namiesto zlepšenia k</w:t>
      </w:r>
      <w:r w:rsidR="00A1408B" w:rsidRPr="00921EF2">
        <w:rPr>
          <w:sz w:val="22"/>
          <w:szCs w:val="22"/>
          <w:lang w:val="sk-SK"/>
        </w:rPr>
        <w:t xml:space="preserve"> reverzibilnému </w:t>
      </w:r>
      <w:r w:rsidRPr="00921EF2">
        <w:rPr>
          <w:sz w:val="22"/>
          <w:szCs w:val="22"/>
          <w:lang w:val="sk-SK"/>
        </w:rPr>
        <w:t>zhoršeniu frekvencie a závažnosti záchvatov (vrátane status epilepticus) alebo nástup</w:t>
      </w:r>
      <w:r w:rsidR="00A1408B" w:rsidRPr="00921EF2">
        <w:rPr>
          <w:sz w:val="22"/>
          <w:szCs w:val="22"/>
          <w:lang w:val="sk-SK"/>
        </w:rPr>
        <w:t>u</w:t>
      </w:r>
      <w:r w:rsidR="005A0966" w:rsidRPr="00921EF2">
        <w:rPr>
          <w:sz w:val="22"/>
          <w:szCs w:val="22"/>
          <w:lang w:val="sk-SK"/>
        </w:rPr>
        <w:t xml:space="preserve"> nových typov záchvatov</w:t>
      </w:r>
      <w:r w:rsidR="00A1408B" w:rsidRPr="00921EF2">
        <w:rPr>
          <w:sz w:val="22"/>
          <w:szCs w:val="22"/>
          <w:lang w:val="sk-SK"/>
        </w:rPr>
        <w:t xml:space="preserve">. </w:t>
      </w:r>
      <w:r w:rsidR="00237751" w:rsidRPr="00921EF2">
        <w:rPr>
          <w:sz w:val="22"/>
          <w:szCs w:val="22"/>
        </w:rPr>
        <w:t>Pacienti majú</w:t>
      </w:r>
      <w:r w:rsidR="005A0966" w:rsidRPr="00921EF2">
        <w:rPr>
          <w:sz w:val="22"/>
          <w:szCs w:val="22"/>
        </w:rPr>
        <w:t xml:space="preserve"> byť poučení, aby</w:t>
      </w:r>
      <w:r w:rsidR="00237751" w:rsidRPr="00921EF2">
        <w:rPr>
          <w:sz w:val="22"/>
          <w:szCs w:val="22"/>
        </w:rPr>
        <w:t xml:space="preserve"> v prípade </w:t>
      </w:r>
      <w:r w:rsidR="005A0966" w:rsidRPr="00921EF2">
        <w:rPr>
          <w:sz w:val="22"/>
          <w:szCs w:val="22"/>
        </w:rPr>
        <w:t>zhoršenia záchvatov okamžite informovali</w:t>
      </w:r>
      <w:r w:rsidR="00237751" w:rsidRPr="00921EF2">
        <w:rPr>
          <w:sz w:val="22"/>
          <w:szCs w:val="22"/>
        </w:rPr>
        <w:t xml:space="preserve"> lekára (pozri časť 4.8).</w:t>
      </w:r>
    </w:p>
    <w:p w14:paraId="56DE9343" w14:textId="77777777" w:rsidR="00705FB1" w:rsidRPr="00921EF2" w:rsidRDefault="00705FB1" w:rsidP="00B124D9">
      <w:pPr>
        <w:rPr>
          <w:sz w:val="22"/>
          <w:szCs w:val="22"/>
          <w:lang w:val="sk-SK"/>
        </w:rPr>
      </w:pPr>
    </w:p>
    <w:p w14:paraId="33C45081" w14:textId="77777777" w:rsidR="00977BF3" w:rsidRPr="00921EF2" w:rsidRDefault="00977BF3" w:rsidP="00B124D9">
      <w:pPr>
        <w:pStyle w:val="Nadpis3"/>
        <w:rPr>
          <w:rFonts w:ascii="Times New Roman" w:hAnsi="Times New Roman" w:cs="Times New Roman"/>
          <w:b w:val="0"/>
          <w:sz w:val="22"/>
          <w:szCs w:val="22"/>
          <w:u w:val="single"/>
          <w:lang w:val="sk-SK"/>
        </w:rPr>
      </w:pPr>
      <w:r w:rsidRPr="00921EF2">
        <w:rPr>
          <w:rFonts w:ascii="Times New Roman" w:hAnsi="Times New Roman" w:cs="Times New Roman"/>
          <w:b w:val="0"/>
          <w:sz w:val="22"/>
          <w:szCs w:val="22"/>
          <w:u w:val="single"/>
          <w:lang w:val="sk-SK"/>
        </w:rPr>
        <w:t>Opatrenia pri používaní</w:t>
      </w:r>
    </w:p>
    <w:p w14:paraId="0D512335" w14:textId="77777777" w:rsidR="000218C2" w:rsidRPr="00921EF2" w:rsidRDefault="000218C2" w:rsidP="00B124D9">
      <w:pPr>
        <w:rPr>
          <w:i/>
          <w:sz w:val="22"/>
          <w:szCs w:val="22"/>
        </w:rPr>
      </w:pPr>
    </w:p>
    <w:p w14:paraId="7CC06086" w14:textId="77777777" w:rsidR="000218C2" w:rsidRPr="00921EF2" w:rsidRDefault="000218C2" w:rsidP="00B124D9">
      <w:pPr>
        <w:rPr>
          <w:i/>
          <w:sz w:val="22"/>
          <w:szCs w:val="22"/>
          <w:u w:val="single"/>
        </w:rPr>
      </w:pPr>
      <w:r w:rsidRPr="00921EF2">
        <w:rPr>
          <w:i/>
          <w:sz w:val="22"/>
          <w:szCs w:val="22"/>
          <w:u w:val="single"/>
        </w:rPr>
        <w:t>Funkčné pečeňové testy</w:t>
      </w:r>
    </w:p>
    <w:p w14:paraId="7B43DE53" w14:textId="77777777" w:rsidR="00977BF3" w:rsidRPr="00921EF2" w:rsidRDefault="00977BF3" w:rsidP="00B124D9">
      <w:pPr>
        <w:pStyle w:val="Zarkazkladnhotextu3"/>
        <w:ind w:left="0"/>
        <w:rPr>
          <w:sz w:val="22"/>
          <w:szCs w:val="22"/>
        </w:rPr>
      </w:pPr>
      <w:r w:rsidRPr="00921EF2">
        <w:rPr>
          <w:sz w:val="22"/>
          <w:szCs w:val="22"/>
        </w:rPr>
        <w:t>Funkčné pečeňové testy sa ma</w:t>
      </w:r>
      <w:r w:rsidR="00EA259D" w:rsidRPr="00921EF2">
        <w:rPr>
          <w:sz w:val="22"/>
          <w:szCs w:val="22"/>
        </w:rPr>
        <w:t>jú</w:t>
      </w:r>
      <w:r w:rsidRPr="00921EF2">
        <w:rPr>
          <w:sz w:val="22"/>
          <w:szCs w:val="22"/>
        </w:rPr>
        <w:t xml:space="preserve"> vykonať pred začatím liečby (pozri </w:t>
      </w:r>
      <w:r w:rsidR="00601BF0" w:rsidRPr="00921EF2">
        <w:rPr>
          <w:sz w:val="22"/>
          <w:szCs w:val="22"/>
        </w:rPr>
        <w:t xml:space="preserve">časť </w:t>
      </w:r>
      <w:r w:rsidRPr="00921EF2">
        <w:rPr>
          <w:sz w:val="22"/>
          <w:szCs w:val="22"/>
        </w:rPr>
        <w:t>4.3) a počas prvých šiestich mesiacov periodicky hlavne u rizikových pacientov (</w:t>
      </w:r>
      <w:r w:rsidR="005A7723" w:rsidRPr="00921EF2">
        <w:rPr>
          <w:sz w:val="22"/>
          <w:szCs w:val="22"/>
        </w:rPr>
        <w:t xml:space="preserve">pozri </w:t>
      </w:r>
      <w:r w:rsidRPr="00921EF2">
        <w:rPr>
          <w:color w:val="000000"/>
          <w:sz w:val="22"/>
          <w:szCs w:val="22"/>
        </w:rPr>
        <w:t xml:space="preserve">časť </w:t>
      </w:r>
      <w:r w:rsidR="00FB7E55" w:rsidRPr="00921EF2">
        <w:rPr>
          <w:color w:val="000000"/>
          <w:sz w:val="22"/>
          <w:szCs w:val="22"/>
        </w:rPr>
        <w:t>4.4</w:t>
      </w:r>
      <w:r w:rsidRPr="00921EF2">
        <w:rPr>
          <w:sz w:val="22"/>
          <w:szCs w:val="22"/>
        </w:rPr>
        <w:t>).</w:t>
      </w:r>
      <w:r w:rsidR="005A7723" w:rsidRPr="00921EF2">
        <w:rPr>
          <w:sz w:val="22"/>
          <w:szCs w:val="22"/>
        </w:rPr>
        <w:t xml:space="preserve"> </w:t>
      </w:r>
      <w:r w:rsidRPr="00921EF2">
        <w:rPr>
          <w:sz w:val="22"/>
          <w:szCs w:val="22"/>
        </w:rPr>
        <w:t xml:space="preserve">Podobne ako </w:t>
      </w:r>
      <w:r w:rsidR="00182391" w:rsidRPr="00921EF2">
        <w:rPr>
          <w:sz w:val="22"/>
          <w:szCs w:val="22"/>
        </w:rPr>
        <w:t>pri</w:t>
      </w:r>
      <w:r w:rsidRPr="00921EF2">
        <w:rPr>
          <w:sz w:val="22"/>
          <w:szCs w:val="22"/>
        </w:rPr>
        <w:t xml:space="preserve"> iných antiepilept</w:t>
      </w:r>
      <w:r w:rsidR="00182391" w:rsidRPr="00921EF2">
        <w:rPr>
          <w:sz w:val="22"/>
          <w:szCs w:val="22"/>
        </w:rPr>
        <w:t>ikách</w:t>
      </w:r>
      <w:r w:rsidRPr="00921EF2">
        <w:rPr>
          <w:sz w:val="22"/>
          <w:szCs w:val="22"/>
        </w:rPr>
        <w:t xml:space="preserve"> môže byť zaznamenané mierne zvýšenie pečeňových enzýmov, hlavne na začiatku terapie. Toto zvýšenie je len prechodné a izolované, bez klinických príznakov. U rizikových pacientov sa odporúča podrobné laboratórne vyšetrenie (vrátane protrombínového času), v prípade potreby je možné dávku upraviť a testy vykonať znova.</w:t>
      </w:r>
    </w:p>
    <w:p w14:paraId="75B51AD9" w14:textId="77777777" w:rsidR="00977BF3" w:rsidRPr="00921EF2" w:rsidRDefault="00977BF3" w:rsidP="00B124D9">
      <w:pPr>
        <w:pStyle w:val="Zarkazkladnhotextu3"/>
        <w:ind w:left="0"/>
        <w:rPr>
          <w:sz w:val="22"/>
          <w:szCs w:val="22"/>
        </w:rPr>
      </w:pPr>
    </w:p>
    <w:p w14:paraId="3FD3EB0C" w14:textId="77777777" w:rsidR="000218C2" w:rsidRPr="00921EF2" w:rsidRDefault="0094751A" w:rsidP="00B124D9">
      <w:pPr>
        <w:rPr>
          <w:i/>
          <w:sz w:val="22"/>
          <w:szCs w:val="22"/>
          <w:u w:val="single"/>
        </w:rPr>
      </w:pPr>
      <w:r w:rsidRPr="00921EF2">
        <w:rPr>
          <w:i/>
          <w:sz w:val="22"/>
          <w:szCs w:val="22"/>
          <w:u w:val="single"/>
        </w:rPr>
        <w:t>Krvné testy</w:t>
      </w:r>
    </w:p>
    <w:p w14:paraId="3FECFAB5" w14:textId="77777777" w:rsidR="00977BF3" w:rsidRPr="00921EF2" w:rsidRDefault="00977BF3" w:rsidP="00B124D9">
      <w:pPr>
        <w:rPr>
          <w:sz w:val="22"/>
          <w:szCs w:val="22"/>
          <w:lang w:val="sk-SK"/>
        </w:rPr>
      </w:pPr>
      <w:r w:rsidRPr="00921EF2">
        <w:rPr>
          <w:sz w:val="22"/>
          <w:szCs w:val="22"/>
          <w:lang w:val="sk-SK"/>
        </w:rPr>
        <w:t xml:space="preserve">Pred začatím liečby, pred operáciou alebo v prípade spontánnych podliatin alebo krvácania sa odporúča vykonať krvné testy (krvný obraz, vrátane počtu trombocytov, čas zrážania a koagulačné testy) (pozri </w:t>
      </w:r>
      <w:r w:rsidR="00601BF0" w:rsidRPr="00921EF2">
        <w:rPr>
          <w:sz w:val="22"/>
          <w:szCs w:val="22"/>
          <w:lang w:val="sk-SK"/>
        </w:rPr>
        <w:t xml:space="preserve">časť </w:t>
      </w:r>
      <w:r w:rsidRPr="00921EF2">
        <w:rPr>
          <w:sz w:val="22"/>
          <w:szCs w:val="22"/>
          <w:lang w:val="sk-SK"/>
        </w:rPr>
        <w:t>4.8</w:t>
      </w:r>
      <w:r w:rsidRPr="00921EF2">
        <w:rPr>
          <w:iCs/>
          <w:sz w:val="22"/>
          <w:szCs w:val="22"/>
          <w:lang w:val="sk-SK"/>
        </w:rPr>
        <w:t>).</w:t>
      </w:r>
    </w:p>
    <w:p w14:paraId="015AD94F" w14:textId="77777777" w:rsidR="00977BF3" w:rsidRPr="00921EF2" w:rsidRDefault="00977BF3" w:rsidP="00B124D9">
      <w:pPr>
        <w:pStyle w:val="Zarkazkladnhotextu3"/>
        <w:ind w:left="0"/>
        <w:rPr>
          <w:sz w:val="22"/>
          <w:szCs w:val="22"/>
        </w:rPr>
      </w:pPr>
    </w:p>
    <w:p w14:paraId="154F603A" w14:textId="77777777" w:rsidR="000218C2" w:rsidRPr="00921EF2" w:rsidRDefault="000218C2" w:rsidP="00B124D9">
      <w:pPr>
        <w:rPr>
          <w:i/>
          <w:sz w:val="22"/>
          <w:szCs w:val="22"/>
          <w:u w:val="single"/>
          <w:lang w:val="sk-SK"/>
        </w:rPr>
      </w:pPr>
      <w:r w:rsidRPr="00921EF2">
        <w:rPr>
          <w:i/>
          <w:sz w:val="22"/>
          <w:szCs w:val="22"/>
          <w:u w:val="single"/>
          <w:lang w:val="sk-SK"/>
        </w:rPr>
        <w:t>Pacienti so systémovým lupus erythematosus</w:t>
      </w:r>
    </w:p>
    <w:p w14:paraId="212B5136" w14:textId="77777777" w:rsidR="00977BF3" w:rsidRPr="00921EF2" w:rsidRDefault="00977BF3" w:rsidP="00B124D9">
      <w:pPr>
        <w:rPr>
          <w:sz w:val="22"/>
          <w:szCs w:val="22"/>
          <w:lang w:val="sk-SK"/>
        </w:rPr>
      </w:pPr>
      <w:r w:rsidRPr="00921EF2">
        <w:rPr>
          <w:sz w:val="22"/>
          <w:szCs w:val="22"/>
          <w:lang w:val="sk-SK"/>
        </w:rPr>
        <w:t xml:space="preserve">Výnimočne sa počas liečby liekom </w:t>
      </w:r>
      <w:r w:rsidR="00D017C1" w:rsidRPr="00921EF2">
        <w:rPr>
          <w:sz w:val="22"/>
          <w:szCs w:val="22"/>
          <w:lang w:val="sk-SK"/>
        </w:rPr>
        <w:t xml:space="preserve">Orfiril long </w:t>
      </w:r>
      <w:r w:rsidRPr="00921EF2">
        <w:rPr>
          <w:sz w:val="22"/>
          <w:szCs w:val="22"/>
          <w:lang w:val="sk-SK"/>
        </w:rPr>
        <w:t xml:space="preserve">zaznamenali poruchy imunity, je potrebné zvážiť prínos liečby liekom </w:t>
      </w:r>
      <w:r w:rsidR="00D017C1" w:rsidRPr="00921EF2">
        <w:rPr>
          <w:sz w:val="22"/>
          <w:szCs w:val="22"/>
          <w:lang w:val="sk-SK"/>
        </w:rPr>
        <w:t xml:space="preserve">Orfiril long </w:t>
      </w:r>
      <w:r w:rsidRPr="00921EF2">
        <w:rPr>
          <w:sz w:val="22"/>
          <w:szCs w:val="22"/>
          <w:lang w:val="sk-SK"/>
        </w:rPr>
        <w:t>oproti možnému riziku u pacientov s lupus erythemato</w:t>
      </w:r>
      <w:r w:rsidR="00FB540C" w:rsidRPr="00921EF2">
        <w:rPr>
          <w:sz w:val="22"/>
          <w:szCs w:val="22"/>
          <w:lang w:val="sk-SK"/>
        </w:rPr>
        <w:t>su</w:t>
      </w:r>
      <w:r w:rsidRPr="00921EF2">
        <w:rPr>
          <w:sz w:val="22"/>
          <w:szCs w:val="22"/>
          <w:lang w:val="sk-SK"/>
        </w:rPr>
        <w:t>s.</w:t>
      </w:r>
    </w:p>
    <w:p w14:paraId="15D7562E" w14:textId="77777777" w:rsidR="00977BF3" w:rsidRPr="00921EF2" w:rsidRDefault="00977BF3" w:rsidP="00B124D9">
      <w:pPr>
        <w:rPr>
          <w:sz w:val="22"/>
          <w:szCs w:val="22"/>
          <w:lang w:val="sk-SK"/>
        </w:rPr>
      </w:pPr>
    </w:p>
    <w:p w14:paraId="0111DE78" w14:textId="77777777" w:rsidR="000218C2" w:rsidRPr="00921EF2" w:rsidRDefault="000218C2" w:rsidP="008A1BA8">
      <w:pPr>
        <w:keepNext/>
        <w:rPr>
          <w:i/>
          <w:sz w:val="22"/>
          <w:szCs w:val="22"/>
          <w:u w:val="single"/>
          <w:lang w:val="sk-SK"/>
        </w:rPr>
      </w:pPr>
      <w:r w:rsidRPr="00921EF2">
        <w:rPr>
          <w:i/>
          <w:sz w:val="22"/>
          <w:szCs w:val="22"/>
          <w:u w:val="single"/>
          <w:lang w:val="sk-SK"/>
        </w:rPr>
        <w:t>Poruchy cyklu močoviny</w:t>
      </w:r>
    </w:p>
    <w:p w14:paraId="259062D2" w14:textId="230A4C84" w:rsidR="00977BF3" w:rsidRPr="00921EF2" w:rsidRDefault="00977BF3" w:rsidP="008A1BA8">
      <w:pPr>
        <w:keepNext/>
        <w:rPr>
          <w:sz w:val="22"/>
          <w:szCs w:val="22"/>
          <w:lang w:val="sk-SK"/>
        </w:rPr>
      </w:pPr>
      <w:r w:rsidRPr="00921EF2">
        <w:rPr>
          <w:sz w:val="22"/>
          <w:szCs w:val="22"/>
          <w:lang w:val="sk-SK"/>
        </w:rPr>
        <w:t>Pri poruche enzýmov zasahujúcich do cyklu tvorby močoviny sú potrebné metabolické testy kvôli riziku hyperamon</w:t>
      </w:r>
      <w:r w:rsidR="00EA259D" w:rsidRPr="00921EF2">
        <w:rPr>
          <w:sz w:val="22"/>
          <w:szCs w:val="22"/>
          <w:lang w:val="sk-SK"/>
        </w:rPr>
        <w:t>i</w:t>
      </w:r>
      <w:r w:rsidRPr="00921EF2">
        <w:rPr>
          <w:sz w:val="22"/>
          <w:szCs w:val="22"/>
          <w:lang w:val="sk-SK"/>
        </w:rPr>
        <w:t xml:space="preserve">émie spôsobenej </w:t>
      </w:r>
      <w:r w:rsidR="0023483F" w:rsidRPr="00921EF2">
        <w:rPr>
          <w:sz w:val="22"/>
          <w:szCs w:val="22"/>
          <w:lang w:val="sk-SK"/>
        </w:rPr>
        <w:t>valproát</w:t>
      </w:r>
      <w:r w:rsidRPr="00921EF2">
        <w:rPr>
          <w:sz w:val="22"/>
          <w:szCs w:val="22"/>
          <w:lang w:val="sk-SK"/>
        </w:rPr>
        <w:t>om</w:t>
      </w:r>
      <w:r w:rsidR="007406A5" w:rsidRPr="00921EF2">
        <w:rPr>
          <w:sz w:val="22"/>
          <w:szCs w:val="22"/>
          <w:lang w:val="sk-SK"/>
        </w:rPr>
        <w:t xml:space="preserve"> (pozri časť 4.3)</w:t>
      </w:r>
      <w:r w:rsidRPr="00921EF2">
        <w:rPr>
          <w:sz w:val="22"/>
          <w:szCs w:val="22"/>
          <w:lang w:val="sk-SK"/>
        </w:rPr>
        <w:t>.</w:t>
      </w:r>
    </w:p>
    <w:p w14:paraId="2F2BDD7B" w14:textId="77777777" w:rsidR="00977BF3" w:rsidRPr="00921EF2" w:rsidRDefault="00977BF3" w:rsidP="00B124D9">
      <w:pPr>
        <w:rPr>
          <w:sz w:val="22"/>
          <w:szCs w:val="22"/>
          <w:lang w:val="sk-SK"/>
        </w:rPr>
      </w:pPr>
    </w:p>
    <w:p w14:paraId="40DC9472" w14:textId="19AE2504" w:rsidR="00197E9E" w:rsidRPr="00921EF2" w:rsidRDefault="00197E9E" w:rsidP="005C64C0">
      <w:pPr>
        <w:rPr>
          <w:sz w:val="22"/>
          <w:szCs w:val="22"/>
          <w:lang w:val="sk-SK"/>
        </w:rPr>
      </w:pPr>
      <w:r w:rsidRPr="00921EF2">
        <w:rPr>
          <w:sz w:val="22"/>
          <w:szCs w:val="22"/>
          <w:lang w:val="sk-SK"/>
        </w:rPr>
        <w:t>Súčasné užívanie kyseliny valproovej/</w:t>
      </w:r>
      <w:r w:rsidR="0023483F" w:rsidRPr="00921EF2">
        <w:rPr>
          <w:sz w:val="22"/>
          <w:szCs w:val="22"/>
          <w:lang w:val="sk-SK"/>
        </w:rPr>
        <w:t>valproát</w:t>
      </w:r>
      <w:r w:rsidRPr="00921EF2">
        <w:rPr>
          <w:sz w:val="22"/>
          <w:szCs w:val="22"/>
          <w:lang w:val="sk-SK"/>
        </w:rPr>
        <w:t>u sodného a karbapenémov sa neodporúča (pozri časť 4.5).</w:t>
      </w:r>
    </w:p>
    <w:p w14:paraId="6937AE4E" w14:textId="77777777" w:rsidR="00197E9E" w:rsidRPr="00921EF2" w:rsidRDefault="00197E9E" w:rsidP="00B124D9">
      <w:pPr>
        <w:rPr>
          <w:sz w:val="22"/>
          <w:szCs w:val="22"/>
          <w:lang w:val="sk-SK"/>
        </w:rPr>
      </w:pPr>
    </w:p>
    <w:p w14:paraId="1826DED3" w14:textId="77777777" w:rsidR="000218C2" w:rsidRPr="00921EF2" w:rsidRDefault="000218C2" w:rsidP="00B124D9">
      <w:pPr>
        <w:rPr>
          <w:i/>
          <w:sz w:val="22"/>
          <w:szCs w:val="22"/>
          <w:u w:val="single"/>
          <w:lang w:val="sk-SK"/>
        </w:rPr>
      </w:pPr>
      <w:r w:rsidRPr="00921EF2">
        <w:rPr>
          <w:i/>
          <w:sz w:val="22"/>
          <w:szCs w:val="22"/>
          <w:u w:val="single"/>
          <w:lang w:val="sk-SK"/>
        </w:rPr>
        <w:t>Zvýšenie telesnej hmotnosti</w:t>
      </w:r>
    </w:p>
    <w:p w14:paraId="263EFB21" w14:textId="77777777" w:rsidR="00977BF3" w:rsidRPr="00921EF2" w:rsidRDefault="00977BF3" w:rsidP="00B124D9">
      <w:pPr>
        <w:rPr>
          <w:sz w:val="22"/>
          <w:szCs w:val="22"/>
          <w:lang w:val="sk-SK"/>
        </w:rPr>
      </w:pPr>
      <w:r w:rsidRPr="00921EF2">
        <w:rPr>
          <w:sz w:val="22"/>
          <w:szCs w:val="22"/>
          <w:lang w:val="sk-SK"/>
        </w:rPr>
        <w:t>Pacienti ma</w:t>
      </w:r>
      <w:r w:rsidR="00EA259D" w:rsidRPr="00921EF2">
        <w:rPr>
          <w:sz w:val="22"/>
          <w:szCs w:val="22"/>
          <w:lang w:val="sk-SK"/>
        </w:rPr>
        <w:t>jú</w:t>
      </w:r>
      <w:r w:rsidRPr="00921EF2">
        <w:rPr>
          <w:sz w:val="22"/>
          <w:szCs w:val="22"/>
          <w:lang w:val="sk-SK"/>
        </w:rPr>
        <w:t xml:space="preserve"> byť upozornení na možné riziko zvýšenia telesnej hmotnosti na začiatku terapie a </w:t>
      </w:r>
      <w:r w:rsidR="00EA259D" w:rsidRPr="00921EF2">
        <w:rPr>
          <w:sz w:val="22"/>
          <w:szCs w:val="22"/>
          <w:lang w:val="sk-SK"/>
        </w:rPr>
        <w:t>má sa zvoliť</w:t>
      </w:r>
      <w:r w:rsidRPr="00921EF2">
        <w:rPr>
          <w:sz w:val="22"/>
          <w:szCs w:val="22"/>
          <w:lang w:val="sk-SK"/>
        </w:rPr>
        <w:t xml:space="preserve"> vhodná stratégia na minimalizovanie tohoto rizika (pozri časť 4.8)</w:t>
      </w:r>
      <w:r w:rsidR="00331A99" w:rsidRPr="00921EF2">
        <w:rPr>
          <w:sz w:val="22"/>
          <w:szCs w:val="22"/>
          <w:lang w:val="sk-SK"/>
        </w:rPr>
        <w:t>.</w:t>
      </w:r>
    </w:p>
    <w:p w14:paraId="5934D67C" w14:textId="77777777" w:rsidR="00331A99" w:rsidRPr="00921EF2" w:rsidRDefault="00331A99" w:rsidP="00B124D9">
      <w:pPr>
        <w:rPr>
          <w:sz w:val="22"/>
          <w:szCs w:val="22"/>
          <w:lang w:val="sk-SK"/>
        </w:rPr>
      </w:pPr>
    </w:p>
    <w:p w14:paraId="5B154769" w14:textId="77777777" w:rsidR="000218C2" w:rsidRPr="00921EF2" w:rsidRDefault="000218C2" w:rsidP="008A1BA8">
      <w:pPr>
        <w:keepNext/>
        <w:rPr>
          <w:i/>
          <w:sz w:val="22"/>
          <w:szCs w:val="22"/>
          <w:u w:val="single"/>
          <w:lang w:val="sk-SK"/>
        </w:rPr>
      </w:pPr>
      <w:r w:rsidRPr="00921EF2">
        <w:rPr>
          <w:i/>
          <w:sz w:val="22"/>
          <w:szCs w:val="22"/>
          <w:u w:val="single"/>
          <w:lang w:val="sk-SK"/>
        </w:rPr>
        <w:lastRenderedPageBreak/>
        <w:t>Deficit karnitín-palmitoyl-transferázy (CPT) typu II</w:t>
      </w:r>
    </w:p>
    <w:p w14:paraId="5A61645B" w14:textId="3E3C666D" w:rsidR="00D037B2" w:rsidRPr="00921EF2" w:rsidRDefault="00D037B2" w:rsidP="008A1BA8">
      <w:pPr>
        <w:keepNext/>
        <w:rPr>
          <w:sz w:val="22"/>
          <w:szCs w:val="22"/>
          <w:lang w:val="sk-SK"/>
        </w:rPr>
      </w:pPr>
      <w:r w:rsidRPr="00921EF2">
        <w:rPr>
          <w:sz w:val="22"/>
          <w:szCs w:val="22"/>
          <w:lang w:val="sk-SK"/>
        </w:rPr>
        <w:t xml:space="preserve">Pacienti s deficitom </w:t>
      </w:r>
      <w:r w:rsidR="003922EB" w:rsidRPr="00921EF2">
        <w:rPr>
          <w:sz w:val="22"/>
          <w:szCs w:val="22"/>
          <w:lang w:val="sk-SK"/>
        </w:rPr>
        <w:t>karnit</w:t>
      </w:r>
      <w:r w:rsidR="00FF335A" w:rsidRPr="00921EF2">
        <w:rPr>
          <w:sz w:val="22"/>
          <w:szCs w:val="22"/>
          <w:lang w:val="sk-SK"/>
        </w:rPr>
        <w:t>í</w:t>
      </w:r>
      <w:r w:rsidR="003922EB" w:rsidRPr="00921EF2">
        <w:rPr>
          <w:sz w:val="22"/>
          <w:szCs w:val="22"/>
          <w:lang w:val="sk-SK"/>
        </w:rPr>
        <w:t>n-</w:t>
      </w:r>
      <w:r w:rsidR="00A76AD5" w:rsidRPr="00921EF2">
        <w:rPr>
          <w:sz w:val="22"/>
          <w:szCs w:val="22"/>
          <w:lang w:val="sk-SK"/>
        </w:rPr>
        <w:t>palmi</w:t>
      </w:r>
      <w:r w:rsidR="003922EB" w:rsidRPr="00921EF2">
        <w:rPr>
          <w:sz w:val="22"/>
          <w:szCs w:val="22"/>
          <w:lang w:val="sk-SK"/>
        </w:rPr>
        <w:t>toyl-</w:t>
      </w:r>
      <w:r w:rsidRPr="00921EF2">
        <w:rPr>
          <w:sz w:val="22"/>
          <w:szCs w:val="22"/>
          <w:lang w:val="sk-SK"/>
        </w:rPr>
        <w:t xml:space="preserve">transferázy (CPT) typu II musia byť </w:t>
      </w:r>
      <w:r w:rsidR="009F619C" w:rsidRPr="00921EF2">
        <w:rPr>
          <w:sz w:val="22"/>
          <w:szCs w:val="22"/>
          <w:lang w:val="sk-SK"/>
        </w:rPr>
        <w:t>upozornení na </w:t>
      </w:r>
      <w:r w:rsidRPr="00921EF2">
        <w:rPr>
          <w:sz w:val="22"/>
          <w:szCs w:val="22"/>
          <w:lang w:val="sk-SK"/>
        </w:rPr>
        <w:t>vyššie riziko</w:t>
      </w:r>
      <w:r w:rsidR="004775E7" w:rsidRPr="00921EF2">
        <w:rPr>
          <w:sz w:val="22"/>
          <w:szCs w:val="22"/>
          <w:lang w:val="sk-SK"/>
        </w:rPr>
        <w:t xml:space="preserve"> </w:t>
      </w:r>
      <w:r w:rsidRPr="00921EF2">
        <w:rPr>
          <w:sz w:val="22"/>
          <w:szCs w:val="22"/>
          <w:lang w:val="sk-SK"/>
        </w:rPr>
        <w:t xml:space="preserve">rabdomyolýzy pri užívaní </w:t>
      </w:r>
      <w:r w:rsidR="0023483F" w:rsidRPr="00921EF2">
        <w:rPr>
          <w:sz w:val="22"/>
          <w:szCs w:val="22"/>
          <w:lang w:val="sk-SK"/>
        </w:rPr>
        <w:t>valproát</w:t>
      </w:r>
      <w:r w:rsidRPr="00921EF2">
        <w:rPr>
          <w:sz w:val="22"/>
          <w:szCs w:val="22"/>
          <w:lang w:val="sk-SK"/>
        </w:rPr>
        <w:t>u.</w:t>
      </w:r>
    </w:p>
    <w:p w14:paraId="6553CF66" w14:textId="77777777" w:rsidR="00D037B2" w:rsidRPr="00921EF2" w:rsidRDefault="00D037B2" w:rsidP="00B124D9">
      <w:pPr>
        <w:rPr>
          <w:sz w:val="22"/>
          <w:szCs w:val="22"/>
          <w:lang w:val="sk-SK"/>
        </w:rPr>
      </w:pPr>
    </w:p>
    <w:p w14:paraId="5B485BD0" w14:textId="77777777" w:rsidR="000218C2" w:rsidRPr="00921EF2" w:rsidRDefault="000218C2" w:rsidP="00B124D9">
      <w:pPr>
        <w:rPr>
          <w:i/>
          <w:sz w:val="22"/>
          <w:szCs w:val="22"/>
          <w:u w:val="single"/>
          <w:lang w:val="sk-SK"/>
        </w:rPr>
      </w:pPr>
      <w:r w:rsidRPr="00921EF2">
        <w:rPr>
          <w:i/>
          <w:sz w:val="22"/>
          <w:szCs w:val="22"/>
          <w:u w:val="single"/>
          <w:lang w:val="sk-SK"/>
        </w:rPr>
        <w:t>Alkohol</w:t>
      </w:r>
    </w:p>
    <w:p w14:paraId="01F719A7" w14:textId="58C7BF38" w:rsidR="00331A99" w:rsidRPr="00921EF2" w:rsidRDefault="00331A99" w:rsidP="00B124D9">
      <w:pPr>
        <w:rPr>
          <w:sz w:val="22"/>
          <w:szCs w:val="22"/>
          <w:lang w:val="sk-SK"/>
        </w:rPr>
      </w:pPr>
      <w:r w:rsidRPr="00921EF2">
        <w:rPr>
          <w:sz w:val="22"/>
          <w:szCs w:val="22"/>
          <w:lang w:val="sk-SK"/>
        </w:rPr>
        <w:t xml:space="preserve">Počas liečby </w:t>
      </w:r>
      <w:r w:rsidR="0023483F" w:rsidRPr="00921EF2">
        <w:rPr>
          <w:sz w:val="22"/>
          <w:szCs w:val="22"/>
          <w:lang w:val="sk-SK"/>
        </w:rPr>
        <w:t>valproát</w:t>
      </w:r>
      <w:r w:rsidRPr="00921EF2">
        <w:rPr>
          <w:sz w:val="22"/>
          <w:szCs w:val="22"/>
          <w:lang w:val="sk-SK"/>
        </w:rPr>
        <w:t>om sa neodporúča konzumovať alkohol.</w:t>
      </w:r>
    </w:p>
    <w:p w14:paraId="7F9FBC09" w14:textId="77777777" w:rsidR="000218C2" w:rsidRPr="00921EF2" w:rsidRDefault="000218C2" w:rsidP="00B124D9">
      <w:pPr>
        <w:rPr>
          <w:sz w:val="22"/>
          <w:szCs w:val="22"/>
          <w:u w:val="single"/>
          <w:lang w:val="sk-SK"/>
        </w:rPr>
      </w:pPr>
    </w:p>
    <w:p w14:paraId="2DFD9118" w14:textId="77777777" w:rsidR="00AB1B5F" w:rsidRPr="00921EF2" w:rsidRDefault="00F52E7F" w:rsidP="00B124D9">
      <w:pPr>
        <w:rPr>
          <w:sz w:val="22"/>
          <w:szCs w:val="22"/>
          <w:u w:val="single"/>
          <w:lang w:val="sk-SK"/>
        </w:rPr>
      </w:pPr>
      <w:r w:rsidRPr="00921EF2">
        <w:rPr>
          <w:sz w:val="22"/>
          <w:szCs w:val="22"/>
          <w:u w:val="single"/>
          <w:lang w:val="sk-SK"/>
        </w:rPr>
        <w:t>Pediatrická populácia</w:t>
      </w:r>
    </w:p>
    <w:p w14:paraId="73B41ECE" w14:textId="77777777" w:rsidR="00977BF3" w:rsidRPr="00921EF2" w:rsidRDefault="00977BF3" w:rsidP="00B124D9">
      <w:pPr>
        <w:rPr>
          <w:sz w:val="22"/>
          <w:szCs w:val="22"/>
          <w:lang w:val="sk-SK"/>
        </w:rPr>
      </w:pPr>
      <w:r w:rsidRPr="00921EF2">
        <w:rPr>
          <w:sz w:val="22"/>
          <w:szCs w:val="22"/>
          <w:lang w:val="sk-SK"/>
        </w:rPr>
        <w:t>Monoterapia sa odporúča u detí mladších ako 3 roky, ale pred začatím liečby je potrebné zvážiť možný prínos oproti riziku poškodenia pečene alebo pankreatitídy u týchto pacientov (</w:t>
      </w:r>
      <w:r w:rsidR="005A7723" w:rsidRPr="00921EF2">
        <w:rPr>
          <w:sz w:val="22"/>
          <w:szCs w:val="22"/>
          <w:lang w:val="sk-SK"/>
        </w:rPr>
        <w:t xml:space="preserve">pozri </w:t>
      </w:r>
      <w:r w:rsidRPr="00921EF2">
        <w:rPr>
          <w:color w:val="000000"/>
          <w:sz w:val="22"/>
          <w:szCs w:val="22"/>
          <w:lang w:val="sk-SK"/>
        </w:rPr>
        <w:t xml:space="preserve">časť </w:t>
      </w:r>
      <w:r w:rsidR="005A7723" w:rsidRPr="00921EF2">
        <w:rPr>
          <w:color w:val="000000"/>
          <w:sz w:val="22"/>
          <w:szCs w:val="22"/>
          <w:lang w:val="sk-SK"/>
        </w:rPr>
        <w:t>4.4</w:t>
      </w:r>
      <w:r w:rsidRPr="00921EF2">
        <w:rPr>
          <w:sz w:val="22"/>
          <w:szCs w:val="22"/>
          <w:lang w:val="sk-SK"/>
        </w:rPr>
        <w:t>).</w:t>
      </w:r>
    </w:p>
    <w:p w14:paraId="600EC3EA" w14:textId="77777777" w:rsidR="00977BF3" w:rsidRPr="00921EF2" w:rsidRDefault="00977BF3" w:rsidP="00B124D9">
      <w:pPr>
        <w:pStyle w:val="Zarkazkladnhotextu3"/>
        <w:ind w:left="0"/>
        <w:rPr>
          <w:sz w:val="22"/>
          <w:szCs w:val="22"/>
        </w:rPr>
      </w:pPr>
    </w:p>
    <w:p w14:paraId="317EC43F" w14:textId="77777777" w:rsidR="00977BF3" w:rsidRPr="00921EF2" w:rsidRDefault="00977BF3" w:rsidP="00B124D9">
      <w:pPr>
        <w:pStyle w:val="Zarkazkladnhotextu3"/>
        <w:ind w:left="0"/>
        <w:rPr>
          <w:sz w:val="22"/>
          <w:szCs w:val="22"/>
        </w:rPr>
      </w:pPr>
      <w:r w:rsidRPr="00921EF2">
        <w:rPr>
          <w:sz w:val="22"/>
          <w:szCs w:val="22"/>
        </w:rPr>
        <w:t>Treba sa vyhnúť súčasnému užívaniu salicylátov u detí mladších ako 3 roky kvôli riziku toxického poškodenia pečene.</w:t>
      </w:r>
    </w:p>
    <w:p w14:paraId="673B6F5D" w14:textId="77777777" w:rsidR="00977BF3" w:rsidRPr="00921EF2" w:rsidRDefault="00977BF3" w:rsidP="00B124D9">
      <w:pPr>
        <w:rPr>
          <w:sz w:val="22"/>
          <w:szCs w:val="22"/>
          <w:lang w:val="sk-SK"/>
        </w:rPr>
      </w:pPr>
    </w:p>
    <w:p w14:paraId="6E2C31C0" w14:textId="77777777" w:rsidR="00F2286E" w:rsidRPr="00921EF2" w:rsidRDefault="00977BF3" w:rsidP="00B124D9">
      <w:pPr>
        <w:rPr>
          <w:sz w:val="22"/>
          <w:szCs w:val="22"/>
          <w:lang w:val="sk-SK"/>
        </w:rPr>
      </w:pPr>
      <w:r w:rsidRPr="00921EF2">
        <w:rPr>
          <w:sz w:val="22"/>
          <w:szCs w:val="22"/>
          <w:u w:val="single"/>
          <w:lang w:val="sk-SK"/>
        </w:rPr>
        <w:t>Renálna insuficiencia</w:t>
      </w:r>
    </w:p>
    <w:p w14:paraId="307D9354" w14:textId="77777777" w:rsidR="00977BF3" w:rsidRPr="00921EF2" w:rsidRDefault="00F2286E" w:rsidP="00B124D9">
      <w:pPr>
        <w:rPr>
          <w:i/>
          <w:iCs/>
          <w:sz w:val="22"/>
          <w:szCs w:val="22"/>
          <w:lang w:val="sk-SK"/>
        </w:rPr>
      </w:pPr>
      <w:r w:rsidRPr="00921EF2">
        <w:rPr>
          <w:sz w:val="22"/>
          <w:szCs w:val="22"/>
          <w:lang w:val="sk-SK"/>
        </w:rPr>
        <w:t>U</w:t>
      </w:r>
      <w:r w:rsidR="00977BF3" w:rsidRPr="00921EF2">
        <w:rPr>
          <w:sz w:val="22"/>
          <w:szCs w:val="22"/>
          <w:lang w:val="sk-SK"/>
        </w:rPr>
        <w:t xml:space="preserve"> pacientov s renálnou insuficienciou môže byť potrebné dávku znížiť. Keďže monitorovanie plazmatickej koncentrácie môže byť zavádzajúce, dávk</w:t>
      </w:r>
      <w:r w:rsidR="005F52D5" w:rsidRPr="00921EF2">
        <w:rPr>
          <w:sz w:val="22"/>
          <w:szCs w:val="22"/>
          <w:lang w:val="sk-SK"/>
        </w:rPr>
        <w:t>u</w:t>
      </w:r>
      <w:r w:rsidR="00977BF3" w:rsidRPr="00921EF2">
        <w:rPr>
          <w:sz w:val="22"/>
          <w:szCs w:val="22"/>
          <w:lang w:val="sk-SK"/>
        </w:rPr>
        <w:t xml:space="preserve"> </w:t>
      </w:r>
      <w:r w:rsidR="00EF1DBB" w:rsidRPr="00921EF2">
        <w:rPr>
          <w:sz w:val="22"/>
          <w:szCs w:val="22"/>
          <w:lang w:val="sk-SK"/>
        </w:rPr>
        <w:t>prispôsob</w:t>
      </w:r>
      <w:r w:rsidR="005F52D5" w:rsidRPr="00921EF2">
        <w:rPr>
          <w:sz w:val="22"/>
          <w:szCs w:val="22"/>
          <w:lang w:val="sk-SK"/>
        </w:rPr>
        <w:t>ujeme výsledkom</w:t>
      </w:r>
      <w:r w:rsidR="00977BF3" w:rsidRPr="00921EF2">
        <w:rPr>
          <w:sz w:val="22"/>
          <w:szCs w:val="22"/>
          <w:lang w:val="sk-SK"/>
        </w:rPr>
        <w:t xml:space="preserve"> klinické</w:t>
      </w:r>
      <w:r w:rsidR="005F52D5" w:rsidRPr="00921EF2">
        <w:rPr>
          <w:sz w:val="22"/>
          <w:szCs w:val="22"/>
          <w:lang w:val="sk-SK"/>
        </w:rPr>
        <w:t>ho</w:t>
      </w:r>
      <w:r w:rsidR="00977BF3" w:rsidRPr="00921EF2">
        <w:rPr>
          <w:sz w:val="22"/>
          <w:szCs w:val="22"/>
          <w:lang w:val="sk-SK"/>
        </w:rPr>
        <w:t xml:space="preserve"> monitorovani</w:t>
      </w:r>
      <w:r w:rsidR="005F52D5" w:rsidRPr="00921EF2">
        <w:rPr>
          <w:sz w:val="22"/>
          <w:szCs w:val="22"/>
          <w:lang w:val="sk-SK"/>
        </w:rPr>
        <w:t>a</w:t>
      </w:r>
      <w:r w:rsidR="00977BF3" w:rsidRPr="00921EF2">
        <w:rPr>
          <w:sz w:val="22"/>
          <w:szCs w:val="22"/>
          <w:lang w:val="sk-SK"/>
        </w:rPr>
        <w:t xml:space="preserve"> (pozri </w:t>
      </w:r>
      <w:r w:rsidR="00376D3E" w:rsidRPr="00921EF2">
        <w:rPr>
          <w:sz w:val="22"/>
          <w:szCs w:val="22"/>
          <w:lang w:val="sk-SK"/>
        </w:rPr>
        <w:t xml:space="preserve">časť </w:t>
      </w:r>
      <w:r w:rsidR="00977BF3" w:rsidRPr="00921EF2">
        <w:rPr>
          <w:sz w:val="22"/>
          <w:szCs w:val="22"/>
          <w:lang w:val="sk-SK"/>
        </w:rPr>
        <w:t>5.2</w:t>
      </w:r>
      <w:r w:rsidR="00977BF3" w:rsidRPr="00921EF2">
        <w:rPr>
          <w:iCs/>
          <w:sz w:val="22"/>
          <w:szCs w:val="22"/>
          <w:lang w:val="sk-SK"/>
        </w:rPr>
        <w:t>).</w:t>
      </w:r>
    </w:p>
    <w:p w14:paraId="5C89CBAA" w14:textId="77777777" w:rsidR="00323CF0" w:rsidRPr="00921EF2" w:rsidRDefault="00323CF0" w:rsidP="00B124D9">
      <w:pPr>
        <w:rPr>
          <w:sz w:val="22"/>
          <w:szCs w:val="22"/>
          <w:lang w:val="sk-SK"/>
        </w:rPr>
      </w:pPr>
    </w:p>
    <w:p w14:paraId="2D5723E8" w14:textId="77777777" w:rsidR="00D017C1" w:rsidRPr="00921EF2" w:rsidRDefault="00D017C1" w:rsidP="00D017C1">
      <w:pPr>
        <w:pStyle w:val="Zarkazkladnhotextu"/>
        <w:tabs>
          <w:tab w:val="left" w:pos="0"/>
        </w:tabs>
        <w:rPr>
          <w:sz w:val="22"/>
          <w:szCs w:val="22"/>
          <w:u w:val="single"/>
        </w:rPr>
      </w:pPr>
      <w:r w:rsidRPr="00921EF2">
        <w:rPr>
          <w:sz w:val="22"/>
          <w:szCs w:val="22"/>
          <w:u w:val="single"/>
        </w:rPr>
        <w:t>Obsah sodíka</w:t>
      </w:r>
    </w:p>
    <w:p w14:paraId="03094B62" w14:textId="01FFB651" w:rsidR="00D017C1" w:rsidRPr="00921EF2" w:rsidRDefault="00D017C1" w:rsidP="00D017C1">
      <w:pPr>
        <w:autoSpaceDE w:val="0"/>
        <w:autoSpaceDN w:val="0"/>
        <w:adjustRightInd w:val="0"/>
        <w:rPr>
          <w:rFonts w:eastAsia="MS Mincho"/>
          <w:sz w:val="22"/>
          <w:szCs w:val="22"/>
          <w:lang w:val="sk-SK" w:eastAsia="sk-SK"/>
        </w:rPr>
      </w:pPr>
      <w:r w:rsidRPr="00921EF2">
        <w:rPr>
          <w:sz w:val="22"/>
          <w:szCs w:val="22"/>
          <w:lang w:val="sk-SK"/>
        </w:rPr>
        <w:t xml:space="preserve">Orfiril long 300 mg: </w:t>
      </w:r>
      <w:r w:rsidRPr="00921EF2">
        <w:rPr>
          <w:rFonts w:eastAsia="MS Mincho"/>
          <w:sz w:val="22"/>
          <w:szCs w:val="22"/>
          <w:lang w:val="sk-SK" w:eastAsia="sk-SK"/>
        </w:rPr>
        <w:t>Tento liek obsahuje 41,4 mg sodíka v kapsule, čo zodpovedá 2 %</w:t>
      </w:r>
    </w:p>
    <w:p w14:paraId="169DA8C0" w14:textId="77777777" w:rsidR="00D017C1" w:rsidRPr="00921EF2" w:rsidRDefault="00D017C1" w:rsidP="00D017C1">
      <w:pPr>
        <w:autoSpaceDE w:val="0"/>
        <w:autoSpaceDN w:val="0"/>
        <w:adjustRightInd w:val="0"/>
        <w:rPr>
          <w:sz w:val="22"/>
          <w:szCs w:val="22"/>
          <w:lang w:val="sk-SK"/>
        </w:rPr>
      </w:pPr>
      <w:r w:rsidRPr="00921EF2">
        <w:rPr>
          <w:rFonts w:eastAsia="MS Mincho"/>
          <w:sz w:val="22"/>
          <w:szCs w:val="22"/>
          <w:lang w:val="sk-SK" w:eastAsia="sk-SK"/>
        </w:rPr>
        <w:t>WHO odporúčaného maximálneho denného príjmu 2 g sodíka pre dospelú osobu</w:t>
      </w:r>
      <w:r w:rsidRPr="00921EF2">
        <w:rPr>
          <w:sz w:val="22"/>
          <w:szCs w:val="22"/>
          <w:lang w:val="sk-SK"/>
        </w:rPr>
        <w:t>.</w:t>
      </w:r>
    </w:p>
    <w:p w14:paraId="395F7F6E" w14:textId="482B72F2" w:rsidR="00D017C1" w:rsidRPr="00921EF2" w:rsidRDefault="00D017C1" w:rsidP="00D017C1">
      <w:pPr>
        <w:autoSpaceDE w:val="0"/>
        <w:autoSpaceDN w:val="0"/>
        <w:adjustRightInd w:val="0"/>
        <w:rPr>
          <w:rFonts w:eastAsia="MS Mincho"/>
          <w:sz w:val="22"/>
          <w:szCs w:val="22"/>
          <w:lang w:val="sk-SK" w:eastAsia="sk-SK"/>
        </w:rPr>
      </w:pPr>
      <w:r w:rsidRPr="00921EF2">
        <w:rPr>
          <w:sz w:val="22"/>
          <w:szCs w:val="22"/>
          <w:lang w:val="sk-SK"/>
        </w:rPr>
        <w:t xml:space="preserve">Orfiril long 500 mg: </w:t>
      </w:r>
      <w:r w:rsidRPr="00921EF2">
        <w:rPr>
          <w:rFonts w:eastAsia="MS Mincho"/>
          <w:sz w:val="22"/>
          <w:szCs w:val="22"/>
          <w:lang w:val="sk-SK" w:eastAsia="sk-SK"/>
        </w:rPr>
        <w:t>Tento liek obsahuje 69,0 mg sodíka vo vrecku, čo zodpovedá 3,5 %</w:t>
      </w:r>
    </w:p>
    <w:p w14:paraId="1FA879DA" w14:textId="77777777" w:rsidR="00D017C1" w:rsidRPr="00921EF2" w:rsidRDefault="00D017C1" w:rsidP="00D017C1">
      <w:pPr>
        <w:autoSpaceDE w:val="0"/>
        <w:autoSpaceDN w:val="0"/>
        <w:adjustRightInd w:val="0"/>
        <w:rPr>
          <w:sz w:val="22"/>
          <w:szCs w:val="22"/>
          <w:lang w:val="sk-SK"/>
        </w:rPr>
      </w:pPr>
      <w:r w:rsidRPr="00921EF2">
        <w:rPr>
          <w:rFonts w:eastAsia="MS Mincho"/>
          <w:sz w:val="22"/>
          <w:szCs w:val="22"/>
          <w:lang w:val="sk-SK" w:eastAsia="sk-SK"/>
        </w:rPr>
        <w:t>WHO odporúčaného maximálneho denného príjmu 2 g sodíka pre dospelú osobu</w:t>
      </w:r>
      <w:r w:rsidRPr="00921EF2">
        <w:rPr>
          <w:sz w:val="22"/>
          <w:szCs w:val="22"/>
          <w:lang w:val="sk-SK"/>
        </w:rPr>
        <w:t>.</w:t>
      </w:r>
    </w:p>
    <w:p w14:paraId="1D576056" w14:textId="11E0856D" w:rsidR="00D017C1" w:rsidRPr="00921EF2" w:rsidRDefault="00D017C1" w:rsidP="00D017C1">
      <w:pPr>
        <w:autoSpaceDE w:val="0"/>
        <w:autoSpaceDN w:val="0"/>
        <w:adjustRightInd w:val="0"/>
        <w:rPr>
          <w:rFonts w:eastAsia="MS Mincho"/>
          <w:sz w:val="22"/>
          <w:szCs w:val="22"/>
          <w:lang w:val="sk-SK" w:eastAsia="sk-SK"/>
        </w:rPr>
      </w:pPr>
      <w:r w:rsidRPr="00921EF2">
        <w:rPr>
          <w:sz w:val="22"/>
          <w:szCs w:val="22"/>
          <w:lang w:val="sk-SK"/>
        </w:rPr>
        <w:t xml:space="preserve">Orfiril long 1000 mg: </w:t>
      </w:r>
      <w:r w:rsidRPr="00921EF2">
        <w:rPr>
          <w:rFonts w:eastAsia="MS Mincho"/>
          <w:sz w:val="22"/>
          <w:szCs w:val="22"/>
          <w:lang w:val="sk-SK" w:eastAsia="sk-SK"/>
        </w:rPr>
        <w:t>Tento liek obsahuje 137,9 mg sodíka vo vrecku, čo zodpovedá 7 %</w:t>
      </w:r>
    </w:p>
    <w:p w14:paraId="3C17894D" w14:textId="77777777" w:rsidR="00D017C1" w:rsidRPr="00921EF2" w:rsidRDefault="00D017C1" w:rsidP="00D017C1">
      <w:pPr>
        <w:autoSpaceDE w:val="0"/>
        <w:autoSpaceDN w:val="0"/>
        <w:adjustRightInd w:val="0"/>
        <w:rPr>
          <w:sz w:val="22"/>
          <w:szCs w:val="22"/>
          <w:lang w:val="sk-SK"/>
        </w:rPr>
      </w:pPr>
      <w:r w:rsidRPr="00921EF2">
        <w:rPr>
          <w:rFonts w:eastAsia="MS Mincho"/>
          <w:sz w:val="22"/>
          <w:szCs w:val="22"/>
          <w:lang w:val="sk-SK" w:eastAsia="sk-SK"/>
        </w:rPr>
        <w:t>WHO odporúčaného maximálneho denného príjmu 2 g sodíka pre dospelú osobu</w:t>
      </w:r>
      <w:r w:rsidRPr="00921EF2">
        <w:rPr>
          <w:sz w:val="22"/>
          <w:szCs w:val="22"/>
          <w:lang w:val="sk-SK"/>
        </w:rPr>
        <w:t>.</w:t>
      </w:r>
    </w:p>
    <w:p w14:paraId="6DFB2271" w14:textId="77777777" w:rsidR="00C40A38" w:rsidRPr="00921EF2" w:rsidRDefault="00C40A38" w:rsidP="00B124D9">
      <w:pPr>
        <w:rPr>
          <w:sz w:val="22"/>
          <w:szCs w:val="22"/>
          <w:lang w:val="sk-SK"/>
        </w:rPr>
      </w:pPr>
    </w:p>
    <w:p w14:paraId="5665303A"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4.5</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Liekové a iné interakcie</w:t>
      </w:r>
    </w:p>
    <w:p w14:paraId="02F7FF8F" w14:textId="77777777" w:rsidR="00793974" w:rsidRPr="00921EF2" w:rsidRDefault="00793974" w:rsidP="00B124D9">
      <w:pPr>
        <w:keepNext/>
        <w:rPr>
          <w:b/>
          <w:bCs/>
          <w:sz w:val="22"/>
          <w:szCs w:val="22"/>
          <w:lang w:val="sk-SK"/>
        </w:rPr>
      </w:pPr>
    </w:p>
    <w:p w14:paraId="7F13C64B" w14:textId="4B8ACFA4" w:rsidR="00977BF3" w:rsidRPr="00921EF2" w:rsidRDefault="00977BF3" w:rsidP="00B124D9">
      <w:pPr>
        <w:keepNext/>
        <w:rPr>
          <w:bCs/>
          <w:sz w:val="22"/>
          <w:szCs w:val="22"/>
          <w:u w:val="single"/>
          <w:lang w:val="sk-SK"/>
        </w:rPr>
      </w:pPr>
      <w:r w:rsidRPr="00921EF2">
        <w:rPr>
          <w:bCs/>
          <w:sz w:val="22"/>
          <w:szCs w:val="22"/>
          <w:u w:val="single"/>
          <w:lang w:val="sk-SK"/>
        </w:rPr>
        <w:t xml:space="preserve">Účinok </w:t>
      </w:r>
      <w:r w:rsidR="0023483F" w:rsidRPr="00921EF2">
        <w:rPr>
          <w:bCs/>
          <w:sz w:val="22"/>
          <w:szCs w:val="22"/>
          <w:u w:val="single"/>
          <w:lang w:val="sk-SK"/>
        </w:rPr>
        <w:t>valproát</w:t>
      </w:r>
      <w:r w:rsidRPr="00921EF2">
        <w:rPr>
          <w:bCs/>
          <w:sz w:val="22"/>
          <w:szCs w:val="22"/>
          <w:u w:val="single"/>
          <w:lang w:val="sk-SK"/>
        </w:rPr>
        <w:t>u na iné lieky</w:t>
      </w:r>
    </w:p>
    <w:p w14:paraId="34AB380A" w14:textId="77777777" w:rsidR="00793974" w:rsidRPr="00921EF2" w:rsidRDefault="00793974" w:rsidP="00B124D9">
      <w:pPr>
        <w:keepNext/>
        <w:rPr>
          <w:b/>
          <w:bCs/>
          <w:i/>
          <w:iCs/>
          <w:sz w:val="22"/>
          <w:szCs w:val="22"/>
          <w:lang w:val="sk-SK"/>
        </w:rPr>
      </w:pPr>
    </w:p>
    <w:p w14:paraId="2791ADBA" w14:textId="77777777" w:rsidR="00977BF3" w:rsidRPr="00921EF2" w:rsidRDefault="00977BF3" w:rsidP="00B124D9">
      <w:pPr>
        <w:rPr>
          <w:bCs/>
          <w:i/>
          <w:iCs/>
          <w:sz w:val="22"/>
          <w:szCs w:val="22"/>
          <w:u w:val="single"/>
          <w:lang w:val="sk-SK"/>
        </w:rPr>
      </w:pPr>
      <w:r w:rsidRPr="00921EF2">
        <w:rPr>
          <w:bCs/>
          <w:i/>
          <w:iCs/>
          <w:sz w:val="22"/>
          <w:szCs w:val="22"/>
          <w:u w:val="single"/>
          <w:lang w:val="sk-SK"/>
        </w:rPr>
        <w:t>Neuroleptiká, MAO inhibítory, antidepresíva a benzodiazepíny</w:t>
      </w:r>
    </w:p>
    <w:p w14:paraId="1AC28719" w14:textId="77777777" w:rsidR="00977BF3" w:rsidRPr="00921EF2" w:rsidRDefault="00D017C1" w:rsidP="00B124D9">
      <w:pPr>
        <w:rPr>
          <w:sz w:val="22"/>
          <w:szCs w:val="22"/>
          <w:lang w:val="sk-SK"/>
        </w:rPr>
      </w:pPr>
      <w:r w:rsidRPr="00921EF2">
        <w:rPr>
          <w:sz w:val="22"/>
          <w:szCs w:val="22"/>
          <w:lang w:val="sk-SK"/>
        </w:rPr>
        <w:t xml:space="preserve">Orfiril long </w:t>
      </w:r>
      <w:r w:rsidR="00977BF3" w:rsidRPr="00921EF2">
        <w:rPr>
          <w:sz w:val="22"/>
          <w:szCs w:val="22"/>
          <w:lang w:val="sk-SK"/>
        </w:rPr>
        <w:t>môže zosilňovať účinok niektorých psychotropných látok ako sú neuroleptiká, inhibítory MAO, antidepresíva a benzodiazepíny. Odporúča sa preto klinické monitorovanie a úprava dávky podľa potreby.</w:t>
      </w:r>
    </w:p>
    <w:p w14:paraId="33C58B58" w14:textId="77777777" w:rsidR="00331A99" w:rsidRPr="00921EF2" w:rsidRDefault="00331A99" w:rsidP="00B124D9">
      <w:pPr>
        <w:rPr>
          <w:sz w:val="22"/>
          <w:szCs w:val="22"/>
          <w:lang w:val="sk-SK"/>
        </w:rPr>
      </w:pPr>
    </w:p>
    <w:p w14:paraId="3C7F90D3" w14:textId="77777777" w:rsidR="00331A99" w:rsidRPr="00921EF2" w:rsidRDefault="00331A99" w:rsidP="00B124D9">
      <w:pPr>
        <w:keepNext/>
        <w:rPr>
          <w:i/>
          <w:sz w:val="22"/>
          <w:szCs w:val="22"/>
          <w:u w:val="single"/>
          <w:lang w:val="sk-SK"/>
        </w:rPr>
      </w:pPr>
      <w:r w:rsidRPr="00921EF2">
        <w:rPr>
          <w:i/>
          <w:sz w:val="22"/>
          <w:szCs w:val="22"/>
          <w:u w:val="single"/>
          <w:lang w:val="sk-SK"/>
        </w:rPr>
        <w:t>Lítium</w:t>
      </w:r>
    </w:p>
    <w:p w14:paraId="04E3D10A" w14:textId="77777777" w:rsidR="00331A99" w:rsidRPr="00921EF2" w:rsidRDefault="00D017C1" w:rsidP="00B124D9">
      <w:pPr>
        <w:rPr>
          <w:sz w:val="22"/>
          <w:szCs w:val="22"/>
          <w:lang w:val="sk-SK"/>
        </w:rPr>
      </w:pPr>
      <w:r w:rsidRPr="00921EF2">
        <w:rPr>
          <w:sz w:val="22"/>
          <w:szCs w:val="22"/>
          <w:lang w:val="sk-SK"/>
        </w:rPr>
        <w:t xml:space="preserve">Orfiril long </w:t>
      </w:r>
      <w:r w:rsidR="00331A99" w:rsidRPr="00921EF2">
        <w:rPr>
          <w:sz w:val="22"/>
          <w:szCs w:val="22"/>
          <w:lang w:val="sk-SK"/>
        </w:rPr>
        <w:t>nemá žiadny účinok na hladinu lítia v sére.</w:t>
      </w:r>
    </w:p>
    <w:p w14:paraId="32D70CB4" w14:textId="77777777" w:rsidR="00977BF3" w:rsidRPr="00921EF2" w:rsidRDefault="00977BF3" w:rsidP="00B124D9">
      <w:pPr>
        <w:rPr>
          <w:sz w:val="22"/>
          <w:szCs w:val="22"/>
          <w:lang w:val="sk-SK"/>
        </w:rPr>
      </w:pPr>
    </w:p>
    <w:p w14:paraId="7F0F2556" w14:textId="77777777" w:rsidR="00977BF3" w:rsidRPr="00921EF2" w:rsidRDefault="00977BF3" w:rsidP="00B124D9">
      <w:pPr>
        <w:rPr>
          <w:bCs/>
          <w:i/>
          <w:iCs/>
          <w:sz w:val="22"/>
          <w:szCs w:val="22"/>
          <w:u w:val="single"/>
          <w:lang w:val="sk-SK"/>
        </w:rPr>
      </w:pPr>
      <w:r w:rsidRPr="00921EF2">
        <w:rPr>
          <w:bCs/>
          <w:i/>
          <w:iCs/>
          <w:sz w:val="22"/>
          <w:szCs w:val="22"/>
          <w:u w:val="single"/>
          <w:lang w:val="sk-SK"/>
        </w:rPr>
        <w:t>Fenobarbital</w:t>
      </w:r>
    </w:p>
    <w:p w14:paraId="03184D2E" w14:textId="77777777" w:rsidR="00977BF3" w:rsidRPr="00921EF2" w:rsidRDefault="00D017C1" w:rsidP="00B124D9">
      <w:pPr>
        <w:rPr>
          <w:sz w:val="22"/>
          <w:szCs w:val="22"/>
          <w:lang w:val="sk-SK"/>
        </w:rPr>
      </w:pPr>
      <w:r w:rsidRPr="00921EF2">
        <w:rPr>
          <w:sz w:val="22"/>
          <w:szCs w:val="22"/>
          <w:lang w:val="sk-SK"/>
        </w:rPr>
        <w:t xml:space="preserve">Orfiril long </w:t>
      </w:r>
      <w:r w:rsidR="00977BF3" w:rsidRPr="00921EF2">
        <w:rPr>
          <w:sz w:val="22"/>
          <w:szCs w:val="22"/>
          <w:lang w:val="sk-SK"/>
        </w:rPr>
        <w:t>zvyšuje plazmatickú koncentráciu fenobarbitalu (v dôsledku inhibície hepatálneho katabolizmu) a môže viesť k sedácii, najmä u detí. Preto sa odporúča klinické monitorovanie počas prvých 15 dní kombinovanej liečby s okamžitým znížením dávky fenobarbitalu, ak dôjde k sedácii a stanovením hladiny fenobarbitalu v plazme, ak je nutné.</w:t>
      </w:r>
    </w:p>
    <w:p w14:paraId="565597C8" w14:textId="77777777" w:rsidR="00977BF3" w:rsidRPr="00921EF2" w:rsidRDefault="00977BF3" w:rsidP="00B124D9">
      <w:pPr>
        <w:rPr>
          <w:sz w:val="22"/>
          <w:szCs w:val="22"/>
          <w:lang w:val="sk-SK"/>
        </w:rPr>
      </w:pPr>
    </w:p>
    <w:p w14:paraId="2CACA4BC" w14:textId="77777777" w:rsidR="00977BF3" w:rsidRPr="00921EF2" w:rsidRDefault="00977BF3" w:rsidP="00B124D9">
      <w:pPr>
        <w:rPr>
          <w:bCs/>
          <w:i/>
          <w:iCs/>
          <w:sz w:val="22"/>
          <w:szCs w:val="22"/>
          <w:u w:val="single"/>
          <w:lang w:val="sk-SK"/>
        </w:rPr>
      </w:pPr>
      <w:r w:rsidRPr="00921EF2">
        <w:rPr>
          <w:bCs/>
          <w:i/>
          <w:iCs/>
          <w:sz w:val="22"/>
          <w:szCs w:val="22"/>
          <w:u w:val="single"/>
          <w:lang w:val="sk-SK"/>
        </w:rPr>
        <w:t>Primid</w:t>
      </w:r>
      <w:r w:rsidR="000218C2" w:rsidRPr="00921EF2">
        <w:rPr>
          <w:bCs/>
          <w:i/>
          <w:iCs/>
          <w:sz w:val="22"/>
          <w:szCs w:val="22"/>
          <w:u w:val="single"/>
          <w:lang w:val="sk-SK"/>
        </w:rPr>
        <w:t>ó</w:t>
      </w:r>
      <w:r w:rsidRPr="00921EF2">
        <w:rPr>
          <w:bCs/>
          <w:i/>
          <w:iCs/>
          <w:sz w:val="22"/>
          <w:szCs w:val="22"/>
          <w:u w:val="single"/>
          <w:lang w:val="sk-SK"/>
        </w:rPr>
        <w:t>n</w:t>
      </w:r>
    </w:p>
    <w:p w14:paraId="763878F1" w14:textId="77777777" w:rsidR="00977BF3" w:rsidRPr="00921EF2" w:rsidRDefault="00D017C1" w:rsidP="00B124D9">
      <w:pPr>
        <w:rPr>
          <w:sz w:val="22"/>
          <w:szCs w:val="22"/>
          <w:lang w:val="sk-SK"/>
        </w:rPr>
      </w:pPr>
      <w:r w:rsidRPr="00921EF2">
        <w:rPr>
          <w:sz w:val="22"/>
          <w:szCs w:val="22"/>
          <w:lang w:val="sk-SK"/>
        </w:rPr>
        <w:t xml:space="preserve">Orfiril long </w:t>
      </w:r>
      <w:r w:rsidR="00977BF3" w:rsidRPr="00921EF2">
        <w:rPr>
          <w:sz w:val="22"/>
          <w:szCs w:val="22"/>
          <w:lang w:val="sk-SK"/>
        </w:rPr>
        <w:t>zvyšuje hladinu primid</w:t>
      </w:r>
      <w:r w:rsidR="000218C2" w:rsidRPr="00921EF2">
        <w:rPr>
          <w:sz w:val="22"/>
          <w:szCs w:val="22"/>
          <w:lang w:val="sk-SK"/>
        </w:rPr>
        <w:t>ó</w:t>
      </w:r>
      <w:r w:rsidR="00977BF3" w:rsidRPr="00921EF2">
        <w:rPr>
          <w:sz w:val="22"/>
          <w:szCs w:val="22"/>
          <w:lang w:val="sk-SK"/>
        </w:rPr>
        <w:t>nu v plazme a zosilňuje jeho nežiaduce účinky (ako napr. sedatívne), tieto účinky pri dlhodobej liečbe prestanú. Klinické monitorovanie sa odporúča najmä na začiatku kombinovanej liečby s úpravou dávky, ak je potrebné.</w:t>
      </w:r>
    </w:p>
    <w:p w14:paraId="6F849BAD" w14:textId="77777777" w:rsidR="00977BF3" w:rsidRPr="00921EF2" w:rsidRDefault="00977BF3" w:rsidP="00B124D9">
      <w:pPr>
        <w:rPr>
          <w:sz w:val="22"/>
          <w:szCs w:val="22"/>
          <w:lang w:val="sk-SK"/>
        </w:rPr>
      </w:pPr>
    </w:p>
    <w:p w14:paraId="4D552BDD" w14:textId="77777777" w:rsidR="00977BF3" w:rsidRPr="00921EF2" w:rsidRDefault="00977BF3" w:rsidP="00B124D9">
      <w:pPr>
        <w:rPr>
          <w:bCs/>
          <w:i/>
          <w:iCs/>
          <w:sz w:val="22"/>
          <w:szCs w:val="22"/>
          <w:u w:val="single"/>
          <w:lang w:val="sk-SK"/>
        </w:rPr>
      </w:pPr>
      <w:r w:rsidRPr="00921EF2">
        <w:rPr>
          <w:bCs/>
          <w:i/>
          <w:iCs/>
          <w:sz w:val="22"/>
          <w:szCs w:val="22"/>
          <w:u w:val="single"/>
          <w:lang w:val="sk-SK"/>
        </w:rPr>
        <w:t>Fenytoín</w:t>
      </w:r>
    </w:p>
    <w:p w14:paraId="5780AC67" w14:textId="77777777" w:rsidR="00977BF3" w:rsidRPr="00921EF2" w:rsidRDefault="00D017C1" w:rsidP="00B124D9">
      <w:pPr>
        <w:rPr>
          <w:sz w:val="22"/>
          <w:szCs w:val="22"/>
          <w:lang w:val="sk-SK"/>
        </w:rPr>
      </w:pPr>
      <w:r w:rsidRPr="00921EF2">
        <w:rPr>
          <w:sz w:val="22"/>
          <w:szCs w:val="22"/>
          <w:lang w:val="sk-SK"/>
        </w:rPr>
        <w:t xml:space="preserve">Orfiril long </w:t>
      </w:r>
      <w:r w:rsidR="00977BF3" w:rsidRPr="00921EF2">
        <w:rPr>
          <w:sz w:val="22"/>
          <w:szCs w:val="22"/>
          <w:lang w:val="sk-SK"/>
        </w:rPr>
        <w:t xml:space="preserve">znižuje celkovú hladinu fenytoínu v plazme. Okrem toho </w:t>
      </w:r>
      <w:r w:rsidRPr="00921EF2">
        <w:rPr>
          <w:sz w:val="22"/>
          <w:szCs w:val="22"/>
          <w:lang w:val="sk-SK"/>
        </w:rPr>
        <w:t xml:space="preserve">Orfiril long </w:t>
      </w:r>
      <w:r w:rsidR="00977BF3" w:rsidRPr="00921EF2">
        <w:rPr>
          <w:sz w:val="22"/>
          <w:szCs w:val="22"/>
          <w:lang w:val="sk-SK"/>
        </w:rPr>
        <w:t>zvyšuje hladinu voľného fenytoínu a môže spôsobiť symptómy predávkovania (kyselina valproová uvoľňuje fenytoín z väzby na bielkoviny a znižuje jeho hepatálny katabolizmus). Preto sa odporúča klinické monitorovanie. V prípade, že sa stanovuje hladina fenytoínu v plazme, musí sa hodnotiť voľná forma.</w:t>
      </w:r>
    </w:p>
    <w:p w14:paraId="7E62D391" w14:textId="77777777" w:rsidR="00977BF3" w:rsidRPr="00921EF2" w:rsidRDefault="00977BF3" w:rsidP="00B124D9">
      <w:pPr>
        <w:rPr>
          <w:sz w:val="22"/>
          <w:szCs w:val="22"/>
          <w:lang w:val="sk-SK"/>
        </w:rPr>
      </w:pPr>
    </w:p>
    <w:p w14:paraId="305B4DF3" w14:textId="77777777" w:rsidR="00977BF3" w:rsidRPr="00921EF2" w:rsidRDefault="00977BF3" w:rsidP="008A1BA8">
      <w:pPr>
        <w:keepNext/>
        <w:rPr>
          <w:bCs/>
          <w:i/>
          <w:iCs/>
          <w:sz w:val="22"/>
          <w:szCs w:val="22"/>
          <w:u w:val="single"/>
          <w:lang w:val="sk-SK"/>
        </w:rPr>
      </w:pPr>
      <w:r w:rsidRPr="00921EF2">
        <w:rPr>
          <w:bCs/>
          <w:i/>
          <w:iCs/>
          <w:sz w:val="22"/>
          <w:szCs w:val="22"/>
          <w:u w:val="single"/>
          <w:lang w:val="sk-SK"/>
        </w:rPr>
        <w:lastRenderedPageBreak/>
        <w:t>Karbamazepín</w:t>
      </w:r>
    </w:p>
    <w:p w14:paraId="39CA28E3" w14:textId="2D7771E4" w:rsidR="00977BF3" w:rsidRPr="00921EF2" w:rsidRDefault="00977BF3" w:rsidP="008A1BA8">
      <w:pPr>
        <w:keepNext/>
        <w:rPr>
          <w:sz w:val="22"/>
          <w:szCs w:val="22"/>
          <w:lang w:val="sk-SK"/>
        </w:rPr>
      </w:pPr>
      <w:r w:rsidRPr="00921EF2">
        <w:rPr>
          <w:sz w:val="22"/>
          <w:szCs w:val="22"/>
          <w:lang w:val="sk-SK"/>
        </w:rPr>
        <w:t xml:space="preserve">V prípade podávania </w:t>
      </w:r>
      <w:r w:rsidR="0023483F" w:rsidRPr="00921EF2">
        <w:rPr>
          <w:sz w:val="22"/>
          <w:szCs w:val="22"/>
          <w:lang w:val="sk-SK"/>
        </w:rPr>
        <w:t>valproát</w:t>
      </w:r>
      <w:r w:rsidRPr="00921EF2">
        <w:rPr>
          <w:sz w:val="22"/>
          <w:szCs w:val="22"/>
          <w:lang w:val="sk-SK"/>
        </w:rPr>
        <w:t xml:space="preserve">u s karbamazepínom sa zaznamenala klinická toxicita, pretože </w:t>
      </w:r>
      <w:r w:rsidR="0023483F" w:rsidRPr="00921EF2">
        <w:rPr>
          <w:sz w:val="22"/>
          <w:szCs w:val="22"/>
          <w:lang w:val="sk-SK"/>
        </w:rPr>
        <w:t>valproát</w:t>
      </w:r>
      <w:r w:rsidRPr="00921EF2">
        <w:rPr>
          <w:sz w:val="22"/>
          <w:szCs w:val="22"/>
          <w:lang w:val="sk-SK"/>
        </w:rPr>
        <w:t xml:space="preserve"> môže zosilniť toxický účinok karbamazepínu.</w:t>
      </w:r>
    </w:p>
    <w:p w14:paraId="1B8F5C7E" w14:textId="77777777" w:rsidR="00977BF3" w:rsidRPr="00921EF2" w:rsidRDefault="00977BF3" w:rsidP="008A1BA8">
      <w:pPr>
        <w:keepNext/>
        <w:rPr>
          <w:sz w:val="22"/>
          <w:szCs w:val="22"/>
          <w:lang w:val="sk-SK"/>
        </w:rPr>
      </w:pPr>
      <w:r w:rsidRPr="00921EF2">
        <w:rPr>
          <w:sz w:val="22"/>
          <w:szCs w:val="22"/>
          <w:lang w:val="sk-SK"/>
        </w:rPr>
        <w:t>Klinické monitorovanie sa odporúča najmä na začiatku kombinovanej liečby s úpravou dávky, ak je potrebné.</w:t>
      </w:r>
    </w:p>
    <w:p w14:paraId="65DC00F3" w14:textId="77777777" w:rsidR="00977BF3" w:rsidRPr="00921EF2" w:rsidRDefault="00977BF3" w:rsidP="00B124D9">
      <w:pPr>
        <w:rPr>
          <w:bCs/>
          <w:sz w:val="22"/>
          <w:szCs w:val="22"/>
          <w:lang w:val="sk-SK"/>
        </w:rPr>
      </w:pPr>
    </w:p>
    <w:p w14:paraId="441D4670" w14:textId="77777777" w:rsidR="00977BF3" w:rsidRPr="00921EF2" w:rsidRDefault="00977BF3" w:rsidP="00B124D9">
      <w:pPr>
        <w:rPr>
          <w:bCs/>
          <w:i/>
          <w:iCs/>
          <w:sz w:val="22"/>
          <w:szCs w:val="22"/>
          <w:u w:val="single"/>
          <w:lang w:val="sk-SK"/>
        </w:rPr>
      </w:pPr>
      <w:r w:rsidRPr="00921EF2">
        <w:rPr>
          <w:bCs/>
          <w:i/>
          <w:iCs/>
          <w:sz w:val="22"/>
          <w:szCs w:val="22"/>
          <w:u w:val="single"/>
          <w:lang w:val="sk-SK"/>
        </w:rPr>
        <w:t>Lamotrigín</w:t>
      </w:r>
    </w:p>
    <w:p w14:paraId="32242090" w14:textId="77777777" w:rsidR="00977BF3" w:rsidRPr="00921EF2" w:rsidRDefault="00D017C1" w:rsidP="00B124D9">
      <w:pPr>
        <w:rPr>
          <w:sz w:val="22"/>
          <w:szCs w:val="22"/>
          <w:lang w:val="sk-SK"/>
        </w:rPr>
      </w:pPr>
      <w:r w:rsidRPr="00921EF2">
        <w:rPr>
          <w:sz w:val="22"/>
          <w:szCs w:val="22"/>
          <w:lang w:val="sk-SK"/>
        </w:rPr>
        <w:t xml:space="preserve">Orfiril long </w:t>
      </w:r>
      <w:r w:rsidR="00B11694" w:rsidRPr="00921EF2">
        <w:rPr>
          <w:sz w:val="22"/>
          <w:szCs w:val="22"/>
          <w:lang w:val="sk-SK"/>
        </w:rPr>
        <w:t>znižuje metabolizmus lamotrigínu a zvyšuje priemerný polčas lamotrigínu</w:t>
      </w:r>
      <w:r w:rsidR="001D1269" w:rsidRPr="00921EF2">
        <w:rPr>
          <w:sz w:val="22"/>
          <w:szCs w:val="22"/>
          <w:lang w:val="sk-SK"/>
        </w:rPr>
        <w:t xml:space="preserve"> </w:t>
      </w:r>
      <w:r w:rsidR="00B11694" w:rsidRPr="00921EF2">
        <w:rPr>
          <w:sz w:val="22"/>
          <w:szCs w:val="22"/>
          <w:lang w:val="sk-SK"/>
        </w:rPr>
        <w:t>približne o dvojnásobok. Táto interakcia môže spôsobiť zvýšenú toxicitu lamotrigínu, najmä závažnú kožnú vyrážku. Preto sa odporúča klinické monitorovanie a v</w:t>
      </w:r>
      <w:r w:rsidR="00977BF3" w:rsidRPr="00921EF2">
        <w:rPr>
          <w:sz w:val="22"/>
          <w:szCs w:val="22"/>
          <w:lang w:val="sk-SK"/>
        </w:rPr>
        <w:t xml:space="preserve"> prípade potreby </w:t>
      </w:r>
      <w:r w:rsidR="00B11694" w:rsidRPr="00921EF2">
        <w:rPr>
          <w:sz w:val="22"/>
          <w:szCs w:val="22"/>
          <w:lang w:val="sk-SK"/>
        </w:rPr>
        <w:t>úprava dávky</w:t>
      </w:r>
      <w:r w:rsidR="00977BF3" w:rsidRPr="00921EF2">
        <w:rPr>
          <w:sz w:val="22"/>
          <w:szCs w:val="22"/>
          <w:lang w:val="sk-SK"/>
        </w:rPr>
        <w:t xml:space="preserve"> (dávka lamotrigínu sa zníži). </w:t>
      </w:r>
    </w:p>
    <w:p w14:paraId="2F02010A" w14:textId="77777777" w:rsidR="00977BF3" w:rsidRPr="00921EF2" w:rsidRDefault="00977BF3" w:rsidP="00B124D9">
      <w:pPr>
        <w:rPr>
          <w:sz w:val="22"/>
          <w:szCs w:val="22"/>
          <w:lang w:val="sk-SK"/>
        </w:rPr>
      </w:pPr>
    </w:p>
    <w:p w14:paraId="7AEEB678" w14:textId="77777777" w:rsidR="00977BF3" w:rsidRPr="00921EF2" w:rsidRDefault="00977BF3" w:rsidP="00B124D9">
      <w:pPr>
        <w:rPr>
          <w:bCs/>
          <w:i/>
          <w:iCs/>
          <w:sz w:val="22"/>
          <w:szCs w:val="22"/>
          <w:u w:val="single"/>
          <w:lang w:val="sk-SK"/>
        </w:rPr>
      </w:pPr>
      <w:r w:rsidRPr="00921EF2">
        <w:rPr>
          <w:bCs/>
          <w:i/>
          <w:iCs/>
          <w:sz w:val="22"/>
          <w:szCs w:val="22"/>
          <w:u w:val="single"/>
          <w:lang w:val="sk-SK"/>
        </w:rPr>
        <w:t>Zidovudín</w:t>
      </w:r>
    </w:p>
    <w:p w14:paraId="32DB11A1" w14:textId="5A590FA5" w:rsidR="00977BF3" w:rsidRPr="00921EF2" w:rsidRDefault="0023483F" w:rsidP="00B124D9">
      <w:pPr>
        <w:pStyle w:val="Zkladntext3"/>
        <w:autoSpaceDE/>
        <w:autoSpaceDN/>
        <w:jc w:val="left"/>
        <w:rPr>
          <w:rFonts w:ascii="Times New Roman" w:hAnsi="Times New Roman" w:cs="Times New Roman"/>
          <w:sz w:val="22"/>
          <w:szCs w:val="22"/>
        </w:rPr>
      </w:pPr>
      <w:r w:rsidRPr="00921EF2">
        <w:rPr>
          <w:rFonts w:ascii="Times New Roman" w:hAnsi="Times New Roman" w:cs="Times New Roman"/>
          <w:sz w:val="22"/>
          <w:szCs w:val="22"/>
        </w:rPr>
        <w:t>Valproát</w:t>
      </w:r>
      <w:r w:rsidR="00977BF3" w:rsidRPr="00921EF2">
        <w:rPr>
          <w:rFonts w:ascii="Times New Roman" w:hAnsi="Times New Roman" w:cs="Times New Roman"/>
          <w:sz w:val="22"/>
          <w:szCs w:val="22"/>
        </w:rPr>
        <w:t xml:space="preserve"> môže zvýšiť hladinu zidovudínu v plazme až na toxickú.</w:t>
      </w:r>
    </w:p>
    <w:p w14:paraId="19402708" w14:textId="77777777" w:rsidR="00977BF3" w:rsidRPr="00921EF2" w:rsidRDefault="00977BF3" w:rsidP="00B124D9">
      <w:pPr>
        <w:rPr>
          <w:b/>
          <w:bCs/>
          <w:sz w:val="22"/>
          <w:szCs w:val="22"/>
          <w:lang w:val="sk-SK"/>
        </w:rPr>
      </w:pPr>
    </w:p>
    <w:p w14:paraId="4D2613B4" w14:textId="77777777" w:rsidR="00B11694" w:rsidRPr="00921EF2" w:rsidRDefault="00B11694" w:rsidP="00B124D9">
      <w:pPr>
        <w:keepNext/>
        <w:rPr>
          <w:bCs/>
          <w:i/>
          <w:sz w:val="22"/>
          <w:szCs w:val="22"/>
          <w:u w:val="single"/>
          <w:lang w:val="sk-SK"/>
        </w:rPr>
      </w:pPr>
      <w:r w:rsidRPr="00921EF2">
        <w:rPr>
          <w:bCs/>
          <w:i/>
          <w:sz w:val="22"/>
          <w:szCs w:val="22"/>
          <w:u w:val="single"/>
          <w:lang w:val="sk-SK"/>
        </w:rPr>
        <w:t>Felbamát</w:t>
      </w:r>
    </w:p>
    <w:p w14:paraId="48CECA44" w14:textId="77777777" w:rsidR="00B11694" w:rsidRPr="00921EF2" w:rsidRDefault="00B11694" w:rsidP="00B124D9">
      <w:pPr>
        <w:keepNext/>
        <w:rPr>
          <w:bCs/>
          <w:sz w:val="22"/>
          <w:szCs w:val="22"/>
          <w:lang w:val="sk-SK"/>
        </w:rPr>
      </w:pPr>
      <w:r w:rsidRPr="00921EF2">
        <w:rPr>
          <w:bCs/>
          <w:sz w:val="22"/>
          <w:szCs w:val="22"/>
          <w:lang w:val="sk-SK"/>
        </w:rPr>
        <w:t>Kyselina valproová môže znížiť priemerný klírens felbamátu až o</w:t>
      </w:r>
      <w:r w:rsidR="00601BF0" w:rsidRPr="00921EF2">
        <w:rPr>
          <w:bCs/>
          <w:sz w:val="22"/>
          <w:szCs w:val="22"/>
          <w:lang w:val="sk-SK"/>
        </w:rPr>
        <w:t> </w:t>
      </w:r>
      <w:r w:rsidRPr="00921EF2">
        <w:rPr>
          <w:bCs/>
          <w:sz w:val="22"/>
          <w:szCs w:val="22"/>
          <w:lang w:val="sk-SK"/>
        </w:rPr>
        <w:t>16</w:t>
      </w:r>
      <w:r w:rsidR="00601BF0" w:rsidRPr="00921EF2">
        <w:rPr>
          <w:bCs/>
          <w:sz w:val="22"/>
          <w:szCs w:val="22"/>
          <w:lang w:val="sk-SK"/>
        </w:rPr>
        <w:t xml:space="preserve"> </w:t>
      </w:r>
      <w:r w:rsidRPr="00921EF2">
        <w:rPr>
          <w:bCs/>
          <w:sz w:val="22"/>
          <w:szCs w:val="22"/>
          <w:lang w:val="sk-SK"/>
        </w:rPr>
        <w:t>%.</w:t>
      </w:r>
    </w:p>
    <w:p w14:paraId="40325F6E" w14:textId="77777777" w:rsidR="007406A5" w:rsidRPr="00921EF2" w:rsidRDefault="007406A5" w:rsidP="00B124D9">
      <w:pPr>
        <w:rPr>
          <w:bCs/>
          <w:sz w:val="22"/>
          <w:szCs w:val="22"/>
          <w:lang w:val="sk-SK"/>
        </w:rPr>
      </w:pPr>
    </w:p>
    <w:p w14:paraId="6783D8CC" w14:textId="77777777" w:rsidR="007406A5" w:rsidRPr="00921EF2" w:rsidRDefault="007406A5" w:rsidP="00B124D9">
      <w:pPr>
        <w:keepNext/>
        <w:rPr>
          <w:bCs/>
          <w:i/>
          <w:sz w:val="22"/>
          <w:szCs w:val="22"/>
          <w:u w:val="single"/>
          <w:lang w:val="sk-SK"/>
        </w:rPr>
      </w:pPr>
      <w:r w:rsidRPr="00921EF2">
        <w:rPr>
          <w:bCs/>
          <w:i/>
          <w:sz w:val="22"/>
          <w:szCs w:val="22"/>
          <w:u w:val="single"/>
          <w:lang w:val="sk-SK"/>
        </w:rPr>
        <w:t>Olanzapín</w:t>
      </w:r>
    </w:p>
    <w:p w14:paraId="48210225" w14:textId="77777777" w:rsidR="007406A5" w:rsidRPr="00921EF2" w:rsidRDefault="007406A5" w:rsidP="00B124D9">
      <w:pPr>
        <w:rPr>
          <w:bCs/>
          <w:sz w:val="22"/>
          <w:szCs w:val="22"/>
          <w:lang w:val="sk-SK"/>
        </w:rPr>
      </w:pPr>
      <w:r w:rsidRPr="00921EF2">
        <w:rPr>
          <w:bCs/>
          <w:sz w:val="22"/>
          <w:szCs w:val="22"/>
          <w:lang w:val="sk-SK"/>
        </w:rPr>
        <w:t>Kyselina valproová môže znížiť plazmatickú koncentráciu olanzapínu.</w:t>
      </w:r>
    </w:p>
    <w:p w14:paraId="355C1ED5" w14:textId="77777777" w:rsidR="007406A5" w:rsidRPr="00921EF2" w:rsidRDefault="007406A5" w:rsidP="00B124D9">
      <w:pPr>
        <w:rPr>
          <w:bCs/>
          <w:sz w:val="22"/>
          <w:szCs w:val="22"/>
          <w:lang w:val="sk-SK"/>
        </w:rPr>
      </w:pPr>
    </w:p>
    <w:p w14:paraId="2A179F9B" w14:textId="77777777" w:rsidR="007406A5" w:rsidRPr="00921EF2" w:rsidRDefault="007406A5" w:rsidP="00B124D9">
      <w:pPr>
        <w:keepNext/>
        <w:rPr>
          <w:bCs/>
          <w:i/>
          <w:sz w:val="22"/>
          <w:szCs w:val="22"/>
          <w:u w:val="single"/>
          <w:lang w:val="sk-SK"/>
        </w:rPr>
      </w:pPr>
      <w:r w:rsidRPr="00921EF2">
        <w:rPr>
          <w:bCs/>
          <w:i/>
          <w:sz w:val="22"/>
          <w:szCs w:val="22"/>
          <w:u w:val="single"/>
          <w:lang w:val="sk-SK"/>
        </w:rPr>
        <w:t>Rufinamid</w:t>
      </w:r>
    </w:p>
    <w:p w14:paraId="6752C90F" w14:textId="77777777" w:rsidR="007406A5" w:rsidRPr="00921EF2" w:rsidRDefault="007406A5" w:rsidP="00B124D9">
      <w:pPr>
        <w:rPr>
          <w:bCs/>
          <w:sz w:val="22"/>
          <w:szCs w:val="22"/>
          <w:lang w:val="sk-SK"/>
        </w:rPr>
      </w:pPr>
      <w:r w:rsidRPr="00921EF2">
        <w:rPr>
          <w:bCs/>
          <w:sz w:val="22"/>
          <w:szCs w:val="22"/>
          <w:lang w:val="sk-SK"/>
        </w:rPr>
        <w:t>Kyselina valproová môže viesť k zvýšeniu plazmatickej hladiny rufinamidu. Toto zvýšenie je nezávislé od koncentrácie kyseliny valproovej. Opatrnosť je potrebná najmä u detí, keďže tento účinok je výraznejší u tejto populácie.</w:t>
      </w:r>
    </w:p>
    <w:p w14:paraId="6DF836CA" w14:textId="77777777" w:rsidR="001435ED" w:rsidRPr="00921EF2" w:rsidRDefault="001435ED" w:rsidP="00B124D9">
      <w:pPr>
        <w:rPr>
          <w:bCs/>
          <w:sz w:val="22"/>
          <w:szCs w:val="22"/>
          <w:lang w:val="sk-SK"/>
        </w:rPr>
      </w:pPr>
    </w:p>
    <w:p w14:paraId="665AC443" w14:textId="77777777" w:rsidR="001435ED" w:rsidRPr="00921EF2" w:rsidRDefault="001435ED" w:rsidP="00B124D9">
      <w:pPr>
        <w:rPr>
          <w:bCs/>
          <w:i/>
          <w:sz w:val="22"/>
          <w:szCs w:val="22"/>
          <w:u w:val="single"/>
          <w:lang w:val="sk-SK"/>
        </w:rPr>
      </w:pPr>
      <w:r w:rsidRPr="00921EF2">
        <w:rPr>
          <w:bCs/>
          <w:i/>
          <w:sz w:val="22"/>
          <w:szCs w:val="22"/>
          <w:u w:val="single"/>
          <w:lang w:val="sk-SK"/>
        </w:rPr>
        <w:t>Propofol</w:t>
      </w:r>
    </w:p>
    <w:p w14:paraId="4328394C" w14:textId="6A9CB677" w:rsidR="001435ED" w:rsidRPr="00921EF2" w:rsidRDefault="001435ED" w:rsidP="00B124D9">
      <w:pPr>
        <w:rPr>
          <w:bCs/>
          <w:sz w:val="22"/>
          <w:szCs w:val="22"/>
          <w:lang w:val="sk-SK"/>
        </w:rPr>
      </w:pPr>
      <w:r w:rsidRPr="00921EF2">
        <w:rPr>
          <w:bCs/>
          <w:sz w:val="22"/>
          <w:szCs w:val="22"/>
          <w:lang w:val="sk-SK"/>
        </w:rPr>
        <w:t>Kyselina valproová môže viesť k zvýšeniu krvnej hladiny propofolu. Pri súbežnom podávaní s </w:t>
      </w:r>
      <w:r w:rsidR="0023483F" w:rsidRPr="00921EF2">
        <w:rPr>
          <w:bCs/>
          <w:sz w:val="22"/>
          <w:szCs w:val="22"/>
          <w:lang w:val="sk-SK"/>
        </w:rPr>
        <w:t>valproát</w:t>
      </w:r>
      <w:r w:rsidRPr="00921EF2">
        <w:rPr>
          <w:bCs/>
          <w:sz w:val="22"/>
          <w:szCs w:val="22"/>
          <w:lang w:val="sk-SK"/>
        </w:rPr>
        <w:t>om je potrebné zvážiť zníženie dávky propofolu.</w:t>
      </w:r>
    </w:p>
    <w:p w14:paraId="792AF538" w14:textId="77777777" w:rsidR="00D5314E" w:rsidRPr="00921EF2" w:rsidRDefault="00D5314E" w:rsidP="00B124D9">
      <w:pPr>
        <w:rPr>
          <w:bCs/>
          <w:sz w:val="22"/>
          <w:szCs w:val="22"/>
          <w:lang w:val="sk-SK"/>
        </w:rPr>
      </w:pPr>
    </w:p>
    <w:p w14:paraId="000E52AB" w14:textId="77777777" w:rsidR="00D5314E" w:rsidRPr="00921EF2" w:rsidRDefault="002651FA" w:rsidP="00B124D9">
      <w:pPr>
        <w:rPr>
          <w:bCs/>
          <w:i/>
          <w:sz w:val="22"/>
          <w:szCs w:val="22"/>
          <w:u w:val="single"/>
          <w:lang w:val="sk-SK"/>
        </w:rPr>
      </w:pPr>
      <w:r w:rsidRPr="00921EF2">
        <w:rPr>
          <w:bCs/>
          <w:i/>
          <w:sz w:val="22"/>
          <w:szCs w:val="22"/>
          <w:u w:val="single"/>
          <w:lang w:val="sk-SK"/>
        </w:rPr>
        <w:t>Nimodipín</w:t>
      </w:r>
    </w:p>
    <w:p w14:paraId="40861E32" w14:textId="353EB5B6" w:rsidR="002651FA" w:rsidRPr="00921EF2" w:rsidRDefault="00392AC5" w:rsidP="00B124D9">
      <w:pPr>
        <w:rPr>
          <w:bCs/>
          <w:sz w:val="22"/>
          <w:szCs w:val="22"/>
          <w:lang w:val="sk-SK"/>
        </w:rPr>
      </w:pPr>
      <w:r w:rsidRPr="00921EF2">
        <w:rPr>
          <w:color w:val="222222"/>
          <w:sz w:val="22"/>
          <w:szCs w:val="22"/>
        </w:rPr>
        <w:t xml:space="preserve">U pacientov súbežne liečených </w:t>
      </w:r>
      <w:r w:rsidR="0023483F" w:rsidRPr="00921EF2">
        <w:rPr>
          <w:color w:val="222222"/>
          <w:sz w:val="22"/>
          <w:szCs w:val="22"/>
        </w:rPr>
        <w:t>valproát</w:t>
      </w:r>
      <w:r w:rsidRPr="00921EF2">
        <w:rPr>
          <w:color w:val="222222"/>
          <w:sz w:val="22"/>
          <w:szCs w:val="22"/>
        </w:rPr>
        <w:t>om sodným a nimodipínom môže byť expozícia nimodipínu zvýšená o 50%. V prípade hypotenzie má byť preto dávka nimodipínu znížená.</w:t>
      </w:r>
    </w:p>
    <w:p w14:paraId="74414738" w14:textId="77777777" w:rsidR="00B11694" w:rsidRPr="00921EF2" w:rsidRDefault="00B11694" w:rsidP="00B124D9">
      <w:pPr>
        <w:rPr>
          <w:bCs/>
          <w:sz w:val="22"/>
          <w:szCs w:val="22"/>
          <w:lang w:val="sk-SK"/>
        </w:rPr>
      </w:pPr>
    </w:p>
    <w:p w14:paraId="07561BC5" w14:textId="41CDD7AA" w:rsidR="00977BF3" w:rsidRPr="00921EF2" w:rsidRDefault="00977BF3" w:rsidP="00B124D9">
      <w:pPr>
        <w:pStyle w:val="Nadpis6"/>
        <w:jc w:val="left"/>
        <w:rPr>
          <w:rFonts w:ascii="Times New Roman" w:hAnsi="Times New Roman" w:cs="Times New Roman"/>
          <w:b w:val="0"/>
          <w:sz w:val="22"/>
          <w:szCs w:val="22"/>
        </w:rPr>
      </w:pPr>
      <w:r w:rsidRPr="00921EF2">
        <w:rPr>
          <w:rFonts w:ascii="Times New Roman" w:hAnsi="Times New Roman" w:cs="Times New Roman"/>
          <w:b w:val="0"/>
          <w:sz w:val="22"/>
          <w:szCs w:val="22"/>
        </w:rPr>
        <w:t xml:space="preserve">Účinky iných liekov na </w:t>
      </w:r>
      <w:r w:rsidR="0023483F" w:rsidRPr="00921EF2">
        <w:rPr>
          <w:rFonts w:ascii="Times New Roman" w:hAnsi="Times New Roman" w:cs="Times New Roman"/>
          <w:b w:val="0"/>
          <w:sz w:val="22"/>
          <w:szCs w:val="22"/>
        </w:rPr>
        <w:t>valproát</w:t>
      </w:r>
    </w:p>
    <w:p w14:paraId="0D7401C0" w14:textId="77777777" w:rsidR="00AD5D3D" w:rsidRPr="00921EF2" w:rsidRDefault="00AD5D3D" w:rsidP="00B124D9">
      <w:pPr>
        <w:rPr>
          <w:sz w:val="22"/>
          <w:szCs w:val="22"/>
          <w:lang w:val="sk-SK"/>
        </w:rPr>
      </w:pPr>
    </w:p>
    <w:p w14:paraId="3673EA88" w14:textId="77777777" w:rsidR="00AD5D3D" w:rsidRPr="00921EF2" w:rsidRDefault="00AD5D3D" w:rsidP="00B124D9">
      <w:pPr>
        <w:rPr>
          <w:i/>
          <w:sz w:val="22"/>
          <w:szCs w:val="22"/>
          <w:u w:val="single"/>
          <w:lang w:val="sk-SK"/>
        </w:rPr>
      </w:pPr>
      <w:r w:rsidRPr="00921EF2">
        <w:rPr>
          <w:i/>
          <w:sz w:val="22"/>
          <w:szCs w:val="22"/>
          <w:u w:val="single"/>
          <w:lang w:val="sk-SK"/>
        </w:rPr>
        <w:t>Antiepileptiká</w:t>
      </w:r>
    </w:p>
    <w:p w14:paraId="17F93DB3" w14:textId="77777777" w:rsidR="00977BF3" w:rsidRPr="00921EF2" w:rsidRDefault="00977BF3" w:rsidP="00B124D9">
      <w:pPr>
        <w:rPr>
          <w:sz w:val="22"/>
          <w:szCs w:val="22"/>
          <w:lang w:val="sk-SK"/>
        </w:rPr>
      </w:pPr>
      <w:r w:rsidRPr="00921EF2">
        <w:rPr>
          <w:sz w:val="22"/>
          <w:szCs w:val="22"/>
          <w:lang w:val="sk-SK"/>
        </w:rPr>
        <w:t xml:space="preserve">Antiepileptiká indukujúce hepatálne enzýmy (vrátane </w:t>
      </w:r>
      <w:r w:rsidRPr="00921EF2">
        <w:rPr>
          <w:bCs/>
          <w:sz w:val="22"/>
          <w:szCs w:val="22"/>
          <w:lang w:val="sk-SK"/>
        </w:rPr>
        <w:t>fenytoínu, fenobarbitalu, karbamazepínu</w:t>
      </w:r>
      <w:r w:rsidRPr="00921EF2">
        <w:rPr>
          <w:sz w:val="22"/>
          <w:szCs w:val="22"/>
          <w:lang w:val="sk-SK"/>
        </w:rPr>
        <w:t xml:space="preserve">) znižujú hladinu </w:t>
      </w:r>
      <w:r w:rsidR="00B11694" w:rsidRPr="00921EF2">
        <w:rPr>
          <w:sz w:val="22"/>
          <w:szCs w:val="22"/>
          <w:lang w:val="sk-SK"/>
        </w:rPr>
        <w:t xml:space="preserve">kyseliny valproovej </w:t>
      </w:r>
      <w:r w:rsidRPr="00921EF2">
        <w:rPr>
          <w:sz w:val="22"/>
          <w:szCs w:val="22"/>
          <w:lang w:val="sk-SK"/>
        </w:rPr>
        <w:t>v sére. V prípade kombinovanej liečby sa dávka musí upraviť na základe klinickej odpovede a sledovania plazmatických hladín.</w:t>
      </w:r>
    </w:p>
    <w:p w14:paraId="4FC0AAC8" w14:textId="77777777" w:rsidR="00977BF3" w:rsidRPr="00921EF2" w:rsidRDefault="00977BF3" w:rsidP="00B124D9">
      <w:pPr>
        <w:rPr>
          <w:sz w:val="22"/>
          <w:szCs w:val="22"/>
          <w:lang w:val="sk-SK"/>
        </w:rPr>
      </w:pPr>
    </w:p>
    <w:p w14:paraId="2D64A1AF" w14:textId="0A2337F7" w:rsidR="00977BF3" w:rsidRPr="00921EF2" w:rsidRDefault="00977BF3" w:rsidP="00B124D9">
      <w:pPr>
        <w:rPr>
          <w:sz w:val="22"/>
          <w:szCs w:val="22"/>
          <w:lang w:val="sk-SK"/>
        </w:rPr>
      </w:pPr>
      <w:r w:rsidRPr="00921EF2">
        <w:rPr>
          <w:sz w:val="22"/>
          <w:szCs w:val="22"/>
          <w:lang w:val="sk-SK"/>
        </w:rPr>
        <w:t>Na druhej strane</w:t>
      </w:r>
      <w:r w:rsidR="00DD447D" w:rsidRPr="00921EF2">
        <w:rPr>
          <w:sz w:val="22"/>
          <w:szCs w:val="22"/>
          <w:lang w:val="sk-SK"/>
        </w:rPr>
        <w:t>,</w:t>
      </w:r>
      <w:r w:rsidRPr="00921EF2">
        <w:rPr>
          <w:sz w:val="22"/>
          <w:szCs w:val="22"/>
          <w:lang w:val="sk-SK"/>
        </w:rPr>
        <w:t xml:space="preserve"> kombinácia </w:t>
      </w:r>
      <w:r w:rsidRPr="00921EF2">
        <w:rPr>
          <w:bCs/>
          <w:sz w:val="22"/>
          <w:szCs w:val="22"/>
          <w:lang w:val="sk-SK"/>
        </w:rPr>
        <w:t>felbamátu</w:t>
      </w:r>
      <w:r w:rsidRPr="00921EF2">
        <w:rPr>
          <w:sz w:val="22"/>
          <w:szCs w:val="22"/>
          <w:lang w:val="sk-SK"/>
        </w:rPr>
        <w:t xml:space="preserve"> a </w:t>
      </w:r>
      <w:r w:rsidR="0023483F" w:rsidRPr="00921EF2">
        <w:rPr>
          <w:sz w:val="22"/>
          <w:szCs w:val="22"/>
          <w:lang w:val="sk-SK"/>
        </w:rPr>
        <w:t>valproát</w:t>
      </w:r>
      <w:r w:rsidRPr="00921EF2">
        <w:rPr>
          <w:sz w:val="22"/>
          <w:szCs w:val="22"/>
          <w:lang w:val="sk-SK"/>
        </w:rPr>
        <w:t xml:space="preserve">u </w:t>
      </w:r>
      <w:r w:rsidR="00B11694" w:rsidRPr="00921EF2">
        <w:rPr>
          <w:sz w:val="22"/>
          <w:szCs w:val="22"/>
          <w:lang w:val="sk-SK"/>
        </w:rPr>
        <w:t> znižuje klírens kyseliny valproovej o hodnoty v rozmedzí 22</w:t>
      </w:r>
      <w:r w:rsidR="00601BF0" w:rsidRPr="00921EF2">
        <w:rPr>
          <w:sz w:val="22"/>
          <w:szCs w:val="22"/>
          <w:lang w:val="sk-SK"/>
        </w:rPr>
        <w:t xml:space="preserve"> </w:t>
      </w:r>
      <w:r w:rsidR="00B11694" w:rsidRPr="00921EF2">
        <w:rPr>
          <w:sz w:val="22"/>
          <w:szCs w:val="22"/>
          <w:lang w:val="sk-SK"/>
        </w:rPr>
        <w:t>% až 50</w:t>
      </w:r>
      <w:r w:rsidR="00601BF0" w:rsidRPr="00921EF2">
        <w:rPr>
          <w:sz w:val="22"/>
          <w:szCs w:val="22"/>
          <w:lang w:val="sk-SK"/>
        </w:rPr>
        <w:t xml:space="preserve"> </w:t>
      </w:r>
      <w:r w:rsidR="00B11694" w:rsidRPr="00921EF2">
        <w:rPr>
          <w:sz w:val="22"/>
          <w:szCs w:val="22"/>
          <w:lang w:val="sk-SK"/>
        </w:rPr>
        <w:t>% a v dôsledku toho zvyšuje plazmatickú koncentráciu kyseliny valproovej</w:t>
      </w:r>
      <w:r w:rsidRPr="00921EF2">
        <w:rPr>
          <w:sz w:val="22"/>
          <w:szCs w:val="22"/>
          <w:lang w:val="sk-SK"/>
        </w:rPr>
        <w:t xml:space="preserve">. Je potrebné monitorovať hladinu </w:t>
      </w:r>
      <w:r w:rsidR="0023483F" w:rsidRPr="00921EF2">
        <w:rPr>
          <w:sz w:val="22"/>
          <w:szCs w:val="22"/>
          <w:lang w:val="sk-SK"/>
        </w:rPr>
        <w:t>valproát</w:t>
      </w:r>
      <w:r w:rsidRPr="00921EF2">
        <w:rPr>
          <w:sz w:val="22"/>
          <w:szCs w:val="22"/>
          <w:lang w:val="sk-SK"/>
        </w:rPr>
        <w:t>u v krvi.</w:t>
      </w:r>
    </w:p>
    <w:p w14:paraId="089B870D" w14:textId="77777777" w:rsidR="007406A5" w:rsidRPr="00921EF2" w:rsidRDefault="007406A5" w:rsidP="00B124D9">
      <w:pPr>
        <w:rPr>
          <w:sz w:val="22"/>
          <w:szCs w:val="22"/>
          <w:lang w:val="sk-SK"/>
        </w:rPr>
      </w:pPr>
    </w:p>
    <w:p w14:paraId="5198B458" w14:textId="77777777" w:rsidR="007406A5" w:rsidRPr="00921EF2" w:rsidRDefault="007406A5" w:rsidP="00B124D9">
      <w:pPr>
        <w:rPr>
          <w:sz w:val="22"/>
          <w:szCs w:val="22"/>
          <w:lang w:val="sk-SK"/>
        </w:rPr>
      </w:pPr>
      <w:r w:rsidRPr="00921EF2">
        <w:rPr>
          <w:sz w:val="22"/>
          <w:szCs w:val="22"/>
          <w:lang w:val="sk-SK"/>
        </w:rPr>
        <w:t>Hladiny metabolitov kyseliny valproovej môžu byť zvýšené v prípade súbežného užívania s fenytoínom alebo fenobarbitalom. U pacientov liečených týmito dvoma liekmi sa musia preto starostlivo sledovať príznaky a prejavy hyperamonémie.</w:t>
      </w:r>
    </w:p>
    <w:p w14:paraId="6A4B7DC4" w14:textId="77777777" w:rsidR="00977BF3" w:rsidRPr="00921EF2" w:rsidRDefault="00977BF3" w:rsidP="00B124D9">
      <w:pPr>
        <w:rPr>
          <w:sz w:val="22"/>
          <w:szCs w:val="22"/>
          <w:lang w:val="sk-SK"/>
        </w:rPr>
      </w:pPr>
    </w:p>
    <w:p w14:paraId="6D24B452" w14:textId="77777777" w:rsidR="00AD5D3D" w:rsidRPr="00921EF2" w:rsidRDefault="00AD5D3D" w:rsidP="00B124D9">
      <w:pPr>
        <w:rPr>
          <w:bCs/>
          <w:i/>
          <w:sz w:val="22"/>
          <w:szCs w:val="22"/>
          <w:u w:val="single"/>
          <w:lang w:val="sk-SK"/>
        </w:rPr>
      </w:pPr>
      <w:r w:rsidRPr="00921EF2">
        <w:rPr>
          <w:bCs/>
          <w:i/>
          <w:sz w:val="22"/>
          <w:szCs w:val="22"/>
          <w:u w:val="single"/>
          <w:lang w:val="sk-SK"/>
        </w:rPr>
        <w:t>Meflochín</w:t>
      </w:r>
    </w:p>
    <w:p w14:paraId="3426B21D" w14:textId="77777777" w:rsidR="00977BF3" w:rsidRPr="00921EF2" w:rsidRDefault="00977BF3" w:rsidP="00B124D9">
      <w:pPr>
        <w:rPr>
          <w:sz w:val="22"/>
          <w:szCs w:val="22"/>
          <w:lang w:val="sk-SK"/>
        </w:rPr>
      </w:pPr>
      <w:r w:rsidRPr="00921EF2">
        <w:rPr>
          <w:bCs/>
          <w:sz w:val="22"/>
          <w:szCs w:val="22"/>
          <w:lang w:val="sk-SK"/>
        </w:rPr>
        <w:t>Meflochín</w:t>
      </w:r>
      <w:r w:rsidRPr="00921EF2">
        <w:rPr>
          <w:sz w:val="22"/>
          <w:szCs w:val="22"/>
          <w:lang w:val="sk-SK"/>
        </w:rPr>
        <w:t xml:space="preserve"> urýchľuje metabolizmus kyseliny valproovej a má konvulzívne účinky. V prípade kombinovanej liečby sa môžu preto vyskytnúť epileptické záchvaty.</w:t>
      </w:r>
    </w:p>
    <w:p w14:paraId="4B8BD3FB" w14:textId="77777777" w:rsidR="00977BF3" w:rsidRPr="00921EF2" w:rsidRDefault="00977BF3" w:rsidP="00B124D9">
      <w:pPr>
        <w:rPr>
          <w:sz w:val="22"/>
          <w:szCs w:val="22"/>
          <w:lang w:val="sk-SK"/>
        </w:rPr>
      </w:pPr>
    </w:p>
    <w:p w14:paraId="4E502F08" w14:textId="77777777" w:rsidR="00AD5D3D" w:rsidRPr="00921EF2" w:rsidRDefault="00AD5D3D" w:rsidP="00B124D9">
      <w:pPr>
        <w:rPr>
          <w:i/>
          <w:sz w:val="22"/>
          <w:szCs w:val="22"/>
          <w:u w:val="single"/>
          <w:lang w:val="sk-SK"/>
        </w:rPr>
      </w:pPr>
      <w:r w:rsidRPr="00921EF2">
        <w:rPr>
          <w:bCs/>
          <w:i/>
          <w:sz w:val="22"/>
          <w:szCs w:val="22"/>
          <w:u w:val="single"/>
          <w:lang w:val="sk-SK"/>
        </w:rPr>
        <w:t>Látky silne sa viažuce na bielkoviny</w:t>
      </w:r>
    </w:p>
    <w:p w14:paraId="7529207E" w14:textId="5CF0FD04" w:rsidR="00977BF3" w:rsidRPr="00921EF2" w:rsidRDefault="00977BF3" w:rsidP="00B124D9">
      <w:pPr>
        <w:rPr>
          <w:sz w:val="22"/>
          <w:szCs w:val="22"/>
          <w:lang w:val="sk-SK"/>
        </w:rPr>
      </w:pPr>
      <w:r w:rsidRPr="00921EF2">
        <w:rPr>
          <w:sz w:val="22"/>
          <w:szCs w:val="22"/>
          <w:lang w:val="sk-SK"/>
        </w:rPr>
        <w:t xml:space="preserve">V prípade súčasného použitia </w:t>
      </w:r>
      <w:r w:rsidR="0023483F" w:rsidRPr="00921EF2">
        <w:rPr>
          <w:sz w:val="22"/>
          <w:szCs w:val="22"/>
          <w:lang w:val="sk-SK"/>
        </w:rPr>
        <w:t>valproát</w:t>
      </w:r>
      <w:r w:rsidRPr="00921EF2">
        <w:rPr>
          <w:sz w:val="22"/>
          <w:szCs w:val="22"/>
          <w:lang w:val="sk-SK"/>
        </w:rPr>
        <w:t xml:space="preserve">u a </w:t>
      </w:r>
      <w:r w:rsidRPr="00921EF2">
        <w:rPr>
          <w:bCs/>
          <w:sz w:val="22"/>
          <w:szCs w:val="22"/>
          <w:lang w:val="sk-SK"/>
        </w:rPr>
        <w:t>látok, ktoré sa silne viažu na bielkoviny</w:t>
      </w:r>
      <w:r w:rsidRPr="00921EF2">
        <w:rPr>
          <w:sz w:val="22"/>
          <w:szCs w:val="22"/>
          <w:lang w:val="sk-SK"/>
        </w:rPr>
        <w:t xml:space="preserve"> (napr.</w:t>
      </w:r>
      <w:r w:rsidR="00C22FD5" w:rsidRPr="00921EF2">
        <w:rPr>
          <w:sz w:val="22"/>
          <w:szCs w:val="22"/>
          <w:lang w:val="sk-SK"/>
        </w:rPr>
        <w:t xml:space="preserve"> </w:t>
      </w:r>
      <w:r w:rsidRPr="00921EF2">
        <w:rPr>
          <w:sz w:val="22"/>
          <w:szCs w:val="22"/>
          <w:lang w:val="sk-SK"/>
        </w:rPr>
        <w:t>kyselina acetylsalicylová), sa môže zvýšiť hladina voľn</w:t>
      </w:r>
      <w:r w:rsidR="00B11694" w:rsidRPr="00921EF2">
        <w:rPr>
          <w:sz w:val="22"/>
          <w:szCs w:val="22"/>
          <w:lang w:val="sk-SK"/>
        </w:rPr>
        <w:t>ej kyseliny valproovej</w:t>
      </w:r>
      <w:r w:rsidRPr="00921EF2">
        <w:rPr>
          <w:sz w:val="22"/>
          <w:szCs w:val="22"/>
          <w:lang w:val="sk-SK"/>
        </w:rPr>
        <w:t xml:space="preserve"> v sére.</w:t>
      </w:r>
    </w:p>
    <w:p w14:paraId="45D072C4" w14:textId="77777777" w:rsidR="00977BF3" w:rsidRPr="00921EF2" w:rsidRDefault="00977BF3" w:rsidP="00B124D9">
      <w:pPr>
        <w:rPr>
          <w:sz w:val="22"/>
          <w:szCs w:val="22"/>
          <w:u w:val="single"/>
          <w:lang w:val="sk-SK"/>
        </w:rPr>
      </w:pPr>
    </w:p>
    <w:p w14:paraId="68CF9FBE" w14:textId="77777777" w:rsidR="00AD5D3D" w:rsidRPr="00921EF2" w:rsidRDefault="00AD5D3D" w:rsidP="00B124D9">
      <w:pPr>
        <w:rPr>
          <w:i/>
          <w:sz w:val="22"/>
          <w:szCs w:val="22"/>
          <w:u w:val="single"/>
          <w:lang w:val="sk-SK"/>
        </w:rPr>
      </w:pPr>
      <w:r w:rsidRPr="00921EF2">
        <w:rPr>
          <w:bCs/>
          <w:i/>
          <w:sz w:val="22"/>
          <w:szCs w:val="22"/>
          <w:u w:val="single"/>
          <w:lang w:val="sk-SK"/>
        </w:rPr>
        <w:lastRenderedPageBreak/>
        <w:t>Vitamín K dependentné antikoagulanciá</w:t>
      </w:r>
    </w:p>
    <w:p w14:paraId="0030345D" w14:textId="77777777" w:rsidR="00977BF3" w:rsidRPr="00921EF2" w:rsidRDefault="00977BF3" w:rsidP="00B124D9">
      <w:pPr>
        <w:rPr>
          <w:bCs/>
          <w:sz w:val="22"/>
          <w:szCs w:val="22"/>
          <w:lang w:val="sk-SK"/>
        </w:rPr>
      </w:pPr>
      <w:r w:rsidRPr="00921EF2">
        <w:rPr>
          <w:sz w:val="22"/>
          <w:szCs w:val="22"/>
          <w:lang w:val="sk-SK"/>
        </w:rPr>
        <w:t>Sledovanie protrombínového času sa m</w:t>
      </w:r>
      <w:r w:rsidR="00EE662D" w:rsidRPr="00921EF2">
        <w:rPr>
          <w:sz w:val="22"/>
          <w:szCs w:val="22"/>
          <w:lang w:val="sk-SK"/>
        </w:rPr>
        <w:t>á</w:t>
      </w:r>
      <w:r w:rsidRPr="00921EF2">
        <w:rPr>
          <w:sz w:val="22"/>
          <w:szCs w:val="22"/>
          <w:lang w:val="sk-SK"/>
        </w:rPr>
        <w:t xml:space="preserve"> vykonávať v prípade súčasného užívania </w:t>
      </w:r>
      <w:r w:rsidRPr="00921EF2">
        <w:rPr>
          <w:bCs/>
          <w:sz w:val="22"/>
          <w:szCs w:val="22"/>
          <w:lang w:val="sk-SK"/>
        </w:rPr>
        <w:t>vitamín</w:t>
      </w:r>
      <w:r w:rsidR="00EE662D" w:rsidRPr="00921EF2">
        <w:rPr>
          <w:bCs/>
          <w:sz w:val="22"/>
          <w:szCs w:val="22"/>
          <w:lang w:val="sk-SK"/>
        </w:rPr>
        <w:t> </w:t>
      </w:r>
      <w:r w:rsidRPr="00921EF2">
        <w:rPr>
          <w:bCs/>
          <w:sz w:val="22"/>
          <w:szCs w:val="22"/>
          <w:lang w:val="sk-SK"/>
        </w:rPr>
        <w:t>K dependentných antikoagulancií.</w:t>
      </w:r>
    </w:p>
    <w:p w14:paraId="54557C52" w14:textId="77777777" w:rsidR="00977BF3" w:rsidRPr="00921EF2" w:rsidRDefault="00977BF3" w:rsidP="00B124D9">
      <w:pPr>
        <w:rPr>
          <w:sz w:val="22"/>
          <w:szCs w:val="22"/>
          <w:lang w:val="sk-SK"/>
        </w:rPr>
      </w:pPr>
    </w:p>
    <w:p w14:paraId="6E8F39E4" w14:textId="77777777" w:rsidR="00AD5D3D" w:rsidRPr="00921EF2" w:rsidRDefault="00AD5D3D" w:rsidP="00B124D9">
      <w:pPr>
        <w:rPr>
          <w:i/>
          <w:sz w:val="22"/>
          <w:szCs w:val="22"/>
          <w:u w:val="single"/>
          <w:lang w:val="sk-SK"/>
        </w:rPr>
      </w:pPr>
      <w:r w:rsidRPr="00921EF2">
        <w:rPr>
          <w:bCs/>
          <w:i/>
          <w:sz w:val="22"/>
          <w:szCs w:val="22"/>
          <w:u w:val="single"/>
          <w:lang w:val="sk-SK"/>
        </w:rPr>
        <w:t>Cimetidín</w:t>
      </w:r>
      <w:r w:rsidRPr="00921EF2">
        <w:rPr>
          <w:i/>
          <w:sz w:val="22"/>
          <w:szCs w:val="22"/>
          <w:u w:val="single"/>
          <w:lang w:val="sk-SK"/>
        </w:rPr>
        <w:t xml:space="preserve"> alebo </w:t>
      </w:r>
      <w:r w:rsidRPr="00921EF2">
        <w:rPr>
          <w:bCs/>
          <w:i/>
          <w:sz w:val="22"/>
          <w:szCs w:val="22"/>
          <w:u w:val="single"/>
          <w:lang w:val="sk-SK"/>
        </w:rPr>
        <w:t>erytromycín</w:t>
      </w:r>
    </w:p>
    <w:p w14:paraId="07ACE1D5" w14:textId="77777777" w:rsidR="00977BF3" w:rsidRPr="00921EF2" w:rsidRDefault="00977BF3" w:rsidP="00B124D9">
      <w:pPr>
        <w:rPr>
          <w:sz w:val="22"/>
          <w:szCs w:val="22"/>
          <w:lang w:val="sk-SK"/>
        </w:rPr>
      </w:pPr>
      <w:r w:rsidRPr="00921EF2">
        <w:rPr>
          <w:sz w:val="22"/>
          <w:szCs w:val="22"/>
          <w:lang w:val="sk-SK"/>
        </w:rPr>
        <w:t xml:space="preserve">Hladina </w:t>
      </w:r>
      <w:r w:rsidR="005D2B83" w:rsidRPr="00921EF2">
        <w:rPr>
          <w:sz w:val="22"/>
          <w:szCs w:val="22"/>
          <w:lang w:val="sk-SK"/>
        </w:rPr>
        <w:t xml:space="preserve">kyseliny valproovej </w:t>
      </w:r>
      <w:r w:rsidRPr="00921EF2">
        <w:rPr>
          <w:sz w:val="22"/>
          <w:szCs w:val="22"/>
          <w:lang w:val="sk-SK"/>
        </w:rPr>
        <w:t>v sére sa môže zvýšiť (ako výsledok spomalenia metabolizmu v pečeni) v prípade súčasného užívania s </w:t>
      </w:r>
      <w:r w:rsidRPr="00921EF2">
        <w:rPr>
          <w:bCs/>
          <w:sz w:val="22"/>
          <w:szCs w:val="22"/>
          <w:lang w:val="sk-SK"/>
        </w:rPr>
        <w:t>cimetidínom</w:t>
      </w:r>
      <w:r w:rsidRPr="00921EF2">
        <w:rPr>
          <w:sz w:val="22"/>
          <w:szCs w:val="22"/>
          <w:lang w:val="sk-SK"/>
        </w:rPr>
        <w:t xml:space="preserve"> alebo </w:t>
      </w:r>
      <w:r w:rsidRPr="00921EF2">
        <w:rPr>
          <w:bCs/>
          <w:sz w:val="22"/>
          <w:szCs w:val="22"/>
          <w:lang w:val="sk-SK"/>
        </w:rPr>
        <w:t>erytromycínom</w:t>
      </w:r>
      <w:r w:rsidRPr="00921EF2">
        <w:rPr>
          <w:sz w:val="22"/>
          <w:szCs w:val="22"/>
          <w:lang w:val="sk-SK"/>
        </w:rPr>
        <w:t>.</w:t>
      </w:r>
    </w:p>
    <w:p w14:paraId="0E60618D" w14:textId="77777777" w:rsidR="00977BF3" w:rsidRPr="00921EF2" w:rsidRDefault="00977BF3" w:rsidP="00B124D9">
      <w:pPr>
        <w:rPr>
          <w:sz w:val="22"/>
          <w:szCs w:val="22"/>
          <w:lang w:val="sk-SK"/>
        </w:rPr>
      </w:pPr>
    </w:p>
    <w:p w14:paraId="228B2867" w14:textId="77777777" w:rsidR="00AD5D3D" w:rsidRPr="00921EF2" w:rsidRDefault="00AD5D3D" w:rsidP="00B124D9">
      <w:pPr>
        <w:keepNext/>
        <w:rPr>
          <w:bCs/>
          <w:i/>
          <w:iCs/>
          <w:sz w:val="22"/>
          <w:szCs w:val="22"/>
          <w:u w:val="single"/>
          <w:lang w:val="sk-SK"/>
        </w:rPr>
      </w:pPr>
      <w:r w:rsidRPr="00921EF2">
        <w:rPr>
          <w:bCs/>
          <w:i/>
          <w:iCs/>
          <w:sz w:val="22"/>
          <w:szCs w:val="22"/>
          <w:u w:val="single"/>
          <w:lang w:val="sk-SK"/>
        </w:rPr>
        <w:t>Karbapenémy</w:t>
      </w:r>
    </w:p>
    <w:p w14:paraId="4F99CA83" w14:textId="77777777" w:rsidR="00197E9E" w:rsidRPr="00921EF2" w:rsidRDefault="001E2589" w:rsidP="00B124D9">
      <w:pPr>
        <w:rPr>
          <w:b/>
          <w:bCs/>
          <w:i/>
          <w:iCs/>
          <w:sz w:val="22"/>
          <w:szCs w:val="22"/>
          <w:lang w:val="sk-SK"/>
        </w:rPr>
      </w:pPr>
      <w:r w:rsidRPr="00921EF2">
        <w:rPr>
          <w:bCs/>
          <w:iCs/>
          <w:sz w:val="22"/>
          <w:szCs w:val="22"/>
          <w:lang w:val="sk-SK"/>
        </w:rPr>
        <w:t xml:space="preserve">Karbapenémy (panipeném, meropeném, imipeném, atď.): </w:t>
      </w:r>
      <w:r w:rsidR="00197E9E" w:rsidRPr="00921EF2">
        <w:rPr>
          <w:bCs/>
          <w:iCs/>
          <w:sz w:val="22"/>
          <w:szCs w:val="22"/>
          <w:lang w:val="sk-SK"/>
        </w:rPr>
        <w:t>Súčasné podávanie kyseliny valproovej a karbapenémov spôsobilo zníženie hladiny kyseliny valproovej v krvi (60-100 % zníženie v priebehu dvoch dní). Z dôvodu rýchleho nástupu a rozsahu tohto poklesu sa súčasné podávanie karbapenémov u pacientov stabilizovaných na kyseline valproovej nepovažuje za zvládnuteľné, a preto sa mu je nutné vyhnúť (pozri časť 4.4).</w:t>
      </w:r>
      <w:r w:rsidR="003222A0" w:rsidRPr="00921EF2">
        <w:rPr>
          <w:bCs/>
          <w:iCs/>
          <w:sz w:val="22"/>
          <w:szCs w:val="22"/>
          <w:lang w:val="sk-SK"/>
        </w:rPr>
        <w:t xml:space="preserve"> Ak nie je možné vyhnúť sa liečbe týmito antibiotikami, je nutné dôkladne sledovať hladinu </w:t>
      </w:r>
      <w:r w:rsidR="00361C4F" w:rsidRPr="00921EF2">
        <w:rPr>
          <w:sz w:val="22"/>
          <w:szCs w:val="22"/>
          <w:lang w:val="sk-SK"/>
        </w:rPr>
        <w:t xml:space="preserve">Orfiril long </w:t>
      </w:r>
      <w:r w:rsidR="003222A0" w:rsidRPr="00921EF2">
        <w:rPr>
          <w:bCs/>
          <w:iCs/>
          <w:sz w:val="22"/>
          <w:szCs w:val="22"/>
          <w:lang w:val="sk-SK"/>
        </w:rPr>
        <w:t>v krvi.</w:t>
      </w:r>
    </w:p>
    <w:p w14:paraId="59FAEE49" w14:textId="77777777" w:rsidR="00977BF3" w:rsidRPr="00921EF2" w:rsidRDefault="00977BF3" w:rsidP="00B124D9">
      <w:pPr>
        <w:rPr>
          <w:b/>
          <w:bCs/>
          <w:sz w:val="22"/>
          <w:szCs w:val="22"/>
          <w:u w:val="single"/>
          <w:lang w:val="sk-SK"/>
        </w:rPr>
      </w:pPr>
    </w:p>
    <w:p w14:paraId="0A94598A" w14:textId="77777777" w:rsidR="00AD5D3D" w:rsidRPr="00921EF2" w:rsidRDefault="00AD5D3D" w:rsidP="005C64C0">
      <w:pPr>
        <w:rPr>
          <w:i/>
          <w:sz w:val="22"/>
          <w:szCs w:val="22"/>
          <w:u w:val="single"/>
          <w:lang w:val="sk-SK"/>
        </w:rPr>
      </w:pPr>
      <w:r w:rsidRPr="00921EF2">
        <w:rPr>
          <w:i/>
          <w:sz w:val="22"/>
          <w:szCs w:val="22"/>
          <w:u w:val="single"/>
          <w:lang w:val="sk-SK"/>
        </w:rPr>
        <w:t>Rifampicín</w:t>
      </w:r>
    </w:p>
    <w:p w14:paraId="783BAFA3" w14:textId="7E36018F" w:rsidR="00B07B09" w:rsidRPr="00921EF2" w:rsidRDefault="00B07B09" w:rsidP="00B124D9">
      <w:pPr>
        <w:rPr>
          <w:sz w:val="22"/>
          <w:szCs w:val="22"/>
          <w:lang w:val="sk-SK"/>
        </w:rPr>
      </w:pPr>
      <w:r w:rsidRPr="00921EF2">
        <w:rPr>
          <w:sz w:val="22"/>
          <w:szCs w:val="22"/>
          <w:lang w:val="sk-SK"/>
        </w:rPr>
        <w:t xml:space="preserve">Rifampicín môže znižovať hladinu </w:t>
      </w:r>
      <w:r w:rsidR="005D2B83" w:rsidRPr="00921EF2">
        <w:rPr>
          <w:sz w:val="22"/>
          <w:szCs w:val="22"/>
          <w:lang w:val="sk-SK"/>
        </w:rPr>
        <w:t xml:space="preserve">kyseliny valproovej </w:t>
      </w:r>
      <w:r w:rsidRPr="00921EF2">
        <w:rPr>
          <w:sz w:val="22"/>
          <w:szCs w:val="22"/>
          <w:lang w:val="sk-SK"/>
        </w:rPr>
        <w:t xml:space="preserve">v krvi, čoho dôsledkom je nedostatočný terapeutický účinok. Preto pri súčasnom podávaní </w:t>
      </w:r>
      <w:r w:rsidR="0023483F" w:rsidRPr="00921EF2">
        <w:rPr>
          <w:sz w:val="22"/>
          <w:szCs w:val="22"/>
          <w:lang w:val="sk-SK"/>
        </w:rPr>
        <w:t>valproát</w:t>
      </w:r>
      <w:r w:rsidRPr="00921EF2">
        <w:rPr>
          <w:sz w:val="22"/>
          <w:szCs w:val="22"/>
          <w:lang w:val="sk-SK"/>
        </w:rPr>
        <w:t xml:space="preserve">u s rifampicínom sa môže vyžadovať úprava dávky </w:t>
      </w:r>
      <w:r w:rsidR="0023483F" w:rsidRPr="00921EF2">
        <w:rPr>
          <w:sz w:val="22"/>
          <w:szCs w:val="22"/>
          <w:lang w:val="sk-SK"/>
        </w:rPr>
        <w:t>valproát</w:t>
      </w:r>
      <w:r w:rsidRPr="00921EF2">
        <w:rPr>
          <w:sz w:val="22"/>
          <w:szCs w:val="22"/>
          <w:lang w:val="sk-SK"/>
        </w:rPr>
        <w:t>u.</w:t>
      </w:r>
    </w:p>
    <w:p w14:paraId="24CDFC5F" w14:textId="77777777" w:rsidR="007406A5" w:rsidRPr="00921EF2" w:rsidRDefault="007406A5" w:rsidP="00B124D9">
      <w:pPr>
        <w:rPr>
          <w:b/>
          <w:bCs/>
          <w:sz w:val="22"/>
          <w:szCs w:val="22"/>
          <w:u w:val="single"/>
          <w:lang w:val="sk-SK"/>
        </w:rPr>
      </w:pPr>
    </w:p>
    <w:p w14:paraId="0D57A19B" w14:textId="77777777" w:rsidR="00AD5D3D" w:rsidRPr="00921EF2" w:rsidRDefault="00AD5D3D" w:rsidP="00B124D9">
      <w:pPr>
        <w:rPr>
          <w:bCs/>
          <w:i/>
          <w:sz w:val="22"/>
          <w:szCs w:val="22"/>
          <w:u w:val="single"/>
          <w:lang w:val="sk-SK"/>
        </w:rPr>
      </w:pPr>
      <w:r w:rsidRPr="00921EF2">
        <w:rPr>
          <w:bCs/>
          <w:i/>
          <w:sz w:val="22"/>
          <w:szCs w:val="22"/>
          <w:u w:val="single"/>
          <w:lang w:val="sk-SK"/>
        </w:rPr>
        <w:t>Inhibítory proteázy</w:t>
      </w:r>
    </w:p>
    <w:p w14:paraId="75DF69A8" w14:textId="4A233C4B" w:rsidR="007406A5" w:rsidRPr="00921EF2" w:rsidRDefault="007406A5" w:rsidP="00B124D9">
      <w:pPr>
        <w:rPr>
          <w:bCs/>
          <w:sz w:val="22"/>
          <w:szCs w:val="22"/>
          <w:lang w:val="sk-SK"/>
        </w:rPr>
      </w:pPr>
      <w:r w:rsidRPr="00921EF2">
        <w:rPr>
          <w:bCs/>
          <w:sz w:val="22"/>
          <w:szCs w:val="22"/>
          <w:lang w:val="sk-SK"/>
        </w:rPr>
        <w:t xml:space="preserve">Inhibítory proteázy ako napríklad lopinavir, ritonavir znižujú pri súbežnej liečbe sérové hladiny </w:t>
      </w:r>
      <w:r w:rsidR="0023483F" w:rsidRPr="00921EF2">
        <w:rPr>
          <w:bCs/>
          <w:sz w:val="22"/>
          <w:szCs w:val="22"/>
          <w:lang w:val="sk-SK"/>
        </w:rPr>
        <w:t>valproát</w:t>
      </w:r>
      <w:r w:rsidRPr="00921EF2">
        <w:rPr>
          <w:bCs/>
          <w:sz w:val="22"/>
          <w:szCs w:val="22"/>
          <w:lang w:val="sk-SK"/>
        </w:rPr>
        <w:t>u.</w:t>
      </w:r>
    </w:p>
    <w:p w14:paraId="16E554A2" w14:textId="77777777" w:rsidR="007406A5" w:rsidRPr="00921EF2" w:rsidRDefault="007406A5" w:rsidP="00B124D9">
      <w:pPr>
        <w:rPr>
          <w:b/>
          <w:bCs/>
          <w:sz w:val="22"/>
          <w:szCs w:val="22"/>
          <w:lang w:val="sk-SK"/>
        </w:rPr>
      </w:pPr>
    </w:p>
    <w:p w14:paraId="76EC9567" w14:textId="77777777" w:rsidR="00AD5D3D" w:rsidRPr="00921EF2" w:rsidRDefault="00AD5D3D" w:rsidP="00B124D9">
      <w:pPr>
        <w:rPr>
          <w:bCs/>
          <w:i/>
          <w:sz w:val="22"/>
          <w:szCs w:val="22"/>
          <w:u w:val="single"/>
          <w:lang w:val="sk-SK"/>
        </w:rPr>
      </w:pPr>
      <w:r w:rsidRPr="00921EF2">
        <w:rPr>
          <w:bCs/>
          <w:i/>
          <w:sz w:val="22"/>
          <w:szCs w:val="22"/>
          <w:u w:val="single"/>
          <w:lang w:val="sk-SK"/>
        </w:rPr>
        <w:t>Cholestyramín</w:t>
      </w:r>
    </w:p>
    <w:p w14:paraId="6D2C865A" w14:textId="0677EEE8" w:rsidR="007406A5" w:rsidRPr="00921EF2" w:rsidRDefault="007406A5" w:rsidP="00B124D9">
      <w:pPr>
        <w:rPr>
          <w:bCs/>
          <w:sz w:val="22"/>
          <w:szCs w:val="22"/>
          <w:lang w:val="sk-SK"/>
        </w:rPr>
      </w:pPr>
      <w:r w:rsidRPr="00921EF2">
        <w:rPr>
          <w:bCs/>
          <w:sz w:val="22"/>
          <w:szCs w:val="22"/>
          <w:lang w:val="sk-SK"/>
        </w:rPr>
        <w:t xml:space="preserve">Cholestyramín môže viesť pri súbežnom podávaní k zníženiu plazmatických hladín </w:t>
      </w:r>
      <w:r w:rsidR="0023483F" w:rsidRPr="00921EF2">
        <w:rPr>
          <w:bCs/>
          <w:sz w:val="22"/>
          <w:szCs w:val="22"/>
          <w:lang w:val="sk-SK"/>
        </w:rPr>
        <w:t>valproát</w:t>
      </w:r>
      <w:r w:rsidRPr="00921EF2">
        <w:rPr>
          <w:bCs/>
          <w:sz w:val="22"/>
          <w:szCs w:val="22"/>
          <w:lang w:val="sk-SK"/>
        </w:rPr>
        <w:t>u.</w:t>
      </w:r>
    </w:p>
    <w:p w14:paraId="602B274D" w14:textId="77777777" w:rsidR="00AD5D3D" w:rsidRPr="00921EF2" w:rsidRDefault="00AD5D3D" w:rsidP="00B124D9">
      <w:pPr>
        <w:rPr>
          <w:b/>
          <w:bCs/>
          <w:sz w:val="22"/>
          <w:szCs w:val="22"/>
          <w:u w:val="single"/>
          <w:lang w:val="sk-SK"/>
        </w:rPr>
      </w:pPr>
    </w:p>
    <w:p w14:paraId="728F9182" w14:textId="77777777" w:rsidR="00AD5D3D" w:rsidRPr="00921EF2" w:rsidRDefault="00AD5D3D" w:rsidP="00B124D9">
      <w:pPr>
        <w:rPr>
          <w:bCs/>
          <w:i/>
          <w:sz w:val="22"/>
          <w:szCs w:val="22"/>
          <w:u w:val="single"/>
          <w:lang w:val="sk-SK"/>
        </w:rPr>
      </w:pPr>
      <w:r w:rsidRPr="00921EF2">
        <w:rPr>
          <w:bCs/>
          <w:i/>
          <w:sz w:val="22"/>
          <w:szCs w:val="22"/>
          <w:u w:val="single"/>
          <w:lang w:val="sk-SK"/>
        </w:rPr>
        <w:t>Produkty obsahujúce estrogén, vrátane hormonálnej antikoncepcie obsahujúcej estrogén</w:t>
      </w:r>
    </w:p>
    <w:p w14:paraId="08CE0E95" w14:textId="6DCC67E9" w:rsidR="00AD5D3D" w:rsidRPr="00921EF2" w:rsidRDefault="00AD5D3D" w:rsidP="00B124D9">
      <w:pPr>
        <w:rPr>
          <w:color w:val="222222"/>
          <w:sz w:val="22"/>
          <w:szCs w:val="22"/>
          <w:lang w:val="sk-SK"/>
        </w:rPr>
      </w:pPr>
      <w:r w:rsidRPr="00921EF2">
        <w:rPr>
          <w:bCs/>
          <w:sz w:val="22"/>
          <w:szCs w:val="22"/>
          <w:lang w:val="sk-SK"/>
        </w:rPr>
        <w:t>Estrogény sú induktormi izoforiem</w:t>
      </w:r>
      <w:r w:rsidRPr="00921EF2">
        <w:rPr>
          <w:b/>
          <w:bCs/>
          <w:sz w:val="22"/>
          <w:szCs w:val="22"/>
          <w:lang w:val="sk-SK"/>
        </w:rPr>
        <w:t xml:space="preserve"> </w:t>
      </w:r>
      <w:r w:rsidRPr="00921EF2">
        <w:rPr>
          <w:color w:val="222222"/>
          <w:sz w:val="22"/>
          <w:szCs w:val="22"/>
          <w:lang w:val="sk-SK"/>
        </w:rPr>
        <w:t xml:space="preserve">UDP-glukuronozyltransferázy (UGT), ktoré sa podieľajú na glukuronidácii </w:t>
      </w:r>
      <w:r w:rsidR="0023483F" w:rsidRPr="00921EF2">
        <w:rPr>
          <w:color w:val="222222"/>
          <w:sz w:val="22"/>
          <w:szCs w:val="22"/>
          <w:lang w:val="sk-SK"/>
        </w:rPr>
        <w:t>valproát</w:t>
      </w:r>
      <w:r w:rsidRPr="00921EF2">
        <w:rPr>
          <w:color w:val="222222"/>
          <w:sz w:val="22"/>
          <w:szCs w:val="22"/>
          <w:lang w:val="sk-SK"/>
        </w:rPr>
        <w:t xml:space="preserve">u, a môžu zvýšiť klírens </w:t>
      </w:r>
      <w:r w:rsidR="0023483F" w:rsidRPr="00921EF2">
        <w:rPr>
          <w:color w:val="222222"/>
          <w:sz w:val="22"/>
          <w:szCs w:val="22"/>
          <w:lang w:val="sk-SK"/>
        </w:rPr>
        <w:t>valproát</w:t>
      </w:r>
      <w:r w:rsidRPr="00921EF2">
        <w:rPr>
          <w:color w:val="222222"/>
          <w:sz w:val="22"/>
          <w:szCs w:val="22"/>
          <w:lang w:val="sk-SK"/>
        </w:rPr>
        <w:t xml:space="preserve">u, čo môže mať za následok zníženie sérovej koncentrácie </w:t>
      </w:r>
      <w:r w:rsidR="0023483F" w:rsidRPr="00921EF2">
        <w:rPr>
          <w:color w:val="222222"/>
          <w:sz w:val="22"/>
          <w:szCs w:val="22"/>
          <w:lang w:val="sk-SK"/>
        </w:rPr>
        <w:t>valproát</w:t>
      </w:r>
      <w:r w:rsidRPr="00921EF2">
        <w:rPr>
          <w:color w:val="222222"/>
          <w:sz w:val="22"/>
          <w:szCs w:val="22"/>
          <w:lang w:val="sk-SK"/>
        </w:rPr>
        <w:t xml:space="preserve">u a potenciálne znížiť účinnosť </w:t>
      </w:r>
      <w:r w:rsidR="0023483F" w:rsidRPr="00921EF2">
        <w:rPr>
          <w:color w:val="222222"/>
          <w:sz w:val="22"/>
          <w:szCs w:val="22"/>
          <w:lang w:val="sk-SK"/>
        </w:rPr>
        <w:t>valproát</w:t>
      </w:r>
      <w:r w:rsidRPr="00921EF2">
        <w:rPr>
          <w:color w:val="222222"/>
          <w:sz w:val="22"/>
          <w:szCs w:val="22"/>
          <w:lang w:val="sk-SK"/>
        </w:rPr>
        <w:t xml:space="preserve">u (pozri časť 4.4). Treba zvážiť sledovanie hladiny </w:t>
      </w:r>
      <w:r w:rsidR="0023483F" w:rsidRPr="00921EF2">
        <w:rPr>
          <w:color w:val="222222"/>
          <w:sz w:val="22"/>
          <w:szCs w:val="22"/>
          <w:lang w:val="sk-SK"/>
        </w:rPr>
        <w:t>valproát</w:t>
      </w:r>
      <w:r w:rsidRPr="00921EF2">
        <w:rPr>
          <w:color w:val="222222"/>
          <w:sz w:val="22"/>
          <w:szCs w:val="22"/>
          <w:lang w:val="sk-SK"/>
        </w:rPr>
        <w:t>u v sére.</w:t>
      </w:r>
    </w:p>
    <w:p w14:paraId="64122266" w14:textId="77777777" w:rsidR="00AD5D3D" w:rsidRPr="00921EF2" w:rsidRDefault="00AD5D3D" w:rsidP="00B124D9">
      <w:pPr>
        <w:rPr>
          <w:color w:val="222222"/>
          <w:sz w:val="22"/>
          <w:szCs w:val="22"/>
          <w:lang w:val="sk-SK"/>
        </w:rPr>
      </w:pPr>
    </w:p>
    <w:p w14:paraId="26BE8CB5" w14:textId="55BB55FF" w:rsidR="00AD5D3D" w:rsidRPr="00921EF2" w:rsidRDefault="00AD5D3D" w:rsidP="00B124D9">
      <w:pPr>
        <w:pStyle w:val="Zarkazkladnhotextu"/>
        <w:rPr>
          <w:sz w:val="22"/>
          <w:szCs w:val="22"/>
        </w:rPr>
      </w:pPr>
      <w:r w:rsidRPr="00921EF2">
        <w:rPr>
          <w:sz w:val="22"/>
          <w:szCs w:val="22"/>
        </w:rPr>
        <w:t xml:space="preserve">Naopak, </w:t>
      </w:r>
      <w:r w:rsidR="0023483F" w:rsidRPr="00921EF2">
        <w:rPr>
          <w:sz w:val="22"/>
          <w:szCs w:val="22"/>
        </w:rPr>
        <w:t>valproát</w:t>
      </w:r>
      <w:r w:rsidRPr="00921EF2">
        <w:rPr>
          <w:sz w:val="22"/>
          <w:szCs w:val="22"/>
        </w:rPr>
        <w:t xml:space="preserve"> neindukuje hepatálne enzýmy, takže neznižuje účinok </w:t>
      </w:r>
      <w:r w:rsidRPr="00921EF2">
        <w:rPr>
          <w:sz w:val="22"/>
          <w:szCs w:val="22"/>
          <w:lang w:val="cs-CZ"/>
        </w:rPr>
        <w:t>estrogén-progestagénov</w:t>
      </w:r>
      <w:r w:rsidRPr="00921EF2">
        <w:rPr>
          <w:sz w:val="22"/>
          <w:szCs w:val="22"/>
        </w:rPr>
        <w:t xml:space="preserve"> u žien užívajúcich hormonálnu antikoncepciu.</w:t>
      </w:r>
    </w:p>
    <w:p w14:paraId="7728B393" w14:textId="77777777" w:rsidR="00B07B09" w:rsidRPr="00921EF2" w:rsidRDefault="00B07B09" w:rsidP="00B124D9">
      <w:pPr>
        <w:rPr>
          <w:b/>
          <w:bCs/>
          <w:sz w:val="22"/>
          <w:szCs w:val="22"/>
          <w:u w:val="single"/>
          <w:lang w:val="sk-SK"/>
        </w:rPr>
      </w:pPr>
    </w:p>
    <w:p w14:paraId="6F7DF49A" w14:textId="77777777" w:rsidR="00977BF3" w:rsidRPr="00921EF2" w:rsidRDefault="00977BF3" w:rsidP="00B124D9">
      <w:pPr>
        <w:rPr>
          <w:bCs/>
          <w:sz w:val="22"/>
          <w:szCs w:val="22"/>
          <w:u w:val="single"/>
          <w:lang w:val="sk-SK"/>
        </w:rPr>
      </w:pPr>
      <w:r w:rsidRPr="00921EF2">
        <w:rPr>
          <w:bCs/>
          <w:sz w:val="22"/>
          <w:szCs w:val="22"/>
          <w:u w:val="single"/>
          <w:lang w:val="sk-SK"/>
        </w:rPr>
        <w:t>Ďalšie interakcie</w:t>
      </w:r>
    </w:p>
    <w:p w14:paraId="4E1DAEDB" w14:textId="77777777" w:rsidR="001C373A" w:rsidRPr="00921EF2" w:rsidRDefault="001C373A" w:rsidP="00B124D9">
      <w:pPr>
        <w:rPr>
          <w:bCs/>
          <w:sz w:val="22"/>
          <w:szCs w:val="22"/>
          <w:u w:val="single"/>
          <w:lang w:val="sk-SK"/>
        </w:rPr>
      </w:pPr>
    </w:p>
    <w:p w14:paraId="63C9EB96" w14:textId="1AC2DCE8" w:rsidR="00B07B09" w:rsidRPr="00921EF2" w:rsidDel="002E35A1" w:rsidRDefault="00B07B09" w:rsidP="005C64C0">
      <w:pPr>
        <w:rPr>
          <w:sz w:val="22"/>
          <w:szCs w:val="22"/>
          <w:lang w:val="sk-SK"/>
        </w:rPr>
      </w:pPr>
      <w:r w:rsidRPr="00921EF2">
        <w:rPr>
          <w:sz w:val="22"/>
          <w:szCs w:val="22"/>
          <w:lang w:val="sk-SK"/>
        </w:rPr>
        <w:t xml:space="preserve">Súčasné podávanie </w:t>
      </w:r>
      <w:r w:rsidR="0023483F" w:rsidRPr="00921EF2">
        <w:rPr>
          <w:sz w:val="22"/>
          <w:szCs w:val="22"/>
          <w:lang w:val="sk-SK"/>
        </w:rPr>
        <w:t>valproát</w:t>
      </w:r>
      <w:r w:rsidRPr="00921EF2">
        <w:rPr>
          <w:sz w:val="22"/>
          <w:szCs w:val="22"/>
          <w:lang w:val="sk-SK"/>
        </w:rPr>
        <w:t xml:space="preserve">u a topiramátu </w:t>
      </w:r>
      <w:r w:rsidR="007406A5" w:rsidRPr="00921EF2">
        <w:rPr>
          <w:sz w:val="22"/>
          <w:szCs w:val="22"/>
          <w:lang w:val="sk-SK"/>
        </w:rPr>
        <w:t xml:space="preserve">alebo acetazolamidu </w:t>
      </w:r>
      <w:r w:rsidRPr="00921EF2">
        <w:rPr>
          <w:sz w:val="22"/>
          <w:szCs w:val="22"/>
          <w:lang w:val="sk-SK"/>
        </w:rPr>
        <w:t>bolo spojené s encefalopatiou a/alebo hyperamon</w:t>
      </w:r>
      <w:r w:rsidR="00086374" w:rsidRPr="00921EF2">
        <w:rPr>
          <w:sz w:val="22"/>
          <w:szCs w:val="22"/>
          <w:lang w:val="sk-SK"/>
        </w:rPr>
        <w:t>i</w:t>
      </w:r>
      <w:r w:rsidRPr="00921EF2">
        <w:rPr>
          <w:sz w:val="22"/>
          <w:szCs w:val="22"/>
          <w:lang w:val="sk-SK"/>
        </w:rPr>
        <w:t>émiou. Pacienti liečení týmito dvomi liečivami majú byť pozorne monitorovaní na prítomnosť príznakov a symptómov hyperamon</w:t>
      </w:r>
      <w:r w:rsidR="00086374" w:rsidRPr="00921EF2">
        <w:rPr>
          <w:sz w:val="22"/>
          <w:szCs w:val="22"/>
          <w:lang w:val="sk-SK"/>
        </w:rPr>
        <w:t>i</w:t>
      </w:r>
      <w:r w:rsidRPr="00921EF2">
        <w:rPr>
          <w:sz w:val="22"/>
          <w:szCs w:val="22"/>
          <w:lang w:val="sk-SK"/>
        </w:rPr>
        <w:t>emickej encefalopatie.</w:t>
      </w:r>
    </w:p>
    <w:p w14:paraId="545FC623" w14:textId="77777777" w:rsidR="00BB30F2" w:rsidRPr="00921EF2" w:rsidRDefault="00BB30F2" w:rsidP="00B124D9">
      <w:pPr>
        <w:pStyle w:val="Zarkazkladnhotextu"/>
        <w:rPr>
          <w:sz w:val="22"/>
          <w:szCs w:val="22"/>
        </w:rPr>
      </w:pPr>
    </w:p>
    <w:p w14:paraId="79411516" w14:textId="77777777" w:rsidR="00BB30F2" w:rsidRPr="00921EF2" w:rsidRDefault="00BB30F2" w:rsidP="00B124D9">
      <w:pPr>
        <w:pStyle w:val="Zarkazkladnhotextu"/>
        <w:rPr>
          <w:i/>
          <w:sz w:val="22"/>
          <w:szCs w:val="22"/>
          <w:u w:val="single"/>
        </w:rPr>
      </w:pPr>
      <w:r w:rsidRPr="00921EF2">
        <w:rPr>
          <w:i/>
          <w:sz w:val="22"/>
          <w:szCs w:val="22"/>
          <w:u w:val="single"/>
        </w:rPr>
        <w:t>Kvetiapín</w:t>
      </w:r>
    </w:p>
    <w:p w14:paraId="50D2EE2B" w14:textId="58C12814" w:rsidR="00BB30F2" w:rsidRPr="00921EF2" w:rsidRDefault="00BB30F2" w:rsidP="00B124D9">
      <w:pPr>
        <w:pStyle w:val="Zarkazkladnhotextu"/>
        <w:rPr>
          <w:sz w:val="22"/>
          <w:szCs w:val="22"/>
        </w:rPr>
      </w:pPr>
      <w:r w:rsidRPr="00921EF2">
        <w:rPr>
          <w:sz w:val="22"/>
          <w:szCs w:val="22"/>
        </w:rPr>
        <w:t xml:space="preserve">Súbežné užívanie </w:t>
      </w:r>
      <w:r w:rsidR="0023483F" w:rsidRPr="00921EF2">
        <w:rPr>
          <w:sz w:val="22"/>
          <w:szCs w:val="22"/>
        </w:rPr>
        <w:t>valproát</w:t>
      </w:r>
      <w:r w:rsidR="00A478C5" w:rsidRPr="00921EF2">
        <w:rPr>
          <w:sz w:val="22"/>
          <w:szCs w:val="22"/>
        </w:rPr>
        <w:t xml:space="preserve">u </w:t>
      </w:r>
      <w:r w:rsidRPr="00921EF2">
        <w:rPr>
          <w:sz w:val="22"/>
          <w:szCs w:val="22"/>
        </w:rPr>
        <w:t>a kvetiapínu môže zvýšiť riziko neutropénie/leukopénie.</w:t>
      </w:r>
    </w:p>
    <w:p w14:paraId="4707C728" w14:textId="77777777" w:rsidR="00977BF3" w:rsidRPr="00921EF2" w:rsidRDefault="00977BF3" w:rsidP="00B124D9">
      <w:pPr>
        <w:rPr>
          <w:bCs/>
          <w:sz w:val="22"/>
          <w:szCs w:val="22"/>
          <w:lang w:val="sk-SK"/>
        </w:rPr>
      </w:pPr>
    </w:p>
    <w:p w14:paraId="107013B7"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4.6</w:t>
      </w:r>
      <w:r w:rsidR="00AD5FF6" w:rsidRPr="00921EF2">
        <w:rPr>
          <w:rFonts w:ascii="Times New Roman" w:hAnsi="Times New Roman" w:cs="Times New Roman"/>
          <w:sz w:val="22"/>
          <w:szCs w:val="22"/>
        </w:rPr>
        <w:tab/>
      </w:r>
      <w:r w:rsidR="00DC180D" w:rsidRPr="00921EF2">
        <w:rPr>
          <w:rFonts w:ascii="Times New Roman" w:hAnsi="Times New Roman" w:cs="Times New Roman"/>
          <w:sz w:val="22"/>
          <w:szCs w:val="22"/>
        </w:rPr>
        <w:t>Fertilita, g</w:t>
      </w:r>
      <w:r w:rsidRPr="00921EF2">
        <w:rPr>
          <w:rFonts w:ascii="Times New Roman" w:hAnsi="Times New Roman" w:cs="Times New Roman"/>
          <w:sz w:val="22"/>
          <w:szCs w:val="22"/>
        </w:rPr>
        <w:t>ravidita a laktácia</w:t>
      </w:r>
    </w:p>
    <w:p w14:paraId="36B10037" w14:textId="77777777" w:rsidR="007406A5" w:rsidRPr="00921EF2" w:rsidRDefault="007406A5" w:rsidP="00B124D9">
      <w:pPr>
        <w:pStyle w:val="Nadpis7"/>
        <w:jc w:val="left"/>
        <w:rPr>
          <w:rFonts w:ascii="Times New Roman" w:hAnsi="Times New Roman" w:cs="Times New Roman"/>
          <w:b w:val="0"/>
          <w:sz w:val="22"/>
          <w:szCs w:val="22"/>
        </w:rPr>
      </w:pPr>
    </w:p>
    <w:p w14:paraId="3F620251" w14:textId="77777777" w:rsidR="007406A5" w:rsidRPr="00921EF2" w:rsidRDefault="00361C4F" w:rsidP="00B124D9">
      <w:pPr>
        <w:rPr>
          <w:rFonts w:eastAsia="Calibri"/>
          <w:sz w:val="22"/>
          <w:szCs w:val="22"/>
          <w:lang w:val="sk-SK"/>
        </w:rPr>
      </w:pPr>
      <w:r w:rsidRPr="00921EF2">
        <w:rPr>
          <w:sz w:val="22"/>
          <w:szCs w:val="22"/>
          <w:lang w:val="sk-SK"/>
        </w:rPr>
        <w:t xml:space="preserve">Orfiril long </w:t>
      </w:r>
      <w:r w:rsidR="007406A5" w:rsidRPr="00921EF2">
        <w:rPr>
          <w:sz w:val="22"/>
          <w:szCs w:val="22"/>
          <w:lang w:val="sk-SK"/>
        </w:rPr>
        <w:t>sa nemá podávať dievčatám v detskom veku, dospievajúcim dievčatám, ženám vo fertilnom veku a gravidným ženám. Použiť sa smie iba v prípade, ak nie sú účinné alternatívne spôsoby liečby alebo ich pacientka netoleruje.</w:t>
      </w:r>
      <w:r w:rsidR="007406A5" w:rsidRPr="00921EF2">
        <w:rPr>
          <w:rFonts w:eastAsia="Calibri"/>
          <w:sz w:val="22"/>
          <w:szCs w:val="22"/>
          <w:lang w:val="sk-SK"/>
        </w:rPr>
        <w:t xml:space="preserve"> Ženy vo fertilnom veku musia počas liečby používať účinnú antikoncepciu.</w:t>
      </w:r>
      <w:r w:rsidR="007406A5" w:rsidRPr="00921EF2">
        <w:rPr>
          <w:sz w:val="22"/>
          <w:szCs w:val="22"/>
          <w:lang w:val="sk-SK"/>
        </w:rPr>
        <w:t xml:space="preserve"> U žien, ktoré plánujú graviditu, sa musí pred počatím vynaložiť všetko úsilie prejsť na vhodnú alternatívnu liečbu, ak je to možné</w:t>
      </w:r>
      <w:r w:rsidR="007406A5" w:rsidRPr="00921EF2">
        <w:rPr>
          <w:rFonts w:eastAsia="Calibri"/>
          <w:sz w:val="22"/>
          <w:szCs w:val="22"/>
          <w:lang w:val="sk-SK"/>
        </w:rPr>
        <w:t>.</w:t>
      </w:r>
    </w:p>
    <w:p w14:paraId="2DFFAA14" w14:textId="77777777" w:rsidR="000218C2" w:rsidRPr="00921EF2" w:rsidRDefault="000218C2" w:rsidP="00B124D9">
      <w:pPr>
        <w:rPr>
          <w:sz w:val="22"/>
          <w:szCs w:val="22"/>
          <w:lang w:val="sk-SK" w:eastAsia="en-GB"/>
        </w:rPr>
      </w:pPr>
    </w:p>
    <w:p w14:paraId="442C9423" w14:textId="77777777" w:rsidR="000218C2" w:rsidRPr="00921EF2" w:rsidRDefault="000218C2" w:rsidP="008A1BA8">
      <w:pPr>
        <w:keepNext/>
        <w:rPr>
          <w:sz w:val="22"/>
          <w:szCs w:val="22"/>
          <w:u w:val="single"/>
          <w:lang w:val="sk-SK"/>
        </w:rPr>
      </w:pPr>
      <w:r w:rsidRPr="00921EF2">
        <w:rPr>
          <w:sz w:val="22"/>
          <w:szCs w:val="22"/>
          <w:u w:val="single"/>
          <w:lang w:val="sk-SK"/>
        </w:rPr>
        <w:lastRenderedPageBreak/>
        <w:t xml:space="preserve">Ženy vo fertilnom veku </w:t>
      </w:r>
    </w:p>
    <w:p w14:paraId="7D3BD881" w14:textId="77777777" w:rsidR="000218C2" w:rsidRPr="00921EF2" w:rsidRDefault="000218C2" w:rsidP="008A1BA8">
      <w:pPr>
        <w:keepNext/>
        <w:rPr>
          <w:rFonts w:eastAsia="Calibri"/>
          <w:i/>
          <w:sz w:val="22"/>
          <w:szCs w:val="22"/>
          <w:lang w:val="sk-SK"/>
        </w:rPr>
      </w:pPr>
    </w:p>
    <w:p w14:paraId="7BEDCC3D" w14:textId="77777777" w:rsidR="000218C2" w:rsidRPr="00921EF2" w:rsidRDefault="000218C2" w:rsidP="008A1BA8">
      <w:pPr>
        <w:keepNext/>
        <w:rPr>
          <w:rFonts w:eastAsia="Calibri"/>
          <w:i/>
          <w:sz w:val="22"/>
          <w:szCs w:val="22"/>
          <w:u w:val="single"/>
          <w:lang w:val="sk-SK"/>
        </w:rPr>
      </w:pPr>
      <w:r w:rsidRPr="00921EF2">
        <w:rPr>
          <w:rFonts w:eastAsia="Calibri"/>
          <w:i/>
          <w:sz w:val="22"/>
          <w:szCs w:val="22"/>
          <w:u w:val="single"/>
          <w:lang w:val="sk-SK"/>
        </w:rPr>
        <w:t>Produkty obsahujúce estrogén</w:t>
      </w:r>
    </w:p>
    <w:p w14:paraId="6CC13845" w14:textId="09B79689" w:rsidR="000218C2" w:rsidRPr="00921EF2" w:rsidRDefault="000218C2" w:rsidP="008A1BA8">
      <w:pPr>
        <w:keepNext/>
        <w:rPr>
          <w:rFonts w:eastAsia="Calibri"/>
          <w:sz w:val="22"/>
          <w:szCs w:val="22"/>
          <w:lang w:val="sk-SK"/>
        </w:rPr>
      </w:pPr>
      <w:r w:rsidRPr="00921EF2">
        <w:rPr>
          <w:rFonts w:eastAsia="Calibri"/>
          <w:sz w:val="22"/>
          <w:szCs w:val="22"/>
          <w:lang w:val="sk-SK"/>
        </w:rPr>
        <w:t xml:space="preserve">Produkty obsahujúce estrogén, vrátane hormonálnej antikoncepcie obsahujúcej estrogén, môžu zvýšiť klírens </w:t>
      </w:r>
      <w:r w:rsidR="0023483F" w:rsidRPr="00921EF2">
        <w:rPr>
          <w:rFonts w:eastAsia="Calibri"/>
          <w:sz w:val="22"/>
          <w:szCs w:val="22"/>
          <w:lang w:val="sk-SK"/>
        </w:rPr>
        <w:t>valproát</w:t>
      </w:r>
      <w:r w:rsidRPr="00921EF2">
        <w:rPr>
          <w:rFonts w:eastAsia="Calibri"/>
          <w:sz w:val="22"/>
          <w:szCs w:val="22"/>
          <w:lang w:val="sk-SK"/>
        </w:rPr>
        <w:t xml:space="preserve">u, čo môže mať za následok zníženie koncentrácie </w:t>
      </w:r>
      <w:r w:rsidR="0023483F" w:rsidRPr="00921EF2">
        <w:rPr>
          <w:rFonts w:eastAsia="Calibri"/>
          <w:sz w:val="22"/>
          <w:szCs w:val="22"/>
          <w:lang w:val="sk-SK"/>
        </w:rPr>
        <w:t>valproát</w:t>
      </w:r>
      <w:r w:rsidRPr="00921EF2">
        <w:rPr>
          <w:rFonts w:eastAsia="Calibri"/>
          <w:sz w:val="22"/>
          <w:szCs w:val="22"/>
          <w:lang w:val="sk-SK"/>
        </w:rPr>
        <w:t>u v sére a potenciálne znížiť jeho účinnosť. (pozri časti 4.4 a 4.5).</w:t>
      </w:r>
    </w:p>
    <w:p w14:paraId="4B988F80" w14:textId="77777777" w:rsidR="007406A5" w:rsidRPr="00921EF2" w:rsidRDefault="007406A5" w:rsidP="00B124D9">
      <w:pPr>
        <w:rPr>
          <w:rFonts w:eastAsia="Calibri"/>
          <w:sz w:val="22"/>
          <w:szCs w:val="22"/>
          <w:lang w:val="sk-SK"/>
        </w:rPr>
      </w:pPr>
    </w:p>
    <w:p w14:paraId="36C5F2A6" w14:textId="79ED1622" w:rsidR="007406A5" w:rsidRPr="00921EF2" w:rsidRDefault="007406A5" w:rsidP="00B124D9">
      <w:pPr>
        <w:keepNext/>
        <w:rPr>
          <w:sz w:val="22"/>
          <w:szCs w:val="22"/>
          <w:lang w:val="sk-SK"/>
        </w:rPr>
      </w:pPr>
      <w:r w:rsidRPr="00921EF2">
        <w:rPr>
          <w:sz w:val="22"/>
          <w:szCs w:val="22"/>
          <w:lang w:val="sk-SK"/>
        </w:rPr>
        <w:t xml:space="preserve">Gravidita a riziko spojené s užívaním </w:t>
      </w:r>
      <w:r w:rsidR="0023483F" w:rsidRPr="00921EF2">
        <w:rPr>
          <w:sz w:val="22"/>
          <w:szCs w:val="22"/>
          <w:lang w:val="sk-SK"/>
        </w:rPr>
        <w:t>valproát</w:t>
      </w:r>
      <w:r w:rsidRPr="00921EF2">
        <w:rPr>
          <w:sz w:val="22"/>
          <w:szCs w:val="22"/>
          <w:lang w:val="sk-SK"/>
        </w:rPr>
        <w:t>u</w:t>
      </w:r>
    </w:p>
    <w:p w14:paraId="62FA9947" w14:textId="77777777" w:rsidR="007406A5" w:rsidRPr="00921EF2" w:rsidRDefault="007406A5" w:rsidP="00B124D9">
      <w:pPr>
        <w:keepNext/>
        <w:rPr>
          <w:i/>
          <w:sz w:val="22"/>
          <w:szCs w:val="22"/>
          <w:lang w:val="sk-SK"/>
        </w:rPr>
      </w:pPr>
    </w:p>
    <w:p w14:paraId="42D723DE" w14:textId="22B32531" w:rsidR="00296C1D" w:rsidRPr="00921EF2" w:rsidRDefault="0023483F" w:rsidP="00B124D9">
      <w:pPr>
        <w:pBdr>
          <w:top w:val="single" w:sz="4" w:space="1" w:color="auto"/>
          <w:left w:val="single" w:sz="4" w:space="4" w:color="auto"/>
          <w:bottom w:val="single" w:sz="4" w:space="1" w:color="auto"/>
          <w:right w:val="single" w:sz="4" w:space="4" w:color="auto"/>
        </w:pBdr>
        <w:rPr>
          <w:rFonts w:eastAsia="Calibri"/>
          <w:sz w:val="22"/>
          <w:szCs w:val="22"/>
          <w:lang w:val="sk-SK" w:eastAsia="en-US"/>
        </w:rPr>
      </w:pPr>
      <w:r w:rsidRPr="00921EF2">
        <w:rPr>
          <w:rFonts w:eastAsia="Calibri"/>
          <w:sz w:val="22"/>
          <w:szCs w:val="22"/>
          <w:lang w:val="sk-SK" w:eastAsia="en-US"/>
        </w:rPr>
        <w:t>Valproát</w:t>
      </w:r>
      <w:r w:rsidR="00296C1D" w:rsidRPr="00921EF2">
        <w:rPr>
          <w:rFonts w:eastAsia="Calibri"/>
          <w:sz w:val="22"/>
          <w:szCs w:val="22"/>
          <w:lang w:val="sk-SK" w:eastAsia="en-US"/>
        </w:rPr>
        <w:t xml:space="preserve"> je kontraindikovaný na liečbu bipolárnej poruchy</w:t>
      </w:r>
      <w:r w:rsidR="00296C1D" w:rsidRPr="00921EF2">
        <w:rPr>
          <w:rFonts w:eastAsia="Calibri"/>
          <w:sz w:val="22"/>
          <w:szCs w:val="22"/>
          <w:lang w:eastAsia="en-US"/>
        </w:rPr>
        <w:t xml:space="preserve"> </w:t>
      </w:r>
      <w:r w:rsidR="00296C1D" w:rsidRPr="00921EF2">
        <w:rPr>
          <w:rFonts w:eastAsia="Calibri"/>
          <w:sz w:val="22"/>
          <w:szCs w:val="22"/>
          <w:lang w:val="sk-SK" w:eastAsia="en-US"/>
        </w:rPr>
        <w:t xml:space="preserve">počas tehotenstva. </w:t>
      </w:r>
      <w:r w:rsidRPr="00921EF2">
        <w:rPr>
          <w:rFonts w:eastAsia="Calibri"/>
          <w:sz w:val="22"/>
          <w:szCs w:val="22"/>
          <w:lang w:val="sk-SK" w:eastAsia="en-US"/>
        </w:rPr>
        <w:t>Valproát</w:t>
      </w:r>
      <w:r w:rsidR="00296C1D" w:rsidRPr="00921EF2">
        <w:rPr>
          <w:rFonts w:eastAsia="Calibri"/>
          <w:sz w:val="22"/>
          <w:szCs w:val="22"/>
          <w:lang w:val="sk-SK" w:eastAsia="en-US"/>
        </w:rPr>
        <w:t xml:space="preserve"> je kontraindikovaný na liečbu epilepsie počas tehotenstva, pokiaľ existuje iná alternatívna liečba epilepsie. </w:t>
      </w:r>
      <w:r w:rsidRPr="00921EF2">
        <w:rPr>
          <w:rFonts w:eastAsia="Calibri"/>
          <w:sz w:val="22"/>
          <w:szCs w:val="22"/>
          <w:lang w:val="sk-SK" w:eastAsia="en-US"/>
        </w:rPr>
        <w:t>Valproát</w:t>
      </w:r>
      <w:r w:rsidR="00296C1D" w:rsidRPr="00921EF2">
        <w:rPr>
          <w:rFonts w:eastAsia="Calibri"/>
          <w:sz w:val="22"/>
          <w:szCs w:val="22"/>
          <w:lang w:val="sk-SK" w:eastAsia="en-US"/>
        </w:rPr>
        <w:t xml:space="preserve"> je kontraindikovaný u žien vo fertilnom veku, pokiaľ nie sú splnené podmienky Programu </w:t>
      </w:r>
      <w:r w:rsidR="00746D2E" w:rsidRPr="00921EF2">
        <w:rPr>
          <w:rFonts w:eastAsia="Calibri"/>
          <w:sz w:val="22"/>
          <w:szCs w:val="22"/>
          <w:lang w:val="sk-SK" w:eastAsia="en-US"/>
        </w:rPr>
        <w:t xml:space="preserve">prevencie </w:t>
      </w:r>
      <w:r w:rsidR="00296C1D" w:rsidRPr="00921EF2">
        <w:rPr>
          <w:rFonts w:eastAsia="Calibri"/>
          <w:sz w:val="22"/>
          <w:szCs w:val="22"/>
          <w:lang w:val="sk-SK" w:eastAsia="en-US"/>
        </w:rPr>
        <w:t>tehotenstva (pozri časti 4.3 a 4.4).</w:t>
      </w:r>
    </w:p>
    <w:p w14:paraId="5287C4C7" w14:textId="77777777" w:rsidR="00296C1D" w:rsidRPr="00921EF2" w:rsidRDefault="00296C1D" w:rsidP="00B124D9">
      <w:pPr>
        <w:keepNext/>
        <w:rPr>
          <w:i/>
          <w:sz w:val="22"/>
          <w:szCs w:val="22"/>
          <w:lang w:val="sk-SK"/>
        </w:rPr>
      </w:pPr>
    </w:p>
    <w:p w14:paraId="3D94EAEC" w14:textId="486EA58F" w:rsidR="000E5248" w:rsidRPr="00B124D9" w:rsidRDefault="007406A5" w:rsidP="000E5248">
      <w:pPr>
        <w:rPr>
          <w:sz w:val="22"/>
          <w:szCs w:val="22"/>
          <w:lang w:val="sk-SK"/>
        </w:rPr>
      </w:pPr>
      <w:r w:rsidRPr="00921EF2">
        <w:rPr>
          <w:sz w:val="22"/>
          <w:szCs w:val="22"/>
          <w:lang w:val="sk-SK"/>
        </w:rPr>
        <w:t xml:space="preserve">Užívanie </w:t>
      </w:r>
      <w:r w:rsidR="0023483F" w:rsidRPr="00921EF2">
        <w:rPr>
          <w:sz w:val="22"/>
          <w:szCs w:val="22"/>
          <w:lang w:val="sk-SK"/>
        </w:rPr>
        <w:t>valproát</w:t>
      </w:r>
      <w:r w:rsidRPr="00921EF2">
        <w:rPr>
          <w:sz w:val="22"/>
          <w:szCs w:val="22"/>
          <w:lang w:val="sk-SK"/>
        </w:rPr>
        <w:t xml:space="preserve">u samotného alebo v kombinácii s inými </w:t>
      </w:r>
      <w:r w:rsidR="000E5248">
        <w:rPr>
          <w:sz w:val="22"/>
          <w:szCs w:val="22"/>
          <w:lang w:val="sk-SK"/>
        </w:rPr>
        <w:t>antiepileptikami</w:t>
      </w:r>
      <w:r w:rsidRPr="00921EF2">
        <w:rPr>
          <w:sz w:val="22"/>
          <w:szCs w:val="22"/>
          <w:lang w:val="sk-SK"/>
        </w:rPr>
        <w:t xml:space="preserve"> je</w:t>
      </w:r>
      <w:r w:rsidR="000E5248">
        <w:rPr>
          <w:sz w:val="22"/>
          <w:szCs w:val="22"/>
          <w:lang w:val="sk-SK"/>
        </w:rPr>
        <w:t xml:space="preserve"> často</w:t>
      </w:r>
      <w:r w:rsidRPr="00921EF2">
        <w:rPr>
          <w:sz w:val="22"/>
          <w:szCs w:val="22"/>
          <w:lang w:val="sk-SK"/>
        </w:rPr>
        <w:t xml:space="preserve"> spojené s poruchami u detí po narodení. Dostupné údaje naznačujú, že pri antiepileptickej polyterapii s </w:t>
      </w:r>
      <w:r w:rsidR="0023483F" w:rsidRPr="00921EF2">
        <w:rPr>
          <w:sz w:val="22"/>
          <w:szCs w:val="22"/>
          <w:lang w:val="sk-SK"/>
        </w:rPr>
        <w:t>valproát</w:t>
      </w:r>
      <w:r w:rsidRPr="00921EF2">
        <w:rPr>
          <w:sz w:val="22"/>
          <w:szCs w:val="22"/>
          <w:lang w:val="sk-SK"/>
        </w:rPr>
        <w:t xml:space="preserve">om je vyššie riziko výskytu kongenitálnych malformácií ako pri užívaní </w:t>
      </w:r>
      <w:r w:rsidR="0023483F" w:rsidRPr="00921EF2">
        <w:rPr>
          <w:sz w:val="22"/>
          <w:szCs w:val="22"/>
          <w:lang w:val="sk-SK"/>
        </w:rPr>
        <w:t>valproát</w:t>
      </w:r>
      <w:r w:rsidRPr="00921EF2">
        <w:rPr>
          <w:sz w:val="22"/>
          <w:szCs w:val="22"/>
          <w:lang w:val="sk-SK"/>
        </w:rPr>
        <w:t>u samotného.</w:t>
      </w:r>
      <w:r w:rsidR="000E5248">
        <w:rPr>
          <w:sz w:val="22"/>
          <w:szCs w:val="22"/>
          <w:lang w:val="sk-SK"/>
        </w:rPr>
        <w:t xml:space="preserve"> </w:t>
      </w:r>
      <w:r w:rsidR="000E5248" w:rsidRPr="000E5248">
        <w:rPr>
          <w:sz w:val="22"/>
          <w:szCs w:val="22"/>
          <w:lang w:val="sk-SK" w:eastAsia="en-GB"/>
        </w:rPr>
        <w:t>Bolo preukázané, že valproát prechádza cez placentárnu bariéru ako u zvierat tak aj u ľudí (pozri časť 5.2).</w:t>
      </w:r>
    </w:p>
    <w:p w14:paraId="15053767" w14:textId="77777777" w:rsidR="007406A5" w:rsidRPr="001B59B9" w:rsidRDefault="007406A5" w:rsidP="00B124D9">
      <w:pPr>
        <w:rPr>
          <w:sz w:val="22"/>
          <w:lang w:val="sk-SK"/>
        </w:rPr>
      </w:pPr>
    </w:p>
    <w:p w14:paraId="042B31D4" w14:textId="77777777" w:rsidR="007406A5" w:rsidRPr="00921EF2" w:rsidRDefault="007406A5" w:rsidP="00B124D9">
      <w:pPr>
        <w:keepNext/>
        <w:rPr>
          <w:i/>
          <w:sz w:val="22"/>
          <w:szCs w:val="22"/>
          <w:u w:val="single"/>
          <w:lang w:val="sk-SK"/>
        </w:rPr>
      </w:pPr>
      <w:r w:rsidRPr="00921EF2">
        <w:rPr>
          <w:i/>
          <w:sz w:val="22"/>
          <w:szCs w:val="22"/>
          <w:u w:val="single"/>
          <w:lang w:val="sk-SK"/>
        </w:rPr>
        <w:t>Kongenitálne malformácie</w:t>
      </w:r>
    </w:p>
    <w:p w14:paraId="08234977" w14:textId="77777777" w:rsidR="007406A5" w:rsidRPr="00921EF2" w:rsidRDefault="007406A5" w:rsidP="00B124D9">
      <w:pPr>
        <w:keepNext/>
        <w:rPr>
          <w:i/>
          <w:sz w:val="22"/>
          <w:szCs w:val="22"/>
          <w:lang w:val="sk-SK"/>
        </w:rPr>
      </w:pPr>
    </w:p>
    <w:p w14:paraId="4CC61D97" w14:textId="57D24899" w:rsidR="007406A5" w:rsidRPr="00921EF2" w:rsidRDefault="007406A5" w:rsidP="00B124D9">
      <w:pPr>
        <w:rPr>
          <w:sz w:val="22"/>
          <w:szCs w:val="22"/>
          <w:lang w:val="sk-SK"/>
        </w:rPr>
      </w:pPr>
      <w:r w:rsidRPr="00921EF2">
        <w:rPr>
          <w:sz w:val="22"/>
          <w:szCs w:val="22"/>
          <w:lang w:val="sk-SK"/>
        </w:rPr>
        <w:t xml:space="preserve">Údaje získané z metaanalýzy (vrátane registrov a kohortových štúdií) ukázali, že 10,73 % detí matiek s epilepsiou, ktoré užívali v priebehu gravidity </w:t>
      </w:r>
      <w:r w:rsidR="0023483F" w:rsidRPr="00921EF2">
        <w:rPr>
          <w:sz w:val="22"/>
          <w:szCs w:val="22"/>
          <w:lang w:val="sk-SK"/>
        </w:rPr>
        <w:t>valproát</w:t>
      </w:r>
      <w:r w:rsidRPr="00921EF2">
        <w:rPr>
          <w:sz w:val="22"/>
          <w:szCs w:val="22"/>
          <w:lang w:val="sk-SK"/>
        </w:rPr>
        <w:t xml:space="preserve">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w:t>
      </w:r>
    </w:p>
    <w:p w14:paraId="676A0F02" w14:textId="3937F3C5" w:rsidR="007406A5" w:rsidRDefault="007406A5" w:rsidP="00B124D9">
      <w:pPr>
        <w:rPr>
          <w:sz w:val="22"/>
          <w:szCs w:val="22"/>
          <w:lang w:val="sk-SK"/>
        </w:rPr>
      </w:pPr>
      <w:r w:rsidRPr="00921EF2">
        <w:rPr>
          <w:sz w:val="22"/>
          <w:szCs w:val="22"/>
          <w:lang w:val="sk-SK"/>
        </w:rPr>
        <w:t>Dostupné údaje ukazujú zvýšený výskyt menej závažných aj ťažkých malformácií. Medzi najčatejšie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6ACEA1CE" w14:textId="77777777" w:rsidR="000E5248" w:rsidRPr="00B124D9" w:rsidRDefault="000E5248" w:rsidP="000E5248">
      <w:pPr>
        <w:rPr>
          <w:sz w:val="22"/>
          <w:szCs w:val="22"/>
          <w:lang w:val="sk-SK"/>
        </w:rPr>
      </w:pPr>
      <w:r w:rsidRPr="000E5248">
        <w:rPr>
          <w:sz w:val="22"/>
          <w:szCs w:val="22"/>
          <w:lang w:val="sk-SK"/>
        </w:rPr>
        <w:t xml:space="preserve">Expozícia valproátu </w:t>
      </w:r>
      <w:r w:rsidRPr="000E5248">
        <w:rPr>
          <w:i/>
          <w:sz w:val="22"/>
          <w:szCs w:val="22"/>
          <w:lang w:val="sk-SK"/>
        </w:rPr>
        <w:t>in utero</w:t>
      </w:r>
      <w:r w:rsidRPr="000E5248">
        <w:rPr>
          <w:sz w:val="22"/>
          <w:szCs w:val="22"/>
          <w:lang w:val="sk-SK"/>
        </w:rPr>
        <w:t xml:space="preserve"> môže spôsobiť poruchy sluchu alebo stratu sluchu spôsobenú malformáciami uší a nosa (sekundárny účinok) a/alebo priamou toxicitou na funkciu sluchu. Prípady preukázali unilaterálnu a bilaterálnu stratu sluchu alebo problémy so sluchom. Výsledky neboli vo všetkých prípadoch hlásené. Vo väčšine nahlásených výsledkov nedošlo k náprave.</w:t>
      </w:r>
    </w:p>
    <w:p w14:paraId="03DBACB3" w14:textId="77777777" w:rsidR="007406A5" w:rsidRPr="00921EF2" w:rsidRDefault="007406A5" w:rsidP="00B124D9">
      <w:pPr>
        <w:rPr>
          <w:sz w:val="22"/>
          <w:szCs w:val="22"/>
          <w:lang w:val="sk-SK"/>
        </w:rPr>
      </w:pPr>
    </w:p>
    <w:p w14:paraId="1D7CF9BD" w14:textId="77777777" w:rsidR="007406A5" w:rsidRPr="00921EF2" w:rsidRDefault="007406A5" w:rsidP="00B124D9">
      <w:pPr>
        <w:keepNext/>
        <w:rPr>
          <w:i/>
          <w:sz w:val="22"/>
          <w:szCs w:val="22"/>
          <w:u w:val="single"/>
          <w:lang w:val="sk-SK"/>
        </w:rPr>
      </w:pPr>
      <w:r w:rsidRPr="00921EF2">
        <w:rPr>
          <w:i/>
          <w:sz w:val="22"/>
          <w:szCs w:val="22"/>
          <w:u w:val="single"/>
          <w:lang w:val="sk-SK"/>
        </w:rPr>
        <w:t>Vývinové poruchy</w:t>
      </w:r>
    </w:p>
    <w:p w14:paraId="5E858FAA" w14:textId="77777777" w:rsidR="007406A5" w:rsidRPr="00921EF2" w:rsidRDefault="007406A5" w:rsidP="00B124D9">
      <w:pPr>
        <w:keepNext/>
        <w:rPr>
          <w:i/>
          <w:sz w:val="22"/>
          <w:szCs w:val="22"/>
          <w:lang w:val="sk-SK"/>
        </w:rPr>
      </w:pPr>
    </w:p>
    <w:p w14:paraId="44E55BF4" w14:textId="338B597E" w:rsidR="007406A5" w:rsidRPr="00921EF2" w:rsidRDefault="007406A5" w:rsidP="00B124D9">
      <w:pPr>
        <w:rPr>
          <w:sz w:val="22"/>
          <w:szCs w:val="22"/>
          <w:lang w:val="sk-SK"/>
        </w:rPr>
      </w:pPr>
      <w:r w:rsidRPr="00921EF2">
        <w:rPr>
          <w:sz w:val="22"/>
          <w:szCs w:val="22"/>
          <w:lang w:val="sk-SK"/>
        </w:rPr>
        <w:t xml:space="preserve">Údaje naznačujú, že expozícia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r w:rsidRPr="00921EF2">
        <w:rPr>
          <w:sz w:val="22"/>
          <w:szCs w:val="22"/>
          <w:lang w:val="sk-SK"/>
        </w:rPr>
        <w:t xml:space="preserve"> 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w:t>
      </w:r>
    </w:p>
    <w:p w14:paraId="2E056866" w14:textId="1C440546" w:rsidR="007406A5" w:rsidRPr="00921EF2" w:rsidRDefault="007406A5" w:rsidP="00B124D9">
      <w:pPr>
        <w:rPr>
          <w:sz w:val="22"/>
          <w:szCs w:val="22"/>
          <w:lang w:val="sk-SK"/>
        </w:rPr>
      </w:pPr>
      <w:r w:rsidRPr="00921EF2">
        <w:rPr>
          <w:sz w:val="22"/>
          <w:szCs w:val="22"/>
          <w:lang w:val="sk-SK"/>
        </w:rPr>
        <w:t xml:space="preserve">Štúdie u detí predškolského veku vystavených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r w:rsidRPr="00921EF2">
        <w:rPr>
          <w:sz w:val="22"/>
          <w:szCs w:val="22"/>
          <w:lang w:val="sk-SK"/>
        </w:rPr>
        <w:t xml:space="preserve"> ukazujú, že až 30-40 % vykazuje oneskorenie v ranom vývine, ako napr. rozprávanie a neskôr chôdza, znížené intelektuálne schopnosti, slabé jazykové zručnosti (rozprávanie a porozumenie) a problémy s pamäťou.</w:t>
      </w:r>
    </w:p>
    <w:p w14:paraId="2082D2D8" w14:textId="71D6677D" w:rsidR="007406A5" w:rsidRPr="00921EF2" w:rsidRDefault="007406A5" w:rsidP="00B124D9">
      <w:pPr>
        <w:rPr>
          <w:sz w:val="22"/>
          <w:szCs w:val="22"/>
          <w:lang w:val="sk-SK"/>
        </w:rPr>
      </w:pPr>
      <w:r w:rsidRPr="00921EF2">
        <w:rPr>
          <w:sz w:val="22"/>
          <w:szCs w:val="22"/>
          <w:lang w:val="sk-SK"/>
        </w:rPr>
        <w:t xml:space="preserve">Inteligenčný kvocient (IQ) meraný u detí v školskom veku (6 rokov), ktoré boli vystavené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r w:rsidRPr="00921EF2">
        <w:rPr>
          <w:sz w:val="22"/>
          <w:szCs w:val="22"/>
          <w:lang w:val="sk-SK"/>
        </w:rPr>
        <w:t xml:space="preserve">, bol v priemere o 7-10 bodov nižší ako u detí, ktoré boli vystavené iným antiepileptikám. Hoci pôsobenie ďalších faktorov nemožno vylúčiť, existujú dôkazy, že riziko mentálnej poruchy u detí vystavených </w:t>
      </w:r>
      <w:r w:rsidR="0023483F" w:rsidRPr="00921EF2">
        <w:rPr>
          <w:sz w:val="22"/>
          <w:szCs w:val="22"/>
          <w:lang w:val="sk-SK"/>
        </w:rPr>
        <w:t>valproát</w:t>
      </w:r>
      <w:r w:rsidRPr="00921EF2">
        <w:rPr>
          <w:sz w:val="22"/>
          <w:szCs w:val="22"/>
          <w:lang w:val="sk-SK"/>
        </w:rPr>
        <w:t>u môže byť nezávislé na materskom IQ.</w:t>
      </w:r>
    </w:p>
    <w:p w14:paraId="55DF6E60" w14:textId="77777777" w:rsidR="007406A5" w:rsidRPr="00921EF2" w:rsidRDefault="007406A5" w:rsidP="00B124D9">
      <w:pPr>
        <w:rPr>
          <w:sz w:val="22"/>
          <w:szCs w:val="22"/>
          <w:lang w:val="sk-SK"/>
        </w:rPr>
      </w:pPr>
      <w:r w:rsidRPr="00921EF2">
        <w:rPr>
          <w:sz w:val="22"/>
          <w:szCs w:val="22"/>
          <w:lang w:val="sk-SK"/>
        </w:rPr>
        <w:t>K dispozícii sú iba obmedzené údaje o dlhodobých výsledkoch.</w:t>
      </w:r>
    </w:p>
    <w:p w14:paraId="779A44C5" w14:textId="2DE67CC5" w:rsidR="007406A5" w:rsidRPr="00921EF2" w:rsidRDefault="007406A5" w:rsidP="00B124D9">
      <w:pPr>
        <w:rPr>
          <w:sz w:val="22"/>
          <w:szCs w:val="22"/>
          <w:lang w:val="sk-SK"/>
        </w:rPr>
      </w:pPr>
      <w:r w:rsidRPr="00921EF2">
        <w:rPr>
          <w:sz w:val="22"/>
          <w:szCs w:val="22"/>
          <w:lang w:val="sk-SK"/>
        </w:rPr>
        <w:t xml:space="preserve">Dostupné údaje naznačujú, že deti vystavené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r w:rsidRPr="00921EF2">
        <w:rPr>
          <w:sz w:val="22"/>
          <w:szCs w:val="22"/>
          <w:lang w:val="sk-SK"/>
        </w:rPr>
        <w:t xml:space="preserve"> majú zvýšené riziko porúch autistického spektra (približne trojnásobne) a detského autizmu (približne päťnásobne) v porovnaní s bežnou populáciou zahrnutou v štúdii.</w:t>
      </w:r>
    </w:p>
    <w:p w14:paraId="744D28FB" w14:textId="77D9CC15" w:rsidR="007406A5" w:rsidRPr="00921EF2" w:rsidRDefault="007406A5" w:rsidP="00B124D9">
      <w:pPr>
        <w:rPr>
          <w:noProof/>
          <w:sz w:val="22"/>
          <w:szCs w:val="22"/>
          <w:lang w:val="sk-SK" w:eastAsia="en-GB"/>
        </w:rPr>
      </w:pPr>
      <w:r w:rsidRPr="00921EF2">
        <w:rPr>
          <w:sz w:val="22"/>
          <w:szCs w:val="22"/>
          <w:lang w:val="sk-SK"/>
        </w:rPr>
        <w:t xml:space="preserve">Obmedzené údaje naznačujú, že u detí vystavených </w:t>
      </w:r>
      <w:r w:rsidR="0023483F" w:rsidRPr="00921EF2">
        <w:rPr>
          <w:sz w:val="22"/>
          <w:szCs w:val="22"/>
          <w:lang w:val="sk-SK"/>
        </w:rPr>
        <w:t>valproát</w:t>
      </w:r>
      <w:r w:rsidRPr="00921EF2">
        <w:rPr>
          <w:sz w:val="22"/>
          <w:szCs w:val="22"/>
          <w:lang w:val="sk-SK"/>
        </w:rPr>
        <w:t xml:space="preserve">u </w:t>
      </w:r>
      <w:r w:rsidRPr="00921EF2">
        <w:rPr>
          <w:i/>
          <w:sz w:val="22"/>
          <w:szCs w:val="22"/>
          <w:lang w:val="sk-SK"/>
        </w:rPr>
        <w:t>in utero</w:t>
      </w:r>
      <w:r w:rsidRPr="00921EF2">
        <w:rPr>
          <w:sz w:val="22"/>
          <w:szCs w:val="22"/>
          <w:lang w:val="sk-SK"/>
        </w:rPr>
        <w:t xml:space="preserve"> sa môžu s väčšou pravdepodobnosťou vyvinúť príznaky </w:t>
      </w:r>
      <w:r w:rsidRPr="00921EF2">
        <w:rPr>
          <w:noProof/>
          <w:sz w:val="22"/>
          <w:szCs w:val="22"/>
          <w:lang w:val="sk-SK" w:eastAsia="en-GB"/>
        </w:rPr>
        <w:t>poruchy pozornosti/hyperaktivity (ADHD, Attention Deficit Hyperactivity Disorder).</w:t>
      </w:r>
    </w:p>
    <w:p w14:paraId="4F2A2948" w14:textId="77777777" w:rsidR="007406A5" w:rsidRPr="00921EF2" w:rsidRDefault="007406A5" w:rsidP="00B124D9">
      <w:pPr>
        <w:rPr>
          <w:sz w:val="22"/>
          <w:szCs w:val="22"/>
          <w:lang w:val="sk-SK"/>
        </w:rPr>
      </w:pPr>
    </w:p>
    <w:p w14:paraId="1F7E91FD" w14:textId="77777777" w:rsidR="007406A5" w:rsidRPr="00921EF2" w:rsidRDefault="007406A5" w:rsidP="00B124D9">
      <w:pPr>
        <w:rPr>
          <w:i/>
          <w:sz w:val="22"/>
          <w:szCs w:val="22"/>
          <w:lang w:val="sk-SK"/>
        </w:rPr>
      </w:pPr>
      <w:r w:rsidRPr="00921EF2">
        <w:rPr>
          <w:i/>
          <w:sz w:val="22"/>
          <w:szCs w:val="22"/>
          <w:lang w:val="sk-SK"/>
        </w:rPr>
        <w:lastRenderedPageBreak/>
        <w:t>Dievčatá v detskom veku, dospievajúce dievčatá a ženy vo fertilnom veku (pozri vyššie a časť 4.4)</w:t>
      </w:r>
    </w:p>
    <w:p w14:paraId="55B360CA" w14:textId="77777777" w:rsidR="007406A5" w:rsidRPr="00921EF2" w:rsidRDefault="007406A5" w:rsidP="00B124D9">
      <w:pPr>
        <w:rPr>
          <w:i/>
          <w:sz w:val="22"/>
          <w:szCs w:val="22"/>
          <w:lang w:val="sk-SK"/>
        </w:rPr>
      </w:pPr>
    </w:p>
    <w:p w14:paraId="5D9502F7" w14:textId="77777777" w:rsidR="007406A5" w:rsidRPr="00921EF2" w:rsidRDefault="00296C1D" w:rsidP="00B124D9">
      <w:pPr>
        <w:rPr>
          <w:i/>
          <w:sz w:val="22"/>
          <w:szCs w:val="22"/>
          <w:u w:val="single"/>
          <w:lang w:val="sk-SK"/>
        </w:rPr>
      </w:pPr>
      <w:r w:rsidRPr="00921EF2">
        <w:rPr>
          <w:i/>
          <w:sz w:val="22"/>
          <w:szCs w:val="22"/>
          <w:u w:val="single"/>
          <w:lang w:val="sk-SK"/>
        </w:rPr>
        <w:t xml:space="preserve">Pokiaľ </w:t>
      </w:r>
      <w:r w:rsidR="007406A5" w:rsidRPr="00921EF2">
        <w:rPr>
          <w:i/>
          <w:sz w:val="22"/>
          <w:szCs w:val="22"/>
          <w:u w:val="single"/>
          <w:lang w:val="sk-SK"/>
        </w:rPr>
        <w:t xml:space="preserve">žena plánuje </w:t>
      </w:r>
      <w:r w:rsidRPr="00921EF2">
        <w:rPr>
          <w:i/>
          <w:sz w:val="22"/>
          <w:szCs w:val="22"/>
          <w:u w:val="single"/>
          <w:lang w:val="sk-SK"/>
        </w:rPr>
        <w:t>tehotenstvo</w:t>
      </w:r>
    </w:p>
    <w:p w14:paraId="389FB8EA" w14:textId="33F0508D"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 xml:space="preserve">Pokiaľ žena s epilepsiou plánuje otehotnieť, musí špecialista so skúsenosťami s liečbou epilepsie prehodnotiť liečbu </w:t>
      </w:r>
      <w:r w:rsidR="0023483F" w:rsidRPr="00921EF2">
        <w:rPr>
          <w:rFonts w:eastAsia="Calibri"/>
          <w:sz w:val="22"/>
          <w:szCs w:val="22"/>
          <w:lang w:val="sk-SK" w:eastAsia="en-US"/>
        </w:rPr>
        <w:t>valproát</w:t>
      </w:r>
      <w:r w:rsidRPr="00921EF2">
        <w:rPr>
          <w:rFonts w:eastAsia="Calibri"/>
          <w:sz w:val="22"/>
          <w:szCs w:val="22"/>
          <w:lang w:val="sk-SK" w:eastAsia="en-US"/>
        </w:rPr>
        <w:t>om a zvážiť alternatívne možnosti liečby. Má sa vynaložiť všetko úsilie na prechod na vhodnú alternatívnu liečbu pred počatím a vysadením antikoncepcie (pozri časť 4.</w:t>
      </w:r>
      <w:r w:rsidR="00DC0C31" w:rsidRPr="00921EF2">
        <w:rPr>
          <w:rFonts w:eastAsia="Calibri"/>
          <w:sz w:val="22"/>
          <w:szCs w:val="22"/>
          <w:lang w:val="sk-SK" w:eastAsia="en-US"/>
        </w:rPr>
        <w:t>4</w:t>
      </w:r>
      <w:r w:rsidRPr="00921EF2">
        <w:rPr>
          <w:rFonts w:eastAsia="Calibri"/>
          <w:sz w:val="22"/>
          <w:szCs w:val="22"/>
          <w:lang w:val="sk-SK" w:eastAsia="en-US"/>
        </w:rPr>
        <w:t xml:space="preserve">). Ak nie je zmena liečby možná, má žena dostať ďalšie poradenstvo týkajúce sa rizík </w:t>
      </w:r>
      <w:r w:rsidR="0023483F" w:rsidRPr="00921EF2">
        <w:rPr>
          <w:rFonts w:eastAsia="Calibri"/>
          <w:sz w:val="22"/>
          <w:szCs w:val="22"/>
          <w:lang w:val="sk-SK" w:eastAsia="en-US"/>
        </w:rPr>
        <w:t>valproát</w:t>
      </w:r>
      <w:r w:rsidRPr="00921EF2">
        <w:rPr>
          <w:rFonts w:eastAsia="Calibri"/>
          <w:sz w:val="22"/>
          <w:szCs w:val="22"/>
          <w:lang w:val="sk-SK" w:eastAsia="en-US"/>
        </w:rPr>
        <w:t xml:space="preserve">u pre nenarodené dieťa, ktoré jej dopomôžu k informovanému rozhodnutiu o plánovaní rodiny. </w:t>
      </w:r>
    </w:p>
    <w:p w14:paraId="6285B429" w14:textId="643758AE" w:rsidR="00296C1D" w:rsidRPr="00921EF2" w:rsidRDefault="00296C1D" w:rsidP="00B124D9">
      <w:pPr>
        <w:ind w:left="72" w:right="179"/>
        <w:rPr>
          <w:rFonts w:eastAsia="Calibri"/>
          <w:sz w:val="22"/>
          <w:szCs w:val="22"/>
          <w:lang w:val="sk-SK" w:eastAsia="en-US"/>
        </w:rPr>
      </w:pPr>
      <w:r w:rsidRPr="00921EF2">
        <w:rPr>
          <w:rFonts w:eastAsia="Calibri"/>
          <w:sz w:val="22"/>
          <w:szCs w:val="22"/>
          <w:lang w:val="sk-SK" w:eastAsia="en-US"/>
        </w:rPr>
        <w:t>Pokiaľ žena s bipolárnou poruchou</w:t>
      </w:r>
      <w:r w:rsidRPr="00921EF2">
        <w:rPr>
          <w:rFonts w:eastAsia="Calibri"/>
          <w:sz w:val="22"/>
          <w:szCs w:val="22"/>
          <w:lang w:eastAsia="en-US"/>
        </w:rPr>
        <w:t xml:space="preserve"> </w:t>
      </w:r>
      <w:r w:rsidRPr="00921EF2">
        <w:rPr>
          <w:rFonts w:eastAsia="Calibri"/>
          <w:sz w:val="22"/>
          <w:szCs w:val="22"/>
          <w:lang w:val="sk-SK" w:eastAsia="en-US"/>
        </w:rPr>
        <w:t xml:space="preserve">plánuje otehotnieť, musí sa poradiť so špecialistom so skúsenosťami s liečbou bipolárnej poruchy a liečba </w:t>
      </w:r>
      <w:r w:rsidR="0023483F" w:rsidRPr="00921EF2">
        <w:rPr>
          <w:rFonts w:eastAsia="Calibri"/>
          <w:sz w:val="22"/>
          <w:szCs w:val="22"/>
          <w:lang w:val="sk-SK" w:eastAsia="en-US"/>
        </w:rPr>
        <w:t>valproát</w:t>
      </w:r>
      <w:r w:rsidRPr="00921EF2">
        <w:rPr>
          <w:rFonts w:eastAsia="Calibri"/>
          <w:sz w:val="22"/>
          <w:szCs w:val="22"/>
          <w:lang w:val="sk-SK" w:eastAsia="en-US"/>
        </w:rPr>
        <w:t>om má byť prerušená a podľa potreby nahradená alternatívnou liečbou v období pred počatím a pred vysadením antikoncepcie.</w:t>
      </w:r>
    </w:p>
    <w:p w14:paraId="3E5D69DA" w14:textId="77777777" w:rsidR="00296C1D" w:rsidRPr="00921EF2" w:rsidRDefault="00296C1D" w:rsidP="00B124D9">
      <w:pPr>
        <w:rPr>
          <w:i/>
          <w:sz w:val="22"/>
          <w:szCs w:val="22"/>
          <w:lang w:val="sk-SK"/>
        </w:rPr>
      </w:pPr>
    </w:p>
    <w:p w14:paraId="20B2ABAF" w14:textId="77777777" w:rsidR="007406A5" w:rsidRPr="00921EF2" w:rsidRDefault="007406A5" w:rsidP="00B124D9">
      <w:pPr>
        <w:numPr>
          <w:ilvl w:val="0"/>
          <w:numId w:val="19"/>
        </w:numPr>
        <w:rPr>
          <w:rFonts w:eastAsia="Calibri"/>
          <w:sz w:val="22"/>
          <w:szCs w:val="22"/>
          <w:lang w:val="sk-SK"/>
        </w:rPr>
      </w:pPr>
      <w:r w:rsidRPr="00921EF2">
        <w:rPr>
          <w:rFonts w:eastAsia="Calibri"/>
          <w:sz w:val="22"/>
          <w:szCs w:val="22"/>
          <w:lang w:val="sk-SK"/>
        </w:rPr>
        <w:t>Tonicko-klonické záchvaty a status epilepticus s hypoxiou matky počas gravidity môžu predstavovať určité riziko smrti pre matku a plod.</w:t>
      </w:r>
    </w:p>
    <w:p w14:paraId="01712A1A" w14:textId="777B9F76" w:rsidR="007406A5" w:rsidRPr="00921EF2" w:rsidRDefault="007406A5" w:rsidP="00B124D9">
      <w:pPr>
        <w:numPr>
          <w:ilvl w:val="0"/>
          <w:numId w:val="19"/>
        </w:numPr>
        <w:rPr>
          <w:sz w:val="22"/>
          <w:szCs w:val="22"/>
          <w:lang w:val="sk-SK"/>
        </w:rPr>
      </w:pPr>
      <w:r w:rsidRPr="00921EF2">
        <w:rPr>
          <w:sz w:val="22"/>
          <w:szCs w:val="22"/>
          <w:lang w:val="sk-SK"/>
        </w:rPr>
        <w:t xml:space="preserve">U žien, ktoré plánujú graviditu alebo sú gravidné, sa musí liečba </w:t>
      </w:r>
      <w:r w:rsidR="0023483F" w:rsidRPr="00921EF2">
        <w:rPr>
          <w:sz w:val="22"/>
          <w:szCs w:val="22"/>
          <w:lang w:val="sk-SK"/>
        </w:rPr>
        <w:t>valproát</w:t>
      </w:r>
      <w:r w:rsidRPr="00921EF2">
        <w:rPr>
          <w:sz w:val="22"/>
          <w:szCs w:val="22"/>
          <w:lang w:val="sk-SK"/>
        </w:rPr>
        <w:t>om prehodnotiť.</w:t>
      </w:r>
    </w:p>
    <w:p w14:paraId="6D68CC88" w14:textId="77777777" w:rsidR="007406A5" w:rsidRPr="00921EF2" w:rsidRDefault="007406A5" w:rsidP="00B124D9">
      <w:pPr>
        <w:numPr>
          <w:ilvl w:val="0"/>
          <w:numId w:val="19"/>
        </w:numPr>
        <w:ind w:right="179"/>
        <w:rPr>
          <w:rFonts w:eastAsia="Calibri"/>
          <w:sz w:val="22"/>
          <w:szCs w:val="22"/>
          <w:lang w:val="sk-SK"/>
        </w:rPr>
      </w:pPr>
      <w:r w:rsidRPr="00921EF2">
        <w:rPr>
          <w:sz w:val="22"/>
          <w:szCs w:val="22"/>
          <w:lang w:val="sk-SK"/>
        </w:rPr>
        <w:t>U žien, ktoré plánujú graviditu, sa musí pred počatím vynaložiť všetko úsilie prejsť na vhodnú alternatívnu liečbu, ak je to možné</w:t>
      </w:r>
      <w:r w:rsidRPr="00921EF2">
        <w:rPr>
          <w:rFonts w:eastAsia="Calibri"/>
          <w:sz w:val="22"/>
          <w:szCs w:val="22"/>
          <w:lang w:val="sk-SK"/>
        </w:rPr>
        <w:t>.</w:t>
      </w:r>
    </w:p>
    <w:p w14:paraId="687B7A3C" w14:textId="77777777" w:rsidR="007406A5" w:rsidRPr="00921EF2" w:rsidRDefault="007406A5" w:rsidP="00B124D9">
      <w:pPr>
        <w:rPr>
          <w:sz w:val="22"/>
          <w:szCs w:val="22"/>
          <w:lang w:val="sk-SK"/>
        </w:rPr>
      </w:pPr>
    </w:p>
    <w:p w14:paraId="640D4CB3" w14:textId="55A15625" w:rsidR="007406A5" w:rsidRPr="00921EF2" w:rsidRDefault="007406A5" w:rsidP="00B124D9">
      <w:pPr>
        <w:rPr>
          <w:sz w:val="22"/>
          <w:szCs w:val="22"/>
          <w:lang w:val="sk-SK"/>
        </w:rPr>
      </w:pPr>
      <w:r w:rsidRPr="00921EF2">
        <w:rPr>
          <w:sz w:val="22"/>
          <w:szCs w:val="22"/>
          <w:lang w:val="sk-SK"/>
        </w:rPr>
        <w:t xml:space="preserve">Liečba </w:t>
      </w:r>
      <w:r w:rsidR="0023483F" w:rsidRPr="00921EF2">
        <w:rPr>
          <w:sz w:val="22"/>
          <w:szCs w:val="22"/>
          <w:lang w:val="sk-SK"/>
        </w:rPr>
        <w:t>valproát</w:t>
      </w:r>
      <w:r w:rsidRPr="00921EF2">
        <w:rPr>
          <w:sz w:val="22"/>
          <w:szCs w:val="22"/>
          <w:lang w:val="sk-SK"/>
        </w:rPr>
        <w:t xml:space="preserve">om sa nesmie ukončiť bez opätovného prehodnotenia pomeru prínosov a rizík liečby </w:t>
      </w:r>
      <w:r w:rsidR="0023483F" w:rsidRPr="00921EF2">
        <w:rPr>
          <w:sz w:val="22"/>
          <w:szCs w:val="22"/>
          <w:lang w:val="sk-SK"/>
        </w:rPr>
        <w:t>valproát</w:t>
      </w:r>
      <w:r w:rsidRPr="00921EF2">
        <w:rPr>
          <w:sz w:val="22"/>
          <w:szCs w:val="22"/>
          <w:lang w:val="sk-SK"/>
        </w:rPr>
        <w:t xml:space="preserve">om pre pacientku lekárom so skúsenosťami s liečbou epilepsie alebo bipolárnej poruchy. Ak liečba </w:t>
      </w:r>
      <w:r w:rsidR="0023483F" w:rsidRPr="00921EF2">
        <w:rPr>
          <w:sz w:val="22"/>
          <w:szCs w:val="22"/>
          <w:lang w:val="sk-SK"/>
        </w:rPr>
        <w:t>valproát</w:t>
      </w:r>
      <w:r w:rsidRPr="00921EF2">
        <w:rPr>
          <w:sz w:val="22"/>
          <w:szCs w:val="22"/>
          <w:lang w:val="sk-SK"/>
        </w:rPr>
        <w:t>om počas gravidity po dôkladnom posúdení rizík a prínosov pokračuje, odporúča sa:</w:t>
      </w:r>
    </w:p>
    <w:p w14:paraId="6D44675C" w14:textId="4020E993" w:rsidR="007406A5" w:rsidRPr="00921EF2" w:rsidRDefault="007406A5" w:rsidP="00B124D9">
      <w:pPr>
        <w:ind w:left="993" w:hanging="360"/>
        <w:rPr>
          <w:sz w:val="22"/>
          <w:szCs w:val="22"/>
          <w:lang w:val="sk-SK"/>
        </w:rPr>
      </w:pPr>
      <w:r w:rsidRPr="00921EF2">
        <w:rPr>
          <w:sz w:val="22"/>
          <w:szCs w:val="22"/>
          <w:lang w:val="sk-SK"/>
        </w:rPr>
        <w:t>-</w:t>
      </w:r>
      <w:r w:rsidRPr="00921EF2">
        <w:rPr>
          <w:sz w:val="22"/>
          <w:szCs w:val="22"/>
          <w:lang w:val="sk-SK"/>
        </w:rPr>
        <w:tab/>
        <w:t xml:space="preserve">Použiť najnižšiu účinnú dávku a rozdeliť dennú dávku </w:t>
      </w:r>
      <w:r w:rsidR="0023483F" w:rsidRPr="00921EF2">
        <w:rPr>
          <w:sz w:val="22"/>
          <w:szCs w:val="22"/>
          <w:lang w:val="sk-SK"/>
        </w:rPr>
        <w:t>valproát</w:t>
      </w:r>
      <w:r w:rsidRPr="00921EF2">
        <w:rPr>
          <w:sz w:val="22"/>
          <w:szCs w:val="22"/>
          <w:lang w:val="sk-SK"/>
        </w:rPr>
        <w:t>u na niekoľko menších dávok užitých v priebehu celého dňa. Použitie formy s predĺženým uvoľňovaním môže byť vhodnejšie ako iné liekové formy, aby sa zabránilo vysokým hodnotám plazmatickej koncentrácie.</w:t>
      </w:r>
    </w:p>
    <w:p w14:paraId="743E29AF" w14:textId="23652EC8" w:rsidR="007406A5" w:rsidRPr="00921EF2" w:rsidRDefault="007406A5" w:rsidP="00B124D9">
      <w:pPr>
        <w:tabs>
          <w:tab w:val="left" w:pos="993"/>
        </w:tabs>
        <w:ind w:left="993" w:hanging="360"/>
        <w:rPr>
          <w:sz w:val="22"/>
          <w:szCs w:val="22"/>
          <w:lang w:val="sk-SK"/>
        </w:rPr>
      </w:pPr>
      <w:r w:rsidRPr="00921EF2">
        <w:rPr>
          <w:sz w:val="22"/>
          <w:szCs w:val="22"/>
          <w:lang w:val="sk-SK"/>
        </w:rPr>
        <w:t>-</w:t>
      </w:r>
      <w:r w:rsidRPr="00921EF2">
        <w:rPr>
          <w:sz w:val="22"/>
          <w:szCs w:val="22"/>
          <w:lang w:val="sk-SK"/>
        </w:rPr>
        <w:tab/>
        <w:t xml:space="preserve">Dopĺňanie folátov pred graviditou môže znížiť riziko porúch neurálnej trubice, ktoré sa môžu vyskytnúť u všetkých gravidít. Avšak dostupné údaje nepotvrdzujú, že foláty bránia výskytu vrodených porúch alebo malformácií spôsobených podávaním </w:t>
      </w:r>
      <w:r w:rsidR="0023483F" w:rsidRPr="00921EF2">
        <w:rPr>
          <w:sz w:val="22"/>
          <w:szCs w:val="22"/>
          <w:lang w:val="sk-SK"/>
        </w:rPr>
        <w:t>valproát</w:t>
      </w:r>
      <w:r w:rsidRPr="00921EF2">
        <w:rPr>
          <w:sz w:val="22"/>
          <w:szCs w:val="22"/>
          <w:lang w:val="sk-SK"/>
        </w:rPr>
        <w:t>u v priebehu gravidity.</w:t>
      </w:r>
    </w:p>
    <w:p w14:paraId="0FD202C2" w14:textId="77777777" w:rsidR="007406A5" w:rsidRPr="00921EF2" w:rsidRDefault="007406A5" w:rsidP="00B124D9">
      <w:pPr>
        <w:ind w:left="993" w:hanging="360"/>
        <w:rPr>
          <w:sz w:val="22"/>
          <w:szCs w:val="22"/>
          <w:lang w:val="sk-SK" w:eastAsia="hu-HU"/>
        </w:rPr>
      </w:pPr>
      <w:r w:rsidRPr="00921EF2">
        <w:rPr>
          <w:sz w:val="22"/>
          <w:szCs w:val="22"/>
          <w:lang w:val="sk-SK"/>
        </w:rPr>
        <w:t>-</w:t>
      </w:r>
      <w:r w:rsidRPr="00921EF2">
        <w:rPr>
          <w:sz w:val="22"/>
          <w:szCs w:val="22"/>
          <w:lang w:val="sk-SK"/>
        </w:rPr>
        <w:tab/>
        <w:t>Zaviesť špecializované prenatálne sledovanie za účelom zistenia možného výskytu porúch neurálnej trubice alebo iných malformácií.</w:t>
      </w:r>
      <w:r w:rsidRPr="00921EF2">
        <w:rPr>
          <w:sz w:val="22"/>
          <w:szCs w:val="22"/>
          <w:lang w:val="sk-SK" w:eastAsia="hu-HU"/>
        </w:rPr>
        <w:t xml:space="preserve"> </w:t>
      </w:r>
    </w:p>
    <w:p w14:paraId="06C07A69" w14:textId="77777777" w:rsidR="00361C4F" w:rsidRPr="00921EF2" w:rsidRDefault="00361C4F" w:rsidP="008A1BA8">
      <w:pPr>
        <w:rPr>
          <w:sz w:val="22"/>
          <w:szCs w:val="22"/>
          <w:lang w:val="sk-SK"/>
        </w:rPr>
      </w:pPr>
    </w:p>
    <w:p w14:paraId="2124CEE3" w14:textId="77777777" w:rsidR="00A77E96" w:rsidRPr="00921EF2" w:rsidRDefault="00A77E96" w:rsidP="008A1BA8">
      <w:pPr>
        <w:keepNext/>
        <w:rPr>
          <w:rFonts w:eastAsia="Calibri"/>
          <w:i/>
          <w:sz w:val="22"/>
          <w:szCs w:val="22"/>
          <w:u w:val="single"/>
          <w:lang w:val="sk-SK" w:eastAsia="en-US"/>
        </w:rPr>
      </w:pPr>
      <w:r w:rsidRPr="00921EF2">
        <w:rPr>
          <w:rFonts w:eastAsia="Calibri"/>
          <w:i/>
          <w:sz w:val="22"/>
          <w:szCs w:val="22"/>
          <w:u w:val="single"/>
          <w:lang w:val="sk-SK" w:eastAsia="en-US"/>
        </w:rPr>
        <w:t>Tehotné ženy</w:t>
      </w:r>
    </w:p>
    <w:p w14:paraId="1C218B8C" w14:textId="1FBDB5CD" w:rsidR="00A77E96" w:rsidRPr="00921EF2" w:rsidRDefault="0023483F" w:rsidP="008A1BA8">
      <w:pPr>
        <w:keepNext/>
        <w:rPr>
          <w:rFonts w:eastAsia="Calibri"/>
          <w:i/>
          <w:sz w:val="22"/>
          <w:szCs w:val="22"/>
          <w:lang w:val="sk-SK" w:eastAsia="en-US"/>
        </w:rPr>
      </w:pPr>
      <w:r w:rsidRPr="00921EF2">
        <w:rPr>
          <w:rFonts w:eastAsia="Calibri"/>
          <w:sz w:val="22"/>
          <w:szCs w:val="22"/>
          <w:lang w:val="sk-SK" w:eastAsia="en-US"/>
        </w:rPr>
        <w:t>Valproát</w:t>
      </w:r>
      <w:r w:rsidR="00A77E96" w:rsidRPr="00921EF2">
        <w:rPr>
          <w:rFonts w:eastAsia="Calibri"/>
          <w:sz w:val="22"/>
          <w:szCs w:val="22"/>
          <w:lang w:val="sk-SK" w:eastAsia="en-US"/>
        </w:rPr>
        <w:t xml:space="preserve"> je kontraindikovaný na liečbu bipolárnej poruchy počas tehotenstva. </w:t>
      </w:r>
      <w:r w:rsidRPr="00921EF2">
        <w:rPr>
          <w:rFonts w:eastAsia="Calibri"/>
          <w:sz w:val="22"/>
          <w:szCs w:val="22"/>
          <w:lang w:val="sk-SK" w:eastAsia="en-US"/>
        </w:rPr>
        <w:t>Valproát</w:t>
      </w:r>
      <w:r w:rsidR="00A77E96" w:rsidRPr="00921EF2">
        <w:rPr>
          <w:rFonts w:eastAsia="Calibri"/>
          <w:sz w:val="22"/>
          <w:szCs w:val="22"/>
          <w:lang w:val="sk-SK" w:eastAsia="en-US"/>
        </w:rPr>
        <w:t xml:space="preserve"> je kontraindikovaný na liečbu epilepsie počas tehotenstva, pokiaľ existuje vhodná alternatívna liečba (pozri časti 4.3 a 4.4). </w:t>
      </w:r>
    </w:p>
    <w:p w14:paraId="4DF32C5C" w14:textId="4BF4338B" w:rsidR="00A77E96" w:rsidRPr="00921EF2" w:rsidRDefault="00A77E96" w:rsidP="00B124D9">
      <w:pPr>
        <w:rPr>
          <w:rFonts w:eastAsia="Calibri"/>
          <w:sz w:val="22"/>
          <w:szCs w:val="22"/>
          <w:lang w:val="sk-SK" w:eastAsia="en-US"/>
        </w:rPr>
      </w:pPr>
      <w:r w:rsidRPr="00921EF2">
        <w:rPr>
          <w:rFonts w:eastAsia="Calibri"/>
          <w:sz w:val="22"/>
          <w:szCs w:val="22"/>
          <w:lang w:val="sk-SK" w:eastAsia="en-US"/>
        </w:rPr>
        <w:t xml:space="preserve">Ak pacientka užívajúca </w:t>
      </w:r>
      <w:r w:rsidR="0023483F" w:rsidRPr="00921EF2">
        <w:rPr>
          <w:rFonts w:eastAsia="Calibri"/>
          <w:sz w:val="22"/>
          <w:szCs w:val="22"/>
          <w:lang w:val="sk-SK" w:eastAsia="en-US"/>
        </w:rPr>
        <w:t>valproát</w:t>
      </w:r>
      <w:r w:rsidRPr="00921EF2">
        <w:rPr>
          <w:rFonts w:eastAsia="Calibri"/>
          <w:sz w:val="22"/>
          <w:szCs w:val="22"/>
          <w:lang w:val="sk-SK" w:eastAsia="en-US"/>
        </w:rPr>
        <w:t xml:space="preserve"> otehotnie, musí byť okamžite odoslaná k lekárovi, ktorý zváži alternatívne možnosti liečby. Počas tehotenstva môžu materské tonicko-klonické záchvaty a </w:t>
      </w:r>
      <w:r w:rsidRPr="00921EF2">
        <w:rPr>
          <w:rFonts w:eastAsia="Calibri"/>
          <w:i/>
          <w:sz w:val="22"/>
          <w:szCs w:val="22"/>
          <w:lang w:val="sk-SK" w:eastAsia="en-US"/>
        </w:rPr>
        <w:t>status epilepticus</w:t>
      </w:r>
      <w:r w:rsidRPr="00921EF2">
        <w:rPr>
          <w:rFonts w:eastAsia="Calibri"/>
          <w:sz w:val="22"/>
          <w:szCs w:val="22"/>
          <w:lang w:val="sk-SK" w:eastAsia="en-US"/>
        </w:rPr>
        <w:t xml:space="preserve"> s hypoxiou predstavovať veľké riziko úmrtia pre matku a nenarodené dieťa.</w:t>
      </w:r>
    </w:p>
    <w:p w14:paraId="04F9AF99" w14:textId="27948644" w:rsidR="00A77E96" w:rsidRPr="00921EF2" w:rsidRDefault="00A77E96" w:rsidP="00B124D9">
      <w:pPr>
        <w:rPr>
          <w:rFonts w:eastAsia="Calibri"/>
          <w:sz w:val="22"/>
          <w:szCs w:val="22"/>
          <w:lang w:val="sk-SK" w:eastAsia="en-US"/>
        </w:rPr>
      </w:pPr>
      <w:r w:rsidRPr="00921EF2">
        <w:rPr>
          <w:rFonts w:eastAsia="Calibri"/>
          <w:sz w:val="22"/>
          <w:szCs w:val="22"/>
          <w:lang w:val="sk-SK" w:eastAsia="en-US"/>
        </w:rPr>
        <w:t xml:space="preserve">Pokiaľ tehotná žena, napriek známym rizikám </w:t>
      </w:r>
      <w:r w:rsidR="0023483F" w:rsidRPr="00921EF2">
        <w:rPr>
          <w:rFonts w:eastAsia="Calibri"/>
          <w:sz w:val="22"/>
          <w:szCs w:val="22"/>
          <w:lang w:val="sk-SK" w:eastAsia="en-US"/>
        </w:rPr>
        <w:t>valproát</w:t>
      </w:r>
      <w:r w:rsidRPr="00921EF2">
        <w:rPr>
          <w:rFonts w:eastAsia="Calibri"/>
          <w:sz w:val="22"/>
          <w:szCs w:val="22"/>
          <w:lang w:val="sk-SK" w:eastAsia="en-US"/>
        </w:rPr>
        <w:t xml:space="preserve">u počas tehotenstva a po dôkladnom zvážení alternatívnej liečby, musí za výnimočných okolností </w:t>
      </w:r>
      <w:r w:rsidR="0023483F" w:rsidRPr="00921EF2">
        <w:rPr>
          <w:rFonts w:eastAsia="Calibri"/>
          <w:sz w:val="22"/>
          <w:szCs w:val="22"/>
          <w:lang w:val="sk-SK" w:eastAsia="en-US"/>
        </w:rPr>
        <w:t>valproát</w:t>
      </w:r>
      <w:r w:rsidRPr="00921EF2">
        <w:rPr>
          <w:rFonts w:eastAsia="Calibri"/>
          <w:sz w:val="22"/>
          <w:szCs w:val="22"/>
          <w:lang w:val="sk-SK" w:eastAsia="en-US"/>
        </w:rPr>
        <w:t xml:space="preserve"> užívať, odporúča sa:</w:t>
      </w:r>
    </w:p>
    <w:p w14:paraId="79D242D1" w14:textId="77777777" w:rsidR="00A77E96" w:rsidRPr="00921EF2" w:rsidRDefault="00A77E96" w:rsidP="00B124D9">
      <w:pPr>
        <w:numPr>
          <w:ilvl w:val="0"/>
          <w:numId w:val="22"/>
        </w:numPr>
        <w:rPr>
          <w:rFonts w:eastAsia="Calibri"/>
          <w:sz w:val="22"/>
          <w:szCs w:val="22"/>
          <w:lang w:val="sk-SK" w:eastAsia="en-US"/>
        </w:rPr>
      </w:pPr>
      <w:r w:rsidRPr="00921EF2">
        <w:rPr>
          <w:rFonts w:eastAsia="Calibri"/>
          <w:sz w:val="22"/>
          <w:szCs w:val="22"/>
          <w:lang w:val="sk-SK" w:eastAsia="en-US"/>
        </w:rPr>
        <w:t>užívať najnižšiu účinnú dávku a rozdeliť dennú dávku do niekoľkých malých dávok užívaných v priebehu dňa. Použitie liekovej formy s predĺženým uvoľňovaním môže byť výhodnejšie ako iné liekové formy, aby sa zabránilo vysokým vrcholovým plazmatickým koncentráciám (pozri časť 4.2).</w:t>
      </w:r>
    </w:p>
    <w:p w14:paraId="125A3BA6" w14:textId="74F929BB" w:rsidR="00A77E96" w:rsidRPr="00921EF2" w:rsidRDefault="00A77E96" w:rsidP="00B124D9">
      <w:pPr>
        <w:rPr>
          <w:rFonts w:eastAsia="Calibri"/>
          <w:sz w:val="22"/>
          <w:szCs w:val="22"/>
          <w:lang w:val="sk-SK" w:eastAsia="en-US"/>
        </w:rPr>
      </w:pPr>
      <w:r w:rsidRPr="00921EF2">
        <w:rPr>
          <w:rFonts w:eastAsia="Calibri"/>
          <w:sz w:val="22"/>
          <w:szCs w:val="22"/>
          <w:lang w:val="sk-SK" w:eastAsia="en-US"/>
        </w:rPr>
        <w:t xml:space="preserve">Všetky pacientky, ktoré boli vystavené účinku </w:t>
      </w:r>
      <w:r w:rsidR="0023483F" w:rsidRPr="00921EF2">
        <w:rPr>
          <w:rFonts w:eastAsia="Calibri"/>
          <w:sz w:val="22"/>
          <w:szCs w:val="22"/>
          <w:lang w:val="sk-SK" w:eastAsia="en-US"/>
        </w:rPr>
        <w:t>valproát</w:t>
      </w:r>
      <w:r w:rsidRPr="00921EF2">
        <w:rPr>
          <w:rFonts w:eastAsia="Calibri"/>
          <w:sz w:val="22"/>
          <w:szCs w:val="22"/>
          <w:lang w:val="sk-SK" w:eastAsia="en-US"/>
        </w:rPr>
        <w:t>u počas tehotenstva a taktiež ich partneri musia byť odoslaní k špecialistovi so skúsenosťami v teratológii kvôli zhodnoteniu situácie a poradenstvu ohľadne exponovaného tehotenstva. Musí sa uskutočniť špecializované pre</w:t>
      </w:r>
      <w:r w:rsidR="00921EF2">
        <w:rPr>
          <w:rFonts w:eastAsia="Calibri"/>
          <w:sz w:val="22"/>
          <w:szCs w:val="22"/>
          <w:lang w:val="sk-SK" w:eastAsia="en-US"/>
        </w:rPr>
        <w:t>natálne monitorovanie, aby sa z</w:t>
      </w:r>
      <w:r w:rsidRPr="00921EF2">
        <w:rPr>
          <w:rFonts w:eastAsia="Calibri"/>
          <w:sz w:val="22"/>
          <w:szCs w:val="22"/>
          <w:lang w:val="sk-SK" w:eastAsia="en-US"/>
        </w:rPr>
        <w:t xml:space="preserve">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w:t>
      </w:r>
      <w:r w:rsidR="0023483F" w:rsidRPr="00921EF2">
        <w:rPr>
          <w:rFonts w:eastAsia="Calibri"/>
          <w:sz w:val="22"/>
          <w:szCs w:val="22"/>
          <w:lang w:val="sk-SK" w:eastAsia="en-US"/>
        </w:rPr>
        <w:t>valproát</w:t>
      </w:r>
      <w:r w:rsidRPr="00921EF2">
        <w:rPr>
          <w:rFonts w:eastAsia="Calibri"/>
          <w:sz w:val="22"/>
          <w:szCs w:val="22"/>
          <w:lang w:val="sk-SK" w:eastAsia="en-US"/>
        </w:rPr>
        <w:t>om.</w:t>
      </w:r>
    </w:p>
    <w:p w14:paraId="2AAEFC30" w14:textId="77777777" w:rsidR="007406A5" w:rsidRPr="00921EF2" w:rsidRDefault="007406A5" w:rsidP="00B124D9">
      <w:pPr>
        <w:rPr>
          <w:rFonts w:eastAsia="Calibri"/>
          <w:i/>
          <w:sz w:val="22"/>
          <w:szCs w:val="22"/>
          <w:lang w:val="sk-SK"/>
        </w:rPr>
      </w:pPr>
    </w:p>
    <w:p w14:paraId="160D8FB6" w14:textId="77777777" w:rsidR="007406A5" w:rsidRPr="00921EF2" w:rsidRDefault="007406A5" w:rsidP="008A1BA8">
      <w:pPr>
        <w:keepNext/>
        <w:rPr>
          <w:sz w:val="22"/>
          <w:szCs w:val="22"/>
          <w:u w:val="single"/>
          <w:lang w:val="sk-SK" w:eastAsia="en-US"/>
        </w:rPr>
      </w:pPr>
      <w:r w:rsidRPr="00921EF2">
        <w:rPr>
          <w:sz w:val="22"/>
          <w:szCs w:val="22"/>
          <w:u w:val="single"/>
          <w:lang w:val="sk-SK" w:eastAsia="en-US"/>
        </w:rPr>
        <w:t>Riziko u novorodencov</w:t>
      </w:r>
    </w:p>
    <w:p w14:paraId="214EFD87" w14:textId="15C2DC3A" w:rsidR="007406A5" w:rsidRPr="00921EF2" w:rsidRDefault="007406A5" w:rsidP="008A1BA8">
      <w:pPr>
        <w:keepNext/>
        <w:numPr>
          <w:ilvl w:val="0"/>
          <w:numId w:val="18"/>
        </w:numPr>
        <w:contextualSpacing/>
        <w:rPr>
          <w:sz w:val="22"/>
          <w:szCs w:val="22"/>
          <w:lang w:val="sk-SK" w:eastAsia="en-US"/>
        </w:rPr>
      </w:pPr>
      <w:r w:rsidRPr="00921EF2">
        <w:rPr>
          <w:sz w:val="22"/>
          <w:szCs w:val="22"/>
          <w:lang w:val="sk-SK" w:eastAsia="en-US"/>
        </w:rPr>
        <w:t xml:space="preserve">U novorodencov, ktorých matky užívali </w:t>
      </w:r>
      <w:r w:rsidR="0023483F" w:rsidRPr="00921EF2">
        <w:rPr>
          <w:sz w:val="22"/>
          <w:szCs w:val="22"/>
          <w:lang w:val="sk-SK" w:eastAsia="en-US"/>
        </w:rPr>
        <w:t>valproát</w:t>
      </w:r>
      <w:r w:rsidRPr="00921EF2">
        <w:rPr>
          <w:sz w:val="22"/>
          <w:szCs w:val="22"/>
          <w:lang w:val="sk-SK" w:eastAsia="en-US"/>
        </w:rPr>
        <w:t xml:space="preserve"> počas gravidity, boli hlásené s frekvenciou výskytu veľmi zriedkavo prípady hemoragického syndrómu. Tento hemoragický syndróm </w:t>
      </w:r>
      <w:r w:rsidRPr="00921EF2">
        <w:rPr>
          <w:sz w:val="22"/>
          <w:szCs w:val="22"/>
          <w:lang w:val="sk-SK" w:eastAsia="en-US"/>
        </w:rPr>
        <w:lastRenderedPageBreak/>
        <w:t>súvisí s trombocytopéniou, hypofibrinogenémiou a/alebo znížením ďalších koagulačných faktorov. Taktiež bola hlásená afibrinogenémia, ktorá môže byť fatálna. Avšak tento syndróm je potrebné odlíšiť od poklesu faktorov vitamínu K vyvolaných fenobarbitalom a enzymatickými induktormi. Preto sa musí u novorodencov vyšetriť počet krvných doštičiek, hladina fibronogénu v plazme, koagulačné faktory a urobiť koagulačné testy.</w:t>
      </w:r>
    </w:p>
    <w:p w14:paraId="6E60F7A9" w14:textId="6F87691F" w:rsidR="007406A5" w:rsidRPr="00921EF2" w:rsidRDefault="007406A5" w:rsidP="00B124D9">
      <w:pPr>
        <w:numPr>
          <w:ilvl w:val="0"/>
          <w:numId w:val="18"/>
        </w:numPr>
        <w:contextualSpacing/>
        <w:rPr>
          <w:sz w:val="22"/>
          <w:szCs w:val="22"/>
          <w:lang w:val="sk-SK" w:eastAsia="en-US"/>
        </w:rPr>
      </w:pPr>
      <w:r w:rsidRPr="00921EF2">
        <w:rPr>
          <w:sz w:val="22"/>
          <w:szCs w:val="22"/>
          <w:lang w:val="sk-SK" w:eastAsia="en-US"/>
        </w:rPr>
        <w:t xml:space="preserve">U novorodencov, ktorých matky užívali </w:t>
      </w:r>
      <w:r w:rsidR="0023483F" w:rsidRPr="00921EF2">
        <w:rPr>
          <w:sz w:val="22"/>
          <w:szCs w:val="22"/>
          <w:lang w:val="sk-SK" w:eastAsia="en-US"/>
        </w:rPr>
        <w:t>valproát</w:t>
      </w:r>
      <w:r w:rsidRPr="00921EF2">
        <w:rPr>
          <w:sz w:val="22"/>
          <w:szCs w:val="22"/>
          <w:lang w:val="sk-SK" w:eastAsia="en-US"/>
        </w:rPr>
        <w:t xml:space="preserve"> počas tretieho trimestra gravidity, boli hlásené prípady hypoglykémie.</w:t>
      </w:r>
    </w:p>
    <w:p w14:paraId="190A0383" w14:textId="38D8B21D" w:rsidR="007406A5" w:rsidRPr="00921EF2" w:rsidRDefault="007406A5" w:rsidP="00B124D9">
      <w:pPr>
        <w:numPr>
          <w:ilvl w:val="0"/>
          <w:numId w:val="18"/>
        </w:numPr>
        <w:contextualSpacing/>
        <w:rPr>
          <w:sz w:val="22"/>
          <w:szCs w:val="22"/>
          <w:lang w:val="sk-SK" w:eastAsia="en-US"/>
        </w:rPr>
      </w:pPr>
      <w:r w:rsidRPr="00921EF2">
        <w:rPr>
          <w:sz w:val="22"/>
          <w:szCs w:val="22"/>
          <w:lang w:val="sk-SK" w:eastAsia="en-US"/>
        </w:rPr>
        <w:t xml:space="preserve">U novorodencov, ktorých matky užívali </w:t>
      </w:r>
      <w:r w:rsidR="0023483F" w:rsidRPr="00921EF2">
        <w:rPr>
          <w:sz w:val="22"/>
          <w:szCs w:val="22"/>
          <w:lang w:val="sk-SK" w:eastAsia="en-US"/>
        </w:rPr>
        <w:t>valproát</w:t>
      </w:r>
      <w:r w:rsidRPr="00921EF2">
        <w:rPr>
          <w:sz w:val="22"/>
          <w:szCs w:val="22"/>
          <w:lang w:val="sk-SK" w:eastAsia="en-US"/>
        </w:rPr>
        <w:t xml:space="preserve"> počas gravidity, boli hlásené prípady hypotyreózy.</w:t>
      </w:r>
    </w:p>
    <w:p w14:paraId="30356878" w14:textId="6C35D315" w:rsidR="007406A5" w:rsidRPr="00921EF2" w:rsidRDefault="007406A5" w:rsidP="00B124D9">
      <w:pPr>
        <w:numPr>
          <w:ilvl w:val="0"/>
          <w:numId w:val="18"/>
        </w:numPr>
        <w:contextualSpacing/>
        <w:rPr>
          <w:sz w:val="22"/>
          <w:szCs w:val="22"/>
          <w:lang w:val="sk-SK" w:eastAsia="en-US"/>
        </w:rPr>
      </w:pPr>
      <w:r w:rsidRPr="00921EF2">
        <w:rPr>
          <w:sz w:val="22"/>
          <w:szCs w:val="22"/>
          <w:lang w:val="sk-SK" w:eastAsia="en-US"/>
        </w:rPr>
        <w:t xml:space="preserve">U novorodencov, ktorých matky užívali </w:t>
      </w:r>
      <w:r w:rsidR="0023483F" w:rsidRPr="00921EF2">
        <w:rPr>
          <w:sz w:val="22"/>
          <w:szCs w:val="22"/>
          <w:lang w:val="sk-SK" w:eastAsia="en-US"/>
        </w:rPr>
        <w:t>valproát</w:t>
      </w:r>
      <w:r w:rsidRPr="00921EF2">
        <w:rPr>
          <w:sz w:val="22"/>
          <w:szCs w:val="22"/>
          <w:lang w:val="sk-SK" w:eastAsia="en-US"/>
        </w:rPr>
        <w:t xml:space="preserve"> počas tretieho trimestra gravidity, sa môže vyskytnúť syndróm z vysadenia (ako je najmä nepokoj, podráždenosť, nadmerná vzrušivosť, nervozita, hyperkinéza, tonické poruchy, tras, kŕče a poruchy kŕmenia).</w:t>
      </w:r>
    </w:p>
    <w:p w14:paraId="0BF5A00F" w14:textId="77777777" w:rsidR="007406A5" w:rsidRPr="00921EF2" w:rsidRDefault="007406A5" w:rsidP="005C64C0">
      <w:pPr>
        <w:rPr>
          <w:sz w:val="22"/>
          <w:szCs w:val="22"/>
          <w:lang w:val="sk-SK"/>
        </w:rPr>
      </w:pPr>
    </w:p>
    <w:p w14:paraId="690A1878" w14:textId="715629F4" w:rsidR="007406A5" w:rsidRPr="00921EF2" w:rsidRDefault="007406A5" w:rsidP="00B124D9">
      <w:pPr>
        <w:rPr>
          <w:sz w:val="22"/>
          <w:szCs w:val="22"/>
          <w:lang w:val="sk-SK"/>
        </w:rPr>
      </w:pPr>
      <w:r w:rsidRPr="00921EF2">
        <w:rPr>
          <w:sz w:val="22"/>
          <w:szCs w:val="22"/>
          <w:u w:val="single"/>
          <w:lang w:val="sk-SK"/>
        </w:rPr>
        <w:t>Na zvieratách</w:t>
      </w:r>
      <w:r w:rsidRPr="00921EF2">
        <w:rPr>
          <w:sz w:val="22"/>
          <w:szCs w:val="22"/>
          <w:lang w:val="sk-SK"/>
        </w:rPr>
        <w:t xml:space="preserve">: teratogénny účinok </w:t>
      </w:r>
      <w:r w:rsidR="0023483F" w:rsidRPr="00921EF2">
        <w:rPr>
          <w:sz w:val="22"/>
          <w:szCs w:val="22"/>
          <w:lang w:val="sk-SK"/>
        </w:rPr>
        <w:t>valproát</w:t>
      </w:r>
      <w:r w:rsidRPr="00921EF2">
        <w:rPr>
          <w:sz w:val="22"/>
          <w:szCs w:val="22"/>
          <w:lang w:val="sk-SK"/>
        </w:rPr>
        <w:t>u bol preukázaný na myšiach, potkanoch a králikoch.</w:t>
      </w:r>
    </w:p>
    <w:p w14:paraId="43599633" w14:textId="77777777" w:rsidR="007406A5" w:rsidRPr="00921EF2" w:rsidRDefault="007406A5" w:rsidP="00B124D9">
      <w:pPr>
        <w:rPr>
          <w:sz w:val="22"/>
          <w:szCs w:val="22"/>
          <w:lang w:val="sk-SK"/>
        </w:rPr>
      </w:pPr>
    </w:p>
    <w:p w14:paraId="5EE3FDDD" w14:textId="77777777" w:rsidR="007406A5" w:rsidRPr="00921EF2" w:rsidRDefault="007406A5" w:rsidP="00B124D9">
      <w:pPr>
        <w:keepNext/>
        <w:rPr>
          <w:bCs/>
          <w:sz w:val="22"/>
          <w:szCs w:val="22"/>
          <w:u w:val="single"/>
          <w:lang w:val="sk-SK"/>
        </w:rPr>
      </w:pPr>
      <w:r w:rsidRPr="00921EF2">
        <w:rPr>
          <w:bCs/>
          <w:sz w:val="22"/>
          <w:szCs w:val="22"/>
          <w:u w:val="single"/>
          <w:lang w:val="sk-SK"/>
        </w:rPr>
        <w:t>Dojčenie</w:t>
      </w:r>
    </w:p>
    <w:p w14:paraId="6B8EF13B" w14:textId="77777777" w:rsidR="007406A5" w:rsidRPr="00921EF2" w:rsidRDefault="007406A5" w:rsidP="00B124D9">
      <w:pPr>
        <w:keepNext/>
        <w:rPr>
          <w:sz w:val="22"/>
          <w:szCs w:val="22"/>
          <w:lang w:val="sk-SK"/>
        </w:rPr>
      </w:pPr>
    </w:p>
    <w:p w14:paraId="65C95E7D" w14:textId="11947014" w:rsidR="007406A5" w:rsidRPr="00921EF2" w:rsidRDefault="0023483F" w:rsidP="00B124D9">
      <w:pPr>
        <w:rPr>
          <w:sz w:val="22"/>
          <w:szCs w:val="22"/>
          <w:lang w:val="sk-SK" w:eastAsia="en-US"/>
        </w:rPr>
      </w:pPr>
      <w:r w:rsidRPr="00921EF2">
        <w:rPr>
          <w:sz w:val="22"/>
          <w:szCs w:val="22"/>
          <w:lang w:val="sk-SK" w:eastAsia="en-US"/>
        </w:rPr>
        <w:t>Valproát</w:t>
      </w:r>
      <w:r w:rsidR="007406A5" w:rsidRPr="00921EF2">
        <w:rPr>
          <w:sz w:val="22"/>
          <w:szCs w:val="22"/>
          <w:lang w:val="sk-SK" w:eastAsia="en-US"/>
        </w:rPr>
        <w:t xml:space="preserve"> sa vylučuje do materského mlieka s koncentráciou v rozmedzí od 1 % do 10 % hladiny v sére matky. U kojených novorodencov/dojčiat liečených žien boli hlásené hematologické poruchy (pozri časť 4.8).</w:t>
      </w:r>
    </w:p>
    <w:p w14:paraId="793ADD90" w14:textId="069C5B41" w:rsidR="007406A5" w:rsidRPr="00921EF2" w:rsidRDefault="007406A5" w:rsidP="00B124D9">
      <w:pPr>
        <w:rPr>
          <w:sz w:val="22"/>
          <w:szCs w:val="22"/>
          <w:lang w:val="sk-SK" w:eastAsia="en-US"/>
        </w:rPr>
      </w:pPr>
      <w:r w:rsidRPr="00921EF2">
        <w:rPr>
          <w:color w:val="000000"/>
          <w:sz w:val="22"/>
          <w:szCs w:val="22"/>
          <w:lang w:val="sk-SK"/>
        </w:rPr>
        <w:t xml:space="preserve">Rozhodnutie, či ukončiť dojčenie alebo ukončiť/prerušiť liečbu </w:t>
      </w:r>
      <w:r w:rsidR="00FF18AE" w:rsidRPr="005E746B">
        <w:rPr>
          <w:sz w:val="22"/>
          <w:lang w:val="sk-SK"/>
        </w:rPr>
        <w:t>Orfiril</w:t>
      </w:r>
      <w:r w:rsidR="00926E70" w:rsidRPr="005E746B">
        <w:rPr>
          <w:sz w:val="22"/>
          <w:lang w:val="sk-SK"/>
        </w:rPr>
        <w:t>om</w:t>
      </w:r>
      <w:r w:rsidR="00FF18AE" w:rsidRPr="005E746B">
        <w:rPr>
          <w:sz w:val="22"/>
          <w:lang w:val="sk-SK"/>
        </w:rPr>
        <w:t xml:space="preserve"> long </w:t>
      </w:r>
      <w:r w:rsidRPr="00921EF2">
        <w:rPr>
          <w:color w:val="000000"/>
          <w:sz w:val="22"/>
          <w:szCs w:val="22"/>
          <w:lang w:val="sk-SK"/>
        </w:rPr>
        <w:t>sa má urobiť po zvážení prínosu dojčenia pre dieťa oproti prínosu liečby pre ženu.</w:t>
      </w:r>
    </w:p>
    <w:p w14:paraId="6252DCB0" w14:textId="77777777" w:rsidR="007406A5" w:rsidRPr="00921EF2" w:rsidRDefault="007406A5" w:rsidP="00B124D9">
      <w:pPr>
        <w:rPr>
          <w:sz w:val="22"/>
          <w:szCs w:val="22"/>
          <w:lang w:val="sk-SK" w:eastAsia="en-US"/>
        </w:rPr>
      </w:pPr>
    </w:p>
    <w:p w14:paraId="1FE9440D" w14:textId="77777777" w:rsidR="007406A5" w:rsidRPr="00921EF2" w:rsidRDefault="007406A5" w:rsidP="00B124D9">
      <w:pPr>
        <w:keepNext/>
        <w:rPr>
          <w:rFonts w:eastAsia="Calibri"/>
          <w:sz w:val="22"/>
          <w:szCs w:val="22"/>
          <w:u w:val="single"/>
          <w:lang w:val="sk-SK"/>
        </w:rPr>
      </w:pPr>
      <w:r w:rsidRPr="00921EF2">
        <w:rPr>
          <w:rFonts w:eastAsia="Calibri"/>
          <w:sz w:val="22"/>
          <w:szCs w:val="22"/>
          <w:u w:val="single"/>
          <w:lang w:val="sk-SK"/>
        </w:rPr>
        <w:t>Fertilita</w:t>
      </w:r>
    </w:p>
    <w:p w14:paraId="52E460B7" w14:textId="77777777" w:rsidR="007406A5" w:rsidRPr="00921EF2" w:rsidRDefault="007406A5" w:rsidP="00B124D9">
      <w:pPr>
        <w:keepNext/>
        <w:rPr>
          <w:rFonts w:eastAsia="Calibri"/>
          <w:sz w:val="22"/>
          <w:szCs w:val="22"/>
          <w:lang w:val="sk-SK"/>
        </w:rPr>
      </w:pPr>
    </w:p>
    <w:p w14:paraId="1E5F3CF3" w14:textId="252A4509" w:rsidR="007406A5" w:rsidRPr="00921EF2" w:rsidRDefault="007406A5" w:rsidP="00B124D9">
      <w:pPr>
        <w:rPr>
          <w:rFonts w:eastAsia="Calibri"/>
          <w:sz w:val="22"/>
          <w:szCs w:val="22"/>
          <w:lang w:val="sk-SK"/>
        </w:rPr>
      </w:pPr>
      <w:r w:rsidRPr="00921EF2">
        <w:rPr>
          <w:rFonts w:eastAsia="Calibri"/>
          <w:sz w:val="22"/>
          <w:szCs w:val="22"/>
          <w:lang w:val="sk-SK"/>
        </w:rPr>
        <w:t xml:space="preserve">U žien užívajúcich </w:t>
      </w:r>
      <w:r w:rsidR="0023483F" w:rsidRPr="00921EF2">
        <w:rPr>
          <w:rFonts w:eastAsia="Calibri"/>
          <w:sz w:val="22"/>
          <w:szCs w:val="22"/>
          <w:lang w:val="sk-SK"/>
        </w:rPr>
        <w:t>valproát</w:t>
      </w:r>
      <w:r w:rsidRPr="00921EF2">
        <w:rPr>
          <w:rFonts w:eastAsia="Calibri"/>
          <w:sz w:val="22"/>
          <w:szCs w:val="22"/>
          <w:lang w:val="sk-SK"/>
        </w:rPr>
        <w:t xml:space="preserve"> boli hlásené amenorea, polycystické vaječníky a zvýšené hladiny testosterónu (pozri časť 4.8). Podávanie </w:t>
      </w:r>
      <w:r w:rsidR="0023483F" w:rsidRPr="00921EF2">
        <w:rPr>
          <w:rFonts w:eastAsia="Calibri"/>
          <w:sz w:val="22"/>
          <w:szCs w:val="22"/>
          <w:lang w:val="sk-SK"/>
        </w:rPr>
        <w:t>valproát</w:t>
      </w:r>
      <w:r w:rsidRPr="00921EF2">
        <w:rPr>
          <w:rFonts w:eastAsia="Calibri"/>
          <w:sz w:val="22"/>
          <w:szCs w:val="22"/>
          <w:lang w:val="sk-SK"/>
        </w:rPr>
        <w:t>u môže taktiež narušiť fertilitu mužov (pozri časť 4.8). Kazuistiky ukazujú, že poruchy fertility sú po ukončení liečby reverzibilné.</w:t>
      </w:r>
    </w:p>
    <w:p w14:paraId="46B20268" w14:textId="77777777" w:rsidR="00977BF3" w:rsidRPr="00921EF2" w:rsidRDefault="00977BF3" w:rsidP="00B124D9">
      <w:pPr>
        <w:pStyle w:val="Nadpis2"/>
        <w:keepNext w:val="0"/>
        <w:rPr>
          <w:rFonts w:ascii="Times New Roman" w:hAnsi="Times New Roman" w:cs="Times New Roman"/>
          <w:b w:val="0"/>
          <w:sz w:val="22"/>
          <w:szCs w:val="22"/>
        </w:rPr>
      </w:pPr>
    </w:p>
    <w:p w14:paraId="3613183D"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4.7</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Ovplyvnenie schopnosti viesť vozidlá a obsluhovať stroje</w:t>
      </w:r>
    </w:p>
    <w:p w14:paraId="1595A871" w14:textId="77777777" w:rsidR="00977BF3" w:rsidRPr="00921EF2" w:rsidRDefault="00977BF3" w:rsidP="00B124D9">
      <w:pPr>
        <w:keepNext/>
        <w:rPr>
          <w:sz w:val="22"/>
          <w:szCs w:val="22"/>
          <w:lang w:val="sk-SK"/>
        </w:rPr>
      </w:pPr>
    </w:p>
    <w:p w14:paraId="296BA715" w14:textId="77777777" w:rsidR="00977BF3" w:rsidRPr="00921EF2" w:rsidRDefault="00977BF3" w:rsidP="00B124D9">
      <w:pPr>
        <w:rPr>
          <w:sz w:val="22"/>
          <w:szCs w:val="22"/>
          <w:lang w:val="sk-SK"/>
        </w:rPr>
      </w:pPr>
      <w:r w:rsidRPr="00921EF2">
        <w:rPr>
          <w:sz w:val="22"/>
          <w:szCs w:val="22"/>
          <w:lang w:val="sk-SK"/>
        </w:rPr>
        <w:t xml:space="preserve">Pacienti </w:t>
      </w:r>
      <w:r w:rsidR="00232448" w:rsidRPr="00921EF2">
        <w:rPr>
          <w:sz w:val="22"/>
          <w:szCs w:val="22"/>
          <w:lang w:val="sk-SK"/>
        </w:rPr>
        <w:t>majú</w:t>
      </w:r>
      <w:r w:rsidRPr="00921EF2">
        <w:rPr>
          <w:sz w:val="22"/>
          <w:szCs w:val="22"/>
          <w:lang w:val="sk-SK"/>
        </w:rPr>
        <w:t xml:space="preserve"> byť upozornení na riziko možnej ospalosti najmä v prípade antikonvulzívnej polyterapie alebo terapie kombinovanej s benzodiazepínmi (pozri </w:t>
      </w:r>
      <w:r w:rsidR="00ED1285" w:rsidRPr="00921EF2">
        <w:rPr>
          <w:sz w:val="22"/>
          <w:szCs w:val="22"/>
          <w:lang w:val="sk-SK"/>
        </w:rPr>
        <w:t xml:space="preserve">časť </w:t>
      </w:r>
      <w:r w:rsidRPr="00921EF2">
        <w:rPr>
          <w:sz w:val="22"/>
          <w:szCs w:val="22"/>
          <w:lang w:val="sk-SK"/>
        </w:rPr>
        <w:t>4.5).</w:t>
      </w:r>
    </w:p>
    <w:p w14:paraId="21F594AA" w14:textId="77777777" w:rsidR="00977BF3" w:rsidRPr="00921EF2" w:rsidRDefault="00977BF3" w:rsidP="00B124D9">
      <w:pPr>
        <w:rPr>
          <w:sz w:val="22"/>
          <w:szCs w:val="22"/>
          <w:lang w:val="sk-SK"/>
        </w:rPr>
      </w:pPr>
    </w:p>
    <w:p w14:paraId="655514E6"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4.8</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Nežiaduce účinky</w:t>
      </w:r>
    </w:p>
    <w:p w14:paraId="0C0F9EEA" w14:textId="77777777" w:rsidR="00977BF3" w:rsidRPr="00921EF2" w:rsidRDefault="00977BF3" w:rsidP="00B124D9">
      <w:pPr>
        <w:keepNext/>
        <w:rPr>
          <w:bCs/>
          <w:sz w:val="22"/>
          <w:szCs w:val="22"/>
          <w:lang w:val="sk-SK"/>
        </w:rPr>
      </w:pPr>
    </w:p>
    <w:p w14:paraId="4E5024F0" w14:textId="77777777" w:rsidR="00F029E8" w:rsidRPr="00921EF2" w:rsidRDefault="0053103C" w:rsidP="005C64C0">
      <w:pPr>
        <w:rPr>
          <w:bCs/>
          <w:sz w:val="22"/>
          <w:szCs w:val="22"/>
          <w:lang w:val="sk-SK"/>
        </w:rPr>
      </w:pPr>
      <w:r w:rsidRPr="00921EF2">
        <w:rPr>
          <w:bCs/>
          <w:sz w:val="22"/>
          <w:szCs w:val="22"/>
          <w:lang w:val="sk-SK"/>
        </w:rPr>
        <w:t xml:space="preserve">Nasledujúce nežiaduce účinky sú rozdelené podľa orgánových tried a na základe frekvencie výskytu sa delia na: veľmi časté </w:t>
      </w:r>
      <w:r w:rsidRPr="00921EF2">
        <w:rPr>
          <w:sz w:val="22"/>
          <w:szCs w:val="22"/>
          <w:lang w:val="sk-SK"/>
        </w:rPr>
        <w:t>(</w:t>
      </w:r>
      <w:r w:rsidRPr="00921EF2">
        <w:rPr>
          <w:sz w:val="22"/>
          <w:szCs w:val="22"/>
          <w:lang w:val="sk-SK"/>
        </w:rPr>
        <w:sym w:font="Symbol" w:char="F0B3"/>
      </w:r>
      <w:r w:rsidRPr="00921EF2">
        <w:rPr>
          <w:sz w:val="22"/>
          <w:szCs w:val="22"/>
          <w:lang w:val="sk-SK"/>
        </w:rPr>
        <w:t>1/10)</w:t>
      </w:r>
      <w:r w:rsidRPr="00921EF2">
        <w:rPr>
          <w:bCs/>
          <w:sz w:val="22"/>
          <w:szCs w:val="22"/>
          <w:lang w:val="sk-SK"/>
        </w:rPr>
        <w:t xml:space="preserve">, časté </w:t>
      </w:r>
      <w:r w:rsidRPr="00921EF2">
        <w:rPr>
          <w:sz w:val="22"/>
          <w:szCs w:val="22"/>
          <w:lang w:val="sk-SK"/>
        </w:rPr>
        <w:t>(</w:t>
      </w:r>
      <w:r w:rsidRPr="00921EF2">
        <w:rPr>
          <w:sz w:val="22"/>
          <w:szCs w:val="22"/>
          <w:lang w:val="sk-SK"/>
        </w:rPr>
        <w:sym w:font="Symbol" w:char="F0B3"/>
      </w:r>
      <w:r w:rsidRPr="00921EF2">
        <w:rPr>
          <w:sz w:val="22"/>
          <w:szCs w:val="22"/>
          <w:lang w:val="sk-SK"/>
        </w:rPr>
        <w:t>1/100 až &lt;1/10)</w:t>
      </w:r>
      <w:r w:rsidRPr="00921EF2">
        <w:rPr>
          <w:bCs/>
          <w:sz w:val="22"/>
          <w:szCs w:val="22"/>
          <w:lang w:val="sk-SK"/>
        </w:rPr>
        <w:t xml:space="preserve">, menej časté </w:t>
      </w:r>
      <w:r w:rsidRPr="00921EF2">
        <w:rPr>
          <w:sz w:val="22"/>
          <w:szCs w:val="22"/>
          <w:lang w:val="sk-SK"/>
        </w:rPr>
        <w:t>(</w:t>
      </w:r>
      <w:r w:rsidRPr="00921EF2">
        <w:rPr>
          <w:sz w:val="22"/>
          <w:szCs w:val="22"/>
          <w:lang w:val="sk-SK"/>
        </w:rPr>
        <w:sym w:font="Symbol" w:char="F0B3"/>
      </w:r>
      <w:r w:rsidRPr="00921EF2">
        <w:rPr>
          <w:sz w:val="22"/>
          <w:szCs w:val="22"/>
          <w:lang w:val="sk-SK"/>
        </w:rPr>
        <w:t>1/1 000 až &lt;1/100)</w:t>
      </w:r>
      <w:r w:rsidRPr="00921EF2">
        <w:rPr>
          <w:bCs/>
          <w:sz w:val="22"/>
          <w:szCs w:val="22"/>
          <w:lang w:val="sk-SK"/>
        </w:rPr>
        <w:t xml:space="preserve">, zriedkavé </w:t>
      </w:r>
      <w:r w:rsidRPr="00921EF2">
        <w:rPr>
          <w:sz w:val="22"/>
          <w:szCs w:val="22"/>
          <w:lang w:val="sk-SK"/>
        </w:rPr>
        <w:t>(</w:t>
      </w:r>
      <w:r w:rsidRPr="00921EF2">
        <w:rPr>
          <w:sz w:val="22"/>
          <w:szCs w:val="22"/>
          <w:lang w:val="sk-SK"/>
        </w:rPr>
        <w:sym w:font="Symbol" w:char="F0B3"/>
      </w:r>
      <w:r w:rsidRPr="00921EF2">
        <w:rPr>
          <w:sz w:val="22"/>
          <w:szCs w:val="22"/>
          <w:lang w:val="sk-SK"/>
        </w:rPr>
        <w:t>1/10 000 až &lt;1/1 000),</w:t>
      </w:r>
      <w:r w:rsidRPr="00921EF2">
        <w:rPr>
          <w:bCs/>
          <w:sz w:val="22"/>
          <w:szCs w:val="22"/>
          <w:lang w:val="sk-SK"/>
        </w:rPr>
        <w:t xml:space="preserve"> veľmi zriedkavé </w:t>
      </w:r>
      <w:r w:rsidRPr="00921EF2">
        <w:rPr>
          <w:sz w:val="22"/>
          <w:szCs w:val="22"/>
          <w:lang w:val="sk-SK"/>
        </w:rPr>
        <w:t>(&lt;1/10 000), neznáme (z dostupných údajov)</w:t>
      </w:r>
      <w:r w:rsidRPr="00921EF2">
        <w:rPr>
          <w:bCs/>
          <w:sz w:val="22"/>
          <w:szCs w:val="22"/>
          <w:lang w:val="sk-SK"/>
        </w:rPr>
        <w:t>.</w:t>
      </w:r>
    </w:p>
    <w:p w14:paraId="73A5F249" w14:textId="77777777" w:rsidR="00F029E8" w:rsidRPr="00921EF2" w:rsidRDefault="00F029E8" w:rsidP="00B124D9">
      <w:pPr>
        <w:rPr>
          <w:bCs/>
          <w:sz w:val="22"/>
          <w:szCs w:val="22"/>
          <w:lang w:val="sk-SK"/>
        </w:rPr>
      </w:pPr>
    </w:p>
    <w:p w14:paraId="404CD853" w14:textId="77777777" w:rsidR="0017189B" w:rsidRPr="00921EF2" w:rsidRDefault="0017189B" w:rsidP="00B124D9">
      <w:pPr>
        <w:rPr>
          <w:bCs/>
          <w:sz w:val="22"/>
          <w:szCs w:val="22"/>
          <w:u w:val="single"/>
          <w:lang w:val="sk-SK"/>
        </w:rPr>
      </w:pPr>
      <w:r w:rsidRPr="00921EF2">
        <w:rPr>
          <w:bCs/>
          <w:sz w:val="22"/>
          <w:szCs w:val="22"/>
          <w:u w:val="single"/>
          <w:lang w:val="sk-SK"/>
        </w:rPr>
        <w:t>Vrodené, familiárne a genetické poruchy:</w:t>
      </w:r>
    </w:p>
    <w:p w14:paraId="5F13C117" w14:textId="77777777" w:rsidR="0017189B" w:rsidRPr="00921EF2" w:rsidRDefault="005D4661" w:rsidP="00B124D9">
      <w:pPr>
        <w:rPr>
          <w:bCs/>
          <w:sz w:val="22"/>
          <w:szCs w:val="22"/>
          <w:lang w:val="sk-SK"/>
        </w:rPr>
      </w:pPr>
      <w:r w:rsidRPr="00921EF2">
        <w:rPr>
          <w:bCs/>
          <w:sz w:val="22"/>
          <w:szCs w:val="22"/>
          <w:lang w:val="sk-SK"/>
        </w:rPr>
        <w:t>Vrodené malformácie a</w:t>
      </w:r>
      <w:r w:rsidR="006C198D" w:rsidRPr="00921EF2">
        <w:rPr>
          <w:bCs/>
          <w:sz w:val="22"/>
          <w:szCs w:val="22"/>
          <w:lang w:val="sk-SK"/>
        </w:rPr>
        <w:t> poruchy vývoja nervového systému</w:t>
      </w:r>
      <w:r w:rsidRPr="00921EF2">
        <w:rPr>
          <w:bCs/>
          <w:sz w:val="22"/>
          <w:szCs w:val="22"/>
          <w:lang w:val="sk-SK"/>
        </w:rPr>
        <w:t xml:space="preserve"> (p</w:t>
      </w:r>
      <w:r w:rsidR="0017189B" w:rsidRPr="00921EF2">
        <w:rPr>
          <w:bCs/>
          <w:sz w:val="22"/>
          <w:szCs w:val="22"/>
          <w:lang w:val="sk-SK"/>
        </w:rPr>
        <w:t>ozri čas</w:t>
      </w:r>
      <w:r w:rsidRPr="00921EF2">
        <w:rPr>
          <w:bCs/>
          <w:sz w:val="22"/>
          <w:szCs w:val="22"/>
          <w:lang w:val="sk-SK"/>
        </w:rPr>
        <w:t>ti</w:t>
      </w:r>
      <w:r w:rsidR="0017189B" w:rsidRPr="00921EF2">
        <w:rPr>
          <w:bCs/>
          <w:sz w:val="22"/>
          <w:szCs w:val="22"/>
          <w:lang w:val="sk-SK"/>
        </w:rPr>
        <w:t xml:space="preserve"> </w:t>
      </w:r>
      <w:r w:rsidRPr="00921EF2">
        <w:rPr>
          <w:bCs/>
          <w:sz w:val="22"/>
          <w:szCs w:val="22"/>
          <w:lang w:val="sk-SK"/>
        </w:rPr>
        <w:t xml:space="preserve">4.4 a </w:t>
      </w:r>
      <w:r w:rsidR="0017189B" w:rsidRPr="00921EF2">
        <w:rPr>
          <w:bCs/>
          <w:sz w:val="22"/>
          <w:szCs w:val="22"/>
          <w:lang w:val="sk-SK"/>
        </w:rPr>
        <w:t>4.6</w:t>
      </w:r>
      <w:r w:rsidRPr="00921EF2">
        <w:rPr>
          <w:bCs/>
          <w:sz w:val="22"/>
          <w:szCs w:val="22"/>
          <w:lang w:val="sk-SK"/>
        </w:rPr>
        <w:t>)</w:t>
      </w:r>
      <w:r w:rsidR="0017189B" w:rsidRPr="00921EF2">
        <w:rPr>
          <w:bCs/>
          <w:sz w:val="22"/>
          <w:szCs w:val="22"/>
          <w:lang w:val="sk-SK"/>
        </w:rPr>
        <w:t>.</w:t>
      </w:r>
    </w:p>
    <w:p w14:paraId="13E38080" w14:textId="77777777" w:rsidR="0017189B" w:rsidRPr="00921EF2" w:rsidRDefault="0017189B" w:rsidP="00B124D9">
      <w:pPr>
        <w:rPr>
          <w:bCs/>
          <w:sz w:val="22"/>
          <w:szCs w:val="22"/>
          <w:u w:val="single"/>
          <w:lang w:val="sk-SK"/>
        </w:rPr>
      </w:pPr>
    </w:p>
    <w:p w14:paraId="19C56C9E" w14:textId="77777777" w:rsidR="00977BF3" w:rsidRPr="00921EF2" w:rsidRDefault="00977BF3" w:rsidP="00B124D9">
      <w:pPr>
        <w:keepNext/>
        <w:rPr>
          <w:i/>
          <w:iCs/>
          <w:sz w:val="22"/>
          <w:szCs w:val="22"/>
          <w:u w:val="single"/>
          <w:lang w:val="sk-SK"/>
        </w:rPr>
      </w:pPr>
      <w:r w:rsidRPr="00921EF2">
        <w:rPr>
          <w:bCs/>
          <w:sz w:val="22"/>
          <w:szCs w:val="22"/>
          <w:u w:val="single"/>
          <w:lang w:val="sk-SK"/>
        </w:rPr>
        <w:t>Poruchy pečene a žlčových ciest</w:t>
      </w:r>
      <w:r w:rsidR="006A49B7" w:rsidRPr="00921EF2">
        <w:rPr>
          <w:bCs/>
          <w:sz w:val="22"/>
          <w:szCs w:val="22"/>
          <w:u w:val="single"/>
          <w:lang w:val="sk-SK"/>
        </w:rPr>
        <w:t>:</w:t>
      </w:r>
    </w:p>
    <w:p w14:paraId="45E4B321" w14:textId="77777777" w:rsidR="00977BF3" w:rsidRPr="00921EF2" w:rsidRDefault="00364B57" w:rsidP="00B124D9">
      <w:pPr>
        <w:keepNext/>
        <w:rPr>
          <w:sz w:val="22"/>
          <w:szCs w:val="22"/>
          <w:lang w:val="sk-SK"/>
        </w:rPr>
      </w:pPr>
      <w:r w:rsidRPr="00921EF2">
        <w:rPr>
          <w:bCs/>
          <w:i/>
          <w:sz w:val="22"/>
          <w:szCs w:val="22"/>
          <w:lang w:val="sk-SK"/>
        </w:rPr>
        <w:t>Časté</w:t>
      </w:r>
      <w:r w:rsidR="00977BF3" w:rsidRPr="00921EF2">
        <w:rPr>
          <w:bCs/>
          <w:i/>
          <w:sz w:val="22"/>
          <w:szCs w:val="22"/>
          <w:lang w:val="sk-SK"/>
        </w:rPr>
        <w:t>:</w:t>
      </w:r>
      <w:r w:rsidR="00977BF3" w:rsidRPr="00921EF2">
        <w:rPr>
          <w:b/>
          <w:bCs/>
          <w:sz w:val="22"/>
          <w:szCs w:val="22"/>
          <w:lang w:val="sk-SK"/>
        </w:rPr>
        <w:t xml:space="preserve"> </w:t>
      </w:r>
      <w:r w:rsidR="00DF3A26" w:rsidRPr="00921EF2">
        <w:rPr>
          <w:sz w:val="22"/>
          <w:szCs w:val="22"/>
          <w:lang w:val="sk-SK"/>
        </w:rPr>
        <w:t>poškodenie</w:t>
      </w:r>
      <w:r w:rsidR="00977BF3" w:rsidRPr="00921EF2">
        <w:rPr>
          <w:sz w:val="22"/>
          <w:szCs w:val="22"/>
          <w:lang w:val="sk-SK"/>
        </w:rPr>
        <w:t xml:space="preserve"> pečene (</w:t>
      </w:r>
      <w:r w:rsidR="00977BF3" w:rsidRPr="00921EF2">
        <w:rPr>
          <w:color w:val="000000"/>
          <w:sz w:val="22"/>
          <w:szCs w:val="22"/>
          <w:lang w:val="sk-SK"/>
        </w:rPr>
        <w:t>pozri časť 4.4</w:t>
      </w:r>
      <w:r w:rsidR="00977BF3" w:rsidRPr="00921EF2">
        <w:rPr>
          <w:sz w:val="22"/>
          <w:szCs w:val="22"/>
          <w:lang w:val="sk-SK"/>
        </w:rPr>
        <w:t>).</w:t>
      </w:r>
    </w:p>
    <w:p w14:paraId="71B8C8A2" w14:textId="77777777" w:rsidR="00977BF3" w:rsidRPr="00921EF2" w:rsidRDefault="00977BF3" w:rsidP="00B124D9">
      <w:pPr>
        <w:rPr>
          <w:sz w:val="22"/>
          <w:szCs w:val="22"/>
          <w:lang w:val="sk-SK"/>
        </w:rPr>
      </w:pPr>
    </w:p>
    <w:p w14:paraId="58F5F246" w14:textId="77777777" w:rsidR="00977BF3" w:rsidRPr="00921EF2" w:rsidRDefault="00DF3A26" w:rsidP="005C64C0">
      <w:pPr>
        <w:rPr>
          <w:sz w:val="22"/>
          <w:szCs w:val="22"/>
          <w:u w:val="single"/>
          <w:lang w:val="sk-SK"/>
        </w:rPr>
      </w:pPr>
      <w:r w:rsidRPr="00921EF2">
        <w:rPr>
          <w:bCs/>
          <w:sz w:val="22"/>
          <w:szCs w:val="22"/>
          <w:u w:val="single"/>
          <w:lang w:val="sk-SK"/>
        </w:rPr>
        <w:t>Poruchy g</w:t>
      </w:r>
      <w:r w:rsidR="00977BF3" w:rsidRPr="00921EF2">
        <w:rPr>
          <w:bCs/>
          <w:sz w:val="22"/>
          <w:szCs w:val="22"/>
          <w:u w:val="single"/>
          <w:lang w:val="sk-SK"/>
        </w:rPr>
        <w:t>astrointestinálne</w:t>
      </w:r>
      <w:r w:rsidRPr="00921EF2">
        <w:rPr>
          <w:bCs/>
          <w:sz w:val="22"/>
          <w:szCs w:val="22"/>
          <w:u w:val="single"/>
          <w:lang w:val="sk-SK"/>
        </w:rPr>
        <w:t>ho traktu</w:t>
      </w:r>
      <w:r w:rsidR="006A49B7" w:rsidRPr="00921EF2">
        <w:rPr>
          <w:bCs/>
          <w:sz w:val="22"/>
          <w:szCs w:val="22"/>
          <w:u w:val="single"/>
          <w:lang w:val="sk-SK"/>
        </w:rPr>
        <w:t>:</w:t>
      </w:r>
    </w:p>
    <w:p w14:paraId="6E5C5858" w14:textId="77777777" w:rsidR="00C833E8" w:rsidRPr="00921EF2" w:rsidRDefault="00C833E8" w:rsidP="00B124D9">
      <w:pPr>
        <w:rPr>
          <w:sz w:val="22"/>
          <w:szCs w:val="22"/>
          <w:lang w:val="sk-SK"/>
        </w:rPr>
      </w:pPr>
      <w:r w:rsidRPr="00921EF2">
        <w:rPr>
          <w:i/>
          <w:sz w:val="22"/>
          <w:szCs w:val="22"/>
          <w:lang w:val="sk-SK"/>
        </w:rPr>
        <w:t>Veľmi časté:</w:t>
      </w:r>
      <w:r w:rsidRPr="00921EF2">
        <w:rPr>
          <w:sz w:val="22"/>
          <w:szCs w:val="22"/>
          <w:lang w:val="sk-SK"/>
        </w:rPr>
        <w:t xml:space="preserve"> n</w:t>
      </w:r>
      <w:r w:rsidR="00977BF3" w:rsidRPr="00921EF2">
        <w:rPr>
          <w:sz w:val="22"/>
          <w:szCs w:val="22"/>
          <w:lang w:val="sk-SK"/>
        </w:rPr>
        <w:t>auzea</w:t>
      </w:r>
      <w:r w:rsidRPr="00921EF2">
        <w:rPr>
          <w:sz w:val="22"/>
          <w:szCs w:val="22"/>
          <w:lang w:val="sk-SK"/>
        </w:rPr>
        <w:t>.</w:t>
      </w:r>
    </w:p>
    <w:p w14:paraId="67B61DE7" w14:textId="77777777" w:rsidR="00977BF3" w:rsidRPr="00921EF2" w:rsidRDefault="00C833E8" w:rsidP="00B124D9">
      <w:pPr>
        <w:rPr>
          <w:sz w:val="22"/>
          <w:szCs w:val="22"/>
          <w:lang w:val="sk-SK"/>
        </w:rPr>
      </w:pPr>
      <w:r w:rsidRPr="00921EF2">
        <w:rPr>
          <w:i/>
          <w:sz w:val="22"/>
          <w:szCs w:val="22"/>
          <w:lang w:val="sk-SK"/>
        </w:rPr>
        <w:t>Časté:</w:t>
      </w:r>
      <w:r w:rsidR="00977BF3" w:rsidRPr="00921EF2">
        <w:rPr>
          <w:sz w:val="22"/>
          <w:szCs w:val="22"/>
          <w:lang w:val="sk-SK"/>
        </w:rPr>
        <w:t xml:space="preserve"> </w:t>
      </w:r>
      <w:r w:rsidR="00D36E02" w:rsidRPr="00921EF2">
        <w:rPr>
          <w:sz w:val="22"/>
          <w:szCs w:val="22"/>
          <w:lang w:val="sk-SK"/>
        </w:rPr>
        <w:t xml:space="preserve">zvracanie, poruchy ďasien (najmä hyperplázia ďasien), stomatitída, </w:t>
      </w:r>
      <w:r w:rsidR="00DF3A26" w:rsidRPr="00921EF2">
        <w:rPr>
          <w:sz w:val="22"/>
          <w:szCs w:val="22"/>
          <w:lang w:val="sk-SK"/>
        </w:rPr>
        <w:t>bolesť v hornej oblasti brucha</w:t>
      </w:r>
      <w:r w:rsidR="00062430" w:rsidRPr="00921EF2">
        <w:rPr>
          <w:sz w:val="22"/>
          <w:szCs w:val="22"/>
          <w:lang w:val="sk-SK"/>
        </w:rPr>
        <w:t xml:space="preserve"> a</w:t>
      </w:r>
      <w:r w:rsidR="00DF3A26" w:rsidRPr="00921EF2">
        <w:rPr>
          <w:sz w:val="22"/>
          <w:szCs w:val="22"/>
          <w:lang w:val="sk-SK"/>
        </w:rPr>
        <w:t xml:space="preserve"> hnačka</w:t>
      </w:r>
      <w:r w:rsidR="00977BF3" w:rsidRPr="00921EF2">
        <w:rPr>
          <w:sz w:val="22"/>
          <w:szCs w:val="22"/>
          <w:lang w:val="sk-SK"/>
        </w:rPr>
        <w:t xml:space="preserve"> sa často vyskytli u niektorých pacientov na začiatku terapie, ale zvyčajne vymizli po niekoľkých dňoch bez prerušenia liečby.</w:t>
      </w:r>
    </w:p>
    <w:p w14:paraId="50A62386" w14:textId="77777777" w:rsidR="00977BF3" w:rsidRPr="00921EF2" w:rsidRDefault="006338A9" w:rsidP="00B124D9">
      <w:pPr>
        <w:rPr>
          <w:i/>
          <w:iCs/>
          <w:sz w:val="22"/>
          <w:szCs w:val="22"/>
          <w:lang w:val="sk-SK"/>
        </w:rPr>
      </w:pPr>
      <w:r w:rsidRPr="00921EF2">
        <w:rPr>
          <w:i/>
          <w:sz w:val="22"/>
          <w:szCs w:val="22"/>
          <w:lang w:val="sk-SK"/>
        </w:rPr>
        <w:t>Menej časté</w:t>
      </w:r>
      <w:r w:rsidR="00977BF3" w:rsidRPr="00921EF2">
        <w:rPr>
          <w:i/>
          <w:sz w:val="22"/>
          <w:szCs w:val="22"/>
          <w:lang w:val="sk-SK"/>
        </w:rPr>
        <w:t>:</w:t>
      </w:r>
      <w:r w:rsidR="00977BF3" w:rsidRPr="00921EF2">
        <w:rPr>
          <w:sz w:val="22"/>
          <w:szCs w:val="22"/>
          <w:lang w:val="sk-SK"/>
        </w:rPr>
        <w:t xml:space="preserve"> pankreatitíd</w:t>
      </w:r>
      <w:r w:rsidR="00DF3A26" w:rsidRPr="00921EF2">
        <w:rPr>
          <w:sz w:val="22"/>
          <w:szCs w:val="22"/>
          <w:lang w:val="sk-SK"/>
        </w:rPr>
        <w:t>a</w:t>
      </w:r>
      <w:r w:rsidR="00977BF3" w:rsidRPr="00921EF2">
        <w:rPr>
          <w:sz w:val="22"/>
          <w:szCs w:val="22"/>
          <w:lang w:val="sk-SK"/>
        </w:rPr>
        <w:t>, niekedy až smrteľn</w:t>
      </w:r>
      <w:r w:rsidR="00DF3A26" w:rsidRPr="00921EF2">
        <w:rPr>
          <w:sz w:val="22"/>
          <w:szCs w:val="22"/>
          <w:lang w:val="sk-SK"/>
        </w:rPr>
        <w:t>á</w:t>
      </w:r>
      <w:r w:rsidR="00977BF3" w:rsidRPr="00921EF2">
        <w:rPr>
          <w:sz w:val="22"/>
          <w:szCs w:val="22"/>
          <w:lang w:val="sk-SK"/>
        </w:rPr>
        <w:t xml:space="preserve"> (</w:t>
      </w:r>
      <w:r w:rsidR="00977BF3" w:rsidRPr="00921EF2">
        <w:rPr>
          <w:color w:val="000000"/>
          <w:sz w:val="22"/>
          <w:szCs w:val="22"/>
          <w:lang w:val="sk-SK"/>
        </w:rPr>
        <w:t xml:space="preserve">pozri </w:t>
      </w:r>
      <w:r w:rsidR="000E408B" w:rsidRPr="00921EF2">
        <w:rPr>
          <w:color w:val="000000"/>
          <w:sz w:val="22"/>
          <w:szCs w:val="22"/>
          <w:lang w:val="sk-SK"/>
        </w:rPr>
        <w:t xml:space="preserve">časť </w:t>
      </w:r>
      <w:r w:rsidR="00977BF3" w:rsidRPr="00921EF2">
        <w:rPr>
          <w:color w:val="000000"/>
          <w:sz w:val="22"/>
          <w:szCs w:val="22"/>
          <w:lang w:val="sk-SK"/>
        </w:rPr>
        <w:t>4.4</w:t>
      </w:r>
      <w:r w:rsidR="00977BF3" w:rsidRPr="00921EF2">
        <w:rPr>
          <w:iCs/>
          <w:sz w:val="22"/>
          <w:szCs w:val="22"/>
          <w:lang w:val="sk-SK"/>
        </w:rPr>
        <w:t>).</w:t>
      </w:r>
    </w:p>
    <w:p w14:paraId="10ADA825" w14:textId="77777777" w:rsidR="00977BF3" w:rsidRPr="00921EF2" w:rsidRDefault="00977BF3" w:rsidP="00B124D9">
      <w:pPr>
        <w:ind w:left="340"/>
        <w:rPr>
          <w:sz w:val="22"/>
          <w:szCs w:val="22"/>
          <w:lang w:val="sk-SK"/>
        </w:rPr>
      </w:pPr>
    </w:p>
    <w:p w14:paraId="71184C76" w14:textId="77777777" w:rsidR="00977BF3" w:rsidRPr="00921EF2" w:rsidRDefault="00977BF3" w:rsidP="00B124D9">
      <w:pPr>
        <w:pStyle w:val="Zarkazkladnhotextu3"/>
        <w:ind w:left="0"/>
        <w:rPr>
          <w:sz w:val="22"/>
          <w:szCs w:val="22"/>
          <w:u w:val="single"/>
        </w:rPr>
      </w:pPr>
      <w:r w:rsidRPr="00921EF2">
        <w:rPr>
          <w:bCs/>
          <w:sz w:val="22"/>
          <w:szCs w:val="22"/>
          <w:u w:val="single"/>
        </w:rPr>
        <w:t>Poruchy metabolizmu</w:t>
      </w:r>
      <w:r w:rsidR="00DF3A26" w:rsidRPr="00921EF2">
        <w:rPr>
          <w:bCs/>
          <w:sz w:val="22"/>
          <w:szCs w:val="22"/>
          <w:u w:val="single"/>
        </w:rPr>
        <w:t xml:space="preserve"> a výživy</w:t>
      </w:r>
      <w:r w:rsidR="006A49B7" w:rsidRPr="00921EF2">
        <w:rPr>
          <w:bCs/>
          <w:sz w:val="22"/>
          <w:szCs w:val="22"/>
          <w:u w:val="single"/>
        </w:rPr>
        <w:t>:</w:t>
      </w:r>
    </w:p>
    <w:p w14:paraId="4C3A2D79" w14:textId="77777777" w:rsidR="00977BF3" w:rsidRPr="00921EF2" w:rsidRDefault="002876E6" w:rsidP="00B124D9">
      <w:pPr>
        <w:pStyle w:val="Zarkazkladnhotextu3"/>
        <w:ind w:left="0"/>
        <w:rPr>
          <w:sz w:val="22"/>
          <w:szCs w:val="22"/>
        </w:rPr>
      </w:pPr>
      <w:r w:rsidRPr="00921EF2">
        <w:rPr>
          <w:i/>
          <w:sz w:val="22"/>
          <w:szCs w:val="22"/>
        </w:rPr>
        <w:t>Časté</w:t>
      </w:r>
      <w:r w:rsidR="00977BF3" w:rsidRPr="00921EF2">
        <w:rPr>
          <w:i/>
          <w:sz w:val="22"/>
          <w:szCs w:val="22"/>
        </w:rPr>
        <w:t>:</w:t>
      </w:r>
      <w:r w:rsidR="00977BF3" w:rsidRPr="00921EF2">
        <w:rPr>
          <w:sz w:val="22"/>
          <w:szCs w:val="22"/>
        </w:rPr>
        <w:t xml:space="preserve"> hyponatriémia</w:t>
      </w:r>
      <w:r w:rsidR="005D4661" w:rsidRPr="00921EF2">
        <w:rPr>
          <w:sz w:val="22"/>
          <w:szCs w:val="22"/>
        </w:rPr>
        <w:t>, zvýšenie telesnej hmotnosti*</w:t>
      </w:r>
      <w:r w:rsidR="00977BF3" w:rsidRPr="00921EF2">
        <w:rPr>
          <w:sz w:val="22"/>
          <w:szCs w:val="22"/>
        </w:rPr>
        <w:t>.</w:t>
      </w:r>
    </w:p>
    <w:p w14:paraId="6EEF564B" w14:textId="77777777" w:rsidR="005D4661" w:rsidRPr="00921EF2" w:rsidRDefault="005D4661" w:rsidP="00B124D9">
      <w:pPr>
        <w:rPr>
          <w:sz w:val="22"/>
          <w:szCs w:val="22"/>
          <w:lang w:val="sk-SK"/>
        </w:rPr>
      </w:pPr>
      <w:r w:rsidRPr="00921EF2">
        <w:rPr>
          <w:sz w:val="22"/>
          <w:szCs w:val="22"/>
          <w:lang w:val="sk-SK"/>
        </w:rPr>
        <w:lastRenderedPageBreak/>
        <w:t>* Keďže zvýšenie telesnej hmotnosti je rizikový faktor pre syndróm polycystických vaječníkov, musí sa starostlivo sledovať (pozri časť 4.4).</w:t>
      </w:r>
    </w:p>
    <w:p w14:paraId="6ECE6531" w14:textId="77777777" w:rsidR="008D4546" w:rsidRPr="00921EF2" w:rsidRDefault="002876E6" w:rsidP="00B124D9">
      <w:pPr>
        <w:pStyle w:val="Zarkazkladnhotextu3"/>
        <w:ind w:left="0"/>
        <w:rPr>
          <w:sz w:val="22"/>
          <w:szCs w:val="22"/>
        </w:rPr>
      </w:pPr>
      <w:r w:rsidRPr="00921EF2">
        <w:rPr>
          <w:i/>
          <w:sz w:val="22"/>
          <w:szCs w:val="22"/>
        </w:rPr>
        <w:t>Zriedkavé:</w:t>
      </w:r>
      <w:r w:rsidRPr="00921EF2">
        <w:rPr>
          <w:sz w:val="22"/>
          <w:szCs w:val="22"/>
        </w:rPr>
        <w:t xml:space="preserve"> hyperamoniémia (pozri časť 4.4)</w:t>
      </w:r>
      <w:r w:rsidR="008D4546" w:rsidRPr="00921EF2">
        <w:rPr>
          <w:sz w:val="22"/>
          <w:szCs w:val="22"/>
        </w:rPr>
        <w:t>*</w:t>
      </w:r>
      <w:r w:rsidR="005D4661" w:rsidRPr="00921EF2">
        <w:rPr>
          <w:sz w:val="22"/>
          <w:szCs w:val="22"/>
        </w:rPr>
        <w:t xml:space="preserve"> , obezita</w:t>
      </w:r>
      <w:r w:rsidRPr="00921EF2">
        <w:rPr>
          <w:sz w:val="22"/>
          <w:szCs w:val="22"/>
        </w:rPr>
        <w:t>.</w:t>
      </w:r>
      <w:r w:rsidR="000F3E22" w:rsidRPr="00921EF2">
        <w:rPr>
          <w:sz w:val="22"/>
          <w:szCs w:val="22"/>
        </w:rPr>
        <w:t xml:space="preserve"> </w:t>
      </w:r>
    </w:p>
    <w:p w14:paraId="7F0D0301" w14:textId="77777777" w:rsidR="002876E6" w:rsidRPr="00921EF2" w:rsidRDefault="008D4546" w:rsidP="00B124D9">
      <w:pPr>
        <w:pStyle w:val="Zarkazkladnhotextu3"/>
        <w:ind w:left="0"/>
        <w:rPr>
          <w:sz w:val="22"/>
          <w:szCs w:val="22"/>
        </w:rPr>
      </w:pPr>
      <w:r w:rsidRPr="00921EF2">
        <w:rPr>
          <w:sz w:val="22"/>
          <w:szCs w:val="22"/>
        </w:rPr>
        <w:t xml:space="preserve">* </w:t>
      </w:r>
      <w:r w:rsidR="002876E6" w:rsidRPr="00921EF2">
        <w:rPr>
          <w:sz w:val="22"/>
          <w:szCs w:val="22"/>
        </w:rPr>
        <w:t xml:space="preserve">Môžu sa objaviť prípady izolovanej a stredne ťažkej hyperamoniémie bez zmeny funkcie pečene, čo nemôže byť dôvodom na prerušenie liečby. Vyskytla sa tiež hyperamoniémia združená s neurologickými symptómami. V takýchto prípadoch sú potrebné ďalšie vyšetrenia (pozri </w:t>
      </w:r>
      <w:r w:rsidR="002876E6" w:rsidRPr="00921EF2">
        <w:rPr>
          <w:color w:val="000000"/>
          <w:sz w:val="22"/>
          <w:szCs w:val="22"/>
        </w:rPr>
        <w:t>časť 4.4</w:t>
      </w:r>
      <w:r w:rsidR="002876E6" w:rsidRPr="00921EF2">
        <w:rPr>
          <w:sz w:val="22"/>
          <w:szCs w:val="22"/>
        </w:rPr>
        <w:t>).</w:t>
      </w:r>
    </w:p>
    <w:p w14:paraId="31394775" w14:textId="77777777" w:rsidR="002876E6" w:rsidRPr="00921EF2" w:rsidRDefault="002876E6" w:rsidP="00B124D9">
      <w:pPr>
        <w:pStyle w:val="Zarkazkladnhotextu3"/>
        <w:ind w:left="0"/>
        <w:rPr>
          <w:sz w:val="22"/>
          <w:szCs w:val="22"/>
        </w:rPr>
      </w:pPr>
    </w:p>
    <w:p w14:paraId="7D772459" w14:textId="77777777" w:rsidR="000F3E22" w:rsidRPr="00921EF2" w:rsidRDefault="000F3E22" w:rsidP="00B124D9">
      <w:pPr>
        <w:pStyle w:val="Zarkazkladnhotextu3"/>
        <w:ind w:left="0"/>
        <w:rPr>
          <w:sz w:val="22"/>
          <w:szCs w:val="22"/>
          <w:u w:val="single"/>
        </w:rPr>
      </w:pPr>
      <w:r w:rsidRPr="00921EF2">
        <w:rPr>
          <w:sz w:val="22"/>
          <w:szCs w:val="22"/>
          <w:u w:val="single"/>
        </w:rPr>
        <w:t>Benígne a malígne nádory, vrátane nešpecifikovaných novotvarov (cysty a polypy):</w:t>
      </w:r>
    </w:p>
    <w:p w14:paraId="5EBA6A28" w14:textId="77777777" w:rsidR="000F3E22" w:rsidRPr="00921EF2" w:rsidRDefault="000F3E22" w:rsidP="00B124D9">
      <w:pPr>
        <w:pStyle w:val="Zarkazkladnhotextu3"/>
        <w:ind w:left="0"/>
        <w:rPr>
          <w:sz w:val="22"/>
          <w:szCs w:val="22"/>
        </w:rPr>
      </w:pPr>
      <w:r w:rsidRPr="00921EF2">
        <w:rPr>
          <w:i/>
          <w:sz w:val="22"/>
          <w:szCs w:val="22"/>
        </w:rPr>
        <w:t>Zriedkavé:</w:t>
      </w:r>
      <w:r w:rsidRPr="00921EF2">
        <w:rPr>
          <w:sz w:val="22"/>
          <w:szCs w:val="22"/>
        </w:rPr>
        <w:t xml:space="preserve"> myelodysplastický syndróm.</w:t>
      </w:r>
    </w:p>
    <w:p w14:paraId="30877C3D" w14:textId="77777777" w:rsidR="000F3E22" w:rsidRPr="00921EF2" w:rsidRDefault="000F3E22" w:rsidP="00B124D9">
      <w:pPr>
        <w:pStyle w:val="Zarkazkladnhotextu3"/>
        <w:ind w:left="0"/>
        <w:rPr>
          <w:sz w:val="22"/>
          <w:szCs w:val="22"/>
        </w:rPr>
      </w:pPr>
    </w:p>
    <w:p w14:paraId="58B605BA" w14:textId="77777777" w:rsidR="00977BF3" w:rsidRPr="00921EF2" w:rsidRDefault="00977BF3" w:rsidP="00B124D9">
      <w:pPr>
        <w:pStyle w:val="Zarkazkladnhotextu3"/>
        <w:ind w:left="0"/>
        <w:rPr>
          <w:sz w:val="22"/>
          <w:szCs w:val="22"/>
          <w:u w:val="single"/>
        </w:rPr>
      </w:pPr>
      <w:r w:rsidRPr="00921EF2">
        <w:rPr>
          <w:bCs/>
          <w:sz w:val="22"/>
          <w:szCs w:val="22"/>
          <w:u w:val="single"/>
        </w:rPr>
        <w:t>Poruchy nervového systému</w:t>
      </w:r>
      <w:r w:rsidR="006A49B7" w:rsidRPr="00921EF2">
        <w:rPr>
          <w:bCs/>
          <w:sz w:val="22"/>
          <w:szCs w:val="22"/>
          <w:u w:val="single"/>
        </w:rPr>
        <w:t>:</w:t>
      </w:r>
    </w:p>
    <w:p w14:paraId="5A069B0B" w14:textId="77777777" w:rsidR="00E8703C" w:rsidRPr="00921EF2" w:rsidRDefault="00E8703C" w:rsidP="00B124D9">
      <w:pPr>
        <w:pStyle w:val="Zarkazkladnhotextu3"/>
        <w:ind w:left="0"/>
        <w:rPr>
          <w:sz w:val="22"/>
          <w:szCs w:val="22"/>
        </w:rPr>
      </w:pPr>
      <w:r w:rsidRPr="00921EF2">
        <w:rPr>
          <w:i/>
          <w:sz w:val="22"/>
          <w:szCs w:val="22"/>
        </w:rPr>
        <w:t>Veľmi časté:</w:t>
      </w:r>
      <w:r w:rsidRPr="00921EF2">
        <w:rPr>
          <w:sz w:val="22"/>
          <w:szCs w:val="22"/>
        </w:rPr>
        <w:t xml:space="preserve"> tremor</w:t>
      </w:r>
      <w:r w:rsidR="00AF6B29" w:rsidRPr="00921EF2">
        <w:rPr>
          <w:sz w:val="22"/>
          <w:szCs w:val="22"/>
        </w:rPr>
        <w:t>.</w:t>
      </w:r>
    </w:p>
    <w:p w14:paraId="4A76D31B" w14:textId="77777777" w:rsidR="00E8703C" w:rsidRPr="00921EF2" w:rsidRDefault="00E8703C" w:rsidP="00B124D9">
      <w:pPr>
        <w:pStyle w:val="Zarkazkladnhotextu3"/>
        <w:ind w:left="0"/>
        <w:rPr>
          <w:sz w:val="22"/>
          <w:szCs w:val="22"/>
        </w:rPr>
      </w:pPr>
      <w:r w:rsidRPr="00921EF2">
        <w:rPr>
          <w:sz w:val="22"/>
          <w:szCs w:val="22"/>
        </w:rPr>
        <w:t>Časté:</w:t>
      </w:r>
      <w:r w:rsidR="00F029E8" w:rsidRPr="00921EF2">
        <w:rPr>
          <w:sz w:val="22"/>
          <w:szCs w:val="22"/>
        </w:rPr>
        <w:t xml:space="preserve"> </w:t>
      </w:r>
      <w:r w:rsidR="00E00B12" w:rsidRPr="00921EF2">
        <w:rPr>
          <w:sz w:val="22"/>
          <w:szCs w:val="22"/>
        </w:rPr>
        <w:t>extrapyramidálna</w:t>
      </w:r>
      <w:r w:rsidRPr="00921EF2">
        <w:rPr>
          <w:sz w:val="22"/>
          <w:szCs w:val="22"/>
        </w:rPr>
        <w:t xml:space="preserve"> porucha, stupor</w:t>
      </w:r>
      <w:r w:rsidR="005535EE" w:rsidRPr="00921EF2">
        <w:rPr>
          <w:sz w:val="22"/>
          <w:szCs w:val="22"/>
        </w:rPr>
        <w:t>*</w:t>
      </w:r>
      <w:r w:rsidRPr="00921EF2">
        <w:rPr>
          <w:sz w:val="22"/>
          <w:szCs w:val="22"/>
        </w:rPr>
        <w:t>, somnolencia, kŕče</w:t>
      </w:r>
      <w:r w:rsidR="005535EE" w:rsidRPr="00921EF2">
        <w:rPr>
          <w:sz w:val="22"/>
          <w:szCs w:val="22"/>
        </w:rPr>
        <w:t>*</w:t>
      </w:r>
      <w:r w:rsidRPr="00921EF2">
        <w:rPr>
          <w:sz w:val="22"/>
          <w:szCs w:val="22"/>
        </w:rPr>
        <w:t>, zhoršenie pamäti, bolesť hlavy, nystagmus</w:t>
      </w:r>
      <w:r w:rsidR="003E15BF" w:rsidRPr="00921EF2">
        <w:rPr>
          <w:sz w:val="22"/>
          <w:szCs w:val="22"/>
        </w:rPr>
        <w:t>.</w:t>
      </w:r>
    </w:p>
    <w:p w14:paraId="4B8D920B" w14:textId="77777777" w:rsidR="00977BF3" w:rsidRPr="00921EF2" w:rsidRDefault="00977BF3" w:rsidP="00B124D9">
      <w:pPr>
        <w:pStyle w:val="Zarkazkladnhotextu3"/>
        <w:ind w:left="0"/>
        <w:rPr>
          <w:sz w:val="22"/>
          <w:szCs w:val="22"/>
        </w:rPr>
      </w:pPr>
      <w:r w:rsidRPr="00921EF2">
        <w:rPr>
          <w:i/>
          <w:sz w:val="22"/>
          <w:szCs w:val="22"/>
        </w:rPr>
        <w:t>Menej časté:</w:t>
      </w:r>
      <w:r w:rsidRPr="00921EF2">
        <w:rPr>
          <w:sz w:val="22"/>
          <w:szCs w:val="22"/>
        </w:rPr>
        <w:t xml:space="preserve"> </w:t>
      </w:r>
      <w:r w:rsidR="00E8703C" w:rsidRPr="00921EF2">
        <w:rPr>
          <w:sz w:val="22"/>
          <w:szCs w:val="22"/>
        </w:rPr>
        <w:t>kóma</w:t>
      </w:r>
      <w:r w:rsidR="005535EE" w:rsidRPr="00921EF2">
        <w:rPr>
          <w:sz w:val="22"/>
          <w:szCs w:val="22"/>
        </w:rPr>
        <w:t>*</w:t>
      </w:r>
      <w:r w:rsidR="00E8703C" w:rsidRPr="00921EF2">
        <w:rPr>
          <w:sz w:val="22"/>
          <w:szCs w:val="22"/>
        </w:rPr>
        <w:t>, encefalopatia</w:t>
      </w:r>
      <w:r w:rsidR="005535EE" w:rsidRPr="00921EF2">
        <w:rPr>
          <w:sz w:val="22"/>
          <w:szCs w:val="22"/>
        </w:rPr>
        <w:t>*</w:t>
      </w:r>
      <w:r w:rsidR="00E8703C" w:rsidRPr="00921EF2">
        <w:rPr>
          <w:sz w:val="22"/>
          <w:szCs w:val="22"/>
        </w:rPr>
        <w:t>, letargia</w:t>
      </w:r>
      <w:r w:rsidR="005535EE" w:rsidRPr="00921EF2">
        <w:rPr>
          <w:sz w:val="22"/>
          <w:szCs w:val="22"/>
        </w:rPr>
        <w:t>*</w:t>
      </w:r>
      <w:r w:rsidR="00E8703C" w:rsidRPr="00921EF2">
        <w:rPr>
          <w:sz w:val="22"/>
          <w:szCs w:val="22"/>
        </w:rPr>
        <w:t xml:space="preserve"> (pozri nižšie), </w:t>
      </w:r>
      <w:r w:rsidR="00A73903" w:rsidRPr="00921EF2">
        <w:rPr>
          <w:sz w:val="22"/>
          <w:szCs w:val="22"/>
        </w:rPr>
        <w:t>reverzibiln</w:t>
      </w:r>
      <w:r w:rsidR="002D2980" w:rsidRPr="00921EF2">
        <w:rPr>
          <w:sz w:val="22"/>
          <w:szCs w:val="22"/>
        </w:rPr>
        <w:t>ý</w:t>
      </w:r>
      <w:r w:rsidR="00A73903" w:rsidRPr="00921EF2">
        <w:rPr>
          <w:sz w:val="22"/>
          <w:szCs w:val="22"/>
        </w:rPr>
        <w:t xml:space="preserve"> </w:t>
      </w:r>
      <w:r w:rsidR="002D2980" w:rsidRPr="00921EF2">
        <w:rPr>
          <w:sz w:val="22"/>
          <w:szCs w:val="22"/>
        </w:rPr>
        <w:t>parkinsonizmus</w:t>
      </w:r>
      <w:r w:rsidR="00E8703C" w:rsidRPr="00921EF2">
        <w:rPr>
          <w:sz w:val="22"/>
          <w:szCs w:val="22"/>
        </w:rPr>
        <w:t xml:space="preserve">, </w:t>
      </w:r>
      <w:r w:rsidRPr="00921EF2">
        <w:rPr>
          <w:sz w:val="22"/>
          <w:szCs w:val="22"/>
        </w:rPr>
        <w:t>ataxia</w:t>
      </w:r>
      <w:r w:rsidR="00E8703C" w:rsidRPr="00921EF2">
        <w:rPr>
          <w:sz w:val="22"/>
          <w:szCs w:val="22"/>
        </w:rPr>
        <w:t>, parestézia</w:t>
      </w:r>
      <w:r w:rsidR="00BF116F" w:rsidRPr="00921EF2">
        <w:rPr>
          <w:sz w:val="22"/>
          <w:szCs w:val="22"/>
        </w:rPr>
        <w:t>, zhoršenie záchvatov</w:t>
      </w:r>
      <w:r w:rsidR="001F0AF5" w:rsidRPr="00921EF2">
        <w:rPr>
          <w:sz w:val="22"/>
          <w:szCs w:val="22"/>
        </w:rPr>
        <w:t xml:space="preserve"> (pozri časť 4.4)</w:t>
      </w:r>
      <w:r w:rsidRPr="00921EF2">
        <w:rPr>
          <w:sz w:val="22"/>
          <w:szCs w:val="22"/>
        </w:rPr>
        <w:t>.</w:t>
      </w:r>
    </w:p>
    <w:p w14:paraId="112884AB" w14:textId="77777777" w:rsidR="00977BF3" w:rsidRPr="00921EF2" w:rsidRDefault="0029669A" w:rsidP="00B124D9">
      <w:pPr>
        <w:pStyle w:val="Zarkazkladnhotextu3"/>
        <w:ind w:left="0"/>
        <w:rPr>
          <w:sz w:val="22"/>
          <w:szCs w:val="22"/>
        </w:rPr>
      </w:pPr>
      <w:r w:rsidRPr="00921EF2">
        <w:rPr>
          <w:i/>
          <w:sz w:val="22"/>
          <w:szCs w:val="22"/>
        </w:rPr>
        <w:t>Z</w:t>
      </w:r>
      <w:r w:rsidR="00977BF3" w:rsidRPr="00921EF2">
        <w:rPr>
          <w:i/>
          <w:sz w:val="22"/>
          <w:szCs w:val="22"/>
        </w:rPr>
        <w:t>riedkavé:</w:t>
      </w:r>
      <w:r w:rsidR="00977BF3" w:rsidRPr="00921EF2">
        <w:rPr>
          <w:sz w:val="22"/>
          <w:szCs w:val="22"/>
        </w:rPr>
        <w:t xml:space="preserve"> pr</w:t>
      </w:r>
      <w:r w:rsidR="006A49B7" w:rsidRPr="00921EF2">
        <w:rPr>
          <w:sz w:val="22"/>
          <w:szCs w:val="22"/>
        </w:rPr>
        <w:t>í</w:t>
      </w:r>
      <w:r w:rsidR="00977BF3" w:rsidRPr="00921EF2">
        <w:rPr>
          <w:sz w:val="22"/>
          <w:szCs w:val="22"/>
        </w:rPr>
        <w:t>pady reverzibilnej demencie súvi</w:t>
      </w:r>
      <w:r w:rsidR="006A49B7" w:rsidRPr="00921EF2">
        <w:rPr>
          <w:sz w:val="22"/>
          <w:szCs w:val="22"/>
        </w:rPr>
        <w:t>si</w:t>
      </w:r>
      <w:r w:rsidR="00977BF3" w:rsidRPr="00921EF2">
        <w:rPr>
          <w:sz w:val="22"/>
          <w:szCs w:val="22"/>
        </w:rPr>
        <w:t>ace s reverzibilnou atrofiou mozgu</w:t>
      </w:r>
      <w:r w:rsidR="00E8703C" w:rsidRPr="00921EF2">
        <w:rPr>
          <w:sz w:val="22"/>
          <w:szCs w:val="22"/>
        </w:rPr>
        <w:t>, kognitívne poruchy</w:t>
      </w:r>
      <w:r w:rsidR="0065386E" w:rsidRPr="00921EF2">
        <w:rPr>
          <w:sz w:val="22"/>
          <w:szCs w:val="22"/>
        </w:rPr>
        <w:t>, diplopia</w:t>
      </w:r>
      <w:r w:rsidR="006A783F" w:rsidRPr="00921EF2">
        <w:rPr>
          <w:sz w:val="22"/>
          <w:szCs w:val="22"/>
        </w:rPr>
        <w:t>.</w:t>
      </w:r>
    </w:p>
    <w:p w14:paraId="5A765156" w14:textId="67D8C442" w:rsidR="00977BF3" w:rsidRPr="00921EF2" w:rsidRDefault="005535EE" w:rsidP="00B124D9">
      <w:pPr>
        <w:pStyle w:val="Zarkazkladnhotextu3"/>
        <w:ind w:left="0"/>
        <w:rPr>
          <w:sz w:val="22"/>
          <w:szCs w:val="22"/>
        </w:rPr>
      </w:pPr>
      <w:r w:rsidRPr="00921EF2">
        <w:rPr>
          <w:sz w:val="22"/>
          <w:szCs w:val="22"/>
        </w:rPr>
        <w:t>*</w:t>
      </w:r>
      <w:r w:rsidR="006D4E77" w:rsidRPr="00921EF2">
        <w:rPr>
          <w:sz w:val="22"/>
          <w:szCs w:val="22"/>
        </w:rPr>
        <w:t xml:space="preserve"> </w:t>
      </w:r>
      <w:r w:rsidR="00E8703C" w:rsidRPr="00921EF2">
        <w:rPr>
          <w:sz w:val="22"/>
          <w:szCs w:val="22"/>
        </w:rPr>
        <w:t>S</w:t>
      </w:r>
      <w:r w:rsidR="00977BF3" w:rsidRPr="00921EF2">
        <w:rPr>
          <w:sz w:val="22"/>
          <w:szCs w:val="22"/>
        </w:rPr>
        <w:t>tupor a letargi</w:t>
      </w:r>
      <w:r w:rsidR="00E8703C" w:rsidRPr="00921EF2">
        <w:rPr>
          <w:sz w:val="22"/>
          <w:szCs w:val="22"/>
        </w:rPr>
        <w:t>a</w:t>
      </w:r>
      <w:r w:rsidR="00977BF3" w:rsidRPr="00921EF2">
        <w:rPr>
          <w:sz w:val="22"/>
          <w:szCs w:val="22"/>
        </w:rPr>
        <w:t>, ktoré niekedy vedú k prechodnej kóme</w:t>
      </w:r>
      <w:r w:rsidR="00E8703C" w:rsidRPr="00921EF2">
        <w:rPr>
          <w:sz w:val="22"/>
          <w:szCs w:val="22"/>
        </w:rPr>
        <w:t>/</w:t>
      </w:r>
      <w:r w:rsidR="006A49B7" w:rsidRPr="00921EF2">
        <w:rPr>
          <w:sz w:val="22"/>
          <w:szCs w:val="22"/>
        </w:rPr>
        <w:t>encefalopati</w:t>
      </w:r>
      <w:r w:rsidR="001C7470" w:rsidRPr="00921EF2">
        <w:rPr>
          <w:sz w:val="22"/>
          <w:szCs w:val="22"/>
        </w:rPr>
        <w:t>i</w:t>
      </w:r>
      <w:r w:rsidR="00977BF3" w:rsidRPr="00921EF2">
        <w:rPr>
          <w:sz w:val="22"/>
          <w:szCs w:val="22"/>
        </w:rPr>
        <w:t xml:space="preserve">; </w:t>
      </w:r>
      <w:r w:rsidR="00E8703C" w:rsidRPr="00921EF2">
        <w:rPr>
          <w:sz w:val="22"/>
          <w:szCs w:val="22"/>
        </w:rPr>
        <w:t xml:space="preserve">sa </w:t>
      </w:r>
      <w:r w:rsidR="00977BF3" w:rsidRPr="00921EF2">
        <w:rPr>
          <w:sz w:val="22"/>
          <w:szCs w:val="22"/>
        </w:rPr>
        <w:t xml:space="preserve">vyskytli izolované alebo </w:t>
      </w:r>
      <w:r w:rsidR="001C7470" w:rsidRPr="00921EF2">
        <w:rPr>
          <w:sz w:val="22"/>
          <w:szCs w:val="22"/>
        </w:rPr>
        <w:t xml:space="preserve">spojené </w:t>
      </w:r>
      <w:r w:rsidR="00977BF3" w:rsidRPr="00921EF2">
        <w:rPr>
          <w:sz w:val="22"/>
          <w:szCs w:val="22"/>
        </w:rPr>
        <w:t xml:space="preserve">s nárastom </w:t>
      </w:r>
      <w:r w:rsidR="001C7470" w:rsidRPr="00921EF2">
        <w:rPr>
          <w:sz w:val="22"/>
          <w:szCs w:val="22"/>
        </w:rPr>
        <w:t>kŕčov</w:t>
      </w:r>
      <w:r w:rsidR="00977BF3" w:rsidRPr="00921EF2">
        <w:rPr>
          <w:sz w:val="22"/>
          <w:szCs w:val="22"/>
        </w:rPr>
        <w:t xml:space="preserve"> počas liečby a ich počet klesol po prerušení liečby alebo znížení dávky. Tieto prípady sa častejšie vyskytli počas kombinovanej terapie (najmä s</w:t>
      </w:r>
      <w:r w:rsidR="001C7470" w:rsidRPr="00921EF2">
        <w:rPr>
          <w:sz w:val="22"/>
          <w:szCs w:val="22"/>
        </w:rPr>
        <w:t> </w:t>
      </w:r>
      <w:r w:rsidR="00977BF3" w:rsidRPr="00921EF2">
        <w:rPr>
          <w:sz w:val="22"/>
          <w:szCs w:val="22"/>
        </w:rPr>
        <w:t>fenobarbitalom</w:t>
      </w:r>
      <w:r w:rsidR="001C7470" w:rsidRPr="00921EF2">
        <w:rPr>
          <w:sz w:val="22"/>
          <w:szCs w:val="22"/>
        </w:rPr>
        <w:t xml:space="preserve"> alebo topiramátom</w:t>
      </w:r>
      <w:r w:rsidR="00977BF3" w:rsidRPr="00921EF2">
        <w:rPr>
          <w:sz w:val="22"/>
          <w:szCs w:val="22"/>
        </w:rPr>
        <w:t xml:space="preserve">) alebo po náhlom zvýšení dávky </w:t>
      </w:r>
      <w:r w:rsidR="0023483F" w:rsidRPr="00921EF2">
        <w:rPr>
          <w:sz w:val="22"/>
          <w:szCs w:val="22"/>
        </w:rPr>
        <w:t>valproát</w:t>
      </w:r>
      <w:r w:rsidR="00977BF3" w:rsidRPr="00921EF2">
        <w:rPr>
          <w:sz w:val="22"/>
          <w:szCs w:val="22"/>
        </w:rPr>
        <w:t>u.</w:t>
      </w:r>
    </w:p>
    <w:p w14:paraId="081B3972" w14:textId="77777777" w:rsidR="00977BF3" w:rsidRPr="00921EF2" w:rsidRDefault="00977BF3" w:rsidP="00B124D9">
      <w:pPr>
        <w:rPr>
          <w:sz w:val="22"/>
          <w:szCs w:val="22"/>
          <w:lang w:val="sk-SK"/>
        </w:rPr>
      </w:pPr>
    </w:p>
    <w:p w14:paraId="17777ECB" w14:textId="77777777" w:rsidR="00977BF3" w:rsidRPr="00921EF2" w:rsidRDefault="00977BF3" w:rsidP="00B124D9">
      <w:pPr>
        <w:rPr>
          <w:sz w:val="22"/>
          <w:szCs w:val="22"/>
          <w:u w:val="single"/>
          <w:lang w:val="sk-SK"/>
        </w:rPr>
      </w:pPr>
      <w:r w:rsidRPr="00921EF2">
        <w:rPr>
          <w:bCs/>
          <w:sz w:val="22"/>
          <w:szCs w:val="22"/>
          <w:u w:val="single"/>
          <w:lang w:val="sk-SK"/>
        </w:rPr>
        <w:t>Poruchy krvi a lymfatického systému</w:t>
      </w:r>
      <w:r w:rsidR="006A49B7" w:rsidRPr="00921EF2">
        <w:rPr>
          <w:bCs/>
          <w:sz w:val="22"/>
          <w:szCs w:val="22"/>
          <w:u w:val="single"/>
          <w:lang w:val="sk-SK"/>
        </w:rPr>
        <w:t>:</w:t>
      </w:r>
    </w:p>
    <w:p w14:paraId="5E47E3F2" w14:textId="77777777" w:rsidR="00770E1E" w:rsidRPr="00921EF2" w:rsidRDefault="00770E1E" w:rsidP="00B124D9">
      <w:pPr>
        <w:rPr>
          <w:sz w:val="22"/>
          <w:szCs w:val="22"/>
          <w:lang w:val="sk-SK"/>
        </w:rPr>
      </w:pPr>
      <w:r w:rsidRPr="00921EF2">
        <w:rPr>
          <w:i/>
          <w:sz w:val="22"/>
          <w:szCs w:val="22"/>
          <w:lang w:val="sk-SK"/>
        </w:rPr>
        <w:t>Čast</w:t>
      </w:r>
      <w:r w:rsidR="00485693" w:rsidRPr="00921EF2">
        <w:rPr>
          <w:i/>
          <w:sz w:val="22"/>
          <w:szCs w:val="22"/>
          <w:lang w:val="sk-SK"/>
        </w:rPr>
        <w:t>é:</w:t>
      </w:r>
      <w:r w:rsidR="00485693" w:rsidRPr="00921EF2">
        <w:rPr>
          <w:sz w:val="22"/>
          <w:szCs w:val="22"/>
          <w:lang w:val="sk-SK"/>
        </w:rPr>
        <w:t xml:space="preserve"> anémia,</w:t>
      </w:r>
      <w:r w:rsidRPr="00921EF2">
        <w:rPr>
          <w:sz w:val="22"/>
          <w:szCs w:val="22"/>
          <w:lang w:val="sk-SK"/>
        </w:rPr>
        <w:t xml:space="preserve"> trombocytopéni</w:t>
      </w:r>
      <w:r w:rsidR="00485693" w:rsidRPr="00921EF2">
        <w:rPr>
          <w:sz w:val="22"/>
          <w:szCs w:val="22"/>
          <w:lang w:val="sk-SK"/>
        </w:rPr>
        <w:t>a</w:t>
      </w:r>
      <w:r w:rsidRPr="00921EF2">
        <w:rPr>
          <w:sz w:val="22"/>
          <w:szCs w:val="22"/>
          <w:lang w:val="sk-SK"/>
        </w:rPr>
        <w:t>.</w:t>
      </w:r>
    </w:p>
    <w:p w14:paraId="0700AF95" w14:textId="77777777" w:rsidR="00977BF3" w:rsidRPr="00921EF2" w:rsidRDefault="00485693" w:rsidP="00B124D9">
      <w:pPr>
        <w:rPr>
          <w:sz w:val="22"/>
          <w:szCs w:val="22"/>
          <w:lang w:val="sk-SK"/>
        </w:rPr>
      </w:pPr>
      <w:r w:rsidRPr="00921EF2">
        <w:rPr>
          <w:bCs/>
          <w:i/>
          <w:sz w:val="22"/>
          <w:szCs w:val="22"/>
          <w:lang w:val="sk-SK"/>
        </w:rPr>
        <w:t>Menej časté</w:t>
      </w:r>
      <w:r w:rsidR="00977BF3" w:rsidRPr="00921EF2">
        <w:rPr>
          <w:bCs/>
          <w:i/>
          <w:sz w:val="22"/>
          <w:szCs w:val="22"/>
          <w:lang w:val="sk-SK"/>
        </w:rPr>
        <w:t>:</w:t>
      </w:r>
      <w:r w:rsidR="00977BF3" w:rsidRPr="00921EF2">
        <w:rPr>
          <w:b/>
          <w:bCs/>
          <w:sz w:val="22"/>
          <w:szCs w:val="22"/>
          <w:lang w:val="sk-SK"/>
        </w:rPr>
        <w:t xml:space="preserve"> </w:t>
      </w:r>
      <w:r w:rsidR="00610EE4" w:rsidRPr="00921EF2">
        <w:rPr>
          <w:sz w:val="22"/>
          <w:szCs w:val="22"/>
          <w:lang w:val="sk-SK"/>
        </w:rPr>
        <w:t>pancytopéni</w:t>
      </w:r>
      <w:r w:rsidRPr="00921EF2">
        <w:rPr>
          <w:sz w:val="22"/>
          <w:szCs w:val="22"/>
          <w:lang w:val="sk-SK"/>
        </w:rPr>
        <w:t>a</w:t>
      </w:r>
      <w:r w:rsidR="00610EE4" w:rsidRPr="00921EF2">
        <w:rPr>
          <w:sz w:val="22"/>
          <w:szCs w:val="22"/>
          <w:lang w:val="sk-SK"/>
        </w:rPr>
        <w:t>,</w:t>
      </w:r>
      <w:r w:rsidR="00977BF3" w:rsidRPr="00921EF2">
        <w:rPr>
          <w:sz w:val="22"/>
          <w:szCs w:val="22"/>
          <w:lang w:val="sk-SK"/>
        </w:rPr>
        <w:t xml:space="preserve"> leukopéni</w:t>
      </w:r>
      <w:r w:rsidRPr="00921EF2">
        <w:rPr>
          <w:sz w:val="22"/>
          <w:szCs w:val="22"/>
          <w:lang w:val="sk-SK"/>
        </w:rPr>
        <w:t>a</w:t>
      </w:r>
      <w:r w:rsidR="00977BF3" w:rsidRPr="00921EF2">
        <w:rPr>
          <w:sz w:val="22"/>
          <w:szCs w:val="22"/>
          <w:lang w:val="sk-SK"/>
        </w:rPr>
        <w:t>.</w:t>
      </w:r>
    </w:p>
    <w:p w14:paraId="405C937D" w14:textId="77777777" w:rsidR="00610EE4" w:rsidRPr="00921EF2" w:rsidRDefault="00485693" w:rsidP="00B124D9">
      <w:pPr>
        <w:rPr>
          <w:sz w:val="22"/>
          <w:szCs w:val="22"/>
          <w:lang w:val="sk-SK"/>
        </w:rPr>
      </w:pPr>
      <w:r w:rsidRPr="00921EF2">
        <w:rPr>
          <w:i/>
          <w:sz w:val="22"/>
          <w:szCs w:val="22"/>
          <w:lang w:val="sk-SK"/>
        </w:rPr>
        <w:t>Zriedkavé:</w:t>
      </w:r>
      <w:r w:rsidRPr="00921EF2">
        <w:rPr>
          <w:sz w:val="22"/>
          <w:szCs w:val="22"/>
          <w:lang w:val="sk-SK"/>
        </w:rPr>
        <w:t xml:space="preserve"> z</w:t>
      </w:r>
      <w:r w:rsidR="00610EE4" w:rsidRPr="00921EF2">
        <w:rPr>
          <w:sz w:val="22"/>
          <w:szCs w:val="22"/>
          <w:lang w:val="sk-SK"/>
        </w:rPr>
        <w:t>lyhanie kostnej drene, vrátane aplázie červenej zložky kostnej drene</w:t>
      </w:r>
      <w:r w:rsidRPr="00921EF2">
        <w:rPr>
          <w:sz w:val="22"/>
          <w:szCs w:val="22"/>
          <w:lang w:val="sk-SK"/>
        </w:rPr>
        <w:t>, a</w:t>
      </w:r>
      <w:r w:rsidR="00610EE4" w:rsidRPr="00921EF2">
        <w:rPr>
          <w:sz w:val="22"/>
          <w:szCs w:val="22"/>
          <w:lang w:val="sk-SK"/>
        </w:rPr>
        <w:t>granulocytóza</w:t>
      </w:r>
      <w:r w:rsidRPr="00921EF2">
        <w:rPr>
          <w:sz w:val="22"/>
          <w:szCs w:val="22"/>
          <w:lang w:val="sk-SK"/>
        </w:rPr>
        <w:t xml:space="preserve">, makrocytická anémia, </w:t>
      </w:r>
      <w:r w:rsidR="002827CC" w:rsidRPr="00921EF2">
        <w:rPr>
          <w:sz w:val="22"/>
          <w:szCs w:val="22"/>
          <w:lang w:val="sk-SK"/>
        </w:rPr>
        <w:t>makrocytóza</w:t>
      </w:r>
      <w:r w:rsidR="00610EE4" w:rsidRPr="00921EF2">
        <w:rPr>
          <w:sz w:val="22"/>
          <w:szCs w:val="22"/>
          <w:lang w:val="sk-SK"/>
        </w:rPr>
        <w:t>.</w:t>
      </w:r>
    </w:p>
    <w:p w14:paraId="3A92EA44" w14:textId="77777777" w:rsidR="00977BF3" w:rsidRPr="00921EF2" w:rsidRDefault="00977BF3" w:rsidP="00B124D9">
      <w:pPr>
        <w:rPr>
          <w:sz w:val="22"/>
          <w:szCs w:val="22"/>
          <w:lang w:val="sk-SK"/>
        </w:rPr>
      </w:pPr>
    </w:p>
    <w:p w14:paraId="313213F6" w14:textId="77777777" w:rsidR="002827CC" w:rsidRPr="00921EF2" w:rsidRDefault="002827CC" w:rsidP="00B124D9">
      <w:pPr>
        <w:rPr>
          <w:sz w:val="22"/>
          <w:szCs w:val="22"/>
          <w:u w:val="single"/>
          <w:lang w:val="sk-SK"/>
        </w:rPr>
      </w:pPr>
      <w:r w:rsidRPr="00921EF2">
        <w:rPr>
          <w:sz w:val="22"/>
          <w:szCs w:val="22"/>
          <w:u w:val="single"/>
          <w:lang w:val="sk-SK"/>
        </w:rPr>
        <w:t>Laboratórne a funkčné vyšetrenia:</w:t>
      </w:r>
    </w:p>
    <w:p w14:paraId="6934955D" w14:textId="77777777" w:rsidR="002827CC" w:rsidRPr="00921EF2" w:rsidRDefault="00425A58" w:rsidP="00B124D9">
      <w:pPr>
        <w:rPr>
          <w:sz w:val="22"/>
          <w:szCs w:val="22"/>
          <w:lang w:val="sk-SK"/>
        </w:rPr>
      </w:pPr>
      <w:r w:rsidRPr="00921EF2">
        <w:rPr>
          <w:i/>
          <w:sz w:val="22"/>
          <w:szCs w:val="22"/>
          <w:lang w:val="sk-SK"/>
        </w:rPr>
        <w:t>Zriedkavé:</w:t>
      </w:r>
      <w:r w:rsidRPr="00921EF2">
        <w:rPr>
          <w:sz w:val="22"/>
          <w:szCs w:val="22"/>
          <w:lang w:val="sk-SK"/>
        </w:rPr>
        <w:t xml:space="preserve"> </w:t>
      </w:r>
      <w:r w:rsidR="00A72E34" w:rsidRPr="00921EF2">
        <w:rPr>
          <w:sz w:val="22"/>
          <w:szCs w:val="22"/>
          <w:lang w:val="sk-SK"/>
        </w:rPr>
        <w:t>zníženie koagulačných faktor</w:t>
      </w:r>
      <w:r w:rsidR="005B65CD" w:rsidRPr="00921EF2">
        <w:rPr>
          <w:sz w:val="22"/>
          <w:szCs w:val="22"/>
          <w:lang w:val="sk-SK"/>
        </w:rPr>
        <w:t>ov (najmenej j</w:t>
      </w:r>
      <w:r w:rsidR="00A72E34" w:rsidRPr="00921EF2">
        <w:rPr>
          <w:sz w:val="22"/>
          <w:szCs w:val="22"/>
          <w:lang w:val="sk-SK"/>
        </w:rPr>
        <w:t xml:space="preserve">eden), </w:t>
      </w:r>
      <w:r w:rsidRPr="00921EF2">
        <w:rPr>
          <w:sz w:val="22"/>
          <w:szCs w:val="22"/>
          <w:lang w:val="sk-SK"/>
        </w:rPr>
        <w:t>abnormálne koagulačné testy (napr. predĺžený protrombínový čas, predĺžený aktivovaný parciálny tromboplastínový čas, predĺžený trombínový</w:t>
      </w:r>
      <w:r w:rsidR="00E0388A" w:rsidRPr="00921EF2">
        <w:rPr>
          <w:sz w:val="22"/>
          <w:szCs w:val="22"/>
          <w:lang w:val="sk-SK"/>
        </w:rPr>
        <w:t xml:space="preserve"> čas, predĺžené INR) (pozri časti</w:t>
      </w:r>
      <w:r w:rsidRPr="00921EF2">
        <w:rPr>
          <w:sz w:val="22"/>
          <w:szCs w:val="22"/>
          <w:lang w:val="sk-SK"/>
        </w:rPr>
        <w:t xml:space="preserve"> 4.4 a 4.6)</w:t>
      </w:r>
      <w:r w:rsidR="00B2367A" w:rsidRPr="00921EF2">
        <w:rPr>
          <w:sz w:val="22"/>
          <w:szCs w:val="22"/>
          <w:lang w:val="sk-SK"/>
        </w:rPr>
        <w:t>, biotínová deficiencia/biotinidázová deficiencia</w:t>
      </w:r>
      <w:r w:rsidR="00C833E8" w:rsidRPr="00921EF2">
        <w:rPr>
          <w:sz w:val="22"/>
          <w:szCs w:val="22"/>
          <w:lang w:val="sk-SK"/>
        </w:rPr>
        <w:t>.</w:t>
      </w:r>
    </w:p>
    <w:p w14:paraId="2152F830" w14:textId="77777777" w:rsidR="007F62EB" w:rsidRPr="00921EF2" w:rsidRDefault="007F62EB" w:rsidP="00B124D9">
      <w:pPr>
        <w:rPr>
          <w:sz w:val="22"/>
          <w:szCs w:val="22"/>
          <w:u w:val="single"/>
          <w:lang w:val="sk-SK"/>
        </w:rPr>
      </w:pPr>
    </w:p>
    <w:p w14:paraId="07081665" w14:textId="01EDFD5C" w:rsidR="009F0968" w:rsidRPr="00921EF2" w:rsidRDefault="009F0968" w:rsidP="00B124D9">
      <w:pPr>
        <w:rPr>
          <w:sz w:val="22"/>
          <w:szCs w:val="22"/>
          <w:lang w:val="sk-SK"/>
        </w:rPr>
      </w:pPr>
      <w:r w:rsidRPr="00921EF2">
        <w:rPr>
          <w:sz w:val="22"/>
          <w:szCs w:val="22"/>
          <w:lang w:val="sk-SK"/>
        </w:rPr>
        <w:t xml:space="preserve">Vzhľadom </w:t>
      </w:r>
      <w:r w:rsidR="007E7176" w:rsidRPr="00921EF2">
        <w:rPr>
          <w:sz w:val="22"/>
          <w:szCs w:val="22"/>
          <w:lang w:val="sk-SK"/>
        </w:rPr>
        <w:t>na</w:t>
      </w:r>
      <w:r w:rsidRPr="00921EF2">
        <w:rPr>
          <w:sz w:val="22"/>
          <w:szCs w:val="22"/>
          <w:lang w:val="sk-SK"/>
        </w:rPr>
        <w:t xml:space="preserve"> to, že </w:t>
      </w:r>
      <w:r w:rsidR="0023483F" w:rsidRPr="00921EF2">
        <w:rPr>
          <w:sz w:val="22"/>
          <w:szCs w:val="22"/>
          <w:lang w:val="sk-SK"/>
        </w:rPr>
        <w:t>valproát</w:t>
      </w:r>
      <w:r w:rsidRPr="00921EF2">
        <w:rPr>
          <w:sz w:val="22"/>
          <w:szCs w:val="22"/>
          <w:lang w:val="sk-SK"/>
        </w:rPr>
        <w:t xml:space="preserve"> sa vylučuje predovšetkým obličkami čiastočne vo forme ketolátok, môžu u pacientov s diabetom vyjsť falošne pozitívne testy na vylučovanie ketónov.</w:t>
      </w:r>
    </w:p>
    <w:p w14:paraId="5C4FC2B5" w14:textId="77777777" w:rsidR="009F0968" w:rsidRPr="00921EF2" w:rsidRDefault="009F0968" w:rsidP="00B124D9">
      <w:pPr>
        <w:rPr>
          <w:sz w:val="22"/>
          <w:szCs w:val="22"/>
          <w:u w:val="single"/>
          <w:lang w:val="sk-SK"/>
        </w:rPr>
      </w:pPr>
    </w:p>
    <w:p w14:paraId="7AED856C" w14:textId="77777777" w:rsidR="00977BF3" w:rsidRPr="00921EF2" w:rsidRDefault="00977BF3" w:rsidP="00B124D9">
      <w:pPr>
        <w:rPr>
          <w:sz w:val="22"/>
          <w:szCs w:val="22"/>
          <w:u w:val="single"/>
          <w:lang w:val="sk-SK"/>
        </w:rPr>
      </w:pPr>
      <w:r w:rsidRPr="00921EF2">
        <w:rPr>
          <w:bCs/>
          <w:sz w:val="22"/>
          <w:szCs w:val="22"/>
          <w:u w:val="single"/>
          <w:lang w:val="sk-SK"/>
        </w:rPr>
        <w:t>Poruchy kože a podkožného tkaniva</w:t>
      </w:r>
      <w:r w:rsidR="006A49B7" w:rsidRPr="00921EF2">
        <w:rPr>
          <w:bCs/>
          <w:sz w:val="22"/>
          <w:szCs w:val="22"/>
          <w:u w:val="single"/>
          <w:lang w:val="sk-SK"/>
        </w:rPr>
        <w:t>:</w:t>
      </w:r>
    </w:p>
    <w:p w14:paraId="0524811D" w14:textId="77777777" w:rsidR="00371908" w:rsidRPr="00921EF2" w:rsidRDefault="00371908" w:rsidP="00B124D9">
      <w:pPr>
        <w:rPr>
          <w:sz w:val="22"/>
          <w:szCs w:val="22"/>
          <w:lang w:val="sk-SK"/>
        </w:rPr>
      </w:pPr>
      <w:r w:rsidRPr="00921EF2">
        <w:rPr>
          <w:i/>
          <w:sz w:val="22"/>
          <w:szCs w:val="22"/>
          <w:lang w:val="sk-SK"/>
        </w:rPr>
        <w:t>Časté:</w:t>
      </w:r>
      <w:r w:rsidRPr="00921EF2">
        <w:rPr>
          <w:sz w:val="22"/>
          <w:szCs w:val="22"/>
          <w:lang w:val="sk-SK"/>
        </w:rPr>
        <w:t xml:space="preserve"> precitlivenosť, prechodná a/alebo od dávky závislá alopécia</w:t>
      </w:r>
      <w:r w:rsidR="007E7C88" w:rsidRPr="00921EF2">
        <w:rPr>
          <w:sz w:val="22"/>
          <w:szCs w:val="22"/>
          <w:lang w:val="sk-SK"/>
        </w:rPr>
        <w:t>, poruchy nechtov a nechtového lôžka</w:t>
      </w:r>
      <w:r w:rsidRPr="00921EF2">
        <w:rPr>
          <w:sz w:val="22"/>
          <w:szCs w:val="22"/>
          <w:lang w:val="sk-SK"/>
        </w:rPr>
        <w:t>.</w:t>
      </w:r>
    </w:p>
    <w:p w14:paraId="6479F932" w14:textId="77777777" w:rsidR="00371908" w:rsidRPr="00921EF2" w:rsidRDefault="00371908" w:rsidP="00B124D9">
      <w:pPr>
        <w:rPr>
          <w:sz w:val="22"/>
          <w:szCs w:val="22"/>
          <w:lang w:val="sk-SK"/>
        </w:rPr>
      </w:pPr>
      <w:r w:rsidRPr="00921EF2">
        <w:rPr>
          <w:i/>
          <w:sz w:val="22"/>
          <w:szCs w:val="22"/>
          <w:lang w:val="sk-SK"/>
        </w:rPr>
        <w:t>Menej časté:</w:t>
      </w:r>
      <w:r w:rsidRPr="00921EF2">
        <w:rPr>
          <w:sz w:val="22"/>
          <w:szCs w:val="22"/>
          <w:lang w:val="sk-SK"/>
        </w:rPr>
        <w:t xml:space="preserve"> angioedém, vyrážka</w:t>
      </w:r>
      <w:r w:rsidR="00B44753" w:rsidRPr="00921EF2">
        <w:rPr>
          <w:sz w:val="22"/>
          <w:szCs w:val="22"/>
          <w:lang w:val="sk-SK"/>
        </w:rPr>
        <w:t>, porucha vlasov (abnormálna štruktúra vlasov, zmena farby vlasov, abnormálny rast vlasov)</w:t>
      </w:r>
      <w:r w:rsidRPr="00921EF2">
        <w:rPr>
          <w:sz w:val="22"/>
          <w:szCs w:val="22"/>
          <w:lang w:val="sk-SK"/>
        </w:rPr>
        <w:t>.</w:t>
      </w:r>
    </w:p>
    <w:p w14:paraId="3659CDD4" w14:textId="77777777" w:rsidR="00977BF3" w:rsidRPr="00921EF2" w:rsidRDefault="00371908" w:rsidP="00B124D9">
      <w:pPr>
        <w:rPr>
          <w:sz w:val="22"/>
          <w:szCs w:val="22"/>
          <w:lang w:val="sk-SK"/>
        </w:rPr>
      </w:pPr>
      <w:r w:rsidRPr="00921EF2">
        <w:rPr>
          <w:i/>
          <w:sz w:val="22"/>
          <w:szCs w:val="22"/>
          <w:lang w:val="sk-SK"/>
        </w:rPr>
        <w:t>Z</w:t>
      </w:r>
      <w:r w:rsidR="00977BF3" w:rsidRPr="00921EF2">
        <w:rPr>
          <w:i/>
          <w:sz w:val="22"/>
          <w:szCs w:val="22"/>
          <w:lang w:val="sk-SK"/>
        </w:rPr>
        <w:t>riedkavé:</w:t>
      </w:r>
      <w:r w:rsidR="00977BF3" w:rsidRPr="00921EF2">
        <w:rPr>
          <w:sz w:val="22"/>
          <w:szCs w:val="22"/>
          <w:lang w:val="sk-SK"/>
        </w:rPr>
        <w:t xml:space="preserve"> toxická epidermálna nekrolýza, Stevensov-Johnsonov syndróm</w:t>
      </w:r>
      <w:r w:rsidR="004E54EE" w:rsidRPr="00921EF2">
        <w:rPr>
          <w:sz w:val="22"/>
          <w:szCs w:val="22"/>
          <w:lang w:val="sk-SK"/>
        </w:rPr>
        <w:t>,</w:t>
      </w:r>
      <w:r w:rsidR="00977BF3" w:rsidRPr="00921EF2">
        <w:rPr>
          <w:sz w:val="22"/>
          <w:szCs w:val="22"/>
          <w:lang w:val="sk-SK"/>
        </w:rPr>
        <w:t xml:space="preserve"> multiformný erytém</w:t>
      </w:r>
      <w:r w:rsidR="00770E1E" w:rsidRPr="00921EF2">
        <w:rPr>
          <w:sz w:val="22"/>
          <w:szCs w:val="22"/>
          <w:lang w:val="sk-SK"/>
        </w:rPr>
        <w:t xml:space="preserve">, </w:t>
      </w:r>
      <w:r w:rsidR="00C61F82" w:rsidRPr="00921EF2">
        <w:rPr>
          <w:sz w:val="22"/>
          <w:szCs w:val="22"/>
          <w:lang w:val="sk-SK"/>
        </w:rPr>
        <w:t>liekový hypersenzitívny syndróm [Drug Rash with Eosinophilia and Systemic Symptoms (DRESS) syndrome]</w:t>
      </w:r>
      <w:r w:rsidR="00610EE4" w:rsidRPr="00921EF2">
        <w:rPr>
          <w:sz w:val="22"/>
          <w:szCs w:val="22"/>
          <w:lang w:val="sk-SK"/>
        </w:rPr>
        <w:t>.</w:t>
      </w:r>
    </w:p>
    <w:p w14:paraId="2E3A0F9D" w14:textId="77777777" w:rsidR="00977BF3" w:rsidRPr="00921EF2" w:rsidRDefault="00977BF3" w:rsidP="00B124D9">
      <w:pPr>
        <w:rPr>
          <w:sz w:val="22"/>
          <w:szCs w:val="22"/>
          <w:lang w:val="sk-SK"/>
        </w:rPr>
      </w:pPr>
    </w:p>
    <w:p w14:paraId="0475CC76" w14:textId="77777777" w:rsidR="00C61F82" w:rsidRPr="00921EF2" w:rsidRDefault="00C61F82" w:rsidP="00B124D9">
      <w:pPr>
        <w:keepNext/>
        <w:rPr>
          <w:sz w:val="22"/>
          <w:szCs w:val="22"/>
          <w:u w:val="single"/>
          <w:lang w:val="sk-SK"/>
        </w:rPr>
      </w:pPr>
      <w:r w:rsidRPr="00921EF2">
        <w:rPr>
          <w:sz w:val="22"/>
          <w:szCs w:val="22"/>
          <w:u w:val="single"/>
          <w:lang w:val="sk-SK"/>
        </w:rPr>
        <w:t>Poruchy kostrovej a svalovej sústavy a spojivového tkaniva:</w:t>
      </w:r>
    </w:p>
    <w:p w14:paraId="363176DA" w14:textId="77777777" w:rsidR="00C61F82" w:rsidRPr="00921EF2" w:rsidRDefault="00A477AA" w:rsidP="00B124D9">
      <w:pPr>
        <w:rPr>
          <w:sz w:val="22"/>
          <w:szCs w:val="22"/>
          <w:lang w:val="sk-SK"/>
        </w:rPr>
      </w:pPr>
      <w:r w:rsidRPr="00921EF2">
        <w:rPr>
          <w:i/>
          <w:sz w:val="22"/>
          <w:szCs w:val="22"/>
          <w:lang w:val="sk-SK"/>
        </w:rPr>
        <w:t>Menej časté:</w:t>
      </w:r>
      <w:r w:rsidRPr="00921EF2">
        <w:rPr>
          <w:sz w:val="22"/>
          <w:szCs w:val="22"/>
          <w:lang w:val="sk-SK"/>
        </w:rPr>
        <w:t xml:space="preserve"> zníženie kostnej denzity, osteopénia, osteoporóza a zlomeniny u pacientov, ktorí sú dlhodobo li</w:t>
      </w:r>
      <w:r w:rsidR="00815AE5" w:rsidRPr="00921EF2">
        <w:rPr>
          <w:sz w:val="22"/>
          <w:szCs w:val="22"/>
          <w:lang w:val="sk-SK"/>
        </w:rPr>
        <w:t>e</w:t>
      </w:r>
      <w:r w:rsidRPr="00921EF2">
        <w:rPr>
          <w:sz w:val="22"/>
          <w:szCs w:val="22"/>
          <w:lang w:val="sk-SK"/>
        </w:rPr>
        <w:t xml:space="preserve">čení </w:t>
      </w:r>
      <w:r w:rsidR="00361C4F" w:rsidRPr="00921EF2">
        <w:rPr>
          <w:sz w:val="22"/>
          <w:szCs w:val="22"/>
          <w:lang w:val="sk-SK"/>
        </w:rPr>
        <w:t>Orfiril long</w:t>
      </w:r>
      <w:r w:rsidRPr="00921EF2">
        <w:rPr>
          <w:sz w:val="22"/>
          <w:szCs w:val="22"/>
          <w:lang w:val="sk-SK"/>
        </w:rPr>
        <w:t xml:space="preserve">. Mechanizmus, ktorým </w:t>
      </w:r>
      <w:r w:rsidR="00361C4F" w:rsidRPr="00921EF2">
        <w:rPr>
          <w:sz w:val="22"/>
          <w:szCs w:val="22"/>
          <w:lang w:val="sk-SK"/>
        </w:rPr>
        <w:t xml:space="preserve">Orfiril long </w:t>
      </w:r>
      <w:r w:rsidRPr="00921EF2">
        <w:rPr>
          <w:sz w:val="22"/>
          <w:szCs w:val="22"/>
          <w:lang w:val="sk-SK"/>
        </w:rPr>
        <w:t>ovplyvňuje kostný metabolizmus,</w:t>
      </w:r>
      <w:r w:rsidR="00815AE5" w:rsidRPr="00921EF2">
        <w:rPr>
          <w:sz w:val="22"/>
          <w:szCs w:val="22"/>
          <w:lang w:val="sk-SK"/>
        </w:rPr>
        <w:t xml:space="preserve"> </w:t>
      </w:r>
      <w:r w:rsidRPr="00921EF2">
        <w:rPr>
          <w:sz w:val="22"/>
          <w:szCs w:val="22"/>
          <w:lang w:val="sk-SK"/>
        </w:rPr>
        <w:t>zatiaľ nebol určený.</w:t>
      </w:r>
    </w:p>
    <w:p w14:paraId="22A95493" w14:textId="77777777" w:rsidR="00490C44" w:rsidRPr="00921EF2" w:rsidRDefault="00490C44" w:rsidP="00B124D9">
      <w:pPr>
        <w:rPr>
          <w:sz w:val="22"/>
          <w:szCs w:val="22"/>
          <w:lang w:val="sk-SK"/>
        </w:rPr>
      </w:pPr>
      <w:r w:rsidRPr="00921EF2">
        <w:rPr>
          <w:i/>
          <w:sz w:val="22"/>
          <w:szCs w:val="22"/>
          <w:lang w:val="sk-SK"/>
        </w:rPr>
        <w:t>Zriedkavé:</w:t>
      </w:r>
      <w:r w:rsidRPr="00921EF2">
        <w:rPr>
          <w:sz w:val="22"/>
          <w:szCs w:val="22"/>
          <w:lang w:val="sk-SK"/>
        </w:rPr>
        <w:t xml:space="preserve"> systémový lupus erythematosus (pozri časť 4.4)</w:t>
      </w:r>
      <w:r w:rsidR="006276D4" w:rsidRPr="00921EF2">
        <w:rPr>
          <w:sz w:val="22"/>
          <w:szCs w:val="22"/>
          <w:lang w:val="sk-SK"/>
        </w:rPr>
        <w:t>, rabdomyolýza (pozri časť 4.4)</w:t>
      </w:r>
      <w:r w:rsidRPr="00921EF2">
        <w:rPr>
          <w:sz w:val="22"/>
          <w:szCs w:val="22"/>
          <w:lang w:val="sk-SK"/>
        </w:rPr>
        <w:t>.</w:t>
      </w:r>
    </w:p>
    <w:p w14:paraId="551E5AE6" w14:textId="77777777" w:rsidR="00C61F82" w:rsidRPr="00921EF2" w:rsidRDefault="00C61F82" w:rsidP="00B124D9">
      <w:pPr>
        <w:rPr>
          <w:sz w:val="22"/>
          <w:szCs w:val="22"/>
          <w:lang w:val="sk-SK"/>
        </w:rPr>
      </w:pPr>
    </w:p>
    <w:p w14:paraId="08921F0C" w14:textId="77777777" w:rsidR="00490C44" w:rsidRPr="00921EF2" w:rsidRDefault="00490C44" w:rsidP="008A1BA8">
      <w:pPr>
        <w:keepNext/>
        <w:rPr>
          <w:sz w:val="22"/>
          <w:szCs w:val="22"/>
          <w:u w:val="single"/>
          <w:lang w:val="sk-SK"/>
        </w:rPr>
      </w:pPr>
      <w:r w:rsidRPr="00921EF2">
        <w:rPr>
          <w:sz w:val="22"/>
          <w:szCs w:val="22"/>
          <w:u w:val="single"/>
          <w:lang w:val="sk-SK"/>
        </w:rPr>
        <w:t>Poruchy endokrinného systému:</w:t>
      </w:r>
    </w:p>
    <w:p w14:paraId="68BDBBA4" w14:textId="77777777" w:rsidR="00490C44" w:rsidRPr="00921EF2" w:rsidRDefault="00490C44" w:rsidP="008A1BA8">
      <w:pPr>
        <w:keepNext/>
        <w:rPr>
          <w:sz w:val="22"/>
          <w:szCs w:val="22"/>
          <w:lang w:val="sk-SK"/>
        </w:rPr>
      </w:pPr>
      <w:r w:rsidRPr="00921EF2">
        <w:rPr>
          <w:i/>
          <w:sz w:val="22"/>
          <w:szCs w:val="22"/>
          <w:lang w:val="sk-SK"/>
        </w:rPr>
        <w:t>Menej časté:</w:t>
      </w:r>
      <w:r w:rsidRPr="00921EF2">
        <w:rPr>
          <w:sz w:val="22"/>
          <w:szCs w:val="22"/>
          <w:lang w:val="sk-SK"/>
        </w:rPr>
        <w:t xml:space="preserve"> syndróm neprimeranej sekrécie </w:t>
      </w:r>
      <w:r w:rsidR="002876E6" w:rsidRPr="00921EF2">
        <w:rPr>
          <w:sz w:val="22"/>
          <w:szCs w:val="22"/>
          <w:lang w:val="sk-SK"/>
        </w:rPr>
        <w:t xml:space="preserve">antidiuretického hormónu </w:t>
      </w:r>
      <w:r w:rsidRPr="00921EF2">
        <w:rPr>
          <w:sz w:val="22"/>
          <w:szCs w:val="22"/>
          <w:lang w:val="sk-SK"/>
        </w:rPr>
        <w:t>(SIADH)</w:t>
      </w:r>
      <w:r w:rsidR="0050109F" w:rsidRPr="00921EF2">
        <w:rPr>
          <w:sz w:val="22"/>
          <w:szCs w:val="22"/>
          <w:lang w:val="sk-SK"/>
        </w:rPr>
        <w:t xml:space="preserve">, hyperandrogenizmus (hirzutizmus, virilizmus, akné, alopécia mužského typu a/alebo </w:t>
      </w:r>
      <w:r w:rsidR="008F3A84" w:rsidRPr="00921EF2">
        <w:rPr>
          <w:sz w:val="22"/>
          <w:szCs w:val="22"/>
          <w:lang w:val="sk-SK"/>
        </w:rPr>
        <w:t xml:space="preserve">zvýšená hladina </w:t>
      </w:r>
      <w:r w:rsidR="0050109F" w:rsidRPr="00921EF2">
        <w:rPr>
          <w:sz w:val="22"/>
          <w:szCs w:val="22"/>
          <w:lang w:val="sk-SK"/>
        </w:rPr>
        <w:t>androgén</w:t>
      </w:r>
      <w:r w:rsidR="00F71B88" w:rsidRPr="00921EF2">
        <w:rPr>
          <w:sz w:val="22"/>
          <w:szCs w:val="22"/>
          <w:lang w:val="sk-SK"/>
        </w:rPr>
        <w:t>ov</w:t>
      </w:r>
      <w:r w:rsidR="0050109F" w:rsidRPr="00921EF2">
        <w:rPr>
          <w:sz w:val="22"/>
          <w:szCs w:val="22"/>
          <w:lang w:val="sk-SK"/>
        </w:rPr>
        <w:t>)</w:t>
      </w:r>
      <w:r w:rsidRPr="00921EF2">
        <w:rPr>
          <w:sz w:val="22"/>
          <w:szCs w:val="22"/>
          <w:lang w:val="sk-SK"/>
        </w:rPr>
        <w:t>.</w:t>
      </w:r>
    </w:p>
    <w:p w14:paraId="51D469D4" w14:textId="77777777" w:rsidR="00490C44" w:rsidRPr="00921EF2" w:rsidRDefault="002C2F18" w:rsidP="00B124D9">
      <w:pPr>
        <w:rPr>
          <w:sz w:val="22"/>
          <w:szCs w:val="22"/>
          <w:lang w:val="sk-SK"/>
        </w:rPr>
      </w:pPr>
      <w:r w:rsidRPr="00921EF2">
        <w:rPr>
          <w:i/>
          <w:sz w:val="22"/>
          <w:szCs w:val="22"/>
          <w:lang w:val="sk-SK"/>
        </w:rPr>
        <w:t>Zriedkavé:</w:t>
      </w:r>
      <w:r w:rsidRPr="00921EF2">
        <w:rPr>
          <w:sz w:val="22"/>
          <w:szCs w:val="22"/>
          <w:lang w:val="sk-SK"/>
        </w:rPr>
        <w:t xml:space="preserve"> hypotyreóza</w:t>
      </w:r>
      <w:r w:rsidR="00490C44" w:rsidRPr="00921EF2">
        <w:rPr>
          <w:sz w:val="22"/>
          <w:szCs w:val="22"/>
          <w:lang w:val="sk-SK"/>
        </w:rPr>
        <w:t xml:space="preserve"> (pozri časť 4.6).</w:t>
      </w:r>
    </w:p>
    <w:p w14:paraId="5CECCF64" w14:textId="77777777" w:rsidR="0065386E" w:rsidRPr="00921EF2" w:rsidRDefault="0065386E" w:rsidP="00B124D9">
      <w:pPr>
        <w:rPr>
          <w:bCs/>
          <w:sz w:val="22"/>
          <w:szCs w:val="22"/>
          <w:u w:val="single"/>
          <w:lang w:val="sk-SK"/>
        </w:rPr>
      </w:pPr>
    </w:p>
    <w:p w14:paraId="03DD2651" w14:textId="77777777" w:rsidR="00977BF3" w:rsidRPr="00921EF2" w:rsidRDefault="00977BF3" w:rsidP="00B124D9">
      <w:pPr>
        <w:rPr>
          <w:sz w:val="22"/>
          <w:szCs w:val="22"/>
          <w:u w:val="single"/>
          <w:lang w:val="sk-SK"/>
        </w:rPr>
      </w:pPr>
      <w:r w:rsidRPr="00921EF2">
        <w:rPr>
          <w:bCs/>
          <w:sz w:val="22"/>
          <w:szCs w:val="22"/>
          <w:u w:val="single"/>
          <w:lang w:val="sk-SK"/>
        </w:rPr>
        <w:t>Poruchy reprodukčného systému</w:t>
      </w:r>
      <w:r w:rsidR="00610EE4" w:rsidRPr="00921EF2">
        <w:rPr>
          <w:bCs/>
          <w:sz w:val="22"/>
          <w:szCs w:val="22"/>
          <w:u w:val="single"/>
          <w:lang w:val="sk-SK"/>
        </w:rPr>
        <w:t xml:space="preserve"> a prsníkov</w:t>
      </w:r>
      <w:r w:rsidR="006A49B7" w:rsidRPr="00921EF2">
        <w:rPr>
          <w:bCs/>
          <w:sz w:val="22"/>
          <w:szCs w:val="22"/>
          <w:u w:val="single"/>
          <w:lang w:val="sk-SK"/>
        </w:rPr>
        <w:t>:</w:t>
      </w:r>
    </w:p>
    <w:p w14:paraId="5613B5FC" w14:textId="77777777" w:rsidR="00364B57" w:rsidRPr="00921EF2" w:rsidRDefault="00364B57" w:rsidP="00B124D9">
      <w:pPr>
        <w:rPr>
          <w:sz w:val="22"/>
          <w:szCs w:val="22"/>
          <w:lang w:val="sk-SK"/>
        </w:rPr>
      </w:pPr>
      <w:r w:rsidRPr="00921EF2">
        <w:rPr>
          <w:i/>
          <w:sz w:val="22"/>
          <w:szCs w:val="22"/>
          <w:lang w:val="sk-SK"/>
        </w:rPr>
        <w:t>Časté:</w:t>
      </w:r>
      <w:r w:rsidRPr="00921EF2">
        <w:rPr>
          <w:sz w:val="22"/>
          <w:szCs w:val="22"/>
          <w:lang w:val="sk-SK"/>
        </w:rPr>
        <w:t xml:space="preserve"> dysmenorea.</w:t>
      </w:r>
    </w:p>
    <w:p w14:paraId="4D39661A" w14:textId="77777777" w:rsidR="00977BF3" w:rsidRPr="00921EF2" w:rsidRDefault="00364B57" w:rsidP="00B124D9">
      <w:pPr>
        <w:rPr>
          <w:sz w:val="22"/>
          <w:szCs w:val="22"/>
          <w:lang w:val="sk-SK"/>
        </w:rPr>
      </w:pPr>
      <w:r w:rsidRPr="00921EF2">
        <w:rPr>
          <w:i/>
          <w:sz w:val="22"/>
          <w:szCs w:val="22"/>
          <w:lang w:val="sk-SK"/>
        </w:rPr>
        <w:t>Menej časté:</w:t>
      </w:r>
      <w:r w:rsidRPr="00921EF2">
        <w:rPr>
          <w:sz w:val="22"/>
          <w:szCs w:val="22"/>
          <w:lang w:val="sk-SK"/>
        </w:rPr>
        <w:t xml:space="preserve"> a</w:t>
      </w:r>
      <w:r w:rsidR="00977BF3" w:rsidRPr="00921EF2">
        <w:rPr>
          <w:sz w:val="22"/>
          <w:szCs w:val="22"/>
          <w:lang w:val="sk-SK"/>
        </w:rPr>
        <w:t>menorea.</w:t>
      </w:r>
    </w:p>
    <w:p w14:paraId="2E0EE051" w14:textId="77777777" w:rsidR="0002678B" w:rsidRPr="00921EF2" w:rsidRDefault="00364B57" w:rsidP="00B124D9">
      <w:pPr>
        <w:rPr>
          <w:sz w:val="22"/>
          <w:szCs w:val="22"/>
          <w:lang w:val="sk-SK"/>
        </w:rPr>
      </w:pPr>
      <w:r w:rsidRPr="00921EF2">
        <w:rPr>
          <w:i/>
          <w:sz w:val="22"/>
          <w:szCs w:val="22"/>
          <w:lang w:val="sk-SK"/>
        </w:rPr>
        <w:t>Zriedkavé:</w:t>
      </w:r>
      <w:r w:rsidRPr="00921EF2">
        <w:rPr>
          <w:sz w:val="22"/>
          <w:szCs w:val="22"/>
          <w:lang w:val="sk-SK"/>
        </w:rPr>
        <w:t xml:space="preserve"> m</w:t>
      </w:r>
      <w:r w:rsidR="0002678B" w:rsidRPr="00921EF2">
        <w:rPr>
          <w:sz w:val="22"/>
          <w:szCs w:val="22"/>
          <w:lang w:val="sk-SK"/>
        </w:rPr>
        <w:t>užská neplodnosť</w:t>
      </w:r>
      <w:r w:rsidRPr="00921EF2">
        <w:rPr>
          <w:sz w:val="22"/>
          <w:szCs w:val="22"/>
          <w:lang w:val="sk-SK"/>
        </w:rPr>
        <w:t>, polycystické vaječníky</w:t>
      </w:r>
      <w:r w:rsidR="0002678B" w:rsidRPr="00921EF2">
        <w:rPr>
          <w:sz w:val="22"/>
          <w:szCs w:val="22"/>
          <w:lang w:val="sk-SK"/>
        </w:rPr>
        <w:t>.</w:t>
      </w:r>
    </w:p>
    <w:p w14:paraId="0BC05A59" w14:textId="77777777" w:rsidR="00977BF3" w:rsidRPr="00921EF2" w:rsidRDefault="00977BF3" w:rsidP="00B124D9">
      <w:pPr>
        <w:rPr>
          <w:sz w:val="22"/>
          <w:szCs w:val="22"/>
          <w:lang w:val="sk-SK"/>
        </w:rPr>
      </w:pPr>
    </w:p>
    <w:p w14:paraId="6D56B06B" w14:textId="77777777" w:rsidR="00977BF3" w:rsidRPr="00921EF2" w:rsidRDefault="00610EE4" w:rsidP="00B124D9">
      <w:pPr>
        <w:rPr>
          <w:sz w:val="22"/>
          <w:szCs w:val="22"/>
          <w:u w:val="single"/>
          <w:lang w:val="sk-SK"/>
        </w:rPr>
      </w:pPr>
      <w:r w:rsidRPr="00921EF2">
        <w:rPr>
          <w:bCs/>
          <w:sz w:val="22"/>
          <w:szCs w:val="22"/>
          <w:u w:val="single"/>
          <w:lang w:val="sk-SK"/>
        </w:rPr>
        <w:t>P</w:t>
      </w:r>
      <w:r w:rsidR="00977BF3" w:rsidRPr="00921EF2">
        <w:rPr>
          <w:bCs/>
          <w:sz w:val="22"/>
          <w:szCs w:val="22"/>
          <w:u w:val="single"/>
          <w:lang w:val="sk-SK"/>
        </w:rPr>
        <w:t>oruchy</w:t>
      </w:r>
      <w:r w:rsidRPr="00921EF2">
        <w:rPr>
          <w:bCs/>
          <w:sz w:val="22"/>
          <w:szCs w:val="22"/>
          <w:u w:val="single"/>
          <w:lang w:val="sk-SK"/>
        </w:rPr>
        <w:t xml:space="preserve"> ciev</w:t>
      </w:r>
      <w:r w:rsidR="006A49B7" w:rsidRPr="00921EF2">
        <w:rPr>
          <w:bCs/>
          <w:sz w:val="22"/>
          <w:szCs w:val="22"/>
          <w:u w:val="single"/>
          <w:lang w:val="sk-SK"/>
        </w:rPr>
        <w:t>:</w:t>
      </w:r>
    </w:p>
    <w:p w14:paraId="31BAD988" w14:textId="77777777" w:rsidR="000F3E22" w:rsidRPr="00921EF2" w:rsidRDefault="000F3E22" w:rsidP="00B124D9">
      <w:pPr>
        <w:rPr>
          <w:sz w:val="22"/>
          <w:szCs w:val="22"/>
          <w:lang w:val="sk-SK"/>
        </w:rPr>
      </w:pPr>
      <w:r w:rsidRPr="00921EF2">
        <w:rPr>
          <w:i/>
          <w:sz w:val="22"/>
          <w:szCs w:val="22"/>
          <w:lang w:val="sk-SK"/>
        </w:rPr>
        <w:t>Časté:</w:t>
      </w:r>
      <w:r w:rsidRPr="00921EF2">
        <w:rPr>
          <w:sz w:val="22"/>
          <w:szCs w:val="22"/>
          <w:lang w:val="sk-SK"/>
        </w:rPr>
        <w:t xml:space="preserve"> hemorágia (pozri časti 4.4 a 4.6).</w:t>
      </w:r>
    </w:p>
    <w:p w14:paraId="6837F62B" w14:textId="77777777" w:rsidR="00977BF3" w:rsidRPr="00921EF2" w:rsidRDefault="000F3E22" w:rsidP="00B124D9">
      <w:pPr>
        <w:rPr>
          <w:sz w:val="22"/>
          <w:szCs w:val="22"/>
          <w:lang w:val="sk-SK"/>
        </w:rPr>
      </w:pPr>
      <w:r w:rsidRPr="00921EF2">
        <w:rPr>
          <w:i/>
          <w:sz w:val="22"/>
          <w:szCs w:val="22"/>
          <w:lang w:val="sk-SK"/>
        </w:rPr>
        <w:t>Menej časté:</w:t>
      </w:r>
      <w:r w:rsidRPr="00921EF2">
        <w:rPr>
          <w:sz w:val="22"/>
          <w:szCs w:val="22"/>
          <w:lang w:val="sk-SK"/>
        </w:rPr>
        <w:t xml:space="preserve"> v</w:t>
      </w:r>
      <w:r w:rsidR="00610EE4" w:rsidRPr="00921EF2">
        <w:rPr>
          <w:sz w:val="22"/>
          <w:szCs w:val="22"/>
          <w:lang w:val="sk-SK"/>
        </w:rPr>
        <w:t>askulitída</w:t>
      </w:r>
      <w:r w:rsidR="00977BF3" w:rsidRPr="00921EF2">
        <w:rPr>
          <w:sz w:val="22"/>
          <w:szCs w:val="22"/>
          <w:lang w:val="sk-SK"/>
        </w:rPr>
        <w:t>.</w:t>
      </w:r>
    </w:p>
    <w:p w14:paraId="45EBBF90" w14:textId="77777777" w:rsidR="00977BF3" w:rsidRPr="00921EF2" w:rsidRDefault="00977BF3" w:rsidP="00B124D9">
      <w:pPr>
        <w:rPr>
          <w:sz w:val="22"/>
          <w:szCs w:val="22"/>
          <w:lang w:val="sk-SK"/>
        </w:rPr>
      </w:pPr>
    </w:p>
    <w:p w14:paraId="0020DF64" w14:textId="77777777" w:rsidR="00977BF3" w:rsidRPr="00921EF2" w:rsidRDefault="00977BF3" w:rsidP="00B124D9">
      <w:pPr>
        <w:rPr>
          <w:sz w:val="22"/>
          <w:szCs w:val="22"/>
          <w:u w:val="single"/>
          <w:lang w:val="sk-SK"/>
        </w:rPr>
      </w:pPr>
      <w:r w:rsidRPr="00921EF2">
        <w:rPr>
          <w:bCs/>
          <w:sz w:val="22"/>
          <w:szCs w:val="22"/>
          <w:u w:val="single"/>
          <w:lang w:val="sk-SK"/>
        </w:rPr>
        <w:t>Poruchy ucha</w:t>
      </w:r>
      <w:r w:rsidR="00610EE4" w:rsidRPr="00921EF2">
        <w:rPr>
          <w:bCs/>
          <w:sz w:val="22"/>
          <w:szCs w:val="22"/>
          <w:u w:val="single"/>
          <w:lang w:val="sk-SK"/>
        </w:rPr>
        <w:t xml:space="preserve"> a labyrintu</w:t>
      </w:r>
      <w:r w:rsidR="006A49B7" w:rsidRPr="00921EF2">
        <w:rPr>
          <w:bCs/>
          <w:sz w:val="22"/>
          <w:szCs w:val="22"/>
          <w:u w:val="single"/>
          <w:lang w:val="sk-SK"/>
        </w:rPr>
        <w:t>:</w:t>
      </w:r>
    </w:p>
    <w:p w14:paraId="0826BE46" w14:textId="77777777" w:rsidR="00977BF3" w:rsidRPr="00921EF2" w:rsidRDefault="00C833E8" w:rsidP="00B124D9">
      <w:pPr>
        <w:rPr>
          <w:sz w:val="22"/>
          <w:szCs w:val="22"/>
          <w:lang w:val="sk-SK"/>
        </w:rPr>
      </w:pPr>
      <w:r w:rsidRPr="00921EF2">
        <w:rPr>
          <w:i/>
          <w:sz w:val="22"/>
          <w:szCs w:val="22"/>
          <w:lang w:val="sk-SK"/>
        </w:rPr>
        <w:t>Časté</w:t>
      </w:r>
      <w:r w:rsidR="00977BF3" w:rsidRPr="00921EF2">
        <w:rPr>
          <w:bCs/>
          <w:i/>
          <w:sz w:val="22"/>
          <w:szCs w:val="22"/>
          <w:lang w:val="sk-SK"/>
        </w:rPr>
        <w:t>:</w:t>
      </w:r>
      <w:r w:rsidR="00977BF3" w:rsidRPr="00921EF2">
        <w:rPr>
          <w:sz w:val="22"/>
          <w:szCs w:val="22"/>
          <w:lang w:val="sk-SK"/>
        </w:rPr>
        <w:t xml:space="preserve"> </w:t>
      </w:r>
      <w:r w:rsidR="000B2963" w:rsidRPr="00921EF2">
        <w:rPr>
          <w:sz w:val="22"/>
          <w:szCs w:val="22"/>
          <w:lang w:val="sk-SK"/>
        </w:rPr>
        <w:t>hluchota</w:t>
      </w:r>
      <w:r w:rsidR="00977BF3" w:rsidRPr="00921EF2">
        <w:rPr>
          <w:sz w:val="22"/>
          <w:szCs w:val="22"/>
          <w:lang w:val="sk-SK"/>
        </w:rPr>
        <w:t xml:space="preserve">. </w:t>
      </w:r>
    </w:p>
    <w:p w14:paraId="515E26B9" w14:textId="77777777" w:rsidR="00977BF3" w:rsidRPr="00921EF2" w:rsidRDefault="00977BF3" w:rsidP="00B124D9">
      <w:pPr>
        <w:rPr>
          <w:sz w:val="22"/>
          <w:szCs w:val="22"/>
          <w:lang w:val="sk-SK"/>
        </w:rPr>
      </w:pPr>
    </w:p>
    <w:p w14:paraId="24005E44" w14:textId="77777777" w:rsidR="00C833E8" w:rsidRPr="00921EF2" w:rsidRDefault="00C833E8" w:rsidP="00B124D9">
      <w:pPr>
        <w:rPr>
          <w:sz w:val="22"/>
          <w:szCs w:val="22"/>
          <w:u w:val="single"/>
          <w:lang w:val="sk-SK"/>
        </w:rPr>
      </w:pPr>
      <w:r w:rsidRPr="00921EF2">
        <w:rPr>
          <w:sz w:val="22"/>
          <w:szCs w:val="22"/>
          <w:u w:val="single"/>
          <w:lang w:val="sk-SK"/>
        </w:rPr>
        <w:t>Poruchy dýchacej sústavy, hrudníka a mediastína:</w:t>
      </w:r>
    </w:p>
    <w:p w14:paraId="3D2D23CE" w14:textId="77777777" w:rsidR="00C833E8" w:rsidRPr="00921EF2" w:rsidRDefault="00C833E8" w:rsidP="00B124D9">
      <w:pPr>
        <w:rPr>
          <w:sz w:val="22"/>
          <w:szCs w:val="22"/>
          <w:lang w:val="sk-SK"/>
        </w:rPr>
      </w:pPr>
      <w:r w:rsidRPr="00921EF2">
        <w:rPr>
          <w:i/>
          <w:sz w:val="22"/>
          <w:szCs w:val="22"/>
          <w:lang w:val="sk-SK"/>
        </w:rPr>
        <w:t>Menej časté:</w:t>
      </w:r>
      <w:r w:rsidRPr="00921EF2">
        <w:rPr>
          <w:sz w:val="22"/>
          <w:szCs w:val="22"/>
          <w:lang w:val="sk-SK"/>
        </w:rPr>
        <w:t xml:space="preserve"> pleurálny výpotok.</w:t>
      </w:r>
    </w:p>
    <w:p w14:paraId="07C36C28" w14:textId="77777777" w:rsidR="00F760E7" w:rsidRPr="005E746B" w:rsidRDefault="00F760E7" w:rsidP="00F760E7">
      <w:pPr>
        <w:pStyle w:val="Normlnywebov"/>
        <w:spacing w:after="0"/>
        <w:rPr>
          <w:sz w:val="22"/>
        </w:rPr>
      </w:pPr>
      <w:r w:rsidRPr="005E746B">
        <w:rPr>
          <w:i/>
          <w:sz w:val="22"/>
        </w:rPr>
        <w:t>N</w:t>
      </w:r>
      <w:r w:rsidR="008E342B" w:rsidRPr="005E746B">
        <w:rPr>
          <w:i/>
          <w:sz w:val="22"/>
        </w:rPr>
        <w:t>eznáme</w:t>
      </w:r>
      <w:r w:rsidRPr="005E746B">
        <w:rPr>
          <w:i/>
          <w:sz w:val="22"/>
        </w:rPr>
        <w:t xml:space="preserve">: </w:t>
      </w:r>
      <w:r w:rsidR="00067558" w:rsidRPr="00921EF2">
        <w:rPr>
          <w:sz w:val="22"/>
          <w:szCs w:val="22"/>
        </w:rPr>
        <w:t xml:space="preserve">eozinofilná pleurálna efúzia </w:t>
      </w:r>
    </w:p>
    <w:p w14:paraId="6F18F798" w14:textId="77777777" w:rsidR="00F760E7" w:rsidRPr="00921EF2" w:rsidRDefault="00F760E7">
      <w:pPr>
        <w:rPr>
          <w:bCs/>
          <w:sz w:val="22"/>
          <w:szCs w:val="22"/>
          <w:u w:val="single"/>
          <w:lang w:val="sk-SK"/>
        </w:rPr>
      </w:pPr>
    </w:p>
    <w:p w14:paraId="2BDF83D9" w14:textId="77777777" w:rsidR="00977BF3" w:rsidRPr="00921EF2" w:rsidRDefault="00977BF3" w:rsidP="005C64C0">
      <w:pPr>
        <w:rPr>
          <w:sz w:val="22"/>
          <w:szCs w:val="22"/>
          <w:u w:val="single"/>
          <w:lang w:val="sk-SK"/>
        </w:rPr>
      </w:pPr>
      <w:r w:rsidRPr="00921EF2">
        <w:rPr>
          <w:bCs/>
          <w:sz w:val="22"/>
          <w:szCs w:val="22"/>
          <w:u w:val="single"/>
          <w:lang w:val="sk-SK"/>
        </w:rPr>
        <w:t>Poruchy obličiek a močových cies</w:t>
      </w:r>
      <w:r w:rsidRPr="00921EF2">
        <w:rPr>
          <w:sz w:val="22"/>
          <w:szCs w:val="22"/>
          <w:u w:val="single"/>
          <w:lang w:val="sk-SK"/>
        </w:rPr>
        <w:t>t</w:t>
      </w:r>
      <w:r w:rsidR="006A49B7" w:rsidRPr="00921EF2">
        <w:rPr>
          <w:sz w:val="22"/>
          <w:szCs w:val="22"/>
          <w:u w:val="single"/>
          <w:lang w:val="sk-SK"/>
        </w:rPr>
        <w:t>:</w:t>
      </w:r>
    </w:p>
    <w:p w14:paraId="38D1D89A" w14:textId="77777777" w:rsidR="0065386E" w:rsidRPr="00921EF2" w:rsidRDefault="0065386E" w:rsidP="00B124D9">
      <w:pPr>
        <w:rPr>
          <w:sz w:val="22"/>
          <w:szCs w:val="22"/>
          <w:lang w:val="sk-SK"/>
        </w:rPr>
      </w:pPr>
      <w:r w:rsidRPr="00921EF2">
        <w:rPr>
          <w:i/>
          <w:sz w:val="22"/>
          <w:szCs w:val="22"/>
          <w:lang w:val="sk-SK"/>
        </w:rPr>
        <w:t>Časté:</w:t>
      </w:r>
      <w:r w:rsidRPr="00921EF2">
        <w:rPr>
          <w:sz w:val="22"/>
          <w:szCs w:val="22"/>
          <w:lang w:val="sk-SK"/>
        </w:rPr>
        <w:t xml:space="preserve"> inkontinencia moču.</w:t>
      </w:r>
    </w:p>
    <w:p w14:paraId="656F4B55" w14:textId="77777777" w:rsidR="00266332" w:rsidRPr="00921EF2" w:rsidRDefault="00266332" w:rsidP="00B124D9">
      <w:pPr>
        <w:rPr>
          <w:sz w:val="22"/>
          <w:szCs w:val="22"/>
          <w:lang w:val="sk-SK"/>
        </w:rPr>
      </w:pPr>
      <w:r w:rsidRPr="00921EF2">
        <w:rPr>
          <w:i/>
          <w:sz w:val="22"/>
          <w:szCs w:val="22"/>
          <w:lang w:val="sk-SK"/>
        </w:rPr>
        <w:t>Menej časté:</w:t>
      </w:r>
      <w:r w:rsidRPr="00921EF2">
        <w:rPr>
          <w:sz w:val="22"/>
          <w:szCs w:val="22"/>
          <w:lang w:val="sk-SK"/>
        </w:rPr>
        <w:t xml:space="preserve"> zlyhanie obličiek</w:t>
      </w:r>
      <w:r w:rsidR="0065386E" w:rsidRPr="00921EF2">
        <w:rPr>
          <w:sz w:val="22"/>
          <w:szCs w:val="22"/>
          <w:lang w:val="sk-SK"/>
        </w:rPr>
        <w:t>.</w:t>
      </w:r>
    </w:p>
    <w:p w14:paraId="79A9EF57" w14:textId="77777777" w:rsidR="00977BF3" w:rsidRPr="00921EF2" w:rsidRDefault="006338A9" w:rsidP="00B124D9">
      <w:pPr>
        <w:rPr>
          <w:sz w:val="22"/>
          <w:szCs w:val="22"/>
          <w:lang w:val="sk-SK"/>
        </w:rPr>
      </w:pPr>
      <w:r w:rsidRPr="00921EF2">
        <w:rPr>
          <w:i/>
          <w:sz w:val="22"/>
          <w:szCs w:val="22"/>
          <w:lang w:val="sk-SK"/>
        </w:rPr>
        <w:t>Z</w:t>
      </w:r>
      <w:r w:rsidR="00977BF3" w:rsidRPr="00921EF2">
        <w:rPr>
          <w:i/>
          <w:sz w:val="22"/>
          <w:szCs w:val="22"/>
          <w:lang w:val="sk-SK"/>
        </w:rPr>
        <w:t>riedkavé:</w:t>
      </w:r>
      <w:r w:rsidR="00977BF3" w:rsidRPr="00921EF2">
        <w:rPr>
          <w:sz w:val="22"/>
          <w:szCs w:val="22"/>
          <w:lang w:val="sk-SK"/>
        </w:rPr>
        <w:t xml:space="preserve"> enuréza</w:t>
      </w:r>
      <w:r w:rsidRPr="00921EF2">
        <w:rPr>
          <w:sz w:val="22"/>
          <w:szCs w:val="22"/>
          <w:lang w:val="sk-SK"/>
        </w:rPr>
        <w:t xml:space="preserve">, </w:t>
      </w:r>
      <w:r w:rsidR="00266332" w:rsidRPr="00921EF2">
        <w:rPr>
          <w:sz w:val="22"/>
          <w:szCs w:val="22"/>
          <w:lang w:val="sk-SK"/>
        </w:rPr>
        <w:t xml:space="preserve">tubulointersticiálna nefritída, </w:t>
      </w:r>
      <w:r w:rsidR="00977BF3" w:rsidRPr="00921EF2">
        <w:rPr>
          <w:sz w:val="22"/>
          <w:szCs w:val="22"/>
          <w:lang w:val="sk-SK"/>
        </w:rPr>
        <w:t>reverzibiln</w:t>
      </w:r>
      <w:r w:rsidRPr="00921EF2">
        <w:rPr>
          <w:sz w:val="22"/>
          <w:szCs w:val="22"/>
          <w:lang w:val="sk-SK"/>
        </w:rPr>
        <w:t>ý</w:t>
      </w:r>
      <w:r w:rsidR="00977BF3" w:rsidRPr="00921EF2">
        <w:rPr>
          <w:sz w:val="22"/>
          <w:szCs w:val="22"/>
          <w:lang w:val="sk-SK"/>
        </w:rPr>
        <w:t xml:space="preserve"> Fanconiho syndróm, avšak mechanizmus účinku nie je zatiaľ známy.</w:t>
      </w:r>
    </w:p>
    <w:p w14:paraId="074FD94A" w14:textId="77777777" w:rsidR="00F760E7" w:rsidRPr="005E746B" w:rsidRDefault="0055753D" w:rsidP="00F760E7">
      <w:pPr>
        <w:pStyle w:val="Normlnywebov"/>
        <w:spacing w:after="0"/>
        <w:rPr>
          <w:sz w:val="22"/>
        </w:rPr>
      </w:pPr>
      <w:r w:rsidRPr="005E746B">
        <w:rPr>
          <w:i/>
          <w:sz w:val="22"/>
        </w:rPr>
        <w:t>Neznáme</w:t>
      </w:r>
      <w:r w:rsidR="00F760E7" w:rsidRPr="005E746B">
        <w:rPr>
          <w:i/>
          <w:sz w:val="22"/>
        </w:rPr>
        <w:t>:</w:t>
      </w:r>
      <w:r w:rsidR="00F760E7" w:rsidRPr="005E746B">
        <w:rPr>
          <w:sz w:val="22"/>
        </w:rPr>
        <w:t xml:space="preserve"> </w:t>
      </w:r>
      <w:r w:rsidRPr="00921EF2">
        <w:rPr>
          <w:sz w:val="22"/>
          <w:szCs w:val="22"/>
        </w:rPr>
        <w:t>zhoršenie funkcie obličiek</w:t>
      </w:r>
      <w:r w:rsidRPr="005E746B">
        <w:rPr>
          <w:sz w:val="22"/>
        </w:rPr>
        <w:t xml:space="preserve"> </w:t>
      </w:r>
    </w:p>
    <w:p w14:paraId="1D4FA8F4" w14:textId="77777777" w:rsidR="00F760E7" w:rsidRPr="00921EF2" w:rsidRDefault="00F760E7">
      <w:pPr>
        <w:rPr>
          <w:bCs/>
          <w:sz w:val="22"/>
          <w:szCs w:val="22"/>
          <w:u w:val="single"/>
          <w:lang w:val="sk-SK"/>
        </w:rPr>
      </w:pPr>
    </w:p>
    <w:p w14:paraId="14114D8B" w14:textId="77777777" w:rsidR="00977BF3" w:rsidRPr="00921EF2" w:rsidRDefault="00977BF3" w:rsidP="008A1BA8">
      <w:pPr>
        <w:keepNext/>
        <w:rPr>
          <w:sz w:val="22"/>
          <w:szCs w:val="22"/>
          <w:u w:val="single"/>
          <w:lang w:val="sk-SK"/>
        </w:rPr>
      </w:pPr>
      <w:r w:rsidRPr="00921EF2">
        <w:rPr>
          <w:bCs/>
          <w:sz w:val="22"/>
          <w:szCs w:val="22"/>
          <w:u w:val="single"/>
          <w:lang w:val="sk-SK"/>
        </w:rPr>
        <w:t>Celkové poruchy a reakcie v mieste podania</w:t>
      </w:r>
      <w:r w:rsidR="006A49B7" w:rsidRPr="00921EF2">
        <w:rPr>
          <w:bCs/>
          <w:sz w:val="22"/>
          <w:szCs w:val="22"/>
          <w:u w:val="single"/>
          <w:lang w:val="sk-SK"/>
        </w:rPr>
        <w:t>:</w:t>
      </w:r>
    </w:p>
    <w:p w14:paraId="76D88A1C" w14:textId="77777777" w:rsidR="00977BF3" w:rsidRPr="00921EF2" w:rsidRDefault="00364B57" w:rsidP="008A1BA8">
      <w:pPr>
        <w:keepNext/>
        <w:rPr>
          <w:sz w:val="22"/>
          <w:szCs w:val="22"/>
          <w:lang w:val="sk-SK"/>
        </w:rPr>
      </w:pPr>
      <w:r w:rsidRPr="00921EF2">
        <w:rPr>
          <w:i/>
          <w:sz w:val="22"/>
          <w:szCs w:val="22"/>
          <w:lang w:val="sk-SK"/>
        </w:rPr>
        <w:t>Menej časté</w:t>
      </w:r>
      <w:r w:rsidR="00977BF3" w:rsidRPr="00921EF2">
        <w:rPr>
          <w:i/>
          <w:sz w:val="22"/>
          <w:szCs w:val="22"/>
          <w:lang w:val="sk-SK"/>
        </w:rPr>
        <w:t>:</w:t>
      </w:r>
      <w:r w:rsidR="00977BF3" w:rsidRPr="00921EF2">
        <w:rPr>
          <w:sz w:val="22"/>
          <w:szCs w:val="22"/>
          <w:lang w:val="sk-SK"/>
        </w:rPr>
        <w:t xml:space="preserve"> </w:t>
      </w:r>
      <w:r w:rsidR="00EA3380" w:rsidRPr="00921EF2">
        <w:rPr>
          <w:sz w:val="22"/>
          <w:szCs w:val="22"/>
          <w:lang w:val="sk-SK"/>
        </w:rPr>
        <w:t xml:space="preserve">hypotermia, </w:t>
      </w:r>
      <w:r w:rsidR="00977BF3" w:rsidRPr="00921EF2">
        <w:rPr>
          <w:sz w:val="22"/>
          <w:szCs w:val="22"/>
          <w:lang w:val="sk-SK"/>
        </w:rPr>
        <w:t>nezávažný periférny edém.</w:t>
      </w:r>
    </w:p>
    <w:p w14:paraId="6C375259" w14:textId="77777777" w:rsidR="005506BA" w:rsidRPr="00921EF2" w:rsidRDefault="005506BA" w:rsidP="00B124D9">
      <w:pPr>
        <w:rPr>
          <w:sz w:val="22"/>
          <w:szCs w:val="22"/>
          <w:lang w:val="sk-SK"/>
        </w:rPr>
      </w:pPr>
    </w:p>
    <w:p w14:paraId="215F1C0A" w14:textId="77777777" w:rsidR="005506BA" w:rsidRPr="00921EF2" w:rsidRDefault="005506BA" w:rsidP="00B124D9">
      <w:pPr>
        <w:rPr>
          <w:sz w:val="22"/>
          <w:szCs w:val="22"/>
          <w:u w:val="single"/>
          <w:lang w:val="sk-SK"/>
        </w:rPr>
      </w:pPr>
      <w:r w:rsidRPr="00921EF2">
        <w:rPr>
          <w:sz w:val="22"/>
          <w:szCs w:val="22"/>
          <w:u w:val="single"/>
          <w:lang w:val="sk-SK"/>
        </w:rPr>
        <w:t>Psychické poruchy:</w:t>
      </w:r>
    </w:p>
    <w:p w14:paraId="58C38146" w14:textId="77777777" w:rsidR="00E21213" w:rsidRPr="00921EF2" w:rsidRDefault="00E21213" w:rsidP="00B124D9">
      <w:pPr>
        <w:rPr>
          <w:sz w:val="22"/>
          <w:szCs w:val="22"/>
          <w:lang w:val="sk-SK"/>
        </w:rPr>
      </w:pPr>
      <w:r w:rsidRPr="00921EF2">
        <w:rPr>
          <w:i/>
          <w:sz w:val="22"/>
          <w:szCs w:val="22"/>
          <w:lang w:val="sk-SK"/>
        </w:rPr>
        <w:t>Časté:</w:t>
      </w:r>
      <w:r w:rsidRPr="00921EF2">
        <w:rPr>
          <w:sz w:val="22"/>
          <w:szCs w:val="22"/>
          <w:lang w:val="sk-SK"/>
        </w:rPr>
        <w:t xml:space="preserve"> stav z</w:t>
      </w:r>
      <w:r w:rsidR="005506BA" w:rsidRPr="00921EF2">
        <w:rPr>
          <w:sz w:val="22"/>
          <w:szCs w:val="22"/>
          <w:lang w:val="sk-SK"/>
        </w:rPr>
        <w:t>mätenos</w:t>
      </w:r>
      <w:r w:rsidRPr="00921EF2">
        <w:rPr>
          <w:sz w:val="22"/>
          <w:szCs w:val="22"/>
          <w:lang w:val="sk-SK"/>
        </w:rPr>
        <w:t>ti</w:t>
      </w:r>
      <w:r w:rsidR="00CE39B0" w:rsidRPr="00921EF2">
        <w:rPr>
          <w:sz w:val="22"/>
          <w:szCs w:val="22"/>
          <w:lang w:val="sk-SK"/>
        </w:rPr>
        <w:t xml:space="preserve">, </w:t>
      </w:r>
      <w:r w:rsidR="00EA3380" w:rsidRPr="00921EF2">
        <w:rPr>
          <w:sz w:val="22"/>
          <w:szCs w:val="22"/>
          <w:lang w:val="sk-SK"/>
        </w:rPr>
        <w:t xml:space="preserve">halucinácie, </w:t>
      </w:r>
      <w:r w:rsidRPr="00921EF2">
        <w:rPr>
          <w:sz w:val="22"/>
          <w:szCs w:val="22"/>
          <w:lang w:val="sk-SK"/>
        </w:rPr>
        <w:t>agresia*, agitácia*, porucha pozornosti*.</w:t>
      </w:r>
    </w:p>
    <w:p w14:paraId="5F434BDF" w14:textId="77777777" w:rsidR="005506BA" w:rsidRPr="00921EF2" w:rsidRDefault="00E21213" w:rsidP="00B124D9">
      <w:pPr>
        <w:rPr>
          <w:sz w:val="22"/>
          <w:szCs w:val="22"/>
          <w:lang w:val="sk-SK"/>
        </w:rPr>
      </w:pPr>
      <w:r w:rsidRPr="00921EF2">
        <w:rPr>
          <w:i/>
          <w:sz w:val="22"/>
          <w:szCs w:val="22"/>
          <w:lang w:val="sk-SK"/>
        </w:rPr>
        <w:t>Zriedkavé:</w:t>
      </w:r>
      <w:r w:rsidRPr="00921EF2">
        <w:rPr>
          <w:sz w:val="22"/>
          <w:szCs w:val="22"/>
          <w:lang w:val="sk-SK"/>
        </w:rPr>
        <w:t xml:space="preserve"> abnormálne správanie*, psychomotorická hyperaktivita*, poruchy učenia*</w:t>
      </w:r>
      <w:r w:rsidR="000A1FD6" w:rsidRPr="00921EF2">
        <w:rPr>
          <w:sz w:val="22"/>
          <w:szCs w:val="22"/>
          <w:lang w:val="sk-SK"/>
        </w:rPr>
        <w:t>.</w:t>
      </w:r>
    </w:p>
    <w:p w14:paraId="33C28400" w14:textId="77777777" w:rsidR="005506BA" w:rsidRPr="00921EF2" w:rsidRDefault="0023123F" w:rsidP="00B124D9">
      <w:pPr>
        <w:rPr>
          <w:sz w:val="22"/>
          <w:szCs w:val="22"/>
          <w:lang w:val="sk-SK"/>
        </w:rPr>
      </w:pPr>
      <w:r w:rsidRPr="00921EF2">
        <w:rPr>
          <w:sz w:val="22"/>
          <w:szCs w:val="22"/>
          <w:lang w:val="sk-SK"/>
        </w:rPr>
        <w:t xml:space="preserve">* </w:t>
      </w:r>
      <w:r w:rsidR="00E21213" w:rsidRPr="00921EF2">
        <w:rPr>
          <w:sz w:val="22"/>
          <w:szCs w:val="22"/>
          <w:lang w:val="sk-SK"/>
        </w:rPr>
        <w:t>Tieto nežiaduce účinky sú pozorované najmä u detskej populácie.</w:t>
      </w:r>
    </w:p>
    <w:p w14:paraId="484ED39C" w14:textId="77777777" w:rsidR="00C22306" w:rsidRDefault="00C22306" w:rsidP="005C64C0">
      <w:pPr>
        <w:autoSpaceDE w:val="0"/>
        <w:autoSpaceDN w:val="0"/>
        <w:adjustRightInd w:val="0"/>
        <w:rPr>
          <w:sz w:val="22"/>
          <w:szCs w:val="22"/>
          <w:lang w:val="sk-SK"/>
        </w:rPr>
      </w:pPr>
    </w:p>
    <w:p w14:paraId="57DFED0B" w14:textId="77777777" w:rsidR="001B35D6" w:rsidRPr="00E01944" w:rsidRDefault="001B35D6" w:rsidP="001B35D6">
      <w:pPr>
        <w:tabs>
          <w:tab w:val="left" w:pos="426"/>
        </w:tabs>
        <w:rPr>
          <w:sz w:val="22"/>
          <w:szCs w:val="22"/>
          <w:u w:val="single"/>
          <w:lang w:val="sk-SK"/>
        </w:rPr>
      </w:pPr>
      <w:r w:rsidRPr="00E01944">
        <w:rPr>
          <w:sz w:val="22"/>
          <w:szCs w:val="22"/>
          <w:u w:val="single"/>
          <w:lang w:val="sk-SK"/>
        </w:rPr>
        <w:t>Pediatrická populácia</w:t>
      </w:r>
    </w:p>
    <w:p w14:paraId="44959ED4" w14:textId="77777777" w:rsidR="001B35D6" w:rsidRDefault="001B35D6" w:rsidP="001B35D6">
      <w:pPr>
        <w:tabs>
          <w:tab w:val="left" w:pos="426"/>
        </w:tabs>
        <w:rPr>
          <w:sz w:val="22"/>
          <w:szCs w:val="22"/>
          <w:lang w:val="sk-SK"/>
        </w:rPr>
      </w:pPr>
      <w:r w:rsidRPr="00E01944">
        <w:rPr>
          <w:sz w:val="22"/>
          <w:szCs w:val="22"/>
          <w:lang w:val="sk-SK"/>
        </w:rPr>
        <w:t>Bezpečnostný profil valproátu u pediatrickej populácie je porovnateľný s dospelými, niektoré vedľajšie reakcie sú však v pediatrickej populácii závažnejšie, prípadne sa pozorujú najmä v tejto populácii. U dojčiat a malých detí, najmä mladších ako 3 roky, existuje osobitné riziko vážneho poškodenia pečene. Malé deti sú tiež vystavené osobitnému riziku pankreatitídy. Tieto riziká sa znižujú so zvyšujúcim sa vekom (pozri časť 4.4). Psychiatrické poruchy, ako sú agresia, agitácia, poruchy pozornosti, abnormálne správanie, psychomotorická hyperaktivita a poruchy učenia sa pozorujú najmä v pediatrickej populácii.</w:t>
      </w:r>
    </w:p>
    <w:p w14:paraId="7D163443" w14:textId="77777777" w:rsidR="001B35D6" w:rsidRPr="00921EF2" w:rsidRDefault="001B35D6" w:rsidP="005C64C0">
      <w:pPr>
        <w:autoSpaceDE w:val="0"/>
        <w:autoSpaceDN w:val="0"/>
        <w:adjustRightInd w:val="0"/>
        <w:rPr>
          <w:sz w:val="22"/>
          <w:szCs w:val="22"/>
          <w:lang w:val="sk-SK"/>
        </w:rPr>
      </w:pPr>
    </w:p>
    <w:p w14:paraId="1318D8D3" w14:textId="77777777" w:rsidR="00C22306" w:rsidRPr="00921EF2" w:rsidRDefault="00C22306" w:rsidP="00B124D9">
      <w:pPr>
        <w:autoSpaceDE w:val="0"/>
        <w:autoSpaceDN w:val="0"/>
        <w:adjustRightInd w:val="0"/>
        <w:rPr>
          <w:sz w:val="22"/>
          <w:szCs w:val="22"/>
          <w:u w:val="single"/>
          <w:lang w:val="sk-SK"/>
        </w:rPr>
      </w:pPr>
      <w:r w:rsidRPr="00921EF2">
        <w:rPr>
          <w:noProof/>
          <w:sz w:val="22"/>
          <w:szCs w:val="22"/>
          <w:u w:val="single"/>
          <w:lang w:val="sk-SK"/>
        </w:rPr>
        <w:t>Hlásenie podozrení na nežiaduce reakcie</w:t>
      </w:r>
    </w:p>
    <w:p w14:paraId="3B42BF44" w14:textId="77777777" w:rsidR="00C22306" w:rsidRPr="00921EF2" w:rsidRDefault="00C22306" w:rsidP="00B124D9">
      <w:pPr>
        <w:autoSpaceDE w:val="0"/>
        <w:autoSpaceDN w:val="0"/>
        <w:adjustRightInd w:val="0"/>
        <w:rPr>
          <w:noProof/>
          <w:sz w:val="22"/>
          <w:szCs w:val="22"/>
          <w:lang w:val="sk-SK"/>
        </w:rPr>
      </w:pPr>
      <w:r w:rsidRPr="00921EF2">
        <w:rPr>
          <w:noProof/>
          <w:sz w:val="22"/>
          <w:szCs w:val="22"/>
          <w:lang w:val="sk-SK"/>
        </w:rPr>
        <w:t>Hlásenie podozrení na nežiaduce reakcie po registrácii lieku je dôležité.</w:t>
      </w:r>
      <w:r w:rsidRPr="00921EF2">
        <w:rPr>
          <w:sz w:val="22"/>
          <w:szCs w:val="22"/>
          <w:lang w:val="sk-SK"/>
        </w:rPr>
        <w:t xml:space="preserve"> </w:t>
      </w:r>
      <w:r w:rsidRPr="00921EF2">
        <w:rPr>
          <w:noProof/>
          <w:sz w:val="22"/>
          <w:szCs w:val="22"/>
          <w:lang w:val="sk-SK"/>
        </w:rPr>
        <w:t>Umožňuje priebežné monitorovanie pomeru prínosu</w:t>
      </w:r>
      <w:r w:rsidRPr="00921EF2">
        <w:rPr>
          <w:sz w:val="22"/>
          <w:szCs w:val="22"/>
          <w:lang w:val="sk-SK"/>
        </w:rPr>
        <w:t xml:space="preserve"> a</w:t>
      </w:r>
      <w:r w:rsidRPr="00921EF2">
        <w:rPr>
          <w:noProof/>
          <w:sz w:val="22"/>
          <w:szCs w:val="22"/>
          <w:lang w:val="sk-SK"/>
        </w:rPr>
        <w:t> rizika lieku.</w:t>
      </w:r>
      <w:r w:rsidRPr="00921EF2">
        <w:rPr>
          <w:sz w:val="22"/>
          <w:szCs w:val="22"/>
          <w:lang w:val="sk-SK"/>
        </w:rPr>
        <w:t xml:space="preserve"> Od </w:t>
      </w:r>
      <w:r w:rsidRPr="00921EF2">
        <w:rPr>
          <w:noProof/>
          <w:sz w:val="22"/>
          <w:szCs w:val="22"/>
          <w:lang w:val="sk-SK"/>
        </w:rPr>
        <w:t xml:space="preserve">zdravotníckych pracovníkov sa vyžaduje, aby hlásili akékoľvek podozrenia na nežiaduce reakcie </w:t>
      </w:r>
      <w:r w:rsidR="002742A7" w:rsidRPr="00921EF2">
        <w:rPr>
          <w:noProof/>
          <w:sz w:val="22"/>
          <w:szCs w:val="22"/>
          <w:lang w:val="sk-SK"/>
        </w:rPr>
        <w:t>na</w:t>
      </w:r>
      <w:r w:rsidRPr="00921EF2">
        <w:rPr>
          <w:noProof/>
          <w:sz w:val="22"/>
          <w:szCs w:val="22"/>
          <w:lang w:val="sk-SK"/>
        </w:rPr>
        <w:t xml:space="preserve"> </w:t>
      </w:r>
      <w:r w:rsidRPr="001B59B9">
        <w:rPr>
          <w:sz w:val="22"/>
          <w:highlight w:val="lightGray"/>
          <w:lang w:val="sk-SK"/>
        </w:rPr>
        <w:t xml:space="preserve">národné </w:t>
      </w:r>
      <w:r w:rsidR="002742A7" w:rsidRPr="001B59B9">
        <w:rPr>
          <w:sz w:val="22"/>
          <w:highlight w:val="lightGray"/>
          <w:lang w:val="sk-SK"/>
        </w:rPr>
        <w:t>centrum</w:t>
      </w:r>
      <w:r w:rsidRPr="001B59B9">
        <w:rPr>
          <w:sz w:val="22"/>
          <w:highlight w:val="lightGray"/>
          <w:lang w:val="sk-SK"/>
        </w:rPr>
        <w:t xml:space="preserve"> hlásenia uvedené v </w:t>
      </w:r>
      <w:hyperlink r:id="rId8" w:history="1">
        <w:r w:rsidRPr="00921EF2">
          <w:rPr>
            <w:rStyle w:val="Hypertextovprepojenie"/>
            <w:sz w:val="22"/>
            <w:highlight w:val="lightGray"/>
            <w:lang w:val="sk-SK"/>
          </w:rPr>
          <w:t>P</w:t>
        </w:r>
        <w:r w:rsidRPr="005E746B">
          <w:rPr>
            <w:rStyle w:val="Hypertextovprepojenie"/>
            <w:sz w:val="22"/>
            <w:highlight w:val="lightGray"/>
            <w:lang w:val="sk-SK"/>
          </w:rPr>
          <w:t xml:space="preserve">rílohe </w:t>
        </w:r>
        <w:r w:rsidRPr="00921EF2">
          <w:rPr>
            <w:rStyle w:val="Hypertextovprepojenie"/>
            <w:sz w:val="22"/>
            <w:highlight w:val="lightGray"/>
            <w:lang w:val="sk-SK"/>
          </w:rPr>
          <w:t>V</w:t>
        </w:r>
      </w:hyperlink>
      <w:r w:rsidRPr="001B59B9">
        <w:rPr>
          <w:sz w:val="22"/>
          <w:highlight w:val="lightGray"/>
          <w:lang w:val="sk-SK"/>
        </w:rPr>
        <w:t>.</w:t>
      </w:r>
    </w:p>
    <w:p w14:paraId="0AB0586A" w14:textId="77777777" w:rsidR="00E21213" w:rsidRPr="00921EF2" w:rsidRDefault="00E21213" w:rsidP="00B124D9">
      <w:pPr>
        <w:rPr>
          <w:sz w:val="22"/>
          <w:szCs w:val="22"/>
          <w:lang w:val="sk-SK"/>
        </w:rPr>
      </w:pPr>
    </w:p>
    <w:p w14:paraId="2A3CA3A4"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4.9</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Predávkovanie</w:t>
      </w:r>
    </w:p>
    <w:p w14:paraId="735E88D7" w14:textId="77777777" w:rsidR="00977BF3" w:rsidRPr="00921EF2" w:rsidRDefault="00977BF3" w:rsidP="005C64C0">
      <w:pPr>
        <w:rPr>
          <w:sz w:val="22"/>
          <w:szCs w:val="22"/>
          <w:lang w:val="sk-SK"/>
        </w:rPr>
      </w:pPr>
    </w:p>
    <w:p w14:paraId="0CB49E23" w14:textId="77777777" w:rsidR="00977BF3" w:rsidRPr="00921EF2" w:rsidRDefault="00977BF3" w:rsidP="00B124D9">
      <w:pPr>
        <w:rPr>
          <w:sz w:val="22"/>
          <w:szCs w:val="22"/>
          <w:lang w:val="sk-SK"/>
        </w:rPr>
      </w:pPr>
      <w:r w:rsidRPr="00921EF2">
        <w:rPr>
          <w:sz w:val="22"/>
          <w:szCs w:val="22"/>
          <w:lang w:val="sk-SK"/>
        </w:rPr>
        <w:t xml:space="preserve">Príznaky masívneho akútneho predávkovania zvyčajne zahŕňajú kómu so svalovou hypotóniou, hyporeflexiou, miózou, poruchami dýchania, </w:t>
      </w:r>
      <w:r w:rsidR="00145274" w:rsidRPr="00921EF2">
        <w:rPr>
          <w:sz w:val="22"/>
          <w:szCs w:val="22"/>
          <w:lang w:val="sk-SK"/>
        </w:rPr>
        <w:t xml:space="preserve">metabolickou </w:t>
      </w:r>
      <w:r w:rsidRPr="00921EF2">
        <w:rPr>
          <w:sz w:val="22"/>
          <w:szCs w:val="22"/>
          <w:lang w:val="sk-SK"/>
        </w:rPr>
        <w:t>acidóz</w:t>
      </w:r>
      <w:r w:rsidR="00145274" w:rsidRPr="00921EF2">
        <w:rPr>
          <w:sz w:val="22"/>
          <w:szCs w:val="22"/>
          <w:lang w:val="sk-SK"/>
        </w:rPr>
        <w:t>o</w:t>
      </w:r>
      <w:r w:rsidRPr="00921EF2">
        <w:rPr>
          <w:sz w:val="22"/>
          <w:szCs w:val="22"/>
          <w:lang w:val="sk-SK"/>
        </w:rPr>
        <w:t>u</w:t>
      </w:r>
      <w:r w:rsidR="00AB00DA" w:rsidRPr="00921EF2">
        <w:rPr>
          <w:sz w:val="22"/>
          <w:szCs w:val="22"/>
          <w:lang w:val="sk-SK"/>
        </w:rPr>
        <w:t>, hypotenzia a obehový kolaps/šok</w:t>
      </w:r>
      <w:r w:rsidRPr="00921EF2">
        <w:rPr>
          <w:sz w:val="22"/>
          <w:szCs w:val="22"/>
          <w:lang w:val="sk-SK"/>
        </w:rPr>
        <w:t>.</w:t>
      </w:r>
      <w:r w:rsidR="00145274" w:rsidRPr="00921EF2">
        <w:rPr>
          <w:sz w:val="22"/>
          <w:szCs w:val="22"/>
          <w:lang w:val="sk-SK"/>
        </w:rPr>
        <w:t xml:space="preserve"> Po závažnom predávkovaní môže nastať smrť, zvyčajne však </w:t>
      </w:r>
      <w:r w:rsidR="00BE5FAA" w:rsidRPr="00921EF2">
        <w:rPr>
          <w:sz w:val="22"/>
          <w:szCs w:val="22"/>
          <w:lang w:val="sk-SK"/>
        </w:rPr>
        <w:t>predávkovanie nevyústi do fatálneho konca</w:t>
      </w:r>
      <w:r w:rsidR="00145274" w:rsidRPr="00921EF2">
        <w:rPr>
          <w:sz w:val="22"/>
          <w:szCs w:val="22"/>
          <w:lang w:val="sk-SK"/>
        </w:rPr>
        <w:t>.</w:t>
      </w:r>
    </w:p>
    <w:p w14:paraId="08236C46" w14:textId="77777777" w:rsidR="00977BF3" w:rsidRPr="00921EF2" w:rsidRDefault="00977BF3" w:rsidP="00B124D9">
      <w:pPr>
        <w:pStyle w:val="Zarkazkladnhotextu"/>
        <w:rPr>
          <w:sz w:val="22"/>
          <w:szCs w:val="22"/>
        </w:rPr>
      </w:pPr>
      <w:r w:rsidRPr="00921EF2">
        <w:rPr>
          <w:sz w:val="22"/>
          <w:szCs w:val="22"/>
        </w:rPr>
        <w:t>Symptómy môžu byť rôzne a</w:t>
      </w:r>
      <w:r w:rsidR="00A36BDC" w:rsidRPr="00921EF2">
        <w:rPr>
          <w:sz w:val="22"/>
          <w:szCs w:val="22"/>
        </w:rPr>
        <w:t xml:space="preserve"> epileptické </w:t>
      </w:r>
      <w:r w:rsidRPr="00921EF2">
        <w:rPr>
          <w:sz w:val="22"/>
          <w:szCs w:val="22"/>
        </w:rPr>
        <w:t>záchvaty sa vyskytli pri veľmi vysokých koncentráciách v plazme. Boli zaznamenané prípady intrakraniálnej hypertenzie podmienenej cerebrálnym edémom.</w:t>
      </w:r>
    </w:p>
    <w:p w14:paraId="51FD7ED0" w14:textId="5B796A22" w:rsidR="00AB00DA" w:rsidRPr="00921EF2" w:rsidRDefault="00AB00DA" w:rsidP="00B124D9">
      <w:pPr>
        <w:pStyle w:val="Zarkazkladnhotextu"/>
        <w:rPr>
          <w:sz w:val="22"/>
          <w:szCs w:val="22"/>
        </w:rPr>
      </w:pPr>
      <w:r w:rsidRPr="00921EF2">
        <w:rPr>
          <w:sz w:val="22"/>
          <w:szCs w:val="22"/>
        </w:rPr>
        <w:t xml:space="preserve">Prítomnosť obsahu sodíka v liekových formách </w:t>
      </w:r>
      <w:r w:rsidR="0023483F" w:rsidRPr="00921EF2">
        <w:rPr>
          <w:sz w:val="22"/>
          <w:szCs w:val="22"/>
        </w:rPr>
        <w:t>valproát</w:t>
      </w:r>
      <w:r w:rsidRPr="00921EF2">
        <w:rPr>
          <w:sz w:val="22"/>
          <w:szCs w:val="22"/>
        </w:rPr>
        <w:t>u môže viesť v prípade predávkovania k hypernatriémii.</w:t>
      </w:r>
    </w:p>
    <w:p w14:paraId="04F6D30C" w14:textId="77777777" w:rsidR="00977BF3" w:rsidRPr="00921EF2" w:rsidRDefault="00977BF3" w:rsidP="00B124D9">
      <w:pPr>
        <w:pStyle w:val="Zarkazkladnhotextu"/>
        <w:rPr>
          <w:sz w:val="22"/>
          <w:szCs w:val="22"/>
        </w:rPr>
      </w:pPr>
      <w:r w:rsidRPr="00921EF2">
        <w:rPr>
          <w:sz w:val="22"/>
          <w:szCs w:val="22"/>
        </w:rPr>
        <w:lastRenderedPageBreak/>
        <w:t xml:space="preserve">Nemocničná liečba po predávkovaní </w:t>
      </w:r>
      <w:r w:rsidR="00A36BDC" w:rsidRPr="00921EF2">
        <w:rPr>
          <w:sz w:val="22"/>
          <w:szCs w:val="22"/>
        </w:rPr>
        <w:t>má</w:t>
      </w:r>
      <w:r w:rsidRPr="00921EF2">
        <w:rPr>
          <w:sz w:val="22"/>
          <w:szCs w:val="22"/>
        </w:rPr>
        <w:t xml:space="preserve"> byť symptomatická: výplach žalúdka, </w:t>
      </w:r>
      <w:r w:rsidR="00145274" w:rsidRPr="00921EF2">
        <w:rPr>
          <w:sz w:val="22"/>
          <w:szCs w:val="22"/>
        </w:rPr>
        <w:t xml:space="preserve">môže byť </w:t>
      </w:r>
      <w:r w:rsidR="00475B0C" w:rsidRPr="00921EF2">
        <w:rPr>
          <w:sz w:val="22"/>
          <w:szCs w:val="22"/>
        </w:rPr>
        <w:t>prínosný</w:t>
      </w:r>
      <w:r w:rsidR="00145274" w:rsidRPr="00921EF2">
        <w:rPr>
          <w:sz w:val="22"/>
          <w:szCs w:val="22"/>
        </w:rPr>
        <w:t>, ak sa uskutoční</w:t>
      </w:r>
      <w:r w:rsidRPr="00921EF2">
        <w:rPr>
          <w:sz w:val="22"/>
          <w:szCs w:val="22"/>
        </w:rPr>
        <w:t xml:space="preserve"> do</w:t>
      </w:r>
      <w:r w:rsidR="00952092" w:rsidRPr="00921EF2">
        <w:rPr>
          <w:sz w:val="22"/>
          <w:szCs w:val="22"/>
        </w:rPr>
        <w:t xml:space="preserve"> </w:t>
      </w:r>
      <w:r w:rsidRPr="00921EF2">
        <w:rPr>
          <w:sz w:val="22"/>
          <w:szCs w:val="22"/>
        </w:rPr>
        <w:t>10</w:t>
      </w:r>
      <w:r w:rsidR="00A36BDC" w:rsidRPr="00921EF2">
        <w:rPr>
          <w:sz w:val="22"/>
          <w:szCs w:val="22"/>
        </w:rPr>
        <w:t> </w:t>
      </w:r>
      <w:r w:rsidRPr="00921EF2">
        <w:rPr>
          <w:sz w:val="22"/>
          <w:szCs w:val="22"/>
        </w:rPr>
        <w:t>-</w:t>
      </w:r>
      <w:r w:rsidR="00A36BDC" w:rsidRPr="00921EF2">
        <w:rPr>
          <w:sz w:val="22"/>
          <w:szCs w:val="22"/>
        </w:rPr>
        <w:t> </w:t>
      </w:r>
      <w:r w:rsidR="00145274" w:rsidRPr="00921EF2">
        <w:rPr>
          <w:sz w:val="22"/>
          <w:szCs w:val="22"/>
        </w:rPr>
        <w:t>1</w:t>
      </w:r>
      <w:r w:rsidRPr="00921EF2">
        <w:rPr>
          <w:sz w:val="22"/>
          <w:szCs w:val="22"/>
        </w:rPr>
        <w:t>2 hodín po užití, monitorovanie kardiálnych a respiračných parametrov.</w:t>
      </w:r>
    </w:p>
    <w:p w14:paraId="0C0B32E7" w14:textId="77777777" w:rsidR="00977BF3" w:rsidRPr="00921EF2" w:rsidRDefault="00977BF3" w:rsidP="00B124D9">
      <w:pPr>
        <w:rPr>
          <w:sz w:val="22"/>
          <w:szCs w:val="22"/>
          <w:lang w:val="sk-SK"/>
        </w:rPr>
      </w:pPr>
      <w:r w:rsidRPr="00921EF2">
        <w:rPr>
          <w:sz w:val="22"/>
          <w:szCs w:val="22"/>
          <w:lang w:val="sk-SK"/>
        </w:rPr>
        <w:t>V niektorých izolovaných prípadoch bol úspešne použitý Naloxon.</w:t>
      </w:r>
      <w:r w:rsidR="00220277" w:rsidRPr="00921EF2">
        <w:rPr>
          <w:sz w:val="22"/>
          <w:szCs w:val="22"/>
          <w:lang w:val="sk-SK"/>
        </w:rPr>
        <w:t xml:space="preserve"> </w:t>
      </w:r>
      <w:r w:rsidR="00145274" w:rsidRPr="00921EF2">
        <w:rPr>
          <w:sz w:val="22"/>
          <w:szCs w:val="22"/>
          <w:lang w:val="sk-SK"/>
        </w:rPr>
        <w:t>V prípade závažného predávkovania sa úspešne použila hemodialýza a hemoperfúzia.</w:t>
      </w:r>
    </w:p>
    <w:bookmarkEnd w:id="1"/>
    <w:bookmarkEnd w:id="2"/>
    <w:p w14:paraId="24AC7C98" w14:textId="77777777" w:rsidR="00977BF3" w:rsidRPr="00921EF2" w:rsidRDefault="00977BF3" w:rsidP="005C64C0">
      <w:pPr>
        <w:rPr>
          <w:bCs/>
          <w:sz w:val="22"/>
          <w:szCs w:val="22"/>
          <w:lang w:val="sk-SK"/>
        </w:rPr>
      </w:pPr>
    </w:p>
    <w:p w14:paraId="0834A14C" w14:textId="77777777" w:rsidR="00977BF3" w:rsidRPr="00921EF2" w:rsidRDefault="00977BF3" w:rsidP="00B124D9">
      <w:pPr>
        <w:rPr>
          <w:bCs/>
          <w:sz w:val="22"/>
          <w:szCs w:val="22"/>
          <w:lang w:val="sk-SK"/>
        </w:rPr>
      </w:pPr>
    </w:p>
    <w:p w14:paraId="661C9E6C"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5.</w:t>
      </w:r>
      <w:r w:rsidR="005440B1" w:rsidRPr="00921EF2">
        <w:rPr>
          <w:rFonts w:ascii="Times New Roman" w:hAnsi="Times New Roman" w:cs="Times New Roman"/>
          <w:sz w:val="22"/>
          <w:szCs w:val="22"/>
        </w:rPr>
        <w:tab/>
      </w:r>
      <w:r w:rsidRPr="00921EF2">
        <w:rPr>
          <w:rFonts w:ascii="Times New Roman" w:hAnsi="Times New Roman" w:cs="Times New Roman"/>
          <w:sz w:val="22"/>
          <w:szCs w:val="22"/>
        </w:rPr>
        <w:t>FARMAKOLOGICKÉ VLASTNOSTI</w:t>
      </w:r>
    </w:p>
    <w:p w14:paraId="72F68FD0" w14:textId="77777777" w:rsidR="00977BF3" w:rsidRPr="00921EF2" w:rsidRDefault="00977BF3" w:rsidP="00B124D9">
      <w:pPr>
        <w:pStyle w:val="Nadpis2"/>
        <w:tabs>
          <w:tab w:val="left" w:pos="567"/>
        </w:tabs>
        <w:ind w:left="567" w:hanging="567"/>
        <w:rPr>
          <w:rFonts w:ascii="Times New Roman" w:hAnsi="Times New Roman" w:cs="Times New Roman"/>
          <w:b w:val="0"/>
          <w:sz w:val="22"/>
          <w:szCs w:val="22"/>
        </w:rPr>
      </w:pPr>
    </w:p>
    <w:p w14:paraId="77F8250E" w14:textId="77777777" w:rsidR="00977BF3" w:rsidRPr="00921EF2" w:rsidRDefault="00977BF3" w:rsidP="00B124D9">
      <w:pPr>
        <w:pStyle w:val="Nadpis2"/>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5.1</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Farmakodynamické vlastnosti</w:t>
      </w:r>
    </w:p>
    <w:p w14:paraId="05B28C17" w14:textId="77777777" w:rsidR="00395F31" w:rsidRPr="00921EF2" w:rsidRDefault="00395F31" w:rsidP="00B124D9">
      <w:pPr>
        <w:keepNext/>
        <w:rPr>
          <w:sz w:val="22"/>
          <w:szCs w:val="22"/>
          <w:lang w:val="sk-SK"/>
        </w:rPr>
      </w:pPr>
    </w:p>
    <w:p w14:paraId="2DB50787" w14:textId="77777777" w:rsidR="00D8305B" w:rsidRPr="00921EF2" w:rsidRDefault="00D8305B" w:rsidP="00B124D9">
      <w:pPr>
        <w:rPr>
          <w:sz w:val="22"/>
          <w:szCs w:val="22"/>
          <w:lang w:val="sk-SK"/>
        </w:rPr>
      </w:pPr>
      <w:r w:rsidRPr="00921EF2">
        <w:rPr>
          <w:sz w:val="22"/>
          <w:szCs w:val="22"/>
        </w:rPr>
        <w:t xml:space="preserve">Farmakoterapeutická skupina: </w:t>
      </w:r>
      <w:r w:rsidRPr="00921EF2">
        <w:rPr>
          <w:sz w:val="22"/>
          <w:szCs w:val="22"/>
          <w:lang w:val="sk-SK"/>
        </w:rPr>
        <w:t xml:space="preserve">antiepileptiká, </w:t>
      </w:r>
      <w:r w:rsidR="009D6B69" w:rsidRPr="00921EF2">
        <w:rPr>
          <w:sz w:val="22"/>
          <w:szCs w:val="22"/>
          <w:lang w:val="sk-SK"/>
        </w:rPr>
        <w:t>d</w:t>
      </w:r>
      <w:r w:rsidRPr="00921EF2">
        <w:rPr>
          <w:sz w:val="22"/>
          <w:szCs w:val="22"/>
          <w:lang w:val="sk-SK"/>
        </w:rPr>
        <w:t xml:space="preserve">eriváty vyšších alifatických kyselín. </w:t>
      </w:r>
    </w:p>
    <w:p w14:paraId="14EE903A" w14:textId="77777777" w:rsidR="00977BF3" w:rsidRPr="00921EF2" w:rsidRDefault="00395F31" w:rsidP="005C64C0">
      <w:pPr>
        <w:rPr>
          <w:b/>
          <w:sz w:val="22"/>
          <w:szCs w:val="22"/>
          <w:lang w:val="sk-SK"/>
        </w:rPr>
      </w:pPr>
      <w:r w:rsidRPr="00921EF2">
        <w:rPr>
          <w:sz w:val="22"/>
          <w:szCs w:val="22"/>
          <w:lang w:val="sk-SK"/>
        </w:rPr>
        <w:t>ATC kód: N03AG01</w:t>
      </w:r>
    </w:p>
    <w:p w14:paraId="1F1FADCE" w14:textId="77777777" w:rsidR="00122F16" w:rsidRPr="00921EF2" w:rsidRDefault="00122F16" w:rsidP="005C64C0">
      <w:pPr>
        <w:rPr>
          <w:sz w:val="22"/>
          <w:szCs w:val="22"/>
          <w:lang w:val="sk-SK"/>
        </w:rPr>
      </w:pPr>
    </w:p>
    <w:p w14:paraId="1D5B7C2C" w14:textId="5BE992E9" w:rsidR="00977BF3" w:rsidRPr="00921EF2" w:rsidRDefault="0023483F" w:rsidP="00B124D9">
      <w:pPr>
        <w:rPr>
          <w:sz w:val="22"/>
          <w:szCs w:val="22"/>
          <w:lang w:val="sk-SK"/>
        </w:rPr>
      </w:pPr>
      <w:r w:rsidRPr="00921EF2">
        <w:rPr>
          <w:sz w:val="22"/>
          <w:szCs w:val="22"/>
          <w:lang w:val="sk-SK"/>
        </w:rPr>
        <w:t>Valproát</w:t>
      </w:r>
      <w:r w:rsidR="00977BF3" w:rsidRPr="00921EF2">
        <w:rPr>
          <w:sz w:val="22"/>
          <w:szCs w:val="22"/>
          <w:lang w:val="sk-SK"/>
        </w:rPr>
        <w:t xml:space="preserve"> pôsobí </w:t>
      </w:r>
      <w:r w:rsidR="00486DA8" w:rsidRPr="00921EF2">
        <w:rPr>
          <w:sz w:val="22"/>
          <w:szCs w:val="22"/>
          <w:lang w:val="sk-SK"/>
        </w:rPr>
        <w:t xml:space="preserve">najmä </w:t>
      </w:r>
      <w:r w:rsidR="00977BF3" w:rsidRPr="00921EF2">
        <w:rPr>
          <w:sz w:val="22"/>
          <w:szCs w:val="22"/>
          <w:lang w:val="sk-SK"/>
        </w:rPr>
        <w:t>na centráln</w:t>
      </w:r>
      <w:r w:rsidR="00486DA8" w:rsidRPr="00921EF2">
        <w:rPr>
          <w:sz w:val="22"/>
          <w:szCs w:val="22"/>
          <w:lang w:val="sk-SK"/>
        </w:rPr>
        <w:t>y</w:t>
      </w:r>
      <w:r w:rsidR="00977BF3" w:rsidRPr="00921EF2">
        <w:rPr>
          <w:sz w:val="22"/>
          <w:szCs w:val="22"/>
          <w:lang w:val="sk-SK"/>
        </w:rPr>
        <w:t xml:space="preserve"> nervov</w:t>
      </w:r>
      <w:r w:rsidR="00486DA8" w:rsidRPr="00921EF2">
        <w:rPr>
          <w:sz w:val="22"/>
          <w:szCs w:val="22"/>
          <w:lang w:val="sk-SK"/>
        </w:rPr>
        <w:t>ý systém</w:t>
      </w:r>
      <w:r w:rsidR="00977BF3" w:rsidRPr="00921EF2">
        <w:rPr>
          <w:sz w:val="22"/>
          <w:szCs w:val="22"/>
          <w:lang w:val="sk-SK"/>
        </w:rPr>
        <w:t>.</w:t>
      </w:r>
    </w:p>
    <w:p w14:paraId="59B770A3" w14:textId="77777777" w:rsidR="00977BF3" w:rsidRPr="00921EF2" w:rsidRDefault="00977BF3" w:rsidP="00B124D9">
      <w:pPr>
        <w:rPr>
          <w:sz w:val="22"/>
          <w:szCs w:val="22"/>
          <w:lang w:val="sk-SK"/>
        </w:rPr>
      </w:pPr>
      <w:r w:rsidRPr="00921EF2">
        <w:rPr>
          <w:sz w:val="22"/>
          <w:szCs w:val="22"/>
          <w:lang w:val="sk-SK"/>
        </w:rPr>
        <w:t xml:space="preserve">Farmakologické štúdie na zvieratách demonštrujú antikonvulzívne vlastnosti </w:t>
      </w:r>
      <w:r w:rsidR="0078086D" w:rsidRPr="00921EF2">
        <w:rPr>
          <w:sz w:val="22"/>
          <w:szCs w:val="22"/>
          <w:lang w:val="sk-SK"/>
        </w:rPr>
        <w:t>Orfiril long</w:t>
      </w:r>
      <w:r w:rsidRPr="00921EF2">
        <w:rPr>
          <w:sz w:val="22"/>
          <w:szCs w:val="22"/>
          <w:lang w:val="sk-SK"/>
        </w:rPr>
        <w:t xml:space="preserve"> pri rôznych typoch experimentálnej epilepsie (generalizované a parciálne záchvaty).</w:t>
      </w:r>
    </w:p>
    <w:p w14:paraId="6D68F015" w14:textId="77777777" w:rsidR="00977BF3" w:rsidRPr="00921EF2" w:rsidRDefault="0078086D" w:rsidP="00B124D9">
      <w:pPr>
        <w:rPr>
          <w:sz w:val="22"/>
          <w:szCs w:val="22"/>
          <w:lang w:val="sk-SK"/>
        </w:rPr>
      </w:pPr>
      <w:r w:rsidRPr="00921EF2">
        <w:rPr>
          <w:sz w:val="22"/>
          <w:szCs w:val="22"/>
          <w:lang w:val="sk-SK"/>
        </w:rPr>
        <w:t xml:space="preserve">Orfiril long </w:t>
      </w:r>
      <w:r w:rsidR="00977BF3" w:rsidRPr="00921EF2">
        <w:rPr>
          <w:sz w:val="22"/>
          <w:szCs w:val="22"/>
          <w:lang w:val="sk-SK"/>
        </w:rPr>
        <w:t>účinkuje pri rôznych typoch epilepsie</w:t>
      </w:r>
      <w:r w:rsidR="00795139" w:rsidRPr="00921EF2">
        <w:rPr>
          <w:sz w:val="22"/>
          <w:szCs w:val="22"/>
          <w:lang w:val="sk-SK"/>
        </w:rPr>
        <w:t xml:space="preserve"> u ľudí.</w:t>
      </w:r>
    </w:p>
    <w:p w14:paraId="6DCF51C8" w14:textId="77777777" w:rsidR="00977BF3" w:rsidRPr="00921EF2" w:rsidRDefault="00486DA8" w:rsidP="00B124D9">
      <w:pPr>
        <w:rPr>
          <w:sz w:val="22"/>
          <w:szCs w:val="22"/>
          <w:lang w:val="sk-SK"/>
        </w:rPr>
      </w:pPr>
      <w:r w:rsidRPr="00921EF2">
        <w:rPr>
          <w:sz w:val="22"/>
          <w:szCs w:val="22"/>
          <w:lang w:val="sk-SK"/>
        </w:rPr>
        <w:t xml:space="preserve">Zdá sa, že </w:t>
      </w:r>
      <w:r w:rsidR="00977BF3" w:rsidRPr="00921EF2">
        <w:rPr>
          <w:sz w:val="22"/>
          <w:szCs w:val="22"/>
          <w:lang w:val="sk-SK"/>
        </w:rPr>
        <w:t>hlavný mechanizmus</w:t>
      </w:r>
      <w:r w:rsidRPr="00921EF2">
        <w:rPr>
          <w:sz w:val="22"/>
          <w:szCs w:val="22"/>
          <w:lang w:val="sk-SK"/>
        </w:rPr>
        <w:t xml:space="preserve"> jeho</w:t>
      </w:r>
      <w:r w:rsidR="00977BF3" w:rsidRPr="00921EF2">
        <w:rPr>
          <w:sz w:val="22"/>
          <w:szCs w:val="22"/>
          <w:lang w:val="sk-SK"/>
        </w:rPr>
        <w:t xml:space="preserve"> účinku </w:t>
      </w:r>
      <w:r w:rsidRPr="00921EF2">
        <w:rPr>
          <w:sz w:val="22"/>
          <w:szCs w:val="22"/>
          <w:lang w:val="sk-SK"/>
        </w:rPr>
        <w:t>je v</w:t>
      </w:r>
      <w:r w:rsidR="00977BF3" w:rsidRPr="00921EF2">
        <w:rPr>
          <w:sz w:val="22"/>
          <w:szCs w:val="22"/>
          <w:lang w:val="sk-SK"/>
        </w:rPr>
        <w:t xml:space="preserve"> zosilnení GABA–ergickej transmisie.</w:t>
      </w:r>
    </w:p>
    <w:p w14:paraId="4581651C" w14:textId="2AB5D873" w:rsidR="00977BF3" w:rsidRPr="00921EF2" w:rsidRDefault="00977BF3" w:rsidP="00B124D9">
      <w:pPr>
        <w:rPr>
          <w:sz w:val="22"/>
          <w:szCs w:val="22"/>
          <w:lang w:val="sk-SK"/>
        </w:rPr>
      </w:pPr>
      <w:r w:rsidRPr="00921EF2">
        <w:rPr>
          <w:sz w:val="22"/>
          <w:szCs w:val="22"/>
          <w:lang w:val="sk-SK"/>
        </w:rPr>
        <w:t xml:space="preserve">V niektorých </w:t>
      </w:r>
      <w:r w:rsidRPr="00921EF2">
        <w:rPr>
          <w:i/>
          <w:sz w:val="22"/>
          <w:szCs w:val="22"/>
          <w:lang w:val="sk-SK"/>
        </w:rPr>
        <w:t>in vitro</w:t>
      </w:r>
      <w:r w:rsidRPr="00921EF2">
        <w:rPr>
          <w:sz w:val="22"/>
          <w:szCs w:val="22"/>
          <w:lang w:val="sk-SK"/>
        </w:rPr>
        <w:t xml:space="preserve"> štúdiách </w:t>
      </w:r>
      <w:r w:rsidR="0023483F" w:rsidRPr="00921EF2">
        <w:rPr>
          <w:sz w:val="22"/>
          <w:szCs w:val="22"/>
          <w:lang w:val="sk-SK"/>
        </w:rPr>
        <w:t>valproát</w:t>
      </w:r>
      <w:r w:rsidRPr="00921EF2">
        <w:rPr>
          <w:sz w:val="22"/>
          <w:szCs w:val="22"/>
          <w:lang w:val="sk-SK"/>
        </w:rPr>
        <w:t xml:space="preserve"> stimuloval replikáciu HIV-1 vírusu, avšak tento účinok bol obmedzený, nekonštantný, nezávislý od dávky a nebol pozorovaný u ľudí.</w:t>
      </w:r>
    </w:p>
    <w:p w14:paraId="1010BBF7" w14:textId="77777777" w:rsidR="00977BF3" w:rsidRPr="00921EF2" w:rsidRDefault="00977BF3" w:rsidP="00B124D9">
      <w:pPr>
        <w:rPr>
          <w:sz w:val="22"/>
          <w:szCs w:val="22"/>
          <w:lang w:val="sk-SK"/>
        </w:rPr>
      </w:pPr>
    </w:p>
    <w:p w14:paraId="6D07AF92"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5.2</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Farmakokinetické vlastnosti</w:t>
      </w:r>
    </w:p>
    <w:p w14:paraId="5AE760C2" w14:textId="77777777" w:rsidR="00977BF3" w:rsidRPr="00921EF2" w:rsidRDefault="00977BF3" w:rsidP="00B124D9">
      <w:pPr>
        <w:keepNext/>
        <w:rPr>
          <w:sz w:val="22"/>
          <w:szCs w:val="22"/>
          <w:lang w:val="sk-SK"/>
        </w:rPr>
      </w:pPr>
    </w:p>
    <w:p w14:paraId="7977E1E4" w14:textId="5D1E3BB1" w:rsidR="00977BF3" w:rsidRPr="00921EF2" w:rsidRDefault="00977BF3" w:rsidP="00B124D9">
      <w:pPr>
        <w:rPr>
          <w:sz w:val="22"/>
          <w:szCs w:val="22"/>
          <w:lang w:val="sk-SK"/>
        </w:rPr>
      </w:pPr>
      <w:r w:rsidRPr="00921EF2">
        <w:rPr>
          <w:sz w:val="22"/>
          <w:szCs w:val="22"/>
          <w:lang w:val="sk-SK"/>
        </w:rPr>
        <w:t xml:space="preserve">Biologická dostupnosť </w:t>
      </w:r>
      <w:r w:rsidR="0023483F" w:rsidRPr="00921EF2">
        <w:rPr>
          <w:sz w:val="22"/>
          <w:szCs w:val="22"/>
          <w:lang w:val="sk-SK"/>
        </w:rPr>
        <w:t>valproát</w:t>
      </w:r>
      <w:r w:rsidRPr="00921EF2">
        <w:rPr>
          <w:sz w:val="22"/>
          <w:szCs w:val="22"/>
          <w:lang w:val="sk-SK"/>
        </w:rPr>
        <w:t>u sodného je p</w:t>
      </w:r>
      <w:r w:rsidR="000E2030" w:rsidRPr="00921EF2">
        <w:rPr>
          <w:sz w:val="22"/>
          <w:szCs w:val="22"/>
          <w:lang w:val="sk-SK"/>
        </w:rPr>
        <w:t>o</w:t>
      </w:r>
      <w:r w:rsidRPr="00921EF2">
        <w:rPr>
          <w:sz w:val="22"/>
          <w:szCs w:val="22"/>
          <w:lang w:val="sk-SK"/>
        </w:rPr>
        <w:t xml:space="preserve"> perorálnom </w:t>
      </w:r>
      <w:r w:rsidR="000E2030" w:rsidRPr="00921EF2">
        <w:rPr>
          <w:sz w:val="22"/>
          <w:szCs w:val="22"/>
          <w:lang w:val="sk-SK"/>
        </w:rPr>
        <w:t xml:space="preserve">alebo intravenóznom </w:t>
      </w:r>
      <w:r w:rsidRPr="00921EF2">
        <w:rPr>
          <w:sz w:val="22"/>
          <w:szCs w:val="22"/>
          <w:lang w:val="sk-SK"/>
        </w:rPr>
        <w:t>podaní takmer 100</w:t>
      </w:r>
      <w:r w:rsidR="00C24E7B" w:rsidRPr="00921EF2">
        <w:rPr>
          <w:sz w:val="22"/>
          <w:szCs w:val="22"/>
          <w:lang w:val="sk-SK"/>
        </w:rPr>
        <w:t> </w:t>
      </w:r>
      <w:r w:rsidRPr="00921EF2">
        <w:rPr>
          <w:sz w:val="22"/>
          <w:szCs w:val="22"/>
          <w:lang w:val="sk-SK"/>
        </w:rPr>
        <w:t>%.</w:t>
      </w:r>
    </w:p>
    <w:p w14:paraId="0721EBDB" w14:textId="77777777" w:rsidR="00977BF3" w:rsidRPr="00921EF2" w:rsidRDefault="00977BF3" w:rsidP="00B124D9">
      <w:pPr>
        <w:rPr>
          <w:sz w:val="22"/>
          <w:szCs w:val="22"/>
          <w:lang w:val="sk-SK"/>
        </w:rPr>
      </w:pPr>
    </w:p>
    <w:p w14:paraId="3B61E622" w14:textId="77777777" w:rsidR="000E5248" w:rsidRDefault="00707D8A" w:rsidP="00B124D9">
      <w:pPr>
        <w:rPr>
          <w:sz w:val="22"/>
          <w:szCs w:val="22"/>
          <w:lang w:val="sk-SK"/>
        </w:rPr>
      </w:pPr>
      <w:r w:rsidRPr="00921EF2">
        <w:rPr>
          <w:sz w:val="22"/>
          <w:szCs w:val="22"/>
          <w:lang w:val="sk-SK"/>
        </w:rPr>
        <w:t xml:space="preserve">Distribučný objem </w:t>
      </w:r>
      <w:r w:rsidR="00977BF3" w:rsidRPr="00921EF2">
        <w:rPr>
          <w:sz w:val="22"/>
          <w:szCs w:val="22"/>
          <w:lang w:val="sk-SK"/>
        </w:rPr>
        <w:t xml:space="preserve">je </w:t>
      </w:r>
      <w:r w:rsidRPr="00921EF2">
        <w:rPr>
          <w:sz w:val="22"/>
          <w:szCs w:val="22"/>
          <w:lang w:val="sk-SK"/>
        </w:rPr>
        <w:t xml:space="preserve">obmedzený </w:t>
      </w:r>
      <w:r w:rsidR="00977BF3" w:rsidRPr="00921EF2">
        <w:rPr>
          <w:sz w:val="22"/>
          <w:szCs w:val="22"/>
          <w:lang w:val="sk-SK"/>
        </w:rPr>
        <w:t xml:space="preserve">hlavne </w:t>
      </w:r>
      <w:r w:rsidRPr="00921EF2">
        <w:rPr>
          <w:sz w:val="22"/>
          <w:szCs w:val="22"/>
          <w:lang w:val="sk-SK"/>
        </w:rPr>
        <w:t>na krv a </w:t>
      </w:r>
      <w:r w:rsidR="00977BF3" w:rsidRPr="00921EF2">
        <w:rPr>
          <w:sz w:val="22"/>
          <w:szCs w:val="22"/>
          <w:lang w:val="sk-SK"/>
        </w:rPr>
        <w:t>rýchlo</w:t>
      </w:r>
      <w:r w:rsidRPr="00921EF2">
        <w:rPr>
          <w:sz w:val="22"/>
          <w:szCs w:val="22"/>
          <w:lang w:val="sk-SK"/>
        </w:rPr>
        <w:t xml:space="preserve"> sa obmieňajúcu</w:t>
      </w:r>
      <w:r w:rsidR="00977BF3" w:rsidRPr="00921EF2">
        <w:rPr>
          <w:sz w:val="22"/>
          <w:szCs w:val="22"/>
          <w:lang w:val="sk-SK"/>
        </w:rPr>
        <w:t xml:space="preserve"> extracelulárn</w:t>
      </w:r>
      <w:r w:rsidRPr="00921EF2">
        <w:rPr>
          <w:sz w:val="22"/>
          <w:szCs w:val="22"/>
          <w:lang w:val="sk-SK"/>
        </w:rPr>
        <w:t>u</w:t>
      </w:r>
      <w:r w:rsidR="00977BF3" w:rsidRPr="00921EF2">
        <w:rPr>
          <w:sz w:val="22"/>
          <w:szCs w:val="22"/>
          <w:lang w:val="sk-SK"/>
        </w:rPr>
        <w:t xml:space="preserve"> tekutin</w:t>
      </w:r>
      <w:r w:rsidRPr="00921EF2">
        <w:rPr>
          <w:sz w:val="22"/>
          <w:szCs w:val="22"/>
          <w:lang w:val="sk-SK"/>
        </w:rPr>
        <w:t>u</w:t>
      </w:r>
      <w:r w:rsidR="00977BF3" w:rsidRPr="00921EF2">
        <w:rPr>
          <w:sz w:val="22"/>
          <w:szCs w:val="22"/>
          <w:lang w:val="sk-SK"/>
        </w:rPr>
        <w:t xml:space="preserve">. Koncentrácia kyseliny valproovej v cerebrospinálnom moku </w:t>
      </w:r>
      <w:r w:rsidRPr="00921EF2">
        <w:rPr>
          <w:sz w:val="22"/>
          <w:szCs w:val="22"/>
          <w:lang w:val="sk-SK"/>
        </w:rPr>
        <w:t xml:space="preserve">sa </w:t>
      </w:r>
      <w:r w:rsidR="00977BF3" w:rsidRPr="00921EF2">
        <w:rPr>
          <w:sz w:val="22"/>
          <w:szCs w:val="22"/>
          <w:lang w:val="sk-SK"/>
        </w:rPr>
        <w:t>blí</w:t>
      </w:r>
      <w:r w:rsidRPr="00921EF2">
        <w:rPr>
          <w:sz w:val="22"/>
          <w:szCs w:val="22"/>
          <w:lang w:val="sk-SK"/>
        </w:rPr>
        <w:t xml:space="preserve">ži k hodnotám jej </w:t>
      </w:r>
      <w:r w:rsidR="00977BF3" w:rsidRPr="00921EF2">
        <w:rPr>
          <w:sz w:val="22"/>
          <w:szCs w:val="22"/>
          <w:lang w:val="sk-SK"/>
        </w:rPr>
        <w:t>koncentráci</w:t>
      </w:r>
      <w:r w:rsidRPr="00921EF2">
        <w:rPr>
          <w:sz w:val="22"/>
          <w:szCs w:val="22"/>
          <w:lang w:val="sk-SK"/>
        </w:rPr>
        <w:t>e</w:t>
      </w:r>
      <w:r w:rsidR="00977BF3" w:rsidRPr="00921EF2">
        <w:rPr>
          <w:sz w:val="22"/>
          <w:szCs w:val="22"/>
          <w:lang w:val="sk-SK"/>
        </w:rPr>
        <w:t xml:space="preserve"> </w:t>
      </w:r>
      <w:r w:rsidRPr="00921EF2">
        <w:rPr>
          <w:sz w:val="22"/>
          <w:szCs w:val="22"/>
          <w:lang w:val="sk-SK"/>
        </w:rPr>
        <w:t>v</w:t>
      </w:r>
      <w:r w:rsidR="00D8305B" w:rsidRPr="00921EF2">
        <w:rPr>
          <w:sz w:val="22"/>
          <w:szCs w:val="22"/>
          <w:lang w:val="sk-SK"/>
        </w:rPr>
        <w:t> </w:t>
      </w:r>
      <w:r w:rsidRPr="00921EF2">
        <w:rPr>
          <w:sz w:val="22"/>
          <w:szCs w:val="22"/>
          <w:lang w:val="sk-SK"/>
        </w:rPr>
        <w:t>plazme</w:t>
      </w:r>
      <w:r w:rsidR="00977BF3" w:rsidRPr="00921EF2">
        <w:rPr>
          <w:sz w:val="22"/>
          <w:szCs w:val="22"/>
          <w:lang w:val="sk-SK"/>
        </w:rPr>
        <w:t xml:space="preserve">. </w:t>
      </w:r>
    </w:p>
    <w:p w14:paraId="35C67B52" w14:textId="77777777" w:rsidR="000E5248" w:rsidRPr="000E5248" w:rsidRDefault="000E5248" w:rsidP="000E5248">
      <w:pPr>
        <w:rPr>
          <w:sz w:val="22"/>
          <w:szCs w:val="22"/>
          <w:lang w:val="sk-SK"/>
        </w:rPr>
      </w:pPr>
      <w:r w:rsidRPr="000E5248">
        <w:rPr>
          <w:sz w:val="22"/>
          <w:szCs w:val="22"/>
          <w:lang w:val="sk-SK"/>
        </w:rPr>
        <w:t>Prechod placentou (pozri časť 4.6)</w:t>
      </w:r>
    </w:p>
    <w:p w14:paraId="1A75D1E2" w14:textId="77777777" w:rsidR="000E5248" w:rsidRPr="000E5248" w:rsidRDefault="000E5248" w:rsidP="000E5248">
      <w:pPr>
        <w:rPr>
          <w:sz w:val="22"/>
          <w:szCs w:val="22"/>
          <w:lang w:val="sk-SK"/>
        </w:rPr>
      </w:pPr>
      <w:r w:rsidRPr="000E5248">
        <w:rPr>
          <w:sz w:val="22"/>
          <w:szCs w:val="22"/>
          <w:lang w:val="sk-SK"/>
        </w:rPr>
        <w:t>Valproát prechádza cez placentárnu bariéru u zvierat a u ľudí</w:t>
      </w:r>
    </w:p>
    <w:p w14:paraId="35017D74" w14:textId="77777777" w:rsidR="000E5248" w:rsidRPr="000E5248" w:rsidRDefault="000E5248" w:rsidP="000E5248">
      <w:pPr>
        <w:numPr>
          <w:ilvl w:val="0"/>
          <w:numId w:val="26"/>
        </w:numPr>
        <w:ind w:left="284" w:hanging="284"/>
        <w:rPr>
          <w:sz w:val="22"/>
          <w:szCs w:val="22"/>
          <w:lang w:val="sk-SK"/>
        </w:rPr>
      </w:pPr>
      <w:r w:rsidRPr="000E5248">
        <w:rPr>
          <w:sz w:val="22"/>
          <w:szCs w:val="22"/>
          <w:lang w:val="sk-SK"/>
        </w:rPr>
        <w:t>U zvierat prechádza valproát placentou do podobnej miery ako u ľudí.</w:t>
      </w:r>
    </w:p>
    <w:p w14:paraId="1536A761" w14:textId="77777777" w:rsidR="000E5248" w:rsidRPr="000E5248" w:rsidRDefault="000E5248" w:rsidP="000E5248">
      <w:pPr>
        <w:numPr>
          <w:ilvl w:val="0"/>
          <w:numId w:val="26"/>
        </w:numPr>
        <w:ind w:left="284" w:hanging="284"/>
        <w:rPr>
          <w:sz w:val="22"/>
          <w:szCs w:val="22"/>
          <w:lang w:val="sk-SK"/>
        </w:rPr>
      </w:pPr>
      <w:r w:rsidRPr="000E5248">
        <w:rPr>
          <w:sz w:val="22"/>
          <w:szCs w:val="22"/>
          <w:lang w:val="sk-SK"/>
        </w:rPr>
        <w:t>U ľudí, bola koncentrácia valproátu v pupočnej šnúre u novorodencov pri pôrode hodnotená v niekoľkých publikáciách. Koncentrácia valproátu v sére pupočnej šnúry, ktorá predstavuje koncentráciu valproátu v plode, bola podobná alebo mierne vyššia ako u matiek.</w:t>
      </w:r>
    </w:p>
    <w:p w14:paraId="6CBFFEB7" w14:textId="77777777" w:rsidR="000E5248" w:rsidRPr="001B59B9" w:rsidRDefault="000E5248" w:rsidP="001B59B9">
      <w:pPr>
        <w:ind w:left="284"/>
        <w:rPr>
          <w:sz w:val="22"/>
          <w:highlight w:val="cyan"/>
          <w:lang w:val="sk-SK"/>
        </w:rPr>
      </w:pPr>
    </w:p>
    <w:p w14:paraId="1C9BA174" w14:textId="77777777" w:rsidR="00977BF3" w:rsidRPr="00921EF2" w:rsidRDefault="00977BF3" w:rsidP="00B124D9">
      <w:pPr>
        <w:rPr>
          <w:sz w:val="22"/>
          <w:szCs w:val="22"/>
          <w:lang w:val="sk-SK"/>
        </w:rPr>
      </w:pPr>
      <w:r w:rsidRPr="00921EF2">
        <w:rPr>
          <w:sz w:val="22"/>
          <w:szCs w:val="22"/>
          <w:lang w:val="sk-SK"/>
        </w:rPr>
        <w:t xml:space="preserve"> </w:t>
      </w:r>
      <w:r w:rsidR="00425508" w:rsidRPr="00921EF2">
        <w:rPr>
          <w:sz w:val="22"/>
          <w:szCs w:val="22"/>
          <w:lang w:val="sk-SK"/>
        </w:rPr>
        <w:t>Pri podávaní</w:t>
      </w:r>
      <w:r w:rsidRPr="00921EF2">
        <w:rPr>
          <w:sz w:val="22"/>
          <w:szCs w:val="22"/>
          <w:lang w:val="sk-SK"/>
        </w:rPr>
        <w:t xml:space="preserve"> dojčiacim matkám </w:t>
      </w:r>
      <w:r w:rsidR="00425508" w:rsidRPr="00921EF2">
        <w:rPr>
          <w:sz w:val="22"/>
          <w:szCs w:val="22"/>
          <w:lang w:val="sk-SK"/>
        </w:rPr>
        <w:t xml:space="preserve">sa vylučuje </w:t>
      </w:r>
      <w:r w:rsidRPr="00921EF2">
        <w:rPr>
          <w:sz w:val="22"/>
          <w:szCs w:val="22"/>
          <w:lang w:val="sk-SK"/>
        </w:rPr>
        <w:t xml:space="preserve">do materského mlieka vo veľmi </w:t>
      </w:r>
      <w:r w:rsidR="00425508" w:rsidRPr="00921EF2">
        <w:rPr>
          <w:sz w:val="22"/>
          <w:szCs w:val="22"/>
          <w:lang w:val="sk-SK"/>
        </w:rPr>
        <w:t xml:space="preserve">nízkych </w:t>
      </w:r>
      <w:r w:rsidRPr="00921EF2">
        <w:rPr>
          <w:sz w:val="22"/>
          <w:szCs w:val="22"/>
          <w:lang w:val="sk-SK"/>
        </w:rPr>
        <w:t>koncentráci</w:t>
      </w:r>
      <w:r w:rsidR="00425508" w:rsidRPr="00921EF2">
        <w:rPr>
          <w:sz w:val="22"/>
          <w:szCs w:val="22"/>
          <w:lang w:val="sk-SK"/>
        </w:rPr>
        <w:t>ách</w:t>
      </w:r>
      <w:r w:rsidRPr="00921EF2">
        <w:rPr>
          <w:sz w:val="22"/>
          <w:szCs w:val="22"/>
          <w:lang w:val="sk-SK"/>
        </w:rPr>
        <w:t xml:space="preserve"> (</w:t>
      </w:r>
      <w:r w:rsidR="00425508" w:rsidRPr="00921EF2">
        <w:rPr>
          <w:sz w:val="22"/>
          <w:szCs w:val="22"/>
          <w:lang w:val="sk-SK"/>
        </w:rPr>
        <w:t xml:space="preserve">medzi </w:t>
      </w:r>
      <w:r w:rsidRPr="00921EF2">
        <w:rPr>
          <w:sz w:val="22"/>
          <w:szCs w:val="22"/>
          <w:lang w:val="sk-SK"/>
        </w:rPr>
        <w:t>1</w:t>
      </w:r>
      <w:r w:rsidR="00092C0A" w:rsidRPr="00921EF2">
        <w:rPr>
          <w:sz w:val="22"/>
          <w:szCs w:val="22"/>
          <w:lang w:val="sk-SK"/>
        </w:rPr>
        <w:t> </w:t>
      </w:r>
      <w:r w:rsidR="00C24E7B" w:rsidRPr="00921EF2">
        <w:rPr>
          <w:sz w:val="22"/>
          <w:szCs w:val="22"/>
          <w:lang w:val="sk-SK"/>
        </w:rPr>
        <w:t>–</w:t>
      </w:r>
      <w:r w:rsidR="00092C0A" w:rsidRPr="00921EF2">
        <w:rPr>
          <w:sz w:val="22"/>
          <w:szCs w:val="22"/>
          <w:lang w:val="sk-SK"/>
        </w:rPr>
        <w:t> </w:t>
      </w:r>
      <w:r w:rsidRPr="00921EF2">
        <w:rPr>
          <w:sz w:val="22"/>
          <w:szCs w:val="22"/>
          <w:lang w:val="sk-SK"/>
        </w:rPr>
        <w:t>10</w:t>
      </w:r>
      <w:r w:rsidR="00C24E7B" w:rsidRPr="00921EF2">
        <w:rPr>
          <w:sz w:val="22"/>
          <w:szCs w:val="22"/>
          <w:lang w:val="sk-SK"/>
        </w:rPr>
        <w:t xml:space="preserve"> </w:t>
      </w:r>
      <w:r w:rsidRPr="00921EF2">
        <w:rPr>
          <w:sz w:val="22"/>
          <w:szCs w:val="22"/>
          <w:lang w:val="sk-SK"/>
        </w:rPr>
        <w:t>% celkovej koncentrácie v sére).</w:t>
      </w:r>
    </w:p>
    <w:p w14:paraId="198D9312" w14:textId="77777777" w:rsidR="00977BF3" w:rsidRPr="00921EF2" w:rsidRDefault="00977BF3" w:rsidP="00B124D9">
      <w:pPr>
        <w:rPr>
          <w:sz w:val="22"/>
          <w:szCs w:val="22"/>
          <w:lang w:val="sk-SK"/>
        </w:rPr>
      </w:pPr>
    </w:p>
    <w:p w14:paraId="674FC84B" w14:textId="77777777" w:rsidR="00977BF3" w:rsidRPr="00921EF2" w:rsidRDefault="00425508" w:rsidP="00B124D9">
      <w:pPr>
        <w:rPr>
          <w:sz w:val="22"/>
          <w:szCs w:val="22"/>
          <w:lang w:val="sk-SK"/>
        </w:rPr>
      </w:pPr>
      <w:r w:rsidRPr="00921EF2">
        <w:rPr>
          <w:sz w:val="22"/>
          <w:szCs w:val="22"/>
          <w:lang w:val="sk-SK"/>
        </w:rPr>
        <w:t>P</w:t>
      </w:r>
      <w:r w:rsidR="00977BF3" w:rsidRPr="00921EF2">
        <w:rPr>
          <w:sz w:val="22"/>
          <w:szCs w:val="22"/>
          <w:lang w:val="sk-SK"/>
        </w:rPr>
        <w:t>ri perorálnom pod</w:t>
      </w:r>
      <w:r w:rsidRPr="00921EF2">
        <w:rPr>
          <w:sz w:val="22"/>
          <w:szCs w:val="22"/>
          <w:lang w:val="sk-SK"/>
        </w:rPr>
        <w:t>áv</w:t>
      </w:r>
      <w:r w:rsidR="00977BF3" w:rsidRPr="00921EF2">
        <w:rPr>
          <w:sz w:val="22"/>
          <w:szCs w:val="22"/>
          <w:lang w:val="sk-SK"/>
        </w:rPr>
        <w:t xml:space="preserve">aní </w:t>
      </w:r>
      <w:r w:rsidRPr="00921EF2">
        <w:rPr>
          <w:sz w:val="22"/>
          <w:szCs w:val="22"/>
          <w:lang w:val="sk-SK"/>
        </w:rPr>
        <w:t xml:space="preserve">sa rovnovážna plazmatická koncentrácia </w:t>
      </w:r>
      <w:r w:rsidR="00977BF3" w:rsidRPr="00921EF2">
        <w:rPr>
          <w:sz w:val="22"/>
          <w:szCs w:val="22"/>
          <w:lang w:val="sk-SK"/>
        </w:rPr>
        <w:t>dos</w:t>
      </w:r>
      <w:r w:rsidRPr="00921EF2">
        <w:rPr>
          <w:sz w:val="22"/>
          <w:szCs w:val="22"/>
          <w:lang w:val="sk-SK"/>
        </w:rPr>
        <w:t>iahne pomerne</w:t>
      </w:r>
      <w:r w:rsidR="00977BF3" w:rsidRPr="00921EF2">
        <w:rPr>
          <w:sz w:val="22"/>
          <w:szCs w:val="22"/>
          <w:lang w:val="sk-SK"/>
        </w:rPr>
        <w:t xml:space="preserve"> rýchlo </w:t>
      </w:r>
      <w:r w:rsidRPr="00921EF2">
        <w:rPr>
          <w:sz w:val="22"/>
          <w:szCs w:val="22"/>
          <w:lang w:val="sk-SK"/>
        </w:rPr>
        <w:t xml:space="preserve">- za </w:t>
      </w:r>
      <w:r w:rsidR="00977BF3" w:rsidRPr="00921EF2">
        <w:rPr>
          <w:sz w:val="22"/>
          <w:szCs w:val="22"/>
          <w:lang w:val="sk-SK"/>
        </w:rPr>
        <w:t>3</w:t>
      </w:r>
      <w:r w:rsidR="00092C0A" w:rsidRPr="00921EF2">
        <w:rPr>
          <w:sz w:val="22"/>
          <w:szCs w:val="22"/>
          <w:lang w:val="sk-SK"/>
        </w:rPr>
        <w:t> </w:t>
      </w:r>
      <w:r w:rsidRPr="00921EF2">
        <w:rPr>
          <w:sz w:val="22"/>
          <w:szCs w:val="22"/>
          <w:lang w:val="sk-SK"/>
        </w:rPr>
        <w:t>až</w:t>
      </w:r>
      <w:r w:rsidR="00092C0A" w:rsidRPr="00921EF2">
        <w:rPr>
          <w:sz w:val="22"/>
          <w:szCs w:val="22"/>
          <w:lang w:val="sk-SK"/>
        </w:rPr>
        <w:t> </w:t>
      </w:r>
      <w:r w:rsidR="00977BF3" w:rsidRPr="00921EF2">
        <w:rPr>
          <w:sz w:val="22"/>
          <w:szCs w:val="22"/>
          <w:lang w:val="sk-SK"/>
        </w:rPr>
        <w:t>4 dni</w:t>
      </w:r>
      <w:r w:rsidRPr="00921EF2">
        <w:rPr>
          <w:sz w:val="22"/>
          <w:szCs w:val="22"/>
          <w:lang w:val="sk-SK"/>
        </w:rPr>
        <w:t>;</w:t>
      </w:r>
      <w:r w:rsidR="00977BF3" w:rsidRPr="00921EF2">
        <w:rPr>
          <w:sz w:val="22"/>
          <w:szCs w:val="22"/>
          <w:lang w:val="sk-SK"/>
        </w:rPr>
        <w:t xml:space="preserve"> pri</w:t>
      </w:r>
      <w:r w:rsidRPr="00921EF2">
        <w:rPr>
          <w:sz w:val="22"/>
          <w:szCs w:val="22"/>
          <w:lang w:val="sk-SK"/>
        </w:rPr>
        <w:t xml:space="preserve"> intravenóznom</w:t>
      </w:r>
      <w:r w:rsidR="00977BF3" w:rsidRPr="00921EF2">
        <w:rPr>
          <w:sz w:val="22"/>
          <w:szCs w:val="22"/>
          <w:lang w:val="sk-SK"/>
        </w:rPr>
        <w:t xml:space="preserve"> podaní sa </w:t>
      </w:r>
      <w:r w:rsidR="00611389" w:rsidRPr="00921EF2">
        <w:rPr>
          <w:sz w:val="22"/>
          <w:szCs w:val="22"/>
          <w:lang w:val="sk-SK"/>
        </w:rPr>
        <w:t>rovnovážna plazmatická koncentrácia</w:t>
      </w:r>
      <w:r w:rsidR="00977BF3" w:rsidRPr="00921EF2">
        <w:rPr>
          <w:sz w:val="22"/>
          <w:szCs w:val="22"/>
          <w:lang w:val="sk-SK"/>
        </w:rPr>
        <w:t xml:space="preserve"> </w:t>
      </w:r>
      <w:r w:rsidRPr="00921EF2">
        <w:rPr>
          <w:sz w:val="22"/>
          <w:szCs w:val="22"/>
          <w:lang w:val="sk-SK"/>
        </w:rPr>
        <w:t xml:space="preserve">dosiahne </w:t>
      </w:r>
      <w:r w:rsidR="00977BF3" w:rsidRPr="00921EF2">
        <w:rPr>
          <w:sz w:val="22"/>
          <w:szCs w:val="22"/>
          <w:lang w:val="sk-SK"/>
        </w:rPr>
        <w:t>o niekoľko minút a</w:t>
      </w:r>
      <w:r w:rsidRPr="00921EF2">
        <w:rPr>
          <w:sz w:val="22"/>
          <w:szCs w:val="22"/>
          <w:lang w:val="sk-SK"/>
        </w:rPr>
        <w:t xml:space="preserve"> potom sa </w:t>
      </w:r>
      <w:r w:rsidR="00977BF3" w:rsidRPr="00921EF2">
        <w:rPr>
          <w:sz w:val="22"/>
          <w:szCs w:val="22"/>
          <w:lang w:val="sk-SK"/>
        </w:rPr>
        <w:t>udrž</w:t>
      </w:r>
      <w:r w:rsidRPr="00921EF2">
        <w:rPr>
          <w:sz w:val="22"/>
          <w:szCs w:val="22"/>
          <w:lang w:val="sk-SK"/>
        </w:rPr>
        <w:t>uje</w:t>
      </w:r>
      <w:r w:rsidR="00977BF3" w:rsidRPr="00921EF2">
        <w:rPr>
          <w:sz w:val="22"/>
          <w:szCs w:val="22"/>
          <w:lang w:val="sk-SK"/>
        </w:rPr>
        <w:t xml:space="preserve"> </w:t>
      </w:r>
      <w:r w:rsidRPr="00921EF2">
        <w:rPr>
          <w:sz w:val="22"/>
          <w:szCs w:val="22"/>
          <w:lang w:val="sk-SK"/>
        </w:rPr>
        <w:t>intravenóznou</w:t>
      </w:r>
      <w:r w:rsidR="00977BF3" w:rsidRPr="00921EF2">
        <w:rPr>
          <w:sz w:val="22"/>
          <w:szCs w:val="22"/>
          <w:lang w:val="sk-SK"/>
        </w:rPr>
        <w:t xml:space="preserve"> infúziou.</w:t>
      </w:r>
    </w:p>
    <w:p w14:paraId="7AC3CC45" w14:textId="77777777" w:rsidR="00977BF3" w:rsidRPr="00921EF2" w:rsidRDefault="00977BF3" w:rsidP="00B124D9">
      <w:pPr>
        <w:numPr>
          <w:ilvl w:val="12"/>
          <w:numId w:val="0"/>
        </w:numPr>
        <w:rPr>
          <w:sz w:val="22"/>
          <w:szCs w:val="22"/>
          <w:lang w:val="sk-SK"/>
        </w:rPr>
      </w:pPr>
    </w:p>
    <w:p w14:paraId="448069E7" w14:textId="6BE4CEFD" w:rsidR="00977BF3" w:rsidRPr="00921EF2" w:rsidRDefault="0023483F" w:rsidP="00B124D9">
      <w:pPr>
        <w:rPr>
          <w:sz w:val="22"/>
          <w:szCs w:val="22"/>
          <w:lang w:val="sk-SK"/>
        </w:rPr>
      </w:pPr>
      <w:r w:rsidRPr="00921EF2">
        <w:rPr>
          <w:sz w:val="22"/>
          <w:szCs w:val="22"/>
          <w:lang w:val="sk-SK"/>
        </w:rPr>
        <w:t>Valproát</w:t>
      </w:r>
      <w:r w:rsidR="00977BF3" w:rsidRPr="00921EF2">
        <w:rPr>
          <w:sz w:val="22"/>
          <w:szCs w:val="22"/>
          <w:lang w:val="sk-SK"/>
        </w:rPr>
        <w:t xml:space="preserve"> sa </w:t>
      </w:r>
      <w:r w:rsidR="00425508" w:rsidRPr="00921EF2">
        <w:rPr>
          <w:sz w:val="22"/>
          <w:szCs w:val="22"/>
          <w:lang w:val="sk-SK"/>
        </w:rPr>
        <w:t xml:space="preserve">vo vysokej miere </w:t>
      </w:r>
      <w:r w:rsidR="00977BF3" w:rsidRPr="00921EF2">
        <w:rPr>
          <w:sz w:val="22"/>
          <w:szCs w:val="22"/>
          <w:lang w:val="sk-SK"/>
        </w:rPr>
        <w:t xml:space="preserve">viaže na plazmatické proteíny, </w:t>
      </w:r>
      <w:r w:rsidR="00425508" w:rsidRPr="00921EF2">
        <w:rPr>
          <w:sz w:val="22"/>
          <w:szCs w:val="22"/>
          <w:lang w:val="sk-SK"/>
        </w:rPr>
        <w:t xml:space="preserve">táto </w:t>
      </w:r>
      <w:r w:rsidR="00977BF3" w:rsidRPr="00921EF2">
        <w:rPr>
          <w:sz w:val="22"/>
          <w:szCs w:val="22"/>
          <w:lang w:val="sk-SK"/>
        </w:rPr>
        <w:t xml:space="preserve">väzba </w:t>
      </w:r>
      <w:r w:rsidR="00425508" w:rsidRPr="00921EF2">
        <w:rPr>
          <w:sz w:val="22"/>
          <w:szCs w:val="22"/>
          <w:lang w:val="sk-SK"/>
        </w:rPr>
        <w:t xml:space="preserve">závisí </w:t>
      </w:r>
      <w:r w:rsidR="00977BF3" w:rsidRPr="00921EF2">
        <w:rPr>
          <w:sz w:val="22"/>
          <w:szCs w:val="22"/>
          <w:lang w:val="sk-SK"/>
        </w:rPr>
        <w:t>od dávky a saturácie.</w:t>
      </w:r>
    </w:p>
    <w:p w14:paraId="0D6BA00F" w14:textId="77777777" w:rsidR="00977BF3" w:rsidRPr="00921EF2" w:rsidRDefault="00977BF3" w:rsidP="00B124D9">
      <w:pPr>
        <w:numPr>
          <w:ilvl w:val="12"/>
          <w:numId w:val="0"/>
        </w:numPr>
        <w:rPr>
          <w:sz w:val="22"/>
          <w:szCs w:val="22"/>
          <w:lang w:val="sk-SK"/>
        </w:rPr>
      </w:pPr>
    </w:p>
    <w:p w14:paraId="74E80A75" w14:textId="5CB7F05B" w:rsidR="00977BF3" w:rsidRPr="00921EF2" w:rsidRDefault="00425508" w:rsidP="00B124D9">
      <w:pPr>
        <w:rPr>
          <w:sz w:val="22"/>
          <w:szCs w:val="22"/>
          <w:lang w:val="sk-SK"/>
        </w:rPr>
      </w:pPr>
      <w:r w:rsidRPr="00921EF2">
        <w:rPr>
          <w:sz w:val="22"/>
          <w:szCs w:val="22"/>
          <w:lang w:val="sk-SK"/>
        </w:rPr>
        <w:t xml:space="preserve">Molekula </w:t>
      </w:r>
      <w:r w:rsidR="0023483F" w:rsidRPr="00921EF2">
        <w:rPr>
          <w:sz w:val="22"/>
          <w:szCs w:val="22"/>
          <w:lang w:val="sk-SK"/>
        </w:rPr>
        <w:t>valproát</w:t>
      </w:r>
      <w:r w:rsidR="00977BF3" w:rsidRPr="00921EF2">
        <w:rPr>
          <w:sz w:val="22"/>
          <w:szCs w:val="22"/>
          <w:lang w:val="sk-SK"/>
        </w:rPr>
        <w:t>u môž</w:t>
      </w:r>
      <w:r w:rsidRPr="00921EF2">
        <w:rPr>
          <w:sz w:val="22"/>
          <w:szCs w:val="22"/>
          <w:lang w:val="sk-SK"/>
        </w:rPr>
        <w:t>e</w:t>
      </w:r>
      <w:r w:rsidR="00977BF3" w:rsidRPr="00921EF2">
        <w:rPr>
          <w:sz w:val="22"/>
          <w:szCs w:val="22"/>
          <w:lang w:val="sk-SK"/>
        </w:rPr>
        <w:t xml:space="preserve"> byť </w:t>
      </w:r>
      <w:r w:rsidR="0066701C" w:rsidRPr="00921EF2">
        <w:rPr>
          <w:sz w:val="22"/>
          <w:szCs w:val="22"/>
          <w:lang w:val="sk-SK"/>
        </w:rPr>
        <w:t>dialyzovaná</w:t>
      </w:r>
      <w:r w:rsidR="00977BF3" w:rsidRPr="00921EF2">
        <w:rPr>
          <w:sz w:val="22"/>
          <w:szCs w:val="22"/>
          <w:lang w:val="sk-SK"/>
        </w:rPr>
        <w:t xml:space="preserve">, </w:t>
      </w:r>
      <w:r w:rsidR="00C22133" w:rsidRPr="00921EF2">
        <w:rPr>
          <w:sz w:val="22"/>
          <w:szCs w:val="22"/>
          <w:lang w:val="sk-SK"/>
        </w:rPr>
        <w:t xml:space="preserve">ale </w:t>
      </w:r>
      <w:r w:rsidR="00977BF3" w:rsidRPr="00921EF2">
        <w:rPr>
          <w:sz w:val="22"/>
          <w:szCs w:val="22"/>
          <w:lang w:val="sk-SK"/>
        </w:rPr>
        <w:t>len voľná forma (približne 10</w:t>
      </w:r>
      <w:r w:rsidR="00C24E7B" w:rsidRPr="00921EF2">
        <w:rPr>
          <w:sz w:val="22"/>
          <w:szCs w:val="22"/>
          <w:lang w:val="sk-SK"/>
        </w:rPr>
        <w:t xml:space="preserve"> </w:t>
      </w:r>
      <w:r w:rsidR="00977BF3" w:rsidRPr="00921EF2">
        <w:rPr>
          <w:sz w:val="22"/>
          <w:szCs w:val="22"/>
          <w:lang w:val="sk-SK"/>
        </w:rPr>
        <w:t>%) sa</w:t>
      </w:r>
      <w:r w:rsidR="00977BF3" w:rsidRPr="00921EF2">
        <w:rPr>
          <w:bCs/>
          <w:sz w:val="22"/>
          <w:szCs w:val="22"/>
          <w:lang w:val="sk-SK"/>
        </w:rPr>
        <w:t xml:space="preserve"> </w:t>
      </w:r>
      <w:r w:rsidR="00977BF3" w:rsidRPr="00921EF2">
        <w:rPr>
          <w:sz w:val="22"/>
          <w:szCs w:val="22"/>
          <w:lang w:val="sk-SK"/>
        </w:rPr>
        <w:t>vylučuje.</w:t>
      </w:r>
    </w:p>
    <w:p w14:paraId="04E60E63" w14:textId="77777777" w:rsidR="00977BF3" w:rsidRPr="00921EF2" w:rsidRDefault="00977BF3" w:rsidP="00B124D9">
      <w:pPr>
        <w:rPr>
          <w:bCs/>
          <w:sz w:val="22"/>
          <w:szCs w:val="22"/>
          <w:lang w:val="sk-SK"/>
        </w:rPr>
      </w:pPr>
    </w:p>
    <w:p w14:paraId="08C2A464" w14:textId="178CC6E7" w:rsidR="00977BF3" w:rsidRPr="00921EF2" w:rsidRDefault="00977BF3" w:rsidP="00B124D9">
      <w:pPr>
        <w:pStyle w:val="Zarkazkladnhotextu2"/>
        <w:ind w:left="0" w:firstLine="0"/>
        <w:rPr>
          <w:bCs/>
          <w:sz w:val="22"/>
          <w:szCs w:val="22"/>
        </w:rPr>
      </w:pPr>
      <w:r w:rsidRPr="00921EF2">
        <w:rPr>
          <w:sz w:val="22"/>
          <w:szCs w:val="22"/>
        </w:rPr>
        <w:t xml:space="preserve">Na rozdiel od iných antiepileptík </w:t>
      </w:r>
      <w:r w:rsidR="0023483F" w:rsidRPr="00921EF2">
        <w:rPr>
          <w:sz w:val="22"/>
          <w:szCs w:val="22"/>
        </w:rPr>
        <w:t>valproát</w:t>
      </w:r>
      <w:r w:rsidRPr="00921EF2">
        <w:rPr>
          <w:sz w:val="22"/>
          <w:szCs w:val="22"/>
        </w:rPr>
        <w:t xml:space="preserve"> sodný </w:t>
      </w:r>
      <w:r w:rsidR="00425508" w:rsidRPr="00921EF2">
        <w:rPr>
          <w:sz w:val="22"/>
          <w:szCs w:val="22"/>
        </w:rPr>
        <w:t xml:space="preserve">nezvyšuje </w:t>
      </w:r>
      <w:r w:rsidRPr="00921EF2">
        <w:rPr>
          <w:sz w:val="22"/>
          <w:szCs w:val="22"/>
        </w:rPr>
        <w:t xml:space="preserve">svoju </w:t>
      </w:r>
      <w:r w:rsidR="00425508" w:rsidRPr="00921EF2">
        <w:rPr>
          <w:sz w:val="22"/>
          <w:szCs w:val="22"/>
        </w:rPr>
        <w:t xml:space="preserve">vlastnú </w:t>
      </w:r>
      <w:r w:rsidRPr="00921EF2">
        <w:rPr>
          <w:sz w:val="22"/>
          <w:szCs w:val="22"/>
        </w:rPr>
        <w:t>degradáciu</w:t>
      </w:r>
      <w:r w:rsidR="00425508" w:rsidRPr="00921EF2">
        <w:rPr>
          <w:sz w:val="22"/>
          <w:szCs w:val="22"/>
        </w:rPr>
        <w:t>,</w:t>
      </w:r>
      <w:r w:rsidRPr="00921EF2">
        <w:rPr>
          <w:sz w:val="22"/>
          <w:szCs w:val="22"/>
        </w:rPr>
        <w:t xml:space="preserve"> a ani degradáciu iných látok, napr. estrogénprogesta</w:t>
      </w:r>
      <w:r w:rsidR="00425508" w:rsidRPr="00921EF2">
        <w:rPr>
          <w:sz w:val="22"/>
          <w:szCs w:val="22"/>
        </w:rPr>
        <w:t>tív</w:t>
      </w:r>
      <w:r w:rsidRPr="00921EF2">
        <w:rPr>
          <w:sz w:val="22"/>
          <w:szCs w:val="22"/>
        </w:rPr>
        <w:t>. Je to v dôsledku absencie enzým indukujúceho efektu zahŕňajúceho cytochróm P450</w:t>
      </w:r>
      <w:r w:rsidRPr="00921EF2">
        <w:rPr>
          <w:bCs/>
          <w:sz w:val="22"/>
          <w:szCs w:val="22"/>
        </w:rPr>
        <w:t>.</w:t>
      </w:r>
    </w:p>
    <w:p w14:paraId="2E293B30" w14:textId="77777777" w:rsidR="00977BF3" w:rsidRPr="00921EF2" w:rsidRDefault="00977BF3" w:rsidP="00B124D9">
      <w:pPr>
        <w:rPr>
          <w:bCs/>
          <w:sz w:val="22"/>
          <w:szCs w:val="22"/>
          <w:lang w:val="sk-SK"/>
        </w:rPr>
      </w:pPr>
    </w:p>
    <w:p w14:paraId="10E38B9C" w14:textId="77777777" w:rsidR="001B35D6" w:rsidRPr="00E01944" w:rsidRDefault="00977BF3" w:rsidP="001B35D6">
      <w:pPr>
        <w:tabs>
          <w:tab w:val="left" w:pos="0"/>
        </w:tabs>
        <w:rPr>
          <w:sz w:val="22"/>
          <w:szCs w:val="22"/>
          <w:lang w:val="sk-SK"/>
        </w:rPr>
      </w:pPr>
      <w:r w:rsidRPr="00921EF2">
        <w:rPr>
          <w:sz w:val="22"/>
          <w:szCs w:val="22"/>
          <w:lang w:val="sk-SK"/>
        </w:rPr>
        <w:t xml:space="preserve">Biologický polčas je </w:t>
      </w:r>
      <w:r w:rsidR="00E84F78" w:rsidRPr="00921EF2">
        <w:rPr>
          <w:sz w:val="22"/>
          <w:szCs w:val="22"/>
          <w:lang w:val="sk-SK"/>
        </w:rPr>
        <w:t xml:space="preserve">cca </w:t>
      </w:r>
      <w:r w:rsidRPr="00921EF2">
        <w:rPr>
          <w:sz w:val="22"/>
          <w:szCs w:val="22"/>
          <w:lang w:val="sk-SK"/>
        </w:rPr>
        <w:t>8</w:t>
      </w:r>
      <w:r w:rsidR="00092C0A" w:rsidRPr="00921EF2">
        <w:rPr>
          <w:sz w:val="22"/>
          <w:szCs w:val="22"/>
          <w:lang w:val="sk-SK"/>
        </w:rPr>
        <w:t> </w:t>
      </w:r>
      <w:r w:rsidR="00425508" w:rsidRPr="00921EF2">
        <w:rPr>
          <w:sz w:val="22"/>
          <w:szCs w:val="22"/>
          <w:lang w:val="sk-SK"/>
        </w:rPr>
        <w:t>až </w:t>
      </w:r>
      <w:r w:rsidRPr="00921EF2">
        <w:rPr>
          <w:sz w:val="22"/>
          <w:szCs w:val="22"/>
          <w:lang w:val="sk-SK"/>
        </w:rPr>
        <w:t xml:space="preserve">20 hodín. </w:t>
      </w:r>
    </w:p>
    <w:p w14:paraId="4A4B8A8D" w14:textId="77777777" w:rsidR="001B35D6" w:rsidRDefault="001B35D6" w:rsidP="001B35D6">
      <w:pPr>
        <w:tabs>
          <w:tab w:val="left" w:pos="0"/>
        </w:tabs>
        <w:rPr>
          <w:sz w:val="22"/>
          <w:szCs w:val="22"/>
          <w:lang w:val="sk-SK"/>
        </w:rPr>
      </w:pPr>
      <w:r w:rsidRPr="00E01944">
        <w:rPr>
          <w:sz w:val="22"/>
          <w:szCs w:val="22"/>
          <w:lang w:val="sk-SK"/>
        </w:rPr>
        <w:t>Deti vo veku nad 10 rokov a dospievajúci majú klírens</w:t>
      </w:r>
      <w:r>
        <w:rPr>
          <w:sz w:val="22"/>
          <w:szCs w:val="22"/>
          <w:lang w:val="sk-SK"/>
        </w:rPr>
        <w:t xml:space="preserve"> valproátu podobný ako dospelí. </w:t>
      </w:r>
      <w:r w:rsidRPr="00E01944">
        <w:rPr>
          <w:sz w:val="22"/>
          <w:szCs w:val="22"/>
          <w:lang w:val="sk-SK"/>
        </w:rPr>
        <w:t>U detských pacientov mladších ako 10 rokov sa systémový klírens valproátu mení s vekom.</w:t>
      </w:r>
      <w:r>
        <w:rPr>
          <w:sz w:val="22"/>
          <w:szCs w:val="22"/>
          <w:lang w:val="sk-SK"/>
        </w:rPr>
        <w:t xml:space="preserve"> </w:t>
      </w:r>
      <w:r w:rsidRPr="00E01944">
        <w:rPr>
          <w:sz w:val="22"/>
          <w:szCs w:val="22"/>
          <w:lang w:val="sk-SK"/>
        </w:rPr>
        <w:t xml:space="preserve">U novorodencov a dojčiat do 2 mesiacov je klírens valproátu v porovnaní s dospelými znížený a je najnižší bezprostredne po narodení. V prehľade vedeckej literatúry sa ukázala značná variabilita polčasu valproátu u dojčiat </w:t>
      </w:r>
      <w:r w:rsidRPr="00E01944">
        <w:rPr>
          <w:sz w:val="22"/>
          <w:szCs w:val="22"/>
          <w:lang w:val="sk-SK"/>
        </w:rPr>
        <w:lastRenderedPageBreak/>
        <w:t>mladších ako dva mesiace v rozmedzí od 1 do 67 hodín. U detí vo veku 2 až 10 rokov je klírens valproátu o 50 % vyšší ako u dospelých.</w:t>
      </w:r>
    </w:p>
    <w:p w14:paraId="1E5A4E31" w14:textId="77777777" w:rsidR="000218C2" w:rsidRPr="00921EF2" w:rsidRDefault="000218C2" w:rsidP="00B124D9">
      <w:pPr>
        <w:rPr>
          <w:color w:val="222222"/>
          <w:sz w:val="22"/>
          <w:szCs w:val="22"/>
        </w:rPr>
      </w:pPr>
    </w:p>
    <w:p w14:paraId="09767775" w14:textId="25F9A386" w:rsidR="000218C2" w:rsidRPr="00921EF2" w:rsidRDefault="000218C2" w:rsidP="00B124D9">
      <w:pPr>
        <w:rPr>
          <w:sz w:val="22"/>
          <w:szCs w:val="22"/>
          <w:lang w:val="sk-SK"/>
        </w:rPr>
      </w:pPr>
      <w:r w:rsidRPr="00921EF2">
        <w:rPr>
          <w:color w:val="222222"/>
          <w:sz w:val="22"/>
          <w:szCs w:val="22"/>
        </w:rPr>
        <w:t xml:space="preserve">Hlavnou cestou biotransformácie </w:t>
      </w:r>
      <w:r w:rsidR="0023483F" w:rsidRPr="00921EF2">
        <w:rPr>
          <w:color w:val="222222"/>
          <w:sz w:val="22"/>
          <w:szCs w:val="22"/>
        </w:rPr>
        <w:t>valproát</w:t>
      </w:r>
      <w:r w:rsidRPr="00921EF2">
        <w:rPr>
          <w:color w:val="222222"/>
          <w:sz w:val="22"/>
          <w:szCs w:val="22"/>
        </w:rPr>
        <w:t>u je glukuronidácia (~ 40 %), hlavne prostredníctvom UGT1A6, UGT1A9 a UGT2B7.</w:t>
      </w:r>
      <w:r w:rsidRPr="00921EF2">
        <w:rPr>
          <w:sz w:val="22"/>
          <w:szCs w:val="22"/>
          <w:lang w:val="sk-SK"/>
        </w:rPr>
        <w:t xml:space="preserve"> </w:t>
      </w:r>
    </w:p>
    <w:p w14:paraId="20D18C30" w14:textId="77777777" w:rsidR="00977BF3" w:rsidRPr="00921EF2" w:rsidRDefault="00977BF3" w:rsidP="00B124D9">
      <w:pPr>
        <w:rPr>
          <w:sz w:val="22"/>
          <w:szCs w:val="22"/>
          <w:lang w:val="sk-SK"/>
        </w:rPr>
      </w:pPr>
    </w:p>
    <w:p w14:paraId="21FBC842" w14:textId="75030273" w:rsidR="00977BF3" w:rsidRPr="00921EF2" w:rsidRDefault="0023483F" w:rsidP="00B124D9">
      <w:pPr>
        <w:rPr>
          <w:sz w:val="22"/>
          <w:szCs w:val="22"/>
          <w:lang w:val="sk-SK"/>
        </w:rPr>
      </w:pPr>
      <w:r w:rsidRPr="00921EF2">
        <w:rPr>
          <w:sz w:val="22"/>
          <w:szCs w:val="22"/>
          <w:lang w:val="sk-SK"/>
        </w:rPr>
        <w:t>Valproát</w:t>
      </w:r>
      <w:r w:rsidR="00977BF3" w:rsidRPr="00921EF2">
        <w:rPr>
          <w:sz w:val="22"/>
          <w:szCs w:val="22"/>
          <w:lang w:val="sk-SK"/>
        </w:rPr>
        <w:t xml:space="preserve"> sodný sa vylučuje </w:t>
      </w:r>
      <w:r w:rsidR="00425508" w:rsidRPr="00921EF2">
        <w:rPr>
          <w:sz w:val="22"/>
          <w:szCs w:val="22"/>
          <w:lang w:val="sk-SK"/>
        </w:rPr>
        <w:t xml:space="preserve">najmä </w:t>
      </w:r>
      <w:r w:rsidR="00977BF3" w:rsidRPr="00921EF2">
        <w:rPr>
          <w:sz w:val="22"/>
          <w:szCs w:val="22"/>
          <w:lang w:val="sk-SK"/>
        </w:rPr>
        <w:t>močom</w:t>
      </w:r>
      <w:r w:rsidR="00425508" w:rsidRPr="00921EF2">
        <w:rPr>
          <w:sz w:val="22"/>
          <w:szCs w:val="22"/>
          <w:lang w:val="sk-SK"/>
        </w:rPr>
        <w:t xml:space="preserve"> po</w:t>
      </w:r>
      <w:r w:rsidR="00977BF3" w:rsidRPr="00921EF2">
        <w:rPr>
          <w:sz w:val="22"/>
          <w:szCs w:val="22"/>
          <w:lang w:val="sk-SK"/>
        </w:rPr>
        <w:t xml:space="preserve"> metaboliz</w:t>
      </w:r>
      <w:r w:rsidR="00425508" w:rsidRPr="00921EF2">
        <w:rPr>
          <w:sz w:val="22"/>
          <w:szCs w:val="22"/>
          <w:lang w:val="sk-SK"/>
        </w:rPr>
        <w:t xml:space="preserve">ácii </w:t>
      </w:r>
      <w:r w:rsidR="00977BF3" w:rsidRPr="00921EF2">
        <w:rPr>
          <w:sz w:val="22"/>
          <w:szCs w:val="22"/>
          <w:lang w:val="sk-SK"/>
        </w:rPr>
        <w:t xml:space="preserve">konjugáciou </w:t>
      </w:r>
      <w:r w:rsidR="00425508" w:rsidRPr="00921EF2">
        <w:rPr>
          <w:sz w:val="22"/>
          <w:szCs w:val="22"/>
          <w:lang w:val="sk-SK"/>
        </w:rPr>
        <w:t xml:space="preserve">s kyselinou glukuronovou </w:t>
      </w:r>
      <w:r w:rsidR="00977BF3" w:rsidRPr="00921EF2">
        <w:rPr>
          <w:sz w:val="22"/>
          <w:szCs w:val="22"/>
          <w:lang w:val="sk-SK"/>
        </w:rPr>
        <w:t xml:space="preserve">a </w:t>
      </w:r>
      <w:r w:rsidR="00425508" w:rsidRPr="00921EF2">
        <w:rPr>
          <w:sz w:val="22"/>
          <w:szCs w:val="22"/>
          <w:lang w:val="sk-SK"/>
        </w:rPr>
        <w:t>beta-</w:t>
      </w:r>
      <w:r w:rsidR="00977BF3" w:rsidRPr="00921EF2">
        <w:rPr>
          <w:sz w:val="22"/>
          <w:szCs w:val="22"/>
          <w:lang w:val="sk-SK"/>
        </w:rPr>
        <w:t>oxidáciou.</w:t>
      </w:r>
    </w:p>
    <w:p w14:paraId="533E5601" w14:textId="77777777" w:rsidR="00977BF3" w:rsidRPr="00921EF2" w:rsidRDefault="00977BF3" w:rsidP="00B124D9">
      <w:pPr>
        <w:rPr>
          <w:sz w:val="22"/>
          <w:szCs w:val="22"/>
          <w:lang w:val="sk-SK"/>
        </w:rPr>
      </w:pPr>
    </w:p>
    <w:p w14:paraId="19764FE3" w14:textId="77777777" w:rsidR="00977BF3" w:rsidRPr="00921EF2" w:rsidRDefault="00977BF3" w:rsidP="00B124D9">
      <w:pPr>
        <w:rPr>
          <w:bCs/>
          <w:i/>
          <w:sz w:val="22"/>
          <w:szCs w:val="22"/>
          <w:lang w:val="sk-SK"/>
        </w:rPr>
      </w:pPr>
      <w:r w:rsidRPr="00921EF2">
        <w:rPr>
          <w:bCs/>
          <w:i/>
          <w:sz w:val="22"/>
          <w:szCs w:val="22"/>
          <w:lang w:val="sk-SK"/>
        </w:rPr>
        <w:t xml:space="preserve">Vlastnosti </w:t>
      </w:r>
      <w:r w:rsidR="0078086D" w:rsidRPr="00921EF2">
        <w:rPr>
          <w:i/>
          <w:sz w:val="22"/>
          <w:szCs w:val="22"/>
          <w:lang w:val="sk-SK"/>
        </w:rPr>
        <w:t>Orfiril long</w:t>
      </w:r>
    </w:p>
    <w:p w14:paraId="6AE3840A" w14:textId="77777777" w:rsidR="00977BF3" w:rsidRPr="00921EF2" w:rsidRDefault="00977BF3" w:rsidP="00B124D9">
      <w:pPr>
        <w:rPr>
          <w:sz w:val="22"/>
          <w:szCs w:val="22"/>
          <w:lang w:val="sk-SK"/>
        </w:rPr>
      </w:pPr>
      <w:r w:rsidRPr="00921EF2">
        <w:rPr>
          <w:sz w:val="22"/>
          <w:szCs w:val="22"/>
          <w:lang w:val="sk-SK"/>
        </w:rPr>
        <w:t xml:space="preserve">V porovnaní s filmom obalenými tabletami je </w:t>
      </w:r>
      <w:r w:rsidR="0078086D" w:rsidRPr="00921EF2">
        <w:rPr>
          <w:sz w:val="22"/>
          <w:szCs w:val="22"/>
          <w:lang w:val="sk-SK"/>
        </w:rPr>
        <w:t xml:space="preserve">Orfiril long </w:t>
      </w:r>
      <w:r w:rsidRPr="00921EF2">
        <w:rPr>
          <w:sz w:val="22"/>
          <w:szCs w:val="22"/>
          <w:lang w:val="sk-SK"/>
        </w:rPr>
        <w:t>ako forma s predĺženým uvoľňovaním charakterizovaná pri ekvivalentných dávkach:</w:t>
      </w:r>
    </w:p>
    <w:p w14:paraId="354D65E6" w14:textId="77777777" w:rsidR="00977BF3" w:rsidRPr="00921EF2" w:rsidRDefault="00977BF3" w:rsidP="00B124D9">
      <w:pPr>
        <w:tabs>
          <w:tab w:val="left" w:pos="284"/>
          <w:tab w:val="left" w:pos="360"/>
        </w:tabs>
        <w:rPr>
          <w:sz w:val="22"/>
          <w:szCs w:val="22"/>
          <w:lang w:val="sk-SK"/>
        </w:rPr>
      </w:pPr>
      <w:r w:rsidRPr="00921EF2">
        <w:rPr>
          <w:sz w:val="22"/>
          <w:szCs w:val="22"/>
          <w:lang w:val="sk-SK"/>
        </w:rPr>
        <w:t>-</w:t>
      </w:r>
      <w:r w:rsidRPr="00921EF2">
        <w:rPr>
          <w:sz w:val="22"/>
          <w:szCs w:val="22"/>
          <w:lang w:val="sk-SK"/>
        </w:rPr>
        <w:tab/>
        <w:t>elimináciou obdobia latencie po podaní</w:t>
      </w:r>
    </w:p>
    <w:p w14:paraId="754B028A" w14:textId="77777777" w:rsidR="00977BF3" w:rsidRPr="00921EF2" w:rsidRDefault="00977BF3" w:rsidP="00B124D9">
      <w:pPr>
        <w:numPr>
          <w:ilvl w:val="0"/>
          <w:numId w:val="5"/>
        </w:numPr>
        <w:tabs>
          <w:tab w:val="clear" w:pos="600"/>
          <w:tab w:val="num" w:pos="284"/>
        </w:tabs>
        <w:ind w:left="284" w:hanging="284"/>
        <w:rPr>
          <w:sz w:val="22"/>
          <w:szCs w:val="22"/>
          <w:lang w:val="sk-SK"/>
        </w:rPr>
      </w:pPr>
      <w:r w:rsidRPr="00921EF2">
        <w:rPr>
          <w:sz w:val="22"/>
          <w:szCs w:val="22"/>
          <w:lang w:val="sk-SK"/>
        </w:rPr>
        <w:t>predĺženou absorpciou</w:t>
      </w:r>
    </w:p>
    <w:p w14:paraId="59AD6E1A" w14:textId="77777777" w:rsidR="00977BF3" w:rsidRPr="00921EF2" w:rsidRDefault="00977BF3" w:rsidP="00B124D9">
      <w:pPr>
        <w:numPr>
          <w:ilvl w:val="0"/>
          <w:numId w:val="5"/>
        </w:numPr>
        <w:tabs>
          <w:tab w:val="left" w:pos="284"/>
        </w:tabs>
        <w:ind w:left="284" w:hanging="284"/>
        <w:rPr>
          <w:sz w:val="22"/>
          <w:szCs w:val="22"/>
          <w:lang w:val="sk-SK"/>
        </w:rPr>
      </w:pPr>
      <w:r w:rsidRPr="00921EF2">
        <w:rPr>
          <w:sz w:val="22"/>
          <w:szCs w:val="22"/>
          <w:lang w:val="sk-SK"/>
        </w:rPr>
        <w:t>podobnou biologickou dostupnosťou</w:t>
      </w:r>
    </w:p>
    <w:p w14:paraId="6D65D2F4" w14:textId="77777777" w:rsidR="00977BF3" w:rsidRPr="00921EF2" w:rsidRDefault="00977BF3" w:rsidP="00B124D9">
      <w:pPr>
        <w:numPr>
          <w:ilvl w:val="0"/>
          <w:numId w:val="1"/>
        </w:numPr>
        <w:tabs>
          <w:tab w:val="clear" w:pos="360"/>
          <w:tab w:val="num" w:pos="284"/>
        </w:tabs>
        <w:ind w:left="284" w:hanging="284"/>
        <w:rPr>
          <w:sz w:val="22"/>
          <w:szCs w:val="22"/>
          <w:lang w:val="sk-SK"/>
        </w:rPr>
      </w:pPr>
      <w:r w:rsidRPr="00921EF2">
        <w:rPr>
          <w:sz w:val="22"/>
          <w:szCs w:val="22"/>
          <w:lang w:val="sk-SK"/>
        </w:rPr>
        <w:t>koncentrácia celkovej a voľnej formy (C</w:t>
      </w:r>
      <w:r w:rsidRPr="00921EF2">
        <w:rPr>
          <w:sz w:val="22"/>
          <w:szCs w:val="22"/>
          <w:vertAlign w:val="subscript"/>
          <w:lang w:val="sk-SK"/>
        </w:rPr>
        <w:t>max</w:t>
      </w:r>
      <w:r w:rsidRPr="00921EF2">
        <w:rPr>
          <w:sz w:val="22"/>
          <w:szCs w:val="22"/>
          <w:lang w:val="sk-SK"/>
        </w:rPr>
        <w:t>) je nižšia (zníženie C</w:t>
      </w:r>
      <w:r w:rsidRPr="00921EF2">
        <w:rPr>
          <w:sz w:val="22"/>
          <w:szCs w:val="22"/>
          <w:vertAlign w:val="subscript"/>
          <w:lang w:val="sk-SK"/>
        </w:rPr>
        <w:t>max</w:t>
      </w:r>
      <w:r w:rsidRPr="00921EF2">
        <w:rPr>
          <w:sz w:val="22"/>
          <w:szCs w:val="22"/>
          <w:lang w:val="sk-SK"/>
        </w:rPr>
        <w:t xml:space="preserve"> o približne 25</w:t>
      </w:r>
      <w:r w:rsidR="00C24E7B" w:rsidRPr="00921EF2">
        <w:rPr>
          <w:sz w:val="22"/>
          <w:szCs w:val="22"/>
          <w:lang w:val="sk-SK"/>
        </w:rPr>
        <w:t xml:space="preserve"> </w:t>
      </w:r>
      <w:r w:rsidRPr="00921EF2">
        <w:rPr>
          <w:sz w:val="22"/>
          <w:szCs w:val="22"/>
          <w:lang w:val="sk-SK"/>
        </w:rPr>
        <w:t>%, ale hladina je relatívne stabilná v rozmedzí od 4 do 14 hodín po podaní).</w:t>
      </w:r>
    </w:p>
    <w:p w14:paraId="765ACFFA" w14:textId="77777777" w:rsidR="00977BF3" w:rsidRPr="00921EF2" w:rsidRDefault="00977BF3" w:rsidP="00B124D9">
      <w:pPr>
        <w:pStyle w:val="Zarkazkladnhotextu3"/>
        <w:rPr>
          <w:sz w:val="22"/>
          <w:szCs w:val="22"/>
        </w:rPr>
      </w:pPr>
      <w:r w:rsidRPr="00921EF2">
        <w:rPr>
          <w:sz w:val="22"/>
          <w:szCs w:val="22"/>
        </w:rPr>
        <w:t xml:space="preserve">V súvislosti s tým, koncentrácie kyseliny valproovej sú homogénne distribuované počas 24 hodín. Pri dávkovaní dvakrát denne je </w:t>
      </w:r>
      <w:r w:rsidR="004753E9" w:rsidRPr="00921EF2">
        <w:rPr>
          <w:sz w:val="22"/>
          <w:szCs w:val="22"/>
        </w:rPr>
        <w:t>výchylka kolísania koncentrácií polovičná</w:t>
      </w:r>
      <w:r w:rsidRPr="00921EF2">
        <w:rPr>
          <w:sz w:val="22"/>
          <w:szCs w:val="22"/>
        </w:rPr>
        <w:t>.</w:t>
      </w:r>
    </w:p>
    <w:p w14:paraId="14E9950C" w14:textId="77777777" w:rsidR="00977BF3" w:rsidRPr="00921EF2" w:rsidRDefault="00977BF3" w:rsidP="00B124D9">
      <w:pPr>
        <w:numPr>
          <w:ilvl w:val="0"/>
          <w:numId w:val="1"/>
        </w:numPr>
        <w:tabs>
          <w:tab w:val="clear" w:pos="360"/>
          <w:tab w:val="num" w:pos="284"/>
        </w:tabs>
        <w:ind w:left="284" w:hanging="284"/>
        <w:rPr>
          <w:sz w:val="22"/>
          <w:szCs w:val="22"/>
          <w:lang w:val="sk-SK"/>
        </w:rPr>
      </w:pPr>
      <w:r w:rsidRPr="00921EF2">
        <w:rPr>
          <w:sz w:val="22"/>
          <w:szCs w:val="22"/>
          <w:lang w:val="sk-SK"/>
        </w:rPr>
        <w:t>výraznejšia lineárna závislosť dávky a plazmatickej koncentrácie (celkovej a voľnej).</w:t>
      </w:r>
    </w:p>
    <w:p w14:paraId="60079E23" w14:textId="77777777" w:rsidR="00977BF3" w:rsidRPr="00921EF2" w:rsidRDefault="00977BF3" w:rsidP="00B124D9">
      <w:pPr>
        <w:rPr>
          <w:bCs/>
          <w:sz w:val="22"/>
          <w:szCs w:val="22"/>
          <w:lang w:val="sk-SK"/>
        </w:rPr>
      </w:pPr>
    </w:p>
    <w:p w14:paraId="1F4A8812"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5.3</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Predklinické údaje o bezpečnosti</w:t>
      </w:r>
    </w:p>
    <w:p w14:paraId="0952EED6" w14:textId="77777777" w:rsidR="00977BF3" w:rsidRPr="00921EF2" w:rsidRDefault="00977BF3" w:rsidP="00B124D9">
      <w:pPr>
        <w:pStyle w:val="Zkladntext3"/>
        <w:autoSpaceDE/>
        <w:autoSpaceDN/>
        <w:jc w:val="left"/>
        <w:rPr>
          <w:rFonts w:ascii="Times New Roman" w:hAnsi="Times New Roman" w:cs="Times New Roman"/>
          <w:sz w:val="22"/>
          <w:szCs w:val="22"/>
        </w:rPr>
      </w:pPr>
    </w:p>
    <w:p w14:paraId="4DA1487B" w14:textId="77777777" w:rsidR="000E5248" w:rsidRPr="000E5248" w:rsidRDefault="000E5248" w:rsidP="000E5248">
      <w:pPr>
        <w:pStyle w:val="Zkladntext3"/>
        <w:autoSpaceDE/>
        <w:autoSpaceDN/>
        <w:jc w:val="left"/>
        <w:rPr>
          <w:rFonts w:ascii="Times New Roman" w:hAnsi="Times New Roman" w:cs="Times New Roman"/>
          <w:sz w:val="22"/>
          <w:szCs w:val="22"/>
        </w:rPr>
      </w:pPr>
      <w:r w:rsidRPr="000E5248">
        <w:rPr>
          <w:rFonts w:ascii="Times New Roman" w:hAnsi="Times New Roman" w:cs="Times New Roman"/>
          <w:sz w:val="22"/>
          <w:szCs w:val="22"/>
        </w:rPr>
        <w:t xml:space="preserve">Štúdie na zvieratách preukázali, že expozícia valproátu </w:t>
      </w:r>
      <w:r w:rsidRPr="000E5248">
        <w:rPr>
          <w:rFonts w:ascii="Times New Roman" w:hAnsi="Times New Roman" w:cs="Times New Roman"/>
          <w:i/>
          <w:sz w:val="22"/>
          <w:szCs w:val="22"/>
        </w:rPr>
        <w:t xml:space="preserve">in utero </w:t>
      </w:r>
      <w:r w:rsidRPr="000E5248">
        <w:rPr>
          <w:rFonts w:ascii="Times New Roman" w:hAnsi="Times New Roman" w:cs="Times New Roman"/>
          <w:sz w:val="22"/>
          <w:szCs w:val="22"/>
        </w:rPr>
        <w:t>vedie k morfologickým a funkčným zmenám sluchového systému u potkanov a myší.</w:t>
      </w:r>
    </w:p>
    <w:p w14:paraId="3F666E20" w14:textId="77777777" w:rsidR="005C64C0" w:rsidRPr="00921EF2" w:rsidRDefault="005C64C0" w:rsidP="00B124D9">
      <w:pPr>
        <w:pStyle w:val="Zkladntext3"/>
        <w:autoSpaceDE/>
        <w:autoSpaceDN/>
        <w:jc w:val="left"/>
        <w:rPr>
          <w:rFonts w:ascii="Times New Roman" w:hAnsi="Times New Roman" w:cs="Times New Roman"/>
          <w:sz w:val="22"/>
          <w:szCs w:val="22"/>
        </w:rPr>
      </w:pPr>
    </w:p>
    <w:p w14:paraId="579B9A7D" w14:textId="77777777" w:rsidR="005C64C0" w:rsidRPr="00921EF2" w:rsidRDefault="005C64C0" w:rsidP="00B124D9">
      <w:pPr>
        <w:pStyle w:val="Zkladntext3"/>
        <w:autoSpaceDE/>
        <w:autoSpaceDN/>
        <w:jc w:val="left"/>
        <w:rPr>
          <w:rFonts w:ascii="Times New Roman" w:hAnsi="Times New Roman" w:cs="Times New Roman"/>
          <w:sz w:val="22"/>
          <w:szCs w:val="22"/>
        </w:rPr>
      </w:pPr>
    </w:p>
    <w:p w14:paraId="07829796"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6.</w:t>
      </w:r>
      <w:r w:rsidRPr="00921EF2">
        <w:rPr>
          <w:rFonts w:ascii="Times New Roman" w:hAnsi="Times New Roman" w:cs="Times New Roman"/>
          <w:sz w:val="22"/>
          <w:szCs w:val="22"/>
        </w:rPr>
        <w:tab/>
        <w:t xml:space="preserve">FARMACEUTICKÉ </w:t>
      </w:r>
      <w:r w:rsidR="00725FB5" w:rsidRPr="00921EF2">
        <w:rPr>
          <w:rFonts w:ascii="Times New Roman" w:hAnsi="Times New Roman" w:cs="Times New Roman"/>
          <w:sz w:val="22"/>
          <w:szCs w:val="22"/>
        </w:rPr>
        <w:t>INFORMÁCIE</w:t>
      </w:r>
    </w:p>
    <w:p w14:paraId="37FE17BB" w14:textId="77777777" w:rsidR="00977BF3" w:rsidRPr="00921EF2" w:rsidRDefault="00977BF3" w:rsidP="00B124D9">
      <w:pPr>
        <w:pStyle w:val="Nadpis2"/>
        <w:tabs>
          <w:tab w:val="left" w:pos="567"/>
          <w:tab w:val="left" w:pos="2205"/>
        </w:tabs>
        <w:ind w:left="567" w:hanging="567"/>
        <w:rPr>
          <w:rFonts w:ascii="Times New Roman" w:hAnsi="Times New Roman" w:cs="Times New Roman"/>
          <w:b w:val="0"/>
          <w:sz w:val="22"/>
          <w:szCs w:val="22"/>
        </w:rPr>
      </w:pPr>
    </w:p>
    <w:p w14:paraId="29E12A4A" w14:textId="77777777" w:rsidR="00977BF3" w:rsidRPr="00921EF2" w:rsidRDefault="00977BF3" w:rsidP="00B124D9">
      <w:pPr>
        <w:pStyle w:val="Nadpis2"/>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6.1</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Zoznam pomocných látok</w:t>
      </w:r>
    </w:p>
    <w:p w14:paraId="3E202C0E" w14:textId="77777777" w:rsidR="00977BF3" w:rsidRPr="00921EF2" w:rsidRDefault="00977BF3" w:rsidP="00B124D9">
      <w:pPr>
        <w:pStyle w:val="Zkladntext"/>
        <w:keepNext/>
        <w:jc w:val="left"/>
        <w:rPr>
          <w:sz w:val="22"/>
          <w:szCs w:val="22"/>
        </w:rPr>
      </w:pPr>
    </w:p>
    <w:p w14:paraId="011B24DD" w14:textId="0F81ED84" w:rsidR="007A423E" w:rsidRPr="00921EF2" w:rsidRDefault="0055753D" w:rsidP="0055753D">
      <w:pPr>
        <w:rPr>
          <w:sz w:val="22"/>
          <w:szCs w:val="22"/>
          <w:lang w:val="sk-SK"/>
        </w:rPr>
      </w:pPr>
      <w:r w:rsidRPr="00921EF2">
        <w:rPr>
          <w:sz w:val="22"/>
          <w:szCs w:val="22"/>
          <w:lang w:val="sk-SK"/>
        </w:rPr>
        <w:t>stear</w:t>
      </w:r>
      <w:r w:rsidR="00FA78D1" w:rsidRPr="00921EF2">
        <w:rPr>
          <w:sz w:val="22"/>
          <w:szCs w:val="22"/>
          <w:lang w:val="sk-SK"/>
        </w:rPr>
        <w:t>át</w:t>
      </w:r>
      <w:r w:rsidRPr="00921EF2">
        <w:rPr>
          <w:sz w:val="22"/>
          <w:szCs w:val="22"/>
          <w:lang w:val="sk-SK"/>
        </w:rPr>
        <w:t xml:space="preserve"> vápenatý, </w:t>
      </w:r>
    </w:p>
    <w:p w14:paraId="0961DF2C" w14:textId="06819E9F" w:rsidR="007A423E" w:rsidRPr="00921EF2" w:rsidRDefault="0055753D" w:rsidP="0055753D">
      <w:pPr>
        <w:rPr>
          <w:sz w:val="22"/>
          <w:szCs w:val="22"/>
          <w:lang w:val="sk-SK"/>
        </w:rPr>
      </w:pPr>
      <w:r w:rsidRPr="00921EF2">
        <w:rPr>
          <w:sz w:val="22"/>
          <w:szCs w:val="22"/>
          <w:lang w:val="sk-SK"/>
        </w:rPr>
        <w:t xml:space="preserve">koloidný metylovaný oxid kremičitý, </w:t>
      </w:r>
    </w:p>
    <w:p w14:paraId="0ABB46E6" w14:textId="77777777" w:rsidR="007A423E" w:rsidRPr="00921EF2" w:rsidRDefault="0055753D" w:rsidP="0055753D">
      <w:pPr>
        <w:rPr>
          <w:sz w:val="22"/>
          <w:szCs w:val="22"/>
          <w:lang w:val="sk-SK"/>
        </w:rPr>
      </w:pPr>
      <w:r w:rsidRPr="00921EF2">
        <w:rPr>
          <w:sz w:val="22"/>
          <w:szCs w:val="22"/>
          <w:lang w:val="sk-SK"/>
        </w:rPr>
        <w:t>am</w:t>
      </w:r>
      <w:r w:rsidR="005E1DC7">
        <w:rPr>
          <w:sz w:val="22"/>
          <w:szCs w:val="22"/>
          <w:lang w:val="sk-SK"/>
        </w:rPr>
        <w:t>ó</w:t>
      </w:r>
      <w:r w:rsidR="00AD0C1F" w:rsidRPr="00921EF2">
        <w:rPr>
          <w:sz w:val="22"/>
          <w:szCs w:val="22"/>
          <w:lang w:val="sk-SK"/>
        </w:rPr>
        <w:t>nio</w:t>
      </w:r>
      <w:r w:rsidRPr="00921EF2">
        <w:rPr>
          <w:sz w:val="22"/>
          <w:szCs w:val="22"/>
          <w:lang w:val="sk-SK"/>
        </w:rPr>
        <w:t xml:space="preserve">-metakrylátový kopolymér typ B, </w:t>
      </w:r>
    </w:p>
    <w:p w14:paraId="4D9B8F1A" w14:textId="77777777" w:rsidR="005E1DC7" w:rsidRDefault="0055753D" w:rsidP="0055753D">
      <w:pPr>
        <w:rPr>
          <w:sz w:val="22"/>
          <w:szCs w:val="22"/>
          <w:lang w:val="sk-SK"/>
        </w:rPr>
      </w:pPr>
      <w:r w:rsidRPr="00921EF2">
        <w:rPr>
          <w:sz w:val="22"/>
          <w:szCs w:val="22"/>
          <w:lang w:val="sk-SK"/>
        </w:rPr>
        <w:t xml:space="preserve">etylcelulóza, </w:t>
      </w:r>
    </w:p>
    <w:p w14:paraId="63CDBAB6" w14:textId="35AF000C" w:rsidR="007A423E" w:rsidRPr="00921EF2" w:rsidRDefault="0055753D" w:rsidP="0055753D">
      <w:pPr>
        <w:rPr>
          <w:sz w:val="22"/>
          <w:szCs w:val="22"/>
          <w:lang w:val="sk-SK"/>
        </w:rPr>
      </w:pPr>
      <w:r w:rsidRPr="00921EF2">
        <w:rPr>
          <w:sz w:val="22"/>
          <w:szCs w:val="22"/>
          <w:lang w:val="sk-SK"/>
        </w:rPr>
        <w:t xml:space="preserve">dibutylester sebakovej kyseliny, </w:t>
      </w:r>
    </w:p>
    <w:p w14:paraId="6680CD9A" w14:textId="15A18E60" w:rsidR="007A423E" w:rsidRPr="00921EF2" w:rsidRDefault="0055753D" w:rsidP="0055753D">
      <w:pPr>
        <w:rPr>
          <w:sz w:val="22"/>
          <w:szCs w:val="22"/>
          <w:lang w:val="sk-SK"/>
        </w:rPr>
      </w:pPr>
      <w:r w:rsidRPr="00921EF2">
        <w:rPr>
          <w:sz w:val="22"/>
          <w:szCs w:val="22"/>
          <w:lang w:val="sk-SK"/>
        </w:rPr>
        <w:t>kyselina</w:t>
      </w:r>
      <w:r w:rsidR="003C3948" w:rsidRPr="00921EF2">
        <w:rPr>
          <w:sz w:val="22"/>
          <w:szCs w:val="22"/>
          <w:lang w:val="sk-SK"/>
        </w:rPr>
        <w:t xml:space="preserve"> olejová</w:t>
      </w:r>
      <w:r w:rsidRPr="00921EF2">
        <w:rPr>
          <w:sz w:val="22"/>
          <w:szCs w:val="22"/>
          <w:lang w:val="sk-SK"/>
        </w:rPr>
        <w:t xml:space="preserve">, </w:t>
      </w:r>
    </w:p>
    <w:p w14:paraId="765C85F4" w14:textId="77777777" w:rsidR="007A423E" w:rsidRPr="00921EF2" w:rsidRDefault="0055753D" w:rsidP="0055753D">
      <w:pPr>
        <w:rPr>
          <w:sz w:val="22"/>
          <w:szCs w:val="22"/>
          <w:lang w:val="sk-SK"/>
        </w:rPr>
      </w:pPr>
      <w:r w:rsidRPr="00921EF2">
        <w:rPr>
          <w:sz w:val="22"/>
          <w:szCs w:val="22"/>
          <w:lang w:val="sk-SK"/>
        </w:rPr>
        <w:t xml:space="preserve">kyselina sorbová, </w:t>
      </w:r>
    </w:p>
    <w:p w14:paraId="568BC8E4" w14:textId="77777777" w:rsidR="0055753D" w:rsidRPr="00921EF2" w:rsidRDefault="0055753D" w:rsidP="0055753D">
      <w:pPr>
        <w:rPr>
          <w:sz w:val="22"/>
          <w:szCs w:val="22"/>
          <w:lang w:val="sk-SK"/>
        </w:rPr>
      </w:pPr>
      <w:r w:rsidRPr="00921EF2">
        <w:rPr>
          <w:sz w:val="22"/>
          <w:szCs w:val="22"/>
          <w:lang w:val="sk-SK"/>
        </w:rPr>
        <w:t>hydroxid sodný</w:t>
      </w:r>
    </w:p>
    <w:p w14:paraId="4BA6B85B" w14:textId="77777777" w:rsidR="00A223A5" w:rsidRPr="00921EF2" w:rsidRDefault="00A223A5" w:rsidP="0055753D">
      <w:pPr>
        <w:rPr>
          <w:sz w:val="22"/>
          <w:szCs w:val="22"/>
          <w:lang w:val="sk-SK"/>
        </w:rPr>
      </w:pPr>
    </w:p>
    <w:p w14:paraId="55FB599E" w14:textId="77777777" w:rsidR="0055753D" w:rsidRPr="00921EF2" w:rsidRDefault="00A223A5" w:rsidP="0055753D">
      <w:pPr>
        <w:rPr>
          <w:sz w:val="22"/>
          <w:szCs w:val="22"/>
          <w:lang w:val="sk-SK"/>
        </w:rPr>
      </w:pPr>
      <w:r w:rsidRPr="00921EF2">
        <w:rPr>
          <w:sz w:val="22"/>
          <w:szCs w:val="22"/>
          <w:lang w:val="sk-SK"/>
        </w:rPr>
        <w:t>N</w:t>
      </w:r>
      <w:r w:rsidR="0055753D" w:rsidRPr="00921EF2">
        <w:rPr>
          <w:sz w:val="22"/>
          <w:szCs w:val="22"/>
          <w:lang w:val="sk-SK"/>
        </w:rPr>
        <w:t>avyše</w:t>
      </w:r>
      <w:r w:rsidRPr="00921EF2">
        <w:rPr>
          <w:sz w:val="22"/>
          <w:szCs w:val="22"/>
          <w:lang w:val="sk-SK"/>
        </w:rPr>
        <w:t xml:space="preserve"> u</w:t>
      </w:r>
      <w:r w:rsidR="0055753D" w:rsidRPr="00921EF2">
        <w:rPr>
          <w:sz w:val="22"/>
          <w:szCs w:val="22"/>
          <w:lang w:val="sk-SK"/>
        </w:rPr>
        <w:t>:</w:t>
      </w:r>
    </w:p>
    <w:p w14:paraId="26A9E515" w14:textId="77777777" w:rsidR="007A423E" w:rsidRPr="005E1DC7" w:rsidRDefault="0055753D" w:rsidP="0055753D">
      <w:pPr>
        <w:rPr>
          <w:i/>
          <w:sz w:val="22"/>
          <w:szCs w:val="22"/>
          <w:lang w:val="sk-SK"/>
        </w:rPr>
      </w:pPr>
      <w:r w:rsidRPr="001B59B9">
        <w:rPr>
          <w:i/>
          <w:sz w:val="22"/>
          <w:lang w:val="sk-SK"/>
        </w:rPr>
        <w:t xml:space="preserve">Orfiril long 150 mg: </w:t>
      </w:r>
    </w:p>
    <w:p w14:paraId="5EC61292" w14:textId="77777777" w:rsidR="007A423E" w:rsidRPr="00921EF2" w:rsidRDefault="0055753D" w:rsidP="0055753D">
      <w:pPr>
        <w:rPr>
          <w:sz w:val="22"/>
          <w:szCs w:val="22"/>
          <w:lang w:val="sk-SK"/>
        </w:rPr>
      </w:pPr>
      <w:r w:rsidRPr="00921EF2">
        <w:rPr>
          <w:sz w:val="22"/>
          <w:szCs w:val="22"/>
          <w:lang w:val="sk-SK"/>
        </w:rPr>
        <w:t xml:space="preserve">želatína, </w:t>
      </w:r>
    </w:p>
    <w:p w14:paraId="6FC350DD" w14:textId="77777777" w:rsidR="0055753D" w:rsidRDefault="0055753D" w:rsidP="0055753D">
      <w:pPr>
        <w:rPr>
          <w:sz w:val="22"/>
          <w:szCs w:val="22"/>
          <w:lang w:val="sk-SK"/>
        </w:rPr>
      </w:pPr>
      <w:r w:rsidRPr="00921EF2">
        <w:rPr>
          <w:sz w:val="22"/>
          <w:szCs w:val="22"/>
          <w:lang w:val="sk-SK"/>
        </w:rPr>
        <w:t>indigokarmín</w:t>
      </w:r>
      <w:r w:rsidRPr="00921EF2" w:rsidDel="0099597C">
        <w:rPr>
          <w:sz w:val="22"/>
          <w:szCs w:val="22"/>
          <w:lang w:val="sk-SK"/>
        </w:rPr>
        <w:t xml:space="preserve"> </w:t>
      </w:r>
      <w:r w:rsidRPr="00921EF2">
        <w:rPr>
          <w:sz w:val="22"/>
          <w:szCs w:val="22"/>
          <w:lang w:val="sk-SK"/>
        </w:rPr>
        <w:t>(E132)</w:t>
      </w:r>
    </w:p>
    <w:p w14:paraId="5A7934B7" w14:textId="77777777" w:rsidR="008D73F3" w:rsidRPr="00921EF2" w:rsidRDefault="008D73F3" w:rsidP="0055753D">
      <w:pPr>
        <w:rPr>
          <w:sz w:val="22"/>
          <w:szCs w:val="22"/>
          <w:u w:val="single"/>
          <w:lang w:val="sk-SK"/>
        </w:rPr>
      </w:pPr>
    </w:p>
    <w:p w14:paraId="330228B8" w14:textId="77777777" w:rsidR="007A423E" w:rsidRPr="005E1DC7" w:rsidRDefault="0055753D" w:rsidP="0055753D">
      <w:pPr>
        <w:tabs>
          <w:tab w:val="left" w:pos="426"/>
        </w:tabs>
        <w:rPr>
          <w:i/>
          <w:sz w:val="22"/>
          <w:szCs w:val="22"/>
          <w:lang w:val="sk-SK"/>
        </w:rPr>
      </w:pPr>
      <w:r w:rsidRPr="001B59B9">
        <w:rPr>
          <w:i/>
          <w:sz w:val="22"/>
          <w:lang w:val="sk-SK"/>
        </w:rPr>
        <w:t>Orfiril long 300 mg</w:t>
      </w:r>
      <w:r w:rsidRPr="005E1DC7">
        <w:rPr>
          <w:i/>
          <w:sz w:val="22"/>
          <w:szCs w:val="22"/>
          <w:lang w:val="sk-SK"/>
        </w:rPr>
        <w:t xml:space="preserve">: </w:t>
      </w:r>
    </w:p>
    <w:p w14:paraId="74E0ED30" w14:textId="77777777" w:rsidR="007A423E" w:rsidRPr="00921EF2" w:rsidRDefault="0055753D" w:rsidP="0055753D">
      <w:pPr>
        <w:tabs>
          <w:tab w:val="left" w:pos="426"/>
        </w:tabs>
        <w:rPr>
          <w:sz w:val="22"/>
          <w:szCs w:val="22"/>
          <w:lang w:val="sk-SK"/>
        </w:rPr>
      </w:pPr>
      <w:r w:rsidRPr="00921EF2">
        <w:rPr>
          <w:sz w:val="22"/>
          <w:szCs w:val="22"/>
          <w:lang w:val="sk-SK"/>
        </w:rPr>
        <w:t xml:space="preserve">želatína, </w:t>
      </w:r>
    </w:p>
    <w:p w14:paraId="73F83C2D" w14:textId="77777777" w:rsidR="007A423E" w:rsidRPr="00921EF2" w:rsidRDefault="0055753D" w:rsidP="0055753D">
      <w:pPr>
        <w:tabs>
          <w:tab w:val="left" w:pos="426"/>
        </w:tabs>
        <w:rPr>
          <w:sz w:val="22"/>
          <w:szCs w:val="22"/>
          <w:lang w:val="sk-SK"/>
        </w:rPr>
      </w:pPr>
      <w:r w:rsidRPr="00921EF2">
        <w:rPr>
          <w:sz w:val="22"/>
          <w:szCs w:val="22"/>
          <w:lang w:val="sk-SK"/>
        </w:rPr>
        <w:t>indigokarmín</w:t>
      </w:r>
      <w:r w:rsidRPr="00921EF2" w:rsidDel="0099597C">
        <w:rPr>
          <w:sz w:val="22"/>
          <w:szCs w:val="22"/>
          <w:lang w:val="sk-SK"/>
        </w:rPr>
        <w:t xml:space="preserve"> </w:t>
      </w:r>
      <w:r w:rsidRPr="00921EF2">
        <w:rPr>
          <w:sz w:val="22"/>
          <w:szCs w:val="22"/>
          <w:lang w:val="sk-SK"/>
        </w:rPr>
        <w:t xml:space="preserve">(E132), </w:t>
      </w:r>
    </w:p>
    <w:p w14:paraId="1529805D" w14:textId="2D0928B0" w:rsidR="0055753D" w:rsidRPr="00921EF2" w:rsidRDefault="0055753D" w:rsidP="0055753D">
      <w:pPr>
        <w:tabs>
          <w:tab w:val="left" w:pos="426"/>
        </w:tabs>
        <w:rPr>
          <w:sz w:val="22"/>
          <w:szCs w:val="22"/>
          <w:lang w:val="sk-SK"/>
        </w:rPr>
      </w:pPr>
      <w:r w:rsidRPr="00921EF2">
        <w:rPr>
          <w:sz w:val="22"/>
          <w:szCs w:val="22"/>
          <w:lang w:val="sk-SK"/>
        </w:rPr>
        <w:t>chinolínová žltá</w:t>
      </w:r>
      <w:r w:rsidRPr="00921EF2" w:rsidDel="0099597C">
        <w:rPr>
          <w:sz w:val="22"/>
          <w:szCs w:val="22"/>
          <w:lang w:val="sk-SK"/>
        </w:rPr>
        <w:t xml:space="preserve"> </w:t>
      </w:r>
      <w:r w:rsidRPr="00921EF2">
        <w:rPr>
          <w:sz w:val="22"/>
          <w:szCs w:val="22"/>
          <w:lang w:val="sk-SK"/>
        </w:rPr>
        <w:t>(E104)</w:t>
      </w:r>
    </w:p>
    <w:p w14:paraId="298A0D53" w14:textId="77777777" w:rsidR="00977BF3" w:rsidRPr="00921EF2" w:rsidRDefault="00977BF3" w:rsidP="00B124D9">
      <w:pPr>
        <w:rPr>
          <w:sz w:val="22"/>
          <w:szCs w:val="22"/>
          <w:lang w:val="sk-SK"/>
        </w:rPr>
      </w:pPr>
    </w:p>
    <w:p w14:paraId="302DE6D2"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6.2</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Inkompatibility</w:t>
      </w:r>
    </w:p>
    <w:p w14:paraId="6BFCCC92" w14:textId="77777777" w:rsidR="00977BF3" w:rsidRPr="00921EF2" w:rsidRDefault="00977BF3" w:rsidP="00B124D9">
      <w:pPr>
        <w:pStyle w:val="Zkladntext3"/>
        <w:keepNext/>
        <w:autoSpaceDE/>
        <w:autoSpaceDN/>
        <w:jc w:val="left"/>
        <w:rPr>
          <w:rFonts w:ascii="Times New Roman" w:hAnsi="Times New Roman" w:cs="Times New Roman"/>
          <w:sz w:val="22"/>
          <w:szCs w:val="22"/>
        </w:rPr>
      </w:pPr>
    </w:p>
    <w:p w14:paraId="5C40E56A" w14:textId="77777777" w:rsidR="00977BF3" w:rsidRPr="00921EF2" w:rsidRDefault="00D82BAC" w:rsidP="00B124D9">
      <w:pPr>
        <w:pStyle w:val="Zkladntext3"/>
        <w:autoSpaceDE/>
        <w:autoSpaceDN/>
        <w:jc w:val="left"/>
        <w:rPr>
          <w:rFonts w:ascii="Times New Roman" w:hAnsi="Times New Roman" w:cs="Times New Roman"/>
          <w:sz w:val="22"/>
          <w:szCs w:val="22"/>
        </w:rPr>
      </w:pPr>
      <w:r w:rsidRPr="00921EF2">
        <w:rPr>
          <w:rFonts w:ascii="Times New Roman" w:hAnsi="Times New Roman" w:cs="Times New Roman"/>
          <w:sz w:val="22"/>
          <w:szCs w:val="22"/>
        </w:rPr>
        <w:t>Neaplikovateľné.</w:t>
      </w:r>
    </w:p>
    <w:p w14:paraId="40ADEE65" w14:textId="77777777" w:rsidR="00977BF3" w:rsidRPr="00921EF2" w:rsidRDefault="00977BF3" w:rsidP="00B124D9">
      <w:pPr>
        <w:rPr>
          <w:sz w:val="22"/>
          <w:szCs w:val="22"/>
          <w:lang w:val="sk-SK"/>
        </w:rPr>
      </w:pPr>
    </w:p>
    <w:p w14:paraId="6B9F7F31" w14:textId="77777777" w:rsidR="00977BF3" w:rsidRPr="00921EF2" w:rsidRDefault="00977BF3" w:rsidP="008A1BA8">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lastRenderedPageBreak/>
        <w:t>6.3</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Čas použiteľnosti</w:t>
      </w:r>
      <w:bookmarkStart w:id="3" w:name="_GoBack"/>
      <w:bookmarkEnd w:id="3"/>
    </w:p>
    <w:p w14:paraId="60DF6738" w14:textId="77777777" w:rsidR="00977BF3" w:rsidRPr="00921EF2" w:rsidRDefault="00977BF3" w:rsidP="008A1BA8">
      <w:pPr>
        <w:keepNext/>
        <w:rPr>
          <w:sz w:val="22"/>
          <w:szCs w:val="22"/>
          <w:lang w:val="sk-SK"/>
        </w:rPr>
      </w:pPr>
    </w:p>
    <w:p w14:paraId="7587C940" w14:textId="77777777" w:rsidR="00A223A5" w:rsidRPr="001B59B9" w:rsidRDefault="00A223A5" w:rsidP="008A1BA8">
      <w:pPr>
        <w:keepNext/>
        <w:rPr>
          <w:i/>
          <w:sz w:val="22"/>
          <w:lang w:val="en-GB"/>
        </w:rPr>
      </w:pPr>
      <w:r w:rsidRPr="001B59B9">
        <w:rPr>
          <w:i/>
          <w:sz w:val="22"/>
          <w:lang w:val="en-GB"/>
        </w:rPr>
        <w:t>Orfiril long 150 mg a Orfiril long 300 mg:</w:t>
      </w:r>
    </w:p>
    <w:p w14:paraId="75408A64" w14:textId="77777777" w:rsidR="00A223A5" w:rsidRPr="00921EF2" w:rsidRDefault="00A223A5" w:rsidP="008A1BA8">
      <w:pPr>
        <w:keepNext/>
        <w:rPr>
          <w:sz w:val="22"/>
          <w:szCs w:val="22"/>
          <w:lang w:val="en-GB"/>
        </w:rPr>
      </w:pPr>
      <w:r w:rsidRPr="00921EF2">
        <w:rPr>
          <w:sz w:val="22"/>
          <w:szCs w:val="22"/>
          <w:lang w:val="en-GB"/>
        </w:rPr>
        <w:t>2 roky</w:t>
      </w:r>
    </w:p>
    <w:p w14:paraId="480A1F21" w14:textId="77777777" w:rsidR="00A223A5" w:rsidRPr="00921EF2" w:rsidRDefault="00A223A5" w:rsidP="00A223A5">
      <w:pPr>
        <w:rPr>
          <w:sz w:val="22"/>
          <w:szCs w:val="22"/>
          <w:lang w:val="en-GB"/>
        </w:rPr>
      </w:pPr>
    </w:p>
    <w:p w14:paraId="4759181E" w14:textId="77777777" w:rsidR="00A223A5" w:rsidRPr="001B59B9" w:rsidRDefault="00A223A5" w:rsidP="00A223A5">
      <w:pPr>
        <w:rPr>
          <w:i/>
          <w:sz w:val="22"/>
          <w:lang w:val="en-GB"/>
        </w:rPr>
      </w:pPr>
      <w:r w:rsidRPr="001B59B9">
        <w:rPr>
          <w:i/>
          <w:sz w:val="22"/>
          <w:lang w:val="en-GB"/>
        </w:rPr>
        <w:t>Orfiril long 500 mg a Orfiril long 1 000 mg:</w:t>
      </w:r>
    </w:p>
    <w:p w14:paraId="3FFF1CA7" w14:textId="77777777" w:rsidR="00A223A5" w:rsidRPr="00921EF2" w:rsidRDefault="00A223A5" w:rsidP="00A223A5">
      <w:pPr>
        <w:tabs>
          <w:tab w:val="left" w:pos="426"/>
        </w:tabs>
        <w:jc w:val="both"/>
        <w:rPr>
          <w:sz w:val="22"/>
          <w:szCs w:val="22"/>
          <w:lang w:val="sk-SK"/>
        </w:rPr>
      </w:pPr>
      <w:r w:rsidRPr="00921EF2">
        <w:rPr>
          <w:sz w:val="22"/>
          <w:szCs w:val="22"/>
          <w:lang w:val="sk-SK"/>
        </w:rPr>
        <w:t>3 roky</w:t>
      </w:r>
    </w:p>
    <w:p w14:paraId="38FAFFC5" w14:textId="77777777" w:rsidR="00A223A5" w:rsidRPr="00921EF2" w:rsidRDefault="00A223A5">
      <w:pPr>
        <w:pStyle w:val="Nadpis2"/>
        <w:ind w:left="567" w:hanging="567"/>
        <w:rPr>
          <w:rFonts w:ascii="Times New Roman" w:hAnsi="Times New Roman" w:cs="Times New Roman"/>
          <w:sz w:val="22"/>
          <w:szCs w:val="22"/>
        </w:rPr>
      </w:pPr>
    </w:p>
    <w:p w14:paraId="1032FEE3"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6.4</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Špeciálne upozornenia na uchovávanie</w:t>
      </w:r>
    </w:p>
    <w:p w14:paraId="0F690789" w14:textId="77777777" w:rsidR="00977BF3" w:rsidRPr="00921EF2" w:rsidRDefault="00977BF3" w:rsidP="00B124D9">
      <w:pPr>
        <w:keepNext/>
        <w:rPr>
          <w:sz w:val="22"/>
          <w:szCs w:val="22"/>
          <w:lang w:val="sk-SK"/>
        </w:rPr>
      </w:pPr>
    </w:p>
    <w:p w14:paraId="4B52C7AB" w14:textId="608AE46B" w:rsidR="00A223A5" w:rsidRPr="00921EF2" w:rsidRDefault="008A1BA8" w:rsidP="00A223A5">
      <w:pPr>
        <w:rPr>
          <w:snapToGrid w:val="0"/>
          <w:sz w:val="22"/>
          <w:szCs w:val="22"/>
          <w:lang w:val="sk-SK"/>
        </w:rPr>
      </w:pPr>
      <w:r>
        <w:rPr>
          <w:snapToGrid w:val="0"/>
          <w:sz w:val="22"/>
          <w:szCs w:val="22"/>
          <w:lang w:val="sk-SK"/>
        </w:rPr>
        <w:t>Uchovávajte pri teplote do 30 </w:t>
      </w:r>
      <w:r w:rsidR="00A223A5" w:rsidRPr="00921EF2">
        <w:rPr>
          <w:snapToGrid w:val="0"/>
          <w:sz w:val="22"/>
          <w:szCs w:val="22"/>
          <w:lang w:val="sk-SK"/>
        </w:rPr>
        <w:t>º C.</w:t>
      </w:r>
    </w:p>
    <w:p w14:paraId="41C2CE1A" w14:textId="77777777" w:rsidR="00A223A5" w:rsidRPr="00921EF2" w:rsidRDefault="00A223A5" w:rsidP="00A223A5">
      <w:pPr>
        <w:rPr>
          <w:snapToGrid w:val="0"/>
          <w:sz w:val="22"/>
          <w:szCs w:val="22"/>
          <w:lang w:val="sk-SK"/>
        </w:rPr>
      </w:pPr>
      <w:r w:rsidRPr="00921EF2">
        <w:rPr>
          <w:snapToGrid w:val="0"/>
          <w:sz w:val="22"/>
          <w:szCs w:val="22"/>
          <w:lang w:val="sk-SK"/>
        </w:rPr>
        <w:t>Uchovávajte v pôvodnom obale.</w:t>
      </w:r>
    </w:p>
    <w:p w14:paraId="69699342" w14:textId="77777777" w:rsidR="00A223A5" w:rsidRPr="00921EF2" w:rsidDel="00A223A5" w:rsidRDefault="00A223A5" w:rsidP="005E1DC7">
      <w:pPr>
        <w:pStyle w:val="Zkladntext"/>
        <w:tabs>
          <w:tab w:val="left" w:pos="-142"/>
        </w:tabs>
        <w:rPr>
          <w:sz w:val="22"/>
          <w:szCs w:val="22"/>
        </w:rPr>
      </w:pPr>
      <w:r w:rsidRPr="00921EF2">
        <w:rPr>
          <w:snapToGrid w:val="0"/>
          <w:sz w:val="22"/>
          <w:szCs w:val="22"/>
        </w:rPr>
        <w:t>Obal udržiavajte dôkladne uzatvorený.</w:t>
      </w:r>
    </w:p>
    <w:p w14:paraId="124346B0" w14:textId="77777777" w:rsidR="00977BF3" w:rsidRPr="00921EF2" w:rsidRDefault="00977BF3" w:rsidP="00B124D9">
      <w:pPr>
        <w:rPr>
          <w:sz w:val="22"/>
          <w:szCs w:val="22"/>
          <w:lang w:val="sk-SK"/>
        </w:rPr>
      </w:pPr>
    </w:p>
    <w:p w14:paraId="39FB7D25"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6.5</w:t>
      </w:r>
      <w:r w:rsidR="00AD5FF6" w:rsidRPr="00921EF2">
        <w:rPr>
          <w:rFonts w:ascii="Times New Roman" w:hAnsi="Times New Roman" w:cs="Times New Roman"/>
          <w:sz w:val="22"/>
          <w:szCs w:val="22"/>
        </w:rPr>
        <w:tab/>
      </w:r>
      <w:r w:rsidRPr="00921EF2">
        <w:rPr>
          <w:rFonts w:ascii="Times New Roman" w:hAnsi="Times New Roman" w:cs="Times New Roman"/>
          <w:sz w:val="22"/>
          <w:szCs w:val="22"/>
        </w:rPr>
        <w:t>Druh obalu a obsah balenia</w:t>
      </w:r>
    </w:p>
    <w:p w14:paraId="7FFCB88C" w14:textId="77777777" w:rsidR="00977BF3" w:rsidRPr="00921EF2" w:rsidRDefault="00977BF3" w:rsidP="00B124D9">
      <w:pPr>
        <w:keepNext/>
        <w:rPr>
          <w:sz w:val="22"/>
          <w:szCs w:val="22"/>
          <w:lang w:val="sk-SK"/>
        </w:rPr>
      </w:pPr>
    </w:p>
    <w:p w14:paraId="1D40D756" w14:textId="536AB231" w:rsidR="00A223A5" w:rsidRDefault="00A223A5" w:rsidP="00A223A5">
      <w:pPr>
        <w:rPr>
          <w:sz w:val="22"/>
          <w:szCs w:val="22"/>
          <w:lang w:val="sk-SK"/>
        </w:rPr>
      </w:pPr>
      <w:r w:rsidRPr="001B59B9">
        <w:rPr>
          <w:i/>
          <w:sz w:val="22"/>
          <w:lang w:val="sk-SK"/>
        </w:rPr>
        <w:t>Orfiril long 150 mg a Orfiril long 300 mg</w:t>
      </w:r>
      <w:r w:rsidRPr="00921EF2">
        <w:rPr>
          <w:sz w:val="22"/>
          <w:szCs w:val="22"/>
          <w:lang w:val="sk-SK"/>
        </w:rPr>
        <w:t>: plastový obal z polyetylénu bielej farby, uzavretý plastovým uzáverom z polypropylénu bielej farby, vysušovadlo, papierová škatuľka, pís</w:t>
      </w:r>
      <w:r w:rsidR="005E1DC7">
        <w:rPr>
          <w:sz w:val="22"/>
          <w:szCs w:val="22"/>
          <w:lang w:val="sk-SK"/>
        </w:rPr>
        <w:t>omná informácia pre používateľa.</w:t>
      </w:r>
    </w:p>
    <w:p w14:paraId="5B91B71D" w14:textId="77777777" w:rsidR="005E1DC7" w:rsidRPr="00921EF2" w:rsidRDefault="005E1DC7" w:rsidP="00A223A5">
      <w:pPr>
        <w:rPr>
          <w:sz w:val="22"/>
          <w:szCs w:val="22"/>
          <w:lang w:val="sk-SK"/>
        </w:rPr>
      </w:pPr>
    </w:p>
    <w:p w14:paraId="002AA835" w14:textId="77777777" w:rsidR="003C3948" w:rsidRPr="00921EF2" w:rsidRDefault="003C3948" w:rsidP="00A223A5">
      <w:pPr>
        <w:rPr>
          <w:sz w:val="22"/>
          <w:szCs w:val="22"/>
          <w:lang w:val="sk-SK"/>
        </w:rPr>
      </w:pPr>
      <w:r w:rsidRPr="00921EF2">
        <w:rPr>
          <w:sz w:val="22"/>
          <w:szCs w:val="22"/>
          <w:lang w:val="sk-SK"/>
        </w:rPr>
        <w:t>Veľkosť balenia: 50, 100 alebo 200 kapsúl s predĺženým uvoľňovaním</w:t>
      </w:r>
    </w:p>
    <w:p w14:paraId="7F83B677" w14:textId="77777777" w:rsidR="00A223A5" w:rsidRPr="00921EF2" w:rsidRDefault="00A223A5" w:rsidP="00A223A5">
      <w:pPr>
        <w:rPr>
          <w:sz w:val="22"/>
          <w:szCs w:val="22"/>
          <w:lang w:val="sk-SK"/>
        </w:rPr>
      </w:pPr>
    </w:p>
    <w:p w14:paraId="2A97FC4C" w14:textId="77777777" w:rsidR="00D632DA" w:rsidRPr="005E746B" w:rsidRDefault="00D632DA" w:rsidP="00D632DA">
      <w:pPr>
        <w:rPr>
          <w:sz w:val="22"/>
          <w:szCs w:val="22"/>
          <w:lang w:val="sk-SK"/>
        </w:rPr>
      </w:pPr>
      <w:r w:rsidRPr="005E746B">
        <w:rPr>
          <w:sz w:val="22"/>
          <w:szCs w:val="22"/>
        </w:rPr>
        <w:t>Na trh nemusia byť uvedené všetky veľkosti balenia.</w:t>
      </w:r>
    </w:p>
    <w:p w14:paraId="23B6BFEF" w14:textId="77777777" w:rsidR="00D632DA" w:rsidRPr="005E1DC7" w:rsidRDefault="00D632DA">
      <w:pPr>
        <w:rPr>
          <w:i/>
          <w:sz w:val="22"/>
          <w:lang w:val="sk-SK"/>
        </w:rPr>
      </w:pPr>
    </w:p>
    <w:p w14:paraId="7AFC02CB" w14:textId="3F42DBDD" w:rsidR="00A223A5" w:rsidRDefault="00A223A5">
      <w:pPr>
        <w:rPr>
          <w:sz w:val="22"/>
          <w:szCs w:val="22"/>
          <w:lang w:val="sk-SK"/>
        </w:rPr>
      </w:pPr>
      <w:r w:rsidRPr="001B59B9">
        <w:rPr>
          <w:i/>
          <w:sz w:val="22"/>
          <w:lang w:val="sk-SK"/>
        </w:rPr>
        <w:t>Orfiril long 500 mg a Orfiril long 1 000 mg</w:t>
      </w:r>
      <w:r w:rsidRPr="00921EF2">
        <w:rPr>
          <w:sz w:val="22"/>
          <w:szCs w:val="22"/>
          <w:lang w:val="sk-SK"/>
        </w:rPr>
        <w:t>: vrecko (papier/Al/PE) s obsahom minitabliet, papierová škatuľka, pís</w:t>
      </w:r>
      <w:r w:rsidR="005E1DC7">
        <w:rPr>
          <w:sz w:val="22"/>
          <w:szCs w:val="22"/>
          <w:lang w:val="sk-SK"/>
        </w:rPr>
        <w:t>omná informácia pre používateľa.</w:t>
      </w:r>
    </w:p>
    <w:p w14:paraId="31040EDF" w14:textId="77777777" w:rsidR="005E1DC7" w:rsidRPr="00921EF2" w:rsidDel="00A223A5" w:rsidRDefault="005E1DC7">
      <w:pPr>
        <w:rPr>
          <w:sz w:val="22"/>
          <w:szCs w:val="22"/>
          <w:lang w:val="sk-SK"/>
        </w:rPr>
      </w:pPr>
    </w:p>
    <w:p w14:paraId="03BB54DC" w14:textId="77777777" w:rsidR="003C3948" w:rsidRPr="00921EF2" w:rsidRDefault="003C3948" w:rsidP="003C3948">
      <w:pPr>
        <w:tabs>
          <w:tab w:val="left" w:pos="-720"/>
          <w:tab w:val="left" w:pos="0"/>
        </w:tabs>
        <w:suppressAutoHyphens/>
        <w:rPr>
          <w:sz w:val="22"/>
          <w:szCs w:val="22"/>
          <w:lang w:val="sk-SK"/>
        </w:rPr>
      </w:pPr>
      <w:r w:rsidRPr="00921EF2">
        <w:rPr>
          <w:sz w:val="22"/>
          <w:szCs w:val="22"/>
          <w:lang w:val="sk-SK"/>
        </w:rPr>
        <w:t>Veľkosť balenia: 50, 100 alebo 200 vreciek s obsahom tabliet s predĺženým uvoľňovaním (minitablety s predĺženým uvoľňovaním vo vrecku určené na jednorazové použitie)</w:t>
      </w:r>
    </w:p>
    <w:p w14:paraId="44B33937" w14:textId="77777777" w:rsidR="00977BF3" w:rsidRDefault="00977BF3" w:rsidP="00B124D9">
      <w:pPr>
        <w:rPr>
          <w:sz w:val="22"/>
          <w:szCs w:val="22"/>
          <w:lang w:val="sk-SK"/>
        </w:rPr>
      </w:pPr>
    </w:p>
    <w:p w14:paraId="40B911DE" w14:textId="3BF46C7C" w:rsidR="00D632DA" w:rsidRPr="005E746B" w:rsidRDefault="00D632DA" w:rsidP="00B124D9">
      <w:pPr>
        <w:rPr>
          <w:sz w:val="22"/>
          <w:szCs w:val="22"/>
          <w:lang w:val="sk-SK"/>
        </w:rPr>
      </w:pPr>
      <w:r w:rsidRPr="005E746B">
        <w:rPr>
          <w:sz w:val="22"/>
          <w:szCs w:val="22"/>
        </w:rPr>
        <w:t>Na trh nemusia byť uvedené všetky veľkosti balenia.</w:t>
      </w:r>
    </w:p>
    <w:p w14:paraId="16EF47BE" w14:textId="77777777" w:rsidR="00D632DA" w:rsidRPr="00921EF2" w:rsidRDefault="00D632DA" w:rsidP="00B124D9">
      <w:pPr>
        <w:rPr>
          <w:sz w:val="22"/>
          <w:szCs w:val="22"/>
          <w:lang w:val="sk-SK"/>
        </w:rPr>
      </w:pPr>
    </w:p>
    <w:p w14:paraId="2AA6BCC9" w14:textId="77777777" w:rsidR="00977BF3" w:rsidRPr="00921EF2" w:rsidRDefault="00977BF3" w:rsidP="00B124D9">
      <w:pPr>
        <w:pStyle w:val="Nadpis2"/>
        <w:ind w:left="567" w:hanging="567"/>
        <w:rPr>
          <w:rFonts w:ascii="Times New Roman" w:hAnsi="Times New Roman" w:cs="Times New Roman"/>
          <w:sz w:val="22"/>
          <w:szCs w:val="22"/>
        </w:rPr>
      </w:pPr>
      <w:r w:rsidRPr="00921EF2">
        <w:rPr>
          <w:rFonts w:ascii="Times New Roman" w:hAnsi="Times New Roman" w:cs="Times New Roman"/>
          <w:sz w:val="22"/>
          <w:szCs w:val="22"/>
        </w:rPr>
        <w:t>6.6</w:t>
      </w:r>
      <w:r w:rsidR="00AD5FF6" w:rsidRPr="00921EF2">
        <w:rPr>
          <w:rFonts w:ascii="Times New Roman" w:hAnsi="Times New Roman" w:cs="Times New Roman"/>
          <w:sz w:val="22"/>
          <w:szCs w:val="22"/>
        </w:rPr>
        <w:tab/>
      </w:r>
      <w:r w:rsidRPr="00921EF2">
        <w:rPr>
          <w:rFonts w:ascii="Times New Roman" w:hAnsi="Times New Roman" w:cs="Times New Roman"/>
          <w:color w:val="000000"/>
          <w:sz w:val="22"/>
          <w:szCs w:val="22"/>
        </w:rPr>
        <w:t>Špeciálne opatrenia na likvidáciu a iné zaobchádzanie s liekom</w:t>
      </w:r>
    </w:p>
    <w:p w14:paraId="59A541A3" w14:textId="77777777" w:rsidR="00977BF3" w:rsidRPr="00921EF2" w:rsidRDefault="00977BF3" w:rsidP="00B124D9">
      <w:pPr>
        <w:pStyle w:val="Zkladntext3"/>
        <w:keepNext/>
        <w:autoSpaceDE/>
        <w:autoSpaceDN/>
        <w:jc w:val="left"/>
        <w:rPr>
          <w:rFonts w:ascii="Times New Roman" w:hAnsi="Times New Roman" w:cs="Times New Roman"/>
          <w:sz w:val="22"/>
          <w:szCs w:val="22"/>
        </w:rPr>
      </w:pPr>
    </w:p>
    <w:p w14:paraId="33D3E328" w14:textId="77777777" w:rsidR="00A223A5" w:rsidRDefault="00A223A5" w:rsidP="00A223A5">
      <w:pPr>
        <w:jc w:val="both"/>
        <w:rPr>
          <w:sz w:val="22"/>
          <w:szCs w:val="22"/>
          <w:lang w:val="sk-SK"/>
        </w:rPr>
      </w:pPr>
      <w:r w:rsidRPr="00921EF2">
        <w:rPr>
          <w:sz w:val="22"/>
          <w:szCs w:val="22"/>
          <w:lang w:val="sk-SK"/>
        </w:rPr>
        <w:t>Žiadne zvláštne požiadavky.</w:t>
      </w:r>
    </w:p>
    <w:p w14:paraId="62BE404F" w14:textId="77777777" w:rsidR="005E1DC7" w:rsidRPr="00921EF2" w:rsidRDefault="005E1DC7" w:rsidP="00A223A5">
      <w:pPr>
        <w:jc w:val="both"/>
        <w:rPr>
          <w:sz w:val="22"/>
          <w:szCs w:val="22"/>
          <w:lang w:val="sk-SK"/>
        </w:rPr>
      </w:pPr>
    </w:p>
    <w:p w14:paraId="37B5FB2E" w14:textId="77777777" w:rsidR="00A808A8" w:rsidRPr="00921EF2" w:rsidRDefault="00D82BAC" w:rsidP="00B124D9">
      <w:pPr>
        <w:pStyle w:val="Zkladntext3"/>
        <w:autoSpaceDE/>
        <w:autoSpaceDN/>
        <w:jc w:val="left"/>
        <w:rPr>
          <w:rFonts w:ascii="Times New Roman" w:hAnsi="Times New Roman" w:cs="Times New Roman"/>
          <w:sz w:val="22"/>
          <w:szCs w:val="22"/>
        </w:rPr>
      </w:pPr>
      <w:r w:rsidRPr="00921EF2">
        <w:rPr>
          <w:rFonts w:ascii="Times New Roman" w:hAnsi="Times New Roman" w:cs="Times New Roman"/>
          <w:sz w:val="22"/>
          <w:szCs w:val="22"/>
        </w:rPr>
        <w:t>Všetok n</w:t>
      </w:r>
      <w:r w:rsidR="00A808A8" w:rsidRPr="00921EF2">
        <w:rPr>
          <w:rFonts w:ascii="Times New Roman" w:hAnsi="Times New Roman" w:cs="Times New Roman"/>
          <w:sz w:val="22"/>
          <w:szCs w:val="22"/>
        </w:rPr>
        <w:t>epoužitý liek alebo odpad</w:t>
      </w:r>
      <w:r w:rsidR="004D4023" w:rsidRPr="00921EF2">
        <w:rPr>
          <w:rFonts w:ascii="Times New Roman" w:hAnsi="Times New Roman" w:cs="Times New Roman"/>
          <w:sz w:val="22"/>
          <w:szCs w:val="22"/>
        </w:rPr>
        <w:t xml:space="preserve"> vzniknutý z lieku </w:t>
      </w:r>
      <w:r w:rsidRPr="00921EF2">
        <w:rPr>
          <w:rFonts w:ascii="Times New Roman" w:hAnsi="Times New Roman" w:cs="Times New Roman"/>
          <w:sz w:val="22"/>
          <w:szCs w:val="22"/>
        </w:rPr>
        <w:t>sa má zlikvidovať v súlade s národnými požiadavkami.</w:t>
      </w:r>
    </w:p>
    <w:p w14:paraId="5B71DD70" w14:textId="77777777" w:rsidR="00977BF3" w:rsidRPr="00921EF2" w:rsidRDefault="00977BF3" w:rsidP="00B124D9">
      <w:pPr>
        <w:pStyle w:val="Zkladntext3"/>
        <w:autoSpaceDE/>
        <w:autoSpaceDN/>
        <w:jc w:val="left"/>
        <w:rPr>
          <w:rFonts w:ascii="Times New Roman" w:hAnsi="Times New Roman" w:cs="Times New Roman"/>
          <w:sz w:val="22"/>
          <w:szCs w:val="22"/>
        </w:rPr>
      </w:pPr>
    </w:p>
    <w:p w14:paraId="3A4907B3" w14:textId="77777777" w:rsidR="00977BF3" w:rsidRPr="00921EF2" w:rsidRDefault="00977BF3" w:rsidP="00B124D9">
      <w:pPr>
        <w:pStyle w:val="Zkladntext3"/>
        <w:autoSpaceDE/>
        <w:autoSpaceDN/>
        <w:jc w:val="left"/>
        <w:rPr>
          <w:rFonts w:ascii="Times New Roman" w:hAnsi="Times New Roman" w:cs="Times New Roman"/>
          <w:sz w:val="22"/>
          <w:szCs w:val="22"/>
        </w:rPr>
      </w:pPr>
    </w:p>
    <w:p w14:paraId="1EB93B17"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7.</w:t>
      </w:r>
      <w:r w:rsidRPr="00921EF2">
        <w:rPr>
          <w:rFonts w:ascii="Times New Roman" w:hAnsi="Times New Roman" w:cs="Times New Roman"/>
          <w:sz w:val="22"/>
          <w:szCs w:val="22"/>
        </w:rPr>
        <w:tab/>
        <w:t>DRŽITEĽ ROZHODNUTIA O REGISTRÁCII</w:t>
      </w:r>
    </w:p>
    <w:p w14:paraId="431CABC2" w14:textId="77777777" w:rsidR="00977BF3" w:rsidRPr="00921EF2" w:rsidRDefault="00977BF3" w:rsidP="00B124D9">
      <w:pPr>
        <w:rPr>
          <w:bCs/>
          <w:sz w:val="22"/>
          <w:szCs w:val="22"/>
          <w:lang w:val="sk-SK"/>
        </w:rPr>
      </w:pPr>
    </w:p>
    <w:p w14:paraId="3DF6197A" w14:textId="77777777" w:rsidR="00A223A5" w:rsidRPr="00921EF2" w:rsidRDefault="00A223A5" w:rsidP="00A223A5">
      <w:pPr>
        <w:tabs>
          <w:tab w:val="left" w:pos="-142"/>
        </w:tabs>
        <w:rPr>
          <w:sz w:val="22"/>
          <w:szCs w:val="22"/>
          <w:lang w:val="sk-SK"/>
        </w:rPr>
      </w:pPr>
      <w:r w:rsidRPr="00921EF2">
        <w:rPr>
          <w:sz w:val="22"/>
          <w:szCs w:val="22"/>
          <w:lang w:val="sk-SK"/>
        </w:rPr>
        <w:t>Desitin Arzneimittel GmbH</w:t>
      </w:r>
    </w:p>
    <w:p w14:paraId="253C3BA8" w14:textId="77777777" w:rsidR="00A223A5" w:rsidRPr="00921EF2" w:rsidRDefault="00A223A5" w:rsidP="00A223A5">
      <w:pPr>
        <w:tabs>
          <w:tab w:val="left" w:pos="-142"/>
        </w:tabs>
        <w:rPr>
          <w:sz w:val="22"/>
          <w:szCs w:val="22"/>
          <w:lang w:val="sk-SK"/>
        </w:rPr>
      </w:pPr>
      <w:r w:rsidRPr="00921EF2">
        <w:rPr>
          <w:sz w:val="22"/>
          <w:szCs w:val="22"/>
          <w:lang w:val="sk-SK"/>
        </w:rPr>
        <w:t>Weg beim Jäger 214</w:t>
      </w:r>
    </w:p>
    <w:p w14:paraId="12C969CF" w14:textId="77777777" w:rsidR="00A223A5" w:rsidRPr="00921EF2" w:rsidRDefault="00A223A5" w:rsidP="00A223A5">
      <w:pPr>
        <w:tabs>
          <w:tab w:val="left" w:pos="-142"/>
        </w:tabs>
        <w:rPr>
          <w:sz w:val="22"/>
          <w:szCs w:val="22"/>
          <w:lang w:val="sk-SK"/>
        </w:rPr>
      </w:pPr>
      <w:r w:rsidRPr="00921EF2">
        <w:rPr>
          <w:sz w:val="22"/>
          <w:szCs w:val="22"/>
          <w:lang w:val="sk-SK"/>
        </w:rPr>
        <w:t>22335 Hamburg</w:t>
      </w:r>
    </w:p>
    <w:p w14:paraId="53ECF281" w14:textId="77777777" w:rsidR="00A223A5" w:rsidRPr="00921EF2" w:rsidRDefault="00A223A5" w:rsidP="00A223A5">
      <w:pPr>
        <w:pStyle w:val="Hlavika"/>
        <w:tabs>
          <w:tab w:val="clear" w:pos="4536"/>
          <w:tab w:val="clear" w:pos="9072"/>
          <w:tab w:val="left" w:pos="-142"/>
        </w:tabs>
        <w:rPr>
          <w:sz w:val="22"/>
          <w:szCs w:val="22"/>
          <w:lang w:val="sk-SK"/>
        </w:rPr>
      </w:pPr>
      <w:r w:rsidRPr="00921EF2">
        <w:rPr>
          <w:sz w:val="22"/>
          <w:szCs w:val="22"/>
          <w:lang w:val="sk-SK"/>
        </w:rPr>
        <w:t>Nemecko</w:t>
      </w:r>
    </w:p>
    <w:p w14:paraId="44202391" w14:textId="77777777" w:rsidR="00977BF3" w:rsidRPr="00921EF2" w:rsidRDefault="00977BF3" w:rsidP="00B124D9">
      <w:pPr>
        <w:rPr>
          <w:sz w:val="22"/>
          <w:szCs w:val="22"/>
          <w:lang w:val="sk-SK"/>
        </w:rPr>
      </w:pPr>
    </w:p>
    <w:p w14:paraId="20015050" w14:textId="77777777" w:rsidR="00977BF3" w:rsidRPr="00921EF2" w:rsidRDefault="00977BF3" w:rsidP="00B124D9">
      <w:pPr>
        <w:rPr>
          <w:sz w:val="22"/>
          <w:szCs w:val="22"/>
          <w:lang w:val="sk-SK"/>
        </w:rPr>
      </w:pPr>
    </w:p>
    <w:p w14:paraId="6D72D058" w14:textId="77777777" w:rsidR="00977BF3" w:rsidRPr="00921EF2" w:rsidRDefault="00977BF3" w:rsidP="008A1BA8">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8.</w:t>
      </w:r>
      <w:r w:rsidRPr="00921EF2">
        <w:rPr>
          <w:rFonts w:ascii="Times New Roman" w:hAnsi="Times New Roman" w:cs="Times New Roman"/>
          <w:sz w:val="22"/>
          <w:szCs w:val="22"/>
        </w:rPr>
        <w:tab/>
        <w:t>REGISTRAČNÉ ČÍSLO</w:t>
      </w:r>
    </w:p>
    <w:p w14:paraId="68AFC484" w14:textId="77777777" w:rsidR="00977BF3" w:rsidRPr="00921EF2" w:rsidRDefault="00977BF3" w:rsidP="008A1BA8">
      <w:pPr>
        <w:keepNext/>
        <w:rPr>
          <w:sz w:val="22"/>
          <w:szCs w:val="22"/>
          <w:lang w:val="sk-SK"/>
        </w:rPr>
      </w:pPr>
    </w:p>
    <w:p w14:paraId="3A12E23B" w14:textId="77777777" w:rsidR="00A223A5" w:rsidRPr="00921EF2" w:rsidRDefault="00A223A5" w:rsidP="008A1BA8">
      <w:pPr>
        <w:keepNext/>
        <w:tabs>
          <w:tab w:val="left" w:pos="426"/>
        </w:tabs>
        <w:jc w:val="both"/>
        <w:rPr>
          <w:sz w:val="22"/>
          <w:szCs w:val="22"/>
          <w:lang w:val="sk-SK"/>
        </w:rPr>
      </w:pPr>
      <w:r w:rsidRPr="00921EF2">
        <w:rPr>
          <w:sz w:val="22"/>
          <w:szCs w:val="22"/>
          <w:lang w:val="sk-SK"/>
        </w:rPr>
        <w:t>Orfiril long 150 mg: 21/0298/00-S</w:t>
      </w:r>
    </w:p>
    <w:p w14:paraId="017DC8F4" w14:textId="77777777" w:rsidR="00A223A5" w:rsidRPr="00921EF2" w:rsidRDefault="00A223A5" w:rsidP="008A1BA8">
      <w:pPr>
        <w:keepNext/>
        <w:tabs>
          <w:tab w:val="left" w:pos="426"/>
        </w:tabs>
        <w:jc w:val="both"/>
        <w:rPr>
          <w:sz w:val="22"/>
          <w:szCs w:val="22"/>
          <w:lang w:val="sk-SK"/>
        </w:rPr>
      </w:pPr>
      <w:r w:rsidRPr="00921EF2">
        <w:rPr>
          <w:sz w:val="22"/>
          <w:szCs w:val="22"/>
          <w:lang w:val="sk-SK"/>
        </w:rPr>
        <w:t>Orfiril long 300 mg: 21/0299/00-S</w:t>
      </w:r>
    </w:p>
    <w:p w14:paraId="5192F21C" w14:textId="77777777" w:rsidR="00A223A5" w:rsidRPr="00921EF2" w:rsidRDefault="00A223A5" w:rsidP="008A1BA8">
      <w:pPr>
        <w:keepNext/>
        <w:tabs>
          <w:tab w:val="left" w:pos="426"/>
        </w:tabs>
        <w:jc w:val="both"/>
        <w:rPr>
          <w:sz w:val="22"/>
          <w:szCs w:val="22"/>
          <w:lang w:val="sk-SK"/>
        </w:rPr>
      </w:pPr>
      <w:r w:rsidRPr="00921EF2">
        <w:rPr>
          <w:sz w:val="22"/>
          <w:szCs w:val="22"/>
          <w:lang w:val="sk-SK"/>
        </w:rPr>
        <w:t>Orfiril long 500 mg: 21/0076/01-S</w:t>
      </w:r>
    </w:p>
    <w:p w14:paraId="0D5F023B" w14:textId="77777777" w:rsidR="00A223A5" w:rsidRPr="00921EF2" w:rsidRDefault="00A223A5" w:rsidP="008A1BA8">
      <w:pPr>
        <w:keepNext/>
        <w:tabs>
          <w:tab w:val="left" w:pos="426"/>
        </w:tabs>
        <w:jc w:val="both"/>
        <w:rPr>
          <w:sz w:val="22"/>
          <w:szCs w:val="22"/>
          <w:lang w:val="sk-SK"/>
        </w:rPr>
      </w:pPr>
      <w:r w:rsidRPr="00921EF2">
        <w:rPr>
          <w:sz w:val="22"/>
          <w:szCs w:val="22"/>
          <w:lang w:val="sk-SK"/>
        </w:rPr>
        <w:t>Orfiril long 1 000 mg: 21/0077/01-S</w:t>
      </w:r>
    </w:p>
    <w:p w14:paraId="10E53926" w14:textId="77777777" w:rsidR="00977BF3" w:rsidRPr="00921EF2" w:rsidRDefault="00977BF3" w:rsidP="00B124D9">
      <w:pPr>
        <w:rPr>
          <w:sz w:val="22"/>
          <w:szCs w:val="22"/>
          <w:lang w:val="sk-SK"/>
        </w:rPr>
      </w:pPr>
    </w:p>
    <w:p w14:paraId="44CE249F" w14:textId="77777777" w:rsidR="00977BF3" w:rsidRPr="00921EF2" w:rsidRDefault="00977BF3" w:rsidP="00B124D9">
      <w:pPr>
        <w:rPr>
          <w:sz w:val="22"/>
          <w:szCs w:val="22"/>
          <w:lang w:val="sk-SK"/>
        </w:rPr>
      </w:pPr>
    </w:p>
    <w:p w14:paraId="335FBBFB"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lastRenderedPageBreak/>
        <w:t>9.</w:t>
      </w:r>
      <w:r w:rsidRPr="00921EF2">
        <w:rPr>
          <w:rFonts w:ascii="Times New Roman" w:hAnsi="Times New Roman" w:cs="Times New Roman"/>
          <w:sz w:val="22"/>
          <w:szCs w:val="22"/>
        </w:rPr>
        <w:tab/>
      </w:r>
      <w:r w:rsidRPr="00921EF2">
        <w:rPr>
          <w:rFonts w:ascii="Times New Roman" w:hAnsi="Times New Roman" w:cs="Times New Roman"/>
          <w:color w:val="000000"/>
          <w:sz w:val="22"/>
          <w:szCs w:val="22"/>
        </w:rPr>
        <w:t>DÁTUM PRVEJ REGISTRÁCIE / PREDĹŽENIA REGISTRÁCIE</w:t>
      </w:r>
    </w:p>
    <w:p w14:paraId="7ABB6C50" w14:textId="77777777" w:rsidR="00977BF3" w:rsidRPr="00921EF2" w:rsidRDefault="00977BF3" w:rsidP="00B124D9">
      <w:pPr>
        <w:rPr>
          <w:sz w:val="22"/>
          <w:szCs w:val="22"/>
          <w:lang w:val="sk-SK"/>
        </w:rPr>
      </w:pPr>
    </w:p>
    <w:p w14:paraId="03373AFE" w14:textId="77777777" w:rsidR="00A223A5" w:rsidRPr="001B59B9" w:rsidRDefault="00A223A5" w:rsidP="00A223A5">
      <w:pPr>
        <w:tabs>
          <w:tab w:val="left" w:pos="426"/>
        </w:tabs>
        <w:jc w:val="both"/>
        <w:rPr>
          <w:i/>
          <w:sz w:val="22"/>
          <w:lang w:val="sk-SK"/>
        </w:rPr>
      </w:pPr>
      <w:r w:rsidRPr="001B59B9">
        <w:rPr>
          <w:i/>
          <w:sz w:val="22"/>
          <w:lang w:val="sk-SK"/>
        </w:rPr>
        <w:t>Orfiril long 150 mg</w:t>
      </w:r>
    </w:p>
    <w:p w14:paraId="78DED48C" w14:textId="77777777" w:rsidR="00A223A5" w:rsidRPr="00921EF2" w:rsidRDefault="00A223A5" w:rsidP="00A223A5">
      <w:pPr>
        <w:tabs>
          <w:tab w:val="left" w:pos="426"/>
        </w:tabs>
        <w:jc w:val="both"/>
        <w:rPr>
          <w:sz w:val="22"/>
          <w:szCs w:val="22"/>
          <w:lang w:val="sk-SK"/>
        </w:rPr>
      </w:pPr>
      <w:r w:rsidRPr="00921EF2">
        <w:rPr>
          <w:sz w:val="22"/>
          <w:szCs w:val="22"/>
          <w:lang w:val="sk-SK"/>
        </w:rPr>
        <w:t>Dátum prvej registrácie: 13. septembra 2000</w:t>
      </w:r>
    </w:p>
    <w:p w14:paraId="178CFA7F" w14:textId="77777777" w:rsidR="00A223A5" w:rsidRPr="00921EF2" w:rsidRDefault="00A223A5" w:rsidP="00A223A5">
      <w:pPr>
        <w:tabs>
          <w:tab w:val="left" w:pos="426"/>
        </w:tabs>
        <w:jc w:val="both"/>
        <w:rPr>
          <w:sz w:val="22"/>
          <w:szCs w:val="22"/>
          <w:lang w:val="sk-SK"/>
        </w:rPr>
      </w:pPr>
      <w:r w:rsidRPr="00921EF2">
        <w:rPr>
          <w:sz w:val="22"/>
          <w:szCs w:val="22"/>
          <w:lang w:val="sk-SK"/>
        </w:rPr>
        <w:t>Dátum posledného predĺženia registrácie: 17. decembra 2008</w:t>
      </w:r>
    </w:p>
    <w:p w14:paraId="16729974" w14:textId="77777777" w:rsidR="00A223A5" w:rsidRPr="00921EF2" w:rsidRDefault="00A223A5" w:rsidP="00A223A5">
      <w:pPr>
        <w:tabs>
          <w:tab w:val="left" w:pos="426"/>
        </w:tabs>
        <w:jc w:val="both"/>
        <w:rPr>
          <w:sz w:val="22"/>
          <w:szCs w:val="22"/>
          <w:lang w:val="sk-SK"/>
        </w:rPr>
      </w:pPr>
    </w:p>
    <w:p w14:paraId="4575BD46" w14:textId="77777777" w:rsidR="00A223A5" w:rsidRPr="001B59B9" w:rsidRDefault="00A223A5" w:rsidP="00A223A5">
      <w:pPr>
        <w:tabs>
          <w:tab w:val="left" w:pos="426"/>
        </w:tabs>
        <w:jc w:val="both"/>
        <w:rPr>
          <w:i/>
          <w:sz w:val="22"/>
          <w:lang w:val="sk-SK"/>
        </w:rPr>
      </w:pPr>
      <w:r w:rsidRPr="001B59B9">
        <w:rPr>
          <w:i/>
          <w:sz w:val="22"/>
          <w:lang w:val="sk-SK"/>
        </w:rPr>
        <w:t>Orfiril long 300 mg</w:t>
      </w:r>
    </w:p>
    <w:p w14:paraId="50EB00DE" w14:textId="77777777" w:rsidR="00A223A5" w:rsidRPr="00921EF2" w:rsidRDefault="00A223A5" w:rsidP="00A223A5">
      <w:pPr>
        <w:tabs>
          <w:tab w:val="left" w:pos="426"/>
        </w:tabs>
        <w:jc w:val="both"/>
        <w:rPr>
          <w:sz w:val="22"/>
          <w:szCs w:val="22"/>
          <w:lang w:val="sk-SK"/>
        </w:rPr>
      </w:pPr>
      <w:r w:rsidRPr="00921EF2">
        <w:rPr>
          <w:sz w:val="22"/>
          <w:szCs w:val="22"/>
          <w:lang w:val="sk-SK"/>
        </w:rPr>
        <w:t>Dátum prvej registrácie: 13. septembra 2000</w:t>
      </w:r>
    </w:p>
    <w:p w14:paraId="628D27B4" w14:textId="77777777" w:rsidR="00A223A5" w:rsidRPr="00921EF2" w:rsidRDefault="00A223A5" w:rsidP="00A223A5">
      <w:pPr>
        <w:tabs>
          <w:tab w:val="left" w:pos="426"/>
        </w:tabs>
        <w:jc w:val="both"/>
        <w:rPr>
          <w:sz w:val="22"/>
          <w:szCs w:val="22"/>
          <w:lang w:val="sk-SK"/>
        </w:rPr>
      </w:pPr>
      <w:r w:rsidRPr="00921EF2">
        <w:rPr>
          <w:sz w:val="22"/>
          <w:szCs w:val="22"/>
          <w:lang w:val="sk-SK"/>
        </w:rPr>
        <w:t>Dátum posledného predĺženia registrácie: 17. decembra 2008</w:t>
      </w:r>
    </w:p>
    <w:p w14:paraId="5C39032C" w14:textId="77777777" w:rsidR="00A223A5" w:rsidRPr="00921EF2" w:rsidRDefault="00A223A5" w:rsidP="00A223A5">
      <w:pPr>
        <w:tabs>
          <w:tab w:val="left" w:pos="426"/>
        </w:tabs>
        <w:jc w:val="both"/>
        <w:rPr>
          <w:sz w:val="22"/>
          <w:szCs w:val="22"/>
          <w:lang w:val="sk-SK"/>
        </w:rPr>
      </w:pPr>
    </w:p>
    <w:p w14:paraId="123BA693" w14:textId="77777777" w:rsidR="00A223A5" w:rsidRPr="001B59B9" w:rsidRDefault="00A223A5" w:rsidP="008A1BA8">
      <w:pPr>
        <w:keepNext/>
        <w:tabs>
          <w:tab w:val="left" w:pos="426"/>
        </w:tabs>
        <w:jc w:val="both"/>
        <w:rPr>
          <w:i/>
          <w:sz w:val="22"/>
          <w:lang w:val="sk-SK"/>
        </w:rPr>
      </w:pPr>
      <w:r w:rsidRPr="001B59B9">
        <w:rPr>
          <w:i/>
          <w:sz w:val="22"/>
          <w:lang w:val="sk-SK"/>
        </w:rPr>
        <w:t xml:space="preserve">Orfiril long 500 mg: </w:t>
      </w:r>
    </w:p>
    <w:p w14:paraId="157204FC" w14:textId="77777777" w:rsidR="00A223A5" w:rsidRPr="00921EF2" w:rsidRDefault="00A223A5" w:rsidP="008A1BA8">
      <w:pPr>
        <w:keepNext/>
        <w:tabs>
          <w:tab w:val="left" w:pos="426"/>
        </w:tabs>
        <w:jc w:val="both"/>
        <w:rPr>
          <w:sz w:val="22"/>
          <w:szCs w:val="22"/>
          <w:lang w:val="sk-SK"/>
        </w:rPr>
      </w:pPr>
      <w:r w:rsidRPr="00921EF2">
        <w:rPr>
          <w:sz w:val="22"/>
          <w:szCs w:val="22"/>
          <w:lang w:val="sk-SK"/>
        </w:rPr>
        <w:t>Dátum prvej registrácie: 9. februára 2001</w:t>
      </w:r>
    </w:p>
    <w:p w14:paraId="5235F822" w14:textId="77777777" w:rsidR="00A223A5" w:rsidRPr="00921EF2" w:rsidRDefault="00A223A5" w:rsidP="008A1BA8">
      <w:pPr>
        <w:keepNext/>
        <w:tabs>
          <w:tab w:val="left" w:pos="426"/>
        </w:tabs>
        <w:jc w:val="both"/>
        <w:rPr>
          <w:sz w:val="22"/>
          <w:szCs w:val="22"/>
          <w:lang w:val="sk-SK"/>
        </w:rPr>
      </w:pPr>
      <w:r w:rsidRPr="00921EF2">
        <w:rPr>
          <w:sz w:val="22"/>
          <w:szCs w:val="22"/>
          <w:lang w:val="sk-SK"/>
        </w:rPr>
        <w:t>Dátum posledného predĺženia registrácie: 17. decembra 2008</w:t>
      </w:r>
    </w:p>
    <w:p w14:paraId="7B7D2037" w14:textId="77777777" w:rsidR="00A223A5" w:rsidRPr="00921EF2" w:rsidRDefault="00A223A5" w:rsidP="00A223A5">
      <w:pPr>
        <w:tabs>
          <w:tab w:val="left" w:pos="426"/>
        </w:tabs>
        <w:jc w:val="both"/>
        <w:rPr>
          <w:sz w:val="22"/>
          <w:szCs w:val="22"/>
          <w:lang w:val="sk-SK"/>
        </w:rPr>
      </w:pPr>
    </w:p>
    <w:p w14:paraId="0A49E574" w14:textId="77777777" w:rsidR="00A223A5" w:rsidRPr="001B59B9" w:rsidRDefault="00A223A5" w:rsidP="00A223A5">
      <w:pPr>
        <w:tabs>
          <w:tab w:val="left" w:pos="426"/>
        </w:tabs>
        <w:jc w:val="both"/>
        <w:rPr>
          <w:i/>
          <w:sz w:val="22"/>
          <w:lang w:val="sk-SK"/>
        </w:rPr>
      </w:pPr>
      <w:r w:rsidRPr="001B59B9">
        <w:rPr>
          <w:i/>
          <w:sz w:val="22"/>
          <w:lang w:val="sk-SK"/>
        </w:rPr>
        <w:t xml:space="preserve">Orfiril long 1 000 mg: </w:t>
      </w:r>
    </w:p>
    <w:p w14:paraId="4FF45633" w14:textId="77777777" w:rsidR="00A223A5" w:rsidRPr="00921EF2" w:rsidRDefault="00A223A5" w:rsidP="00A223A5">
      <w:pPr>
        <w:tabs>
          <w:tab w:val="left" w:pos="426"/>
        </w:tabs>
        <w:jc w:val="both"/>
        <w:rPr>
          <w:sz w:val="22"/>
          <w:szCs w:val="22"/>
          <w:lang w:val="sk-SK"/>
        </w:rPr>
      </w:pPr>
      <w:r w:rsidRPr="00921EF2">
        <w:rPr>
          <w:sz w:val="22"/>
          <w:szCs w:val="22"/>
          <w:lang w:val="sk-SK"/>
        </w:rPr>
        <w:t>Dátum prvej registrácie: 9. februára 2001</w:t>
      </w:r>
    </w:p>
    <w:p w14:paraId="6B9BD22B" w14:textId="77777777" w:rsidR="00A223A5" w:rsidRPr="00921EF2" w:rsidRDefault="00A223A5" w:rsidP="00A223A5">
      <w:pPr>
        <w:tabs>
          <w:tab w:val="left" w:pos="426"/>
        </w:tabs>
        <w:jc w:val="both"/>
        <w:rPr>
          <w:sz w:val="22"/>
          <w:szCs w:val="22"/>
          <w:lang w:val="sk-SK"/>
        </w:rPr>
      </w:pPr>
      <w:r w:rsidRPr="00921EF2">
        <w:rPr>
          <w:sz w:val="22"/>
          <w:szCs w:val="22"/>
          <w:lang w:val="sk-SK"/>
        </w:rPr>
        <w:t>Dátum posledného predĺženia registrácie: 17. decembra 2008</w:t>
      </w:r>
    </w:p>
    <w:p w14:paraId="075936F1" w14:textId="77777777" w:rsidR="00977BF3" w:rsidRPr="00921EF2" w:rsidRDefault="00977BF3" w:rsidP="00B124D9">
      <w:pPr>
        <w:rPr>
          <w:sz w:val="22"/>
          <w:szCs w:val="22"/>
          <w:lang w:val="sk-SK"/>
        </w:rPr>
      </w:pPr>
    </w:p>
    <w:p w14:paraId="049D6451" w14:textId="77777777" w:rsidR="00B7337F" w:rsidRPr="00921EF2" w:rsidRDefault="00B7337F" w:rsidP="00B124D9">
      <w:pPr>
        <w:rPr>
          <w:sz w:val="22"/>
          <w:szCs w:val="22"/>
          <w:lang w:val="sk-SK"/>
        </w:rPr>
      </w:pPr>
    </w:p>
    <w:p w14:paraId="251E23B6" w14:textId="77777777" w:rsidR="00977BF3" w:rsidRPr="00921EF2" w:rsidRDefault="00977BF3" w:rsidP="00B124D9">
      <w:pPr>
        <w:pStyle w:val="Nadpis1"/>
        <w:tabs>
          <w:tab w:val="left" w:pos="567"/>
        </w:tabs>
        <w:ind w:left="567" w:hanging="567"/>
        <w:rPr>
          <w:rFonts w:ascii="Times New Roman" w:hAnsi="Times New Roman" w:cs="Times New Roman"/>
          <w:sz w:val="22"/>
          <w:szCs w:val="22"/>
        </w:rPr>
      </w:pPr>
      <w:r w:rsidRPr="00921EF2">
        <w:rPr>
          <w:rFonts w:ascii="Times New Roman" w:hAnsi="Times New Roman" w:cs="Times New Roman"/>
          <w:sz w:val="22"/>
          <w:szCs w:val="22"/>
        </w:rPr>
        <w:t>10.</w:t>
      </w:r>
      <w:r w:rsidRPr="00921EF2">
        <w:rPr>
          <w:rFonts w:ascii="Times New Roman" w:hAnsi="Times New Roman" w:cs="Times New Roman"/>
          <w:sz w:val="22"/>
          <w:szCs w:val="22"/>
        </w:rPr>
        <w:tab/>
        <w:t>DÁTUM REVÍZIE TEXTU</w:t>
      </w:r>
    </w:p>
    <w:p w14:paraId="104CBE02" w14:textId="77777777" w:rsidR="00977BF3" w:rsidRPr="00921EF2" w:rsidRDefault="00977BF3" w:rsidP="00B124D9">
      <w:pPr>
        <w:rPr>
          <w:sz w:val="22"/>
          <w:szCs w:val="22"/>
          <w:lang w:val="sk-SK"/>
        </w:rPr>
      </w:pPr>
    </w:p>
    <w:p w14:paraId="6B2211BD" w14:textId="7651FB81" w:rsidR="00182391" w:rsidRPr="00921EF2" w:rsidRDefault="008F4410" w:rsidP="00B124D9">
      <w:pPr>
        <w:rPr>
          <w:sz w:val="22"/>
          <w:szCs w:val="22"/>
          <w:lang w:val="sk-SK"/>
        </w:rPr>
      </w:pPr>
      <w:r>
        <w:rPr>
          <w:sz w:val="22"/>
          <w:szCs w:val="22"/>
          <w:lang w:val="sk-SK"/>
        </w:rPr>
        <w:t>09/2020</w:t>
      </w:r>
    </w:p>
    <w:sectPr w:rsidR="00182391" w:rsidRPr="00921EF2" w:rsidSect="001B59B9">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9E4DC" w14:textId="77777777" w:rsidR="001B35D6" w:rsidRDefault="001B35D6">
      <w:r>
        <w:separator/>
      </w:r>
    </w:p>
  </w:endnote>
  <w:endnote w:type="continuationSeparator" w:id="0">
    <w:p w14:paraId="2F944719" w14:textId="77777777" w:rsidR="001B35D6" w:rsidRDefault="001B35D6">
      <w:r>
        <w:continuationSeparator/>
      </w:r>
    </w:p>
  </w:endnote>
  <w:endnote w:type="continuationNotice" w:id="1">
    <w:p w14:paraId="2EF81BF3" w14:textId="77777777" w:rsidR="001B35D6" w:rsidRDefault="001B3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622BE" w14:textId="77777777" w:rsidR="001B35D6" w:rsidRDefault="001B35D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AAF7B1B" w14:textId="77777777" w:rsidR="001B35D6" w:rsidRDefault="001B35D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E95D" w14:textId="7A3D2F5F" w:rsidR="001B35D6" w:rsidRPr="008A1BA8" w:rsidRDefault="001B35D6" w:rsidP="008A1BA8">
    <w:pPr>
      <w:pStyle w:val="Pta"/>
      <w:jc w:val="center"/>
      <w:rPr>
        <w:sz w:val="18"/>
        <w:szCs w:val="18"/>
      </w:rPr>
    </w:pPr>
    <w:r w:rsidRPr="009A6B5B">
      <w:rPr>
        <w:sz w:val="18"/>
        <w:szCs w:val="18"/>
      </w:rPr>
      <w:fldChar w:fldCharType="begin"/>
    </w:r>
    <w:r w:rsidRPr="009A6B5B">
      <w:rPr>
        <w:sz w:val="18"/>
        <w:szCs w:val="18"/>
      </w:rPr>
      <w:instrText>PAGE   \* MERGEFORMAT</w:instrText>
    </w:r>
    <w:r w:rsidRPr="009A6B5B">
      <w:rPr>
        <w:sz w:val="18"/>
        <w:szCs w:val="18"/>
      </w:rPr>
      <w:fldChar w:fldCharType="separate"/>
    </w:r>
    <w:r w:rsidR="008A1BA8" w:rsidRPr="008A1BA8">
      <w:rPr>
        <w:noProof/>
        <w:sz w:val="18"/>
        <w:szCs w:val="18"/>
        <w:lang w:val="sk-SK"/>
      </w:rPr>
      <w:t>19</w:t>
    </w:r>
    <w:r w:rsidRPr="009A6B5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3F453" w14:textId="77777777" w:rsidR="001B35D6" w:rsidRDefault="001B35D6">
      <w:r>
        <w:separator/>
      </w:r>
    </w:p>
  </w:footnote>
  <w:footnote w:type="continuationSeparator" w:id="0">
    <w:p w14:paraId="2162BABF" w14:textId="77777777" w:rsidR="001B35D6" w:rsidRDefault="001B35D6">
      <w:r>
        <w:continuationSeparator/>
      </w:r>
    </w:p>
  </w:footnote>
  <w:footnote w:type="continuationNotice" w:id="1">
    <w:p w14:paraId="7C94540C" w14:textId="77777777" w:rsidR="001B35D6" w:rsidRDefault="001B3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82DE" w14:textId="1FF2E934" w:rsidR="001B35D6" w:rsidRPr="00FD1942" w:rsidRDefault="001B35D6" w:rsidP="00CE2B95">
    <w:pPr>
      <w:pStyle w:val="Hlavika"/>
      <w:rPr>
        <w:sz w:val="18"/>
        <w:szCs w:val="18"/>
      </w:rPr>
    </w:pPr>
    <w:r>
      <w:rPr>
        <w:sz w:val="18"/>
        <w:szCs w:val="18"/>
        <w:lang w:val="sk-SK"/>
      </w:rPr>
      <w:t>Príloha č. 1 k notifikácii o zmene, ev.č. 2020/03851-ZIB</w:t>
    </w:r>
  </w:p>
  <w:p w14:paraId="0B7439D8" w14:textId="77777777" w:rsidR="001B35D6" w:rsidRDefault="001B35D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1FEF4" w14:textId="77777777" w:rsidR="001B35D6" w:rsidRPr="00CC0BFC" w:rsidRDefault="001B35D6" w:rsidP="00CC65FE">
    <w:pPr>
      <w:pStyle w:val="Hlavika"/>
      <w:rPr>
        <w:sz w:val="18"/>
        <w:szCs w:val="18"/>
        <w:lang w:val="sk-SK"/>
      </w:rPr>
    </w:pPr>
    <w:r w:rsidRPr="00B35602">
      <w:rPr>
        <w:sz w:val="18"/>
        <w:szCs w:val="18"/>
        <w:lang w:val="sk-SK"/>
      </w:rPr>
      <w:t>Schválený text k rozhodnutiu o zmene, ev. č.:</w:t>
    </w:r>
    <w:r>
      <w:rPr>
        <w:sz w:val="18"/>
        <w:szCs w:val="18"/>
        <w:lang w:val="sk-SK"/>
      </w:rPr>
      <w:t xml:space="preserve"> 2016/05919-ZME</w:t>
    </w:r>
  </w:p>
  <w:p w14:paraId="0D2EA219" w14:textId="77777777" w:rsidR="001B35D6" w:rsidRDefault="001B35D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89E"/>
    <w:multiLevelType w:val="hybridMultilevel"/>
    <w:tmpl w:val="DB7CC0E0"/>
    <w:lvl w:ilvl="0" w:tplc="D74030A8">
      <w:start w:val="4"/>
      <w:numFmt w:val="bullet"/>
      <w:lvlText w:val="-"/>
      <w:lvlJc w:val="left"/>
      <w:pPr>
        <w:tabs>
          <w:tab w:val="num" w:pos="360"/>
        </w:tabs>
        <w:ind w:left="34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153F2"/>
    <w:multiLevelType w:val="hybridMultilevel"/>
    <w:tmpl w:val="68A8773C"/>
    <w:lvl w:ilvl="0" w:tplc="C5D89686">
      <w:start w:val="4"/>
      <w:numFmt w:val="bullet"/>
      <w:lvlText w:val="-"/>
      <w:lvlJc w:val="left"/>
      <w:pPr>
        <w:tabs>
          <w:tab w:val="num" w:pos="360"/>
        </w:tabs>
        <w:ind w:left="34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05DDD"/>
    <w:multiLevelType w:val="hybridMultilevel"/>
    <w:tmpl w:val="EA123C46"/>
    <w:lvl w:ilvl="0" w:tplc="E73A1B92">
      <w:start w:val="4"/>
      <w:numFmt w:val="bullet"/>
      <w:lvlText w:val="-"/>
      <w:lvlJc w:val="left"/>
      <w:pPr>
        <w:tabs>
          <w:tab w:val="num" w:pos="360"/>
        </w:tabs>
        <w:ind w:left="34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B6B24"/>
    <w:multiLevelType w:val="hybridMultilevel"/>
    <w:tmpl w:val="6060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904E7"/>
    <w:multiLevelType w:val="singleLevel"/>
    <w:tmpl w:val="7944CC3E"/>
    <w:lvl w:ilvl="0">
      <w:numFmt w:val="bullet"/>
      <w:lvlText w:val="-"/>
      <w:lvlJc w:val="left"/>
      <w:pPr>
        <w:tabs>
          <w:tab w:val="num" w:pos="600"/>
        </w:tabs>
        <w:ind w:left="600" w:hanging="360"/>
      </w:pPr>
      <w:rPr>
        <w:rFonts w:hint="default"/>
      </w:rPr>
    </w:lvl>
  </w:abstractNum>
  <w:abstractNum w:abstractNumId="5" w15:restartNumberingAfterBreak="0">
    <w:nsid w:val="26C210B6"/>
    <w:multiLevelType w:val="hybridMultilevel"/>
    <w:tmpl w:val="04128DAA"/>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FFFFFFFF">
      <w:start w:val="1"/>
      <w:numFmt w:val="bullet"/>
      <w:lvlText w:val="-"/>
      <w:legacy w:legacy="1" w:legacySpace="0" w:legacyIndent="360"/>
      <w:lvlJc w:val="left"/>
      <w:pPr>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10725"/>
    <w:multiLevelType w:val="hybridMultilevel"/>
    <w:tmpl w:val="927AF378"/>
    <w:lvl w:ilvl="0" w:tplc="C6AC410C">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9F2EAB"/>
    <w:multiLevelType w:val="hybridMultilevel"/>
    <w:tmpl w:val="2EE42FA4"/>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FFFFFFFF">
      <w:start w:val="1"/>
      <w:numFmt w:val="bullet"/>
      <w:lvlText w:val="-"/>
      <w:legacy w:legacy="1" w:legacySpace="0" w:legacyIndent="360"/>
      <w:lvlJc w:val="left"/>
      <w:pPr>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9C52AF"/>
    <w:multiLevelType w:val="hybridMultilevel"/>
    <w:tmpl w:val="9362C446"/>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014715"/>
    <w:multiLevelType w:val="hybridMultilevel"/>
    <w:tmpl w:val="E496F57A"/>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813183"/>
    <w:multiLevelType w:val="singleLevel"/>
    <w:tmpl w:val="418CF964"/>
    <w:lvl w:ilvl="0">
      <w:numFmt w:val="bullet"/>
      <w:lvlText w:val="-"/>
      <w:lvlJc w:val="left"/>
      <w:pPr>
        <w:tabs>
          <w:tab w:val="num" w:pos="360"/>
        </w:tabs>
        <w:ind w:left="360" w:hanging="360"/>
      </w:pPr>
      <w:rPr>
        <w:rFonts w:hint="default"/>
      </w:rPr>
    </w:lvl>
  </w:abstractNum>
  <w:abstractNum w:abstractNumId="14" w15:restartNumberingAfterBreak="0">
    <w:nsid w:val="4D556E3A"/>
    <w:multiLevelType w:val="hybridMultilevel"/>
    <w:tmpl w:val="F080E808"/>
    <w:lvl w:ilvl="0" w:tplc="3E90964E">
      <w:start w:val="5"/>
      <w:numFmt w:val="bullet"/>
      <w:lvlText w:val="-"/>
      <w:lvlJc w:val="left"/>
      <w:pPr>
        <w:tabs>
          <w:tab w:val="num" w:pos="397"/>
        </w:tabs>
        <w:ind w:left="397"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E01B10"/>
    <w:multiLevelType w:val="hybridMultilevel"/>
    <w:tmpl w:val="B37C209E"/>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A04E3"/>
    <w:multiLevelType w:val="singleLevel"/>
    <w:tmpl w:val="739CC83C"/>
    <w:lvl w:ilvl="0">
      <w:start w:val="5"/>
      <w:numFmt w:val="bullet"/>
      <w:lvlText w:val="-"/>
      <w:lvlJc w:val="left"/>
      <w:pPr>
        <w:tabs>
          <w:tab w:val="num" w:pos="360"/>
        </w:tabs>
        <w:ind w:left="360" w:hanging="360"/>
      </w:pPr>
      <w:rPr>
        <w:rFonts w:hint="default"/>
      </w:rPr>
    </w:lvl>
  </w:abstractNum>
  <w:abstractNum w:abstractNumId="17" w15:restartNumberingAfterBreak="0">
    <w:nsid w:val="52AE2456"/>
    <w:multiLevelType w:val="hybridMultilevel"/>
    <w:tmpl w:val="4EB6EFC0"/>
    <w:lvl w:ilvl="0" w:tplc="0F4C1C28">
      <w:start w:val="4"/>
      <w:numFmt w:val="bullet"/>
      <w:lvlText w:val="-"/>
      <w:lvlJc w:val="left"/>
      <w:pPr>
        <w:tabs>
          <w:tab w:val="num" w:pos="360"/>
        </w:tabs>
        <w:ind w:left="34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96B47"/>
    <w:multiLevelType w:val="hybridMultilevel"/>
    <w:tmpl w:val="9B0CC3A8"/>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F9227E6"/>
    <w:multiLevelType w:val="hybridMultilevel"/>
    <w:tmpl w:val="37C876D6"/>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D06E4E"/>
    <w:multiLevelType w:val="singleLevel"/>
    <w:tmpl w:val="7944CC3E"/>
    <w:lvl w:ilvl="0">
      <w:numFmt w:val="bullet"/>
      <w:lvlText w:val="-"/>
      <w:lvlJc w:val="left"/>
      <w:pPr>
        <w:tabs>
          <w:tab w:val="num" w:pos="600"/>
        </w:tabs>
        <w:ind w:left="600" w:hanging="360"/>
      </w:pPr>
      <w:rPr>
        <w:rFonts w:hint="default"/>
      </w:rPr>
    </w:lvl>
  </w:abstractNum>
  <w:abstractNum w:abstractNumId="21" w15:restartNumberingAfterBreak="0">
    <w:nsid w:val="66BD3E9A"/>
    <w:multiLevelType w:val="singleLevel"/>
    <w:tmpl w:val="7944CC3E"/>
    <w:lvl w:ilvl="0">
      <w:numFmt w:val="bullet"/>
      <w:lvlText w:val="-"/>
      <w:lvlJc w:val="left"/>
      <w:pPr>
        <w:tabs>
          <w:tab w:val="num" w:pos="600"/>
        </w:tabs>
        <w:ind w:left="600" w:hanging="360"/>
      </w:pPr>
      <w:rPr>
        <w:rFonts w:hint="default"/>
      </w:rPr>
    </w:lvl>
  </w:abstractNum>
  <w:abstractNum w:abstractNumId="22" w15:restartNumberingAfterBreak="0">
    <w:nsid w:val="704B48C7"/>
    <w:multiLevelType w:val="hybridMultilevel"/>
    <w:tmpl w:val="73B44A34"/>
    <w:lvl w:ilvl="0" w:tplc="C066B100">
      <w:start w:val="4"/>
      <w:numFmt w:val="bullet"/>
      <w:lvlText w:val="-"/>
      <w:lvlJc w:val="left"/>
      <w:pPr>
        <w:tabs>
          <w:tab w:val="num" w:pos="360"/>
        </w:tabs>
        <w:ind w:left="34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161188"/>
    <w:multiLevelType w:val="singleLevel"/>
    <w:tmpl w:val="7944CC3E"/>
    <w:lvl w:ilvl="0">
      <w:numFmt w:val="bullet"/>
      <w:lvlText w:val="-"/>
      <w:lvlJc w:val="left"/>
      <w:pPr>
        <w:tabs>
          <w:tab w:val="num" w:pos="600"/>
        </w:tabs>
        <w:ind w:left="600" w:hanging="360"/>
      </w:pPr>
      <w:rPr>
        <w:rFonts w:hint="default"/>
      </w:rPr>
    </w:lvl>
  </w:abstractNum>
  <w:abstractNum w:abstractNumId="24" w15:restartNumberingAfterBreak="0">
    <w:nsid w:val="7A9E4674"/>
    <w:multiLevelType w:val="hybridMultilevel"/>
    <w:tmpl w:val="24A8B1D2"/>
    <w:lvl w:ilvl="0" w:tplc="2D3A5FFE">
      <w:start w:val="5"/>
      <w:numFmt w:val="bullet"/>
      <w:lvlText w:val="-"/>
      <w:lvlJc w:val="left"/>
      <w:pPr>
        <w:tabs>
          <w:tab w:val="num" w:pos="397"/>
        </w:tabs>
        <w:ind w:left="397" w:hanging="397"/>
      </w:pPr>
      <w:rPr>
        <w:rFonts w:hint="default"/>
      </w:rPr>
    </w:lvl>
    <w:lvl w:ilvl="1" w:tplc="6008AF36">
      <w:start w:val="5"/>
      <w:numFmt w:val="bullet"/>
      <w:lvlText w:val="-"/>
      <w:lvlJc w:val="left"/>
      <w:pPr>
        <w:tabs>
          <w:tab w:val="num" w:pos="36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7457B3"/>
    <w:multiLevelType w:val="hybridMultilevel"/>
    <w:tmpl w:val="882EAE20"/>
    <w:lvl w:ilvl="0" w:tplc="418CF964">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20"/>
  </w:num>
  <w:num w:numId="5">
    <w:abstractNumId w:val="23"/>
  </w:num>
  <w:num w:numId="6">
    <w:abstractNumId w:val="2"/>
  </w:num>
  <w:num w:numId="7">
    <w:abstractNumId w:val="0"/>
  </w:num>
  <w:num w:numId="8">
    <w:abstractNumId w:val="1"/>
  </w:num>
  <w:num w:numId="9">
    <w:abstractNumId w:val="22"/>
  </w:num>
  <w:num w:numId="10">
    <w:abstractNumId w:val="17"/>
  </w:num>
  <w:num w:numId="11">
    <w:abstractNumId w:val="14"/>
  </w:num>
  <w:num w:numId="12">
    <w:abstractNumId w:val="24"/>
  </w:num>
  <w:num w:numId="13">
    <w:abstractNumId w:val="7"/>
  </w:num>
  <w:num w:numId="14">
    <w:abstractNumId w:val="12"/>
  </w:num>
  <w:num w:numId="15">
    <w:abstractNumId w:val="10"/>
  </w:num>
  <w:num w:numId="16">
    <w:abstractNumId w:val="18"/>
  </w:num>
  <w:num w:numId="17">
    <w:abstractNumId w:val="19"/>
  </w:num>
  <w:num w:numId="18">
    <w:abstractNumId w:val="9"/>
  </w:num>
  <w:num w:numId="19">
    <w:abstractNumId w:val="3"/>
  </w:num>
  <w:num w:numId="20">
    <w:abstractNumId w:val="13"/>
  </w:num>
  <w:num w:numId="21">
    <w:abstractNumId w:val="11"/>
  </w:num>
  <w:num w:numId="22">
    <w:abstractNumId w:val="6"/>
  </w:num>
  <w:num w:numId="23">
    <w:abstractNumId w:val="15"/>
  </w:num>
  <w:num w:numId="24">
    <w:abstractNumId w:val="8"/>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F3"/>
    <w:rsid w:val="0000066C"/>
    <w:rsid w:val="000017E0"/>
    <w:rsid w:val="000037CC"/>
    <w:rsid w:val="000047B6"/>
    <w:rsid w:val="000070CC"/>
    <w:rsid w:val="00012805"/>
    <w:rsid w:val="000218C2"/>
    <w:rsid w:val="0002678B"/>
    <w:rsid w:val="0003130E"/>
    <w:rsid w:val="000332E5"/>
    <w:rsid w:val="00035D2B"/>
    <w:rsid w:val="00052A19"/>
    <w:rsid w:val="00053EB0"/>
    <w:rsid w:val="00062430"/>
    <w:rsid w:val="0006262B"/>
    <w:rsid w:val="0006438A"/>
    <w:rsid w:val="00064E96"/>
    <w:rsid w:val="00065897"/>
    <w:rsid w:val="000663A9"/>
    <w:rsid w:val="00067558"/>
    <w:rsid w:val="00071709"/>
    <w:rsid w:val="00072B75"/>
    <w:rsid w:val="00074BEC"/>
    <w:rsid w:val="00075E6E"/>
    <w:rsid w:val="000836AE"/>
    <w:rsid w:val="00086374"/>
    <w:rsid w:val="00090C02"/>
    <w:rsid w:val="000921A6"/>
    <w:rsid w:val="00092C0A"/>
    <w:rsid w:val="000A1A5D"/>
    <w:rsid w:val="000A1FD6"/>
    <w:rsid w:val="000A26F5"/>
    <w:rsid w:val="000A2C21"/>
    <w:rsid w:val="000B206E"/>
    <w:rsid w:val="000B2963"/>
    <w:rsid w:val="000B4466"/>
    <w:rsid w:val="000C26D6"/>
    <w:rsid w:val="000C5A99"/>
    <w:rsid w:val="000C5C14"/>
    <w:rsid w:val="000C63C6"/>
    <w:rsid w:val="000E004C"/>
    <w:rsid w:val="000E2030"/>
    <w:rsid w:val="000E2F6A"/>
    <w:rsid w:val="000E408B"/>
    <w:rsid w:val="000E5248"/>
    <w:rsid w:val="000E545B"/>
    <w:rsid w:val="000E6EF0"/>
    <w:rsid w:val="000F199E"/>
    <w:rsid w:val="000F3E22"/>
    <w:rsid w:val="000F688C"/>
    <w:rsid w:val="00101489"/>
    <w:rsid w:val="00110CC7"/>
    <w:rsid w:val="001166C6"/>
    <w:rsid w:val="00117561"/>
    <w:rsid w:val="00122F16"/>
    <w:rsid w:val="0013728A"/>
    <w:rsid w:val="001435ED"/>
    <w:rsid w:val="00145274"/>
    <w:rsid w:val="00147DD4"/>
    <w:rsid w:val="00151E45"/>
    <w:rsid w:val="00153303"/>
    <w:rsid w:val="00154031"/>
    <w:rsid w:val="00162FCA"/>
    <w:rsid w:val="001632CF"/>
    <w:rsid w:val="00165CE0"/>
    <w:rsid w:val="00167A25"/>
    <w:rsid w:val="0017179D"/>
    <w:rsid w:val="0017189B"/>
    <w:rsid w:val="00181FDE"/>
    <w:rsid w:val="00182391"/>
    <w:rsid w:val="0019309F"/>
    <w:rsid w:val="00197D24"/>
    <w:rsid w:val="00197E9E"/>
    <w:rsid w:val="001A0A72"/>
    <w:rsid w:val="001A486B"/>
    <w:rsid w:val="001A56B9"/>
    <w:rsid w:val="001A7A93"/>
    <w:rsid w:val="001B356E"/>
    <w:rsid w:val="001B35D6"/>
    <w:rsid w:val="001B3F16"/>
    <w:rsid w:val="001B59B9"/>
    <w:rsid w:val="001C373A"/>
    <w:rsid w:val="001C541B"/>
    <w:rsid w:val="001C7470"/>
    <w:rsid w:val="001C7BF7"/>
    <w:rsid w:val="001D1269"/>
    <w:rsid w:val="001E2589"/>
    <w:rsid w:val="001E309B"/>
    <w:rsid w:val="001F0AF5"/>
    <w:rsid w:val="001F1CD8"/>
    <w:rsid w:val="001F5235"/>
    <w:rsid w:val="001F7E04"/>
    <w:rsid w:val="0020469E"/>
    <w:rsid w:val="00206A7E"/>
    <w:rsid w:val="00207164"/>
    <w:rsid w:val="0021120C"/>
    <w:rsid w:val="00212F99"/>
    <w:rsid w:val="00220277"/>
    <w:rsid w:val="00225DE6"/>
    <w:rsid w:val="0023123F"/>
    <w:rsid w:val="00232448"/>
    <w:rsid w:val="0023483F"/>
    <w:rsid w:val="002351A8"/>
    <w:rsid w:val="0023575B"/>
    <w:rsid w:val="00237751"/>
    <w:rsid w:val="00240AAE"/>
    <w:rsid w:val="00245081"/>
    <w:rsid w:val="00245878"/>
    <w:rsid w:val="002474D3"/>
    <w:rsid w:val="00257D1D"/>
    <w:rsid w:val="00261519"/>
    <w:rsid w:val="00262249"/>
    <w:rsid w:val="002622B1"/>
    <w:rsid w:val="00263D1A"/>
    <w:rsid w:val="00263E38"/>
    <w:rsid w:val="00264697"/>
    <w:rsid w:val="002651FA"/>
    <w:rsid w:val="00266332"/>
    <w:rsid w:val="002666D6"/>
    <w:rsid w:val="00266C48"/>
    <w:rsid w:val="00273EE8"/>
    <w:rsid w:val="002742A7"/>
    <w:rsid w:val="00277652"/>
    <w:rsid w:val="002827CC"/>
    <w:rsid w:val="0028665A"/>
    <w:rsid w:val="002876E6"/>
    <w:rsid w:val="0029669A"/>
    <w:rsid w:val="00296C1D"/>
    <w:rsid w:val="002A05E5"/>
    <w:rsid w:val="002A3996"/>
    <w:rsid w:val="002A5E05"/>
    <w:rsid w:val="002B05B0"/>
    <w:rsid w:val="002B33AD"/>
    <w:rsid w:val="002B3C58"/>
    <w:rsid w:val="002B75E0"/>
    <w:rsid w:val="002C2F18"/>
    <w:rsid w:val="002C44A5"/>
    <w:rsid w:val="002C5674"/>
    <w:rsid w:val="002D2980"/>
    <w:rsid w:val="002D3828"/>
    <w:rsid w:val="002D520D"/>
    <w:rsid w:val="002D7039"/>
    <w:rsid w:val="002D72D7"/>
    <w:rsid w:val="002E3F6C"/>
    <w:rsid w:val="002F26F2"/>
    <w:rsid w:val="00300DA7"/>
    <w:rsid w:val="003118DE"/>
    <w:rsid w:val="00314CBA"/>
    <w:rsid w:val="00316C07"/>
    <w:rsid w:val="00317FE0"/>
    <w:rsid w:val="003222A0"/>
    <w:rsid w:val="00323CF0"/>
    <w:rsid w:val="003245C5"/>
    <w:rsid w:val="0032560C"/>
    <w:rsid w:val="00325FCA"/>
    <w:rsid w:val="0032603B"/>
    <w:rsid w:val="00331A99"/>
    <w:rsid w:val="00331F95"/>
    <w:rsid w:val="00333023"/>
    <w:rsid w:val="0033319E"/>
    <w:rsid w:val="003403EF"/>
    <w:rsid w:val="00340452"/>
    <w:rsid w:val="00341C57"/>
    <w:rsid w:val="00345F85"/>
    <w:rsid w:val="00345F99"/>
    <w:rsid w:val="003507D3"/>
    <w:rsid w:val="003531EF"/>
    <w:rsid w:val="003567D6"/>
    <w:rsid w:val="00357109"/>
    <w:rsid w:val="00361C4F"/>
    <w:rsid w:val="00364B57"/>
    <w:rsid w:val="00371908"/>
    <w:rsid w:val="00372A54"/>
    <w:rsid w:val="0037499D"/>
    <w:rsid w:val="0037507C"/>
    <w:rsid w:val="003758BF"/>
    <w:rsid w:val="00376870"/>
    <w:rsid w:val="00376D3E"/>
    <w:rsid w:val="00384402"/>
    <w:rsid w:val="00385275"/>
    <w:rsid w:val="00387678"/>
    <w:rsid w:val="00387858"/>
    <w:rsid w:val="00391DEE"/>
    <w:rsid w:val="0039210E"/>
    <w:rsid w:val="003922EB"/>
    <w:rsid w:val="00392AC5"/>
    <w:rsid w:val="003940E5"/>
    <w:rsid w:val="00395F31"/>
    <w:rsid w:val="003A0C5F"/>
    <w:rsid w:val="003A4B01"/>
    <w:rsid w:val="003A76CB"/>
    <w:rsid w:val="003B6489"/>
    <w:rsid w:val="003C2863"/>
    <w:rsid w:val="003C3948"/>
    <w:rsid w:val="003E1487"/>
    <w:rsid w:val="003E15BF"/>
    <w:rsid w:val="003E4A94"/>
    <w:rsid w:val="003E4ED8"/>
    <w:rsid w:val="003F68D2"/>
    <w:rsid w:val="003F7C87"/>
    <w:rsid w:val="004016A5"/>
    <w:rsid w:val="0041011E"/>
    <w:rsid w:val="00412530"/>
    <w:rsid w:val="00412CC7"/>
    <w:rsid w:val="00416098"/>
    <w:rsid w:val="00423EDB"/>
    <w:rsid w:val="00425508"/>
    <w:rsid w:val="00425A58"/>
    <w:rsid w:val="00425CA2"/>
    <w:rsid w:val="00433F43"/>
    <w:rsid w:val="00436338"/>
    <w:rsid w:val="004378EC"/>
    <w:rsid w:val="00445B0C"/>
    <w:rsid w:val="0045781A"/>
    <w:rsid w:val="004601F1"/>
    <w:rsid w:val="00460D2A"/>
    <w:rsid w:val="00461B80"/>
    <w:rsid w:val="0046285D"/>
    <w:rsid w:val="004668B5"/>
    <w:rsid w:val="0046799E"/>
    <w:rsid w:val="004707B0"/>
    <w:rsid w:val="004753E9"/>
    <w:rsid w:val="00475B0C"/>
    <w:rsid w:val="004771E6"/>
    <w:rsid w:val="004775E7"/>
    <w:rsid w:val="00482456"/>
    <w:rsid w:val="00482FCB"/>
    <w:rsid w:val="00483FA8"/>
    <w:rsid w:val="00484C2E"/>
    <w:rsid w:val="00485693"/>
    <w:rsid w:val="00486DA8"/>
    <w:rsid w:val="00490C44"/>
    <w:rsid w:val="004912F1"/>
    <w:rsid w:val="00496D67"/>
    <w:rsid w:val="004A4D7F"/>
    <w:rsid w:val="004C0A5F"/>
    <w:rsid w:val="004C59E0"/>
    <w:rsid w:val="004D4023"/>
    <w:rsid w:val="004D5302"/>
    <w:rsid w:val="004E0ED0"/>
    <w:rsid w:val="004E2AD3"/>
    <w:rsid w:val="004E54EE"/>
    <w:rsid w:val="004E6768"/>
    <w:rsid w:val="004E6ADC"/>
    <w:rsid w:val="004E78F7"/>
    <w:rsid w:val="004F14CD"/>
    <w:rsid w:val="004F74DE"/>
    <w:rsid w:val="004F754C"/>
    <w:rsid w:val="004F7FE3"/>
    <w:rsid w:val="005007F4"/>
    <w:rsid w:val="0050109F"/>
    <w:rsid w:val="00515B15"/>
    <w:rsid w:val="00521B03"/>
    <w:rsid w:val="00522395"/>
    <w:rsid w:val="0053103C"/>
    <w:rsid w:val="005440B1"/>
    <w:rsid w:val="0055000D"/>
    <w:rsid w:val="005506BA"/>
    <w:rsid w:val="0055123F"/>
    <w:rsid w:val="00552F09"/>
    <w:rsid w:val="005535EE"/>
    <w:rsid w:val="005546BD"/>
    <w:rsid w:val="00554B08"/>
    <w:rsid w:val="00556BEC"/>
    <w:rsid w:val="0055753D"/>
    <w:rsid w:val="00563DDA"/>
    <w:rsid w:val="00571362"/>
    <w:rsid w:val="00575817"/>
    <w:rsid w:val="005759F7"/>
    <w:rsid w:val="00580C11"/>
    <w:rsid w:val="00582489"/>
    <w:rsid w:val="005828CB"/>
    <w:rsid w:val="00583071"/>
    <w:rsid w:val="00584FD3"/>
    <w:rsid w:val="005952DF"/>
    <w:rsid w:val="0059647F"/>
    <w:rsid w:val="00596B70"/>
    <w:rsid w:val="005A0966"/>
    <w:rsid w:val="005A0B0F"/>
    <w:rsid w:val="005A3DD1"/>
    <w:rsid w:val="005A3E9D"/>
    <w:rsid w:val="005A4003"/>
    <w:rsid w:val="005A5068"/>
    <w:rsid w:val="005A7723"/>
    <w:rsid w:val="005B65CD"/>
    <w:rsid w:val="005C1194"/>
    <w:rsid w:val="005C1D0C"/>
    <w:rsid w:val="005C4DB8"/>
    <w:rsid w:val="005C64C0"/>
    <w:rsid w:val="005C79F3"/>
    <w:rsid w:val="005D2B83"/>
    <w:rsid w:val="005D3B0E"/>
    <w:rsid w:val="005D4661"/>
    <w:rsid w:val="005D51BB"/>
    <w:rsid w:val="005E1DC7"/>
    <w:rsid w:val="005E746B"/>
    <w:rsid w:val="005E7C64"/>
    <w:rsid w:val="005F52D5"/>
    <w:rsid w:val="005F7036"/>
    <w:rsid w:val="00601BF0"/>
    <w:rsid w:val="00610EE4"/>
    <w:rsid w:val="00611389"/>
    <w:rsid w:val="00621660"/>
    <w:rsid w:val="00622577"/>
    <w:rsid w:val="006276D4"/>
    <w:rsid w:val="00631A05"/>
    <w:rsid w:val="006338A9"/>
    <w:rsid w:val="006436CF"/>
    <w:rsid w:val="00647191"/>
    <w:rsid w:val="0065386E"/>
    <w:rsid w:val="0066701C"/>
    <w:rsid w:val="00667269"/>
    <w:rsid w:val="006678D2"/>
    <w:rsid w:val="00684DD7"/>
    <w:rsid w:val="00691F25"/>
    <w:rsid w:val="0069238F"/>
    <w:rsid w:val="006A1595"/>
    <w:rsid w:val="006A2C52"/>
    <w:rsid w:val="006A3A4F"/>
    <w:rsid w:val="006A49B7"/>
    <w:rsid w:val="006A5514"/>
    <w:rsid w:val="006A6643"/>
    <w:rsid w:val="006A783F"/>
    <w:rsid w:val="006B247D"/>
    <w:rsid w:val="006C198D"/>
    <w:rsid w:val="006C4C7F"/>
    <w:rsid w:val="006D208C"/>
    <w:rsid w:val="006D4E77"/>
    <w:rsid w:val="006D6270"/>
    <w:rsid w:val="006E0D00"/>
    <w:rsid w:val="006E7F09"/>
    <w:rsid w:val="006F76D5"/>
    <w:rsid w:val="00705FB1"/>
    <w:rsid w:val="00707D8A"/>
    <w:rsid w:val="00714C69"/>
    <w:rsid w:val="00720C42"/>
    <w:rsid w:val="00720F06"/>
    <w:rsid w:val="00725FB5"/>
    <w:rsid w:val="00733B20"/>
    <w:rsid w:val="00735083"/>
    <w:rsid w:val="00736124"/>
    <w:rsid w:val="007406A5"/>
    <w:rsid w:val="007407CD"/>
    <w:rsid w:val="00740AF6"/>
    <w:rsid w:val="00742E05"/>
    <w:rsid w:val="00746D2E"/>
    <w:rsid w:val="00756417"/>
    <w:rsid w:val="00760633"/>
    <w:rsid w:val="0076286D"/>
    <w:rsid w:val="0076324A"/>
    <w:rsid w:val="00764B59"/>
    <w:rsid w:val="0076537C"/>
    <w:rsid w:val="00770E1E"/>
    <w:rsid w:val="0078086D"/>
    <w:rsid w:val="007903C5"/>
    <w:rsid w:val="007925E4"/>
    <w:rsid w:val="00793974"/>
    <w:rsid w:val="00795139"/>
    <w:rsid w:val="00796012"/>
    <w:rsid w:val="00797BD8"/>
    <w:rsid w:val="007A423E"/>
    <w:rsid w:val="007A4ED2"/>
    <w:rsid w:val="007A649C"/>
    <w:rsid w:val="007B085D"/>
    <w:rsid w:val="007B4C62"/>
    <w:rsid w:val="007B6ED3"/>
    <w:rsid w:val="007C4A34"/>
    <w:rsid w:val="007D0F3D"/>
    <w:rsid w:val="007D3410"/>
    <w:rsid w:val="007D35B9"/>
    <w:rsid w:val="007D5964"/>
    <w:rsid w:val="007D679C"/>
    <w:rsid w:val="007E1AB9"/>
    <w:rsid w:val="007E5048"/>
    <w:rsid w:val="007E7176"/>
    <w:rsid w:val="007E7C88"/>
    <w:rsid w:val="007F3BDE"/>
    <w:rsid w:val="007F62EB"/>
    <w:rsid w:val="007F6FA8"/>
    <w:rsid w:val="00800195"/>
    <w:rsid w:val="008008E6"/>
    <w:rsid w:val="00810580"/>
    <w:rsid w:val="00815AE5"/>
    <w:rsid w:val="008163BB"/>
    <w:rsid w:val="00827588"/>
    <w:rsid w:val="00835D6A"/>
    <w:rsid w:val="0084027A"/>
    <w:rsid w:val="008405C3"/>
    <w:rsid w:val="00843A16"/>
    <w:rsid w:val="00850C5D"/>
    <w:rsid w:val="00871AA6"/>
    <w:rsid w:val="00872A3D"/>
    <w:rsid w:val="00887542"/>
    <w:rsid w:val="00892592"/>
    <w:rsid w:val="0089592E"/>
    <w:rsid w:val="008A1BA8"/>
    <w:rsid w:val="008A2809"/>
    <w:rsid w:val="008A68D9"/>
    <w:rsid w:val="008C60C2"/>
    <w:rsid w:val="008C692B"/>
    <w:rsid w:val="008D4546"/>
    <w:rsid w:val="008D491A"/>
    <w:rsid w:val="008D58A7"/>
    <w:rsid w:val="008D73F3"/>
    <w:rsid w:val="008E342B"/>
    <w:rsid w:val="008E6DFE"/>
    <w:rsid w:val="008F298E"/>
    <w:rsid w:val="008F3A84"/>
    <w:rsid w:val="008F42C3"/>
    <w:rsid w:val="008F4410"/>
    <w:rsid w:val="008F69A7"/>
    <w:rsid w:val="00900E3F"/>
    <w:rsid w:val="009100F2"/>
    <w:rsid w:val="00910C80"/>
    <w:rsid w:val="00915EB8"/>
    <w:rsid w:val="00920517"/>
    <w:rsid w:val="00921EF2"/>
    <w:rsid w:val="00926E70"/>
    <w:rsid w:val="00936312"/>
    <w:rsid w:val="0094751A"/>
    <w:rsid w:val="00950DC4"/>
    <w:rsid w:val="0095179F"/>
    <w:rsid w:val="00952092"/>
    <w:rsid w:val="009536A5"/>
    <w:rsid w:val="009572C5"/>
    <w:rsid w:val="0095756C"/>
    <w:rsid w:val="009724F5"/>
    <w:rsid w:val="00973FAA"/>
    <w:rsid w:val="00977BF3"/>
    <w:rsid w:val="00983CBD"/>
    <w:rsid w:val="009923C9"/>
    <w:rsid w:val="009A2950"/>
    <w:rsid w:val="009A6B5B"/>
    <w:rsid w:val="009B1550"/>
    <w:rsid w:val="009B7A33"/>
    <w:rsid w:val="009C332D"/>
    <w:rsid w:val="009C769D"/>
    <w:rsid w:val="009D163C"/>
    <w:rsid w:val="009D64BA"/>
    <w:rsid w:val="009D6B69"/>
    <w:rsid w:val="009E601F"/>
    <w:rsid w:val="009E6922"/>
    <w:rsid w:val="009F0968"/>
    <w:rsid w:val="009F5135"/>
    <w:rsid w:val="009F619C"/>
    <w:rsid w:val="009F6BB1"/>
    <w:rsid w:val="00A030CB"/>
    <w:rsid w:val="00A05085"/>
    <w:rsid w:val="00A06B09"/>
    <w:rsid w:val="00A1408B"/>
    <w:rsid w:val="00A223A5"/>
    <w:rsid w:val="00A23038"/>
    <w:rsid w:val="00A23B7C"/>
    <w:rsid w:val="00A25BEA"/>
    <w:rsid w:val="00A36BDC"/>
    <w:rsid w:val="00A45FCB"/>
    <w:rsid w:val="00A477AA"/>
    <w:rsid w:val="00A478C5"/>
    <w:rsid w:val="00A56605"/>
    <w:rsid w:val="00A6045A"/>
    <w:rsid w:val="00A72098"/>
    <w:rsid w:val="00A72E34"/>
    <w:rsid w:val="00A73903"/>
    <w:rsid w:val="00A75875"/>
    <w:rsid w:val="00A76AD5"/>
    <w:rsid w:val="00A77C20"/>
    <w:rsid w:val="00A77E96"/>
    <w:rsid w:val="00A808A8"/>
    <w:rsid w:val="00A82350"/>
    <w:rsid w:val="00A903A3"/>
    <w:rsid w:val="00AA1AD5"/>
    <w:rsid w:val="00AA55BC"/>
    <w:rsid w:val="00AB00DA"/>
    <w:rsid w:val="00AB1B5F"/>
    <w:rsid w:val="00AB32C1"/>
    <w:rsid w:val="00AB639C"/>
    <w:rsid w:val="00AD0C1F"/>
    <w:rsid w:val="00AD32B2"/>
    <w:rsid w:val="00AD4346"/>
    <w:rsid w:val="00AD5D3D"/>
    <w:rsid w:val="00AD5FF6"/>
    <w:rsid w:val="00AE43EE"/>
    <w:rsid w:val="00AE5368"/>
    <w:rsid w:val="00AE639B"/>
    <w:rsid w:val="00AF0053"/>
    <w:rsid w:val="00AF4B4D"/>
    <w:rsid w:val="00AF6241"/>
    <w:rsid w:val="00AF6B29"/>
    <w:rsid w:val="00AF6C2B"/>
    <w:rsid w:val="00B03E51"/>
    <w:rsid w:val="00B05C0C"/>
    <w:rsid w:val="00B07B09"/>
    <w:rsid w:val="00B104BC"/>
    <w:rsid w:val="00B10B47"/>
    <w:rsid w:val="00B11694"/>
    <w:rsid w:val="00B124D9"/>
    <w:rsid w:val="00B146B5"/>
    <w:rsid w:val="00B1675E"/>
    <w:rsid w:val="00B16A6E"/>
    <w:rsid w:val="00B17F87"/>
    <w:rsid w:val="00B21E7F"/>
    <w:rsid w:val="00B2367A"/>
    <w:rsid w:val="00B35602"/>
    <w:rsid w:val="00B356DC"/>
    <w:rsid w:val="00B376F6"/>
    <w:rsid w:val="00B44753"/>
    <w:rsid w:val="00B46590"/>
    <w:rsid w:val="00B46A0E"/>
    <w:rsid w:val="00B47308"/>
    <w:rsid w:val="00B5329C"/>
    <w:rsid w:val="00B55F2B"/>
    <w:rsid w:val="00B56B9D"/>
    <w:rsid w:val="00B7337F"/>
    <w:rsid w:val="00B83D03"/>
    <w:rsid w:val="00B910AC"/>
    <w:rsid w:val="00B9398E"/>
    <w:rsid w:val="00B93D88"/>
    <w:rsid w:val="00B9580F"/>
    <w:rsid w:val="00B95E1C"/>
    <w:rsid w:val="00B96E10"/>
    <w:rsid w:val="00BB0B61"/>
    <w:rsid w:val="00BB2B23"/>
    <w:rsid w:val="00BB30F2"/>
    <w:rsid w:val="00BC2772"/>
    <w:rsid w:val="00BC6661"/>
    <w:rsid w:val="00BD4DBA"/>
    <w:rsid w:val="00BD5822"/>
    <w:rsid w:val="00BD628B"/>
    <w:rsid w:val="00BD67E9"/>
    <w:rsid w:val="00BE1EC6"/>
    <w:rsid w:val="00BE3E90"/>
    <w:rsid w:val="00BE5D24"/>
    <w:rsid w:val="00BE5FAA"/>
    <w:rsid w:val="00BF116F"/>
    <w:rsid w:val="00BF5E07"/>
    <w:rsid w:val="00BF73EC"/>
    <w:rsid w:val="00C0159A"/>
    <w:rsid w:val="00C01A3A"/>
    <w:rsid w:val="00C03368"/>
    <w:rsid w:val="00C101D5"/>
    <w:rsid w:val="00C133D6"/>
    <w:rsid w:val="00C145C5"/>
    <w:rsid w:val="00C15965"/>
    <w:rsid w:val="00C20BA5"/>
    <w:rsid w:val="00C2197F"/>
    <w:rsid w:val="00C22133"/>
    <w:rsid w:val="00C22306"/>
    <w:rsid w:val="00C22FD5"/>
    <w:rsid w:val="00C24E7B"/>
    <w:rsid w:val="00C30C69"/>
    <w:rsid w:val="00C311B9"/>
    <w:rsid w:val="00C36FE5"/>
    <w:rsid w:val="00C37AEE"/>
    <w:rsid w:val="00C40A38"/>
    <w:rsid w:val="00C435DD"/>
    <w:rsid w:val="00C45719"/>
    <w:rsid w:val="00C458F3"/>
    <w:rsid w:val="00C47430"/>
    <w:rsid w:val="00C50537"/>
    <w:rsid w:val="00C53AD1"/>
    <w:rsid w:val="00C553AF"/>
    <w:rsid w:val="00C606C5"/>
    <w:rsid w:val="00C61F82"/>
    <w:rsid w:val="00C67B17"/>
    <w:rsid w:val="00C72739"/>
    <w:rsid w:val="00C727EC"/>
    <w:rsid w:val="00C826D3"/>
    <w:rsid w:val="00C82AB1"/>
    <w:rsid w:val="00C82F55"/>
    <w:rsid w:val="00C833E8"/>
    <w:rsid w:val="00C84A01"/>
    <w:rsid w:val="00C90A3E"/>
    <w:rsid w:val="00C92126"/>
    <w:rsid w:val="00C930A0"/>
    <w:rsid w:val="00C96DBB"/>
    <w:rsid w:val="00CA335E"/>
    <w:rsid w:val="00CA42D2"/>
    <w:rsid w:val="00CA7391"/>
    <w:rsid w:val="00CB0D03"/>
    <w:rsid w:val="00CB4E07"/>
    <w:rsid w:val="00CC0BFC"/>
    <w:rsid w:val="00CC3837"/>
    <w:rsid w:val="00CC4376"/>
    <w:rsid w:val="00CC65FE"/>
    <w:rsid w:val="00CD2FBD"/>
    <w:rsid w:val="00CD4512"/>
    <w:rsid w:val="00CE2B95"/>
    <w:rsid w:val="00CE39B0"/>
    <w:rsid w:val="00CE48C4"/>
    <w:rsid w:val="00CE78CA"/>
    <w:rsid w:val="00CF0229"/>
    <w:rsid w:val="00CF3BE2"/>
    <w:rsid w:val="00CF74E6"/>
    <w:rsid w:val="00CF7DC2"/>
    <w:rsid w:val="00D017C1"/>
    <w:rsid w:val="00D01802"/>
    <w:rsid w:val="00D037B2"/>
    <w:rsid w:val="00D16FBB"/>
    <w:rsid w:val="00D2295D"/>
    <w:rsid w:val="00D23F62"/>
    <w:rsid w:val="00D27AFC"/>
    <w:rsid w:val="00D31294"/>
    <w:rsid w:val="00D3217F"/>
    <w:rsid w:val="00D36E02"/>
    <w:rsid w:val="00D42F57"/>
    <w:rsid w:val="00D46135"/>
    <w:rsid w:val="00D52249"/>
    <w:rsid w:val="00D5314E"/>
    <w:rsid w:val="00D6087A"/>
    <w:rsid w:val="00D632DA"/>
    <w:rsid w:val="00D64B12"/>
    <w:rsid w:val="00D72626"/>
    <w:rsid w:val="00D73E3C"/>
    <w:rsid w:val="00D74310"/>
    <w:rsid w:val="00D74ADD"/>
    <w:rsid w:val="00D81E4F"/>
    <w:rsid w:val="00D82BAC"/>
    <w:rsid w:val="00D8305B"/>
    <w:rsid w:val="00D930E7"/>
    <w:rsid w:val="00D93D5F"/>
    <w:rsid w:val="00D97C18"/>
    <w:rsid w:val="00DA4F22"/>
    <w:rsid w:val="00DA7800"/>
    <w:rsid w:val="00DB0BA3"/>
    <w:rsid w:val="00DB2534"/>
    <w:rsid w:val="00DB4417"/>
    <w:rsid w:val="00DC0C31"/>
    <w:rsid w:val="00DC180D"/>
    <w:rsid w:val="00DC3B55"/>
    <w:rsid w:val="00DD3E3F"/>
    <w:rsid w:val="00DD447D"/>
    <w:rsid w:val="00DD549B"/>
    <w:rsid w:val="00DD5F44"/>
    <w:rsid w:val="00DE21A2"/>
    <w:rsid w:val="00DE2344"/>
    <w:rsid w:val="00DE596C"/>
    <w:rsid w:val="00DE75FE"/>
    <w:rsid w:val="00DF3A26"/>
    <w:rsid w:val="00E00B12"/>
    <w:rsid w:val="00E02B49"/>
    <w:rsid w:val="00E0388A"/>
    <w:rsid w:val="00E064C7"/>
    <w:rsid w:val="00E141B1"/>
    <w:rsid w:val="00E14B02"/>
    <w:rsid w:val="00E21213"/>
    <w:rsid w:val="00E24D86"/>
    <w:rsid w:val="00E26E0C"/>
    <w:rsid w:val="00E31821"/>
    <w:rsid w:val="00E353CB"/>
    <w:rsid w:val="00E364F8"/>
    <w:rsid w:val="00E378D5"/>
    <w:rsid w:val="00E410F7"/>
    <w:rsid w:val="00E4267E"/>
    <w:rsid w:val="00E53697"/>
    <w:rsid w:val="00E55017"/>
    <w:rsid w:val="00E57DD0"/>
    <w:rsid w:val="00E6425F"/>
    <w:rsid w:val="00E66C26"/>
    <w:rsid w:val="00E82531"/>
    <w:rsid w:val="00E84F78"/>
    <w:rsid w:val="00E8526B"/>
    <w:rsid w:val="00E86906"/>
    <w:rsid w:val="00E8703C"/>
    <w:rsid w:val="00E941F9"/>
    <w:rsid w:val="00E97B32"/>
    <w:rsid w:val="00EA259D"/>
    <w:rsid w:val="00EA2891"/>
    <w:rsid w:val="00EA3380"/>
    <w:rsid w:val="00EA3C31"/>
    <w:rsid w:val="00EB0104"/>
    <w:rsid w:val="00EB5AA9"/>
    <w:rsid w:val="00EC0731"/>
    <w:rsid w:val="00EC5182"/>
    <w:rsid w:val="00ED0D2F"/>
    <w:rsid w:val="00ED1285"/>
    <w:rsid w:val="00ED570F"/>
    <w:rsid w:val="00ED5EE4"/>
    <w:rsid w:val="00EE5E2D"/>
    <w:rsid w:val="00EE662D"/>
    <w:rsid w:val="00EF02A0"/>
    <w:rsid w:val="00EF111D"/>
    <w:rsid w:val="00EF1DBB"/>
    <w:rsid w:val="00EF21BE"/>
    <w:rsid w:val="00F011D7"/>
    <w:rsid w:val="00F029E8"/>
    <w:rsid w:val="00F052F9"/>
    <w:rsid w:val="00F07D65"/>
    <w:rsid w:val="00F15C7E"/>
    <w:rsid w:val="00F20664"/>
    <w:rsid w:val="00F2286E"/>
    <w:rsid w:val="00F269CC"/>
    <w:rsid w:val="00F27E6D"/>
    <w:rsid w:val="00F27EA9"/>
    <w:rsid w:val="00F322B6"/>
    <w:rsid w:val="00F3292D"/>
    <w:rsid w:val="00F33C94"/>
    <w:rsid w:val="00F37595"/>
    <w:rsid w:val="00F40286"/>
    <w:rsid w:val="00F4047A"/>
    <w:rsid w:val="00F416B4"/>
    <w:rsid w:val="00F4673F"/>
    <w:rsid w:val="00F52E7F"/>
    <w:rsid w:val="00F536F2"/>
    <w:rsid w:val="00F60135"/>
    <w:rsid w:val="00F6467F"/>
    <w:rsid w:val="00F64D13"/>
    <w:rsid w:val="00F7075F"/>
    <w:rsid w:val="00F71B88"/>
    <w:rsid w:val="00F760E7"/>
    <w:rsid w:val="00F76E56"/>
    <w:rsid w:val="00F8239E"/>
    <w:rsid w:val="00F95C23"/>
    <w:rsid w:val="00FA2B2F"/>
    <w:rsid w:val="00FA482F"/>
    <w:rsid w:val="00FA55CD"/>
    <w:rsid w:val="00FA78D1"/>
    <w:rsid w:val="00FB1B04"/>
    <w:rsid w:val="00FB332C"/>
    <w:rsid w:val="00FB540C"/>
    <w:rsid w:val="00FB7E55"/>
    <w:rsid w:val="00FC1054"/>
    <w:rsid w:val="00FC3765"/>
    <w:rsid w:val="00FD1942"/>
    <w:rsid w:val="00FE349F"/>
    <w:rsid w:val="00FE701D"/>
    <w:rsid w:val="00FF18AE"/>
    <w:rsid w:val="00FF335A"/>
    <w:rsid w:val="00FF624A"/>
    <w:rsid w:val="00FF6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63A41B"/>
  <w15:chartTrackingRefBased/>
  <w15:docId w15:val="{D7A15E9B-D689-417F-A1AC-74ECDA8C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7BF3"/>
    <w:rPr>
      <w:rFonts w:eastAsia="Times New Roman"/>
      <w:sz w:val="24"/>
      <w:szCs w:val="24"/>
      <w:lang w:val="cs-CZ" w:eastAsia="cs-CZ"/>
    </w:rPr>
  </w:style>
  <w:style w:type="paragraph" w:styleId="Nadpis1">
    <w:name w:val="heading 1"/>
    <w:basedOn w:val="Normlny"/>
    <w:next w:val="Normlny"/>
    <w:qFormat/>
    <w:rsid w:val="00977BF3"/>
    <w:pPr>
      <w:keepNext/>
      <w:autoSpaceDE w:val="0"/>
      <w:autoSpaceDN w:val="0"/>
      <w:outlineLvl w:val="0"/>
    </w:pPr>
    <w:rPr>
      <w:rFonts w:ascii="Arial" w:hAnsi="Arial" w:cs="Arial"/>
      <w:b/>
      <w:bCs/>
      <w:sz w:val="20"/>
      <w:szCs w:val="32"/>
      <w:lang w:val="sk-SK"/>
    </w:rPr>
  </w:style>
  <w:style w:type="paragraph" w:styleId="Nadpis2">
    <w:name w:val="heading 2"/>
    <w:basedOn w:val="Normlny"/>
    <w:next w:val="Normlny"/>
    <w:qFormat/>
    <w:rsid w:val="00977BF3"/>
    <w:pPr>
      <w:keepNext/>
      <w:autoSpaceDE w:val="0"/>
      <w:autoSpaceDN w:val="0"/>
      <w:outlineLvl w:val="1"/>
    </w:pPr>
    <w:rPr>
      <w:rFonts w:ascii="Arial" w:hAnsi="Arial" w:cs="Arial"/>
      <w:b/>
      <w:bCs/>
      <w:sz w:val="20"/>
      <w:lang w:val="sk-SK"/>
    </w:rPr>
  </w:style>
  <w:style w:type="paragraph" w:styleId="Nadpis3">
    <w:name w:val="heading 3"/>
    <w:basedOn w:val="Normlny"/>
    <w:next w:val="Normlny"/>
    <w:qFormat/>
    <w:rsid w:val="00977BF3"/>
    <w:pPr>
      <w:keepNext/>
      <w:autoSpaceDE w:val="0"/>
      <w:autoSpaceDN w:val="0"/>
      <w:outlineLvl w:val="2"/>
    </w:pPr>
    <w:rPr>
      <w:rFonts w:ascii="Arial" w:hAnsi="Arial" w:cs="Arial"/>
      <w:b/>
      <w:bCs/>
      <w:color w:val="000000"/>
      <w:sz w:val="20"/>
    </w:rPr>
  </w:style>
  <w:style w:type="paragraph" w:styleId="Nadpis4">
    <w:name w:val="heading 4"/>
    <w:basedOn w:val="Normlny"/>
    <w:next w:val="Normlny"/>
    <w:qFormat/>
    <w:rsid w:val="00977BF3"/>
    <w:pPr>
      <w:keepNext/>
      <w:autoSpaceDE w:val="0"/>
      <w:autoSpaceDN w:val="0"/>
      <w:jc w:val="both"/>
      <w:outlineLvl w:val="3"/>
    </w:pPr>
    <w:rPr>
      <w:b/>
      <w:bCs/>
      <w:lang w:val="sk-SK"/>
    </w:rPr>
  </w:style>
  <w:style w:type="paragraph" w:styleId="Nadpis5">
    <w:name w:val="heading 5"/>
    <w:basedOn w:val="Normlny"/>
    <w:next w:val="Normlny"/>
    <w:qFormat/>
    <w:rsid w:val="00977BF3"/>
    <w:pPr>
      <w:keepNext/>
      <w:autoSpaceDE w:val="0"/>
      <w:autoSpaceDN w:val="0"/>
      <w:jc w:val="both"/>
      <w:outlineLvl w:val="4"/>
    </w:pPr>
    <w:rPr>
      <w:rFonts w:ascii="Arial" w:hAnsi="Arial" w:cs="Arial"/>
      <w:sz w:val="20"/>
      <w:u w:val="single"/>
      <w:lang w:val="sk-SK"/>
    </w:rPr>
  </w:style>
  <w:style w:type="paragraph" w:styleId="Nadpis6">
    <w:name w:val="heading 6"/>
    <w:basedOn w:val="Normlny"/>
    <w:next w:val="Normlny"/>
    <w:qFormat/>
    <w:rsid w:val="00977BF3"/>
    <w:pPr>
      <w:keepNext/>
      <w:autoSpaceDE w:val="0"/>
      <w:autoSpaceDN w:val="0"/>
      <w:jc w:val="both"/>
      <w:outlineLvl w:val="5"/>
    </w:pPr>
    <w:rPr>
      <w:rFonts w:ascii="Arial" w:hAnsi="Arial" w:cs="Arial"/>
      <w:b/>
      <w:bCs/>
      <w:sz w:val="20"/>
      <w:u w:val="single"/>
      <w:lang w:val="sk-SK"/>
    </w:rPr>
  </w:style>
  <w:style w:type="paragraph" w:styleId="Nadpis7">
    <w:name w:val="heading 7"/>
    <w:basedOn w:val="Normlny"/>
    <w:next w:val="Normlny"/>
    <w:qFormat/>
    <w:rsid w:val="00977BF3"/>
    <w:pPr>
      <w:keepNext/>
      <w:jc w:val="both"/>
      <w:outlineLvl w:val="6"/>
    </w:pPr>
    <w:rPr>
      <w:rFonts w:ascii="Arial" w:hAnsi="Arial" w:cs="Arial"/>
      <w:b/>
      <w:bCs/>
      <w:sz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977BF3"/>
    <w:pPr>
      <w:autoSpaceDE w:val="0"/>
      <w:autoSpaceDN w:val="0"/>
      <w:jc w:val="center"/>
    </w:pPr>
    <w:rPr>
      <w:b/>
      <w:bCs/>
      <w:u w:val="single"/>
      <w:lang w:val="sk-SK"/>
    </w:rPr>
  </w:style>
  <w:style w:type="paragraph" w:styleId="Zkladntext">
    <w:name w:val="Body Text"/>
    <w:basedOn w:val="Normlny"/>
    <w:rsid w:val="00977BF3"/>
    <w:pPr>
      <w:autoSpaceDE w:val="0"/>
      <w:autoSpaceDN w:val="0"/>
      <w:jc w:val="both"/>
    </w:pPr>
    <w:rPr>
      <w:lang w:val="sk-SK"/>
    </w:rPr>
  </w:style>
  <w:style w:type="paragraph" w:styleId="Zarkazkladnhotextu3">
    <w:name w:val="Body Text Indent 3"/>
    <w:basedOn w:val="Normlny"/>
    <w:rsid w:val="00977BF3"/>
    <w:pPr>
      <w:autoSpaceDE w:val="0"/>
      <w:autoSpaceDN w:val="0"/>
      <w:ind w:left="284"/>
    </w:pPr>
    <w:rPr>
      <w:lang w:val="sk-SK"/>
    </w:rPr>
  </w:style>
  <w:style w:type="paragraph" w:styleId="Zkladntext3">
    <w:name w:val="Body Text 3"/>
    <w:basedOn w:val="Normlny"/>
    <w:rsid w:val="00977BF3"/>
    <w:pPr>
      <w:autoSpaceDE w:val="0"/>
      <w:autoSpaceDN w:val="0"/>
      <w:jc w:val="both"/>
    </w:pPr>
    <w:rPr>
      <w:rFonts w:ascii="Arial" w:hAnsi="Arial" w:cs="Arial"/>
      <w:sz w:val="20"/>
      <w:lang w:val="sk-SK"/>
    </w:rPr>
  </w:style>
  <w:style w:type="paragraph" w:styleId="Zarkazkladnhotextu">
    <w:name w:val="Body Text Indent"/>
    <w:basedOn w:val="Normlny"/>
    <w:rsid w:val="00977BF3"/>
    <w:pPr>
      <w:autoSpaceDE w:val="0"/>
      <w:autoSpaceDN w:val="0"/>
    </w:pPr>
    <w:rPr>
      <w:lang w:val="sk-SK"/>
    </w:rPr>
  </w:style>
  <w:style w:type="paragraph" w:styleId="Zarkazkladnhotextu2">
    <w:name w:val="Body Text Indent 2"/>
    <w:basedOn w:val="Normlny"/>
    <w:rsid w:val="00977BF3"/>
    <w:pPr>
      <w:autoSpaceDE w:val="0"/>
      <w:autoSpaceDN w:val="0"/>
      <w:ind w:left="142" w:hanging="142"/>
    </w:pPr>
    <w:rPr>
      <w:lang w:val="sk-SK"/>
    </w:rPr>
  </w:style>
  <w:style w:type="paragraph" w:styleId="Pta">
    <w:name w:val="footer"/>
    <w:basedOn w:val="Normlny"/>
    <w:link w:val="PtaChar"/>
    <w:uiPriority w:val="99"/>
    <w:rsid w:val="00977BF3"/>
    <w:pPr>
      <w:tabs>
        <w:tab w:val="center" w:pos="4536"/>
        <w:tab w:val="right" w:pos="9072"/>
      </w:tabs>
    </w:pPr>
  </w:style>
  <w:style w:type="character" w:styleId="slostrany">
    <w:name w:val="page number"/>
    <w:basedOn w:val="Predvolenpsmoodseku"/>
    <w:rsid w:val="00977BF3"/>
  </w:style>
  <w:style w:type="paragraph" w:styleId="Hlavika">
    <w:name w:val="header"/>
    <w:basedOn w:val="Normlny"/>
    <w:link w:val="HlavikaChar"/>
    <w:rsid w:val="00977BF3"/>
    <w:pPr>
      <w:tabs>
        <w:tab w:val="center" w:pos="4536"/>
        <w:tab w:val="right" w:pos="9072"/>
      </w:tabs>
    </w:pPr>
  </w:style>
  <w:style w:type="paragraph" w:styleId="Textbubliny">
    <w:name w:val="Balloon Text"/>
    <w:basedOn w:val="Normlny"/>
    <w:semiHidden/>
    <w:rsid w:val="009F5135"/>
    <w:rPr>
      <w:rFonts w:ascii="Tahoma" w:hAnsi="Tahoma" w:cs="Tahoma"/>
      <w:sz w:val="16"/>
      <w:szCs w:val="16"/>
    </w:rPr>
  </w:style>
  <w:style w:type="paragraph" w:customStyle="1" w:styleId="TblTextLeft">
    <w:name w:val="Tbl Text Left"/>
    <w:rsid w:val="005759F7"/>
    <w:pPr>
      <w:spacing w:before="60" w:after="60"/>
    </w:pPr>
    <w:rPr>
      <w:rFonts w:ascii="Arial Narrow" w:eastAsia="Times New Roman" w:hAnsi="Arial Narrow"/>
      <w:lang w:val="en-US" w:eastAsia="en-US"/>
    </w:rPr>
  </w:style>
  <w:style w:type="character" w:customStyle="1" w:styleId="hps">
    <w:name w:val="hps"/>
    <w:rsid w:val="0041011E"/>
  </w:style>
  <w:style w:type="character" w:customStyle="1" w:styleId="atn">
    <w:name w:val="atn"/>
    <w:rsid w:val="0041011E"/>
  </w:style>
  <w:style w:type="character" w:styleId="Hypertextovprepojenie">
    <w:name w:val="Hyperlink"/>
    <w:rsid w:val="00C22306"/>
    <w:rPr>
      <w:color w:val="0000FF"/>
      <w:u w:val="single"/>
    </w:rPr>
  </w:style>
  <w:style w:type="character" w:customStyle="1" w:styleId="shorttext">
    <w:name w:val="short_text"/>
    <w:rsid w:val="00D31294"/>
  </w:style>
  <w:style w:type="paragraph" w:customStyle="1" w:styleId="Default">
    <w:name w:val="Default"/>
    <w:rsid w:val="001F7E04"/>
    <w:pPr>
      <w:autoSpaceDE w:val="0"/>
      <w:autoSpaceDN w:val="0"/>
      <w:adjustRightInd w:val="0"/>
    </w:pPr>
    <w:rPr>
      <w:rFonts w:ascii="Verdana" w:hAnsi="Verdana" w:cs="Verdana"/>
      <w:color w:val="000000"/>
      <w:sz w:val="24"/>
      <w:szCs w:val="24"/>
      <w:lang w:val="sk-SK" w:eastAsia="sk-SK"/>
    </w:rPr>
  </w:style>
  <w:style w:type="character" w:customStyle="1" w:styleId="PtaChar">
    <w:name w:val="Päta Char"/>
    <w:link w:val="Pta"/>
    <w:uiPriority w:val="99"/>
    <w:rsid w:val="00B21E7F"/>
    <w:rPr>
      <w:rFonts w:eastAsia="Times New Roman"/>
      <w:sz w:val="24"/>
      <w:szCs w:val="24"/>
      <w:lang w:val="cs-CZ" w:eastAsia="cs-CZ"/>
    </w:rPr>
  </w:style>
  <w:style w:type="character" w:styleId="Odkaznakomentr">
    <w:name w:val="annotation reference"/>
    <w:unhideWhenUsed/>
    <w:rsid w:val="000B2963"/>
    <w:rPr>
      <w:sz w:val="16"/>
      <w:szCs w:val="16"/>
    </w:rPr>
  </w:style>
  <w:style w:type="paragraph" w:styleId="Textkomentra">
    <w:name w:val="annotation text"/>
    <w:basedOn w:val="Normlny"/>
    <w:link w:val="TextkomentraChar"/>
    <w:unhideWhenUsed/>
    <w:rsid w:val="000B2963"/>
    <w:rPr>
      <w:sz w:val="20"/>
      <w:szCs w:val="20"/>
    </w:rPr>
  </w:style>
  <w:style w:type="character" w:customStyle="1" w:styleId="TextkomentraChar">
    <w:name w:val="Text komentára Char"/>
    <w:link w:val="Textkomentra"/>
    <w:rsid w:val="000B2963"/>
    <w:rPr>
      <w:rFonts w:eastAsia="Times New Roman"/>
      <w:lang w:val="cs-CZ" w:eastAsia="cs-CZ"/>
    </w:rPr>
  </w:style>
  <w:style w:type="paragraph" w:styleId="Predmetkomentra">
    <w:name w:val="annotation subject"/>
    <w:basedOn w:val="Textkomentra"/>
    <w:next w:val="Textkomentra"/>
    <w:link w:val="PredmetkomentraChar"/>
    <w:uiPriority w:val="99"/>
    <w:semiHidden/>
    <w:unhideWhenUsed/>
    <w:rsid w:val="000B2963"/>
    <w:rPr>
      <w:b/>
      <w:bCs/>
    </w:rPr>
  </w:style>
  <w:style w:type="character" w:customStyle="1" w:styleId="PredmetkomentraChar">
    <w:name w:val="Predmet komentára Char"/>
    <w:link w:val="Predmetkomentra"/>
    <w:uiPriority w:val="99"/>
    <w:semiHidden/>
    <w:rsid w:val="000B2963"/>
    <w:rPr>
      <w:rFonts w:eastAsia="Times New Roman"/>
      <w:b/>
      <w:bCs/>
      <w:lang w:val="cs-CZ" w:eastAsia="cs-CZ"/>
    </w:rPr>
  </w:style>
  <w:style w:type="paragraph" w:customStyle="1" w:styleId="knZulassung02">
    <w:name w:val="knZulassung02"/>
    <w:basedOn w:val="Normlny"/>
    <w:uiPriority w:val="99"/>
    <w:rsid w:val="007B085D"/>
    <w:pPr>
      <w:suppressAutoHyphens/>
      <w:spacing w:before="120" w:after="120"/>
      <w:ind w:left="1843" w:right="284"/>
    </w:pPr>
    <w:rPr>
      <w:rFonts w:ascii="Arial" w:hAnsi="Arial" w:cs="Arial"/>
      <w:sz w:val="22"/>
      <w:szCs w:val="22"/>
      <w:lang w:val="en-GB" w:eastAsia="ar-SA"/>
    </w:rPr>
  </w:style>
  <w:style w:type="paragraph" w:styleId="Revzia">
    <w:name w:val="Revision"/>
    <w:hidden/>
    <w:uiPriority w:val="99"/>
    <w:semiHidden/>
    <w:rsid w:val="00C553AF"/>
    <w:rPr>
      <w:rFonts w:eastAsia="Times New Roman"/>
      <w:sz w:val="24"/>
      <w:szCs w:val="24"/>
      <w:lang w:val="cs-CZ" w:eastAsia="cs-CZ"/>
    </w:rPr>
  </w:style>
  <w:style w:type="paragraph" w:styleId="Normlnywebov">
    <w:name w:val="Normal (Web)"/>
    <w:basedOn w:val="Normlny"/>
    <w:uiPriority w:val="99"/>
    <w:unhideWhenUsed/>
    <w:rsid w:val="00F760E7"/>
    <w:pPr>
      <w:spacing w:after="143"/>
    </w:pPr>
    <w:rPr>
      <w:lang w:val="sk-SK" w:eastAsia="sk-SK"/>
    </w:rPr>
  </w:style>
  <w:style w:type="character" w:customStyle="1" w:styleId="HlavikaChar">
    <w:name w:val="Hlavička Char"/>
    <w:link w:val="Hlavika"/>
    <w:rsid w:val="00A223A5"/>
    <w:rPr>
      <w:rFonts w:eastAsia="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60959">
      <w:bodyDiv w:val="1"/>
      <w:marLeft w:val="0"/>
      <w:marRight w:val="0"/>
      <w:marTop w:val="0"/>
      <w:marBottom w:val="0"/>
      <w:divBdr>
        <w:top w:val="none" w:sz="0" w:space="0" w:color="auto"/>
        <w:left w:val="none" w:sz="0" w:space="0" w:color="auto"/>
        <w:bottom w:val="none" w:sz="0" w:space="0" w:color="auto"/>
        <w:right w:val="none" w:sz="0" w:space="0" w:color="auto"/>
      </w:divBdr>
      <w:divsChild>
        <w:div w:id="1452555901">
          <w:marLeft w:val="0"/>
          <w:marRight w:val="0"/>
          <w:marTop w:val="0"/>
          <w:marBottom w:val="0"/>
          <w:divBdr>
            <w:top w:val="none" w:sz="0" w:space="0" w:color="auto"/>
            <w:left w:val="none" w:sz="0" w:space="0" w:color="auto"/>
            <w:bottom w:val="none" w:sz="0" w:space="0" w:color="auto"/>
            <w:right w:val="none" w:sz="0" w:space="0" w:color="auto"/>
          </w:divBdr>
          <w:divsChild>
            <w:div w:id="721174061">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0"/>
                  <w:divBdr>
                    <w:top w:val="none" w:sz="0" w:space="0" w:color="auto"/>
                    <w:left w:val="none" w:sz="0" w:space="0" w:color="auto"/>
                    <w:bottom w:val="none" w:sz="0" w:space="0" w:color="auto"/>
                    <w:right w:val="none" w:sz="0" w:space="0" w:color="auto"/>
                  </w:divBdr>
                  <w:divsChild>
                    <w:div w:id="292567119">
                      <w:marLeft w:val="0"/>
                      <w:marRight w:val="0"/>
                      <w:marTop w:val="0"/>
                      <w:marBottom w:val="0"/>
                      <w:divBdr>
                        <w:top w:val="none" w:sz="0" w:space="0" w:color="auto"/>
                        <w:left w:val="none" w:sz="0" w:space="0" w:color="auto"/>
                        <w:bottom w:val="none" w:sz="0" w:space="0" w:color="auto"/>
                        <w:right w:val="none" w:sz="0" w:space="0" w:color="auto"/>
                      </w:divBdr>
                      <w:divsChild>
                        <w:div w:id="1959213157">
                          <w:marLeft w:val="0"/>
                          <w:marRight w:val="0"/>
                          <w:marTop w:val="0"/>
                          <w:marBottom w:val="0"/>
                          <w:divBdr>
                            <w:top w:val="none" w:sz="0" w:space="0" w:color="auto"/>
                            <w:left w:val="none" w:sz="0" w:space="0" w:color="auto"/>
                            <w:bottom w:val="none" w:sz="0" w:space="0" w:color="auto"/>
                            <w:right w:val="none" w:sz="0" w:space="0" w:color="auto"/>
                          </w:divBdr>
                          <w:divsChild>
                            <w:div w:id="100498783">
                              <w:marLeft w:val="0"/>
                              <w:marRight w:val="0"/>
                              <w:marTop w:val="240"/>
                              <w:marBottom w:val="0"/>
                              <w:divBdr>
                                <w:top w:val="none" w:sz="0" w:space="0" w:color="auto"/>
                                <w:left w:val="none" w:sz="0" w:space="0" w:color="auto"/>
                                <w:bottom w:val="none" w:sz="0" w:space="0" w:color="auto"/>
                                <w:right w:val="none" w:sz="0" w:space="0" w:color="auto"/>
                              </w:divBdr>
                            </w:div>
                            <w:div w:id="1177575100">
                              <w:marLeft w:val="0"/>
                              <w:marRight w:val="0"/>
                              <w:marTop w:val="240"/>
                              <w:marBottom w:val="525"/>
                              <w:divBdr>
                                <w:top w:val="none" w:sz="0" w:space="0" w:color="auto"/>
                                <w:left w:val="none" w:sz="0" w:space="0" w:color="auto"/>
                                <w:bottom w:val="none" w:sz="0" w:space="0" w:color="auto"/>
                                <w:right w:val="none" w:sz="0" w:space="0" w:color="auto"/>
                              </w:divBdr>
                              <w:divsChild>
                                <w:div w:id="1223634318">
                                  <w:marLeft w:val="0"/>
                                  <w:marRight w:val="0"/>
                                  <w:marTop w:val="0"/>
                                  <w:marBottom w:val="0"/>
                                  <w:divBdr>
                                    <w:top w:val="none" w:sz="0" w:space="0" w:color="auto"/>
                                    <w:left w:val="none" w:sz="0" w:space="0" w:color="auto"/>
                                    <w:bottom w:val="none" w:sz="0" w:space="0" w:color="auto"/>
                                    <w:right w:val="none" w:sz="0" w:space="0" w:color="auto"/>
                                  </w:divBdr>
                                </w:div>
                              </w:divsChild>
                            </w:div>
                            <w:div w:id="1241478202">
                              <w:marLeft w:val="0"/>
                              <w:marRight w:val="0"/>
                              <w:marTop w:val="0"/>
                              <w:marBottom w:val="0"/>
                              <w:divBdr>
                                <w:top w:val="none" w:sz="0" w:space="0" w:color="auto"/>
                                <w:left w:val="none" w:sz="0" w:space="0" w:color="auto"/>
                                <w:bottom w:val="none" w:sz="0" w:space="0" w:color="auto"/>
                                <w:right w:val="none" w:sz="0" w:space="0" w:color="auto"/>
                              </w:divBdr>
                              <w:divsChild>
                                <w:div w:id="1306544552">
                                  <w:marLeft w:val="0"/>
                                  <w:marRight w:val="0"/>
                                  <w:marTop w:val="0"/>
                                  <w:marBottom w:val="0"/>
                                  <w:divBdr>
                                    <w:top w:val="none" w:sz="0" w:space="0" w:color="auto"/>
                                    <w:left w:val="none" w:sz="0" w:space="0" w:color="auto"/>
                                    <w:bottom w:val="none" w:sz="0" w:space="0" w:color="auto"/>
                                    <w:right w:val="none" w:sz="0" w:space="0" w:color="auto"/>
                                  </w:divBdr>
                                  <w:divsChild>
                                    <w:div w:id="1951932300">
                                      <w:marLeft w:val="60"/>
                                      <w:marRight w:val="0"/>
                                      <w:marTop w:val="0"/>
                                      <w:marBottom w:val="0"/>
                                      <w:divBdr>
                                        <w:top w:val="none" w:sz="0" w:space="0" w:color="auto"/>
                                        <w:left w:val="none" w:sz="0" w:space="0" w:color="auto"/>
                                        <w:bottom w:val="none" w:sz="0" w:space="0" w:color="auto"/>
                                        <w:right w:val="none" w:sz="0" w:space="0" w:color="auto"/>
                                      </w:divBdr>
                                      <w:divsChild>
                                        <w:div w:id="1978023189">
                                          <w:marLeft w:val="0"/>
                                          <w:marRight w:val="0"/>
                                          <w:marTop w:val="0"/>
                                          <w:marBottom w:val="0"/>
                                          <w:divBdr>
                                            <w:top w:val="none" w:sz="0" w:space="0" w:color="auto"/>
                                            <w:left w:val="none" w:sz="0" w:space="0" w:color="auto"/>
                                            <w:bottom w:val="none" w:sz="0" w:space="0" w:color="auto"/>
                                            <w:right w:val="none" w:sz="0" w:space="0" w:color="auto"/>
                                          </w:divBdr>
                                          <w:divsChild>
                                            <w:div w:id="342704383">
                                              <w:marLeft w:val="0"/>
                                              <w:marRight w:val="0"/>
                                              <w:marTop w:val="180"/>
                                              <w:marBottom w:val="0"/>
                                              <w:divBdr>
                                                <w:top w:val="none" w:sz="0" w:space="0" w:color="auto"/>
                                                <w:left w:val="none" w:sz="0" w:space="0" w:color="auto"/>
                                                <w:bottom w:val="none" w:sz="0" w:space="0" w:color="auto"/>
                                                <w:right w:val="none" w:sz="0" w:space="0" w:color="auto"/>
                                              </w:divBdr>
                                            </w:div>
                                            <w:div w:id="346491367">
                                              <w:marLeft w:val="0"/>
                                              <w:marRight w:val="0"/>
                                              <w:marTop w:val="0"/>
                                              <w:marBottom w:val="0"/>
                                              <w:divBdr>
                                                <w:top w:val="none" w:sz="0" w:space="0" w:color="auto"/>
                                                <w:left w:val="none" w:sz="0" w:space="0" w:color="auto"/>
                                                <w:bottom w:val="none" w:sz="0" w:space="0" w:color="auto"/>
                                                <w:right w:val="none" w:sz="0" w:space="0" w:color="auto"/>
                                              </w:divBdr>
                                              <w:divsChild>
                                                <w:div w:id="130446621">
                                                  <w:marLeft w:val="0"/>
                                                  <w:marRight w:val="0"/>
                                                  <w:marTop w:val="0"/>
                                                  <w:marBottom w:val="0"/>
                                                  <w:divBdr>
                                                    <w:top w:val="none" w:sz="0" w:space="0" w:color="auto"/>
                                                    <w:left w:val="none" w:sz="0" w:space="0" w:color="auto"/>
                                                    <w:bottom w:val="none" w:sz="0" w:space="0" w:color="auto"/>
                                                    <w:right w:val="none" w:sz="0" w:space="0" w:color="auto"/>
                                                  </w:divBdr>
                                                  <w:divsChild>
                                                    <w:div w:id="673799084">
                                                      <w:marLeft w:val="0"/>
                                                      <w:marRight w:val="0"/>
                                                      <w:marTop w:val="0"/>
                                                      <w:marBottom w:val="0"/>
                                                      <w:divBdr>
                                                        <w:top w:val="none" w:sz="0" w:space="4" w:color="F0C36D"/>
                                                        <w:left w:val="none" w:sz="0" w:space="4" w:color="F0C36D"/>
                                                        <w:bottom w:val="none" w:sz="0" w:space="4" w:color="F0C36D"/>
                                                        <w:right w:val="none" w:sz="0" w:space="4" w:color="F0C36D"/>
                                                      </w:divBdr>
                                                      <w:divsChild>
                                                        <w:div w:id="64762501">
                                                          <w:marLeft w:val="0"/>
                                                          <w:marRight w:val="0"/>
                                                          <w:marTop w:val="0"/>
                                                          <w:marBottom w:val="0"/>
                                                          <w:divBdr>
                                                            <w:top w:val="none" w:sz="0" w:space="0" w:color="auto"/>
                                                            <w:left w:val="none" w:sz="0" w:space="0" w:color="auto"/>
                                                            <w:bottom w:val="none" w:sz="0" w:space="0" w:color="auto"/>
                                                            <w:right w:val="none" w:sz="0" w:space="0" w:color="auto"/>
                                                          </w:divBdr>
                                                        </w:div>
                                                      </w:divsChild>
                                                    </w:div>
                                                    <w:div w:id="1136290099">
                                                      <w:marLeft w:val="0"/>
                                                      <w:marRight w:val="0"/>
                                                      <w:marTop w:val="0"/>
                                                      <w:marBottom w:val="0"/>
                                                      <w:divBdr>
                                                        <w:top w:val="none" w:sz="0" w:space="0" w:color="auto"/>
                                                        <w:left w:val="none" w:sz="0" w:space="0" w:color="auto"/>
                                                        <w:bottom w:val="none" w:sz="0" w:space="0" w:color="auto"/>
                                                        <w:right w:val="none" w:sz="0" w:space="0" w:color="auto"/>
                                                      </w:divBdr>
                                                      <w:divsChild>
                                                        <w:div w:id="197594675">
                                                          <w:marLeft w:val="0"/>
                                                          <w:marRight w:val="0"/>
                                                          <w:marTop w:val="0"/>
                                                          <w:marBottom w:val="0"/>
                                                          <w:divBdr>
                                                            <w:top w:val="none" w:sz="0" w:space="0" w:color="auto"/>
                                                            <w:left w:val="none" w:sz="0" w:space="0" w:color="auto"/>
                                                            <w:bottom w:val="none" w:sz="0" w:space="0" w:color="auto"/>
                                                            <w:right w:val="none" w:sz="0" w:space="0" w:color="auto"/>
                                                          </w:divBdr>
                                                        </w:div>
                                                        <w:div w:id="11272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6476">
                                              <w:marLeft w:val="0"/>
                                              <w:marRight w:val="0"/>
                                              <w:marTop w:val="0"/>
                                              <w:marBottom w:val="120"/>
                                              <w:divBdr>
                                                <w:top w:val="single" w:sz="6" w:space="0" w:color="F5F5F5"/>
                                                <w:left w:val="single" w:sz="6" w:space="0" w:color="F5F5F5"/>
                                                <w:bottom w:val="single" w:sz="6" w:space="0" w:color="F5F5F5"/>
                                                <w:right w:val="single" w:sz="6" w:space="0" w:color="F5F5F5"/>
                                              </w:divBdr>
                                              <w:divsChild>
                                                <w:div w:id="570624890">
                                                  <w:marLeft w:val="0"/>
                                                  <w:marRight w:val="0"/>
                                                  <w:marTop w:val="0"/>
                                                  <w:marBottom w:val="0"/>
                                                  <w:divBdr>
                                                    <w:top w:val="none" w:sz="0" w:space="0" w:color="auto"/>
                                                    <w:left w:val="none" w:sz="0" w:space="0" w:color="auto"/>
                                                    <w:bottom w:val="none" w:sz="0" w:space="0" w:color="auto"/>
                                                    <w:right w:val="none" w:sz="0" w:space="0" w:color="auto"/>
                                                  </w:divBdr>
                                                  <w:divsChild>
                                                    <w:div w:id="995760761">
                                                      <w:marLeft w:val="0"/>
                                                      <w:marRight w:val="0"/>
                                                      <w:marTop w:val="0"/>
                                                      <w:marBottom w:val="0"/>
                                                      <w:divBdr>
                                                        <w:top w:val="none" w:sz="0" w:space="0" w:color="auto"/>
                                                        <w:left w:val="none" w:sz="0" w:space="0" w:color="auto"/>
                                                        <w:bottom w:val="none" w:sz="0" w:space="0" w:color="auto"/>
                                                        <w:right w:val="none" w:sz="0" w:space="0" w:color="auto"/>
                                                      </w:divBdr>
                                                    </w:div>
                                                  </w:divsChild>
                                                </w:div>
                                                <w:div w:id="742683856">
                                                  <w:marLeft w:val="0"/>
                                                  <w:marRight w:val="0"/>
                                                  <w:marTop w:val="0"/>
                                                  <w:marBottom w:val="0"/>
                                                  <w:divBdr>
                                                    <w:top w:val="none" w:sz="0" w:space="0" w:color="auto"/>
                                                    <w:left w:val="none" w:sz="0" w:space="0" w:color="auto"/>
                                                    <w:bottom w:val="none" w:sz="0" w:space="0" w:color="auto"/>
                                                    <w:right w:val="none" w:sz="0" w:space="0" w:color="auto"/>
                                                  </w:divBdr>
                                                  <w:divsChild>
                                                    <w:div w:id="77529666">
                                                      <w:marLeft w:val="0"/>
                                                      <w:marRight w:val="0"/>
                                                      <w:marTop w:val="0"/>
                                                      <w:marBottom w:val="0"/>
                                                      <w:divBdr>
                                                        <w:top w:val="none" w:sz="0" w:space="0" w:color="auto"/>
                                                        <w:left w:val="none" w:sz="0" w:space="0" w:color="auto"/>
                                                        <w:bottom w:val="none" w:sz="0" w:space="0" w:color="auto"/>
                                                        <w:right w:val="none" w:sz="0" w:space="0" w:color="auto"/>
                                                      </w:divBdr>
                                                      <w:divsChild>
                                                        <w:div w:id="16725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1034">
                                                  <w:marLeft w:val="0"/>
                                                  <w:marRight w:val="0"/>
                                                  <w:marTop w:val="0"/>
                                                  <w:marBottom w:val="0"/>
                                                  <w:divBdr>
                                                    <w:top w:val="none" w:sz="0" w:space="0" w:color="auto"/>
                                                    <w:left w:val="none" w:sz="0" w:space="0" w:color="auto"/>
                                                    <w:bottom w:val="none" w:sz="0" w:space="0" w:color="auto"/>
                                                    <w:right w:val="none" w:sz="0" w:space="0" w:color="auto"/>
                                                  </w:divBdr>
                                                  <w:divsChild>
                                                    <w:div w:id="9599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7412">
              <w:marLeft w:val="0"/>
              <w:marRight w:val="0"/>
              <w:marTop w:val="0"/>
              <w:marBottom w:val="0"/>
              <w:divBdr>
                <w:top w:val="single" w:sz="6" w:space="31" w:color="F0C36D"/>
                <w:left w:val="single" w:sz="6" w:space="31" w:color="F0C36D"/>
                <w:bottom w:val="single" w:sz="6" w:space="31" w:color="F0C36D"/>
                <w:right w:val="single" w:sz="6" w:space="31" w:color="F0C36D"/>
              </w:divBdr>
            </w:div>
            <w:div w:id="1545675179">
              <w:marLeft w:val="0"/>
              <w:marRight w:val="0"/>
              <w:marTop w:val="0"/>
              <w:marBottom w:val="0"/>
              <w:divBdr>
                <w:top w:val="single" w:sz="6" w:space="31" w:color="F0C36D"/>
                <w:left w:val="single" w:sz="6" w:space="31" w:color="F0C36D"/>
                <w:bottom w:val="single" w:sz="6" w:space="31" w:color="F0C36D"/>
                <w:right w:val="single" w:sz="6" w:space="31" w:color="F0C36D"/>
              </w:divBdr>
            </w:div>
            <w:div w:id="1688562868">
              <w:marLeft w:val="0"/>
              <w:marRight w:val="0"/>
              <w:marTop w:val="0"/>
              <w:marBottom w:val="0"/>
              <w:divBdr>
                <w:top w:val="single" w:sz="6" w:space="31" w:color="F0C36D"/>
                <w:left w:val="single" w:sz="6" w:space="31" w:color="F0C36D"/>
                <w:bottom w:val="single" w:sz="6" w:space="31" w:color="F0C36D"/>
                <w:right w:val="single" w:sz="6" w:space="31" w:color="F0C36D"/>
              </w:divBdr>
            </w:div>
            <w:div w:id="1805807452">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10282043">
      <w:bodyDiv w:val="1"/>
      <w:marLeft w:val="0"/>
      <w:marRight w:val="0"/>
      <w:marTop w:val="0"/>
      <w:marBottom w:val="0"/>
      <w:divBdr>
        <w:top w:val="none" w:sz="0" w:space="0" w:color="auto"/>
        <w:left w:val="none" w:sz="0" w:space="0" w:color="auto"/>
        <w:bottom w:val="none" w:sz="0" w:space="0" w:color="auto"/>
        <w:right w:val="none" w:sz="0" w:space="0" w:color="auto"/>
      </w:divBdr>
      <w:divsChild>
        <w:div w:id="1289824459">
          <w:marLeft w:val="0"/>
          <w:marRight w:val="0"/>
          <w:marTop w:val="0"/>
          <w:marBottom w:val="0"/>
          <w:divBdr>
            <w:top w:val="none" w:sz="0" w:space="0" w:color="auto"/>
            <w:left w:val="none" w:sz="0" w:space="0" w:color="auto"/>
            <w:bottom w:val="none" w:sz="0" w:space="0" w:color="auto"/>
            <w:right w:val="none" w:sz="0" w:space="0" w:color="auto"/>
          </w:divBdr>
          <w:divsChild>
            <w:div w:id="1689722050">
              <w:marLeft w:val="0"/>
              <w:marRight w:val="0"/>
              <w:marTop w:val="0"/>
              <w:marBottom w:val="0"/>
              <w:divBdr>
                <w:top w:val="none" w:sz="0" w:space="0" w:color="auto"/>
                <w:left w:val="none" w:sz="0" w:space="0" w:color="auto"/>
                <w:bottom w:val="none" w:sz="0" w:space="0" w:color="auto"/>
                <w:right w:val="none" w:sz="0" w:space="0" w:color="auto"/>
              </w:divBdr>
              <w:divsChild>
                <w:div w:id="852063746">
                  <w:marLeft w:val="0"/>
                  <w:marRight w:val="0"/>
                  <w:marTop w:val="0"/>
                  <w:marBottom w:val="0"/>
                  <w:divBdr>
                    <w:top w:val="none" w:sz="0" w:space="0" w:color="auto"/>
                    <w:left w:val="none" w:sz="0" w:space="0" w:color="auto"/>
                    <w:bottom w:val="none" w:sz="0" w:space="0" w:color="auto"/>
                    <w:right w:val="none" w:sz="0" w:space="0" w:color="auto"/>
                  </w:divBdr>
                  <w:divsChild>
                    <w:div w:id="401105224">
                      <w:marLeft w:val="0"/>
                      <w:marRight w:val="0"/>
                      <w:marTop w:val="0"/>
                      <w:marBottom w:val="0"/>
                      <w:divBdr>
                        <w:top w:val="none" w:sz="0" w:space="0" w:color="auto"/>
                        <w:left w:val="none" w:sz="0" w:space="0" w:color="auto"/>
                        <w:bottom w:val="none" w:sz="0" w:space="0" w:color="auto"/>
                        <w:right w:val="none" w:sz="0" w:space="0" w:color="auto"/>
                      </w:divBdr>
                      <w:divsChild>
                        <w:div w:id="1995864653">
                          <w:marLeft w:val="0"/>
                          <w:marRight w:val="0"/>
                          <w:marTop w:val="0"/>
                          <w:marBottom w:val="0"/>
                          <w:divBdr>
                            <w:top w:val="none" w:sz="0" w:space="0" w:color="auto"/>
                            <w:left w:val="none" w:sz="0" w:space="0" w:color="auto"/>
                            <w:bottom w:val="none" w:sz="0" w:space="0" w:color="auto"/>
                            <w:right w:val="none" w:sz="0" w:space="0" w:color="auto"/>
                          </w:divBdr>
                          <w:divsChild>
                            <w:div w:id="749618337">
                              <w:marLeft w:val="0"/>
                              <w:marRight w:val="0"/>
                              <w:marTop w:val="0"/>
                              <w:marBottom w:val="0"/>
                              <w:divBdr>
                                <w:top w:val="none" w:sz="0" w:space="0" w:color="auto"/>
                                <w:left w:val="none" w:sz="0" w:space="0" w:color="auto"/>
                                <w:bottom w:val="none" w:sz="0" w:space="0" w:color="auto"/>
                                <w:right w:val="none" w:sz="0" w:space="0" w:color="auto"/>
                              </w:divBdr>
                              <w:divsChild>
                                <w:div w:id="1006902255">
                                  <w:marLeft w:val="0"/>
                                  <w:marRight w:val="0"/>
                                  <w:marTop w:val="0"/>
                                  <w:marBottom w:val="0"/>
                                  <w:divBdr>
                                    <w:top w:val="none" w:sz="0" w:space="0" w:color="auto"/>
                                    <w:left w:val="none" w:sz="0" w:space="0" w:color="auto"/>
                                    <w:bottom w:val="none" w:sz="0" w:space="0" w:color="auto"/>
                                    <w:right w:val="none" w:sz="0" w:space="0" w:color="auto"/>
                                  </w:divBdr>
                                  <w:divsChild>
                                    <w:div w:id="1418863093">
                                      <w:marLeft w:val="60"/>
                                      <w:marRight w:val="0"/>
                                      <w:marTop w:val="0"/>
                                      <w:marBottom w:val="0"/>
                                      <w:divBdr>
                                        <w:top w:val="none" w:sz="0" w:space="0" w:color="auto"/>
                                        <w:left w:val="none" w:sz="0" w:space="0" w:color="auto"/>
                                        <w:bottom w:val="none" w:sz="0" w:space="0" w:color="auto"/>
                                        <w:right w:val="none" w:sz="0" w:space="0" w:color="auto"/>
                                      </w:divBdr>
                                      <w:divsChild>
                                        <w:div w:id="2024087566">
                                          <w:marLeft w:val="0"/>
                                          <w:marRight w:val="0"/>
                                          <w:marTop w:val="0"/>
                                          <w:marBottom w:val="0"/>
                                          <w:divBdr>
                                            <w:top w:val="none" w:sz="0" w:space="0" w:color="auto"/>
                                            <w:left w:val="none" w:sz="0" w:space="0" w:color="auto"/>
                                            <w:bottom w:val="none" w:sz="0" w:space="0" w:color="auto"/>
                                            <w:right w:val="none" w:sz="0" w:space="0" w:color="auto"/>
                                          </w:divBdr>
                                          <w:divsChild>
                                            <w:div w:id="1343976416">
                                              <w:marLeft w:val="0"/>
                                              <w:marRight w:val="0"/>
                                              <w:marTop w:val="0"/>
                                              <w:marBottom w:val="120"/>
                                              <w:divBdr>
                                                <w:top w:val="single" w:sz="6" w:space="0" w:color="F5F5F5"/>
                                                <w:left w:val="single" w:sz="6" w:space="0" w:color="F5F5F5"/>
                                                <w:bottom w:val="single" w:sz="6" w:space="0" w:color="F5F5F5"/>
                                                <w:right w:val="single" w:sz="6" w:space="0" w:color="F5F5F5"/>
                                              </w:divBdr>
                                              <w:divsChild>
                                                <w:div w:id="1069769300">
                                                  <w:marLeft w:val="0"/>
                                                  <w:marRight w:val="0"/>
                                                  <w:marTop w:val="0"/>
                                                  <w:marBottom w:val="0"/>
                                                  <w:divBdr>
                                                    <w:top w:val="none" w:sz="0" w:space="0" w:color="auto"/>
                                                    <w:left w:val="none" w:sz="0" w:space="0" w:color="auto"/>
                                                    <w:bottom w:val="none" w:sz="0" w:space="0" w:color="auto"/>
                                                    <w:right w:val="none" w:sz="0" w:space="0" w:color="auto"/>
                                                  </w:divBdr>
                                                  <w:divsChild>
                                                    <w:div w:id="13095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A489-348A-4A5D-8EA1-FA732BEF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7081</Words>
  <Characters>45471</Characters>
  <Application>Microsoft Office Word</Application>
  <DocSecurity>0</DocSecurity>
  <Lines>378</Lines>
  <Paragraphs>104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sanofi-aventis</Company>
  <LinksUpToDate>false</LinksUpToDate>
  <CharactersWithSpaces>52448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Salgova</dc:creator>
  <cp:keywords/>
  <cp:lastModifiedBy>Skladaná, Judita</cp:lastModifiedBy>
  <cp:revision>2</cp:revision>
  <cp:lastPrinted>2018-05-03T11:28:00Z</cp:lastPrinted>
  <dcterms:created xsi:type="dcterms:W3CDTF">2020-09-04T07:41:00Z</dcterms:created>
  <dcterms:modified xsi:type="dcterms:W3CDTF">2020-09-04T07:41:00Z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