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1E" w:rsidRPr="000B5A26" w:rsidRDefault="0093101E" w:rsidP="00ED34E1">
      <w:pPr>
        <w:tabs>
          <w:tab w:val="left" w:pos="567"/>
        </w:tabs>
        <w:ind w:right="423"/>
        <w:jc w:val="center"/>
        <w:rPr>
          <w:b/>
          <w:sz w:val="22"/>
          <w:szCs w:val="22"/>
        </w:rPr>
      </w:pPr>
      <w:bookmarkStart w:id="0" w:name="_GoBack"/>
      <w:bookmarkEnd w:id="0"/>
    </w:p>
    <w:p w:rsidR="0093101E" w:rsidRPr="000B5A26" w:rsidRDefault="0093101E" w:rsidP="00ED34E1">
      <w:pPr>
        <w:tabs>
          <w:tab w:val="left" w:pos="567"/>
        </w:tabs>
        <w:ind w:right="423"/>
        <w:jc w:val="center"/>
        <w:rPr>
          <w:b/>
          <w:sz w:val="22"/>
          <w:szCs w:val="22"/>
        </w:rPr>
      </w:pPr>
    </w:p>
    <w:p w:rsidR="00EF7081" w:rsidRPr="000B5A26" w:rsidRDefault="00EF7081" w:rsidP="00ED34E1">
      <w:pPr>
        <w:tabs>
          <w:tab w:val="left" w:pos="567"/>
        </w:tabs>
        <w:ind w:right="423"/>
        <w:jc w:val="center"/>
        <w:rPr>
          <w:b/>
          <w:caps/>
          <w:sz w:val="22"/>
          <w:szCs w:val="22"/>
        </w:rPr>
      </w:pPr>
      <w:r w:rsidRPr="000B5A26">
        <w:rPr>
          <w:b/>
          <w:caps/>
          <w:sz w:val="22"/>
          <w:szCs w:val="22"/>
        </w:rPr>
        <w:t>Súhrn charakteristických vlastností lieku</w:t>
      </w:r>
    </w:p>
    <w:p w:rsidR="00EF7081" w:rsidRPr="000B5A26" w:rsidRDefault="00EF7081" w:rsidP="00ED34E1">
      <w:pPr>
        <w:tabs>
          <w:tab w:val="left" w:pos="567"/>
        </w:tabs>
        <w:ind w:right="423"/>
        <w:jc w:val="center"/>
        <w:rPr>
          <w:b/>
          <w:caps/>
          <w:sz w:val="22"/>
          <w:szCs w:val="22"/>
        </w:rPr>
      </w:pPr>
    </w:p>
    <w:p w:rsidR="00EF7081" w:rsidRPr="000B5A26" w:rsidRDefault="00EF7081" w:rsidP="00ED34E1">
      <w:pPr>
        <w:tabs>
          <w:tab w:val="left" w:pos="567"/>
        </w:tabs>
        <w:ind w:right="423"/>
        <w:jc w:val="center"/>
        <w:rPr>
          <w:b/>
          <w:sz w:val="22"/>
          <w:szCs w:val="22"/>
        </w:rPr>
      </w:pPr>
    </w:p>
    <w:p w:rsidR="00EF7081" w:rsidRPr="000B5A26" w:rsidRDefault="00EF7081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caps/>
          <w:sz w:val="22"/>
          <w:szCs w:val="22"/>
        </w:rPr>
      </w:pPr>
      <w:r w:rsidRPr="000B5A26">
        <w:rPr>
          <w:b/>
          <w:caps/>
          <w:sz w:val="22"/>
          <w:szCs w:val="22"/>
        </w:rPr>
        <w:t>Názov lieku</w:t>
      </w:r>
    </w:p>
    <w:p w:rsidR="00EF7081" w:rsidRPr="00053DC5" w:rsidRDefault="00EF7081" w:rsidP="00417E81">
      <w:pPr>
        <w:keepNext/>
        <w:tabs>
          <w:tab w:val="num" w:pos="0"/>
          <w:tab w:val="left" w:pos="567"/>
        </w:tabs>
        <w:ind w:right="423"/>
        <w:rPr>
          <w:b/>
          <w:sz w:val="22"/>
          <w:szCs w:val="22"/>
        </w:rPr>
      </w:pPr>
    </w:p>
    <w:p w:rsidR="00EF7081" w:rsidRDefault="00EF7081" w:rsidP="00417E81">
      <w:pPr>
        <w:pStyle w:val="Nadpis2"/>
        <w:keepNext w:val="0"/>
        <w:tabs>
          <w:tab w:val="num" w:pos="0"/>
          <w:tab w:val="left" w:pos="567"/>
        </w:tabs>
        <w:ind w:left="0" w:right="423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DA4E8B">
        <w:rPr>
          <w:rFonts w:ascii="Times New Roman" w:hAnsi="Times New Roman"/>
          <w:b w:val="0"/>
          <w:sz w:val="22"/>
          <w:szCs w:val="22"/>
        </w:rPr>
        <w:t>Orof</w:t>
      </w:r>
      <w:r w:rsidR="002E2F04" w:rsidRPr="00DA4E8B">
        <w:rPr>
          <w:rFonts w:ascii="Times New Roman" w:hAnsi="Times New Roman"/>
          <w:b w:val="0"/>
          <w:sz w:val="22"/>
          <w:szCs w:val="22"/>
        </w:rPr>
        <w:t>orte</w:t>
      </w:r>
      <w:proofErr w:type="spellEnd"/>
      <w:r w:rsidRPr="00DA4E8B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1C4A1B" w:rsidRPr="00DA4E8B">
        <w:rPr>
          <w:rFonts w:ascii="Times New Roman" w:hAnsi="Times New Roman"/>
          <w:b w:val="0"/>
          <w:sz w:val="22"/>
          <w:szCs w:val="22"/>
        </w:rPr>
        <w:t>ment</w:t>
      </w:r>
      <w:r w:rsidR="002E2F04" w:rsidRPr="00DA4E8B">
        <w:rPr>
          <w:rFonts w:ascii="Times New Roman" w:hAnsi="Times New Roman"/>
          <w:b w:val="0"/>
          <w:sz w:val="22"/>
          <w:szCs w:val="22"/>
        </w:rPr>
        <w:t>h</w:t>
      </w:r>
      <w:r w:rsidR="001C4A1B" w:rsidRPr="00DA4E8B">
        <w:rPr>
          <w:rFonts w:ascii="Times New Roman" w:hAnsi="Times New Roman"/>
          <w:b w:val="0"/>
          <w:sz w:val="22"/>
          <w:szCs w:val="22"/>
        </w:rPr>
        <w:t>ol</w:t>
      </w:r>
      <w:proofErr w:type="spellEnd"/>
    </w:p>
    <w:p w:rsidR="00EC6646" w:rsidRPr="00EC6646" w:rsidRDefault="00EC6646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2 mg/1 mg</w:t>
      </w:r>
    </w:p>
    <w:p w:rsidR="00F44DE0" w:rsidRPr="00DA4E8B" w:rsidRDefault="00F44DE0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tvrdé pastilky</w:t>
      </w:r>
    </w:p>
    <w:p w:rsidR="00EF7081" w:rsidRPr="00DA4E8B" w:rsidRDefault="00EF7081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692063" w:rsidRPr="000B5A26" w:rsidRDefault="00692063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EF7081" w:rsidRPr="000B5A26" w:rsidRDefault="00EF7081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0B5A26">
        <w:rPr>
          <w:b/>
          <w:caps/>
          <w:sz w:val="22"/>
          <w:szCs w:val="22"/>
        </w:rPr>
        <w:t xml:space="preserve">Kvalitatívne a kvantitatívne zloženie </w:t>
      </w:r>
    </w:p>
    <w:p w:rsidR="00692063" w:rsidRPr="00417E81" w:rsidRDefault="00692063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EF7081" w:rsidRPr="000B5A26" w:rsidRDefault="00DD2923" w:rsidP="00ED34E1">
      <w:pPr>
        <w:pStyle w:val="Text"/>
        <w:tabs>
          <w:tab w:val="num" w:pos="0"/>
          <w:tab w:val="left" w:pos="567"/>
        </w:tabs>
        <w:spacing w:before="0"/>
        <w:ind w:right="423"/>
        <w:jc w:val="left"/>
        <w:rPr>
          <w:sz w:val="22"/>
          <w:szCs w:val="22"/>
          <w:lang w:val="sk-SK"/>
        </w:rPr>
      </w:pPr>
      <w:r w:rsidRPr="000B5A26">
        <w:rPr>
          <w:sz w:val="22"/>
          <w:szCs w:val="22"/>
          <w:lang w:val="sk-SK"/>
        </w:rPr>
        <w:t xml:space="preserve">Jedna pastilka </w:t>
      </w:r>
      <w:proofErr w:type="spellStart"/>
      <w:r w:rsidRPr="000B5A26">
        <w:rPr>
          <w:sz w:val="22"/>
          <w:szCs w:val="22"/>
          <w:lang w:val="sk-SK"/>
        </w:rPr>
        <w:t>Oroforte</w:t>
      </w:r>
      <w:proofErr w:type="spellEnd"/>
      <w:r w:rsidRPr="000B5A26">
        <w:rPr>
          <w:sz w:val="22"/>
          <w:szCs w:val="22"/>
          <w:lang w:val="sk-SK"/>
        </w:rPr>
        <w:t xml:space="preserve"> </w:t>
      </w:r>
      <w:proofErr w:type="spellStart"/>
      <w:r w:rsidRPr="000B5A26">
        <w:rPr>
          <w:sz w:val="22"/>
          <w:szCs w:val="22"/>
          <w:lang w:val="sk-SK"/>
        </w:rPr>
        <w:t>menthol</w:t>
      </w:r>
      <w:proofErr w:type="spellEnd"/>
      <w:r w:rsidRPr="000B5A26">
        <w:rPr>
          <w:sz w:val="22"/>
          <w:szCs w:val="22"/>
          <w:lang w:val="sk-SK"/>
        </w:rPr>
        <w:t xml:space="preserve"> obsahuje</w:t>
      </w:r>
      <w:r w:rsidRPr="000B5A26">
        <w:rPr>
          <w:rFonts w:eastAsia="Times New Roman"/>
          <w:sz w:val="22"/>
          <w:szCs w:val="22"/>
          <w:lang w:val="sk-SK" w:eastAsia="sk-SK"/>
        </w:rPr>
        <w:t xml:space="preserve"> 2</w:t>
      </w:r>
      <w:r w:rsidR="00ED34E1">
        <w:rPr>
          <w:rFonts w:eastAsia="Times New Roman"/>
          <w:sz w:val="22"/>
          <w:szCs w:val="22"/>
          <w:lang w:val="sk-SK" w:eastAsia="sk-SK"/>
        </w:rPr>
        <w:t> </w:t>
      </w:r>
      <w:r w:rsidRPr="000B5A26">
        <w:rPr>
          <w:rFonts w:eastAsia="Times New Roman"/>
          <w:sz w:val="22"/>
          <w:szCs w:val="22"/>
          <w:lang w:val="sk-SK" w:eastAsia="sk-SK"/>
        </w:rPr>
        <w:t>mg</w:t>
      </w:r>
      <w:r w:rsidRPr="000B5A26">
        <w:rPr>
          <w:sz w:val="22"/>
          <w:szCs w:val="22"/>
          <w:lang w:val="sk-SK"/>
        </w:rPr>
        <w:t xml:space="preserve"> </w:t>
      </w:r>
      <w:proofErr w:type="spellStart"/>
      <w:r w:rsidRPr="000B5A26">
        <w:rPr>
          <w:sz w:val="22"/>
          <w:szCs w:val="22"/>
          <w:lang w:val="sk-SK"/>
        </w:rPr>
        <w:t>c</w:t>
      </w:r>
      <w:r w:rsidR="001C4A1B" w:rsidRPr="000B5A26">
        <w:rPr>
          <w:rFonts w:eastAsia="Times New Roman"/>
          <w:sz w:val="22"/>
          <w:szCs w:val="22"/>
          <w:lang w:val="sk-SK" w:eastAsia="sk-SK"/>
        </w:rPr>
        <w:t>etylpyrid</w:t>
      </w:r>
      <w:r w:rsidR="000B5A26">
        <w:rPr>
          <w:rFonts w:eastAsia="Times New Roman"/>
          <w:sz w:val="22"/>
          <w:szCs w:val="22"/>
          <w:lang w:val="sk-SK" w:eastAsia="sk-SK"/>
        </w:rPr>
        <w:t>í</w:t>
      </w:r>
      <w:r w:rsidR="001C4A1B" w:rsidRPr="000B5A26">
        <w:rPr>
          <w:rFonts w:eastAsia="Times New Roman"/>
          <w:sz w:val="22"/>
          <w:szCs w:val="22"/>
          <w:lang w:val="sk-SK" w:eastAsia="sk-SK"/>
        </w:rPr>
        <w:t>ni</w:t>
      </w:r>
      <w:r w:rsidR="000B5A26">
        <w:rPr>
          <w:rFonts w:eastAsia="Times New Roman"/>
          <w:sz w:val="22"/>
          <w:szCs w:val="22"/>
          <w:lang w:val="sk-SK" w:eastAsia="sk-SK"/>
        </w:rPr>
        <w:t>um</w:t>
      </w:r>
      <w:r w:rsidR="001C4A1B" w:rsidRPr="000B5A26">
        <w:rPr>
          <w:rFonts w:eastAsia="Times New Roman"/>
          <w:sz w:val="22"/>
          <w:szCs w:val="22"/>
          <w:lang w:val="sk-SK" w:eastAsia="sk-SK"/>
        </w:rPr>
        <w:t>chlorid</w:t>
      </w:r>
      <w:r w:rsidR="000809EE">
        <w:rPr>
          <w:rFonts w:eastAsia="Times New Roman"/>
          <w:sz w:val="22"/>
          <w:szCs w:val="22"/>
          <w:lang w:val="sk-SK" w:eastAsia="sk-SK"/>
        </w:rPr>
        <w:t>u</w:t>
      </w:r>
      <w:proofErr w:type="spellEnd"/>
      <w:r w:rsidR="00CE4C70" w:rsidRPr="000B5A26">
        <w:rPr>
          <w:rFonts w:eastAsia="Times New Roman"/>
          <w:sz w:val="22"/>
          <w:szCs w:val="22"/>
          <w:lang w:val="sk-SK" w:eastAsia="sk-SK"/>
        </w:rPr>
        <w:t xml:space="preserve"> </w:t>
      </w:r>
      <w:r w:rsidRPr="000B5A26">
        <w:rPr>
          <w:rFonts w:eastAsia="Times New Roman"/>
          <w:sz w:val="22"/>
          <w:szCs w:val="22"/>
          <w:lang w:val="sk-SK" w:eastAsia="sk-SK"/>
        </w:rPr>
        <w:t>a</w:t>
      </w:r>
      <w:r w:rsidR="00ED34E1">
        <w:rPr>
          <w:rFonts w:eastAsia="Times New Roman"/>
          <w:sz w:val="22"/>
          <w:szCs w:val="22"/>
          <w:lang w:val="sk-SK" w:eastAsia="sk-SK"/>
        </w:rPr>
        <w:t> </w:t>
      </w:r>
      <w:r w:rsidRPr="000B5A26">
        <w:rPr>
          <w:rFonts w:eastAsia="Times New Roman"/>
          <w:sz w:val="22"/>
          <w:szCs w:val="22"/>
          <w:lang w:val="sk-SK" w:eastAsia="sk-SK"/>
        </w:rPr>
        <w:t>1</w:t>
      </w:r>
      <w:r w:rsidR="00ED34E1">
        <w:rPr>
          <w:rFonts w:eastAsia="Times New Roman"/>
          <w:sz w:val="22"/>
          <w:szCs w:val="22"/>
          <w:lang w:val="sk-SK" w:eastAsia="sk-SK"/>
        </w:rPr>
        <w:t> </w:t>
      </w:r>
      <w:r w:rsidRPr="000B5A26">
        <w:rPr>
          <w:rFonts w:eastAsia="Times New Roman"/>
          <w:sz w:val="22"/>
          <w:szCs w:val="22"/>
          <w:lang w:val="sk-SK" w:eastAsia="sk-SK"/>
        </w:rPr>
        <w:t>mg</w:t>
      </w:r>
      <w:r w:rsidRPr="000B5A26" w:rsidDel="00DD2923">
        <w:rPr>
          <w:rFonts w:eastAsia="Times New Roman"/>
          <w:sz w:val="22"/>
          <w:szCs w:val="22"/>
          <w:lang w:val="sk-SK" w:eastAsia="sk-SK"/>
        </w:rPr>
        <w:t xml:space="preserve"> </w:t>
      </w:r>
      <w:proofErr w:type="spellStart"/>
      <w:r w:rsidRPr="000B5A26">
        <w:rPr>
          <w:rFonts w:eastAsia="Times New Roman"/>
          <w:sz w:val="22"/>
          <w:szCs w:val="22"/>
          <w:lang w:val="sk-SK" w:eastAsia="sk-SK"/>
        </w:rPr>
        <w:t>l</w:t>
      </w:r>
      <w:r w:rsidR="00EF7081" w:rsidRPr="000B5A26">
        <w:rPr>
          <w:rFonts w:eastAsia="Times New Roman"/>
          <w:sz w:val="22"/>
          <w:szCs w:val="22"/>
          <w:lang w:val="sk-SK" w:eastAsia="sk-SK"/>
        </w:rPr>
        <w:t>idoca</w:t>
      </w:r>
      <w:r w:rsidR="000B5A26">
        <w:rPr>
          <w:rFonts w:eastAsia="Times New Roman"/>
          <w:sz w:val="22"/>
          <w:szCs w:val="22"/>
          <w:lang w:val="sk-SK" w:eastAsia="sk-SK"/>
        </w:rPr>
        <w:t>í</w:t>
      </w:r>
      <w:r w:rsidR="00EF7081" w:rsidRPr="000B5A26">
        <w:rPr>
          <w:rFonts w:eastAsia="Times New Roman"/>
          <w:sz w:val="22"/>
          <w:szCs w:val="22"/>
          <w:lang w:val="sk-SK" w:eastAsia="sk-SK"/>
        </w:rPr>
        <w:t>ni</w:t>
      </w:r>
      <w:r w:rsidR="000B5A26">
        <w:rPr>
          <w:rFonts w:eastAsia="Times New Roman"/>
          <w:sz w:val="22"/>
          <w:szCs w:val="22"/>
          <w:lang w:val="sk-SK" w:eastAsia="sk-SK"/>
        </w:rPr>
        <w:t>um</w:t>
      </w:r>
      <w:r w:rsidR="00EF7081" w:rsidRPr="000B5A26">
        <w:rPr>
          <w:rFonts w:eastAsia="Times New Roman"/>
          <w:sz w:val="22"/>
          <w:szCs w:val="22"/>
          <w:lang w:val="sk-SK" w:eastAsia="sk-SK"/>
        </w:rPr>
        <w:t>chlorid</w:t>
      </w:r>
      <w:r w:rsidR="000809EE">
        <w:rPr>
          <w:rFonts w:eastAsia="Times New Roman"/>
          <w:sz w:val="22"/>
          <w:szCs w:val="22"/>
          <w:lang w:val="sk-SK" w:eastAsia="sk-SK"/>
        </w:rPr>
        <w:t>u</w:t>
      </w:r>
      <w:proofErr w:type="spellEnd"/>
      <w:r w:rsidR="00ED34E1">
        <w:rPr>
          <w:rFonts w:eastAsia="Times New Roman"/>
          <w:sz w:val="22"/>
          <w:szCs w:val="22"/>
          <w:lang w:val="sk-SK" w:eastAsia="sk-SK"/>
        </w:rPr>
        <w:t>.</w:t>
      </w:r>
      <w:r w:rsidR="00EF7081" w:rsidRPr="000B5A26">
        <w:rPr>
          <w:rFonts w:eastAsia="Times New Roman"/>
          <w:sz w:val="22"/>
          <w:szCs w:val="22"/>
          <w:lang w:val="sk-SK" w:eastAsia="sk-SK"/>
        </w:rPr>
        <w:t xml:space="preserve"> </w:t>
      </w:r>
    </w:p>
    <w:p w:rsidR="00EF7081" w:rsidRPr="000B5A26" w:rsidRDefault="00EF7081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DD2923" w:rsidRPr="000B5A26" w:rsidRDefault="00423B8D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B5A26">
        <w:rPr>
          <w:sz w:val="22"/>
          <w:szCs w:val="22"/>
        </w:rPr>
        <w:t xml:space="preserve">Pomocné látky: </w:t>
      </w:r>
      <w:proofErr w:type="spellStart"/>
      <w:r w:rsidR="00DD2923" w:rsidRPr="000B5A26">
        <w:rPr>
          <w:sz w:val="22"/>
          <w:szCs w:val="22"/>
        </w:rPr>
        <w:t>sorbitol</w:t>
      </w:r>
      <w:proofErr w:type="spellEnd"/>
      <w:r w:rsidR="00ED34E1">
        <w:rPr>
          <w:sz w:val="22"/>
          <w:szCs w:val="22"/>
        </w:rPr>
        <w:t>.</w:t>
      </w:r>
    </w:p>
    <w:p w:rsidR="00423B8D" w:rsidRPr="000B5A26" w:rsidRDefault="00DD2923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B5A26">
        <w:rPr>
          <w:sz w:val="22"/>
          <w:szCs w:val="22"/>
        </w:rPr>
        <w:t>Úplný zoznam pomocných látok</w:t>
      </w:r>
      <w:r w:rsidR="00564727" w:rsidRPr="000B5A26">
        <w:rPr>
          <w:sz w:val="22"/>
          <w:szCs w:val="22"/>
        </w:rPr>
        <w:t>,</w:t>
      </w:r>
      <w:r w:rsidRPr="000B5A26">
        <w:rPr>
          <w:sz w:val="22"/>
          <w:szCs w:val="22"/>
        </w:rPr>
        <w:t xml:space="preserve"> </w:t>
      </w:r>
      <w:r w:rsidR="00423B8D" w:rsidRPr="000B5A26">
        <w:rPr>
          <w:sz w:val="22"/>
          <w:szCs w:val="22"/>
        </w:rPr>
        <w:t>pozri časť 6.1</w:t>
      </w:r>
    </w:p>
    <w:p w:rsidR="00EF7081" w:rsidRPr="000B5A26" w:rsidRDefault="00EF7081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692063" w:rsidRPr="000B5A26" w:rsidRDefault="00692063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AB7F52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t>LIEKOVÁ FORMA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341D48" w:rsidRDefault="00F86C1B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B5A26">
        <w:rPr>
          <w:sz w:val="22"/>
          <w:szCs w:val="22"/>
        </w:rPr>
        <w:t>Tvrd</w:t>
      </w:r>
      <w:r w:rsidR="00692063" w:rsidRPr="000B5A26">
        <w:rPr>
          <w:sz w:val="22"/>
          <w:szCs w:val="22"/>
        </w:rPr>
        <w:t>á</w:t>
      </w:r>
      <w:r w:rsidRPr="000B5A26">
        <w:rPr>
          <w:sz w:val="22"/>
          <w:szCs w:val="22"/>
        </w:rPr>
        <w:t xml:space="preserve"> p</w:t>
      </w:r>
      <w:r w:rsidR="00341D48" w:rsidRPr="000B5A26">
        <w:rPr>
          <w:sz w:val="22"/>
          <w:szCs w:val="22"/>
        </w:rPr>
        <w:t>astilk</w:t>
      </w:r>
      <w:r w:rsidR="00692063" w:rsidRPr="000B5A26">
        <w:rPr>
          <w:sz w:val="22"/>
          <w:szCs w:val="22"/>
        </w:rPr>
        <w:t>a</w:t>
      </w:r>
      <w:r w:rsidR="0008256C" w:rsidRPr="000B5A26">
        <w:rPr>
          <w:sz w:val="22"/>
          <w:szCs w:val="22"/>
        </w:rPr>
        <w:t>.</w:t>
      </w:r>
    </w:p>
    <w:p w:rsidR="00ED34E1" w:rsidRPr="000B5A26" w:rsidRDefault="00ED34E1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814F41" w:rsidRPr="000B5A26" w:rsidRDefault="00692063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B5A26">
        <w:rPr>
          <w:noProof/>
          <w:sz w:val="22"/>
          <w:szCs w:val="22"/>
        </w:rPr>
        <w:t>B</w:t>
      </w:r>
      <w:r w:rsidR="00814F41" w:rsidRPr="000B5A26">
        <w:rPr>
          <w:noProof/>
          <w:sz w:val="22"/>
          <w:szCs w:val="22"/>
        </w:rPr>
        <w:t>iele obdĺžnikové pastilky so skosenými hranami</w:t>
      </w:r>
      <w:r w:rsidR="0008256C" w:rsidRPr="000B5A26">
        <w:rPr>
          <w:noProof/>
          <w:sz w:val="22"/>
          <w:szCs w:val="22"/>
        </w:rPr>
        <w:t>.</w:t>
      </w:r>
    </w:p>
    <w:p w:rsidR="00EF7081" w:rsidRPr="000B5A26" w:rsidRDefault="00EF7081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08256C" w:rsidRPr="000B5A26" w:rsidRDefault="0008256C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</w:p>
    <w:p w:rsidR="00AB7F52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t>KLINICKÉ ÚDAJE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EF7081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E0009B">
        <w:rPr>
          <w:b/>
          <w:sz w:val="22"/>
          <w:szCs w:val="22"/>
        </w:rPr>
        <w:t>4.1</w:t>
      </w:r>
      <w:r w:rsidR="0084517D" w:rsidRPr="00E0009B">
        <w:rPr>
          <w:b/>
          <w:sz w:val="22"/>
          <w:szCs w:val="22"/>
        </w:rPr>
        <w:tab/>
      </w:r>
      <w:r w:rsidR="00EF7081" w:rsidRPr="00053DC5">
        <w:rPr>
          <w:b/>
          <w:sz w:val="22"/>
          <w:szCs w:val="22"/>
        </w:rPr>
        <w:t>Terapeutické indikácie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337305" w:rsidRDefault="001C4A1B" w:rsidP="00ED34E1">
      <w:pPr>
        <w:pStyle w:val="Zarkazkladnhotextu"/>
        <w:tabs>
          <w:tab w:val="num" w:pos="0"/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  <w:r w:rsidRPr="00053DC5">
        <w:rPr>
          <w:rFonts w:ascii="Times New Roman" w:hAnsi="Times New Roman"/>
          <w:szCs w:val="22"/>
        </w:rPr>
        <w:t>Lokálna antiseptická a</w:t>
      </w:r>
      <w:r w:rsidR="00337305" w:rsidRPr="00053DC5">
        <w:rPr>
          <w:rFonts w:ascii="Times New Roman" w:hAnsi="Times New Roman"/>
          <w:szCs w:val="22"/>
        </w:rPr>
        <w:t xml:space="preserve"> analgetická </w:t>
      </w:r>
      <w:r w:rsidRPr="00053DC5">
        <w:rPr>
          <w:rFonts w:ascii="Times New Roman" w:hAnsi="Times New Roman"/>
          <w:szCs w:val="22"/>
        </w:rPr>
        <w:t>liečba bo</w:t>
      </w:r>
      <w:r w:rsidR="00337305" w:rsidRPr="00053DC5">
        <w:rPr>
          <w:rFonts w:ascii="Times New Roman" w:hAnsi="Times New Roman"/>
          <w:szCs w:val="22"/>
        </w:rPr>
        <w:t>lesti</w:t>
      </w:r>
      <w:r w:rsidRPr="00053DC5">
        <w:rPr>
          <w:rFonts w:ascii="Times New Roman" w:hAnsi="Times New Roman"/>
          <w:szCs w:val="22"/>
        </w:rPr>
        <w:t xml:space="preserve"> hrdla a</w:t>
      </w:r>
      <w:r w:rsidR="00FB673B" w:rsidRPr="00053DC5">
        <w:rPr>
          <w:rFonts w:ascii="Times New Roman" w:hAnsi="Times New Roman"/>
          <w:szCs w:val="22"/>
        </w:rPr>
        <w:t> menej závažných</w:t>
      </w:r>
      <w:r w:rsidRPr="00053DC5">
        <w:rPr>
          <w:rFonts w:ascii="Times New Roman" w:hAnsi="Times New Roman"/>
          <w:szCs w:val="22"/>
        </w:rPr>
        <w:t xml:space="preserve"> infekcií úst</w:t>
      </w:r>
      <w:r w:rsidR="00880DA1" w:rsidRPr="00053DC5">
        <w:rPr>
          <w:rFonts w:ascii="Times New Roman" w:hAnsi="Times New Roman"/>
          <w:szCs w:val="22"/>
        </w:rPr>
        <w:t>nej dutiny</w:t>
      </w:r>
      <w:r w:rsidR="00BB3DD6">
        <w:rPr>
          <w:rFonts w:ascii="Times New Roman" w:hAnsi="Times New Roman"/>
          <w:szCs w:val="22"/>
        </w:rPr>
        <w:t xml:space="preserve"> a hrdla</w:t>
      </w:r>
      <w:r w:rsidRPr="00053DC5">
        <w:rPr>
          <w:rFonts w:ascii="Times New Roman" w:hAnsi="Times New Roman"/>
          <w:szCs w:val="22"/>
        </w:rPr>
        <w:t xml:space="preserve">. </w:t>
      </w:r>
    </w:p>
    <w:p w:rsidR="00475FED" w:rsidRDefault="00475FED" w:rsidP="00ED34E1">
      <w:pPr>
        <w:pStyle w:val="Zarkazkladnhotextu"/>
        <w:tabs>
          <w:tab w:val="num" w:pos="0"/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</w:p>
    <w:p w:rsidR="00475FED" w:rsidRDefault="00475FED" w:rsidP="00ED34E1">
      <w:pPr>
        <w:pStyle w:val="Zarkazkladnhotextu"/>
        <w:tabs>
          <w:tab w:val="num" w:pos="0"/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Oroforte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menthol</w:t>
      </w:r>
      <w:proofErr w:type="spellEnd"/>
      <w:r>
        <w:rPr>
          <w:rFonts w:ascii="Times New Roman" w:hAnsi="Times New Roman"/>
          <w:szCs w:val="22"/>
        </w:rPr>
        <w:t xml:space="preserve"> je určený dospelý</w:t>
      </w:r>
      <w:r w:rsidR="00C47777">
        <w:rPr>
          <w:rFonts w:ascii="Times New Roman" w:hAnsi="Times New Roman"/>
          <w:szCs w:val="22"/>
        </w:rPr>
        <w:t>m</w:t>
      </w:r>
      <w:r>
        <w:rPr>
          <w:rFonts w:ascii="Times New Roman" w:hAnsi="Times New Roman"/>
          <w:szCs w:val="22"/>
        </w:rPr>
        <w:t xml:space="preserve"> a de</w:t>
      </w:r>
      <w:r w:rsidR="00C47777">
        <w:rPr>
          <w:rFonts w:ascii="Times New Roman" w:hAnsi="Times New Roman"/>
          <w:szCs w:val="22"/>
        </w:rPr>
        <w:t>ťom</w:t>
      </w:r>
      <w:r>
        <w:rPr>
          <w:rFonts w:ascii="Times New Roman" w:hAnsi="Times New Roman"/>
          <w:szCs w:val="22"/>
        </w:rPr>
        <w:t xml:space="preserve"> starš</w:t>
      </w:r>
      <w:r w:rsidR="00C47777">
        <w:rPr>
          <w:rFonts w:ascii="Times New Roman" w:hAnsi="Times New Roman"/>
          <w:szCs w:val="22"/>
        </w:rPr>
        <w:t>ím</w:t>
      </w:r>
      <w:r w:rsidR="001E1286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ako 6 rokov.</w:t>
      </w:r>
    </w:p>
    <w:p w:rsidR="005D597E" w:rsidRDefault="005D597E" w:rsidP="00ED34E1">
      <w:pPr>
        <w:pStyle w:val="Zarkazkladnhotextu"/>
        <w:tabs>
          <w:tab w:val="num" w:pos="0"/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</w:p>
    <w:p w:rsidR="00EF7081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t>4.2</w:t>
      </w:r>
      <w:r w:rsidR="0084517D" w:rsidRPr="00053DC5">
        <w:rPr>
          <w:b/>
          <w:sz w:val="22"/>
          <w:szCs w:val="22"/>
        </w:rPr>
        <w:tab/>
      </w:r>
      <w:r w:rsidR="00EF7081" w:rsidRPr="00053DC5">
        <w:rPr>
          <w:b/>
          <w:sz w:val="22"/>
          <w:szCs w:val="22"/>
        </w:rPr>
        <w:t>Dávkovanie a spôsob podávania</w:t>
      </w:r>
    </w:p>
    <w:p w:rsidR="00545ABB" w:rsidRPr="00417E81" w:rsidRDefault="00545ABB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545ABB" w:rsidRPr="00417E81" w:rsidRDefault="00545ABB" w:rsidP="00417E81">
      <w:pPr>
        <w:keepNext/>
        <w:tabs>
          <w:tab w:val="num" w:pos="0"/>
          <w:tab w:val="left" w:pos="567"/>
        </w:tabs>
        <w:ind w:right="423"/>
        <w:rPr>
          <w:b/>
          <w:sz w:val="22"/>
          <w:szCs w:val="22"/>
          <w:u w:val="single"/>
        </w:rPr>
      </w:pPr>
      <w:r w:rsidRPr="00417E81">
        <w:rPr>
          <w:b/>
          <w:sz w:val="22"/>
          <w:szCs w:val="22"/>
          <w:u w:val="single"/>
        </w:rPr>
        <w:t>Dávkovanie</w:t>
      </w:r>
    </w:p>
    <w:p w:rsidR="00DD2923" w:rsidRPr="00417E81" w:rsidRDefault="00DD2923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880DA1" w:rsidRPr="00D0281A" w:rsidRDefault="00880DA1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 w:rsidRPr="00D0281A">
        <w:rPr>
          <w:i/>
          <w:sz w:val="22"/>
          <w:szCs w:val="22"/>
          <w:u w:val="single"/>
        </w:rPr>
        <w:t>Dospel</w:t>
      </w:r>
      <w:r w:rsidR="00337305" w:rsidRPr="00D0281A">
        <w:rPr>
          <w:i/>
          <w:sz w:val="22"/>
          <w:szCs w:val="22"/>
          <w:u w:val="single"/>
        </w:rPr>
        <w:t>í</w:t>
      </w:r>
      <w:r w:rsidRPr="00D0281A">
        <w:rPr>
          <w:i/>
          <w:sz w:val="22"/>
          <w:szCs w:val="22"/>
          <w:u w:val="single"/>
        </w:rPr>
        <w:t xml:space="preserve"> a deti staršie ako 12</w:t>
      </w:r>
      <w:r w:rsidR="00A852C9">
        <w:rPr>
          <w:i/>
          <w:sz w:val="22"/>
          <w:szCs w:val="22"/>
          <w:u w:val="single"/>
        </w:rPr>
        <w:t> </w:t>
      </w:r>
      <w:r w:rsidRPr="00D0281A">
        <w:rPr>
          <w:i/>
          <w:sz w:val="22"/>
          <w:szCs w:val="22"/>
          <w:u w:val="single"/>
        </w:rPr>
        <w:t>rokov:</w:t>
      </w:r>
    </w:p>
    <w:p w:rsidR="00863C0C" w:rsidRPr="00053DC5" w:rsidRDefault="00D76F06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Závažná akútna infekcia</w:t>
      </w:r>
      <w:r w:rsidR="00880DA1" w:rsidRPr="00053DC5">
        <w:rPr>
          <w:sz w:val="22"/>
          <w:szCs w:val="22"/>
        </w:rPr>
        <w:t xml:space="preserve"> a/ alebo </w:t>
      </w:r>
      <w:r w:rsidR="00223EC7" w:rsidRPr="00053DC5">
        <w:rPr>
          <w:sz w:val="22"/>
          <w:szCs w:val="22"/>
        </w:rPr>
        <w:t>závažná bolesť hrdla</w:t>
      </w:r>
      <w:r w:rsidR="00863C0C" w:rsidRPr="00053DC5">
        <w:rPr>
          <w:sz w:val="22"/>
          <w:szCs w:val="22"/>
        </w:rPr>
        <w:t>:</w:t>
      </w:r>
      <w:r w:rsidR="00880DA1" w:rsidRPr="00053DC5">
        <w:rPr>
          <w:sz w:val="22"/>
          <w:szCs w:val="22"/>
        </w:rPr>
        <w:t xml:space="preserve"> </w:t>
      </w:r>
      <w:r w:rsidR="00863C0C" w:rsidRPr="00053DC5">
        <w:rPr>
          <w:sz w:val="22"/>
          <w:szCs w:val="22"/>
        </w:rPr>
        <w:t>1</w:t>
      </w:r>
      <w:r w:rsidR="00A852C9">
        <w:rPr>
          <w:sz w:val="22"/>
          <w:szCs w:val="22"/>
        </w:rPr>
        <w:t> </w:t>
      </w:r>
      <w:r w:rsidR="001E1286" w:rsidRPr="00053DC5">
        <w:rPr>
          <w:sz w:val="22"/>
          <w:szCs w:val="22"/>
        </w:rPr>
        <w:t>pastilka</w:t>
      </w:r>
      <w:r w:rsidR="001E1286">
        <w:rPr>
          <w:sz w:val="22"/>
          <w:szCs w:val="22"/>
        </w:rPr>
        <w:t xml:space="preserve"> </w:t>
      </w:r>
      <w:r w:rsidR="00863C0C" w:rsidRPr="00053DC5">
        <w:rPr>
          <w:sz w:val="22"/>
          <w:szCs w:val="22"/>
        </w:rPr>
        <w:t>každ</w:t>
      </w:r>
      <w:r w:rsidR="00B05B8B" w:rsidRPr="00053DC5">
        <w:rPr>
          <w:sz w:val="22"/>
          <w:szCs w:val="22"/>
        </w:rPr>
        <w:t>é</w:t>
      </w:r>
      <w:r w:rsidR="001E1286">
        <w:rPr>
          <w:sz w:val="22"/>
          <w:szCs w:val="22"/>
        </w:rPr>
        <w:t xml:space="preserve"> 1 až</w:t>
      </w:r>
      <w:r w:rsidR="00B05B8B" w:rsidRPr="00053DC5">
        <w:rPr>
          <w:sz w:val="22"/>
          <w:szCs w:val="22"/>
        </w:rPr>
        <w:t xml:space="preserve"> 2</w:t>
      </w:r>
      <w:r w:rsidR="00A852C9">
        <w:rPr>
          <w:sz w:val="22"/>
          <w:szCs w:val="22"/>
        </w:rPr>
        <w:t> </w:t>
      </w:r>
      <w:r w:rsidR="00B05B8B" w:rsidRPr="00053DC5">
        <w:rPr>
          <w:sz w:val="22"/>
          <w:szCs w:val="22"/>
        </w:rPr>
        <w:t>hodiny, podľa potreby</w:t>
      </w:r>
      <w:r w:rsidR="00863C0C" w:rsidRPr="00053DC5">
        <w:rPr>
          <w:sz w:val="22"/>
          <w:szCs w:val="22"/>
        </w:rPr>
        <w:t>.</w:t>
      </w:r>
    </w:p>
    <w:p w:rsidR="00863C0C" w:rsidRPr="00053DC5" w:rsidRDefault="00B05B8B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Miernejší zápal</w:t>
      </w:r>
      <w:r w:rsidR="00863C0C" w:rsidRPr="00053DC5">
        <w:rPr>
          <w:sz w:val="22"/>
          <w:szCs w:val="22"/>
        </w:rPr>
        <w:t xml:space="preserve"> a/ alebo </w:t>
      </w:r>
      <w:r w:rsidR="00223EC7" w:rsidRPr="00053DC5">
        <w:rPr>
          <w:sz w:val="22"/>
          <w:szCs w:val="22"/>
        </w:rPr>
        <w:t>miernejšia bolesť hrdla</w:t>
      </w:r>
      <w:r w:rsidR="00317CF0" w:rsidRPr="00053DC5">
        <w:rPr>
          <w:sz w:val="22"/>
          <w:szCs w:val="22"/>
        </w:rPr>
        <w:t>:</w:t>
      </w:r>
      <w:r w:rsidR="00F86C1B" w:rsidRPr="00053DC5">
        <w:rPr>
          <w:sz w:val="22"/>
          <w:szCs w:val="22"/>
        </w:rPr>
        <w:t xml:space="preserve"> </w:t>
      </w:r>
      <w:r w:rsidR="00863C0C" w:rsidRPr="00053DC5">
        <w:rPr>
          <w:sz w:val="22"/>
          <w:szCs w:val="22"/>
        </w:rPr>
        <w:t>1</w:t>
      </w:r>
      <w:r w:rsidR="00A852C9">
        <w:rPr>
          <w:sz w:val="22"/>
          <w:szCs w:val="22"/>
        </w:rPr>
        <w:t> </w:t>
      </w:r>
      <w:r w:rsidR="00863C0C" w:rsidRPr="00053DC5">
        <w:rPr>
          <w:sz w:val="22"/>
          <w:szCs w:val="22"/>
        </w:rPr>
        <w:t>pastilk</w:t>
      </w:r>
      <w:r w:rsidRPr="00053DC5">
        <w:rPr>
          <w:sz w:val="22"/>
          <w:szCs w:val="22"/>
        </w:rPr>
        <w:t>a</w:t>
      </w:r>
      <w:r w:rsidR="00863C0C" w:rsidRPr="00053DC5">
        <w:rPr>
          <w:sz w:val="22"/>
          <w:szCs w:val="22"/>
        </w:rPr>
        <w:t xml:space="preserve"> každé 2</w:t>
      </w:r>
      <w:r w:rsidR="00022639" w:rsidRPr="00053DC5">
        <w:rPr>
          <w:sz w:val="22"/>
          <w:szCs w:val="22"/>
        </w:rPr>
        <w:t xml:space="preserve"> až</w:t>
      </w:r>
      <w:r w:rsidR="00863C0C" w:rsidRPr="00053DC5">
        <w:rPr>
          <w:sz w:val="22"/>
          <w:szCs w:val="22"/>
        </w:rPr>
        <w:t xml:space="preserve"> 3</w:t>
      </w:r>
      <w:r w:rsidR="00A852C9">
        <w:rPr>
          <w:sz w:val="22"/>
          <w:szCs w:val="22"/>
        </w:rPr>
        <w:t> </w:t>
      </w:r>
      <w:r w:rsidR="00863C0C" w:rsidRPr="00053DC5">
        <w:rPr>
          <w:sz w:val="22"/>
          <w:szCs w:val="22"/>
        </w:rPr>
        <w:t>hodiny podľa potreby.</w:t>
      </w:r>
    </w:p>
    <w:p w:rsidR="00EF7081" w:rsidRPr="00053DC5" w:rsidRDefault="00337305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Maximálna denná dávka</w:t>
      </w:r>
      <w:r w:rsidR="008F651F" w:rsidRPr="00053DC5">
        <w:rPr>
          <w:sz w:val="22"/>
          <w:szCs w:val="22"/>
        </w:rPr>
        <w:t>: n</w:t>
      </w:r>
      <w:r w:rsidR="00EF7081" w:rsidRPr="00053DC5">
        <w:rPr>
          <w:sz w:val="22"/>
          <w:szCs w:val="22"/>
        </w:rPr>
        <w:t xml:space="preserve">eprekročte dávku </w:t>
      </w:r>
      <w:r w:rsidR="00863C0C" w:rsidRPr="00053DC5">
        <w:rPr>
          <w:sz w:val="22"/>
          <w:szCs w:val="22"/>
        </w:rPr>
        <w:t>6</w:t>
      </w:r>
      <w:r w:rsidR="00A852C9">
        <w:rPr>
          <w:sz w:val="22"/>
          <w:szCs w:val="22"/>
        </w:rPr>
        <w:t> </w:t>
      </w:r>
      <w:r w:rsidR="0049502A" w:rsidRPr="00053DC5">
        <w:rPr>
          <w:sz w:val="22"/>
          <w:szCs w:val="22"/>
        </w:rPr>
        <w:t>pastiliek</w:t>
      </w:r>
      <w:r w:rsidR="00EF7081" w:rsidRPr="00053DC5">
        <w:rPr>
          <w:sz w:val="22"/>
          <w:szCs w:val="22"/>
        </w:rPr>
        <w:t xml:space="preserve"> denne.</w:t>
      </w:r>
    </w:p>
    <w:p w:rsidR="00545ABB" w:rsidRPr="00053DC5" w:rsidRDefault="00545ABB" w:rsidP="00ED34E1">
      <w:pPr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sz w:val="22"/>
          <w:szCs w:val="22"/>
          <w:u w:val="single"/>
        </w:rPr>
      </w:pPr>
    </w:p>
    <w:p w:rsidR="00F3299C" w:rsidRDefault="00475FED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 w:rsidRPr="00D0281A">
        <w:rPr>
          <w:i/>
          <w:sz w:val="22"/>
          <w:szCs w:val="22"/>
          <w:u w:val="single"/>
        </w:rPr>
        <w:t>Pediatrická populácia</w:t>
      </w:r>
      <w:r w:rsidR="00ED34E1">
        <w:rPr>
          <w:i/>
          <w:sz w:val="22"/>
          <w:szCs w:val="22"/>
          <w:u w:val="single"/>
        </w:rPr>
        <w:t xml:space="preserve">: </w:t>
      </w:r>
    </w:p>
    <w:p w:rsidR="00F3299C" w:rsidRPr="00417E81" w:rsidRDefault="00F3299C" w:rsidP="00F3299C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</w:rPr>
      </w:pPr>
      <w:r w:rsidRPr="00417E81">
        <w:rPr>
          <w:i/>
          <w:sz w:val="22"/>
          <w:szCs w:val="22"/>
        </w:rPr>
        <w:t>Deti vo veku 6 až 12</w:t>
      </w:r>
      <w:r w:rsidR="00A852C9">
        <w:rPr>
          <w:i/>
          <w:sz w:val="22"/>
          <w:szCs w:val="22"/>
        </w:rPr>
        <w:t> </w:t>
      </w:r>
      <w:r w:rsidRPr="00417E81">
        <w:rPr>
          <w:i/>
          <w:sz w:val="22"/>
          <w:szCs w:val="22"/>
        </w:rPr>
        <w:t>rokov:</w:t>
      </w:r>
    </w:p>
    <w:p w:rsidR="00F3299C" w:rsidRPr="00053DC5" w:rsidRDefault="00F3299C" w:rsidP="00F3299C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1</w:t>
      </w:r>
      <w:r w:rsidR="00A852C9">
        <w:rPr>
          <w:sz w:val="22"/>
          <w:szCs w:val="22"/>
        </w:rPr>
        <w:t> </w:t>
      </w:r>
      <w:r w:rsidRPr="00053DC5">
        <w:rPr>
          <w:sz w:val="22"/>
          <w:szCs w:val="22"/>
        </w:rPr>
        <w:t>pastilka každé 3 až 4</w:t>
      </w:r>
      <w:r w:rsidR="00A852C9">
        <w:rPr>
          <w:sz w:val="22"/>
          <w:szCs w:val="22"/>
        </w:rPr>
        <w:t> </w:t>
      </w:r>
      <w:r w:rsidRPr="00053DC5">
        <w:rPr>
          <w:sz w:val="22"/>
          <w:szCs w:val="22"/>
        </w:rPr>
        <w:t xml:space="preserve">hodiny podľa potreby. </w:t>
      </w:r>
    </w:p>
    <w:p w:rsidR="00F3299C" w:rsidRPr="00053DC5" w:rsidRDefault="00F3299C" w:rsidP="00F3299C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Maximálna denná dávka: N</w:t>
      </w:r>
      <w:r w:rsidRPr="00053DC5">
        <w:rPr>
          <w:sz w:val="22"/>
          <w:szCs w:val="22"/>
        </w:rPr>
        <w:t>eprekročte dávku 3</w:t>
      </w:r>
      <w:r w:rsidR="00A852C9">
        <w:rPr>
          <w:sz w:val="22"/>
          <w:szCs w:val="22"/>
        </w:rPr>
        <w:t> </w:t>
      </w:r>
      <w:r w:rsidRPr="00053DC5">
        <w:rPr>
          <w:sz w:val="22"/>
          <w:szCs w:val="22"/>
        </w:rPr>
        <w:t>pastilky denne.</w:t>
      </w:r>
    </w:p>
    <w:p w:rsidR="00F3299C" w:rsidRPr="00417E81" w:rsidRDefault="00F3299C" w:rsidP="00417E81">
      <w:pPr>
        <w:tabs>
          <w:tab w:val="left" w:pos="567"/>
        </w:tabs>
        <w:ind w:right="423"/>
        <w:rPr>
          <w:sz w:val="22"/>
          <w:szCs w:val="22"/>
        </w:rPr>
      </w:pPr>
    </w:p>
    <w:p w:rsidR="00F3299C" w:rsidRPr="00053DC5" w:rsidRDefault="00ED34E1" w:rsidP="00F3299C">
      <w:pPr>
        <w:tabs>
          <w:tab w:val="left" w:pos="567"/>
        </w:tabs>
        <w:ind w:right="423"/>
        <w:rPr>
          <w:sz w:val="22"/>
          <w:szCs w:val="22"/>
        </w:rPr>
      </w:pPr>
      <w:r w:rsidRPr="00417E81">
        <w:rPr>
          <w:i/>
          <w:sz w:val="22"/>
          <w:szCs w:val="22"/>
        </w:rPr>
        <w:t>Deti do 6 rokov:</w:t>
      </w:r>
      <w:r w:rsidR="00C47777">
        <w:rPr>
          <w:i/>
          <w:sz w:val="22"/>
          <w:szCs w:val="22"/>
        </w:rPr>
        <w:t xml:space="preserve"> </w:t>
      </w:r>
      <w:r w:rsidR="00F3299C" w:rsidRPr="00053DC5">
        <w:rPr>
          <w:sz w:val="22"/>
          <w:szCs w:val="22"/>
        </w:rPr>
        <w:t xml:space="preserve">Užívanie pastiliek </w:t>
      </w:r>
      <w:proofErr w:type="spellStart"/>
      <w:r w:rsidR="00F3299C" w:rsidRPr="00053DC5">
        <w:rPr>
          <w:sz w:val="22"/>
          <w:szCs w:val="22"/>
        </w:rPr>
        <w:t>Oroforte</w:t>
      </w:r>
      <w:proofErr w:type="spellEnd"/>
      <w:r w:rsidR="00F3299C" w:rsidRPr="00053DC5">
        <w:rPr>
          <w:sz w:val="22"/>
          <w:szCs w:val="22"/>
        </w:rPr>
        <w:t xml:space="preserve"> </w:t>
      </w:r>
      <w:proofErr w:type="spellStart"/>
      <w:r w:rsidR="00F3299C" w:rsidRPr="00053DC5">
        <w:rPr>
          <w:sz w:val="22"/>
          <w:szCs w:val="22"/>
        </w:rPr>
        <w:t>menthol</w:t>
      </w:r>
      <w:proofErr w:type="spellEnd"/>
      <w:r w:rsidR="00F3299C" w:rsidRPr="00053DC5">
        <w:rPr>
          <w:sz w:val="22"/>
          <w:szCs w:val="22"/>
        </w:rPr>
        <w:t xml:space="preserve"> sa neodporúča deťom mladším ako 6</w:t>
      </w:r>
      <w:r w:rsidR="00A852C9">
        <w:rPr>
          <w:sz w:val="22"/>
          <w:szCs w:val="22"/>
        </w:rPr>
        <w:t> </w:t>
      </w:r>
      <w:r w:rsidR="00F3299C" w:rsidRPr="00053DC5">
        <w:rPr>
          <w:sz w:val="22"/>
          <w:szCs w:val="22"/>
        </w:rPr>
        <w:t>rokov.</w:t>
      </w:r>
    </w:p>
    <w:p w:rsidR="00DD2923" w:rsidRPr="00053DC5" w:rsidRDefault="00DD2923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2C37A5" w:rsidRPr="00417E81" w:rsidRDefault="002C37A5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b/>
          <w:sz w:val="22"/>
          <w:szCs w:val="22"/>
          <w:u w:val="single"/>
        </w:rPr>
      </w:pPr>
      <w:r w:rsidRPr="00417E81">
        <w:rPr>
          <w:b/>
          <w:sz w:val="22"/>
          <w:szCs w:val="22"/>
          <w:u w:val="single"/>
        </w:rPr>
        <w:t>Spôsob pod</w:t>
      </w:r>
      <w:r w:rsidR="00F86C1B" w:rsidRPr="00417E81">
        <w:rPr>
          <w:b/>
          <w:sz w:val="22"/>
          <w:szCs w:val="22"/>
          <w:u w:val="single"/>
        </w:rPr>
        <w:t>áv</w:t>
      </w:r>
      <w:r w:rsidRPr="00417E81">
        <w:rPr>
          <w:b/>
          <w:sz w:val="22"/>
          <w:szCs w:val="22"/>
          <w:u w:val="single"/>
        </w:rPr>
        <w:t>ania</w:t>
      </w:r>
    </w:p>
    <w:p w:rsidR="007675F0" w:rsidRPr="007675F0" w:rsidRDefault="007675F0" w:rsidP="007675F0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DD2923" w:rsidRDefault="00DD2923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Nechajte pastilku pomaly rozpustiť v ústach. Pastilku nežujte, ani neprehĺtajte</w:t>
      </w:r>
      <w:r w:rsidR="00F86C1B" w:rsidRPr="00053DC5">
        <w:rPr>
          <w:sz w:val="22"/>
          <w:szCs w:val="22"/>
        </w:rPr>
        <w:t>.</w:t>
      </w:r>
      <w:r w:rsidRPr="00053DC5">
        <w:rPr>
          <w:sz w:val="22"/>
          <w:szCs w:val="22"/>
        </w:rPr>
        <w:t xml:space="preserve"> </w:t>
      </w:r>
    </w:p>
    <w:p w:rsidR="00BB3DD6" w:rsidRDefault="00BB3DD6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lastRenderedPageBreak/>
        <w:t>4.3</w:t>
      </w:r>
      <w:r w:rsidR="0008256C" w:rsidRPr="00053DC5">
        <w:rPr>
          <w:b/>
          <w:sz w:val="22"/>
          <w:szCs w:val="22"/>
        </w:rPr>
        <w:tab/>
      </w:r>
      <w:r w:rsidR="00EF7081" w:rsidRPr="00053DC5">
        <w:rPr>
          <w:b/>
          <w:sz w:val="22"/>
          <w:szCs w:val="22"/>
        </w:rPr>
        <w:t>Kontraindikácie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423B8D" w:rsidRPr="00053DC5" w:rsidRDefault="00423B8D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 xml:space="preserve">Známa precitlivenosť na </w:t>
      </w:r>
      <w:r w:rsidR="002C37A5" w:rsidRPr="00053DC5">
        <w:rPr>
          <w:sz w:val="22"/>
          <w:szCs w:val="22"/>
        </w:rPr>
        <w:t>liečivo</w:t>
      </w:r>
      <w:r w:rsidR="005D597E">
        <w:rPr>
          <w:sz w:val="22"/>
          <w:szCs w:val="22"/>
        </w:rPr>
        <w:t xml:space="preserve">, iné lokálne anestetiká </w:t>
      </w:r>
      <w:proofErr w:type="spellStart"/>
      <w:r w:rsidR="005D597E">
        <w:rPr>
          <w:sz w:val="22"/>
          <w:szCs w:val="22"/>
        </w:rPr>
        <w:t>amidového</w:t>
      </w:r>
      <w:proofErr w:type="spellEnd"/>
      <w:r w:rsidR="005D597E">
        <w:rPr>
          <w:sz w:val="22"/>
          <w:szCs w:val="22"/>
        </w:rPr>
        <w:t xml:space="preserve"> typu </w:t>
      </w:r>
      <w:r w:rsidR="002C37A5" w:rsidRPr="00053DC5">
        <w:rPr>
          <w:sz w:val="22"/>
          <w:szCs w:val="22"/>
        </w:rPr>
        <w:t xml:space="preserve"> alebo</w:t>
      </w:r>
      <w:r w:rsidR="00E92EAB">
        <w:rPr>
          <w:sz w:val="22"/>
          <w:szCs w:val="22"/>
        </w:rPr>
        <w:t xml:space="preserve"> na</w:t>
      </w:r>
      <w:r w:rsidR="002C37A5" w:rsidRPr="00053DC5">
        <w:rPr>
          <w:sz w:val="22"/>
          <w:szCs w:val="22"/>
        </w:rPr>
        <w:t xml:space="preserve"> </w:t>
      </w:r>
      <w:r w:rsidRPr="00053DC5">
        <w:rPr>
          <w:sz w:val="22"/>
          <w:szCs w:val="22"/>
        </w:rPr>
        <w:t xml:space="preserve">ktorúkoľvek </w:t>
      </w:r>
      <w:r w:rsidR="00E92EAB">
        <w:rPr>
          <w:sz w:val="22"/>
          <w:szCs w:val="22"/>
        </w:rPr>
        <w:t>z</w:t>
      </w:r>
      <w:r w:rsidR="001E6E37">
        <w:rPr>
          <w:sz w:val="22"/>
          <w:szCs w:val="22"/>
        </w:rPr>
        <w:t> </w:t>
      </w:r>
      <w:r w:rsidR="00B9110E">
        <w:rPr>
          <w:sz w:val="22"/>
          <w:szCs w:val="22"/>
        </w:rPr>
        <w:t>pomocn</w:t>
      </w:r>
      <w:r w:rsidR="00E92EAB">
        <w:rPr>
          <w:sz w:val="22"/>
          <w:szCs w:val="22"/>
        </w:rPr>
        <w:t>ých</w:t>
      </w:r>
      <w:r w:rsidR="00B9110E">
        <w:rPr>
          <w:sz w:val="22"/>
          <w:szCs w:val="22"/>
        </w:rPr>
        <w:t xml:space="preserve"> lát</w:t>
      </w:r>
      <w:r w:rsidR="00E92EAB">
        <w:rPr>
          <w:sz w:val="22"/>
          <w:szCs w:val="22"/>
        </w:rPr>
        <w:t>o</w:t>
      </w:r>
      <w:r w:rsidR="00B9110E">
        <w:rPr>
          <w:sz w:val="22"/>
          <w:szCs w:val="22"/>
        </w:rPr>
        <w:t>k tohto lieku.</w:t>
      </w:r>
    </w:p>
    <w:p w:rsidR="000825FF" w:rsidRPr="00053DC5" w:rsidRDefault="000825FF" w:rsidP="00ED34E1">
      <w:pPr>
        <w:tabs>
          <w:tab w:val="left" w:pos="567"/>
        </w:tabs>
        <w:ind w:right="423"/>
        <w:rPr>
          <w:b/>
          <w:noProof/>
          <w:sz w:val="22"/>
          <w:szCs w:val="22"/>
        </w:rPr>
      </w:pPr>
    </w:p>
    <w:p w:rsidR="000825FF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t>4.4</w:t>
      </w:r>
      <w:r w:rsidR="0008256C" w:rsidRPr="00053DC5">
        <w:rPr>
          <w:b/>
          <w:sz w:val="22"/>
          <w:szCs w:val="22"/>
        </w:rPr>
        <w:tab/>
      </w:r>
      <w:r w:rsidR="000825FF" w:rsidRPr="00053DC5">
        <w:rPr>
          <w:b/>
          <w:sz w:val="22"/>
          <w:szCs w:val="22"/>
        </w:rPr>
        <w:t>Osobitné upozornenia a opatrenia pri používaní</w:t>
      </w:r>
    </w:p>
    <w:p w:rsidR="00B9110E" w:rsidRDefault="00B9110E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B9110E" w:rsidRPr="00417E81" w:rsidRDefault="00B9110E" w:rsidP="00ED34E1">
      <w:pPr>
        <w:tabs>
          <w:tab w:val="left" w:pos="567"/>
        </w:tabs>
        <w:ind w:right="423"/>
        <w:rPr>
          <w:sz w:val="22"/>
          <w:szCs w:val="22"/>
        </w:rPr>
      </w:pPr>
      <w:r w:rsidRPr="00417E81">
        <w:rPr>
          <w:sz w:val="22"/>
          <w:szCs w:val="22"/>
        </w:rPr>
        <w:t>Po</w:t>
      </w:r>
      <w:r w:rsidR="000771A2" w:rsidRPr="00417E81">
        <w:rPr>
          <w:sz w:val="22"/>
          <w:szCs w:val="22"/>
        </w:rPr>
        <w:t xml:space="preserve">užívajte </w:t>
      </w:r>
      <w:r w:rsidRPr="00417E81">
        <w:rPr>
          <w:sz w:val="22"/>
          <w:szCs w:val="22"/>
        </w:rPr>
        <w:t>s</w:t>
      </w:r>
      <w:r w:rsidR="00ED34E1">
        <w:rPr>
          <w:sz w:val="22"/>
          <w:szCs w:val="22"/>
        </w:rPr>
        <w:t> </w:t>
      </w:r>
      <w:r w:rsidRPr="00417E81">
        <w:rPr>
          <w:sz w:val="22"/>
          <w:szCs w:val="22"/>
        </w:rPr>
        <w:t xml:space="preserve">opatrnosťou </w:t>
      </w:r>
      <w:r w:rsidRPr="001C2ECE">
        <w:rPr>
          <w:sz w:val="22"/>
          <w:szCs w:val="22"/>
        </w:rPr>
        <w:t>pri</w:t>
      </w:r>
      <w:r w:rsidRPr="00417E81">
        <w:rPr>
          <w:sz w:val="22"/>
          <w:szCs w:val="22"/>
        </w:rPr>
        <w:t xml:space="preserve"> otvorených ranách sliznice v</w:t>
      </w:r>
      <w:r w:rsidR="00ED34E1">
        <w:rPr>
          <w:sz w:val="22"/>
          <w:szCs w:val="22"/>
        </w:rPr>
        <w:t> </w:t>
      </w:r>
      <w:r w:rsidRPr="00417E81">
        <w:rPr>
          <w:sz w:val="22"/>
          <w:szCs w:val="22"/>
        </w:rPr>
        <w:t>ústnej dutine.</w:t>
      </w:r>
    </w:p>
    <w:p w:rsidR="00EF7081" w:rsidRPr="00417E81" w:rsidRDefault="00EF708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26F64" w:rsidRPr="00053DC5" w:rsidRDefault="00E26F64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 xml:space="preserve">Pastilky </w:t>
      </w:r>
      <w:proofErr w:type="spellStart"/>
      <w:r w:rsidR="00223EC7" w:rsidRPr="00053DC5">
        <w:rPr>
          <w:sz w:val="22"/>
          <w:szCs w:val="22"/>
        </w:rPr>
        <w:t>Oroforte</w:t>
      </w:r>
      <w:proofErr w:type="spellEnd"/>
      <w:r w:rsidR="00223EC7" w:rsidRPr="00053DC5">
        <w:rPr>
          <w:sz w:val="22"/>
          <w:szCs w:val="22"/>
        </w:rPr>
        <w:t xml:space="preserve"> </w:t>
      </w:r>
      <w:proofErr w:type="spellStart"/>
      <w:r w:rsidR="00223EC7" w:rsidRPr="00053DC5">
        <w:rPr>
          <w:sz w:val="22"/>
          <w:szCs w:val="22"/>
        </w:rPr>
        <w:t>menthol</w:t>
      </w:r>
      <w:proofErr w:type="spellEnd"/>
      <w:r w:rsidR="00223EC7" w:rsidRPr="00053DC5">
        <w:rPr>
          <w:sz w:val="22"/>
          <w:szCs w:val="22"/>
        </w:rPr>
        <w:t xml:space="preserve"> </w:t>
      </w:r>
      <w:r w:rsidR="00AA2F58" w:rsidRPr="00053DC5">
        <w:rPr>
          <w:sz w:val="22"/>
          <w:szCs w:val="22"/>
        </w:rPr>
        <w:t xml:space="preserve">sú </w:t>
      </w:r>
      <w:r w:rsidRPr="00053DC5">
        <w:rPr>
          <w:sz w:val="22"/>
          <w:szCs w:val="22"/>
        </w:rPr>
        <w:t>určen</w:t>
      </w:r>
      <w:r w:rsidR="00AA2F58" w:rsidRPr="00053DC5">
        <w:rPr>
          <w:sz w:val="22"/>
          <w:szCs w:val="22"/>
        </w:rPr>
        <w:t>é</w:t>
      </w:r>
      <w:r w:rsidRPr="00053DC5">
        <w:rPr>
          <w:sz w:val="22"/>
          <w:szCs w:val="22"/>
        </w:rPr>
        <w:t xml:space="preserve"> na </w:t>
      </w:r>
      <w:r w:rsidR="001531E0" w:rsidRPr="00053DC5">
        <w:rPr>
          <w:sz w:val="22"/>
          <w:szCs w:val="22"/>
        </w:rPr>
        <w:t xml:space="preserve">krátkodobé </w:t>
      </w:r>
      <w:r w:rsidRPr="00053DC5">
        <w:rPr>
          <w:sz w:val="22"/>
          <w:szCs w:val="22"/>
        </w:rPr>
        <w:t xml:space="preserve">užívanie maximálne </w:t>
      </w:r>
      <w:r w:rsidR="00B117F0" w:rsidRPr="00053DC5">
        <w:rPr>
          <w:sz w:val="22"/>
          <w:szCs w:val="22"/>
        </w:rPr>
        <w:t>po</w:t>
      </w:r>
      <w:r w:rsidR="00545ABB" w:rsidRPr="00053DC5">
        <w:rPr>
          <w:sz w:val="22"/>
          <w:szCs w:val="22"/>
        </w:rPr>
        <w:t>čas</w:t>
      </w:r>
      <w:r w:rsidR="00B117F0" w:rsidRPr="00053DC5">
        <w:rPr>
          <w:sz w:val="22"/>
          <w:szCs w:val="22"/>
        </w:rPr>
        <w:t xml:space="preserve"> </w:t>
      </w:r>
      <w:r w:rsidRPr="00053DC5">
        <w:rPr>
          <w:sz w:val="22"/>
          <w:szCs w:val="22"/>
        </w:rPr>
        <w:t>5</w:t>
      </w:r>
      <w:r w:rsidR="00ED34E1">
        <w:rPr>
          <w:sz w:val="22"/>
          <w:szCs w:val="22"/>
        </w:rPr>
        <w:t> </w:t>
      </w:r>
      <w:r w:rsidRPr="00053DC5">
        <w:rPr>
          <w:sz w:val="22"/>
          <w:szCs w:val="22"/>
        </w:rPr>
        <w:t xml:space="preserve">po sebe </w:t>
      </w:r>
      <w:r w:rsidR="00AA2F58" w:rsidRPr="00053DC5">
        <w:rPr>
          <w:sz w:val="22"/>
          <w:szCs w:val="22"/>
        </w:rPr>
        <w:t>nasledujúcich</w:t>
      </w:r>
      <w:r w:rsidRPr="00053DC5">
        <w:rPr>
          <w:sz w:val="22"/>
          <w:szCs w:val="22"/>
        </w:rPr>
        <w:t xml:space="preserve"> dní.</w:t>
      </w:r>
    </w:p>
    <w:p w:rsidR="00EF7081" w:rsidRPr="00053DC5" w:rsidRDefault="00EF708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26F64" w:rsidRDefault="00E26F64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 xml:space="preserve">Ak </w:t>
      </w:r>
      <w:r w:rsidR="00E92EAB">
        <w:rPr>
          <w:sz w:val="22"/>
          <w:szCs w:val="22"/>
        </w:rPr>
        <w:t>príznaky</w:t>
      </w:r>
      <w:r w:rsidR="00E92EAB" w:rsidRPr="00053DC5">
        <w:rPr>
          <w:sz w:val="22"/>
          <w:szCs w:val="22"/>
        </w:rPr>
        <w:t xml:space="preserve"> </w:t>
      </w:r>
      <w:r w:rsidR="001531E0" w:rsidRPr="00053DC5">
        <w:rPr>
          <w:sz w:val="22"/>
          <w:szCs w:val="22"/>
        </w:rPr>
        <w:t xml:space="preserve">bolesti hrdla </w:t>
      </w:r>
      <w:r w:rsidRPr="00053DC5">
        <w:rPr>
          <w:sz w:val="22"/>
          <w:szCs w:val="22"/>
        </w:rPr>
        <w:t xml:space="preserve">pretrvávajú alebo sú sprevádzané vysokými </w:t>
      </w:r>
      <w:r w:rsidR="00213ECD" w:rsidRPr="00053DC5">
        <w:rPr>
          <w:sz w:val="22"/>
          <w:szCs w:val="22"/>
        </w:rPr>
        <w:t>horúčkami</w:t>
      </w:r>
      <w:r w:rsidRPr="00053DC5">
        <w:rPr>
          <w:sz w:val="22"/>
          <w:szCs w:val="22"/>
        </w:rPr>
        <w:t>, z</w:t>
      </w:r>
      <w:r w:rsidR="003C126F" w:rsidRPr="00053DC5">
        <w:rPr>
          <w:sz w:val="22"/>
          <w:szCs w:val="22"/>
        </w:rPr>
        <w:t>á</w:t>
      </w:r>
      <w:r w:rsidRPr="00053DC5">
        <w:rPr>
          <w:sz w:val="22"/>
          <w:szCs w:val="22"/>
        </w:rPr>
        <w:t xml:space="preserve">vratmi alebo </w:t>
      </w:r>
      <w:r w:rsidR="003C126F" w:rsidRPr="00053DC5">
        <w:rPr>
          <w:sz w:val="22"/>
          <w:szCs w:val="22"/>
        </w:rPr>
        <w:t xml:space="preserve">vracaním, </w:t>
      </w:r>
      <w:r w:rsidR="00E66816" w:rsidRPr="00053DC5">
        <w:rPr>
          <w:sz w:val="22"/>
          <w:szCs w:val="22"/>
        </w:rPr>
        <w:t xml:space="preserve">je potrebné liečbu </w:t>
      </w:r>
      <w:r w:rsidR="00E92EAB">
        <w:rPr>
          <w:sz w:val="22"/>
          <w:szCs w:val="22"/>
        </w:rPr>
        <w:t>ukončiť</w:t>
      </w:r>
      <w:r w:rsidR="00B9110E">
        <w:rPr>
          <w:sz w:val="22"/>
          <w:szCs w:val="22"/>
        </w:rPr>
        <w:t xml:space="preserve">. </w:t>
      </w:r>
    </w:p>
    <w:p w:rsidR="00B9110E" w:rsidRDefault="00B9110E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B9110E" w:rsidRPr="00417E81" w:rsidRDefault="00B9110E" w:rsidP="00417E81">
      <w:pPr>
        <w:pStyle w:val="Nadpis2"/>
        <w:keepNext w:val="0"/>
        <w:tabs>
          <w:tab w:val="num" w:pos="0"/>
          <w:tab w:val="left" w:pos="567"/>
        </w:tabs>
        <w:ind w:left="0" w:right="423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proofErr w:type="spellStart"/>
      <w:r w:rsidRPr="00417E81">
        <w:rPr>
          <w:rFonts w:ascii="Times New Roman" w:hAnsi="Times New Roman"/>
          <w:b w:val="0"/>
          <w:bCs w:val="0"/>
          <w:sz w:val="22"/>
          <w:szCs w:val="22"/>
        </w:rPr>
        <w:t>Oroforte</w:t>
      </w:r>
      <w:proofErr w:type="spellEnd"/>
      <w:r w:rsidRPr="00417E81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proofErr w:type="spellStart"/>
      <w:r w:rsidRPr="00417E81">
        <w:rPr>
          <w:rFonts w:ascii="Times New Roman" w:hAnsi="Times New Roman"/>
          <w:b w:val="0"/>
          <w:bCs w:val="0"/>
          <w:sz w:val="22"/>
          <w:szCs w:val="22"/>
        </w:rPr>
        <w:t>menthol</w:t>
      </w:r>
      <w:proofErr w:type="spellEnd"/>
      <w:r w:rsidRPr="00417E81">
        <w:rPr>
          <w:rFonts w:ascii="Times New Roman" w:hAnsi="Times New Roman"/>
          <w:b w:val="0"/>
          <w:bCs w:val="0"/>
          <w:sz w:val="22"/>
          <w:szCs w:val="22"/>
        </w:rPr>
        <w:t xml:space="preserve"> sa nesmie užívať zároveň alebo tesne pred pitím a jedením: </w:t>
      </w:r>
      <w:r w:rsidR="00ED34E1">
        <w:rPr>
          <w:rFonts w:ascii="Times New Roman" w:hAnsi="Times New Roman"/>
          <w:b w:val="0"/>
          <w:bCs w:val="0"/>
          <w:sz w:val="22"/>
          <w:szCs w:val="22"/>
        </w:rPr>
        <w:t>L</w:t>
      </w:r>
      <w:r w:rsidRPr="00417E81">
        <w:rPr>
          <w:rFonts w:ascii="Times New Roman" w:hAnsi="Times New Roman"/>
          <w:b w:val="0"/>
          <w:bCs w:val="0"/>
          <w:sz w:val="22"/>
          <w:szCs w:val="22"/>
        </w:rPr>
        <w:t xml:space="preserve">okálny anestetický účinok </w:t>
      </w:r>
      <w:proofErr w:type="spellStart"/>
      <w:r w:rsidRPr="00417E81">
        <w:rPr>
          <w:rFonts w:ascii="Times New Roman" w:hAnsi="Times New Roman"/>
          <w:b w:val="0"/>
          <w:bCs w:val="0"/>
          <w:sz w:val="22"/>
          <w:szCs w:val="22"/>
        </w:rPr>
        <w:t>lidokaínu</w:t>
      </w:r>
      <w:proofErr w:type="spellEnd"/>
      <w:r w:rsidRPr="00417E81">
        <w:rPr>
          <w:rFonts w:ascii="Times New Roman" w:hAnsi="Times New Roman"/>
          <w:b w:val="0"/>
          <w:bCs w:val="0"/>
          <w:sz w:val="22"/>
          <w:szCs w:val="22"/>
        </w:rPr>
        <w:t xml:space="preserve"> môže spôsobiť dočasné znecitlivenie v</w:t>
      </w:r>
      <w:r w:rsidR="00ED34E1">
        <w:rPr>
          <w:rFonts w:ascii="Times New Roman" w:hAnsi="Times New Roman"/>
          <w:b w:val="0"/>
          <w:bCs w:val="0"/>
          <w:sz w:val="22"/>
          <w:szCs w:val="22"/>
        </w:rPr>
        <w:t> </w:t>
      </w:r>
      <w:r w:rsidRPr="00417E81">
        <w:rPr>
          <w:rFonts w:ascii="Times New Roman" w:hAnsi="Times New Roman"/>
          <w:b w:val="0"/>
          <w:bCs w:val="0"/>
          <w:sz w:val="22"/>
          <w:szCs w:val="22"/>
        </w:rPr>
        <w:t>ústach a hrdle a môže interferovať s</w:t>
      </w:r>
      <w:r w:rsidR="00ED34E1">
        <w:rPr>
          <w:rFonts w:ascii="Times New Roman" w:hAnsi="Times New Roman"/>
          <w:b w:val="0"/>
          <w:bCs w:val="0"/>
          <w:sz w:val="22"/>
          <w:szCs w:val="22"/>
        </w:rPr>
        <w:t> </w:t>
      </w:r>
      <w:r w:rsidRPr="00417E81">
        <w:rPr>
          <w:rFonts w:ascii="Times New Roman" w:hAnsi="Times New Roman"/>
          <w:b w:val="0"/>
          <w:bCs w:val="0"/>
          <w:sz w:val="22"/>
          <w:szCs w:val="22"/>
        </w:rPr>
        <w:t>prehĺtaním.</w:t>
      </w:r>
    </w:p>
    <w:p w:rsidR="003C126F" w:rsidRPr="00053DC5" w:rsidRDefault="003C126F" w:rsidP="00417E81">
      <w:pPr>
        <w:tabs>
          <w:tab w:val="left" w:pos="567"/>
        </w:tabs>
        <w:ind w:right="423"/>
        <w:rPr>
          <w:sz w:val="22"/>
          <w:szCs w:val="22"/>
        </w:rPr>
      </w:pPr>
    </w:p>
    <w:p w:rsidR="001531E0" w:rsidRPr="00417E81" w:rsidRDefault="000B4461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 w:rsidRPr="00417E81">
        <w:rPr>
          <w:i/>
          <w:sz w:val="22"/>
          <w:szCs w:val="22"/>
          <w:u w:val="single"/>
        </w:rPr>
        <w:t>Pediatrická populácia</w:t>
      </w:r>
      <w:r w:rsidR="00ED34E1" w:rsidRPr="00417E81">
        <w:rPr>
          <w:i/>
          <w:sz w:val="22"/>
          <w:szCs w:val="22"/>
          <w:u w:val="single"/>
        </w:rPr>
        <w:t xml:space="preserve"> - d</w:t>
      </w:r>
      <w:r w:rsidR="00545ABB" w:rsidRPr="00417E81">
        <w:rPr>
          <w:i/>
          <w:sz w:val="22"/>
          <w:szCs w:val="22"/>
          <w:u w:val="single"/>
        </w:rPr>
        <w:t>eti do 6 rokov</w:t>
      </w:r>
    </w:p>
    <w:p w:rsidR="001531E0" w:rsidRPr="00053DC5" w:rsidRDefault="001531E0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 xml:space="preserve">Užívanie pastiliek </w:t>
      </w:r>
      <w:proofErr w:type="spellStart"/>
      <w:r w:rsidRPr="00053DC5">
        <w:rPr>
          <w:sz w:val="22"/>
          <w:szCs w:val="22"/>
        </w:rPr>
        <w:t>Oroforte</w:t>
      </w:r>
      <w:proofErr w:type="spellEnd"/>
      <w:r w:rsidRPr="00053DC5">
        <w:rPr>
          <w:sz w:val="22"/>
          <w:szCs w:val="22"/>
        </w:rPr>
        <w:t xml:space="preserve"> </w:t>
      </w:r>
      <w:proofErr w:type="spellStart"/>
      <w:r w:rsidRPr="00053DC5">
        <w:rPr>
          <w:sz w:val="22"/>
          <w:szCs w:val="22"/>
        </w:rPr>
        <w:t>menthol</w:t>
      </w:r>
      <w:proofErr w:type="spellEnd"/>
      <w:r w:rsidRPr="00053DC5">
        <w:rPr>
          <w:sz w:val="22"/>
          <w:szCs w:val="22"/>
        </w:rPr>
        <w:t xml:space="preserve"> sa neodporúča deťom mladším ako 6</w:t>
      </w:r>
      <w:r w:rsidR="00ED34E1">
        <w:rPr>
          <w:sz w:val="22"/>
          <w:szCs w:val="22"/>
        </w:rPr>
        <w:t> </w:t>
      </w:r>
      <w:r w:rsidRPr="00053DC5">
        <w:rPr>
          <w:sz w:val="22"/>
          <w:szCs w:val="22"/>
        </w:rPr>
        <w:t>rokov.</w:t>
      </w:r>
    </w:p>
    <w:p w:rsidR="001531E0" w:rsidRPr="00053DC5" w:rsidRDefault="001531E0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1531E0" w:rsidRPr="00417E81" w:rsidRDefault="001531E0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 w:rsidRPr="00417E81">
        <w:rPr>
          <w:i/>
          <w:sz w:val="22"/>
          <w:szCs w:val="22"/>
          <w:u w:val="single"/>
        </w:rPr>
        <w:t>Informácia o pomocných látkach</w:t>
      </w:r>
    </w:p>
    <w:p w:rsidR="001531E0" w:rsidRPr="00417E81" w:rsidRDefault="000B4461" w:rsidP="00417E8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 w:rsidRPr="00417E81">
        <w:rPr>
          <w:sz w:val="22"/>
          <w:szCs w:val="22"/>
        </w:rPr>
        <w:t>Oroforte</w:t>
      </w:r>
      <w:proofErr w:type="spellEnd"/>
      <w:r w:rsidRPr="00417E81">
        <w:rPr>
          <w:sz w:val="22"/>
          <w:szCs w:val="22"/>
        </w:rPr>
        <w:t xml:space="preserve"> </w:t>
      </w:r>
      <w:proofErr w:type="spellStart"/>
      <w:r w:rsidRPr="00417E81">
        <w:rPr>
          <w:sz w:val="22"/>
          <w:szCs w:val="22"/>
        </w:rPr>
        <w:t>menthol</w:t>
      </w:r>
      <w:proofErr w:type="spellEnd"/>
      <w:r w:rsidR="00545ABB" w:rsidRPr="00053DC5">
        <w:rPr>
          <w:sz w:val="22"/>
          <w:szCs w:val="22"/>
        </w:rPr>
        <w:t xml:space="preserve"> </w:t>
      </w:r>
      <w:r w:rsidR="00545ABB" w:rsidRPr="00D0281A">
        <w:rPr>
          <w:sz w:val="22"/>
          <w:szCs w:val="22"/>
        </w:rPr>
        <w:t xml:space="preserve">obsahuje </w:t>
      </w:r>
      <w:proofErr w:type="spellStart"/>
      <w:r w:rsidR="00545ABB" w:rsidRPr="00D0281A">
        <w:rPr>
          <w:sz w:val="22"/>
          <w:szCs w:val="22"/>
        </w:rPr>
        <w:t>sorbitol</w:t>
      </w:r>
      <w:proofErr w:type="spellEnd"/>
      <w:r w:rsidR="00545ABB" w:rsidRPr="00D0281A">
        <w:rPr>
          <w:sz w:val="22"/>
          <w:szCs w:val="22"/>
        </w:rPr>
        <w:t xml:space="preserve">. </w:t>
      </w:r>
      <w:r w:rsidR="001531E0" w:rsidRPr="00D0281A">
        <w:rPr>
          <w:sz w:val="22"/>
          <w:szCs w:val="22"/>
        </w:rPr>
        <w:t>Pacienti so zrie</w:t>
      </w:r>
      <w:r w:rsidR="00545ABB" w:rsidRPr="00D0281A">
        <w:rPr>
          <w:sz w:val="22"/>
          <w:szCs w:val="22"/>
        </w:rPr>
        <w:t>d</w:t>
      </w:r>
      <w:r w:rsidR="001531E0" w:rsidRPr="00D0281A">
        <w:rPr>
          <w:sz w:val="22"/>
          <w:szCs w:val="22"/>
        </w:rPr>
        <w:t xml:space="preserve">kavými </w:t>
      </w:r>
      <w:r w:rsidR="000809EE" w:rsidRPr="00D0281A">
        <w:rPr>
          <w:sz w:val="22"/>
          <w:szCs w:val="22"/>
        </w:rPr>
        <w:t>dedičn</w:t>
      </w:r>
      <w:r w:rsidR="000771A2" w:rsidRPr="00417E81">
        <w:rPr>
          <w:sz w:val="22"/>
          <w:szCs w:val="22"/>
        </w:rPr>
        <w:t>ý</w:t>
      </w:r>
      <w:r w:rsidR="000809EE" w:rsidRPr="00D0281A">
        <w:rPr>
          <w:sz w:val="22"/>
          <w:szCs w:val="22"/>
        </w:rPr>
        <w:t xml:space="preserve">mi </w:t>
      </w:r>
      <w:r w:rsidR="001531E0" w:rsidRPr="00D0281A">
        <w:rPr>
          <w:sz w:val="22"/>
          <w:szCs w:val="22"/>
        </w:rPr>
        <w:t xml:space="preserve">problémami intolerancie </w:t>
      </w:r>
      <w:r w:rsidR="00363CCA" w:rsidRPr="00D0281A">
        <w:rPr>
          <w:sz w:val="22"/>
          <w:szCs w:val="22"/>
        </w:rPr>
        <w:t>fruktóz</w:t>
      </w:r>
      <w:r w:rsidR="00363CCA">
        <w:rPr>
          <w:sz w:val="22"/>
          <w:szCs w:val="22"/>
        </w:rPr>
        <w:t>y</w:t>
      </w:r>
      <w:r w:rsidR="00363CCA" w:rsidRPr="00D0281A">
        <w:rPr>
          <w:sz w:val="22"/>
          <w:szCs w:val="22"/>
        </w:rPr>
        <w:t xml:space="preserve"> </w:t>
      </w:r>
      <w:r w:rsidR="00545ABB" w:rsidRPr="00D0281A">
        <w:rPr>
          <w:sz w:val="22"/>
          <w:szCs w:val="22"/>
        </w:rPr>
        <w:t>ne</w:t>
      </w:r>
      <w:r w:rsidR="00363CCA">
        <w:rPr>
          <w:sz w:val="22"/>
          <w:szCs w:val="22"/>
        </w:rPr>
        <w:t>s</w:t>
      </w:r>
      <w:r w:rsidR="00545ABB" w:rsidRPr="00D0281A">
        <w:rPr>
          <w:sz w:val="22"/>
          <w:szCs w:val="22"/>
        </w:rPr>
        <w:t>mú užívať</w:t>
      </w:r>
      <w:r w:rsidR="00545ABB" w:rsidRPr="00D0281A" w:rsidDel="00545ABB">
        <w:rPr>
          <w:sz w:val="22"/>
          <w:szCs w:val="22"/>
        </w:rPr>
        <w:t xml:space="preserve"> </w:t>
      </w:r>
      <w:r w:rsidR="001531E0" w:rsidRPr="00D0281A">
        <w:rPr>
          <w:sz w:val="22"/>
          <w:szCs w:val="22"/>
        </w:rPr>
        <w:t>tento liek.</w:t>
      </w:r>
    </w:p>
    <w:p w:rsidR="003C126F" w:rsidRPr="000B5A26" w:rsidRDefault="003C126F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0B5A26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4.5</w:t>
      </w:r>
      <w:r w:rsidR="00052F1F" w:rsidRPr="000B5A26">
        <w:rPr>
          <w:b/>
          <w:sz w:val="22"/>
          <w:szCs w:val="22"/>
        </w:rPr>
        <w:tab/>
      </w:r>
      <w:r w:rsidR="00EF7081" w:rsidRPr="000B5A26">
        <w:rPr>
          <w:b/>
          <w:sz w:val="22"/>
          <w:szCs w:val="22"/>
        </w:rPr>
        <w:t>Liekové a iné interakcie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EF7081" w:rsidRPr="00D0281A" w:rsidRDefault="009A0B7A" w:rsidP="00417E81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N</w:t>
      </w:r>
      <w:r w:rsidR="003C126F" w:rsidRPr="00D0281A">
        <w:rPr>
          <w:sz w:val="22"/>
          <w:szCs w:val="22"/>
        </w:rPr>
        <w:t xml:space="preserve">eboli </w:t>
      </w:r>
      <w:r w:rsidR="00971045" w:rsidRPr="00D0281A">
        <w:rPr>
          <w:sz w:val="22"/>
          <w:szCs w:val="22"/>
        </w:rPr>
        <w:t>prevedené</w:t>
      </w:r>
      <w:r>
        <w:rPr>
          <w:sz w:val="22"/>
          <w:szCs w:val="22"/>
        </w:rPr>
        <w:t xml:space="preserve"> žiadne interakčné štúdie</w:t>
      </w:r>
      <w:r w:rsidR="003C126F" w:rsidRPr="00D0281A">
        <w:rPr>
          <w:sz w:val="22"/>
          <w:szCs w:val="22"/>
        </w:rPr>
        <w:t>.</w:t>
      </w:r>
    </w:p>
    <w:p w:rsidR="003C126F" w:rsidRPr="00053DC5" w:rsidRDefault="003C126F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1531E0" w:rsidRPr="00053DC5" w:rsidRDefault="001531E0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Nemožno očakávať klinické systémové interakcie</w:t>
      </w:r>
      <w:r w:rsidR="00EA2609">
        <w:rPr>
          <w:sz w:val="22"/>
          <w:szCs w:val="22"/>
        </w:rPr>
        <w:t xml:space="preserve"> s </w:t>
      </w:r>
      <w:proofErr w:type="spellStart"/>
      <w:r w:rsidRPr="00053DC5">
        <w:rPr>
          <w:sz w:val="22"/>
          <w:szCs w:val="22"/>
        </w:rPr>
        <w:t>cetylpyridíniumchloridom</w:t>
      </w:r>
      <w:proofErr w:type="spellEnd"/>
      <w:r w:rsidRPr="00053DC5">
        <w:rPr>
          <w:sz w:val="22"/>
          <w:szCs w:val="22"/>
        </w:rPr>
        <w:t xml:space="preserve"> v dôsledku jeho veľmi nízkej systémovej absorpcie.</w:t>
      </w:r>
    </w:p>
    <w:p w:rsidR="001531E0" w:rsidRPr="00053DC5" w:rsidRDefault="001531E0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0B4461" w:rsidRDefault="003C126F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 xml:space="preserve">Teoreticky môže </w:t>
      </w:r>
      <w:proofErr w:type="spellStart"/>
      <w:r w:rsidRPr="00053DC5">
        <w:rPr>
          <w:sz w:val="22"/>
          <w:szCs w:val="22"/>
        </w:rPr>
        <w:t>lidokaín</w:t>
      </w:r>
      <w:proofErr w:type="spellEnd"/>
      <w:r w:rsidRPr="00053DC5">
        <w:rPr>
          <w:sz w:val="22"/>
          <w:szCs w:val="22"/>
        </w:rPr>
        <w:t xml:space="preserve"> vstupovať do interakcie s inými </w:t>
      </w:r>
      <w:r w:rsidR="00971045" w:rsidRPr="00053DC5">
        <w:rPr>
          <w:sz w:val="22"/>
          <w:szCs w:val="22"/>
        </w:rPr>
        <w:t>sú</w:t>
      </w:r>
      <w:r w:rsidR="00F44DE0">
        <w:rPr>
          <w:sz w:val="22"/>
          <w:szCs w:val="22"/>
        </w:rPr>
        <w:t>bež</w:t>
      </w:r>
      <w:r w:rsidR="00971045" w:rsidRPr="000B5A26">
        <w:rPr>
          <w:sz w:val="22"/>
          <w:szCs w:val="22"/>
        </w:rPr>
        <w:t xml:space="preserve">ne podávanými </w:t>
      </w:r>
      <w:r w:rsidRPr="000B5A26">
        <w:rPr>
          <w:sz w:val="22"/>
          <w:szCs w:val="22"/>
        </w:rPr>
        <w:t>liekmi</w:t>
      </w:r>
      <w:r w:rsidR="00F41CFB" w:rsidRPr="000B5A26">
        <w:rPr>
          <w:sz w:val="22"/>
          <w:szCs w:val="22"/>
        </w:rPr>
        <w:t>,</w:t>
      </w:r>
      <w:r w:rsidRPr="000B5A26">
        <w:rPr>
          <w:sz w:val="22"/>
          <w:szCs w:val="22"/>
        </w:rPr>
        <w:t xml:space="preserve"> napr. s inými </w:t>
      </w:r>
      <w:proofErr w:type="spellStart"/>
      <w:r w:rsidRPr="000B5A26">
        <w:rPr>
          <w:sz w:val="22"/>
          <w:szCs w:val="22"/>
        </w:rPr>
        <w:t>antiar</w:t>
      </w:r>
      <w:r w:rsidR="00E66816" w:rsidRPr="000B5A26">
        <w:rPr>
          <w:sz w:val="22"/>
          <w:szCs w:val="22"/>
        </w:rPr>
        <w:t>y</w:t>
      </w:r>
      <w:r w:rsidRPr="000B5A26">
        <w:rPr>
          <w:sz w:val="22"/>
          <w:szCs w:val="22"/>
        </w:rPr>
        <w:t>tmickými</w:t>
      </w:r>
      <w:proofErr w:type="spellEnd"/>
      <w:r w:rsidRPr="000B5A26">
        <w:rPr>
          <w:sz w:val="22"/>
          <w:szCs w:val="22"/>
        </w:rPr>
        <w:t xml:space="preserve"> látkami.</w:t>
      </w:r>
      <w:r w:rsidR="008E2BBE" w:rsidRPr="000B5A26">
        <w:rPr>
          <w:sz w:val="22"/>
          <w:szCs w:val="22"/>
        </w:rPr>
        <w:t xml:space="preserve"> </w:t>
      </w:r>
      <w:r w:rsidR="00FE446F" w:rsidRPr="000B5A26">
        <w:rPr>
          <w:sz w:val="22"/>
          <w:szCs w:val="22"/>
        </w:rPr>
        <w:t xml:space="preserve">Neočakávajú sa </w:t>
      </w:r>
      <w:r w:rsidR="00ED34E1">
        <w:rPr>
          <w:sz w:val="22"/>
          <w:szCs w:val="22"/>
        </w:rPr>
        <w:t xml:space="preserve">však </w:t>
      </w:r>
      <w:r w:rsidR="00FE446F" w:rsidRPr="000B5A26">
        <w:rPr>
          <w:sz w:val="22"/>
          <w:szCs w:val="22"/>
        </w:rPr>
        <w:t xml:space="preserve">žiadne </w:t>
      </w:r>
      <w:r w:rsidR="000B4461" w:rsidRPr="000B4461">
        <w:rPr>
          <w:sz w:val="22"/>
          <w:szCs w:val="22"/>
        </w:rPr>
        <w:t xml:space="preserve">klinicky významné liekové </w:t>
      </w:r>
      <w:r w:rsidR="00FE446F" w:rsidRPr="000B5A26">
        <w:rPr>
          <w:sz w:val="22"/>
          <w:szCs w:val="22"/>
        </w:rPr>
        <w:t xml:space="preserve">interakcie, pretože </w:t>
      </w:r>
      <w:r w:rsidR="000B4461" w:rsidRPr="000B4461">
        <w:rPr>
          <w:sz w:val="22"/>
          <w:szCs w:val="22"/>
        </w:rPr>
        <w:t xml:space="preserve">jeho systémová expozícia </w:t>
      </w:r>
      <w:r w:rsidR="000B4461">
        <w:rPr>
          <w:sz w:val="22"/>
          <w:szCs w:val="22"/>
        </w:rPr>
        <w:t>v</w:t>
      </w:r>
      <w:r w:rsidR="001E1286">
        <w:rPr>
          <w:sz w:val="22"/>
          <w:szCs w:val="22"/>
        </w:rPr>
        <w:t> </w:t>
      </w:r>
      <w:r w:rsidR="000B4461" w:rsidRPr="000B4461">
        <w:rPr>
          <w:sz w:val="22"/>
          <w:szCs w:val="22"/>
        </w:rPr>
        <w:t>plazm</w:t>
      </w:r>
      <w:r w:rsidR="000B4461">
        <w:rPr>
          <w:sz w:val="22"/>
          <w:szCs w:val="22"/>
        </w:rPr>
        <w:t>e</w:t>
      </w:r>
      <w:r w:rsidR="000B4461" w:rsidRPr="000B4461">
        <w:rPr>
          <w:sz w:val="22"/>
          <w:szCs w:val="22"/>
        </w:rPr>
        <w:t xml:space="preserve"> </w:t>
      </w:r>
      <w:r w:rsidR="000B4461">
        <w:rPr>
          <w:sz w:val="22"/>
          <w:szCs w:val="22"/>
        </w:rPr>
        <w:t xml:space="preserve">je </w:t>
      </w:r>
      <w:r w:rsidR="001E1286" w:rsidRPr="000B4461">
        <w:rPr>
          <w:sz w:val="22"/>
          <w:szCs w:val="22"/>
        </w:rPr>
        <w:t xml:space="preserve">po </w:t>
      </w:r>
      <w:proofErr w:type="spellStart"/>
      <w:r w:rsidR="001E1286">
        <w:rPr>
          <w:sz w:val="22"/>
          <w:szCs w:val="22"/>
        </w:rPr>
        <w:t>bukálnej</w:t>
      </w:r>
      <w:proofErr w:type="spellEnd"/>
      <w:r w:rsidR="001E1286" w:rsidRPr="000B4461">
        <w:rPr>
          <w:sz w:val="22"/>
          <w:szCs w:val="22"/>
        </w:rPr>
        <w:t xml:space="preserve"> aplikácii</w:t>
      </w:r>
      <w:r w:rsidR="001E1286" w:rsidRPr="001E1286">
        <w:rPr>
          <w:sz w:val="22"/>
          <w:szCs w:val="22"/>
        </w:rPr>
        <w:t xml:space="preserve"> </w:t>
      </w:r>
      <w:r w:rsidR="001E1286" w:rsidRPr="000B4461">
        <w:rPr>
          <w:sz w:val="22"/>
          <w:szCs w:val="22"/>
        </w:rPr>
        <w:t>veľmi nízka</w:t>
      </w:r>
      <w:r w:rsidR="000B4461" w:rsidRPr="000B4461">
        <w:rPr>
          <w:sz w:val="22"/>
          <w:szCs w:val="22"/>
        </w:rPr>
        <w:t>.</w:t>
      </w:r>
      <w:r w:rsidR="000B4461" w:rsidRPr="000B5A26" w:rsidDel="000B4461">
        <w:rPr>
          <w:sz w:val="22"/>
          <w:szCs w:val="22"/>
        </w:rPr>
        <w:t xml:space="preserve"> </w:t>
      </w:r>
    </w:p>
    <w:p w:rsidR="00ED34E1" w:rsidRDefault="00ED34E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3C126F" w:rsidRPr="000B5A26" w:rsidRDefault="001318B8" w:rsidP="00ED34E1">
      <w:pPr>
        <w:tabs>
          <w:tab w:val="left" w:pos="567"/>
        </w:tabs>
        <w:ind w:right="423"/>
        <w:rPr>
          <w:sz w:val="22"/>
          <w:szCs w:val="22"/>
        </w:rPr>
      </w:pPr>
      <w:r w:rsidRPr="000B5A26">
        <w:rPr>
          <w:sz w:val="22"/>
          <w:szCs w:val="22"/>
        </w:rPr>
        <w:t>P</w:t>
      </w:r>
      <w:r w:rsidR="00224A9B" w:rsidRPr="000B5A26">
        <w:rPr>
          <w:sz w:val="22"/>
          <w:szCs w:val="22"/>
        </w:rPr>
        <w:t xml:space="preserve">otenciálne riziko interakcie pre pacientov liečených </w:t>
      </w:r>
      <w:r w:rsidR="008E2BBE" w:rsidRPr="000B5A26">
        <w:rPr>
          <w:sz w:val="22"/>
          <w:szCs w:val="22"/>
        </w:rPr>
        <w:t xml:space="preserve">pastilkami </w:t>
      </w:r>
      <w:proofErr w:type="spellStart"/>
      <w:r w:rsidR="00223EC7" w:rsidRPr="000B5A26">
        <w:rPr>
          <w:sz w:val="22"/>
          <w:szCs w:val="22"/>
        </w:rPr>
        <w:t>Oroforte</w:t>
      </w:r>
      <w:proofErr w:type="spellEnd"/>
      <w:r w:rsidR="00223EC7" w:rsidRPr="000B5A26">
        <w:rPr>
          <w:sz w:val="22"/>
          <w:szCs w:val="22"/>
        </w:rPr>
        <w:t xml:space="preserve"> </w:t>
      </w:r>
      <w:proofErr w:type="spellStart"/>
      <w:r w:rsidR="00223EC7" w:rsidRPr="000B5A26">
        <w:rPr>
          <w:sz w:val="22"/>
          <w:szCs w:val="22"/>
        </w:rPr>
        <w:t>menthol</w:t>
      </w:r>
      <w:proofErr w:type="spellEnd"/>
      <w:r w:rsidR="00223EC7" w:rsidRPr="000B5A26">
        <w:rPr>
          <w:sz w:val="22"/>
          <w:szCs w:val="22"/>
        </w:rPr>
        <w:t xml:space="preserve"> </w:t>
      </w:r>
      <w:r w:rsidR="00224A9B" w:rsidRPr="000B5A26">
        <w:rPr>
          <w:sz w:val="22"/>
          <w:szCs w:val="22"/>
        </w:rPr>
        <w:t xml:space="preserve">je zanedbateľné. Jeho </w:t>
      </w:r>
      <w:r w:rsidR="00223EC7" w:rsidRPr="000B5A26">
        <w:rPr>
          <w:sz w:val="22"/>
          <w:szCs w:val="22"/>
        </w:rPr>
        <w:t xml:space="preserve">systémové </w:t>
      </w:r>
      <w:r w:rsidR="00224A9B" w:rsidRPr="000B5A26">
        <w:rPr>
          <w:sz w:val="22"/>
          <w:szCs w:val="22"/>
        </w:rPr>
        <w:t>vstreb</w:t>
      </w:r>
      <w:r w:rsidR="008E2BBE" w:rsidRPr="000B5A26">
        <w:rPr>
          <w:sz w:val="22"/>
          <w:szCs w:val="22"/>
        </w:rPr>
        <w:t>áva</w:t>
      </w:r>
      <w:r w:rsidR="00224A9B" w:rsidRPr="000B5A26">
        <w:rPr>
          <w:sz w:val="22"/>
          <w:szCs w:val="22"/>
        </w:rPr>
        <w:t xml:space="preserve">nie po </w:t>
      </w:r>
      <w:proofErr w:type="spellStart"/>
      <w:r w:rsidR="00224A9B" w:rsidRPr="000B5A26">
        <w:rPr>
          <w:sz w:val="22"/>
          <w:szCs w:val="22"/>
        </w:rPr>
        <w:t>bukáln</w:t>
      </w:r>
      <w:r w:rsidR="00223EC7" w:rsidRPr="000B5A26">
        <w:rPr>
          <w:sz w:val="22"/>
          <w:szCs w:val="22"/>
        </w:rPr>
        <w:t>ej</w:t>
      </w:r>
      <w:proofErr w:type="spellEnd"/>
      <w:r w:rsidR="00223EC7" w:rsidRPr="000B5A26">
        <w:rPr>
          <w:sz w:val="22"/>
          <w:szCs w:val="22"/>
        </w:rPr>
        <w:t xml:space="preserve"> aplikácii</w:t>
      </w:r>
      <w:r w:rsidR="00224A9B" w:rsidRPr="000B5A26">
        <w:rPr>
          <w:sz w:val="22"/>
          <w:szCs w:val="22"/>
        </w:rPr>
        <w:t xml:space="preserve"> je minimálne a</w:t>
      </w:r>
      <w:r w:rsidR="00223EC7" w:rsidRPr="000B5A26">
        <w:rPr>
          <w:sz w:val="22"/>
          <w:szCs w:val="22"/>
        </w:rPr>
        <w:t> zvyčajne sa nedá dete</w:t>
      </w:r>
      <w:r w:rsidR="003653B1">
        <w:rPr>
          <w:sz w:val="22"/>
          <w:szCs w:val="22"/>
        </w:rPr>
        <w:t>g</w:t>
      </w:r>
      <w:r w:rsidR="00223EC7" w:rsidRPr="000B5A26">
        <w:rPr>
          <w:sz w:val="22"/>
          <w:szCs w:val="22"/>
        </w:rPr>
        <w:t xml:space="preserve">ovať </w:t>
      </w:r>
      <w:r w:rsidR="00224A9B" w:rsidRPr="000B5A26">
        <w:rPr>
          <w:sz w:val="22"/>
          <w:szCs w:val="22"/>
        </w:rPr>
        <w:t>v</w:t>
      </w:r>
      <w:r w:rsidR="009673C2" w:rsidRPr="000B5A26">
        <w:rPr>
          <w:sz w:val="22"/>
          <w:szCs w:val="22"/>
        </w:rPr>
        <w:t> </w:t>
      </w:r>
      <w:r w:rsidR="008E2BBE" w:rsidRPr="000B5A26">
        <w:rPr>
          <w:sz w:val="22"/>
          <w:szCs w:val="22"/>
        </w:rPr>
        <w:t>krvnom</w:t>
      </w:r>
      <w:r w:rsidR="009673C2" w:rsidRPr="000B5A26">
        <w:rPr>
          <w:sz w:val="22"/>
          <w:szCs w:val="22"/>
        </w:rPr>
        <w:t xml:space="preserve"> </w:t>
      </w:r>
      <w:r w:rsidR="00224A9B" w:rsidRPr="000B5A26">
        <w:rPr>
          <w:sz w:val="22"/>
          <w:szCs w:val="22"/>
        </w:rPr>
        <w:t>obehu</w:t>
      </w:r>
      <w:r w:rsidR="00223EC7" w:rsidRPr="000B5A26">
        <w:rPr>
          <w:sz w:val="22"/>
          <w:szCs w:val="22"/>
        </w:rPr>
        <w:t>.</w:t>
      </w:r>
      <w:r w:rsidR="00224A9B" w:rsidRPr="000B5A26">
        <w:rPr>
          <w:sz w:val="22"/>
          <w:szCs w:val="22"/>
        </w:rPr>
        <w:t xml:space="preserve"> </w:t>
      </w:r>
    </w:p>
    <w:p w:rsidR="00EF7081" w:rsidRPr="000B5A26" w:rsidRDefault="00EF708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4.6</w:t>
      </w:r>
      <w:r w:rsidR="00052F1F" w:rsidRPr="000B5A26">
        <w:rPr>
          <w:b/>
          <w:sz w:val="22"/>
          <w:szCs w:val="22"/>
        </w:rPr>
        <w:tab/>
      </w:r>
      <w:proofErr w:type="spellStart"/>
      <w:r w:rsidR="00BB27F1" w:rsidRPr="000B5A26">
        <w:rPr>
          <w:b/>
          <w:sz w:val="22"/>
          <w:szCs w:val="22"/>
        </w:rPr>
        <w:t>Fertilita</w:t>
      </w:r>
      <w:proofErr w:type="spellEnd"/>
      <w:r w:rsidR="00BB27F1" w:rsidRPr="000B5A26">
        <w:rPr>
          <w:b/>
          <w:sz w:val="22"/>
          <w:szCs w:val="22"/>
        </w:rPr>
        <w:t>, g</w:t>
      </w:r>
      <w:r w:rsidR="00EF7081" w:rsidRPr="000B5A26">
        <w:rPr>
          <w:b/>
          <w:sz w:val="22"/>
          <w:szCs w:val="22"/>
        </w:rPr>
        <w:t>ravidit</w:t>
      </w:r>
      <w:r w:rsidR="000825FF" w:rsidRPr="000B5A26">
        <w:rPr>
          <w:b/>
          <w:sz w:val="22"/>
          <w:szCs w:val="22"/>
        </w:rPr>
        <w:t>a</w:t>
      </w:r>
      <w:r w:rsidR="00BB27F1" w:rsidRPr="00E0009B">
        <w:rPr>
          <w:b/>
          <w:sz w:val="22"/>
          <w:szCs w:val="22"/>
        </w:rPr>
        <w:t xml:space="preserve"> a</w:t>
      </w:r>
      <w:r w:rsidR="0072332C" w:rsidRPr="00E0009B">
        <w:rPr>
          <w:b/>
          <w:sz w:val="22"/>
          <w:szCs w:val="22"/>
        </w:rPr>
        <w:t> </w:t>
      </w:r>
      <w:r w:rsidR="00EF7081" w:rsidRPr="00053DC5">
        <w:rPr>
          <w:b/>
          <w:sz w:val="22"/>
          <w:szCs w:val="22"/>
        </w:rPr>
        <w:t>laktáci</w:t>
      </w:r>
      <w:r w:rsidR="000825FF" w:rsidRPr="00053DC5">
        <w:rPr>
          <w:b/>
          <w:sz w:val="22"/>
          <w:szCs w:val="22"/>
        </w:rPr>
        <w:t>a</w:t>
      </w:r>
      <w:r w:rsidR="0072332C" w:rsidRPr="00053DC5">
        <w:rPr>
          <w:b/>
          <w:sz w:val="22"/>
          <w:szCs w:val="22"/>
        </w:rPr>
        <w:t xml:space="preserve"> </w:t>
      </w:r>
    </w:p>
    <w:p w:rsidR="00EF7081" w:rsidRPr="00D0281A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ED34E1" w:rsidRPr="00417E81" w:rsidRDefault="00ED34E1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proofErr w:type="spellStart"/>
      <w:r w:rsidRPr="00417E81">
        <w:rPr>
          <w:i/>
          <w:sz w:val="22"/>
          <w:szCs w:val="22"/>
          <w:u w:val="single"/>
        </w:rPr>
        <w:t>Fertilita</w:t>
      </w:r>
      <w:proofErr w:type="spellEnd"/>
    </w:p>
    <w:p w:rsidR="00ED34E1" w:rsidRPr="00053DC5" w:rsidRDefault="00ED34E1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Neexistuje žiadny dôkaz</w:t>
      </w:r>
      <w:r w:rsidR="00EA2609">
        <w:rPr>
          <w:sz w:val="22"/>
          <w:szCs w:val="22"/>
        </w:rPr>
        <w:t xml:space="preserve"> o </w:t>
      </w:r>
      <w:r w:rsidRPr="00053DC5">
        <w:rPr>
          <w:sz w:val="22"/>
          <w:szCs w:val="22"/>
        </w:rPr>
        <w:t xml:space="preserve">nepriaznivých účinkoch </w:t>
      </w:r>
      <w:proofErr w:type="spellStart"/>
      <w:r w:rsidRPr="00053DC5">
        <w:rPr>
          <w:sz w:val="22"/>
          <w:szCs w:val="22"/>
        </w:rPr>
        <w:t>cetylpyridíniumchloridu</w:t>
      </w:r>
      <w:proofErr w:type="spellEnd"/>
      <w:r w:rsidRPr="00053DC5">
        <w:rPr>
          <w:sz w:val="22"/>
          <w:szCs w:val="22"/>
        </w:rPr>
        <w:t xml:space="preserve"> alebo </w:t>
      </w:r>
      <w:proofErr w:type="spellStart"/>
      <w:r w:rsidRPr="00053DC5">
        <w:rPr>
          <w:sz w:val="22"/>
          <w:szCs w:val="22"/>
        </w:rPr>
        <w:t>lidokaíniumchloridu</w:t>
      </w:r>
      <w:proofErr w:type="spellEnd"/>
      <w:r w:rsidRPr="00053DC5">
        <w:rPr>
          <w:sz w:val="22"/>
          <w:szCs w:val="22"/>
        </w:rPr>
        <w:t xml:space="preserve"> na plodnosť.</w:t>
      </w:r>
    </w:p>
    <w:p w:rsidR="00ED34E1" w:rsidRPr="00053DC5" w:rsidRDefault="00ED34E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D34E1" w:rsidRPr="00ED34E1" w:rsidRDefault="00ED34E1" w:rsidP="00ED34E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Gravidita</w:t>
      </w:r>
    </w:p>
    <w:p w:rsidR="00ED34E1" w:rsidRDefault="00FE446F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 xml:space="preserve">Štúdie na zvieratách nepreukázali možný účinok </w:t>
      </w:r>
      <w:proofErr w:type="spellStart"/>
      <w:r w:rsidRPr="00053DC5">
        <w:rPr>
          <w:sz w:val="22"/>
          <w:szCs w:val="22"/>
        </w:rPr>
        <w:t>cetylpyridíniumchloridu</w:t>
      </w:r>
      <w:proofErr w:type="spellEnd"/>
      <w:r w:rsidRPr="00053DC5">
        <w:rPr>
          <w:sz w:val="22"/>
          <w:szCs w:val="22"/>
        </w:rPr>
        <w:t xml:space="preserve"> vo vývoji</w:t>
      </w:r>
      <w:r w:rsidR="00ED34E1">
        <w:rPr>
          <w:sz w:val="22"/>
          <w:szCs w:val="22"/>
        </w:rPr>
        <w:t xml:space="preserve"> plodu</w:t>
      </w:r>
      <w:r w:rsidRPr="00053DC5">
        <w:rPr>
          <w:sz w:val="22"/>
          <w:szCs w:val="22"/>
        </w:rPr>
        <w:t xml:space="preserve">. Okrem toho, pretože liek nie </w:t>
      </w:r>
      <w:r w:rsidR="00214376" w:rsidRPr="00053DC5">
        <w:rPr>
          <w:sz w:val="22"/>
          <w:szCs w:val="22"/>
        </w:rPr>
        <w:t>je dobre absorbovaný</w:t>
      </w:r>
      <w:r w:rsidRPr="00053DC5">
        <w:rPr>
          <w:sz w:val="22"/>
          <w:szCs w:val="22"/>
        </w:rPr>
        <w:t xml:space="preserve"> z ústnej sliznice a sliznice tráviaceho traktu a používajú sa len nízke dávky, prípadné účinky na reprodukčnú funkciu možno považovať za zanedbateľné</w:t>
      </w:r>
      <w:r w:rsidR="00214376" w:rsidRPr="00053DC5">
        <w:rPr>
          <w:sz w:val="22"/>
          <w:szCs w:val="22"/>
        </w:rPr>
        <w:t xml:space="preserve">. </w:t>
      </w:r>
    </w:p>
    <w:p w:rsidR="00ED34E1" w:rsidRDefault="00ED34E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214376" w:rsidRPr="00053DC5" w:rsidRDefault="001443D1" w:rsidP="00ED34E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 w:rsidRPr="00053DC5">
        <w:rPr>
          <w:sz w:val="22"/>
          <w:szCs w:val="22"/>
        </w:rPr>
        <w:t>Lidoka</w:t>
      </w:r>
      <w:r w:rsidR="008E2BBE" w:rsidRPr="00053DC5">
        <w:rPr>
          <w:sz w:val="22"/>
          <w:szCs w:val="22"/>
        </w:rPr>
        <w:t>í</w:t>
      </w:r>
      <w:r w:rsidRPr="00053DC5">
        <w:rPr>
          <w:sz w:val="22"/>
          <w:szCs w:val="22"/>
        </w:rPr>
        <w:t>n</w:t>
      </w:r>
      <w:r w:rsidR="00C4782F" w:rsidRPr="00053DC5">
        <w:rPr>
          <w:sz w:val="22"/>
          <w:szCs w:val="22"/>
        </w:rPr>
        <w:t>ium</w:t>
      </w:r>
      <w:r w:rsidRPr="00053DC5">
        <w:rPr>
          <w:sz w:val="22"/>
          <w:szCs w:val="22"/>
        </w:rPr>
        <w:t>chlorid</w:t>
      </w:r>
      <w:proofErr w:type="spellEnd"/>
      <w:r w:rsidRPr="00053DC5">
        <w:rPr>
          <w:sz w:val="22"/>
          <w:szCs w:val="22"/>
        </w:rPr>
        <w:t xml:space="preserve"> prechádza cez placentá</w:t>
      </w:r>
      <w:r w:rsidR="0014210B" w:rsidRPr="00053DC5">
        <w:rPr>
          <w:sz w:val="22"/>
          <w:szCs w:val="22"/>
        </w:rPr>
        <w:t>r</w:t>
      </w:r>
      <w:r w:rsidRPr="00053DC5">
        <w:rPr>
          <w:sz w:val="22"/>
          <w:szCs w:val="22"/>
        </w:rPr>
        <w:t>nu bariéru. Nie je žiadny dôkaz, že spôsobuje</w:t>
      </w:r>
      <w:r w:rsidR="009673C2" w:rsidRPr="00053DC5">
        <w:rPr>
          <w:sz w:val="22"/>
          <w:szCs w:val="22"/>
        </w:rPr>
        <w:t xml:space="preserve"> poškodenie plodu</w:t>
      </w:r>
      <w:r w:rsidRPr="00053DC5">
        <w:rPr>
          <w:sz w:val="22"/>
          <w:szCs w:val="22"/>
        </w:rPr>
        <w:t xml:space="preserve">. </w:t>
      </w:r>
    </w:p>
    <w:p w:rsidR="00214376" w:rsidRPr="00053DC5" w:rsidRDefault="00214376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1443D1" w:rsidRPr="00053DC5" w:rsidRDefault="00F41CFB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Nakoľko</w:t>
      </w:r>
      <w:r w:rsidR="001443D1" w:rsidRPr="00053DC5">
        <w:rPr>
          <w:sz w:val="22"/>
          <w:szCs w:val="22"/>
        </w:rPr>
        <w:t xml:space="preserve"> </w:t>
      </w:r>
      <w:r w:rsidR="00F93A28">
        <w:rPr>
          <w:sz w:val="22"/>
          <w:szCs w:val="22"/>
        </w:rPr>
        <w:t xml:space="preserve">však </w:t>
      </w:r>
      <w:r w:rsidR="00A27BCE" w:rsidRPr="00053DC5">
        <w:rPr>
          <w:sz w:val="22"/>
          <w:szCs w:val="22"/>
        </w:rPr>
        <w:t xml:space="preserve">nie sú dostupné </w:t>
      </w:r>
      <w:r w:rsidR="001443D1" w:rsidRPr="00053DC5">
        <w:rPr>
          <w:sz w:val="22"/>
          <w:szCs w:val="22"/>
        </w:rPr>
        <w:t xml:space="preserve">žiadne </w:t>
      </w:r>
      <w:r w:rsidR="00214376" w:rsidRPr="00053DC5">
        <w:rPr>
          <w:sz w:val="22"/>
          <w:szCs w:val="22"/>
        </w:rPr>
        <w:t xml:space="preserve">klinické </w:t>
      </w:r>
      <w:r w:rsidR="001443D1" w:rsidRPr="00053DC5">
        <w:rPr>
          <w:sz w:val="22"/>
          <w:szCs w:val="22"/>
        </w:rPr>
        <w:t xml:space="preserve">údaje </w:t>
      </w:r>
      <w:r w:rsidR="00A27BCE" w:rsidRPr="00053DC5">
        <w:rPr>
          <w:sz w:val="22"/>
          <w:szCs w:val="22"/>
        </w:rPr>
        <w:t xml:space="preserve">o expozícii </w:t>
      </w:r>
      <w:r w:rsidR="00F93A28">
        <w:rPr>
          <w:sz w:val="22"/>
          <w:szCs w:val="22"/>
        </w:rPr>
        <w:t>p</w:t>
      </w:r>
      <w:r w:rsidR="00885C25">
        <w:rPr>
          <w:sz w:val="22"/>
          <w:szCs w:val="22"/>
        </w:rPr>
        <w:t>o</w:t>
      </w:r>
      <w:r w:rsidR="00F93A28">
        <w:rPr>
          <w:sz w:val="22"/>
          <w:szCs w:val="22"/>
        </w:rPr>
        <w:t>čas gravidity</w:t>
      </w:r>
      <w:r w:rsidR="00A27BCE" w:rsidRPr="00053DC5">
        <w:rPr>
          <w:sz w:val="22"/>
          <w:szCs w:val="22"/>
        </w:rPr>
        <w:t>,</w:t>
      </w:r>
      <w:r w:rsidR="001443D1" w:rsidRPr="00053DC5">
        <w:rPr>
          <w:sz w:val="22"/>
          <w:szCs w:val="22"/>
        </w:rPr>
        <w:t xml:space="preserve"> </w:t>
      </w:r>
      <w:r w:rsidR="008E2BBE" w:rsidRPr="00053DC5">
        <w:rPr>
          <w:sz w:val="22"/>
          <w:szCs w:val="22"/>
        </w:rPr>
        <w:t xml:space="preserve">pastilky </w:t>
      </w:r>
      <w:proofErr w:type="spellStart"/>
      <w:r w:rsidR="00223EC7" w:rsidRPr="00053DC5">
        <w:rPr>
          <w:sz w:val="22"/>
          <w:szCs w:val="22"/>
        </w:rPr>
        <w:t>Oroforte</w:t>
      </w:r>
      <w:proofErr w:type="spellEnd"/>
      <w:r w:rsidR="00223EC7" w:rsidRPr="00053DC5">
        <w:rPr>
          <w:sz w:val="22"/>
          <w:szCs w:val="22"/>
        </w:rPr>
        <w:t xml:space="preserve"> </w:t>
      </w:r>
      <w:proofErr w:type="spellStart"/>
      <w:r w:rsidR="00223EC7" w:rsidRPr="00053DC5">
        <w:rPr>
          <w:sz w:val="22"/>
          <w:szCs w:val="22"/>
        </w:rPr>
        <w:t>menthol</w:t>
      </w:r>
      <w:proofErr w:type="spellEnd"/>
      <w:r w:rsidR="00223EC7" w:rsidRPr="00053DC5">
        <w:rPr>
          <w:sz w:val="22"/>
          <w:szCs w:val="22"/>
        </w:rPr>
        <w:t xml:space="preserve"> </w:t>
      </w:r>
      <w:r w:rsidR="00545ABB" w:rsidRPr="00053DC5">
        <w:rPr>
          <w:sz w:val="22"/>
          <w:szCs w:val="22"/>
        </w:rPr>
        <w:t>sa</w:t>
      </w:r>
      <w:r w:rsidR="001443D1" w:rsidRPr="00053DC5">
        <w:rPr>
          <w:sz w:val="22"/>
          <w:szCs w:val="22"/>
        </w:rPr>
        <w:t xml:space="preserve"> nema</w:t>
      </w:r>
      <w:r w:rsidR="00545ABB" w:rsidRPr="00053DC5">
        <w:rPr>
          <w:sz w:val="22"/>
          <w:szCs w:val="22"/>
        </w:rPr>
        <w:t xml:space="preserve">jú </w:t>
      </w:r>
      <w:r w:rsidR="001443D1" w:rsidRPr="00053DC5">
        <w:rPr>
          <w:sz w:val="22"/>
          <w:szCs w:val="22"/>
        </w:rPr>
        <w:t>užíva</w:t>
      </w:r>
      <w:r w:rsidR="00545ABB" w:rsidRPr="00053DC5">
        <w:rPr>
          <w:sz w:val="22"/>
          <w:szCs w:val="22"/>
        </w:rPr>
        <w:t>ť</w:t>
      </w:r>
      <w:r w:rsidR="001443D1" w:rsidRPr="00053DC5">
        <w:rPr>
          <w:sz w:val="22"/>
          <w:szCs w:val="22"/>
        </w:rPr>
        <w:t xml:space="preserve"> počas gravidity, </w:t>
      </w:r>
      <w:r w:rsidR="00214376" w:rsidRPr="00053DC5">
        <w:rPr>
          <w:sz w:val="22"/>
          <w:szCs w:val="22"/>
        </w:rPr>
        <w:t>ak to nie je nevyhnutné</w:t>
      </w:r>
      <w:r w:rsidR="001443D1" w:rsidRPr="00053DC5">
        <w:rPr>
          <w:sz w:val="22"/>
          <w:szCs w:val="22"/>
        </w:rPr>
        <w:t xml:space="preserve">. </w:t>
      </w:r>
    </w:p>
    <w:p w:rsidR="001443D1" w:rsidRPr="00053DC5" w:rsidRDefault="001443D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214376" w:rsidRPr="00417E81" w:rsidRDefault="00D0281A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Dojčenie</w:t>
      </w:r>
    </w:p>
    <w:p w:rsidR="00ED34E1" w:rsidRDefault="00214376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Štúdie na zvieratách o</w:t>
      </w:r>
      <w:r w:rsidR="00F93A28">
        <w:rPr>
          <w:sz w:val="22"/>
          <w:szCs w:val="22"/>
        </w:rPr>
        <w:t> </w:t>
      </w:r>
      <w:r w:rsidRPr="00053DC5">
        <w:rPr>
          <w:sz w:val="22"/>
          <w:szCs w:val="22"/>
        </w:rPr>
        <w:t xml:space="preserve">vylučovaní </w:t>
      </w:r>
      <w:proofErr w:type="spellStart"/>
      <w:r w:rsidRPr="00053DC5">
        <w:rPr>
          <w:sz w:val="22"/>
          <w:szCs w:val="22"/>
        </w:rPr>
        <w:t>cetylpyridíniumchloridu</w:t>
      </w:r>
      <w:proofErr w:type="spellEnd"/>
      <w:r w:rsidRPr="00053DC5">
        <w:rPr>
          <w:sz w:val="22"/>
          <w:szCs w:val="22"/>
        </w:rPr>
        <w:t xml:space="preserve"> do matersk</w:t>
      </w:r>
      <w:r w:rsidR="00C4782F" w:rsidRPr="00053DC5">
        <w:rPr>
          <w:sz w:val="22"/>
          <w:szCs w:val="22"/>
        </w:rPr>
        <w:t>ého</w:t>
      </w:r>
      <w:r w:rsidRPr="00053DC5">
        <w:rPr>
          <w:sz w:val="22"/>
          <w:szCs w:val="22"/>
        </w:rPr>
        <w:t xml:space="preserve"> mliek</w:t>
      </w:r>
      <w:r w:rsidR="00C4782F" w:rsidRPr="00053DC5">
        <w:rPr>
          <w:sz w:val="22"/>
          <w:szCs w:val="22"/>
        </w:rPr>
        <w:t>a</w:t>
      </w:r>
      <w:r w:rsidRPr="00053DC5">
        <w:rPr>
          <w:sz w:val="22"/>
          <w:szCs w:val="22"/>
        </w:rPr>
        <w:t xml:space="preserve"> neboli zaznamenané. </w:t>
      </w:r>
    </w:p>
    <w:p w:rsidR="00ED34E1" w:rsidRDefault="00ED34E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D34E1" w:rsidRDefault="001443D1" w:rsidP="00ED34E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 w:rsidRPr="00053DC5">
        <w:rPr>
          <w:sz w:val="22"/>
          <w:szCs w:val="22"/>
        </w:rPr>
        <w:t>Lidoka</w:t>
      </w:r>
      <w:r w:rsidR="00545ABB" w:rsidRPr="00053DC5">
        <w:rPr>
          <w:sz w:val="22"/>
          <w:szCs w:val="22"/>
        </w:rPr>
        <w:t>íniumchlorid</w:t>
      </w:r>
      <w:proofErr w:type="spellEnd"/>
      <w:r w:rsidRPr="00053DC5">
        <w:rPr>
          <w:sz w:val="22"/>
          <w:szCs w:val="22"/>
        </w:rPr>
        <w:t xml:space="preserve"> </w:t>
      </w:r>
      <w:r w:rsidR="00ED34E1">
        <w:rPr>
          <w:sz w:val="22"/>
          <w:szCs w:val="22"/>
        </w:rPr>
        <w:t>sa</w:t>
      </w:r>
      <w:r w:rsidR="00ED34E1" w:rsidRPr="00053DC5">
        <w:rPr>
          <w:sz w:val="22"/>
          <w:szCs w:val="22"/>
        </w:rPr>
        <w:t xml:space="preserve"> </w:t>
      </w:r>
      <w:r w:rsidRPr="00053DC5">
        <w:rPr>
          <w:sz w:val="22"/>
          <w:szCs w:val="22"/>
        </w:rPr>
        <w:t>vyluč</w:t>
      </w:r>
      <w:r w:rsidR="00ED34E1">
        <w:rPr>
          <w:sz w:val="22"/>
          <w:szCs w:val="22"/>
        </w:rPr>
        <w:t>uje</w:t>
      </w:r>
      <w:r w:rsidRPr="00053DC5">
        <w:rPr>
          <w:sz w:val="22"/>
          <w:szCs w:val="22"/>
        </w:rPr>
        <w:t xml:space="preserve"> </w:t>
      </w:r>
      <w:r w:rsidR="00ED34E1" w:rsidRPr="00053DC5">
        <w:rPr>
          <w:sz w:val="22"/>
          <w:szCs w:val="22"/>
        </w:rPr>
        <w:t>do</w:t>
      </w:r>
      <w:r w:rsidR="00ED34E1">
        <w:rPr>
          <w:sz w:val="22"/>
          <w:szCs w:val="22"/>
        </w:rPr>
        <w:t xml:space="preserve"> </w:t>
      </w:r>
      <w:r w:rsidRPr="00053DC5">
        <w:rPr>
          <w:sz w:val="22"/>
          <w:szCs w:val="22"/>
        </w:rPr>
        <w:t>materského mlieka</w:t>
      </w:r>
      <w:r w:rsidR="005B2EAE" w:rsidRPr="00053DC5">
        <w:rPr>
          <w:sz w:val="22"/>
          <w:szCs w:val="22"/>
        </w:rPr>
        <w:t xml:space="preserve"> vo veľmi </w:t>
      </w:r>
      <w:r w:rsidR="0072332C" w:rsidRPr="00053DC5">
        <w:rPr>
          <w:sz w:val="22"/>
          <w:szCs w:val="22"/>
        </w:rPr>
        <w:t>nízkych množstvách</w:t>
      </w:r>
      <w:r w:rsidR="00ED34E1">
        <w:rPr>
          <w:sz w:val="22"/>
          <w:szCs w:val="22"/>
        </w:rPr>
        <w:t>,</w:t>
      </w:r>
      <w:r w:rsidR="00127B0D" w:rsidRPr="00053DC5">
        <w:rPr>
          <w:sz w:val="22"/>
          <w:szCs w:val="22"/>
        </w:rPr>
        <w:t xml:space="preserve"> a</w:t>
      </w:r>
      <w:r w:rsidR="0072332C" w:rsidRPr="00053DC5">
        <w:rPr>
          <w:sz w:val="22"/>
          <w:szCs w:val="22"/>
        </w:rPr>
        <w:t xml:space="preserve">  </w:t>
      </w:r>
      <w:r w:rsidR="00A27D44" w:rsidRPr="00053DC5">
        <w:rPr>
          <w:sz w:val="22"/>
          <w:szCs w:val="22"/>
        </w:rPr>
        <w:t>tým</w:t>
      </w:r>
      <w:r w:rsidR="0072332C" w:rsidRPr="00053DC5">
        <w:rPr>
          <w:sz w:val="22"/>
          <w:szCs w:val="22"/>
        </w:rPr>
        <w:t xml:space="preserve"> </w:t>
      </w:r>
      <w:r w:rsidR="00A27D44" w:rsidRPr="00053DC5">
        <w:rPr>
          <w:sz w:val="22"/>
          <w:szCs w:val="22"/>
        </w:rPr>
        <w:t xml:space="preserve">je jeho </w:t>
      </w:r>
      <w:r w:rsidR="0072332C" w:rsidRPr="00053DC5">
        <w:rPr>
          <w:sz w:val="22"/>
          <w:szCs w:val="22"/>
        </w:rPr>
        <w:t>absor</w:t>
      </w:r>
      <w:r w:rsidR="00EA06D4" w:rsidRPr="00053DC5">
        <w:rPr>
          <w:sz w:val="22"/>
          <w:szCs w:val="22"/>
        </w:rPr>
        <w:t>p</w:t>
      </w:r>
      <w:r w:rsidR="00A27D44" w:rsidRPr="00053DC5">
        <w:rPr>
          <w:sz w:val="22"/>
          <w:szCs w:val="22"/>
        </w:rPr>
        <w:t>cia</w:t>
      </w:r>
      <w:r w:rsidR="0072332C" w:rsidRPr="00053DC5">
        <w:rPr>
          <w:sz w:val="22"/>
          <w:szCs w:val="22"/>
        </w:rPr>
        <w:t xml:space="preserve"> dieťaťom</w:t>
      </w:r>
      <w:r w:rsidR="004E1D9F" w:rsidRPr="00053DC5">
        <w:rPr>
          <w:sz w:val="22"/>
          <w:szCs w:val="22"/>
        </w:rPr>
        <w:t xml:space="preserve"> </w:t>
      </w:r>
      <w:r w:rsidR="00A27D44" w:rsidRPr="00053DC5">
        <w:rPr>
          <w:sz w:val="22"/>
          <w:szCs w:val="22"/>
        </w:rPr>
        <w:t xml:space="preserve">zanedbateľná. </w:t>
      </w:r>
    </w:p>
    <w:p w:rsidR="00ED34E1" w:rsidRDefault="00ED34E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053DC5" w:rsidRDefault="00E92EAB" w:rsidP="00ED34E1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A</w:t>
      </w:r>
      <w:r w:rsidR="0072332C" w:rsidRPr="00053DC5">
        <w:rPr>
          <w:sz w:val="22"/>
          <w:szCs w:val="22"/>
        </w:rPr>
        <w:t>ko preventívne opatrenie sa</w:t>
      </w:r>
      <w:r>
        <w:rPr>
          <w:sz w:val="22"/>
          <w:szCs w:val="22"/>
        </w:rPr>
        <w:t xml:space="preserve"> však</w:t>
      </w:r>
      <w:r w:rsidR="0072332C" w:rsidRPr="00053DC5">
        <w:rPr>
          <w:sz w:val="22"/>
          <w:szCs w:val="22"/>
        </w:rPr>
        <w:t xml:space="preserve"> užívanie pastiliek </w:t>
      </w:r>
      <w:proofErr w:type="spellStart"/>
      <w:r w:rsidR="0072332C" w:rsidRPr="00053DC5">
        <w:rPr>
          <w:sz w:val="22"/>
          <w:szCs w:val="22"/>
        </w:rPr>
        <w:t>Oroforte</w:t>
      </w:r>
      <w:proofErr w:type="spellEnd"/>
      <w:r w:rsidR="0072332C" w:rsidRPr="00053DC5">
        <w:rPr>
          <w:sz w:val="22"/>
          <w:szCs w:val="22"/>
        </w:rPr>
        <w:t xml:space="preserve"> </w:t>
      </w:r>
      <w:proofErr w:type="spellStart"/>
      <w:r w:rsidR="0072332C" w:rsidRPr="00053DC5">
        <w:rPr>
          <w:sz w:val="22"/>
          <w:szCs w:val="22"/>
        </w:rPr>
        <w:t>menthol</w:t>
      </w:r>
      <w:proofErr w:type="spellEnd"/>
      <w:r w:rsidR="0072332C" w:rsidRPr="00053DC5">
        <w:rPr>
          <w:sz w:val="22"/>
          <w:szCs w:val="22"/>
        </w:rPr>
        <w:t xml:space="preserve"> počas dojčenia</w:t>
      </w:r>
      <w:r w:rsidR="00ED34E1" w:rsidRPr="00ED34E1">
        <w:rPr>
          <w:sz w:val="22"/>
          <w:szCs w:val="22"/>
        </w:rPr>
        <w:t xml:space="preserve"> </w:t>
      </w:r>
      <w:r w:rsidR="00ED34E1" w:rsidRPr="00053DC5">
        <w:rPr>
          <w:sz w:val="22"/>
          <w:szCs w:val="22"/>
        </w:rPr>
        <w:t>neodporúča</w:t>
      </w:r>
      <w:r w:rsidR="0072332C" w:rsidRPr="00053DC5">
        <w:rPr>
          <w:sz w:val="22"/>
          <w:szCs w:val="22"/>
        </w:rPr>
        <w:t>.</w:t>
      </w:r>
    </w:p>
    <w:p w:rsidR="0072332C" w:rsidRPr="00053DC5" w:rsidRDefault="0072332C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t>4.7</w:t>
      </w:r>
      <w:r w:rsidR="00FB6CD6" w:rsidRPr="00053DC5">
        <w:rPr>
          <w:b/>
          <w:sz w:val="22"/>
          <w:szCs w:val="22"/>
        </w:rPr>
        <w:tab/>
      </w:r>
      <w:r w:rsidR="00EF7081" w:rsidRPr="00053DC5">
        <w:rPr>
          <w:b/>
          <w:sz w:val="22"/>
          <w:szCs w:val="22"/>
        </w:rPr>
        <w:t>Ovplyvnenie schopnosti viesť vozidlá a obsluhovať stroje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EF7081" w:rsidRPr="00053DC5" w:rsidRDefault="00BB27F1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  <w:proofErr w:type="spellStart"/>
      <w:r w:rsidRPr="00053DC5">
        <w:rPr>
          <w:rFonts w:ascii="Times New Roman" w:hAnsi="Times New Roman"/>
          <w:szCs w:val="22"/>
        </w:rPr>
        <w:t>Oroforte</w:t>
      </w:r>
      <w:proofErr w:type="spellEnd"/>
      <w:r w:rsidRPr="00053DC5">
        <w:rPr>
          <w:rFonts w:ascii="Times New Roman" w:hAnsi="Times New Roman"/>
          <w:szCs w:val="22"/>
        </w:rPr>
        <w:t xml:space="preserve"> </w:t>
      </w:r>
      <w:proofErr w:type="spellStart"/>
      <w:r w:rsidRPr="00053DC5">
        <w:rPr>
          <w:rFonts w:ascii="Times New Roman" w:hAnsi="Times New Roman"/>
          <w:szCs w:val="22"/>
        </w:rPr>
        <w:t>menthol</w:t>
      </w:r>
      <w:proofErr w:type="spellEnd"/>
      <w:r w:rsidRPr="00053DC5">
        <w:rPr>
          <w:rFonts w:ascii="Times New Roman" w:hAnsi="Times New Roman"/>
          <w:szCs w:val="22"/>
        </w:rPr>
        <w:t xml:space="preserve"> nemá ž</w:t>
      </w:r>
      <w:r w:rsidR="00EF7081" w:rsidRPr="00053DC5">
        <w:rPr>
          <w:rFonts w:ascii="Times New Roman" w:hAnsi="Times New Roman"/>
          <w:szCs w:val="22"/>
        </w:rPr>
        <w:t>iadn</w:t>
      </w:r>
      <w:r w:rsidR="00E92EAB">
        <w:rPr>
          <w:rFonts w:ascii="Times New Roman" w:hAnsi="Times New Roman"/>
          <w:szCs w:val="22"/>
        </w:rPr>
        <w:t>y</w:t>
      </w:r>
      <w:r w:rsidRPr="00053DC5">
        <w:rPr>
          <w:rFonts w:ascii="Times New Roman" w:hAnsi="Times New Roman"/>
          <w:szCs w:val="22"/>
        </w:rPr>
        <w:t xml:space="preserve"> alebo má zanedbateľný vplyv na vedenie vozidiel a obsluhovanie strojov.</w:t>
      </w:r>
    </w:p>
    <w:p w:rsidR="00EF7081" w:rsidRPr="00053DC5" w:rsidRDefault="00EF7081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</w:p>
    <w:p w:rsidR="00EF7081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t>4.8</w:t>
      </w:r>
      <w:r w:rsidR="00FB6CD6" w:rsidRPr="00053DC5">
        <w:rPr>
          <w:b/>
          <w:sz w:val="22"/>
          <w:szCs w:val="22"/>
        </w:rPr>
        <w:tab/>
      </w:r>
      <w:r w:rsidR="00EF7081" w:rsidRPr="00053DC5">
        <w:rPr>
          <w:b/>
          <w:sz w:val="22"/>
          <w:szCs w:val="22"/>
        </w:rPr>
        <w:t>Nežiaduce účinky</w:t>
      </w:r>
    </w:p>
    <w:p w:rsidR="00BB27F1" w:rsidRPr="00417E81" w:rsidRDefault="00BB27F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BB27F1" w:rsidRPr="00053DC5" w:rsidRDefault="00BB27F1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Nežiaduce reakcie sú zoradené podľa systému</w:t>
      </w:r>
      <w:r w:rsidR="00EA2609">
        <w:rPr>
          <w:sz w:val="22"/>
          <w:szCs w:val="22"/>
        </w:rPr>
        <w:t xml:space="preserve"> z </w:t>
      </w:r>
      <w:r w:rsidRPr="00053DC5">
        <w:rPr>
          <w:sz w:val="22"/>
          <w:szCs w:val="22"/>
        </w:rPr>
        <w:t xml:space="preserve">hľadiska </w:t>
      </w:r>
      <w:r w:rsidR="005E054F" w:rsidRPr="00053DC5">
        <w:rPr>
          <w:sz w:val="22"/>
          <w:szCs w:val="22"/>
        </w:rPr>
        <w:t>orgánovej klasifikácie a </w:t>
      </w:r>
      <w:r w:rsidRPr="00053DC5">
        <w:rPr>
          <w:sz w:val="22"/>
          <w:szCs w:val="22"/>
        </w:rPr>
        <w:t>frekvencie</w:t>
      </w:r>
      <w:r w:rsidR="005E054F" w:rsidRPr="00053DC5">
        <w:rPr>
          <w:sz w:val="22"/>
          <w:szCs w:val="22"/>
        </w:rPr>
        <w:t>. Frekvencia je definovaná ako:</w:t>
      </w:r>
      <w:r w:rsidRPr="00053DC5">
        <w:rPr>
          <w:sz w:val="22"/>
          <w:szCs w:val="22"/>
        </w:rPr>
        <w:t xml:space="preserve"> veľmi časté (≥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1/10), časté (≥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1/100 až &lt;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1/10), menej časté (≥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1/1</w:t>
      </w:r>
      <w:r w:rsidR="000F7B9B" w:rsidRPr="00053DC5">
        <w:rPr>
          <w:sz w:val="22"/>
          <w:szCs w:val="22"/>
        </w:rPr>
        <w:t> </w:t>
      </w:r>
      <w:r w:rsidRPr="00053DC5">
        <w:rPr>
          <w:sz w:val="22"/>
          <w:szCs w:val="22"/>
        </w:rPr>
        <w:t>000 až &lt;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1/100), zriedkavé (≥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1/10</w:t>
      </w:r>
      <w:r w:rsidR="006B5756" w:rsidRPr="00053DC5">
        <w:rPr>
          <w:sz w:val="22"/>
          <w:szCs w:val="22"/>
        </w:rPr>
        <w:t> </w:t>
      </w:r>
      <w:r w:rsidRPr="00053DC5">
        <w:rPr>
          <w:sz w:val="22"/>
          <w:szCs w:val="22"/>
        </w:rPr>
        <w:t>000 až &lt;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1/</w:t>
      </w:r>
      <w:r w:rsidR="000F7B9B" w:rsidRPr="00053DC5">
        <w:rPr>
          <w:sz w:val="22"/>
          <w:szCs w:val="22"/>
        </w:rPr>
        <w:t>1 </w:t>
      </w:r>
      <w:r w:rsidRPr="00053DC5">
        <w:rPr>
          <w:sz w:val="22"/>
          <w:szCs w:val="22"/>
        </w:rPr>
        <w:t>00</w:t>
      </w:r>
      <w:r w:rsidR="005E054F" w:rsidRPr="00053DC5">
        <w:rPr>
          <w:sz w:val="22"/>
          <w:szCs w:val="22"/>
        </w:rPr>
        <w:t>0), veľmi zriedkavé (&lt;</w:t>
      </w:r>
      <w:r w:rsidR="00A12F0E">
        <w:rPr>
          <w:sz w:val="22"/>
          <w:szCs w:val="22"/>
        </w:rPr>
        <w:t> </w:t>
      </w:r>
      <w:r w:rsidR="005E054F" w:rsidRPr="00053DC5">
        <w:rPr>
          <w:sz w:val="22"/>
          <w:szCs w:val="22"/>
        </w:rPr>
        <w:t>1/10</w:t>
      </w:r>
      <w:r w:rsidR="006B5756" w:rsidRPr="00053DC5">
        <w:rPr>
          <w:sz w:val="22"/>
          <w:szCs w:val="22"/>
        </w:rPr>
        <w:t> </w:t>
      </w:r>
      <w:r w:rsidR="005E054F" w:rsidRPr="00053DC5">
        <w:rPr>
          <w:sz w:val="22"/>
          <w:szCs w:val="22"/>
        </w:rPr>
        <w:t>000) alebo</w:t>
      </w:r>
      <w:r w:rsidRPr="00053DC5">
        <w:rPr>
          <w:sz w:val="22"/>
          <w:szCs w:val="22"/>
        </w:rPr>
        <w:t xml:space="preserve"> nie sú známe</w:t>
      </w:r>
      <w:r w:rsidR="005E054F" w:rsidRPr="00053DC5">
        <w:rPr>
          <w:sz w:val="22"/>
          <w:szCs w:val="22"/>
        </w:rPr>
        <w:t xml:space="preserve"> (</w:t>
      </w:r>
      <w:r w:rsidR="00A12F0E" w:rsidRPr="00053DC5">
        <w:rPr>
          <w:sz w:val="22"/>
          <w:szCs w:val="22"/>
        </w:rPr>
        <w:t>z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dostupných údajov sa nedá určiť</w:t>
      </w:r>
      <w:r w:rsidR="005E054F" w:rsidRPr="00053DC5">
        <w:rPr>
          <w:sz w:val="22"/>
          <w:szCs w:val="22"/>
        </w:rPr>
        <w:t>)</w:t>
      </w:r>
      <w:r w:rsidR="004B0CE2" w:rsidRPr="00053DC5">
        <w:rPr>
          <w:sz w:val="22"/>
          <w:szCs w:val="22"/>
        </w:rPr>
        <w:t>. V</w:t>
      </w:r>
      <w:r w:rsidR="00A12F0E">
        <w:rPr>
          <w:sz w:val="22"/>
          <w:szCs w:val="22"/>
        </w:rPr>
        <w:t> </w:t>
      </w:r>
      <w:r w:rsidR="004B0CE2" w:rsidRPr="00053DC5">
        <w:rPr>
          <w:sz w:val="22"/>
          <w:szCs w:val="22"/>
        </w:rPr>
        <w:t xml:space="preserve">každej skupine frekvencií sú nežiaduce účinky usporiadané </w:t>
      </w:r>
      <w:r w:rsidR="00A12F0E" w:rsidRPr="00053DC5">
        <w:rPr>
          <w:sz w:val="22"/>
          <w:szCs w:val="22"/>
        </w:rPr>
        <w:t>v</w:t>
      </w:r>
      <w:r w:rsidR="00A12F0E">
        <w:rPr>
          <w:sz w:val="22"/>
          <w:szCs w:val="22"/>
        </w:rPr>
        <w:t> </w:t>
      </w:r>
      <w:r w:rsidR="004B0CE2" w:rsidRPr="00053DC5">
        <w:rPr>
          <w:sz w:val="22"/>
          <w:szCs w:val="22"/>
        </w:rPr>
        <w:t>poradí klesajúcej závažnosti.</w:t>
      </w:r>
    </w:p>
    <w:p w:rsidR="00EF7081" w:rsidRPr="00053DC5" w:rsidRDefault="00EF708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5E054F" w:rsidRPr="00417E81" w:rsidRDefault="005E054F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 w:rsidRPr="00417E81">
        <w:rPr>
          <w:i/>
          <w:sz w:val="22"/>
          <w:szCs w:val="22"/>
          <w:u w:val="single"/>
        </w:rPr>
        <w:t>Poruchy imunitného systému</w:t>
      </w:r>
    </w:p>
    <w:p w:rsidR="005E054F" w:rsidRPr="00053DC5" w:rsidRDefault="00A12F0E" w:rsidP="00ED34E1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v</w:t>
      </w:r>
      <w:r w:rsidR="005E054F" w:rsidRPr="00053DC5">
        <w:rPr>
          <w:sz w:val="22"/>
          <w:szCs w:val="22"/>
        </w:rPr>
        <w:t>eľmi zriedkavé: vyrážka</w:t>
      </w:r>
    </w:p>
    <w:p w:rsidR="005E054F" w:rsidRPr="00053DC5" w:rsidRDefault="005E054F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8E2BBE" w:rsidRPr="00417E81" w:rsidRDefault="006B5756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r w:rsidRPr="00417E81">
        <w:rPr>
          <w:i/>
          <w:sz w:val="22"/>
          <w:szCs w:val="22"/>
          <w:u w:val="single"/>
        </w:rPr>
        <w:t xml:space="preserve">Poruchy </w:t>
      </w:r>
      <w:proofErr w:type="spellStart"/>
      <w:r w:rsidRPr="00417E81">
        <w:rPr>
          <w:i/>
          <w:sz w:val="22"/>
          <w:szCs w:val="22"/>
          <w:u w:val="single"/>
        </w:rPr>
        <w:t>g</w:t>
      </w:r>
      <w:r w:rsidR="008E2BBE" w:rsidRPr="00417E81">
        <w:rPr>
          <w:i/>
          <w:sz w:val="22"/>
          <w:szCs w:val="22"/>
          <w:u w:val="single"/>
        </w:rPr>
        <w:t>astrointestináln</w:t>
      </w:r>
      <w:r w:rsidRPr="00417E81">
        <w:rPr>
          <w:i/>
          <w:sz w:val="22"/>
          <w:szCs w:val="22"/>
          <w:u w:val="single"/>
        </w:rPr>
        <w:t>eho</w:t>
      </w:r>
      <w:proofErr w:type="spellEnd"/>
      <w:r w:rsidR="008E2BBE" w:rsidRPr="00417E81">
        <w:rPr>
          <w:i/>
          <w:sz w:val="22"/>
          <w:szCs w:val="22"/>
          <w:u w:val="single"/>
        </w:rPr>
        <w:t xml:space="preserve"> </w:t>
      </w:r>
      <w:r w:rsidRPr="00417E81">
        <w:rPr>
          <w:i/>
          <w:sz w:val="22"/>
          <w:szCs w:val="22"/>
          <w:u w:val="single"/>
        </w:rPr>
        <w:t>traktu</w:t>
      </w:r>
    </w:p>
    <w:p w:rsidR="008E2BBE" w:rsidRPr="00053DC5" w:rsidRDefault="00A12F0E" w:rsidP="00ED34E1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z</w:t>
      </w:r>
      <w:r w:rsidR="008E2BBE" w:rsidRPr="00053DC5">
        <w:rPr>
          <w:sz w:val="22"/>
          <w:szCs w:val="22"/>
        </w:rPr>
        <w:t>riedkavé: nauzea</w:t>
      </w:r>
      <w:r w:rsidR="005E054F" w:rsidRPr="00053DC5">
        <w:rPr>
          <w:sz w:val="22"/>
          <w:szCs w:val="22"/>
        </w:rPr>
        <w:t xml:space="preserve">, </w:t>
      </w:r>
      <w:r w:rsidR="008E2BBE" w:rsidRPr="00053DC5">
        <w:rPr>
          <w:sz w:val="22"/>
          <w:szCs w:val="22"/>
        </w:rPr>
        <w:t>podrážd</w:t>
      </w:r>
      <w:r w:rsidR="001B3595" w:rsidRPr="00053DC5">
        <w:rPr>
          <w:sz w:val="22"/>
          <w:szCs w:val="22"/>
        </w:rPr>
        <w:t>enie</w:t>
      </w:r>
      <w:r w:rsidR="008E2BBE" w:rsidRPr="00053DC5">
        <w:rPr>
          <w:sz w:val="22"/>
          <w:szCs w:val="22"/>
        </w:rPr>
        <w:t xml:space="preserve"> sliznice ústn</w:t>
      </w:r>
      <w:r w:rsidR="001B3595" w:rsidRPr="00053DC5">
        <w:rPr>
          <w:sz w:val="22"/>
          <w:szCs w:val="22"/>
        </w:rPr>
        <w:t>ej dutiny</w:t>
      </w:r>
      <w:r w:rsidR="00F41CFB" w:rsidRPr="00053DC5">
        <w:rPr>
          <w:sz w:val="22"/>
          <w:szCs w:val="22"/>
        </w:rPr>
        <w:t xml:space="preserve"> a hrdla</w:t>
      </w:r>
    </w:p>
    <w:p w:rsidR="000B5A26" w:rsidRPr="00053DC5" w:rsidRDefault="000B5A26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0B5A26" w:rsidRPr="00417E81" w:rsidRDefault="000B5A26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b/>
          <w:sz w:val="22"/>
          <w:szCs w:val="22"/>
          <w:u w:val="single"/>
        </w:rPr>
      </w:pPr>
      <w:r w:rsidRPr="00417E81">
        <w:rPr>
          <w:b/>
          <w:sz w:val="22"/>
          <w:szCs w:val="22"/>
          <w:u w:val="single"/>
        </w:rPr>
        <w:t>Hlásenie podozrení na nežiaduce reakcie</w:t>
      </w:r>
    </w:p>
    <w:p w:rsidR="000B5A26" w:rsidRPr="000B5A26" w:rsidRDefault="000B5A26" w:rsidP="00ED34E1">
      <w:pPr>
        <w:tabs>
          <w:tab w:val="left" w:pos="567"/>
        </w:tabs>
        <w:autoSpaceDE w:val="0"/>
        <w:autoSpaceDN w:val="0"/>
        <w:adjustRightInd w:val="0"/>
        <w:ind w:right="423"/>
        <w:rPr>
          <w:noProof/>
          <w:sz w:val="22"/>
          <w:szCs w:val="22"/>
        </w:rPr>
      </w:pPr>
      <w:r w:rsidRPr="00053DC5">
        <w:rPr>
          <w:noProof/>
          <w:sz w:val="22"/>
          <w:szCs w:val="22"/>
        </w:rPr>
        <w:t>Hlásenie podozrení na nežiaduce reakcie po registrácii lieku je dôležité.</w:t>
      </w:r>
      <w:r w:rsidRPr="00053DC5">
        <w:rPr>
          <w:sz w:val="22"/>
          <w:szCs w:val="22"/>
        </w:rPr>
        <w:t xml:space="preserve"> </w:t>
      </w:r>
      <w:r w:rsidRPr="00053DC5">
        <w:rPr>
          <w:noProof/>
          <w:sz w:val="22"/>
          <w:szCs w:val="22"/>
        </w:rPr>
        <w:t>Umožňuje priebežné monitorovanie pomeru prínosu</w:t>
      </w:r>
      <w:r w:rsidRPr="00053DC5">
        <w:rPr>
          <w:sz w:val="22"/>
          <w:szCs w:val="22"/>
        </w:rPr>
        <w:t xml:space="preserve"> a</w:t>
      </w:r>
      <w:r w:rsidRPr="00053DC5">
        <w:rPr>
          <w:noProof/>
          <w:sz w:val="22"/>
          <w:szCs w:val="22"/>
        </w:rPr>
        <w:t> rizika lieku.</w:t>
      </w:r>
      <w:r w:rsidRPr="00053DC5">
        <w:rPr>
          <w:sz w:val="22"/>
          <w:szCs w:val="22"/>
        </w:rPr>
        <w:t xml:space="preserve"> Od </w:t>
      </w:r>
      <w:r w:rsidRPr="00053DC5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E92EAB">
        <w:rPr>
          <w:noProof/>
          <w:sz w:val="22"/>
          <w:szCs w:val="22"/>
        </w:rPr>
        <w:t>na</w:t>
      </w:r>
      <w:r w:rsidR="00E92EAB" w:rsidRPr="00053DC5">
        <w:rPr>
          <w:noProof/>
          <w:sz w:val="22"/>
          <w:szCs w:val="22"/>
        </w:rPr>
        <w:t xml:space="preserve"> </w:t>
      </w:r>
      <w:r w:rsidRPr="00053DC5">
        <w:rPr>
          <w:noProof/>
          <w:sz w:val="22"/>
          <w:szCs w:val="22"/>
          <w:highlight w:val="lightGray"/>
        </w:rPr>
        <w:t xml:space="preserve">národné </w:t>
      </w:r>
      <w:r w:rsidR="00E92EAB">
        <w:rPr>
          <w:noProof/>
          <w:sz w:val="22"/>
          <w:szCs w:val="22"/>
          <w:highlight w:val="lightGray"/>
        </w:rPr>
        <w:t>centrum</w:t>
      </w:r>
      <w:r w:rsidR="00E92EAB" w:rsidRPr="00053DC5">
        <w:rPr>
          <w:noProof/>
          <w:sz w:val="22"/>
          <w:szCs w:val="22"/>
          <w:highlight w:val="lightGray"/>
        </w:rPr>
        <w:t xml:space="preserve"> </w:t>
      </w:r>
      <w:r w:rsidRPr="00053DC5">
        <w:rPr>
          <w:noProof/>
          <w:sz w:val="22"/>
          <w:szCs w:val="22"/>
          <w:highlight w:val="lightGray"/>
        </w:rPr>
        <w:t>hlásenia uvedené v </w:t>
      </w:r>
      <w:hyperlink r:id="rId7" w:history="1">
        <w:r w:rsidRPr="00053DC5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053DC5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053DC5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053DC5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0B5A26">
        <w:rPr>
          <w:noProof/>
          <w:sz w:val="22"/>
          <w:szCs w:val="22"/>
        </w:rPr>
        <w:t>.</w:t>
      </w:r>
    </w:p>
    <w:p w:rsidR="0014210B" w:rsidRPr="000B5A26" w:rsidRDefault="0014210B" w:rsidP="00ED34E1">
      <w:pPr>
        <w:tabs>
          <w:tab w:val="left" w:pos="567"/>
        </w:tabs>
        <w:ind w:right="423"/>
        <w:rPr>
          <w:i/>
          <w:sz w:val="22"/>
          <w:szCs w:val="22"/>
        </w:rPr>
      </w:pPr>
    </w:p>
    <w:p w:rsidR="00EF7081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4.9</w:t>
      </w:r>
      <w:r w:rsidR="00FB6CD6" w:rsidRPr="000B5A26">
        <w:rPr>
          <w:b/>
          <w:sz w:val="22"/>
          <w:szCs w:val="22"/>
        </w:rPr>
        <w:tab/>
      </w:r>
      <w:r w:rsidR="00EF7081" w:rsidRPr="000B5A26">
        <w:rPr>
          <w:b/>
          <w:sz w:val="22"/>
          <w:szCs w:val="22"/>
        </w:rPr>
        <w:t>Predávkovanie</w:t>
      </w:r>
    </w:p>
    <w:p w:rsidR="000B4461" w:rsidRDefault="000B446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0B4461" w:rsidRPr="00417E81" w:rsidRDefault="000B4461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proofErr w:type="spellStart"/>
      <w:r w:rsidRPr="00417E81">
        <w:rPr>
          <w:i/>
          <w:sz w:val="22"/>
          <w:szCs w:val="22"/>
          <w:u w:val="single"/>
        </w:rPr>
        <w:t>Cetylpyridíniumchlorid</w:t>
      </w:r>
      <w:proofErr w:type="spellEnd"/>
    </w:p>
    <w:p w:rsidR="00EF7081" w:rsidRPr="000B5A26" w:rsidRDefault="000B4461" w:rsidP="00ED34E1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N</w:t>
      </w:r>
      <w:r w:rsidR="00EF7081" w:rsidRPr="000B5A26">
        <w:rPr>
          <w:sz w:val="22"/>
          <w:szCs w:val="22"/>
        </w:rPr>
        <w:t xml:space="preserve">áhodné požitie väčšieho množstva </w:t>
      </w:r>
      <w:proofErr w:type="spellStart"/>
      <w:r w:rsidR="00AE17F1" w:rsidRPr="000B5A26">
        <w:rPr>
          <w:sz w:val="22"/>
          <w:szCs w:val="22"/>
        </w:rPr>
        <w:t>cetylpyrid</w:t>
      </w:r>
      <w:r w:rsidR="008C6865" w:rsidRPr="000B5A26">
        <w:rPr>
          <w:sz w:val="22"/>
          <w:szCs w:val="22"/>
        </w:rPr>
        <w:t>í</w:t>
      </w:r>
      <w:r w:rsidR="00AE17F1" w:rsidRPr="000B5A26">
        <w:rPr>
          <w:sz w:val="22"/>
          <w:szCs w:val="22"/>
        </w:rPr>
        <w:t>niumchloridu</w:t>
      </w:r>
      <w:proofErr w:type="spellEnd"/>
      <w:r w:rsidR="00AE17F1" w:rsidRPr="000B5A26">
        <w:rPr>
          <w:noProof/>
          <w:sz w:val="22"/>
          <w:szCs w:val="22"/>
        </w:rPr>
        <w:t xml:space="preserve"> </w:t>
      </w:r>
      <w:r w:rsidR="00EF7081" w:rsidRPr="000B5A26">
        <w:rPr>
          <w:sz w:val="22"/>
          <w:szCs w:val="22"/>
        </w:rPr>
        <w:t xml:space="preserve">môže vyvolať </w:t>
      </w:r>
      <w:r w:rsidR="00AE17F1" w:rsidRPr="000B5A26">
        <w:rPr>
          <w:sz w:val="22"/>
          <w:szCs w:val="22"/>
        </w:rPr>
        <w:t xml:space="preserve">nauzeu </w:t>
      </w:r>
      <w:r w:rsidR="00EF7081" w:rsidRPr="000B5A26">
        <w:rPr>
          <w:sz w:val="22"/>
          <w:szCs w:val="22"/>
        </w:rPr>
        <w:t xml:space="preserve">a vracanie. </w:t>
      </w:r>
      <w:r w:rsidR="0049502A" w:rsidRPr="000B5A26">
        <w:rPr>
          <w:sz w:val="22"/>
          <w:szCs w:val="22"/>
        </w:rPr>
        <w:t>Odporúča</w:t>
      </w:r>
      <w:r w:rsidR="00AE17F1" w:rsidRPr="000B5A26">
        <w:rPr>
          <w:sz w:val="22"/>
          <w:szCs w:val="22"/>
        </w:rPr>
        <w:t xml:space="preserve"> sa</w:t>
      </w:r>
      <w:r w:rsidR="00EF7081" w:rsidRPr="000B5A26">
        <w:rPr>
          <w:sz w:val="22"/>
          <w:szCs w:val="22"/>
        </w:rPr>
        <w:t xml:space="preserve"> okamžite podať mlieko alebo vaječný bielok </w:t>
      </w:r>
      <w:r w:rsidR="00AE17F1" w:rsidRPr="000B5A26">
        <w:rPr>
          <w:sz w:val="22"/>
          <w:szCs w:val="22"/>
        </w:rPr>
        <w:t>rozš</w:t>
      </w:r>
      <w:r w:rsidR="006F5220" w:rsidRPr="000B5A26">
        <w:rPr>
          <w:sz w:val="22"/>
          <w:szCs w:val="22"/>
        </w:rPr>
        <w:t>ľ</w:t>
      </w:r>
      <w:r w:rsidR="00AE17F1" w:rsidRPr="000B5A26">
        <w:rPr>
          <w:sz w:val="22"/>
          <w:szCs w:val="22"/>
        </w:rPr>
        <w:t xml:space="preserve">ahaný </w:t>
      </w:r>
      <w:r w:rsidR="00EF7081" w:rsidRPr="000B5A26">
        <w:rPr>
          <w:sz w:val="22"/>
          <w:szCs w:val="22"/>
        </w:rPr>
        <w:t>vo vode.</w:t>
      </w:r>
      <w:r w:rsidR="00A12F0E">
        <w:rPr>
          <w:sz w:val="22"/>
          <w:szCs w:val="22"/>
        </w:rPr>
        <w:t xml:space="preserve"> </w:t>
      </w:r>
      <w:r w:rsidR="008C6865" w:rsidRPr="000B5A26">
        <w:rPr>
          <w:sz w:val="22"/>
          <w:szCs w:val="22"/>
        </w:rPr>
        <w:t>Je potrebné v</w:t>
      </w:r>
      <w:r w:rsidR="00EF7081" w:rsidRPr="000B5A26">
        <w:rPr>
          <w:sz w:val="22"/>
          <w:szCs w:val="22"/>
        </w:rPr>
        <w:t>yhnúť sa alkoholu, pretože podporuje</w:t>
      </w:r>
      <w:r w:rsidR="006F5220" w:rsidRPr="000B5A26">
        <w:rPr>
          <w:sz w:val="22"/>
          <w:szCs w:val="22"/>
        </w:rPr>
        <w:t xml:space="preserve"> </w:t>
      </w:r>
      <w:r w:rsidR="00A47E0F" w:rsidRPr="000B5A26">
        <w:rPr>
          <w:sz w:val="22"/>
          <w:szCs w:val="22"/>
        </w:rPr>
        <w:t>vstrebávanie</w:t>
      </w:r>
      <w:r w:rsidR="008C6865" w:rsidRPr="000B5A26">
        <w:rPr>
          <w:sz w:val="22"/>
          <w:szCs w:val="22"/>
        </w:rPr>
        <w:t xml:space="preserve"> </w:t>
      </w:r>
      <w:proofErr w:type="spellStart"/>
      <w:r w:rsidR="008C6865" w:rsidRPr="000B5A26">
        <w:rPr>
          <w:sz w:val="22"/>
          <w:szCs w:val="22"/>
        </w:rPr>
        <w:t>cetylpyridíniumchloridu</w:t>
      </w:r>
      <w:proofErr w:type="spellEnd"/>
      <w:r w:rsidR="00EF7081" w:rsidRPr="000B5A26">
        <w:rPr>
          <w:sz w:val="22"/>
          <w:szCs w:val="22"/>
        </w:rPr>
        <w:t>.</w:t>
      </w:r>
    </w:p>
    <w:p w:rsidR="008C6865" w:rsidRDefault="008C6865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216A66" w:rsidRPr="00417E81" w:rsidRDefault="00216A66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proofErr w:type="spellStart"/>
      <w:r w:rsidRPr="00417E81">
        <w:rPr>
          <w:i/>
          <w:sz w:val="22"/>
          <w:szCs w:val="22"/>
          <w:u w:val="single"/>
        </w:rPr>
        <w:t>Lidokaín</w:t>
      </w:r>
      <w:proofErr w:type="spellEnd"/>
    </w:p>
    <w:p w:rsidR="00E5254A" w:rsidRDefault="00632084" w:rsidP="00ED34E1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Intoxikácia</w:t>
      </w:r>
      <w:r w:rsidRPr="0063208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</w:t>
      </w:r>
      <w:r w:rsidRPr="00417E81">
        <w:rPr>
          <w:sz w:val="22"/>
          <w:szCs w:val="22"/>
        </w:rPr>
        <w:t>idokaín</w:t>
      </w:r>
      <w:r>
        <w:rPr>
          <w:sz w:val="22"/>
          <w:szCs w:val="22"/>
        </w:rPr>
        <w:t>om</w:t>
      </w:r>
      <w:proofErr w:type="spellEnd"/>
      <w:r w:rsidRPr="00417E81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prevažne </w:t>
      </w:r>
      <w:r w:rsidR="00693798">
        <w:rPr>
          <w:sz w:val="22"/>
          <w:szCs w:val="22"/>
        </w:rPr>
        <w:t>spôsobená</w:t>
      </w:r>
      <w:r w:rsidRPr="00417E81">
        <w:rPr>
          <w:sz w:val="22"/>
          <w:szCs w:val="22"/>
        </w:rPr>
        <w:t xml:space="preserve"> neúmyseln</w:t>
      </w:r>
      <w:r w:rsidR="00693798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Pr="00417E81">
        <w:rPr>
          <w:sz w:val="22"/>
          <w:szCs w:val="22"/>
        </w:rPr>
        <w:t>intravenózn</w:t>
      </w:r>
      <w:r w:rsidR="00693798">
        <w:rPr>
          <w:sz w:val="22"/>
          <w:szCs w:val="22"/>
        </w:rPr>
        <w:t>ym</w:t>
      </w:r>
      <w:r w:rsidRPr="00417E81">
        <w:rPr>
          <w:sz w:val="22"/>
          <w:szCs w:val="22"/>
        </w:rPr>
        <w:t xml:space="preserve"> predávkovan</w:t>
      </w:r>
      <w:r w:rsidR="00693798">
        <w:rPr>
          <w:sz w:val="22"/>
          <w:szCs w:val="22"/>
        </w:rPr>
        <w:t>ím</w:t>
      </w:r>
      <w:r w:rsidRPr="00417E81">
        <w:rPr>
          <w:sz w:val="22"/>
          <w:szCs w:val="22"/>
        </w:rPr>
        <w:t>, a nie oráln</w:t>
      </w:r>
      <w:r w:rsidR="00693798">
        <w:rPr>
          <w:sz w:val="22"/>
          <w:szCs w:val="22"/>
        </w:rPr>
        <w:t>y</w:t>
      </w:r>
      <w:r w:rsidRPr="00417E81">
        <w:rPr>
          <w:sz w:val="22"/>
          <w:szCs w:val="22"/>
        </w:rPr>
        <w:t>m podaní</w:t>
      </w:r>
      <w:r w:rsidR="00693798">
        <w:rPr>
          <w:sz w:val="22"/>
          <w:szCs w:val="22"/>
        </w:rPr>
        <w:t>m</w:t>
      </w:r>
      <w:r w:rsidR="00BA12C2">
        <w:rPr>
          <w:sz w:val="22"/>
          <w:szCs w:val="22"/>
        </w:rPr>
        <w:t xml:space="preserve"> a</w:t>
      </w:r>
      <w:r w:rsidRPr="00417E81">
        <w:rPr>
          <w:sz w:val="22"/>
          <w:szCs w:val="22"/>
        </w:rPr>
        <w:t xml:space="preserve">  </w:t>
      </w:r>
      <w:r w:rsidR="002A04C4">
        <w:rPr>
          <w:sz w:val="22"/>
          <w:szCs w:val="22"/>
        </w:rPr>
        <w:t>m</w:t>
      </w:r>
      <w:r w:rsidRPr="00417E81">
        <w:rPr>
          <w:sz w:val="22"/>
          <w:szCs w:val="22"/>
        </w:rPr>
        <w:t>á zá</w:t>
      </w:r>
      <w:r w:rsidR="000771A2">
        <w:rPr>
          <w:sz w:val="22"/>
          <w:szCs w:val="22"/>
        </w:rPr>
        <w:t>važný</w:t>
      </w:r>
      <w:r w:rsidRPr="00417E81">
        <w:rPr>
          <w:sz w:val="22"/>
          <w:szCs w:val="22"/>
        </w:rPr>
        <w:t xml:space="preserve"> vplyv na centrálny nervový systém (CNS) a </w:t>
      </w:r>
      <w:r w:rsidR="002A04C4">
        <w:rPr>
          <w:sz w:val="22"/>
          <w:szCs w:val="22"/>
        </w:rPr>
        <w:t>kardiovaskulárny</w:t>
      </w:r>
      <w:r w:rsidRPr="00417E81">
        <w:rPr>
          <w:sz w:val="22"/>
          <w:szCs w:val="22"/>
        </w:rPr>
        <w:t xml:space="preserve"> systém</w:t>
      </w:r>
      <w:r w:rsidR="00F93A28">
        <w:rPr>
          <w:sz w:val="22"/>
          <w:szCs w:val="22"/>
        </w:rPr>
        <w:t xml:space="preserve"> </w:t>
      </w:r>
      <w:r w:rsidR="002A04C4">
        <w:rPr>
          <w:sz w:val="22"/>
          <w:szCs w:val="22"/>
        </w:rPr>
        <w:t>s</w:t>
      </w:r>
      <w:r w:rsidR="00F93A28">
        <w:rPr>
          <w:sz w:val="22"/>
          <w:szCs w:val="22"/>
        </w:rPr>
        <w:t xml:space="preserve"> účinkami </w:t>
      </w:r>
      <w:r w:rsidRPr="00417E81">
        <w:rPr>
          <w:sz w:val="22"/>
          <w:szCs w:val="22"/>
        </w:rPr>
        <w:t xml:space="preserve"> ako  hypotenzia, </w:t>
      </w:r>
      <w:proofErr w:type="spellStart"/>
      <w:r w:rsidRPr="00417E81">
        <w:rPr>
          <w:sz w:val="22"/>
          <w:szCs w:val="22"/>
        </w:rPr>
        <w:t>asystólia</w:t>
      </w:r>
      <w:proofErr w:type="spellEnd"/>
      <w:r w:rsidRPr="00417E81">
        <w:rPr>
          <w:sz w:val="22"/>
          <w:szCs w:val="22"/>
        </w:rPr>
        <w:t xml:space="preserve">, bradykardia, </w:t>
      </w:r>
      <w:proofErr w:type="spellStart"/>
      <w:r w:rsidRPr="00417E81">
        <w:rPr>
          <w:sz w:val="22"/>
          <w:szCs w:val="22"/>
        </w:rPr>
        <w:t>apnoe</w:t>
      </w:r>
      <w:proofErr w:type="spellEnd"/>
      <w:r w:rsidRPr="00417E81">
        <w:rPr>
          <w:sz w:val="22"/>
          <w:szCs w:val="22"/>
        </w:rPr>
        <w:t>, záchvaty, kóma, srdcov</w:t>
      </w:r>
      <w:r w:rsidR="008804A7">
        <w:rPr>
          <w:sz w:val="22"/>
          <w:szCs w:val="22"/>
        </w:rPr>
        <w:t>é</w:t>
      </w:r>
      <w:r w:rsidRPr="00417E81">
        <w:rPr>
          <w:sz w:val="22"/>
          <w:szCs w:val="22"/>
        </w:rPr>
        <w:t xml:space="preserve"> z</w:t>
      </w:r>
      <w:r w:rsidR="008804A7">
        <w:rPr>
          <w:sz w:val="22"/>
          <w:szCs w:val="22"/>
        </w:rPr>
        <w:t>a</w:t>
      </w:r>
      <w:r w:rsidRPr="00417E81">
        <w:rPr>
          <w:sz w:val="22"/>
          <w:szCs w:val="22"/>
        </w:rPr>
        <w:t>stav</w:t>
      </w:r>
      <w:r w:rsidR="008804A7">
        <w:rPr>
          <w:sz w:val="22"/>
          <w:szCs w:val="22"/>
        </w:rPr>
        <w:t>enie</w:t>
      </w:r>
      <w:r w:rsidRPr="00417E81">
        <w:rPr>
          <w:sz w:val="22"/>
          <w:szCs w:val="22"/>
        </w:rPr>
        <w:t>, z</w:t>
      </w:r>
      <w:r w:rsidR="008804A7">
        <w:rPr>
          <w:sz w:val="22"/>
          <w:szCs w:val="22"/>
        </w:rPr>
        <w:t>a</w:t>
      </w:r>
      <w:r w:rsidRPr="00417E81">
        <w:rPr>
          <w:sz w:val="22"/>
          <w:szCs w:val="22"/>
        </w:rPr>
        <w:t>stav</w:t>
      </w:r>
      <w:r w:rsidR="008804A7">
        <w:rPr>
          <w:sz w:val="22"/>
          <w:szCs w:val="22"/>
        </w:rPr>
        <w:t>enie</w:t>
      </w:r>
      <w:r w:rsidRPr="00417E81">
        <w:rPr>
          <w:sz w:val="22"/>
          <w:szCs w:val="22"/>
        </w:rPr>
        <w:t xml:space="preserve"> d</w:t>
      </w:r>
      <w:r w:rsidR="000771A2">
        <w:rPr>
          <w:sz w:val="22"/>
          <w:szCs w:val="22"/>
        </w:rPr>
        <w:t>ýchania</w:t>
      </w:r>
      <w:r w:rsidRPr="00417E81">
        <w:rPr>
          <w:sz w:val="22"/>
          <w:szCs w:val="22"/>
        </w:rPr>
        <w:t xml:space="preserve"> a smrť.</w:t>
      </w:r>
      <w:r w:rsidR="00F93A28">
        <w:rPr>
          <w:sz w:val="22"/>
          <w:szCs w:val="22"/>
        </w:rPr>
        <w:t xml:space="preserve"> Napriek tomu, že</w:t>
      </w:r>
      <w:r w:rsidRPr="00632084">
        <w:rPr>
          <w:sz w:val="22"/>
          <w:szCs w:val="22"/>
        </w:rPr>
        <w:t xml:space="preserve"> biologická dostupnosť </w:t>
      </w:r>
      <w:proofErr w:type="spellStart"/>
      <w:r w:rsidRPr="00632084">
        <w:rPr>
          <w:sz w:val="22"/>
          <w:szCs w:val="22"/>
        </w:rPr>
        <w:t>lidokaínu</w:t>
      </w:r>
      <w:proofErr w:type="spellEnd"/>
      <w:r w:rsidRPr="00632084">
        <w:rPr>
          <w:sz w:val="22"/>
          <w:szCs w:val="22"/>
        </w:rPr>
        <w:t xml:space="preserve"> </w:t>
      </w:r>
      <w:r w:rsidR="00F93A28">
        <w:rPr>
          <w:sz w:val="22"/>
          <w:szCs w:val="22"/>
        </w:rPr>
        <w:t xml:space="preserve">je </w:t>
      </w:r>
      <w:r>
        <w:rPr>
          <w:sz w:val="22"/>
          <w:szCs w:val="22"/>
        </w:rPr>
        <w:t>pri orálnom podaní iba 35</w:t>
      </w:r>
      <w:r w:rsidR="00A12F0E">
        <w:rPr>
          <w:sz w:val="22"/>
          <w:szCs w:val="22"/>
        </w:rPr>
        <w:t> </w:t>
      </w:r>
      <w:r>
        <w:rPr>
          <w:sz w:val="22"/>
          <w:szCs w:val="22"/>
        </w:rPr>
        <w:t xml:space="preserve">%, </w:t>
      </w:r>
      <w:r w:rsidR="002A04C4">
        <w:rPr>
          <w:sz w:val="22"/>
          <w:szCs w:val="22"/>
        </w:rPr>
        <w:t>po prehltnutí</w:t>
      </w:r>
      <w:r w:rsidR="00865F62">
        <w:rPr>
          <w:sz w:val="22"/>
          <w:szCs w:val="22"/>
        </w:rPr>
        <w:t xml:space="preserve"> to </w:t>
      </w:r>
      <w:r>
        <w:rPr>
          <w:sz w:val="22"/>
          <w:szCs w:val="22"/>
        </w:rPr>
        <w:t>môže</w:t>
      </w:r>
      <w:r w:rsidRPr="00632084">
        <w:rPr>
          <w:sz w:val="22"/>
          <w:szCs w:val="22"/>
        </w:rPr>
        <w:t xml:space="preserve"> viesť k</w:t>
      </w:r>
      <w:r w:rsidR="00A12F0E">
        <w:rPr>
          <w:sz w:val="22"/>
          <w:szCs w:val="22"/>
        </w:rPr>
        <w:t> </w:t>
      </w:r>
      <w:r w:rsidRPr="00632084">
        <w:rPr>
          <w:sz w:val="22"/>
          <w:szCs w:val="22"/>
        </w:rPr>
        <w:t>významnej toxicite</w:t>
      </w:r>
      <w:r>
        <w:rPr>
          <w:sz w:val="22"/>
          <w:szCs w:val="22"/>
        </w:rPr>
        <w:t xml:space="preserve">. Zaznamenané </w:t>
      </w:r>
      <w:r w:rsidRPr="00632084">
        <w:rPr>
          <w:sz w:val="22"/>
          <w:szCs w:val="22"/>
        </w:rPr>
        <w:t xml:space="preserve">boli </w:t>
      </w:r>
      <w:r>
        <w:rPr>
          <w:sz w:val="22"/>
          <w:szCs w:val="22"/>
        </w:rPr>
        <w:t>údaje</w:t>
      </w:r>
      <w:r w:rsidR="00EA2609">
        <w:rPr>
          <w:sz w:val="22"/>
          <w:szCs w:val="22"/>
        </w:rPr>
        <w:t xml:space="preserve"> o </w:t>
      </w:r>
      <w:r>
        <w:rPr>
          <w:sz w:val="22"/>
          <w:szCs w:val="22"/>
        </w:rPr>
        <w:t>účinkoch</w:t>
      </w:r>
      <w:r w:rsidRPr="00632084">
        <w:rPr>
          <w:sz w:val="22"/>
          <w:szCs w:val="22"/>
        </w:rPr>
        <w:t xml:space="preserve"> na CNS, ako </w:t>
      </w:r>
      <w:r>
        <w:rPr>
          <w:sz w:val="22"/>
          <w:szCs w:val="22"/>
        </w:rPr>
        <w:t xml:space="preserve">sú </w:t>
      </w:r>
      <w:r w:rsidR="00E5254A" w:rsidRPr="00E5254A">
        <w:rPr>
          <w:sz w:val="22"/>
          <w:szCs w:val="22"/>
        </w:rPr>
        <w:t xml:space="preserve">záchvaty a </w:t>
      </w:r>
      <w:r w:rsidR="00E5254A">
        <w:rPr>
          <w:sz w:val="22"/>
          <w:szCs w:val="22"/>
        </w:rPr>
        <w:t>smrť</w:t>
      </w:r>
      <w:r w:rsidR="00E5254A" w:rsidRPr="00E5254A">
        <w:rPr>
          <w:sz w:val="22"/>
          <w:szCs w:val="22"/>
        </w:rPr>
        <w:t xml:space="preserve"> u</w:t>
      </w:r>
      <w:r w:rsidR="00A12F0E">
        <w:rPr>
          <w:sz w:val="22"/>
          <w:szCs w:val="22"/>
        </w:rPr>
        <w:t> </w:t>
      </w:r>
      <w:r w:rsidR="00E5254A" w:rsidRPr="00E5254A">
        <w:rPr>
          <w:sz w:val="22"/>
          <w:szCs w:val="22"/>
        </w:rPr>
        <w:t>detí a dospelých po požití viskóznych roztokov</w:t>
      </w:r>
      <w:r w:rsidR="00E5254A">
        <w:rPr>
          <w:sz w:val="22"/>
          <w:szCs w:val="22"/>
        </w:rPr>
        <w:t xml:space="preserve"> obsahujúcich</w:t>
      </w:r>
      <w:r w:rsidR="00E5254A" w:rsidRPr="00E5254A">
        <w:rPr>
          <w:sz w:val="22"/>
          <w:szCs w:val="22"/>
        </w:rPr>
        <w:t xml:space="preserve"> </w:t>
      </w:r>
      <w:proofErr w:type="spellStart"/>
      <w:r w:rsidR="00E5254A" w:rsidRPr="00E5254A">
        <w:rPr>
          <w:sz w:val="22"/>
          <w:szCs w:val="22"/>
        </w:rPr>
        <w:t>lidokaín</w:t>
      </w:r>
      <w:proofErr w:type="spellEnd"/>
      <w:r w:rsidR="00E5254A" w:rsidRPr="00E5254A">
        <w:rPr>
          <w:sz w:val="22"/>
          <w:szCs w:val="22"/>
        </w:rPr>
        <w:t>, ako aj kloktanie so 4</w:t>
      </w:r>
      <w:r w:rsidR="00A12F0E">
        <w:rPr>
          <w:sz w:val="22"/>
          <w:szCs w:val="22"/>
        </w:rPr>
        <w:t> </w:t>
      </w:r>
      <w:r w:rsidR="00E5254A" w:rsidRPr="00E5254A">
        <w:rPr>
          <w:sz w:val="22"/>
          <w:szCs w:val="22"/>
        </w:rPr>
        <w:t xml:space="preserve">% roztokom </w:t>
      </w:r>
      <w:proofErr w:type="spellStart"/>
      <w:r w:rsidR="00E5254A" w:rsidRPr="00E5254A">
        <w:rPr>
          <w:sz w:val="22"/>
          <w:szCs w:val="22"/>
        </w:rPr>
        <w:t>lidokaínu</w:t>
      </w:r>
      <w:proofErr w:type="spellEnd"/>
      <w:r w:rsidR="00E5254A" w:rsidRPr="00E5254A">
        <w:rPr>
          <w:sz w:val="22"/>
          <w:szCs w:val="22"/>
        </w:rPr>
        <w:t xml:space="preserve">. Liečba </w:t>
      </w:r>
      <w:r w:rsidR="00E5254A">
        <w:rPr>
          <w:sz w:val="22"/>
          <w:szCs w:val="22"/>
        </w:rPr>
        <w:t xml:space="preserve">intoxikácie </w:t>
      </w:r>
      <w:proofErr w:type="spellStart"/>
      <w:r w:rsidR="00E5254A" w:rsidRPr="00E5254A">
        <w:rPr>
          <w:sz w:val="22"/>
          <w:szCs w:val="22"/>
        </w:rPr>
        <w:t>lidokaín</w:t>
      </w:r>
      <w:r w:rsidR="00E5254A">
        <w:rPr>
          <w:sz w:val="22"/>
          <w:szCs w:val="22"/>
        </w:rPr>
        <w:t>om</w:t>
      </w:r>
      <w:proofErr w:type="spellEnd"/>
      <w:r w:rsidR="00E5254A" w:rsidRPr="00E5254A">
        <w:rPr>
          <w:sz w:val="22"/>
          <w:szCs w:val="22"/>
        </w:rPr>
        <w:t xml:space="preserve"> je symptomatická a spočíva v</w:t>
      </w:r>
      <w:r w:rsidR="00A12F0E">
        <w:rPr>
          <w:sz w:val="22"/>
          <w:szCs w:val="22"/>
        </w:rPr>
        <w:t> </w:t>
      </w:r>
      <w:r w:rsidR="00E5254A">
        <w:rPr>
          <w:sz w:val="22"/>
          <w:szCs w:val="22"/>
        </w:rPr>
        <w:t>kontrolovaní</w:t>
      </w:r>
      <w:r w:rsidR="00E5254A" w:rsidRPr="00E5254A">
        <w:rPr>
          <w:sz w:val="22"/>
          <w:szCs w:val="22"/>
        </w:rPr>
        <w:t xml:space="preserve"> kardiovaskulárn</w:t>
      </w:r>
      <w:r w:rsidR="00E5254A">
        <w:rPr>
          <w:sz w:val="22"/>
          <w:szCs w:val="22"/>
        </w:rPr>
        <w:t>ych</w:t>
      </w:r>
      <w:r w:rsidR="00E5254A" w:rsidRPr="00E5254A">
        <w:rPr>
          <w:sz w:val="22"/>
          <w:szCs w:val="22"/>
        </w:rPr>
        <w:t xml:space="preserve"> a respiračn</w:t>
      </w:r>
      <w:r w:rsidR="00E5254A">
        <w:rPr>
          <w:sz w:val="22"/>
          <w:szCs w:val="22"/>
        </w:rPr>
        <w:t>ých</w:t>
      </w:r>
      <w:r w:rsidR="00E5254A" w:rsidRPr="00E5254A">
        <w:rPr>
          <w:sz w:val="22"/>
          <w:szCs w:val="22"/>
        </w:rPr>
        <w:t xml:space="preserve"> funkci</w:t>
      </w:r>
      <w:r w:rsidR="00E5254A">
        <w:rPr>
          <w:sz w:val="22"/>
          <w:szCs w:val="22"/>
        </w:rPr>
        <w:t>í</w:t>
      </w:r>
      <w:r w:rsidR="00E5254A" w:rsidRPr="00E5254A">
        <w:rPr>
          <w:sz w:val="22"/>
          <w:szCs w:val="22"/>
        </w:rPr>
        <w:t xml:space="preserve"> ako aj kŕč</w:t>
      </w:r>
      <w:r w:rsidR="00E5254A">
        <w:rPr>
          <w:sz w:val="22"/>
          <w:szCs w:val="22"/>
        </w:rPr>
        <w:t>ov.</w:t>
      </w:r>
      <w:r w:rsidR="00A12F0E">
        <w:rPr>
          <w:sz w:val="22"/>
          <w:szCs w:val="22"/>
        </w:rPr>
        <w:t xml:space="preserve"> </w:t>
      </w:r>
    </w:p>
    <w:p w:rsidR="00A12F0E" w:rsidRDefault="00A12F0E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A12F0E" w:rsidRPr="00A12F0E" w:rsidRDefault="00A12F0E" w:rsidP="00A12F0E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proofErr w:type="spellStart"/>
      <w:r>
        <w:rPr>
          <w:i/>
          <w:sz w:val="22"/>
          <w:szCs w:val="22"/>
          <w:u w:val="single"/>
        </w:rPr>
        <w:t>Oroforte</w:t>
      </w:r>
      <w:proofErr w:type="spellEnd"/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menthol</w:t>
      </w:r>
      <w:proofErr w:type="spellEnd"/>
    </w:p>
    <w:p w:rsidR="00E5254A" w:rsidRPr="00632084" w:rsidRDefault="00E5254A" w:rsidP="00ED34E1">
      <w:pPr>
        <w:tabs>
          <w:tab w:val="left" w:pos="567"/>
        </w:tabs>
        <w:ind w:right="423"/>
        <w:rPr>
          <w:sz w:val="22"/>
          <w:szCs w:val="22"/>
        </w:rPr>
      </w:pPr>
      <w:r w:rsidRPr="00E5254A">
        <w:rPr>
          <w:sz w:val="22"/>
          <w:szCs w:val="22"/>
        </w:rPr>
        <w:t xml:space="preserve">Vzhľadom </w:t>
      </w:r>
      <w:r w:rsidR="008804A7">
        <w:rPr>
          <w:sz w:val="22"/>
          <w:szCs w:val="22"/>
        </w:rPr>
        <w:t xml:space="preserve">na </w:t>
      </w:r>
      <w:r w:rsidRPr="00E5254A">
        <w:rPr>
          <w:sz w:val="22"/>
          <w:szCs w:val="22"/>
        </w:rPr>
        <w:t>nízk</w:t>
      </w:r>
      <w:r w:rsidR="008804A7">
        <w:rPr>
          <w:sz w:val="22"/>
          <w:szCs w:val="22"/>
        </w:rPr>
        <w:t>u</w:t>
      </w:r>
      <w:r w:rsidRPr="00E5254A">
        <w:rPr>
          <w:sz w:val="22"/>
          <w:szCs w:val="22"/>
        </w:rPr>
        <w:t xml:space="preserve"> koncentráci</w:t>
      </w:r>
      <w:r w:rsidR="008804A7">
        <w:rPr>
          <w:sz w:val="22"/>
          <w:szCs w:val="22"/>
        </w:rPr>
        <w:t>u</w:t>
      </w:r>
      <w:r w:rsidRPr="00E5254A">
        <w:rPr>
          <w:sz w:val="22"/>
          <w:szCs w:val="22"/>
        </w:rPr>
        <w:t xml:space="preserve"> </w:t>
      </w:r>
      <w:proofErr w:type="spellStart"/>
      <w:r w:rsidRPr="00E5254A">
        <w:rPr>
          <w:sz w:val="22"/>
          <w:szCs w:val="22"/>
        </w:rPr>
        <w:t>lidokaínu</w:t>
      </w:r>
      <w:proofErr w:type="spellEnd"/>
      <w:r w:rsidR="00EA2609">
        <w:rPr>
          <w:sz w:val="22"/>
          <w:szCs w:val="22"/>
        </w:rPr>
        <w:t xml:space="preserve"> v </w:t>
      </w:r>
      <w:proofErr w:type="spellStart"/>
      <w:r w:rsidRPr="000B5A26">
        <w:rPr>
          <w:sz w:val="22"/>
          <w:szCs w:val="22"/>
        </w:rPr>
        <w:t>Oroforte</w:t>
      </w:r>
      <w:proofErr w:type="spellEnd"/>
      <w:r w:rsidRPr="000B5A26">
        <w:rPr>
          <w:sz w:val="22"/>
          <w:szCs w:val="22"/>
        </w:rPr>
        <w:t xml:space="preserve"> </w:t>
      </w:r>
      <w:proofErr w:type="spellStart"/>
      <w:r w:rsidRPr="000B5A26">
        <w:rPr>
          <w:sz w:val="22"/>
          <w:szCs w:val="22"/>
        </w:rPr>
        <w:t>menthol</w:t>
      </w:r>
      <w:proofErr w:type="spellEnd"/>
      <w:r>
        <w:rPr>
          <w:sz w:val="22"/>
          <w:szCs w:val="22"/>
        </w:rPr>
        <w:t>,</w:t>
      </w:r>
      <w:r w:rsidRPr="00E5254A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F93A28">
        <w:rPr>
          <w:sz w:val="22"/>
          <w:szCs w:val="22"/>
        </w:rPr>
        <w:t> </w:t>
      </w:r>
      <w:r w:rsidRPr="00E5254A">
        <w:rPr>
          <w:sz w:val="22"/>
          <w:szCs w:val="22"/>
        </w:rPr>
        <w:t>intoxikáci</w:t>
      </w:r>
      <w:r>
        <w:rPr>
          <w:sz w:val="22"/>
          <w:szCs w:val="22"/>
        </w:rPr>
        <w:t>i</w:t>
      </w:r>
      <w:r w:rsidRPr="00E5254A">
        <w:rPr>
          <w:sz w:val="22"/>
          <w:szCs w:val="22"/>
        </w:rPr>
        <w:t xml:space="preserve"> po perorálnom podaní môže dôjsť iba pri veľkých množstvách.</w:t>
      </w:r>
      <w:r w:rsidR="00A12F0E">
        <w:rPr>
          <w:sz w:val="22"/>
          <w:szCs w:val="22"/>
        </w:rPr>
        <w:t xml:space="preserve"> </w:t>
      </w:r>
      <w:r w:rsidRPr="00E5254A">
        <w:rPr>
          <w:sz w:val="22"/>
          <w:szCs w:val="22"/>
        </w:rPr>
        <w:t xml:space="preserve">Všetci pacienti, ktorí náhodne alebo zámerne </w:t>
      </w:r>
      <w:r w:rsidR="00865F62">
        <w:rPr>
          <w:sz w:val="22"/>
          <w:szCs w:val="22"/>
        </w:rPr>
        <w:t xml:space="preserve">prehltli </w:t>
      </w:r>
      <w:r w:rsidRPr="00E5254A">
        <w:rPr>
          <w:sz w:val="22"/>
          <w:szCs w:val="22"/>
        </w:rPr>
        <w:t xml:space="preserve">veľké množstvo </w:t>
      </w:r>
      <w:proofErr w:type="spellStart"/>
      <w:r>
        <w:rPr>
          <w:sz w:val="22"/>
          <w:szCs w:val="22"/>
        </w:rPr>
        <w:t>Oroforte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menthol</w:t>
      </w:r>
      <w:proofErr w:type="spellEnd"/>
      <w:r>
        <w:rPr>
          <w:sz w:val="22"/>
          <w:szCs w:val="22"/>
        </w:rPr>
        <w:t>, majú túto skutočnosť</w:t>
      </w:r>
      <w:r w:rsidRPr="00E5254A">
        <w:rPr>
          <w:sz w:val="22"/>
          <w:szCs w:val="22"/>
        </w:rPr>
        <w:t xml:space="preserve"> okamžite o</w:t>
      </w:r>
      <w:r>
        <w:rPr>
          <w:sz w:val="22"/>
          <w:szCs w:val="22"/>
        </w:rPr>
        <w:t>známiť</w:t>
      </w:r>
      <w:r w:rsidRPr="00E5254A">
        <w:rPr>
          <w:sz w:val="22"/>
          <w:szCs w:val="22"/>
        </w:rPr>
        <w:t xml:space="preserve"> lekár</w:t>
      </w:r>
      <w:r>
        <w:rPr>
          <w:sz w:val="22"/>
          <w:szCs w:val="22"/>
        </w:rPr>
        <w:t>ovi</w:t>
      </w:r>
      <w:r w:rsidRPr="00E5254A">
        <w:rPr>
          <w:sz w:val="22"/>
          <w:szCs w:val="22"/>
        </w:rPr>
        <w:t xml:space="preserve"> pre </w:t>
      </w:r>
      <w:r w:rsidR="00086DC5">
        <w:rPr>
          <w:sz w:val="22"/>
          <w:szCs w:val="22"/>
        </w:rPr>
        <w:t>medicínske</w:t>
      </w:r>
      <w:r w:rsidRPr="00E5254A">
        <w:rPr>
          <w:sz w:val="22"/>
          <w:szCs w:val="22"/>
        </w:rPr>
        <w:t xml:space="preserve"> posúdenie alebo sa obrá</w:t>
      </w:r>
      <w:r w:rsidR="00086DC5">
        <w:rPr>
          <w:sz w:val="22"/>
          <w:szCs w:val="22"/>
        </w:rPr>
        <w:t>tiť</w:t>
      </w:r>
      <w:r w:rsidRPr="00E5254A">
        <w:rPr>
          <w:sz w:val="22"/>
          <w:szCs w:val="22"/>
        </w:rPr>
        <w:t xml:space="preserve"> na toxikologické centrum.</w:t>
      </w:r>
    </w:p>
    <w:p w:rsidR="00632084" w:rsidRDefault="00632084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AB7F52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lastRenderedPageBreak/>
        <w:t>FARMAKOLOGICKÉ VLASTNOSTI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EF7081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E0009B">
        <w:rPr>
          <w:b/>
          <w:sz w:val="22"/>
          <w:szCs w:val="22"/>
        </w:rPr>
        <w:t>5.1</w:t>
      </w:r>
      <w:r w:rsidR="00FB6CD6" w:rsidRPr="00E0009B">
        <w:rPr>
          <w:b/>
          <w:sz w:val="22"/>
          <w:szCs w:val="22"/>
        </w:rPr>
        <w:tab/>
      </w:r>
      <w:proofErr w:type="spellStart"/>
      <w:r w:rsidR="00EF7081" w:rsidRPr="00053DC5">
        <w:rPr>
          <w:b/>
          <w:sz w:val="22"/>
          <w:szCs w:val="22"/>
        </w:rPr>
        <w:t>Farmakodynamické</w:t>
      </w:r>
      <w:proofErr w:type="spellEnd"/>
      <w:r w:rsidR="00EF7081" w:rsidRPr="00053DC5">
        <w:rPr>
          <w:b/>
          <w:sz w:val="22"/>
          <w:szCs w:val="22"/>
        </w:rPr>
        <w:t xml:space="preserve"> vlastnosti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A12F0E" w:rsidRDefault="00423B8D" w:rsidP="00ED34E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 w:rsidRPr="00417E81">
        <w:rPr>
          <w:b/>
          <w:sz w:val="22"/>
          <w:szCs w:val="22"/>
        </w:rPr>
        <w:t>Farmakoterapeutická</w:t>
      </w:r>
      <w:proofErr w:type="spellEnd"/>
      <w:r w:rsidRPr="00417E81">
        <w:rPr>
          <w:b/>
          <w:sz w:val="22"/>
          <w:szCs w:val="22"/>
        </w:rPr>
        <w:t xml:space="preserve"> skupina:</w:t>
      </w:r>
      <w:r w:rsidRPr="00053DC5">
        <w:rPr>
          <w:sz w:val="22"/>
          <w:szCs w:val="22"/>
        </w:rPr>
        <w:t xml:space="preserve"> </w:t>
      </w:r>
      <w:proofErr w:type="spellStart"/>
      <w:r w:rsidR="00094DE3">
        <w:rPr>
          <w:sz w:val="22"/>
          <w:szCs w:val="22"/>
        </w:rPr>
        <w:t>L</w:t>
      </w:r>
      <w:r w:rsidR="005603DE" w:rsidRPr="00053DC5">
        <w:rPr>
          <w:sz w:val="22"/>
          <w:szCs w:val="22"/>
        </w:rPr>
        <w:t>aryngologik</w:t>
      </w:r>
      <w:r w:rsidR="0050691E">
        <w:rPr>
          <w:sz w:val="22"/>
          <w:szCs w:val="22"/>
        </w:rPr>
        <w:t>á</w:t>
      </w:r>
      <w:proofErr w:type="spellEnd"/>
      <w:r w:rsidR="005603DE" w:rsidRPr="00053DC5">
        <w:rPr>
          <w:sz w:val="22"/>
          <w:szCs w:val="22"/>
        </w:rPr>
        <w:t>, a</w:t>
      </w:r>
      <w:r w:rsidRPr="00053DC5">
        <w:rPr>
          <w:sz w:val="22"/>
          <w:szCs w:val="22"/>
        </w:rPr>
        <w:t>ntiseptik</w:t>
      </w:r>
      <w:r w:rsidR="0050691E">
        <w:rPr>
          <w:sz w:val="22"/>
          <w:szCs w:val="22"/>
        </w:rPr>
        <w:t>á</w:t>
      </w:r>
    </w:p>
    <w:p w:rsidR="00EF7081" w:rsidRPr="00053DC5" w:rsidRDefault="00423B8D" w:rsidP="00ED34E1">
      <w:pPr>
        <w:tabs>
          <w:tab w:val="left" w:pos="567"/>
        </w:tabs>
        <w:ind w:right="423"/>
        <w:rPr>
          <w:sz w:val="22"/>
          <w:szCs w:val="22"/>
        </w:rPr>
      </w:pPr>
      <w:r w:rsidRPr="00417E81">
        <w:rPr>
          <w:b/>
          <w:sz w:val="22"/>
          <w:szCs w:val="22"/>
        </w:rPr>
        <w:t>ATC kód</w:t>
      </w:r>
      <w:r w:rsidR="000825FF" w:rsidRPr="00417E81">
        <w:rPr>
          <w:b/>
          <w:sz w:val="22"/>
          <w:szCs w:val="22"/>
        </w:rPr>
        <w:t>:</w:t>
      </w:r>
      <w:r w:rsidRPr="00053DC5">
        <w:rPr>
          <w:sz w:val="22"/>
          <w:szCs w:val="22"/>
        </w:rPr>
        <w:t xml:space="preserve"> R02A</w:t>
      </w:r>
      <w:r w:rsidR="00A47E0F" w:rsidRPr="00053DC5">
        <w:rPr>
          <w:sz w:val="22"/>
          <w:szCs w:val="22"/>
        </w:rPr>
        <w:t>A</w:t>
      </w:r>
    </w:p>
    <w:p w:rsidR="0014210B" w:rsidRPr="00053DC5" w:rsidRDefault="0014210B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1B3595" w:rsidRDefault="001B3595" w:rsidP="00ED34E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 w:rsidRPr="00053DC5">
        <w:rPr>
          <w:sz w:val="22"/>
          <w:szCs w:val="22"/>
        </w:rPr>
        <w:t>Cetylpyrid</w:t>
      </w:r>
      <w:r w:rsidR="005603DE" w:rsidRPr="00053DC5">
        <w:rPr>
          <w:sz w:val="22"/>
          <w:szCs w:val="22"/>
        </w:rPr>
        <w:t>í</w:t>
      </w:r>
      <w:r w:rsidRPr="00053DC5">
        <w:rPr>
          <w:sz w:val="22"/>
          <w:szCs w:val="22"/>
        </w:rPr>
        <w:t>niumchlorid</w:t>
      </w:r>
      <w:proofErr w:type="spellEnd"/>
      <w:r w:rsidRPr="00053DC5">
        <w:rPr>
          <w:sz w:val="22"/>
          <w:szCs w:val="22"/>
        </w:rPr>
        <w:t xml:space="preserve"> je kvart</w:t>
      </w:r>
      <w:r w:rsidR="0014210B" w:rsidRPr="00053DC5">
        <w:rPr>
          <w:sz w:val="22"/>
          <w:szCs w:val="22"/>
        </w:rPr>
        <w:t>é</w:t>
      </w:r>
      <w:r w:rsidRPr="00053DC5">
        <w:rPr>
          <w:sz w:val="22"/>
          <w:szCs w:val="22"/>
        </w:rPr>
        <w:t>rn</w:t>
      </w:r>
      <w:r w:rsidR="00C27D15" w:rsidRPr="00053DC5">
        <w:rPr>
          <w:sz w:val="22"/>
          <w:szCs w:val="22"/>
        </w:rPr>
        <w:t>a</w:t>
      </w:r>
      <w:r w:rsidRPr="00053DC5">
        <w:rPr>
          <w:sz w:val="22"/>
          <w:szCs w:val="22"/>
        </w:rPr>
        <w:t xml:space="preserve"> am</w:t>
      </w:r>
      <w:r w:rsidR="00324B33" w:rsidRPr="00053DC5">
        <w:rPr>
          <w:sz w:val="22"/>
          <w:szCs w:val="22"/>
        </w:rPr>
        <w:t>ó</w:t>
      </w:r>
      <w:r w:rsidRPr="00053DC5">
        <w:rPr>
          <w:sz w:val="22"/>
          <w:szCs w:val="22"/>
        </w:rPr>
        <w:t>niová s</w:t>
      </w:r>
      <w:r w:rsidR="00C27D15" w:rsidRPr="00053DC5">
        <w:rPr>
          <w:sz w:val="22"/>
          <w:szCs w:val="22"/>
        </w:rPr>
        <w:t>oľ</w:t>
      </w:r>
      <w:r w:rsidRPr="00053DC5">
        <w:rPr>
          <w:sz w:val="22"/>
          <w:szCs w:val="22"/>
        </w:rPr>
        <w:t xml:space="preserve"> s</w:t>
      </w:r>
      <w:r w:rsidR="00A12F0E">
        <w:rPr>
          <w:sz w:val="22"/>
          <w:szCs w:val="22"/>
        </w:rPr>
        <w:t> </w:t>
      </w:r>
      <w:r w:rsidRPr="00053DC5">
        <w:rPr>
          <w:sz w:val="22"/>
          <w:szCs w:val="22"/>
        </w:rPr>
        <w:t>antiseptickými účink</w:t>
      </w:r>
      <w:r w:rsidR="00C27D15" w:rsidRPr="00053DC5">
        <w:rPr>
          <w:sz w:val="22"/>
          <w:szCs w:val="22"/>
        </w:rPr>
        <w:t>ami</w:t>
      </w:r>
      <w:r w:rsidRPr="00053DC5">
        <w:rPr>
          <w:sz w:val="22"/>
          <w:szCs w:val="22"/>
        </w:rPr>
        <w:t>. Vykazuje bakteric</w:t>
      </w:r>
      <w:r w:rsidR="00C27D15" w:rsidRPr="00053DC5">
        <w:rPr>
          <w:sz w:val="22"/>
          <w:szCs w:val="22"/>
        </w:rPr>
        <w:t>ídnu</w:t>
      </w:r>
      <w:r w:rsidRPr="00053DC5">
        <w:rPr>
          <w:sz w:val="22"/>
          <w:szCs w:val="22"/>
        </w:rPr>
        <w:t xml:space="preserve"> aktivitu v</w:t>
      </w:r>
      <w:r w:rsidR="00C27D15" w:rsidRPr="00053DC5">
        <w:rPr>
          <w:sz w:val="22"/>
          <w:szCs w:val="22"/>
        </w:rPr>
        <w:t>o</w:t>
      </w:r>
      <w:r w:rsidRPr="00053DC5">
        <w:rPr>
          <w:sz w:val="22"/>
          <w:szCs w:val="22"/>
        </w:rPr>
        <w:t xml:space="preserve">či </w:t>
      </w:r>
      <w:proofErr w:type="spellStart"/>
      <w:r w:rsidR="00581AFC">
        <w:rPr>
          <w:sz w:val="22"/>
          <w:szCs w:val="22"/>
        </w:rPr>
        <w:t>g</w:t>
      </w:r>
      <w:r w:rsidRPr="000B5A26">
        <w:rPr>
          <w:sz w:val="22"/>
          <w:szCs w:val="22"/>
        </w:rPr>
        <w:t>rampozi</w:t>
      </w:r>
      <w:r w:rsidR="00C27D15" w:rsidRPr="000B5A26">
        <w:rPr>
          <w:sz w:val="22"/>
          <w:szCs w:val="22"/>
        </w:rPr>
        <w:t>tí</w:t>
      </w:r>
      <w:r w:rsidRPr="000B5A26">
        <w:rPr>
          <w:sz w:val="22"/>
          <w:szCs w:val="22"/>
        </w:rPr>
        <w:t>vn</w:t>
      </w:r>
      <w:r w:rsidR="00C27D15" w:rsidRPr="000B5A26">
        <w:rPr>
          <w:sz w:val="22"/>
          <w:szCs w:val="22"/>
        </w:rPr>
        <w:t>y</w:t>
      </w:r>
      <w:r w:rsidRPr="000B5A26">
        <w:rPr>
          <w:sz w:val="22"/>
          <w:szCs w:val="22"/>
        </w:rPr>
        <w:t>m</w:t>
      </w:r>
      <w:proofErr w:type="spellEnd"/>
      <w:r w:rsidRPr="000B5A26">
        <w:rPr>
          <w:sz w:val="22"/>
          <w:szCs w:val="22"/>
        </w:rPr>
        <w:t xml:space="preserve"> bakt</w:t>
      </w:r>
      <w:r w:rsidR="00C27D15" w:rsidRPr="000B5A26">
        <w:rPr>
          <w:sz w:val="22"/>
          <w:szCs w:val="22"/>
        </w:rPr>
        <w:t>é</w:t>
      </w:r>
      <w:r w:rsidRPr="000B5A26">
        <w:rPr>
          <w:sz w:val="22"/>
          <w:szCs w:val="22"/>
        </w:rPr>
        <w:t>ri</w:t>
      </w:r>
      <w:r w:rsidR="00C27D15" w:rsidRPr="000B5A26">
        <w:rPr>
          <w:sz w:val="22"/>
          <w:szCs w:val="22"/>
        </w:rPr>
        <w:t>á</w:t>
      </w:r>
      <w:r w:rsidRPr="000B5A26">
        <w:rPr>
          <w:sz w:val="22"/>
          <w:szCs w:val="22"/>
        </w:rPr>
        <w:t>m a</w:t>
      </w:r>
      <w:r w:rsidR="00AD3F38" w:rsidRPr="000B5A26">
        <w:rPr>
          <w:sz w:val="22"/>
          <w:szCs w:val="22"/>
        </w:rPr>
        <w:t> </w:t>
      </w:r>
      <w:r w:rsidR="00C27D15" w:rsidRPr="000B5A26">
        <w:rPr>
          <w:sz w:val="22"/>
          <w:szCs w:val="22"/>
        </w:rPr>
        <w:t>tiež</w:t>
      </w:r>
      <w:r w:rsidR="00EA2609">
        <w:rPr>
          <w:sz w:val="22"/>
          <w:szCs w:val="22"/>
        </w:rPr>
        <w:t xml:space="preserve"> v </w:t>
      </w:r>
      <w:r w:rsidRPr="000B5A26">
        <w:rPr>
          <w:sz w:val="22"/>
          <w:szCs w:val="22"/>
        </w:rPr>
        <w:t>menš</w:t>
      </w:r>
      <w:r w:rsidR="00C27D15" w:rsidRPr="000B5A26">
        <w:rPr>
          <w:sz w:val="22"/>
          <w:szCs w:val="22"/>
        </w:rPr>
        <w:t>ej miere</w:t>
      </w:r>
      <w:r w:rsidR="00324B33" w:rsidRPr="000B5A26">
        <w:rPr>
          <w:sz w:val="22"/>
          <w:szCs w:val="22"/>
        </w:rPr>
        <w:t>,</w:t>
      </w:r>
      <w:r w:rsidRPr="000B5A26">
        <w:rPr>
          <w:sz w:val="22"/>
          <w:szCs w:val="22"/>
        </w:rPr>
        <w:t xml:space="preserve"> proti </w:t>
      </w:r>
      <w:proofErr w:type="spellStart"/>
      <w:r w:rsidR="00581AFC">
        <w:rPr>
          <w:sz w:val="22"/>
          <w:szCs w:val="22"/>
        </w:rPr>
        <w:t>g</w:t>
      </w:r>
      <w:r w:rsidRPr="000B5A26">
        <w:rPr>
          <w:sz w:val="22"/>
          <w:szCs w:val="22"/>
        </w:rPr>
        <w:t>ramnega</w:t>
      </w:r>
      <w:r w:rsidR="00AD3F38" w:rsidRPr="000B5A26">
        <w:rPr>
          <w:sz w:val="22"/>
          <w:szCs w:val="22"/>
        </w:rPr>
        <w:t>t</w:t>
      </w:r>
      <w:r w:rsidR="005603DE" w:rsidRPr="000B5A26">
        <w:rPr>
          <w:sz w:val="22"/>
          <w:szCs w:val="22"/>
        </w:rPr>
        <w:t>í</w:t>
      </w:r>
      <w:r w:rsidRPr="000B5A26">
        <w:rPr>
          <w:sz w:val="22"/>
          <w:szCs w:val="22"/>
        </w:rPr>
        <w:t>vn</w:t>
      </w:r>
      <w:r w:rsidR="00C27D15" w:rsidRPr="000B5A26">
        <w:rPr>
          <w:sz w:val="22"/>
          <w:szCs w:val="22"/>
        </w:rPr>
        <w:t>y</w:t>
      </w:r>
      <w:r w:rsidRPr="000B5A26">
        <w:rPr>
          <w:sz w:val="22"/>
          <w:szCs w:val="22"/>
        </w:rPr>
        <w:t>m</w:t>
      </w:r>
      <w:proofErr w:type="spellEnd"/>
      <w:r w:rsidRPr="000B5A26">
        <w:rPr>
          <w:sz w:val="22"/>
          <w:szCs w:val="22"/>
        </w:rPr>
        <w:t xml:space="preserve"> mikroorganizm</w:t>
      </w:r>
      <w:r w:rsidR="00C27D15" w:rsidRPr="000B5A26">
        <w:rPr>
          <w:sz w:val="22"/>
          <w:szCs w:val="22"/>
        </w:rPr>
        <w:t xml:space="preserve">om. Ďalej má </w:t>
      </w:r>
      <w:proofErr w:type="spellStart"/>
      <w:r w:rsidR="00C27D15" w:rsidRPr="000B5A26">
        <w:rPr>
          <w:sz w:val="22"/>
          <w:szCs w:val="22"/>
        </w:rPr>
        <w:t>f</w:t>
      </w:r>
      <w:r w:rsidRPr="000B5A26">
        <w:rPr>
          <w:sz w:val="22"/>
          <w:szCs w:val="22"/>
        </w:rPr>
        <w:t>ungistatické</w:t>
      </w:r>
      <w:proofErr w:type="spellEnd"/>
      <w:r w:rsidRPr="000B5A26">
        <w:rPr>
          <w:sz w:val="22"/>
          <w:szCs w:val="22"/>
        </w:rPr>
        <w:t xml:space="preserve"> účinky a </w:t>
      </w:r>
      <w:r w:rsidR="00C27D15" w:rsidRPr="000B5A26">
        <w:rPr>
          <w:sz w:val="22"/>
          <w:szCs w:val="22"/>
        </w:rPr>
        <w:t>tiež</w:t>
      </w:r>
      <w:r w:rsidRPr="000B5A26">
        <w:rPr>
          <w:sz w:val="22"/>
          <w:szCs w:val="22"/>
        </w:rPr>
        <w:t xml:space="preserve"> účinky </w:t>
      </w:r>
      <w:r w:rsidR="00AD3F38" w:rsidRPr="000B5A26">
        <w:rPr>
          <w:sz w:val="22"/>
          <w:szCs w:val="22"/>
        </w:rPr>
        <w:t>antivír</w:t>
      </w:r>
      <w:r w:rsidR="005603DE" w:rsidRPr="000B5A26">
        <w:rPr>
          <w:sz w:val="22"/>
          <w:szCs w:val="22"/>
        </w:rPr>
        <w:t>usové</w:t>
      </w:r>
      <w:r w:rsidR="00B2180F" w:rsidRPr="000B5A26">
        <w:rPr>
          <w:sz w:val="22"/>
          <w:szCs w:val="22"/>
        </w:rPr>
        <w:t xml:space="preserve"> na obalené vírusy</w:t>
      </w:r>
      <w:r w:rsidRPr="000B5A26">
        <w:rPr>
          <w:sz w:val="22"/>
          <w:szCs w:val="22"/>
        </w:rPr>
        <w:t xml:space="preserve">. </w:t>
      </w:r>
      <w:r w:rsidR="005E054F" w:rsidRPr="000B5A26">
        <w:rPr>
          <w:sz w:val="22"/>
          <w:szCs w:val="22"/>
        </w:rPr>
        <w:t>N</w:t>
      </w:r>
      <w:r w:rsidRPr="000B5A26">
        <w:rPr>
          <w:sz w:val="22"/>
          <w:szCs w:val="22"/>
        </w:rPr>
        <w:t xml:space="preserve">arušuje </w:t>
      </w:r>
      <w:proofErr w:type="spellStart"/>
      <w:r w:rsidRPr="000B5A26">
        <w:rPr>
          <w:sz w:val="22"/>
          <w:szCs w:val="22"/>
        </w:rPr>
        <w:t>permeabilitu</w:t>
      </w:r>
      <w:proofErr w:type="spellEnd"/>
      <w:r w:rsidRPr="000B5A26">
        <w:rPr>
          <w:sz w:val="22"/>
          <w:szCs w:val="22"/>
        </w:rPr>
        <w:t xml:space="preserve"> cytoplazmatick</w:t>
      </w:r>
      <w:r w:rsidR="00C27D15" w:rsidRPr="000B5A26">
        <w:rPr>
          <w:sz w:val="22"/>
          <w:szCs w:val="22"/>
        </w:rPr>
        <w:t>ej</w:t>
      </w:r>
      <w:r w:rsidRPr="000B5A26">
        <w:rPr>
          <w:sz w:val="22"/>
          <w:szCs w:val="22"/>
        </w:rPr>
        <w:t xml:space="preserve"> membrány bakt</w:t>
      </w:r>
      <w:r w:rsidR="00C27D15" w:rsidRPr="000B5A26">
        <w:rPr>
          <w:sz w:val="22"/>
          <w:szCs w:val="22"/>
        </w:rPr>
        <w:t>é</w:t>
      </w:r>
      <w:r w:rsidRPr="000B5A26">
        <w:rPr>
          <w:sz w:val="22"/>
          <w:szCs w:val="22"/>
        </w:rPr>
        <w:t xml:space="preserve">rií, </w:t>
      </w:r>
      <w:r w:rsidR="00AD3F38" w:rsidRPr="000B5A26">
        <w:rPr>
          <w:sz w:val="22"/>
          <w:szCs w:val="22"/>
        </w:rPr>
        <w:t>č</w:t>
      </w:r>
      <w:r w:rsidRPr="000B5A26">
        <w:rPr>
          <w:sz w:val="22"/>
          <w:szCs w:val="22"/>
        </w:rPr>
        <w:t>o ved</w:t>
      </w:r>
      <w:r w:rsidR="00C27D15" w:rsidRPr="000B5A26">
        <w:rPr>
          <w:sz w:val="22"/>
          <w:szCs w:val="22"/>
        </w:rPr>
        <w:t>i</w:t>
      </w:r>
      <w:r w:rsidRPr="000B5A26">
        <w:rPr>
          <w:sz w:val="22"/>
          <w:szCs w:val="22"/>
        </w:rPr>
        <w:t>e</w:t>
      </w:r>
      <w:r w:rsidR="00EA2609">
        <w:rPr>
          <w:sz w:val="22"/>
          <w:szCs w:val="22"/>
        </w:rPr>
        <w:t xml:space="preserve"> k </w:t>
      </w:r>
      <w:r w:rsidR="005603DE" w:rsidRPr="000B5A26">
        <w:rPr>
          <w:sz w:val="22"/>
          <w:szCs w:val="22"/>
        </w:rPr>
        <w:t>s</w:t>
      </w:r>
      <w:r w:rsidRPr="000B5A26">
        <w:rPr>
          <w:sz w:val="22"/>
          <w:szCs w:val="22"/>
        </w:rPr>
        <w:t>tr</w:t>
      </w:r>
      <w:r w:rsidR="00C27D15" w:rsidRPr="000B5A26">
        <w:rPr>
          <w:sz w:val="22"/>
          <w:szCs w:val="22"/>
        </w:rPr>
        <w:t>a</w:t>
      </w:r>
      <w:r w:rsidRPr="000B5A26">
        <w:rPr>
          <w:sz w:val="22"/>
          <w:szCs w:val="22"/>
        </w:rPr>
        <w:t>t</w:t>
      </w:r>
      <w:r w:rsidR="00C27D15" w:rsidRPr="000B5A26">
        <w:rPr>
          <w:sz w:val="22"/>
          <w:szCs w:val="22"/>
        </w:rPr>
        <w:t>e</w:t>
      </w:r>
      <w:r w:rsidRPr="000B5A26">
        <w:rPr>
          <w:sz w:val="22"/>
          <w:szCs w:val="22"/>
        </w:rPr>
        <w:t xml:space="preserve"> </w:t>
      </w:r>
      <w:r w:rsidR="00C27D15" w:rsidRPr="000B5A26">
        <w:rPr>
          <w:sz w:val="22"/>
          <w:szCs w:val="22"/>
        </w:rPr>
        <w:t>z</w:t>
      </w:r>
      <w:r w:rsidRPr="000B5A26">
        <w:rPr>
          <w:sz w:val="22"/>
          <w:szCs w:val="22"/>
        </w:rPr>
        <w:t>lož</w:t>
      </w:r>
      <w:r w:rsidR="00C27D15" w:rsidRPr="000B5A26">
        <w:rPr>
          <w:sz w:val="22"/>
          <w:szCs w:val="22"/>
        </w:rPr>
        <w:t>i</w:t>
      </w:r>
      <w:r w:rsidRPr="000B5A26">
        <w:rPr>
          <w:sz w:val="22"/>
          <w:szCs w:val="22"/>
        </w:rPr>
        <w:t xml:space="preserve">ek </w:t>
      </w:r>
      <w:r w:rsidR="00C27D15" w:rsidRPr="000B5A26">
        <w:rPr>
          <w:sz w:val="22"/>
          <w:szCs w:val="22"/>
        </w:rPr>
        <w:t>potrebných</w:t>
      </w:r>
      <w:r w:rsidRPr="000B5A26">
        <w:rPr>
          <w:sz w:val="22"/>
          <w:szCs w:val="22"/>
        </w:rPr>
        <w:t xml:space="preserve"> p</w:t>
      </w:r>
      <w:r w:rsidR="00C27D15" w:rsidRPr="000B5A26">
        <w:rPr>
          <w:sz w:val="22"/>
          <w:szCs w:val="22"/>
        </w:rPr>
        <w:t>re</w:t>
      </w:r>
      <w:r w:rsidRPr="000B5A26">
        <w:rPr>
          <w:sz w:val="22"/>
          <w:szCs w:val="22"/>
        </w:rPr>
        <w:t xml:space="preserve"> </w:t>
      </w:r>
      <w:r w:rsidR="00AD3F38" w:rsidRPr="000B5A26">
        <w:rPr>
          <w:sz w:val="22"/>
          <w:szCs w:val="22"/>
        </w:rPr>
        <w:t>vitálne</w:t>
      </w:r>
      <w:r w:rsidRPr="000B5A26">
        <w:rPr>
          <w:sz w:val="22"/>
          <w:szCs w:val="22"/>
        </w:rPr>
        <w:t xml:space="preserve"> funkc</w:t>
      </w:r>
      <w:r w:rsidR="00C27D15" w:rsidRPr="000B5A26">
        <w:rPr>
          <w:sz w:val="22"/>
          <w:szCs w:val="22"/>
        </w:rPr>
        <w:t>i</w:t>
      </w:r>
      <w:r w:rsidRPr="000B5A26">
        <w:rPr>
          <w:sz w:val="22"/>
          <w:szCs w:val="22"/>
        </w:rPr>
        <w:t>e bakt</w:t>
      </w:r>
      <w:r w:rsidR="00C27D15" w:rsidRPr="000B5A26">
        <w:rPr>
          <w:sz w:val="22"/>
          <w:szCs w:val="22"/>
        </w:rPr>
        <w:t>é</w:t>
      </w:r>
      <w:r w:rsidRPr="000B5A26">
        <w:rPr>
          <w:sz w:val="22"/>
          <w:szCs w:val="22"/>
        </w:rPr>
        <w:t>ri</w:t>
      </w:r>
      <w:r w:rsidR="00C27D15" w:rsidRPr="000B5A26">
        <w:rPr>
          <w:sz w:val="22"/>
          <w:szCs w:val="22"/>
        </w:rPr>
        <w:t>í</w:t>
      </w:r>
      <w:r w:rsidRPr="000B5A26">
        <w:rPr>
          <w:sz w:val="22"/>
          <w:szCs w:val="22"/>
        </w:rPr>
        <w:t xml:space="preserve">. </w:t>
      </w:r>
      <w:r w:rsidR="00C27D15" w:rsidRPr="000B5A26">
        <w:rPr>
          <w:sz w:val="22"/>
          <w:szCs w:val="22"/>
        </w:rPr>
        <w:t>Rovnako z</w:t>
      </w:r>
      <w:r w:rsidRPr="000B5A26">
        <w:rPr>
          <w:sz w:val="22"/>
          <w:szCs w:val="22"/>
        </w:rPr>
        <w:t>asahuje do vn</w:t>
      </w:r>
      <w:r w:rsidR="00C27D15" w:rsidRPr="000B5A26">
        <w:rPr>
          <w:sz w:val="22"/>
          <w:szCs w:val="22"/>
        </w:rPr>
        <w:t>útorných</w:t>
      </w:r>
      <w:r w:rsidRPr="000B5A26">
        <w:rPr>
          <w:sz w:val="22"/>
          <w:szCs w:val="22"/>
        </w:rPr>
        <w:t xml:space="preserve"> oxida</w:t>
      </w:r>
      <w:r w:rsidR="0014210B" w:rsidRPr="000B5A26">
        <w:rPr>
          <w:sz w:val="22"/>
          <w:szCs w:val="22"/>
        </w:rPr>
        <w:t>tí</w:t>
      </w:r>
      <w:r w:rsidR="00C27D15" w:rsidRPr="000B5A26">
        <w:rPr>
          <w:sz w:val="22"/>
          <w:szCs w:val="22"/>
        </w:rPr>
        <w:t>vn</w:t>
      </w:r>
      <w:r w:rsidR="00A47E0F" w:rsidRPr="000B5A26">
        <w:rPr>
          <w:sz w:val="22"/>
          <w:szCs w:val="22"/>
        </w:rPr>
        <w:t>y</w:t>
      </w:r>
      <w:r w:rsidR="00625AC5" w:rsidRPr="00E0009B">
        <w:rPr>
          <w:sz w:val="22"/>
          <w:szCs w:val="22"/>
        </w:rPr>
        <w:t xml:space="preserve">ch </w:t>
      </w:r>
      <w:r w:rsidRPr="00E0009B">
        <w:rPr>
          <w:sz w:val="22"/>
          <w:szCs w:val="22"/>
        </w:rPr>
        <w:t xml:space="preserve"> respir</w:t>
      </w:r>
      <w:r w:rsidR="00625AC5" w:rsidRPr="00053DC5">
        <w:rPr>
          <w:sz w:val="22"/>
          <w:szCs w:val="22"/>
        </w:rPr>
        <w:t>ačných</w:t>
      </w:r>
      <w:r w:rsidRPr="00053DC5">
        <w:rPr>
          <w:sz w:val="22"/>
          <w:szCs w:val="22"/>
        </w:rPr>
        <w:t xml:space="preserve"> </w:t>
      </w:r>
      <w:r w:rsidR="00625AC5" w:rsidRPr="00053DC5">
        <w:rPr>
          <w:sz w:val="22"/>
          <w:szCs w:val="22"/>
        </w:rPr>
        <w:t xml:space="preserve">mechanizmov </w:t>
      </w:r>
      <w:r w:rsidRPr="00053DC5">
        <w:rPr>
          <w:sz w:val="22"/>
          <w:szCs w:val="22"/>
        </w:rPr>
        <w:t>bakt</w:t>
      </w:r>
      <w:r w:rsidR="00C27D15" w:rsidRPr="00053DC5">
        <w:rPr>
          <w:sz w:val="22"/>
          <w:szCs w:val="22"/>
        </w:rPr>
        <w:t>éri</w:t>
      </w:r>
      <w:r w:rsidRPr="00053DC5">
        <w:rPr>
          <w:sz w:val="22"/>
          <w:szCs w:val="22"/>
        </w:rPr>
        <w:t>í.</w:t>
      </w:r>
    </w:p>
    <w:p w:rsidR="00086DC5" w:rsidRPr="00053DC5" w:rsidRDefault="00086DC5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866831" w:rsidRDefault="001B3595" w:rsidP="00ED34E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 w:rsidRPr="00053DC5">
        <w:rPr>
          <w:sz w:val="22"/>
          <w:szCs w:val="22"/>
        </w:rPr>
        <w:t>Lidoka</w:t>
      </w:r>
      <w:r w:rsidR="005603DE" w:rsidRPr="00053DC5">
        <w:rPr>
          <w:sz w:val="22"/>
          <w:szCs w:val="22"/>
        </w:rPr>
        <w:t>í</w:t>
      </w:r>
      <w:r w:rsidRPr="00053DC5">
        <w:rPr>
          <w:sz w:val="22"/>
          <w:szCs w:val="22"/>
        </w:rPr>
        <w:t>n</w:t>
      </w:r>
      <w:proofErr w:type="spellEnd"/>
      <w:r w:rsidRPr="00053DC5">
        <w:rPr>
          <w:sz w:val="22"/>
          <w:szCs w:val="22"/>
        </w:rPr>
        <w:t xml:space="preserve"> je lokáln</w:t>
      </w:r>
      <w:r w:rsidR="00C27D15" w:rsidRPr="00053DC5">
        <w:rPr>
          <w:sz w:val="22"/>
          <w:szCs w:val="22"/>
        </w:rPr>
        <w:t>e</w:t>
      </w:r>
      <w:r w:rsidRPr="00053DC5">
        <w:rPr>
          <w:sz w:val="22"/>
          <w:szCs w:val="22"/>
        </w:rPr>
        <w:t xml:space="preserve"> anestetikum </w:t>
      </w:r>
      <w:proofErr w:type="spellStart"/>
      <w:r w:rsidRPr="00053DC5">
        <w:rPr>
          <w:sz w:val="22"/>
          <w:szCs w:val="22"/>
        </w:rPr>
        <w:t>amidov</w:t>
      </w:r>
      <w:r w:rsidR="00C27D15" w:rsidRPr="00053DC5">
        <w:rPr>
          <w:sz w:val="22"/>
          <w:szCs w:val="22"/>
        </w:rPr>
        <w:t>ej</w:t>
      </w:r>
      <w:proofErr w:type="spellEnd"/>
      <w:r w:rsidRPr="00053DC5">
        <w:rPr>
          <w:sz w:val="22"/>
          <w:szCs w:val="22"/>
        </w:rPr>
        <w:t xml:space="preserve"> </w:t>
      </w:r>
      <w:r w:rsidR="00625AC5" w:rsidRPr="00053DC5">
        <w:rPr>
          <w:sz w:val="22"/>
          <w:szCs w:val="22"/>
        </w:rPr>
        <w:t>triedy</w:t>
      </w:r>
      <w:r w:rsidRPr="00053DC5">
        <w:rPr>
          <w:sz w:val="22"/>
          <w:szCs w:val="22"/>
        </w:rPr>
        <w:t xml:space="preserve">. </w:t>
      </w:r>
      <w:r w:rsidR="00C27D15" w:rsidRPr="00053DC5">
        <w:rPr>
          <w:sz w:val="22"/>
          <w:szCs w:val="22"/>
        </w:rPr>
        <w:t>Z</w:t>
      </w:r>
      <w:r w:rsidRPr="00053DC5">
        <w:rPr>
          <w:sz w:val="22"/>
          <w:szCs w:val="22"/>
        </w:rPr>
        <w:t xml:space="preserve">nižuje </w:t>
      </w:r>
      <w:proofErr w:type="spellStart"/>
      <w:r w:rsidR="00324B33" w:rsidRPr="00053DC5">
        <w:rPr>
          <w:sz w:val="22"/>
          <w:szCs w:val="22"/>
        </w:rPr>
        <w:t>permeabilitu</w:t>
      </w:r>
      <w:proofErr w:type="spellEnd"/>
      <w:r w:rsidRPr="00053DC5">
        <w:rPr>
          <w:sz w:val="22"/>
          <w:szCs w:val="22"/>
        </w:rPr>
        <w:t xml:space="preserve"> bun</w:t>
      </w:r>
      <w:r w:rsidR="00632F7A" w:rsidRPr="00053DC5">
        <w:rPr>
          <w:sz w:val="22"/>
          <w:szCs w:val="22"/>
        </w:rPr>
        <w:t>ečnej membrány</w:t>
      </w:r>
      <w:r w:rsidRPr="00053DC5">
        <w:rPr>
          <w:sz w:val="22"/>
          <w:szCs w:val="22"/>
        </w:rPr>
        <w:t xml:space="preserve"> pr</w:t>
      </w:r>
      <w:r w:rsidR="00C27D15" w:rsidRPr="00053DC5">
        <w:rPr>
          <w:sz w:val="22"/>
          <w:szCs w:val="22"/>
        </w:rPr>
        <w:t>e sodíkové ió</w:t>
      </w:r>
      <w:r w:rsidRPr="00053DC5">
        <w:rPr>
          <w:sz w:val="22"/>
          <w:szCs w:val="22"/>
        </w:rPr>
        <w:t>ny,</w:t>
      </w:r>
      <w:r w:rsidR="00A47E0F" w:rsidRPr="00053DC5">
        <w:rPr>
          <w:sz w:val="22"/>
          <w:szCs w:val="22"/>
        </w:rPr>
        <w:t xml:space="preserve"> </w:t>
      </w:r>
      <w:r w:rsidR="00324B33" w:rsidRPr="00053DC5">
        <w:rPr>
          <w:sz w:val="22"/>
          <w:szCs w:val="22"/>
        </w:rPr>
        <w:t>č</w:t>
      </w:r>
      <w:r w:rsidRPr="00053DC5">
        <w:rPr>
          <w:sz w:val="22"/>
          <w:szCs w:val="22"/>
        </w:rPr>
        <w:t>o ved</w:t>
      </w:r>
      <w:r w:rsidR="00C27D15" w:rsidRPr="00053DC5">
        <w:rPr>
          <w:sz w:val="22"/>
          <w:szCs w:val="22"/>
        </w:rPr>
        <w:t>i</w:t>
      </w:r>
      <w:r w:rsidRPr="00053DC5">
        <w:rPr>
          <w:sz w:val="22"/>
          <w:szCs w:val="22"/>
        </w:rPr>
        <w:t>e k</w:t>
      </w:r>
      <w:r w:rsidR="00B2180F" w:rsidRPr="00053DC5">
        <w:rPr>
          <w:sz w:val="22"/>
          <w:szCs w:val="22"/>
        </w:rPr>
        <w:t> </w:t>
      </w:r>
      <w:r w:rsidRPr="00053DC5">
        <w:rPr>
          <w:sz w:val="22"/>
          <w:szCs w:val="22"/>
        </w:rPr>
        <w:t>anestéz</w:t>
      </w:r>
      <w:r w:rsidR="00C14714" w:rsidRPr="00053DC5">
        <w:rPr>
          <w:sz w:val="22"/>
          <w:szCs w:val="22"/>
        </w:rPr>
        <w:t>ii</w:t>
      </w:r>
      <w:r w:rsidRPr="00053DC5">
        <w:rPr>
          <w:sz w:val="22"/>
          <w:szCs w:val="22"/>
        </w:rPr>
        <w:t xml:space="preserve"> blokádou </w:t>
      </w:r>
      <w:r w:rsidR="005603DE" w:rsidRPr="00053DC5">
        <w:rPr>
          <w:sz w:val="22"/>
          <w:szCs w:val="22"/>
        </w:rPr>
        <w:t>prevodu</w:t>
      </w:r>
      <w:r w:rsidRPr="00053DC5">
        <w:rPr>
          <w:sz w:val="22"/>
          <w:szCs w:val="22"/>
        </w:rPr>
        <w:t xml:space="preserve"> nervových impulz</w:t>
      </w:r>
      <w:r w:rsidR="00C27D15" w:rsidRPr="00053DC5">
        <w:rPr>
          <w:sz w:val="22"/>
          <w:szCs w:val="22"/>
        </w:rPr>
        <w:t>ov</w:t>
      </w:r>
      <w:r w:rsidRPr="00053DC5">
        <w:rPr>
          <w:sz w:val="22"/>
          <w:szCs w:val="22"/>
        </w:rPr>
        <w:t xml:space="preserve">. </w:t>
      </w:r>
      <w:proofErr w:type="spellStart"/>
      <w:r w:rsidRPr="00053DC5">
        <w:rPr>
          <w:sz w:val="22"/>
          <w:szCs w:val="22"/>
        </w:rPr>
        <w:t>Lidoka</w:t>
      </w:r>
      <w:r w:rsidR="005603DE" w:rsidRPr="00053DC5">
        <w:rPr>
          <w:sz w:val="22"/>
          <w:szCs w:val="22"/>
        </w:rPr>
        <w:t>í</w:t>
      </w:r>
      <w:r w:rsidRPr="00053DC5">
        <w:rPr>
          <w:sz w:val="22"/>
          <w:szCs w:val="22"/>
        </w:rPr>
        <w:t>n</w:t>
      </w:r>
      <w:proofErr w:type="spellEnd"/>
      <w:r w:rsidRPr="00053DC5">
        <w:rPr>
          <w:sz w:val="22"/>
          <w:szCs w:val="22"/>
        </w:rPr>
        <w:t xml:space="preserve"> </w:t>
      </w:r>
      <w:r w:rsidR="00324B33" w:rsidRPr="00053DC5">
        <w:rPr>
          <w:sz w:val="22"/>
          <w:szCs w:val="22"/>
        </w:rPr>
        <w:t>zmier</w:t>
      </w:r>
      <w:r w:rsidRPr="00053DC5">
        <w:rPr>
          <w:sz w:val="22"/>
          <w:szCs w:val="22"/>
        </w:rPr>
        <w:t>ňuje boles</w:t>
      </w:r>
      <w:r w:rsidR="00324B33" w:rsidRPr="00053DC5">
        <w:rPr>
          <w:sz w:val="22"/>
          <w:szCs w:val="22"/>
        </w:rPr>
        <w:t>ť</w:t>
      </w:r>
      <w:r w:rsidRPr="00053DC5">
        <w:rPr>
          <w:sz w:val="22"/>
          <w:szCs w:val="22"/>
        </w:rPr>
        <w:t xml:space="preserve"> </w:t>
      </w:r>
      <w:r w:rsidR="001C2ECE">
        <w:rPr>
          <w:sz w:val="22"/>
          <w:szCs w:val="22"/>
        </w:rPr>
        <w:t>pri</w:t>
      </w:r>
      <w:r w:rsidR="00454C09">
        <w:rPr>
          <w:sz w:val="22"/>
          <w:szCs w:val="22"/>
        </w:rPr>
        <w:t xml:space="preserve"> zápale </w:t>
      </w:r>
      <w:r w:rsidR="005519D7" w:rsidRPr="00053DC5">
        <w:rPr>
          <w:sz w:val="22"/>
          <w:szCs w:val="22"/>
        </w:rPr>
        <w:t>hrdla a</w:t>
      </w:r>
      <w:r w:rsidR="005603DE" w:rsidRPr="00053DC5">
        <w:rPr>
          <w:sz w:val="22"/>
          <w:szCs w:val="22"/>
        </w:rPr>
        <w:t> </w:t>
      </w:r>
      <w:r w:rsidR="005519D7" w:rsidRPr="00053DC5">
        <w:rPr>
          <w:sz w:val="22"/>
          <w:szCs w:val="22"/>
        </w:rPr>
        <w:t>miernejší</w:t>
      </w:r>
      <w:r w:rsidR="00454C09">
        <w:rPr>
          <w:sz w:val="22"/>
          <w:szCs w:val="22"/>
        </w:rPr>
        <w:t>ch</w:t>
      </w:r>
      <w:r w:rsidR="005519D7" w:rsidRPr="00053DC5">
        <w:rPr>
          <w:sz w:val="22"/>
          <w:szCs w:val="22"/>
        </w:rPr>
        <w:t xml:space="preserve"> </w:t>
      </w:r>
      <w:r w:rsidR="00086DC5">
        <w:rPr>
          <w:sz w:val="22"/>
          <w:szCs w:val="22"/>
        </w:rPr>
        <w:t>infekci</w:t>
      </w:r>
      <w:r w:rsidR="00454C09">
        <w:rPr>
          <w:sz w:val="22"/>
          <w:szCs w:val="22"/>
        </w:rPr>
        <w:t xml:space="preserve">ách ústnej </w:t>
      </w:r>
      <w:r w:rsidR="005519D7" w:rsidRPr="000B5A26">
        <w:rPr>
          <w:sz w:val="22"/>
          <w:szCs w:val="22"/>
        </w:rPr>
        <w:t xml:space="preserve"> dutiny</w:t>
      </w:r>
      <w:r w:rsidRPr="000B5A26">
        <w:rPr>
          <w:sz w:val="22"/>
          <w:szCs w:val="22"/>
        </w:rPr>
        <w:t>.</w:t>
      </w:r>
      <w:r w:rsidR="005E054F" w:rsidRPr="000B5A26">
        <w:rPr>
          <w:sz w:val="22"/>
          <w:szCs w:val="22"/>
        </w:rPr>
        <w:t xml:space="preserve"> </w:t>
      </w:r>
    </w:p>
    <w:p w:rsidR="00866831" w:rsidRDefault="0086683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866831" w:rsidRDefault="00866831" w:rsidP="00ED34E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>
        <w:rPr>
          <w:sz w:val="22"/>
          <w:szCs w:val="22"/>
        </w:rPr>
        <w:t>Oroforte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menthol</w:t>
      </w:r>
      <w:proofErr w:type="spellEnd"/>
      <w:r>
        <w:rPr>
          <w:sz w:val="22"/>
          <w:szCs w:val="22"/>
        </w:rPr>
        <w:t xml:space="preserve"> zmierňuje bolesť hrdla už po dvoch minútach.</w:t>
      </w:r>
    </w:p>
    <w:p w:rsidR="00866831" w:rsidRDefault="0086683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1B3595" w:rsidRPr="00417E81" w:rsidRDefault="00866831" w:rsidP="00ED34E1">
      <w:pPr>
        <w:tabs>
          <w:tab w:val="left" w:pos="567"/>
        </w:tabs>
        <w:ind w:right="423"/>
        <w:rPr>
          <w:sz w:val="22"/>
          <w:szCs w:val="22"/>
        </w:rPr>
      </w:pPr>
      <w:r w:rsidRPr="00417E81">
        <w:rPr>
          <w:sz w:val="22"/>
          <w:szCs w:val="22"/>
        </w:rPr>
        <w:t>Štúdie</w:t>
      </w:r>
      <w:r w:rsidR="00A12F0E">
        <w:rPr>
          <w:sz w:val="22"/>
          <w:szCs w:val="22"/>
        </w:rPr>
        <w:t xml:space="preserve"> s liekom </w:t>
      </w:r>
      <w:proofErr w:type="spellStart"/>
      <w:r w:rsidRPr="00417E81">
        <w:rPr>
          <w:sz w:val="22"/>
          <w:szCs w:val="22"/>
        </w:rPr>
        <w:t>Oroforte</w:t>
      </w:r>
      <w:proofErr w:type="spellEnd"/>
      <w:r w:rsidRPr="00417E81">
        <w:rPr>
          <w:sz w:val="22"/>
          <w:szCs w:val="22"/>
        </w:rPr>
        <w:t xml:space="preserve"> </w:t>
      </w:r>
      <w:proofErr w:type="spellStart"/>
      <w:r w:rsidRPr="00417E81">
        <w:rPr>
          <w:sz w:val="22"/>
          <w:szCs w:val="22"/>
        </w:rPr>
        <w:t>menthol</w:t>
      </w:r>
      <w:proofErr w:type="spellEnd"/>
      <w:r w:rsidRPr="00417E81">
        <w:rPr>
          <w:sz w:val="22"/>
          <w:szCs w:val="22"/>
        </w:rPr>
        <w:t xml:space="preserve"> boli prevedené na paralelných skupinách pacientov s bolesťami hrdla spojenými s</w:t>
      </w:r>
      <w:r w:rsidR="00A12F0E">
        <w:rPr>
          <w:sz w:val="22"/>
          <w:szCs w:val="22"/>
        </w:rPr>
        <w:t> </w:t>
      </w:r>
      <w:r w:rsidRPr="00417E81">
        <w:rPr>
          <w:sz w:val="22"/>
          <w:szCs w:val="22"/>
        </w:rPr>
        <w:t>infekciou horných dýchacích ciest. Úľava od bolesti sa prejavila v</w:t>
      </w:r>
      <w:r w:rsidR="00A12F0E">
        <w:rPr>
          <w:sz w:val="22"/>
          <w:szCs w:val="22"/>
        </w:rPr>
        <w:t> </w:t>
      </w:r>
      <w:r w:rsidRPr="00417E81">
        <w:rPr>
          <w:sz w:val="22"/>
          <w:szCs w:val="22"/>
        </w:rPr>
        <w:t>priebehu 2</w:t>
      </w:r>
      <w:r w:rsidR="00A12F0E">
        <w:rPr>
          <w:sz w:val="22"/>
          <w:szCs w:val="22"/>
        </w:rPr>
        <w:t> </w:t>
      </w:r>
      <w:r w:rsidRPr="00417E81">
        <w:rPr>
          <w:sz w:val="22"/>
          <w:szCs w:val="22"/>
        </w:rPr>
        <w:t xml:space="preserve">minút, podľa škály meraní intenzity bolesti hrdla. </w:t>
      </w:r>
      <w:r w:rsidR="005C259F" w:rsidRPr="00417E81">
        <w:rPr>
          <w:sz w:val="22"/>
          <w:szCs w:val="22"/>
        </w:rPr>
        <w:t xml:space="preserve">Úľava od </w:t>
      </w:r>
      <w:r w:rsidRPr="00417E81">
        <w:rPr>
          <w:sz w:val="22"/>
          <w:szCs w:val="22"/>
        </w:rPr>
        <w:t xml:space="preserve">bolesti </w:t>
      </w:r>
      <w:r w:rsidR="005C259F" w:rsidRPr="00417E81">
        <w:rPr>
          <w:sz w:val="22"/>
          <w:szCs w:val="22"/>
        </w:rPr>
        <w:t>pre</w:t>
      </w:r>
      <w:r w:rsidR="001E6E37">
        <w:rPr>
          <w:sz w:val="22"/>
          <w:szCs w:val="22"/>
        </w:rPr>
        <w:t>t</w:t>
      </w:r>
      <w:r w:rsidR="005C259F" w:rsidRPr="00417E81">
        <w:rPr>
          <w:sz w:val="22"/>
          <w:szCs w:val="22"/>
        </w:rPr>
        <w:t>r</w:t>
      </w:r>
      <w:r w:rsidR="001E6E37">
        <w:rPr>
          <w:sz w:val="22"/>
          <w:szCs w:val="22"/>
        </w:rPr>
        <w:t>v</w:t>
      </w:r>
      <w:r w:rsidR="005C259F" w:rsidRPr="00417E81">
        <w:rPr>
          <w:sz w:val="22"/>
          <w:szCs w:val="22"/>
        </w:rPr>
        <w:t xml:space="preserve">ávala </w:t>
      </w:r>
      <w:r w:rsidR="005C259F">
        <w:rPr>
          <w:sz w:val="22"/>
          <w:szCs w:val="22"/>
        </w:rPr>
        <w:t xml:space="preserve">po dobu </w:t>
      </w:r>
      <w:r w:rsidRPr="00417E81">
        <w:rPr>
          <w:sz w:val="22"/>
          <w:szCs w:val="22"/>
        </w:rPr>
        <w:t>4</w:t>
      </w:r>
      <w:r w:rsidR="00A12F0E">
        <w:rPr>
          <w:sz w:val="22"/>
          <w:szCs w:val="22"/>
        </w:rPr>
        <w:t> </w:t>
      </w:r>
      <w:r w:rsidR="005C259F" w:rsidRPr="005C259F">
        <w:rPr>
          <w:sz w:val="22"/>
          <w:szCs w:val="22"/>
        </w:rPr>
        <w:t>hod</w:t>
      </w:r>
      <w:r w:rsidR="005C259F">
        <w:rPr>
          <w:sz w:val="22"/>
          <w:szCs w:val="22"/>
        </w:rPr>
        <w:t>ín</w:t>
      </w:r>
      <w:r w:rsidRPr="00417E81">
        <w:rPr>
          <w:sz w:val="22"/>
          <w:szCs w:val="22"/>
        </w:rPr>
        <w:t>.</w:t>
      </w:r>
    </w:p>
    <w:p w:rsidR="00086DC5" w:rsidRPr="000B5A26" w:rsidRDefault="00086DC5" w:rsidP="00ED34E1">
      <w:pPr>
        <w:tabs>
          <w:tab w:val="left" w:pos="567"/>
        </w:tabs>
        <w:ind w:right="423"/>
        <w:rPr>
          <w:i/>
          <w:sz w:val="22"/>
          <w:szCs w:val="22"/>
        </w:rPr>
      </w:pPr>
    </w:p>
    <w:p w:rsidR="00EF7081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5.2</w:t>
      </w:r>
      <w:r w:rsidR="00FB6CD6" w:rsidRPr="000B5A26">
        <w:rPr>
          <w:b/>
          <w:sz w:val="22"/>
          <w:szCs w:val="22"/>
        </w:rPr>
        <w:tab/>
      </w:r>
      <w:proofErr w:type="spellStart"/>
      <w:r w:rsidR="00EF7081" w:rsidRPr="000B5A26">
        <w:rPr>
          <w:b/>
          <w:sz w:val="22"/>
          <w:szCs w:val="22"/>
        </w:rPr>
        <w:t>Farmakokinetické</w:t>
      </w:r>
      <w:proofErr w:type="spellEnd"/>
      <w:r w:rsidR="00EF7081" w:rsidRPr="000B5A26">
        <w:rPr>
          <w:b/>
          <w:sz w:val="22"/>
          <w:szCs w:val="22"/>
        </w:rPr>
        <w:t xml:space="preserve"> vlastnosti</w:t>
      </w:r>
    </w:p>
    <w:p w:rsidR="00086DC5" w:rsidRDefault="00086DC5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086DC5" w:rsidRPr="00417E81" w:rsidRDefault="00086DC5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proofErr w:type="spellStart"/>
      <w:r w:rsidRPr="00417E81">
        <w:rPr>
          <w:i/>
          <w:sz w:val="22"/>
          <w:szCs w:val="22"/>
          <w:u w:val="single"/>
        </w:rPr>
        <w:t>Cetylpyridíniumchlorid</w:t>
      </w:r>
      <w:proofErr w:type="spellEnd"/>
    </w:p>
    <w:p w:rsidR="00086DC5" w:rsidRDefault="00AD3F38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 xml:space="preserve">Vzhľadom </w:t>
      </w:r>
      <w:r w:rsidR="008804A7">
        <w:rPr>
          <w:sz w:val="22"/>
          <w:szCs w:val="22"/>
        </w:rPr>
        <w:t xml:space="preserve">na </w:t>
      </w:r>
      <w:r w:rsidRPr="00053DC5">
        <w:rPr>
          <w:sz w:val="22"/>
          <w:szCs w:val="22"/>
        </w:rPr>
        <w:t>fyzikáln</w:t>
      </w:r>
      <w:r w:rsidR="008804A7">
        <w:rPr>
          <w:sz w:val="22"/>
          <w:szCs w:val="22"/>
        </w:rPr>
        <w:t>e</w:t>
      </w:r>
      <w:r w:rsidRPr="00053DC5">
        <w:rPr>
          <w:sz w:val="22"/>
          <w:szCs w:val="22"/>
        </w:rPr>
        <w:t xml:space="preserve"> a chemick</w:t>
      </w:r>
      <w:r w:rsidR="008804A7">
        <w:rPr>
          <w:sz w:val="22"/>
          <w:szCs w:val="22"/>
        </w:rPr>
        <w:t>é</w:t>
      </w:r>
      <w:r w:rsidRPr="00053DC5">
        <w:rPr>
          <w:sz w:val="22"/>
          <w:szCs w:val="22"/>
        </w:rPr>
        <w:t xml:space="preserve"> vlastnosti </w:t>
      </w:r>
      <w:proofErr w:type="spellStart"/>
      <w:r w:rsidRPr="00053DC5">
        <w:rPr>
          <w:sz w:val="22"/>
          <w:szCs w:val="22"/>
        </w:rPr>
        <w:t>cetylpyrid</w:t>
      </w:r>
      <w:r w:rsidR="001B5805" w:rsidRPr="00053DC5">
        <w:rPr>
          <w:sz w:val="22"/>
          <w:szCs w:val="22"/>
        </w:rPr>
        <w:t>í</w:t>
      </w:r>
      <w:r w:rsidRPr="00053DC5">
        <w:rPr>
          <w:sz w:val="22"/>
          <w:szCs w:val="22"/>
        </w:rPr>
        <w:t>niumchloridu</w:t>
      </w:r>
      <w:proofErr w:type="spellEnd"/>
      <w:r w:rsidRPr="00053DC5">
        <w:rPr>
          <w:sz w:val="22"/>
          <w:szCs w:val="22"/>
        </w:rPr>
        <w:t xml:space="preserve"> nedochádza po </w:t>
      </w:r>
      <w:r w:rsidR="001B5805" w:rsidRPr="00053DC5">
        <w:rPr>
          <w:sz w:val="22"/>
          <w:szCs w:val="22"/>
        </w:rPr>
        <w:t xml:space="preserve">jeho </w:t>
      </w:r>
      <w:r w:rsidRPr="00053DC5">
        <w:rPr>
          <w:sz w:val="22"/>
          <w:szCs w:val="22"/>
        </w:rPr>
        <w:t>perorálnom podaní takmer vôbec</w:t>
      </w:r>
      <w:r w:rsidR="00B117F0" w:rsidRPr="00053DC5">
        <w:rPr>
          <w:sz w:val="22"/>
          <w:szCs w:val="22"/>
        </w:rPr>
        <w:t xml:space="preserve"> </w:t>
      </w:r>
      <w:r w:rsidRPr="00053DC5">
        <w:rPr>
          <w:sz w:val="22"/>
          <w:szCs w:val="22"/>
        </w:rPr>
        <w:t>k</w:t>
      </w:r>
      <w:r w:rsidR="001B5805" w:rsidRPr="00053DC5">
        <w:rPr>
          <w:sz w:val="22"/>
          <w:szCs w:val="22"/>
        </w:rPr>
        <w:t> </w:t>
      </w:r>
      <w:r w:rsidRPr="00053DC5">
        <w:rPr>
          <w:sz w:val="22"/>
          <w:szCs w:val="22"/>
        </w:rPr>
        <w:t>systémov</w:t>
      </w:r>
      <w:r w:rsidR="001B5805" w:rsidRPr="00053DC5">
        <w:rPr>
          <w:sz w:val="22"/>
          <w:szCs w:val="22"/>
        </w:rPr>
        <w:t>ému vstrebávaniu</w:t>
      </w:r>
      <w:r w:rsidRPr="00053DC5">
        <w:rPr>
          <w:sz w:val="22"/>
          <w:szCs w:val="22"/>
        </w:rPr>
        <w:t>.</w:t>
      </w:r>
      <w:r w:rsidR="00861CD5" w:rsidRPr="00053DC5">
        <w:rPr>
          <w:sz w:val="22"/>
          <w:szCs w:val="22"/>
        </w:rPr>
        <w:t xml:space="preserve"> </w:t>
      </w:r>
    </w:p>
    <w:p w:rsidR="00086DC5" w:rsidRDefault="00086DC5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086DC5" w:rsidRPr="00417E81" w:rsidRDefault="00086DC5" w:rsidP="00417E81">
      <w:pPr>
        <w:keepNext/>
        <w:tabs>
          <w:tab w:val="num" w:pos="0"/>
          <w:tab w:val="left" w:pos="567"/>
        </w:tabs>
        <w:overflowPunct w:val="0"/>
        <w:autoSpaceDE w:val="0"/>
        <w:autoSpaceDN w:val="0"/>
        <w:adjustRightInd w:val="0"/>
        <w:ind w:right="423"/>
        <w:rPr>
          <w:i/>
          <w:sz w:val="22"/>
          <w:szCs w:val="22"/>
          <w:u w:val="single"/>
        </w:rPr>
      </w:pPr>
      <w:proofErr w:type="spellStart"/>
      <w:r w:rsidRPr="00417E81">
        <w:rPr>
          <w:i/>
          <w:sz w:val="22"/>
          <w:szCs w:val="22"/>
          <w:u w:val="single"/>
        </w:rPr>
        <w:t>Lidokaín</w:t>
      </w:r>
      <w:proofErr w:type="spellEnd"/>
    </w:p>
    <w:p w:rsidR="00086DC5" w:rsidRDefault="00861CD5" w:rsidP="00ED34E1">
      <w:pPr>
        <w:tabs>
          <w:tab w:val="left" w:pos="567"/>
        </w:tabs>
        <w:ind w:right="423"/>
        <w:rPr>
          <w:sz w:val="22"/>
          <w:szCs w:val="22"/>
        </w:rPr>
      </w:pPr>
      <w:proofErr w:type="spellStart"/>
      <w:r w:rsidRPr="00053DC5">
        <w:rPr>
          <w:sz w:val="22"/>
          <w:szCs w:val="22"/>
        </w:rPr>
        <w:t>Lidokaín</w:t>
      </w:r>
      <w:proofErr w:type="spellEnd"/>
      <w:r w:rsidRPr="00053DC5">
        <w:rPr>
          <w:sz w:val="22"/>
          <w:szCs w:val="22"/>
        </w:rPr>
        <w:t xml:space="preserve"> je </w:t>
      </w:r>
      <w:r w:rsidR="00086DC5" w:rsidRPr="00053DC5">
        <w:rPr>
          <w:sz w:val="22"/>
          <w:szCs w:val="22"/>
        </w:rPr>
        <w:t xml:space="preserve">absorbovaný </w:t>
      </w:r>
      <w:r w:rsidRPr="00053DC5">
        <w:rPr>
          <w:sz w:val="22"/>
          <w:szCs w:val="22"/>
        </w:rPr>
        <w:t>z</w:t>
      </w:r>
      <w:r w:rsidR="00086DC5">
        <w:rPr>
          <w:sz w:val="22"/>
          <w:szCs w:val="22"/>
        </w:rPr>
        <w:t> </w:t>
      </w:r>
      <w:proofErr w:type="spellStart"/>
      <w:r w:rsidR="00086DC5">
        <w:rPr>
          <w:sz w:val="22"/>
          <w:szCs w:val="22"/>
        </w:rPr>
        <w:t>gastrointestinálneho</w:t>
      </w:r>
      <w:proofErr w:type="spellEnd"/>
      <w:r w:rsidR="00086DC5">
        <w:rPr>
          <w:sz w:val="22"/>
          <w:szCs w:val="22"/>
        </w:rPr>
        <w:t xml:space="preserve"> traktu cez</w:t>
      </w:r>
      <w:r w:rsidRPr="00053DC5">
        <w:rPr>
          <w:sz w:val="22"/>
          <w:szCs w:val="22"/>
        </w:rPr>
        <w:t xml:space="preserve"> slizn</w:t>
      </w:r>
      <w:r w:rsidR="00073A14">
        <w:rPr>
          <w:sz w:val="22"/>
          <w:szCs w:val="22"/>
        </w:rPr>
        <w:t xml:space="preserve">ice a cez poškodenú kožu. </w:t>
      </w:r>
      <w:r w:rsidR="00086DC5">
        <w:rPr>
          <w:sz w:val="22"/>
          <w:szCs w:val="22"/>
        </w:rPr>
        <w:t xml:space="preserve">Po perorálnom podaní je absorbovaný a podlieha </w:t>
      </w:r>
      <w:proofErr w:type="spellStart"/>
      <w:r w:rsidR="00086DC5">
        <w:rPr>
          <w:sz w:val="22"/>
          <w:szCs w:val="22"/>
        </w:rPr>
        <w:t>first-pass</w:t>
      </w:r>
      <w:proofErr w:type="spellEnd"/>
      <w:r w:rsidR="00086DC5">
        <w:rPr>
          <w:sz w:val="22"/>
          <w:szCs w:val="22"/>
        </w:rPr>
        <w:t xml:space="preserve"> metabolizmu</w:t>
      </w:r>
      <w:r w:rsidR="00EA2609">
        <w:rPr>
          <w:sz w:val="22"/>
          <w:szCs w:val="22"/>
        </w:rPr>
        <w:t xml:space="preserve"> v </w:t>
      </w:r>
      <w:r w:rsidR="00086DC5">
        <w:rPr>
          <w:sz w:val="22"/>
          <w:szCs w:val="22"/>
        </w:rPr>
        <w:t xml:space="preserve">pečeni. Jeho biologická dostupnosť je asi 35 % po perorálnom podaní. </w:t>
      </w:r>
      <w:proofErr w:type="spellStart"/>
      <w:r w:rsidR="00086DC5">
        <w:rPr>
          <w:sz w:val="22"/>
          <w:szCs w:val="22"/>
        </w:rPr>
        <w:t>Metabolity</w:t>
      </w:r>
      <w:proofErr w:type="spellEnd"/>
      <w:r w:rsidR="00086DC5">
        <w:rPr>
          <w:sz w:val="22"/>
          <w:szCs w:val="22"/>
        </w:rPr>
        <w:t xml:space="preserve"> sa vylučujú močom, menej než 10 % v nezmenenej forme.</w:t>
      </w:r>
    </w:p>
    <w:p w:rsidR="00861CD5" w:rsidRPr="00053DC5" w:rsidRDefault="00861CD5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861CD5" w:rsidRPr="00053DC5" w:rsidRDefault="00AB7F52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t>5.3</w:t>
      </w:r>
      <w:r w:rsidR="00FB6CD6" w:rsidRPr="00053DC5">
        <w:rPr>
          <w:b/>
          <w:sz w:val="22"/>
          <w:szCs w:val="22"/>
        </w:rPr>
        <w:tab/>
      </w:r>
      <w:r w:rsidR="00861CD5" w:rsidRPr="00053DC5">
        <w:rPr>
          <w:b/>
          <w:sz w:val="22"/>
          <w:szCs w:val="22"/>
        </w:rPr>
        <w:t xml:space="preserve">Predklinické údaje o bezpečnosti </w:t>
      </w:r>
    </w:p>
    <w:p w:rsidR="00861CD5" w:rsidRPr="00417E81" w:rsidRDefault="00861CD5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5C259F" w:rsidRDefault="00CD6B6A" w:rsidP="00ED34E1">
      <w:pPr>
        <w:tabs>
          <w:tab w:val="left" w:pos="567"/>
        </w:tabs>
        <w:ind w:right="423"/>
        <w:rPr>
          <w:noProof/>
          <w:sz w:val="22"/>
          <w:szCs w:val="22"/>
        </w:rPr>
      </w:pPr>
      <w:r w:rsidRPr="00053DC5">
        <w:rPr>
          <w:noProof/>
          <w:sz w:val="22"/>
          <w:szCs w:val="22"/>
        </w:rPr>
        <w:t>Predklinické údaje genotoxicity a reprodukčnej toxicity založené na opakovaných dávkach neboli zistené žiadne osobitné riziká pre použitie cetylpyridínium chloridu a lidokaíniumchloridu.</w:t>
      </w:r>
      <w:r w:rsidR="00EA06D4" w:rsidRPr="00053DC5">
        <w:rPr>
          <w:noProof/>
          <w:sz w:val="22"/>
          <w:szCs w:val="22"/>
        </w:rPr>
        <w:t xml:space="preserve"> </w:t>
      </w:r>
    </w:p>
    <w:p w:rsidR="005C259F" w:rsidRDefault="005C259F" w:rsidP="00ED34E1">
      <w:pPr>
        <w:tabs>
          <w:tab w:val="left" w:pos="567"/>
        </w:tabs>
        <w:ind w:right="423"/>
        <w:rPr>
          <w:noProof/>
          <w:sz w:val="22"/>
          <w:szCs w:val="22"/>
        </w:rPr>
      </w:pPr>
    </w:p>
    <w:p w:rsidR="00CD6B6A" w:rsidRPr="00053DC5" w:rsidRDefault="00CD6B6A" w:rsidP="00ED34E1">
      <w:pPr>
        <w:tabs>
          <w:tab w:val="left" w:pos="567"/>
        </w:tabs>
        <w:ind w:right="423"/>
        <w:rPr>
          <w:noProof/>
          <w:sz w:val="22"/>
          <w:szCs w:val="22"/>
        </w:rPr>
      </w:pPr>
      <w:r w:rsidRPr="00053DC5">
        <w:rPr>
          <w:noProof/>
          <w:sz w:val="22"/>
          <w:szCs w:val="22"/>
        </w:rPr>
        <w:t>Neexistuje žiadn</w:t>
      </w:r>
      <w:r w:rsidR="008804A7">
        <w:rPr>
          <w:noProof/>
          <w:sz w:val="22"/>
          <w:szCs w:val="22"/>
        </w:rPr>
        <w:t>y</w:t>
      </w:r>
      <w:r w:rsidRPr="00053DC5">
        <w:rPr>
          <w:noProof/>
          <w:sz w:val="22"/>
          <w:szCs w:val="22"/>
        </w:rPr>
        <w:t xml:space="preserve"> dôkaz zmenenej fertility alebo reprodukčnej toxicity po liečbe u</w:t>
      </w:r>
      <w:r w:rsidR="00A12F0E">
        <w:rPr>
          <w:noProof/>
          <w:sz w:val="22"/>
          <w:szCs w:val="22"/>
        </w:rPr>
        <w:t> </w:t>
      </w:r>
      <w:r w:rsidRPr="00053DC5">
        <w:rPr>
          <w:noProof/>
          <w:sz w:val="22"/>
          <w:szCs w:val="22"/>
        </w:rPr>
        <w:t xml:space="preserve">potkanov </w:t>
      </w:r>
      <w:r w:rsidR="00A12F0E">
        <w:rPr>
          <w:noProof/>
          <w:sz w:val="22"/>
          <w:szCs w:val="22"/>
        </w:rPr>
        <w:t xml:space="preserve">dávkou </w:t>
      </w:r>
      <w:r w:rsidRPr="00053DC5">
        <w:rPr>
          <w:noProof/>
          <w:sz w:val="22"/>
          <w:szCs w:val="22"/>
        </w:rPr>
        <w:t>35</w:t>
      </w:r>
      <w:r w:rsidR="00A12F0E">
        <w:rPr>
          <w:noProof/>
          <w:sz w:val="22"/>
          <w:szCs w:val="22"/>
        </w:rPr>
        <w:t> </w:t>
      </w:r>
      <w:r w:rsidRPr="00053DC5">
        <w:rPr>
          <w:noProof/>
          <w:sz w:val="22"/>
          <w:szCs w:val="22"/>
        </w:rPr>
        <w:t>mg/kg/deň cetylpyridíniumchlorid</w:t>
      </w:r>
      <w:r w:rsidR="00A12F0E">
        <w:rPr>
          <w:noProof/>
          <w:sz w:val="22"/>
          <w:szCs w:val="22"/>
        </w:rPr>
        <w:t>u</w:t>
      </w:r>
      <w:r w:rsidRPr="00053DC5">
        <w:rPr>
          <w:noProof/>
          <w:sz w:val="22"/>
          <w:szCs w:val="22"/>
        </w:rPr>
        <w:t xml:space="preserve"> </w:t>
      </w:r>
      <w:r w:rsidR="00A12F0E" w:rsidRPr="00053DC5">
        <w:rPr>
          <w:noProof/>
          <w:sz w:val="22"/>
          <w:szCs w:val="22"/>
        </w:rPr>
        <w:t>v</w:t>
      </w:r>
      <w:r w:rsidR="00A12F0E">
        <w:rPr>
          <w:noProof/>
          <w:sz w:val="22"/>
          <w:szCs w:val="22"/>
        </w:rPr>
        <w:t> </w:t>
      </w:r>
      <w:r w:rsidRPr="00053DC5">
        <w:rPr>
          <w:noProof/>
          <w:sz w:val="22"/>
          <w:szCs w:val="22"/>
        </w:rPr>
        <w:t>krmive. Neexistuje žiadn</w:t>
      </w:r>
      <w:r w:rsidR="008804A7">
        <w:rPr>
          <w:noProof/>
          <w:sz w:val="22"/>
          <w:szCs w:val="22"/>
        </w:rPr>
        <w:t>y</w:t>
      </w:r>
      <w:r w:rsidRPr="00053DC5">
        <w:rPr>
          <w:noProof/>
          <w:sz w:val="22"/>
          <w:szCs w:val="22"/>
        </w:rPr>
        <w:t xml:space="preserve"> dôkaz o</w:t>
      </w:r>
      <w:r w:rsidR="00A12F0E">
        <w:rPr>
          <w:noProof/>
          <w:sz w:val="22"/>
          <w:szCs w:val="22"/>
        </w:rPr>
        <w:t> </w:t>
      </w:r>
      <w:r w:rsidRPr="00053DC5">
        <w:rPr>
          <w:noProof/>
          <w:sz w:val="22"/>
          <w:szCs w:val="22"/>
        </w:rPr>
        <w:t>zmenenej plodnosti po subkutánnej liečbe u</w:t>
      </w:r>
      <w:r w:rsidR="00A12F0E">
        <w:rPr>
          <w:noProof/>
          <w:sz w:val="22"/>
          <w:szCs w:val="22"/>
        </w:rPr>
        <w:t> </w:t>
      </w:r>
      <w:r w:rsidRPr="00053DC5">
        <w:rPr>
          <w:noProof/>
          <w:sz w:val="22"/>
          <w:szCs w:val="22"/>
        </w:rPr>
        <w:t xml:space="preserve">potkanov </w:t>
      </w:r>
      <w:r w:rsidR="00A12F0E">
        <w:rPr>
          <w:noProof/>
          <w:sz w:val="22"/>
          <w:szCs w:val="22"/>
        </w:rPr>
        <w:t xml:space="preserve">dávkou </w:t>
      </w:r>
      <w:r w:rsidRPr="00053DC5">
        <w:rPr>
          <w:noProof/>
          <w:sz w:val="22"/>
          <w:szCs w:val="22"/>
        </w:rPr>
        <w:t>250</w:t>
      </w:r>
      <w:r w:rsidR="00A12F0E">
        <w:rPr>
          <w:noProof/>
          <w:sz w:val="22"/>
          <w:szCs w:val="22"/>
        </w:rPr>
        <w:t> </w:t>
      </w:r>
      <w:r w:rsidRPr="00053DC5">
        <w:rPr>
          <w:noProof/>
          <w:sz w:val="22"/>
          <w:szCs w:val="22"/>
        </w:rPr>
        <w:t>mg/kg/deň lidokaíniumchloridu, ani teratogénne účinky po injekcii 56</w:t>
      </w:r>
      <w:r w:rsidR="00A12F0E">
        <w:rPr>
          <w:noProof/>
          <w:sz w:val="22"/>
          <w:szCs w:val="22"/>
        </w:rPr>
        <w:t> </w:t>
      </w:r>
      <w:r w:rsidRPr="00053DC5">
        <w:rPr>
          <w:noProof/>
          <w:sz w:val="22"/>
          <w:szCs w:val="22"/>
        </w:rPr>
        <w:t>mg/kg/deň.</w:t>
      </w:r>
    </w:p>
    <w:p w:rsidR="00F03B2C" w:rsidRPr="00053DC5" w:rsidRDefault="00F03B2C" w:rsidP="00ED34E1">
      <w:pPr>
        <w:tabs>
          <w:tab w:val="left" w:pos="567"/>
        </w:tabs>
        <w:ind w:right="423"/>
        <w:rPr>
          <w:noProof/>
          <w:color w:val="000000"/>
          <w:sz w:val="22"/>
          <w:szCs w:val="22"/>
        </w:rPr>
      </w:pPr>
    </w:p>
    <w:p w:rsidR="00C14714" w:rsidRPr="00053DC5" w:rsidRDefault="00C14714" w:rsidP="00ED34E1">
      <w:pPr>
        <w:tabs>
          <w:tab w:val="left" w:pos="567"/>
        </w:tabs>
        <w:ind w:right="423"/>
        <w:rPr>
          <w:b/>
          <w:sz w:val="22"/>
          <w:szCs w:val="22"/>
        </w:rPr>
      </w:pPr>
    </w:p>
    <w:p w:rsidR="00861CD5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t>FARMACEUTICKÉ INFORMÁCIE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EF7081" w:rsidRPr="00053DC5" w:rsidRDefault="00580107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t>6.1</w:t>
      </w:r>
      <w:r w:rsidR="00F03B2C" w:rsidRPr="00053DC5">
        <w:rPr>
          <w:b/>
          <w:sz w:val="22"/>
          <w:szCs w:val="22"/>
        </w:rPr>
        <w:tab/>
      </w:r>
      <w:r w:rsidR="00EF7081" w:rsidRPr="00053DC5">
        <w:rPr>
          <w:b/>
          <w:sz w:val="22"/>
          <w:szCs w:val="22"/>
        </w:rPr>
        <w:t>Zoznam pomocných látok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8804A7" w:rsidRDefault="00A12F0E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>s</w:t>
      </w:r>
      <w:r w:rsidR="00053DC5" w:rsidRPr="004E20F7">
        <w:rPr>
          <w:rStyle w:val="st"/>
          <w:sz w:val="22"/>
          <w:szCs w:val="22"/>
        </w:rPr>
        <w:t>ilica mäty piepornej</w:t>
      </w:r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proofErr w:type="spellStart"/>
      <w:r w:rsidRPr="004E20F7">
        <w:rPr>
          <w:rStyle w:val="st"/>
          <w:sz w:val="22"/>
          <w:szCs w:val="22"/>
        </w:rPr>
        <w:t>levomentol</w:t>
      </w:r>
      <w:proofErr w:type="spellEnd"/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proofErr w:type="spellStart"/>
      <w:r w:rsidRPr="004E20F7">
        <w:rPr>
          <w:rStyle w:val="st"/>
          <w:sz w:val="22"/>
          <w:szCs w:val="22"/>
        </w:rPr>
        <w:t>acesulfám</w:t>
      </w:r>
      <w:proofErr w:type="spellEnd"/>
      <w:r w:rsidRPr="004E20F7">
        <w:rPr>
          <w:rStyle w:val="st"/>
          <w:sz w:val="22"/>
          <w:szCs w:val="22"/>
        </w:rPr>
        <w:t xml:space="preserve"> draselný</w:t>
      </w:r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r w:rsidRPr="004E20F7">
        <w:rPr>
          <w:rStyle w:val="st"/>
          <w:sz w:val="22"/>
          <w:szCs w:val="22"/>
        </w:rPr>
        <w:t>kukuričný škrob</w:t>
      </w:r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proofErr w:type="spellStart"/>
      <w:r w:rsidRPr="004E20F7">
        <w:rPr>
          <w:rStyle w:val="st"/>
          <w:sz w:val="22"/>
          <w:szCs w:val="22"/>
        </w:rPr>
        <w:t>monohydrát</w:t>
      </w:r>
      <w:proofErr w:type="spellEnd"/>
      <w:r w:rsidRPr="004E20F7">
        <w:rPr>
          <w:rStyle w:val="st"/>
          <w:sz w:val="22"/>
          <w:szCs w:val="22"/>
        </w:rPr>
        <w:t xml:space="preserve"> kyseliny citrónovej</w:t>
      </w:r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proofErr w:type="spellStart"/>
      <w:r w:rsidRPr="004E20F7">
        <w:rPr>
          <w:rStyle w:val="st"/>
          <w:sz w:val="22"/>
          <w:szCs w:val="22"/>
        </w:rPr>
        <w:t>makrogol</w:t>
      </w:r>
      <w:proofErr w:type="spellEnd"/>
      <w:r w:rsidRPr="004E20F7">
        <w:rPr>
          <w:rStyle w:val="st"/>
          <w:sz w:val="22"/>
          <w:szCs w:val="22"/>
        </w:rPr>
        <w:t xml:space="preserve"> 6000</w:t>
      </w:r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r w:rsidRPr="004E20F7">
        <w:rPr>
          <w:rStyle w:val="st"/>
          <w:sz w:val="22"/>
          <w:szCs w:val="22"/>
        </w:rPr>
        <w:t>mikrokryštalická celulóza</w:t>
      </w:r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proofErr w:type="spellStart"/>
      <w:r w:rsidRPr="004E20F7">
        <w:rPr>
          <w:rStyle w:val="st"/>
          <w:sz w:val="22"/>
          <w:szCs w:val="22"/>
        </w:rPr>
        <w:t>magnéziumstearát</w:t>
      </w:r>
      <w:proofErr w:type="spellEnd"/>
    </w:p>
    <w:p w:rsidR="008804A7" w:rsidRDefault="00053DC5" w:rsidP="00ED34E1">
      <w:pPr>
        <w:tabs>
          <w:tab w:val="left" w:pos="567"/>
        </w:tabs>
        <w:ind w:right="423"/>
        <w:rPr>
          <w:rStyle w:val="st"/>
          <w:sz w:val="22"/>
          <w:szCs w:val="22"/>
        </w:rPr>
      </w:pPr>
      <w:proofErr w:type="spellStart"/>
      <w:r w:rsidRPr="004E20F7">
        <w:rPr>
          <w:rStyle w:val="st"/>
          <w:sz w:val="22"/>
          <w:szCs w:val="22"/>
        </w:rPr>
        <w:lastRenderedPageBreak/>
        <w:t>sorbitol</w:t>
      </w:r>
      <w:proofErr w:type="spellEnd"/>
    </w:p>
    <w:p w:rsidR="00053DC5" w:rsidRPr="004E20F7" w:rsidRDefault="00053DC5" w:rsidP="00ED34E1">
      <w:pPr>
        <w:tabs>
          <w:tab w:val="left" w:pos="567"/>
        </w:tabs>
        <w:ind w:right="423"/>
        <w:rPr>
          <w:sz w:val="22"/>
          <w:szCs w:val="22"/>
        </w:rPr>
      </w:pPr>
      <w:r w:rsidRPr="004E20F7">
        <w:rPr>
          <w:rStyle w:val="st"/>
          <w:sz w:val="22"/>
          <w:szCs w:val="22"/>
        </w:rPr>
        <w:t>čistená voda</w:t>
      </w:r>
    </w:p>
    <w:p w:rsidR="00341D48" w:rsidRPr="000B5A26" w:rsidRDefault="00341D48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417E81" w:rsidRDefault="003C47AF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6.</w:t>
      </w:r>
      <w:r w:rsidR="004E20F7">
        <w:rPr>
          <w:b/>
          <w:sz w:val="22"/>
          <w:szCs w:val="22"/>
        </w:rPr>
        <w:t>2</w:t>
      </w:r>
      <w:r w:rsidR="00A12F0E">
        <w:rPr>
          <w:b/>
          <w:sz w:val="22"/>
          <w:szCs w:val="22"/>
        </w:rPr>
        <w:tab/>
      </w:r>
      <w:r w:rsidR="00EF7081" w:rsidRPr="000B5A26">
        <w:rPr>
          <w:b/>
          <w:sz w:val="22"/>
          <w:szCs w:val="22"/>
        </w:rPr>
        <w:t>Inkompatibility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EF7081" w:rsidRPr="000B5A26" w:rsidRDefault="001B5805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  <w:r w:rsidRPr="000B5A26">
        <w:rPr>
          <w:rFonts w:ascii="Times New Roman" w:hAnsi="Times New Roman"/>
          <w:szCs w:val="22"/>
        </w:rPr>
        <w:t>Nea</w:t>
      </w:r>
      <w:r w:rsidR="008804A7">
        <w:rPr>
          <w:rFonts w:ascii="Times New Roman" w:hAnsi="Times New Roman"/>
          <w:szCs w:val="22"/>
        </w:rPr>
        <w:t>plikovateľné</w:t>
      </w:r>
      <w:r w:rsidR="00EF7081" w:rsidRPr="000B5A26">
        <w:rPr>
          <w:rFonts w:ascii="Times New Roman" w:hAnsi="Times New Roman"/>
          <w:szCs w:val="22"/>
        </w:rPr>
        <w:t>.</w:t>
      </w:r>
    </w:p>
    <w:p w:rsidR="00EF7081" w:rsidRPr="000B5A26" w:rsidRDefault="00EF7081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0B5A26" w:rsidRDefault="003C47AF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6.3</w:t>
      </w:r>
      <w:r w:rsidR="006B5756" w:rsidRPr="000B5A26">
        <w:rPr>
          <w:b/>
          <w:sz w:val="22"/>
          <w:szCs w:val="22"/>
        </w:rPr>
        <w:tab/>
      </w:r>
      <w:r w:rsidR="00EF7081" w:rsidRPr="000B5A26">
        <w:rPr>
          <w:b/>
          <w:sz w:val="22"/>
          <w:szCs w:val="22"/>
        </w:rPr>
        <w:t>Čas použiteľnosti</w:t>
      </w:r>
    </w:p>
    <w:p w:rsidR="00772049" w:rsidRPr="00417E81" w:rsidRDefault="00772049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EF7081" w:rsidRPr="000B5A26" w:rsidRDefault="00EF7081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  <w:r w:rsidRPr="000B5A26">
        <w:rPr>
          <w:rFonts w:ascii="Times New Roman" w:hAnsi="Times New Roman"/>
          <w:szCs w:val="22"/>
        </w:rPr>
        <w:t>3</w:t>
      </w:r>
      <w:r w:rsidR="00C4782F" w:rsidRPr="000B5A26">
        <w:rPr>
          <w:rFonts w:ascii="Times New Roman" w:hAnsi="Times New Roman"/>
          <w:szCs w:val="22"/>
        </w:rPr>
        <w:t xml:space="preserve"> roky</w:t>
      </w:r>
    </w:p>
    <w:p w:rsidR="00772049" w:rsidRPr="00E0009B" w:rsidRDefault="00772049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</w:p>
    <w:p w:rsidR="00EF7081" w:rsidRPr="00053DC5" w:rsidRDefault="00772049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53DC5">
        <w:rPr>
          <w:b/>
          <w:sz w:val="22"/>
          <w:szCs w:val="22"/>
        </w:rPr>
        <w:t>6.4</w:t>
      </w:r>
      <w:r w:rsidR="006B5756" w:rsidRPr="00053DC5">
        <w:rPr>
          <w:b/>
          <w:sz w:val="22"/>
          <w:szCs w:val="22"/>
        </w:rPr>
        <w:tab/>
      </w:r>
      <w:r w:rsidR="000825FF" w:rsidRPr="00053DC5">
        <w:rPr>
          <w:b/>
          <w:sz w:val="22"/>
          <w:szCs w:val="22"/>
        </w:rPr>
        <w:t>Špeciálne upozornenia na uchovávanie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EF7081" w:rsidRPr="000B5A26" w:rsidRDefault="00F41CFB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Uchováva</w:t>
      </w:r>
      <w:r w:rsidR="00C4782F" w:rsidRPr="00053DC5">
        <w:rPr>
          <w:sz w:val="22"/>
          <w:szCs w:val="22"/>
        </w:rPr>
        <w:t>jte</w:t>
      </w:r>
      <w:r w:rsidR="00772049" w:rsidRPr="00053DC5">
        <w:rPr>
          <w:sz w:val="22"/>
          <w:szCs w:val="22"/>
        </w:rPr>
        <w:t xml:space="preserve"> </w:t>
      </w:r>
      <w:r w:rsidR="00303576" w:rsidRPr="00053DC5">
        <w:rPr>
          <w:sz w:val="22"/>
          <w:szCs w:val="22"/>
        </w:rPr>
        <w:t xml:space="preserve">pri teplote do </w:t>
      </w:r>
      <w:r w:rsidR="00772049" w:rsidRPr="00053DC5">
        <w:rPr>
          <w:sz w:val="22"/>
          <w:szCs w:val="22"/>
        </w:rPr>
        <w:t>30</w:t>
      </w:r>
      <w:r w:rsidR="003F29E9" w:rsidRPr="00053DC5">
        <w:rPr>
          <w:sz w:val="22"/>
          <w:szCs w:val="22"/>
        </w:rPr>
        <w:t> </w:t>
      </w:r>
      <w:r w:rsidR="00303576" w:rsidRPr="000B5A26">
        <w:rPr>
          <w:sz w:val="22"/>
          <w:szCs w:val="22"/>
        </w:rPr>
        <w:sym w:font="Symbol" w:char="00B0"/>
      </w:r>
      <w:r w:rsidR="00303576" w:rsidRPr="000B5A26">
        <w:rPr>
          <w:sz w:val="22"/>
          <w:szCs w:val="22"/>
        </w:rPr>
        <w:t>C.</w:t>
      </w:r>
      <w:r w:rsidR="00772049" w:rsidRPr="000B5A26">
        <w:rPr>
          <w:sz w:val="22"/>
          <w:szCs w:val="22"/>
        </w:rPr>
        <w:t xml:space="preserve"> Uchováva</w:t>
      </w:r>
      <w:r w:rsidR="00C4782F" w:rsidRPr="000B5A26">
        <w:rPr>
          <w:sz w:val="22"/>
          <w:szCs w:val="22"/>
        </w:rPr>
        <w:t>jte</w:t>
      </w:r>
      <w:r w:rsidR="00772049" w:rsidRPr="000B5A26">
        <w:rPr>
          <w:sz w:val="22"/>
          <w:szCs w:val="22"/>
        </w:rPr>
        <w:t xml:space="preserve"> v pôvodnom obale.</w:t>
      </w:r>
    </w:p>
    <w:p w:rsidR="00C4782F" w:rsidRPr="000B5A26" w:rsidRDefault="00C4782F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EF7081" w:rsidRPr="000B5A26" w:rsidRDefault="00772049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6.</w:t>
      </w:r>
      <w:r w:rsidR="006B5756" w:rsidRPr="000B5A26">
        <w:rPr>
          <w:b/>
          <w:sz w:val="22"/>
          <w:szCs w:val="22"/>
        </w:rPr>
        <w:t>5</w:t>
      </w:r>
      <w:r w:rsidR="006B5756" w:rsidRPr="000B5A26">
        <w:rPr>
          <w:b/>
          <w:sz w:val="22"/>
          <w:szCs w:val="22"/>
        </w:rPr>
        <w:tab/>
      </w:r>
      <w:r w:rsidR="000825FF" w:rsidRPr="000B5A26">
        <w:rPr>
          <w:b/>
          <w:sz w:val="22"/>
          <w:szCs w:val="22"/>
        </w:rPr>
        <w:t>Druh obalu a obsah balenia</w:t>
      </w:r>
    </w:p>
    <w:p w:rsidR="00772049" w:rsidRPr="00417E81" w:rsidRDefault="00772049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</w:p>
    <w:p w:rsidR="00EF7081" w:rsidRDefault="00772049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  <w:r w:rsidRPr="000B5A26">
        <w:rPr>
          <w:rFonts w:ascii="Times New Roman" w:hAnsi="Times New Roman"/>
          <w:szCs w:val="22"/>
        </w:rPr>
        <w:t xml:space="preserve">Teplom formovateľný </w:t>
      </w:r>
      <w:proofErr w:type="spellStart"/>
      <w:r w:rsidRPr="000B5A26">
        <w:rPr>
          <w:rFonts w:ascii="Times New Roman" w:hAnsi="Times New Roman"/>
          <w:szCs w:val="22"/>
        </w:rPr>
        <w:t>blister</w:t>
      </w:r>
      <w:proofErr w:type="spellEnd"/>
      <w:r w:rsidRPr="000B5A26">
        <w:rPr>
          <w:rFonts w:ascii="Times New Roman" w:hAnsi="Times New Roman"/>
          <w:szCs w:val="22"/>
        </w:rPr>
        <w:t xml:space="preserve"> z tri-kompozitného </w:t>
      </w:r>
      <w:r w:rsidR="005E054F" w:rsidRPr="000B5A26">
        <w:rPr>
          <w:rFonts w:ascii="Times New Roman" w:hAnsi="Times New Roman"/>
          <w:szCs w:val="22"/>
        </w:rPr>
        <w:t>polyvinylchloridu (</w:t>
      </w:r>
      <w:r w:rsidR="00EF7081" w:rsidRPr="000B5A26">
        <w:rPr>
          <w:rFonts w:ascii="Times New Roman" w:hAnsi="Times New Roman"/>
          <w:szCs w:val="22"/>
        </w:rPr>
        <w:t>PVC</w:t>
      </w:r>
      <w:r w:rsidR="005E054F" w:rsidRPr="000B5A26">
        <w:rPr>
          <w:rFonts w:ascii="Times New Roman" w:hAnsi="Times New Roman"/>
          <w:szCs w:val="22"/>
        </w:rPr>
        <w:t>) polyetylénu (</w:t>
      </w:r>
      <w:r w:rsidR="00EF7081" w:rsidRPr="000B5A26">
        <w:rPr>
          <w:rFonts w:ascii="Times New Roman" w:hAnsi="Times New Roman"/>
          <w:szCs w:val="22"/>
        </w:rPr>
        <w:t>PE</w:t>
      </w:r>
      <w:r w:rsidR="005E054F" w:rsidRPr="000B5A26">
        <w:rPr>
          <w:rFonts w:ascii="Times New Roman" w:hAnsi="Times New Roman"/>
          <w:szCs w:val="22"/>
        </w:rPr>
        <w:t xml:space="preserve">) </w:t>
      </w:r>
      <w:proofErr w:type="spellStart"/>
      <w:r w:rsidR="005E054F" w:rsidRPr="000B5A26">
        <w:rPr>
          <w:rFonts w:ascii="Times New Roman" w:hAnsi="Times New Roman"/>
          <w:szCs w:val="22"/>
        </w:rPr>
        <w:t>polyvinylidín</w:t>
      </w:r>
      <w:proofErr w:type="spellEnd"/>
      <w:r w:rsidR="005E054F" w:rsidRPr="000B5A26">
        <w:rPr>
          <w:rFonts w:ascii="Times New Roman" w:hAnsi="Times New Roman"/>
          <w:szCs w:val="22"/>
        </w:rPr>
        <w:t xml:space="preserve"> chloridu (</w:t>
      </w:r>
      <w:r w:rsidR="00EF7081" w:rsidRPr="000B5A26">
        <w:rPr>
          <w:rFonts w:ascii="Times New Roman" w:hAnsi="Times New Roman"/>
          <w:szCs w:val="22"/>
        </w:rPr>
        <w:t>PVDC</w:t>
      </w:r>
      <w:r w:rsidR="005E054F" w:rsidRPr="000B5A26">
        <w:rPr>
          <w:rFonts w:ascii="Times New Roman" w:hAnsi="Times New Roman"/>
          <w:szCs w:val="22"/>
        </w:rPr>
        <w:t>)</w:t>
      </w:r>
      <w:r w:rsidR="008804A7">
        <w:rPr>
          <w:rFonts w:ascii="Times New Roman" w:hAnsi="Times New Roman"/>
          <w:szCs w:val="22"/>
        </w:rPr>
        <w:t>,</w:t>
      </w:r>
      <w:r w:rsidR="00EF7081" w:rsidRPr="000B5A26">
        <w:rPr>
          <w:rFonts w:ascii="Times New Roman" w:hAnsi="Times New Roman"/>
          <w:szCs w:val="22"/>
        </w:rPr>
        <w:t xml:space="preserve"> </w:t>
      </w:r>
      <w:r w:rsidRPr="000B5A26">
        <w:rPr>
          <w:rFonts w:ascii="Times New Roman" w:hAnsi="Times New Roman"/>
          <w:szCs w:val="22"/>
        </w:rPr>
        <w:t>teplom zapečatený alumínio</w:t>
      </w:r>
      <w:r w:rsidR="0014210B" w:rsidRPr="000B5A26">
        <w:rPr>
          <w:rFonts w:ascii="Times New Roman" w:hAnsi="Times New Roman"/>
          <w:szCs w:val="22"/>
        </w:rPr>
        <w:t>vo</w:t>
      </w:r>
      <w:r w:rsidRPr="000B5A26">
        <w:rPr>
          <w:rFonts w:ascii="Times New Roman" w:hAnsi="Times New Roman"/>
          <w:szCs w:val="22"/>
        </w:rPr>
        <w:t>u fóliou.</w:t>
      </w:r>
    </w:p>
    <w:p w:rsidR="00A12F0E" w:rsidRPr="000B5A26" w:rsidRDefault="00A12F0E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</w:p>
    <w:p w:rsidR="00334F75" w:rsidRPr="000B5A26" w:rsidRDefault="001B5805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  <w:r w:rsidRPr="000B5A26">
        <w:rPr>
          <w:rFonts w:ascii="Times New Roman" w:hAnsi="Times New Roman"/>
          <w:szCs w:val="22"/>
        </w:rPr>
        <w:t>Veľkosť balenia:</w:t>
      </w:r>
      <w:r w:rsidR="00C4782F" w:rsidRPr="000B5A26">
        <w:rPr>
          <w:rFonts w:ascii="Times New Roman" w:hAnsi="Times New Roman"/>
          <w:szCs w:val="22"/>
        </w:rPr>
        <w:t xml:space="preserve"> </w:t>
      </w:r>
      <w:r w:rsidR="00814F41" w:rsidRPr="000B5A26">
        <w:rPr>
          <w:rFonts w:ascii="Times New Roman" w:hAnsi="Times New Roman"/>
          <w:szCs w:val="22"/>
        </w:rPr>
        <w:t>6, 10, 12, 18, 20, 2</w:t>
      </w:r>
      <w:r w:rsidR="002314B9" w:rsidRPr="000B5A26">
        <w:rPr>
          <w:rFonts w:ascii="Times New Roman" w:hAnsi="Times New Roman"/>
          <w:szCs w:val="22"/>
        </w:rPr>
        <w:t xml:space="preserve"> x</w:t>
      </w:r>
      <w:r w:rsidR="00814F41" w:rsidRPr="000B5A26">
        <w:rPr>
          <w:rFonts w:ascii="Times New Roman" w:hAnsi="Times New Roman"/>
          <w:szCs w:val="22"/>
        </w:rPr>
        <w:t xml:space="preserve"> 6, 3</w:t>
      </w:r>
      <w:r w:rsidR="002314B9" w:rsidRPr="000B5A26">
        <w:rPr>
          <w:rFonts w:ascii="Times New Roman" w:hAnsi="Times New Roman"/>
          <w:szCs w:val="22"/>
        </w:rPr>
        <w:t xml:space="preserve"> x</w:t>
      </w:r>
      <w:r w:rsidR="00814F41" w:rsidRPr="000B5A26">
        <w:rPr>
          <w:rFonts w:ascii="Times New Roman" w:hAnsi="Times New Roman"/>
          <w:szCs w:val="22"/>
        </w:rPr>
        <w:t xml:space="preserve"> 6 alebo 2</w:t>
      </w:r>
      <w:r w:rsidR="002314B9" w:rsidRPr="000B5A26">
        <w:rPr>
          <w:rFonts w:ascii="Times New Roman" w:hAnsi="Times New Roman"/>
          <w:szCs w:val="22"/>
        </w:rPr>
        <w:t xml:space="preserve"> x</w:t>
      </w:r>
      <w:r w:rsidR="00814F41" w:rsidRPr="000B5A26">
        <w:rPr>
          <w:rFonts w:ascii="Times New Roman" w:hAnsi="Times New Roman"/>
          <w:szCs w:val="22"/>
        </w:rPr>
        <w:t xml:space="preserve"> 10 tvrdých pastiliek.</w:t>
      </w:r>
    </w:p>
    <w:p w:rsidR="00D0266B" w:rsidRPr="000B5A26" w:rsidRDefault="00D0266B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szCs w:val="22"/>
        </w:rPr>
      </w:pPr>
    </w:p>
    <w:p w:rsidR="00A01A31" w:rsidRPr="000B5A26" w:rsidRDefault="0034792D" w:rsidP="00417E81">
      <w:pPr>
        <w:keepNext/>
        <w:tabs>
          <w:tab w:val="left" w:pos="567"/>
        </w:tabs>
        <w:ind w:right="423"/>
        <w:rPr>
          <w:b/>
          <w:sz w:val="22"/>
          <w:szCs w:val="22"/>
        </w:rPr>
      </w:pPr>
      <w:r w:rsidRPr="000B5A26">
        <w:rPr>
          <w:b/>
          <w:sz w:val="22"/>
          <w:szCs w:val="22"/>
        </w:rPr>
        <w:t>6.6</w:t>
      </w:r>
      <w:r w:rsidR="00F03B2C" w:rsidRPr="000B5A26">
        <w:rPr>
          <w:b/>
          <w:sz w:val="22"/>
          <w:szCs w:val="22"/>
        </w:rPr>
        <w:tab/>
      </w:r>
      <w:r w:rsidR="00A01A31" w:rsidRPr="000B5A26">
        <w:rPr>
          <w:b/>
          <w:sz w:val="22"/>
          <w:szCs w:val="22"/>
        </w:rPr>
        <w:t>Špeciálne opatrenia na likvidáciu</w:t>
      </w:r>
    </w:p>
    <w:p w:rsidR="00A01A31" w:rsidRPr="00E0009B" w:rsidRDefault="00A01A31" w:rsidP="00417E81">
      <w:pPr>
        <w:keepNext/>
        <w:tabs>
          <w:tab w:val="left" w:pos="567"/>
        </w:tabs>
        <w:ind w:right="423"/>
        <w:rPr>
          <w:sz w:val="22"/>
          <w:szCs w:val="22"/>
        </w:rPr>
      </w:pPr>
    </w:p>
    <w:p w:rsidR="00A01A31" w:rsidRPr="00053DC5" w:rsidRDefault="00A01A31" w:rsidP="00ED34E1">
      <w:pPr>
        <w:tabs>
          <w:tab w:val="left" w:pos="567"/>
        </w:tabs>
        <w:ind w:right="423"/>
        <w:rPr>
          <w:sz w:val="22"/>
          <w:szCs w:val="22"/>
        </w:rPr>
      </w:pPr>
      <w:r w:rsidRPr="00053DC5">
        <w:rPr>
          <w:sz w:val="22"/>
          <w:szCs w:val="22"/>
        </w:rPr>
        <w:t>Žiadne zvláštne požiadavky.</w:t>
      </w:r>
    </w:p>
    <w:p w:rsidR="006B5756" w:rsidRDefault="006B5756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217184" w:rsidRDefault="00217184" w:rsidP="00ED34E1">
      <w:pPr>
        <w:tabs>
          <w:tab w:val="left" w:pos="567"/>
        </w:tabs>
        <w:ind w:right="423"/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:rsidR="00217184" w:rsidRPr="00417E81" w:rsidRDefault="00217184" w:rsidP="00ED34E1">
      <w:pPr>
        <w:tabs>
          <w:tab w:val="left" w:pos="567"/>
        </w:tabs>
        <w:ind w:right="423"/>
        <w:rPr>
          <w:sz w:val="22"/>
          <w:szCs w:val="22"/>
        </w:rPr>
      </w:pPr>
    </w:p>
    <w:p w:rsidR="00A01A31" w:rsidRPr="00053DC5" w:rsidRDefault="00A01A31" w:rsidP="00ED34E1">
      <w:pPr>
        <w:tabs>
          <w:tab w:val="left" w:pos="567"/>
        </w:tabs>
        <w:ind w:right="423"/>
        <w:rPr>
          <w:i/>
          <w:sz w:val="22"/>
          <w:szCs w:val="22"/>
        </w:rPr>
      </w:pPr>
    </w:p>
    <w:p w:rsidR="00AB7F52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t>DRŽITEĽ ROZHODNUTIA O REGISTRÁCII</w:t>
      </w:r>
    </w:p>
    <w:p w:rsidR="00AB7F52" w:rsidRPr="00417E81" w:rsidRDefault="00AB7F52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1268E1" w:rsidRDefault="001268E1" w:rsidP="001268E1">
      <w:pPr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1268E1" w:rsidRDefault="001268E1" w:rsidP="001268E1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</w:rPr>
        <w:t>Stadastrasse</w:t>
      </w:r>
      <w:proofErr w:type="spellEnd"/>
      <w:r>
        <w:rPr>
          <w:sz w:val="22"/>
          <w:szCs w:val="22"/>
        </w:rPr>
        <w:t xml:space="preserve"> 2-18</w:t>
      </w:r>
    </w:p>
    <w:p w:rsidR="001268E1" w:rsidRDefault="001268E1" w:rsidP="001268E1">
      <w:pPr>
        <w:rPr>
          <w:sz w:val="22"/>
          <w:szCs w:val="22"/>
        </w:rPr>
      </w:pPr>
      <w:r>
        <w:rPr>
          <w:sz w:val="22"/>
          <w:szCs w:val="22"/>
        </w:rPr>
        <w:t xml:space="preserve">61118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Vilbel</w:t>
      </w:r>
      <w:proofErr w:type="spellEnd"/>
    </w:p>
    <w:p w:rsidR="001268E1" w:rsidRPr="00D5268A" w:rsidDel="003B7979" w:rsidRDefault="001268E1" w:rsidP="001268E1">
      <w:pPr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EF7081" w:rsidRDefault="00EF7081" w:rsidP="00ED34E1">
      <w:pPr>
        <w:tabs>
          <w:tab w:val="num" w:pos="426"/>
          <w:tab w:val="left" w:pos="567"/>
        </w:tabs>
        <w:ind w:right="423"/>
        <w:rPr>
          <w:iCs/>
          <w:sz w:val="22"/>
          <w:szCs w:val="22"/>
        </w:rPr>
      </w:pPr>
    </w:p>
    <w:p w:rsidR="00DA4E8B" w:rsidRPr="000B5A26" w:rsidRDefault="00DA4E8B" w:rsidP="00ED34E1">
      <w:pPr>
        <w:tabs>
          <w:tab w:val="num" w:pos="426"/>
          <w:tab w:val="left" w:pos="567"/>
        </w:tabs>
        <w:ind w:right="423"/>
        <w:rPr>
          <w:iCs/>
          <w:sz w:val="22"/>
          <w:szCs w:val="22"/>
        </w:rPr>
      </w:pPr>
    </w:p>
    <w:p w:rsidR="00AB7F52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t>REGISTRAČNÉ ČÍSLO</w:t>
      </w:r>
    </w:p>
    <w:p w:rsidR="00EF7081" w:rsidRPr="00417E81" w:rsidRDefault="00EF7081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407296" w:rsidRPr="000B5A26" w:rsidRDefault="00407296" w:rsidP="00ED34E1">
      <w:pPr>
        <w:tabs>
          <w:tab w:val="num" w:pos="0"/>
          <w:tab w:val="left" w:pos="567"/>
        </w:tabs>
        <w:ind w:right="423"/>
        <w:rPr>
          <w:sz w:val="22"/>
          <w:szCs w:val="22"/>
        </w:rPr>
      </w:pPr>
      <w:r w:rsidRPr="000B5A26">
        <w:rPr>
          <w:sz w:val="22"/>
          <w:szCs w:val="22"/>
        </w:rPr>
        <w:t xml:space="preserve">69/0614/08-S </w:t>
      </w:r>
    </w:p>
    <w:p w:rsidR="00EF7081" w:rsidRPr="000B5A26" w:rsidRDefault="00EF7081" w:rsidP="00ED34E1">
      <w:pPr>
        <w:tabs>
          <w:tab w:val="num" w:pos="0"/>
          <w:tab w:val="left" w:pos="567"/>
        </w:tabs>
        <w:ind w:right="423"/>
        <w:rPr>
          <w:iCs/>
          <w:sz w:val="22"/>
          <w:szCs w:val="22"/>
        </w:rPr>
      </w:pPr>
    </w:p>
    <w:p w:rsidR="006B5756" w:rsidRPr="00E0009B" w:rsidRDefault="006B5756" w:rsidP="00ED34E1">
      <w:pPr>
        <w:tabs>
          <w:tab w:val="num" w:pos="0"/>
          <w:tab w:val="left" w:pos="567"/>
        </w:tabs>
        <w:ind w:right="423"/>
        <w:rPr>
          <w:iCs/>
          <w:sz w:val="22"/>
          <w:szCs w:val="22"/>
        </w:rPr>
      </w:pPr>
    </w:p>
    <w:p w:rsidR="00AB7F52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t>DÁTUM PRVEJ REGISTRÁCIE/ PREDĹŽENIA REGISTRÁCIE</w:t>
      </w:r>
    </w:p>
    <w:p w:rsidR="00AB7F52" w:rsidRPr="00417E81" w:rsidRDefault="00AB7F52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EF7081" w:rsidRDefault="00FE6E50" w:rsidP="00ED34E1">
      <w:pPr>
        <w:tabs>
          <w:tab w:val="num" w:pos="0"/>
          <w:tab w:val="left" w:pos="567"/>
        </w:tabs>
        <w:ind w:right="423"/>
        <w:rPr>
          <w:iCs/>
          <w:sz w:val="22"/>
          <w:szCs w:val="22"/>
        </w:rPr>
      </w:pPr>
      <w:r w:rsidRPr="00053DC5">
        <w:rPr>
          <w:iCs/>
          <w:sz w:val="22"/>
          <w:szCs w:val="22"/>
        </w:rPr>
        <w:t xml:space="preserve">Dátum prvej registrácie: </w:t>
      </w:r>
      <w:r w:rsidR="00A75CAD" w:rsidRPr="00053DC5">
        <w:rPr>
          <w:iCs/>
          <w:sz w:val="22"/>
          <w:szCs w:val="22"/>
        </w:rPr>
        <w:t>24.11.2008</w:t>
      </w:r>
    </w:p>
    <w:p w:rsidR="00DA4E8B" w:rsidRPr="00DA4E8B" w:rsidRDefault="00DA4E8B" w:rsidP="00ED34E1">
      <w:pPr>
        <w:tabs>
          <w:tab w:val="num" w:pos="0"/>
          <w:tab w:val="left" w:pos="567"/>
        </w:tabs>
        <w:ind w:right="42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Dátum posledného predĺženia: </w:t>
      </w:r>
      <w:r w:rsidRPr="00DA4E8B">
        <w:rPr>
          <w:iCs/>
          <w:sz w:val="22"/>
          <w:szCs w:val="22"/>
        </w:rPr>
        <w:t>14.03.2013</w:t>
      </w:r>
    </w:p>
    <w:p w:rsidR="00A75CAD" w:rsidRPr="000B5A26" w:rsidRDefault="00A75CAD" w:rsidP="00ED34E1">
      <w:pPr>
        <w:tabs>
          <w:tab w:val="num" w:pos="0"/>
          <w:tab w:val="left" w:pos="567"/>
        </w:tabs>
        <w:ind w:right="423"/>
        <w:rPr>
          <w:iCs/>
          <w:sz w:val="22"/>
          <w:szCs w:val="22"/>
        </w:rPr>
      </w:pPr>
    </w:p>
    <w:p w:rsidR="00A75CAD" w:rsidRPr="000B5A26" w:rsidRDefault="00A75CAD" w:rsidP="00ED34E1">
      <w:pPr>
        <w:tabs>
          <w:tab w:val="num" w:pos="0"/>
          <w:tab w:val="left" w:pos="567"/>
        </w:tabs>
        <w:ind w:right="423"/>
        <w:rPr>
          <w:iCs/>
          <w:sz w:val="22"/>
          <w:szCs w:val="22"/>
        </w:rPr>
      </w:pPr>
    </w:p>
    <w:p w:rsidR="00EF7081" w:rsidRPr="00417E81" w:rsidRDefault="00AB7F52" w:rsidP="00417E81">
      <w:pPr>
        <w:keepNext/>
        <w:numPr>
          <w:ilvl w:val="0"/>
          <w:numId w:val="1"/>
        </w:numPr>
        <w:tabs>
          <w:tab w:val="clear" w:pos="705"/>
          <w:tab w:val="num" w:pos="0"/>
          <w:tab w:val="left" w:pos="567"/>
        </w:tabs>
        <w:ind w:left="0" w:right="423" w:firstLine="0"/>
        <w:rPr>
          <w:b/>
          <w:caps/>
          <w:sz w:val="22"/>
          <w:szCs w:val="22"/>
        </w:rPr>
      </w:pPr>
      <w:r w:rsidRPr="00417E81">
        <w:rPr>
          <w:b/>
          <w:caps/>
          <w:sz w:val="22"/>
          <w:szCs w:val="22"/>
        </w:rPr>
        <w:t>DÁTUM REVÍZIE TEXTU</w:t>
      </w:r>
    </w:p>
    <w:p w:rsidR="00FE6E50" w:rsidRPr="00417E81" w:rsidRDefault="00FE6E50" w:rsidP="00417E81">
      <w:pPr>
        <w:keepNext/>
        <w:tabs>
          <w:tab w:val="left" w:pos="567"/>
        </w:tabs>
        <w:ind w:right="423"/>
        <w:rPr>
          <w:b/>
          <w:caps/>
          <w:sz w:val="22"/>
          <w:szCs w:val="22"/>
        </w:rPr>
      </w:pPr>
    </w:p>
    <w:p w:rsidR="00EF7081" w:rsidRPr="00E0009B" w:rsidRDefault="00415C4F" w:rsidP="00ED34E1">
      <w:pPr>
        <w:pStyle w:val="Zarkazkladnhotextu"/>
        <w:tabs>
          <w:tab w:val="left" w:pos="567"/>
        </w:tabs>
        <w:ind w:left="0" w:right="423"/>
        <w:jc w:val="left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September </w:t>
      </w:r>
      <w:r w:rsidR="001268E1">
        <w:rPr>
          <w:rFonts w:ascii="Times New Roman" w:hAnsi="Times New Roman"/>
          <w:iCs/>
          <w:szCs w:val="22"/>
        </w:rPr>
        <w:t>2020</w:t>
      </w:r>
    </w:p>
    <w:sectPr w:rsidR="00EF7081" w:rsidRPr="00E0009B" w:rsidSect="00381E7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851" w:footer="851" w:gutter="56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F6C" w:rsidRDefault="00713F6C">
      <w:r>
        <w:separator/>
      </w:r>
    </w:p>
  </w:endnote>
  <w:endnote w:type="continuationSeparator" w:id="0">
    <w:p w:rsidR="00713F6C" w:rsidRDefault="0071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09" w:rsidRDefault="004803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A260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A2609">
      <w:rPr>
        <w:rStyle w:val="slostrany"/>
        <w:noProof/>
      </w:rPr>
      <w:t>1</w:t>
    </w:r>
    <w:r>
      <w:rPr>
        <w:rStyle w:val="slostrany"/>
      </w:rPr>
      <w:fldChar w:fldCharType="end"/>
    </w:r>
  </w:p>
  <w:p w:rsidR="00EA2609" w:rsidRDefault="00EA260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09" w:rsidRPr="00053DC5" w:rsidRDefault="004803AF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053DC5">
      <w:rPr>
        <w:rStyle w:val="slostrany"/>
        <w:sz w:val="18"/>
        <w:szCs w:val="18"/>
      </w:rPr>
      <w:fldChar w:fldCharType="begin"/>
    </w:r>
    <w:r w:rsidR="00EA2609" w:rsidRPr="00053DC5">
      <w:rPr>
        <w:rStyle w:val="slostrany"/>
        <w:sz w:val="18"/>
        <w:szCs w:val="18"/>
      </w:rPr>
      <w:instrText xml:space="preserve">PAGE  </w:instrText>
    </w:r>
    <w:r w:rsidRPr="00053DC5">
      <w:rPr>
        <w:rStyle w:val="slostrany"/>
        <w:sz w:val="18"/>
        <w:szCs w:val="18"/>
      </w:rPr>
      <w:fldChar w:fldCharType="separate"/>
    </w:r>
    <w:r w:rsidR="00166D6E">
      <w:rPr>
        <w:rStyle w:val="slostrany"/>
        <w:noProof/>
        <w:sz w:val="18"/>
        <w:szCs w:val="18"/>
      </w:rPr>
      <w:t>4</w:t>
    </w:r>
    <w:r w:rsidRPr="00053DC5">
      <w:rPr>
        <w:rStyle w:val="slostrany"/>
        <w:sz w:val="18"/>
        <w:szCs w:val="18"/>
      </w:rPr>
      <w:fldChar w:fldCharType="end"/>
    </w:r>
  </w:p>
  <w:p w:rsidR="00EA2609" w:rsidRDefault="00EA260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F6C" w:rsidRDefault="00713F6C">
      <w:r>
        <w:separator/>
      </w:r>
    </w:p>
  </w:footnote>
  <w:footnote w:type="continuationSeparator" w:id="0">
    <w:p w:rsidR="00713F6C" w:rsidRDefault="00713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E1" w:rsidRDefault="001268E1">
    <w:pPr>
      <w:pStyle w:val="Hlavika"/>
    </w:pPr>
    <w:r w:rsidRPr="002C10F5">
      <w:rPr>
        <w:bCs/>
        <w:sz w:val="18"/>
        <w:szCs w:val="18"/>
        <w:lang w:val="cs-CZ"/>
      </w:rPr>
      <w:t>Schválený text k </w:t>
    </w:r>
    <w:proofErr w:type="spellStart"/>
    <w:r w:rsidRPr="002C10F5">
      <w:rPr>
        <w:bCs/>
        <w:sz w:val="18"/>
        <w:szCs w:val="18"/>
        <w:lang w:val="cs-CZ"/>
      </w:rPr>
      <w:t>rozhodnutiu</w:t>
    </w:r>
    <w:proofErr w:type="spellEnd"/>
    <w:r w:rsidRPr="002C10F5">
      <w:rPr>
        <w:bCs/>
        <w:sz w:val="18"/>
        <w:szCs w:val="18"/>
        <w:lang w:val="cs-CZ"/>
      </w:rPr>
      <w:t xml:space="preserve"> o </w:t>
    </w:r>
    <w:proofErr w:type="spellStart"/>
    <w:r w:rsidRPr="002C10F5">
      <w:rPr>
        <w:bCs/>
        <w:sz w:val="18"/>
        <w:szCs w:val="18"/>
        <w:lang w:val="cs-CZ"/>
      </w:rPr>
      <w:t>prevode</w:t>
    </w:r>
    <w:proofErr w:type="spellEnd"/>
    <w:r w:rsidRPr="002C10F5">
      <w:rPr>
        <w:bCs/>
        <w:sz w:val="18"/>
        <w:szCs w:val="18"/>
        <w:lang w:val="cs-CZ"/>
      </w:rPr>
      <w:t xml:space="preserve">, ev. č.: </w:t>
    </w:r>
    <w:r w:rsidR="00397FD6">
      <w:rPr>
        <w:sz w:val="18"/>
        <w:szCs w:val="18"/>
      </w:rPr>
      <w:t>2020/03974-TR</w:t>
    </w:r>
    <w:r w:rsidR="00397FD6" w:rsidRPr="00D5268A" w:rsidDel="00397FD6">
      <w:rPr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8E1" w:rsidRPr="00D5268A" w:rsidRDefault="001268E1" w:rsidP="001268E1">
    <w:pPr>
      <w:pStyle w:val="Hlavika"/>
      <w:rPr>
        <w:sz w:val="18"/>
        <w:szCs w:val="18"/>
      </w:rPr>
    </w:pPr>
    <w:r w:rsidRPr="002C10F5">
      <w:rPr>
        <w:bCs/>
        <w:sz w:val="18"/>
        <w:szCs w:val="18"/>
        <w:lang w:val="cs-CZ"/>
      </w:rPr>
      <w:t>Schválený text k </w:t>
    </w:r>
    <w:proofErr w:type="spellStart"/>
    <w:r w:rsidRPr="002C10F5">
      <w:rPr>
        <w:bCs/>
        <w:sz w:val="18"/>
        <w:szCs w:val="18"/>
        <w:lang w:val="cs-CZ"/>
      </w:rPr>
      <w:t>rozhodnutiu</w:t>
    </w:r>
    <w:proofErr w:type="spellEnd"/>
    <w:r w:rsidRPr="002C10F5">
      <w:rPr>
        <w:bCs/>
        <w:sz w:val="18"/>
        <w:szCs w:val="18"/>
        <w:lang w:val="cs-CZ"/>
      </w:rPr>
      <w:t xml:space="preserve"> o </w:t>
    </w:r>
    <w:proofErr w:type="spellStart"/>
    <w:r w:rsidRPr="002C10F5">
      <w:rPr>
        <w:bCs/>
        <w:sz w:val="18"/>
        <w:szCs w:val="18"/>
        <w:lang w:val="cs-CZ"/>
      </w:rPr>
      <w:t>prevode</w:t>
    </w:r>
    <w:proofErr w:type="spellEnd"/>
    <w:r w:rsidRPr="002C10F5">
      <w:rPr>
        <w:bCs/>
        <w:sz w:val="18"/>
        <w:szCs w:val="18"/>
        <w:lang w:val="cs-CZ"/>
      </w:rPr>
      <w:t xml:space="preserve">, ev. č.: </w:t>
    </w:r>
    <w:r w:rsidR="00583037">
      <w:rPr>
        <w:sz w:val="18"/>
        <w:szCs w:val="18"/>
      </w:rPr>
      <w:t>2020/03974-TR</w:t>
    </w:r>
  </w:p>
  <w:p w:rsidR="001268E1" w:rsidRDefault="001268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94942"/>
    <w:multiLevelType w:val="hybridMultilevel"/>
    <w:tmpl w:val="712881B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BA50A8"/>
    <w:multiLevelType w:val="hybridMultilevel"/>
    <w:tmpl w:val="1A42CF9A"/>
    <w:lvl w:ilvl="0" w:tplc="AF04B1B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082395"/>
    <w:multiLevelType w:val="multilevel"/>
    <w:tmpl w:val="D47077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72172325"/>
    <w:multiLevelType w:val="multilevel"/>
    <w:tmpl w:val="E3B4FB0C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4E00B36"/>
    <w:multiLevelType w:val="hybridMultilevel"/>
    <w:tmpl w:val="75B04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E8"/>
    <w:rsid w:val="00017505"/>
    <w:rsid w:val="00022639"/>
    <w:rsid w:val="0002641C"/>
    <w:rsid w:val="00033717"/>
    <w:rsid w:val="00052F1F"/>
    <w:rsid w:val="00053DC5"/>
    <w:rsid w:val="00063B41"/>
    <w:rsid w:val="00073A14"/>
    <w:rsid w:val="000771A2"/>
    <w:rsid w:val="000809EE"/>
    <w:rsid w:val="0008256C"/>
    <w:rsid w:val="000825FF"/>
    <w:rsid w:val="00086DC5"/>
    <w:rsid w:val="00094DE3"/>
    <w:rsid w:val="000A5D3F"/>
    <w:rsid w:val="000B4461"/>
    <w:rsid w:val="000B5A26"/>
    <w:rsid w:val="000B67D6"/>
    <w:rsid w:val="000D3AB2"/>
    <w:rsid w:val="000E2136"/>
    <w:rsid w:val="000E32E2"/>
    <w:rsid w:val="000F7B9B"/>
    <w:rsid w:val="00111E9D"/>
    <w:rsid w:val="00121824"/>
    <w:rsid w:val="001268E1"/>
    <w:rsid w:val="00127B0D"/>
    <w:rsid w:val="001318B8"/>
    <w:rsid w:val="00133007"/>
    <w:rsid w:val="0014210B"/>
    <w:rsid w:val="001424AB"/>
    <w:rsid w:val="001443D1"/>
    <w:rsid w:val="001531E0"/>
    <w:rsid w:val="00161C9A"/>
    <w:rsid w:val="0016499B"/>
    <w:rsid w:val="00166D6E"/>
    <w:rsid w:val="00170CA9"/>
    <w:rsid w:val="00176BAF"/>
    <w:rsid w:val="00184205"/>
    <w:rsid w:val="00186E15"/>
    <w:rsid w:val="001A1068"/>
    <w:rsid w:val="001A737A"/>
    <w:rsid w:val="001B2024"/>
    <w:rsid w:val="001B3595"/>
    <w:rsid w:val="001B5805"/>
    <w:rsid w:val="001C2ECE"/>
    <w:rsid w:val="001C49F5"/>
    <w:rsid w:val="001C4A1B"/>
    <w:rsid w:val="001C66B7"/>
    <w:rsid w:val="001E1286"/>
    <w:rsid w:val="001E206D"/>
    <w:rsid w:val="001E6E37"/>
    <w:rsid w:val="001F1468"/>
    <w:rsid w:val="00210E68"/>
    <w:rsid w:val="00213ECD"/>
    <w:rsid w:val="00214376"/>
    <w:rsid w:val="00216A66"/>
    <w:rsid w:val="00217184"/>
    <w:rsid w:val="0021747E"/>
    <w:rsid w:val="00223EC7"/>
    <w:rsid w:val="00224A9B"/>
    <w:rsid w:val="00227F5B"/>
    <w:rsid w:val="002314B9"/>
    <w:rsid w:val="00234697"/>
    <w:rsid w:val="00263AA6"/>
    <w:rsid w:val="00274CB3"/>
    <w:rsid w:val="0027661D"/>
    <w:rsid w:val="00280104"/>
    <w:rsid w:val="00291539"/>
    <w:rsid w:val="002A04C4"/>
    <w:rsid w:val="002A7C21"/>
    <w:rsid w:val="002C37A5"/>
    <w:rsid w:val="002D03DB"/>
    <w:rsid w:val="002E1D96"/>
    <w:rsid w:val="002E2F04"/>
    <w:rsid w:val="002F3F49"/>
    <w:rsid w:val="00303576"/>
    <w:rsid w:val="003077AA"/>
    <w:rsid w:val="003122F4"/>
    <w:rsid w:val="00314BDC"/>
    <w:rsid w:val="003172D2"/>
    <w:rsid w:val="00317CF0"/>
    <w:rsid w:val="00324B33"/>
    <w:rsid w:val="00327FCC"/>
    <w:rsid w:val="0033059F"/>
    <w:rsid w:val="00334F75"/>
    <w:rsid w:val="00337305"/>
    <w:rsid w:val="00341D48"/>
    <w:rsid w:val="0034792D"/>
    <w:rsid w:val="00350ADC"/>
    <w:rsid w:val="00363CCA"/>
    <w:rsid w:val="003653B1"/>
    <w:rsid w:val="00366E58"/>
    <w:rsid w:val="00372A02"/>
    <w:rsid w:val="00381E79"/>
    <w:rsid w:val="0038748A"/>
    <w:rsid w:val="00397FD6"/>
    <w:rsid w:val="003A121D"/>
    <w:rsid w:val="003B1A4E"/>
    <w:rsid w:val="003B6492"/>
    <w:rsid w:val="003C0ABE"/>
    <w:rsid w:val="003C126F"/>
    <w:rsid w:val="003C47AF"/>
    <w:rsid w:val="003E3BF7"/>
    <w:rsid w:val="003F29E9"/>
    <w:rsid w:val="003F6F70"/>
    <w:rsid w:val="00407296"/>
    <w:rsid w:val="00414702"/>
    <w:rsid w:val="00415C4F"/>
    <w:rsid w:val="00417E81"/>
    <w:rsid w:val="00423B8D"/>
    <w:rsid w:val="00440A20"/>
    <w:rsid w:val="00454C09"/>
    <w:rsid w:val="00475FED"/>
    <w:rsid w:val="004803AF"/>
    <w:rsid w:val="004818FD"/>
    <w:rsid w:val="00483A6D"/>
    <w:rsid w:val="0049502A"/>
    <w:rsid w:val="004957DE"/>
    <w:rsid w:val="004968D4"/>
    <w:rsid w:val="004A0F00"/>
    <w:rsid w:val="004B0CE2"/>
    <w:rsid w:val="004C183E"/>
    <w:rsid w:val="004E1D9F"/>
    <w:rsid w:val="004E20F7"/>
    <w:rsid w:val="004E6C3E"/>
    <w:rsid w:val="00505268"/>
    <w:rsid w:val="0050691E"/>
    <w:rsid w:val="00532AEF"/>
    <w:rsid w:val="0053660D"/>
    <w:rsid w:val="00545ABB"/>
    <w:rsid w:val="005519D7"/>
    <w:rsid w:val="005603DE"/>
    <w:rsid w:val="00564727"/>
    <w:rsid w:val="005723AF"/>
    <w:rsid w:val="00580107"/>
    <w:rsid w:val="00581AFC"/>
    <w:rsid w:val="00583037"/>
    <w:rsid w:val="005B13EC"/>
    <w:rsid w:val="005B2EAE"/>
    <w:rsid w:val="005C259F"/>
    <w:rsid w:val="005C4246"/>
    <w:rsid w:val="005D0F16"/>
    <w:rsid w:val="005D597E"/>
    <w:rsid w:val="005E054F"/>
    <w:rsid w:val="005E4CA1"/>
    <w:rsid w:val="0060463E"/>
    <w:rsid w:val="00615911"/>
    <w:rsid w:val="00625AC5"/>
    <w:rsid w:val="00632084"/>
    <w:rsid w:val="00632F7A"/>
    <w:rsid w:val="00682D88"/>
    <w:rsid w:val="00692063"/>
    <w:rsid w:val="00693798"/>
    <w:rsid w:val="006B0743"/>
    <w:rsid w:val="006B5756"/>
    <w:rsid w:val="006B7CEC"/>
    <w:rsid w:val="006D691D"/>
    <w:rsid w:val="006F4CD8"/>
    <w:rsid w:val="006F5220"/>
    <w:rsid w:val="006F7A8F"/>
    <w:rsid w:val="00713F6C"/>
    <w:rsid w:val="00716C46"/>
    <w:rsid w:val="0072332C"/>
    <w:rsid w:val="00723590"/>
    <w:rsid w:val="00725F24"/>
    <w:rsid w:val="0073065F"/>
    <w:rsid w:val="007675F0"/>
    <w:rsid w:val="00772049"/>
    <w:rsid w:val="0077601D"/>
    <w:rsid w:val="00783159"/>
    <w:rsid w:val="0078393A"/>
    <w:rsid w:val="007912E5"/>
    <w:rsid w:val="007B69D0"/>
    <w:rsid w:val="007C1F50"/>
    <w:rsid w:val="007C7FBD"/>
    <w:rsid w:val="007E27AB"/>
    <w:rsid w:val="007F628E"/>
    <w:rsid w:val="00807BEE"/>
    <w:rsid w:val="00814F41"/>
    <w:rsid w:val="00827915"/>
    <w:rsid w:val="0084210B"/>
    <w:rsid w:val="00842D5F"/>
    <w:rsid w:val="0084517D"/>
    <w:rsid w:val="00852EF9"/>
    <w:rsid w:val="00857E15"/>
    <w:rsid w:val="00861CD5"/>
    <w:rsid w:val="0086395A"/>
    <w:rsid w:val="00863C0C"/>
    <w:rsid w:val="00865F62"/>
    <w:rsid w:val="00866831"/>
    <w:rsid w:val="008804A7"/>
    <w:rsid w:val="00880DA1"/>
    <w:rsid w:val="008813AD"/>
    <w:rsid w:val="00885C25"/>
    <w:rsid w:val="008935A6"/>
    <w:rsid w:val="00897D6E"/>
    <w:rsid w:val="008C6865"/>
    <w:rsid w:val="008E2BBE"/>
    <w:rsid w:val="008E646C"/>
    <w:rsid w:val="008F651F"/>
    <w:rsid w:val="00930ACE"/>
    <w:rsid w:val="0093101E"/>
    <w:rsid w:val="009448C3"/>
    <w:rsid w:val="00961521"/>
    <w:rsid w:val="009620D2"/>
    <w:rsid w:val="009673C2"/>
    <w:rsid w:val="00971045"/>
    <w:rsid w:val="00973E5F"/>
    <w:rsid w:val="0099145B"/>
    <w:rsid w:val="009A0B7A"/>
    <w:rsid w:val="009B54C9"/>
    <w:rsid w:val="009B6B79"/>
    <w:rsid w:val="009D76D7"/>
    <w:rsid w:val="009E274B"/>
    <w:rsid w:val="009F3DC4"/>
    <w:rsid w:val="009F3F6C"/>
    <w:rsid w:val="00A01A31"/>
    <w:rsid w:val="00A12F0E"/>
    <w:rsid w:val="00A159C2"/>
    <w:rsid w:val="00A16B86"/>
    <w:rsid w:val="00A17D2E"/>
    <w:rsid w:val="00A256D0"/>
    <w:rsid w:val="00A27BCE"/>
    <w:rsid w:val="00A27D44"/>
    <w:rsid w:val="00A34DF6"/>
    <w:rsid w:val="00A36AC9"/>
    <w:rsid w:val="00A47E0F"/>
    <w:rsid w:val="00A652E0"/>
    <w:rsid w:val="00A75CAD"/>
    <w:rsid w:val="00A81B18"/>
    <w:rsid w:val="00A8469B"/>
    <w:rsid w:val="00A852C9"/>
    <w:rsid w:val="00AA2F58"/>
    <w:rsid w:val="00AB7F52"/>
    <w:rsid w:val="00AD3F38"/>
    <w:rsid w:val="00AD7A9D"/>
    <w:rsid w:val="00AD7EF7"/>
    <w:rsid w:val="00AE17F1"/>
    <w:rsid w:val="00AF2354"/>
    <w:rsid w:val="00B05B8B"/>
    <w:rsid w:val="00B06AC1"/>
    <w:rsid w:val="00B06CF7"/>
    <w:rsid w:val="00B117F0"/>
    <w:rsid w:val="00B13B2A"/>
    <w:rsid w:val="00B2180F"/>
    <w:rsid w:val="00B62B14"/>
    <w:rsid w:val="00B64427"/>
    <w:rsid w:val="00B9110E"/>
    <w:rsid w:val="00BA12C2"/>
    <w:rsid w:val="00BB27F1"/>
    <w:rsid w:val="00BB3DD6"/>
    <w:rsid w:val="00BC52F4"/>
    <w:rsid w:val="00BE2DE2"/>
    <w:rsid w:val="00BE339C"/>
    <w:rsid w:val="00C01A5A"/>
    <w:rsid w:val="00C078BB"/>
    <w:rsid w:val="00C14714"/>
    <w:rsid w:val="00C27D15"/>
    <w:rsid w:val="00C47777"/>
    <w:rsid w:val="00C4782F"/>
    <w:rsid w:val="00C51335"/>
    <w:rsid w:val="00C53169"/>
    <w:rsid w:val="00C5550A"/>
    <w:rsid w:val="00C55D60"/>
    <w:rsid w:val="00C67202"/>
    <w:rsid w:val="00C84646"/>
    <w:rsid w:val="00C96348"/>
    <w:rsid w:val="00C96492"/>
    <w:rsid w:val="00CA0888"/>
    <w:rsid w:val="00CA7044"/>
    <w:rsid w:val="00CA7E32"/>
    <w:rsid w:val="00CB0C14"/>
    <w:rsid w:val="00CC304E"/>
    <w:rsid w:val="00CD6A43"/>
    <w:rsid w:val="00CD6B61"/>
    <w:rsid w:val="00CD6B6A"/>
    <w:rsid w:val="00CE4C70"/>
    <w:rsid w:val="00D0266B"/>
    <w:rsid w:val="00D0281A"/>
    <w:rsid w:val="00D06C9F"/>
    <w:rsid w:val="00D24F97"/>
    <w:rsid w:val="00D46169"/>
    <w:rsid w:val="00D53BCC"/>
    <w:rsid w:val="00D562C9"/>
    <w:rsid w:val="00D67F21"/>
    <w:rsid w:val="00D76F06"/>
    <w:rsid w:val="00D96187"/>
    <w:rsid w:val="00DA4E8B"/>
    <w:rsid w:val="00DB0EE5"/>
    <w:rsid w:val="00DB6971"/>
    <w:rsid w:val="00DB6BDF"/>
    <w:rsid w:val="00DB7DE7"/>
    <w:rsid w:val="00DD2923"/>
    <w:rsid w:val="00DD62FF"/>
    <w:rsid w:val="00DD7229"/>
    <w:rsid w:val="00DF5B81"/>
    <w:rsid w:val="00E0009B"/>
    <w:rsid w:val="00E05195"/>
    <w:rsid w:val="00E22277"/>
    <w:rsid w:val="00E26F64"/>
    <w:rsid w:val="00E27908"/>
    <w:rsid w:val="00E35308"/>
    <w:rsid w:val="00E360E8"/>
    <w:rsid w:val="00E43837"/>
    <w:rsid w:val="00E448BB"/>
    <w:rsid w:val="00E5254A"/>
    <w:rsid w:val="00E52FDE"/>
    <w:rsid w:val="00E6437F"/>
    <w:rsid w:val="00E66816"/>
    <w:rsid w:val="00E92EAB"/>
    <w:rsid w:val="00EA06D4"/>
    <w:rsid w:val="00EA2609"/>
    <w:rsid w:val="00EB0E4E"/>
    <w:rsid w:val="00EC6646"/>
    <w:rsid w:val="00ED1AED"/>
    <w:rsid w:val="00ED34E1"/>
    <w:rsid w:val="00ED5ECE"/>
    <w:rsid w:val="00EE0DDA"/>
    <w:rsid w:val="00EE194D"/>
    <w:rsid w:val="00EF5910"/>
    <w:rsid w:val="00EF7081"/>
    <w:rsid w:val="00F03B2C"/>
    <w:rsid w:val="00F10BC9"/>
    <w:rsid w:val="00F16062"/>
    <w:rsid w:val="00F3299C"/>
    <w:rsid w:val="00F41CFB"/>
    <w:rsid w:val="00F44DE0"/>
    <w:rsid w:val="00F8413B"/>
    <w:rsid w:val="00F86C1B"/>
    <w:rsid w:val="00F93A28"/>
    <w:rsid w:val="00FA5FD3"/>
    <w:rsid w:val="00FB673B"/>
    <w:rsid w:val="00FB6CD6"/>
    <w:rsid w:val="00FC4B8A"/>
    <w:rsid w:val="00FC6064"/>
    <w:rsid w:val="00FD25F6"/>
    <w:rsid w:val="00FE446F"/>
    <w:rsid w:val="00FE6E50"/>
    <w:rsid w:val="00FF08DC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C90277-DC57-4442-9AAE-E3C03D61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31E0"/>
  </w:style>
  <w:style w:type="paragraph" w:styleId="Nadpis1">
    <w:name w:val="heading 1"/>
    <w:basedOn w:val="Normlny"/>
    <w:next w:val="Normlny"/>
    <w:qFormat/>
    <w:rsid w:val="00381E79"/>
    <w:pPr>
      <w:keepNext/>
      <w:ind w:left="708"/>
      <w:jc w:val="both"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y"/>
    <w:next w:val="Normlny"/>
    <w:link w:val="Nadpis2Char"/>
    <w:qFormat/>
    <w:rsid w:val="00381E79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y"/>
    <w:next w:val="Normlny"/>
    <w:qFormat/>
    <w:rsid w:val="00381E79"/>
    <w:pPr>
      <w:keepNext/>
      <w:ind w:left="720"/>
      <w:jc w:val="both"/>
      <w:outlineLvl w:val="2"/>
    </w:pPr>
    <w:rPr>
      <w:rFonts w:ascii="Arial" w:hAnsi="Arial" w:cs="Arial"/>
      <w:i/>
      <w:color w:val="FF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381E79"/>
    <w:pPr>
      <w:spacing w:line="360" w:lineRule="auto"/>
      <w:jc w:val="both"/>
    </w:pPr>
    <w:rPr>
      <w:sz w:val="24"/>
    </w:rPr>
  </w:style>
  <w:style w:type="paragraph" w:styleId="Nzov">
    <w:name w:val="Title"/>
    <w:basedOn w:val="Normlny"/>
    <w:qFormat/>
    <w:rsid w:val="00381E79"/>
    <w:pPr>
      <w:jc w:val="center"/>
    </w:pPr>
    <w:rPr>
      <w:rFonts w:ascii="Arial" w:hAnsi="Arial"/>
      <w:b/>
      <w:sz w:val="22"/>
    </w:rPr>
  </w:style>
  <w:style w:type="paragraph" w:styleId="Zarkazkladnhotextu">
    <w:name w:val="Body Text Indent"/>
    <w:basedOn w:val="Normlny"/>
    <w:rsid w:val="00381E79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rsid w:val="00381E7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81E79"/>
  </w:style>
  <w:style w:type="paragraph" w:styleId="Zarkazkladnhotextu2">
    <w:name w:val="Body Text Indent 2"/>
    <w:basedOn w:val="Normlny"/>
    <w:rsid w:val="00381E79"/>
    <w:pPr>
      <w:ind w:left="709"/>
      <w:jc w:val="both"/>
    </w:pPr>
    <w:rPr>
      <w:rFonts w:ascii="Arial" w:hAnsi="Arial"/>
      <w:sz w:val="22"/>
    </w:rPr>
  </w:style>
  <w:style w:type="paragraph" w:styleId="Textbubliny">
    <w:name w:val="Balloon Text"/>
    <w:basedOn w:val="Normlny"/>
    <w:semiHidden/>
    <w:rsid w:val="0049502A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rsid w:val="00263AA6"/>
    <w:pPr>
      <w:ind w:left="700"/>
      <w:jc w:val="both"/>
    </w:pPr>
    <w:rPr>
      <w:sz w:val="24"/>
      <w:lang w:val="en-GB" w:eastAsia="en-US"/>
    </w:rPr>
  </w:style>
  <w:style w:type="paragraph" w:customStyle="1" w:styleId="Text">
    <w:name w:val="Text"/>
    <w:basedOn w:val="Normlny"/>
    <w:link w:val="TextChar"/>
    <w:rsid w:val="001C4A1B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1C4A1B"/>
    <w:rPr>
      <w:rFonts w:eastAsia="MS Mincho"/>
      <w:sz w:val="24"/>
      <w:lang w:val="en-US" w:eastAsia="en-US" w:bidi="ar-SA"/>
    </w:rPr>
  </w:style>
  <w:style w:type="character" w:customStyle="1" w:styleId="hps">
    <w:name w:val="hps"/>
    <w:basedOn w:val="Predvolenpsmoodseku"/>
    <w:rsid w:val="005E054F"/>
  </w:style>
  <w:style w:type="character" w:styleId="Odkaznakomentr">
    <w:name w:val="annotation reference"/>
    <w:semiHidden/>
    <w:rsid w:val="0002641C"/>
    <w:rPr>
      <w:sz w:val="16"/>
      <w:szCs w:val="16"/>
    </w:rPr>
  </w:style>
  <w:style w:type="paragraph" w:styleId="Textkomentra">
    <w:name w:val="annotation text"/>
    <w:basedOn w:val="Normlny"/>
    <w:semiHidden/>
    <w:rsid w:val="0002641C"/>
  </w:style>
  <w:style w:type="paragraph" w:styleId="Predmetkomentra">
    <w:name w:val="annotation subject"/>
    <w:basedOn w:val="Textkomentra"/>
    <w:next w:val="Textkomentra"/>
    <w:semiHidden/>
    <w:rsid w:val="0002641C"/>
    <w:rPr>
      <w:b/>
      <w:bCs/>
    </w:rPr>
  </w:style>
  <w:style w:type="character" w:styleId="Hypertextovprepojenie">
    <w:name w:val="Hyperlink"/>
    <w:semiHidden/>
    <w:unhideWhenUsed/>
    <w:rsid w:val="000B5A26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81AFC"/>
    <w:pPr>
      <w:tabs>
        <w:tab w:val="center" w:pos="4536"/>
        <w:tab w:val="right" w:pos="9072"/>
      </w:tabs>
    </w:pPr>
  </w:style>
  <w:style w:type="character" w:customStyle="1" w:styleId="st">
    <w:name w:val="st"/>
    <w:rsid w:val="00053DC5"/>
  </w:style>
  <w:style w:type="character" w:customStyle="1" w:styleId="Nadpis2Char">
    <w:name w:val="Nadpis 2 Char"/>
    <w:link w:val="Nadpis2"/>
    <w:rsid w:val="005D597E"/>
    <w:rPr>
      <w:rFonts w:ascii="Arial" w:hAnsi="Arial"/>
      <w:b/>
      <w:bCs/>
      <w:sz w:val="32"/>
      <w:lang w:val="sk-SK" w:eastAsia="sk-SK"/>
    </w:rPr>
  </w:style>
  <w:style w:type="paragraph" w:styleId="Revzia">
    <w:name w:val="Revision"/>
    <w:hidden/>
    <w:uiPriority w:val="99"/>
    <w:semiHidden/>
    <w:rsid w:val="00D0281A"/>
  </w:style>
  <w:style w:type="character" w:customStyle="1" w:styleId="HlavikaChar">
    <w:name w:val="Hlavička Char"/>
    <w:basedOn w:val="Predvolenpsmoodseku"/>
    <w:link w:val="Hlavika"/>
    <w:uiPriority w:val="99"/>
    <w:rsid w:val="00D06C9F"/>
  </w:style>
  <w:style w:type="paragraph" w:customStyle="1" w:styleId="TxBrp1">
    <w:name w:val="TxBr_p1"/>
    <w:basedOn w:val="Normlny"/>
    <w:rsid w:val="0053660D"/>
    <w:pPr>
      <w:widowControl w:val="0"/>
      <w:tabs>
        <w:tab w:val="left" w:pos="204"/>
      </w:tabs>
      <w:spacing w:line="277" w:lineRule="atLeast"/>
    </w:pPr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070">
      <w:bodyDiv w:val="1"/>
      <w:marLeft w:val="0"/>
      <w:marRight w:val="0"/>
      <w:marTop w:val="0"/>
      <w:marBottom w:val="0"/>
      <w:divBdr>
        <w:top w:val="single" w:sz="48" w:space="0" w:color="F0F0F0"/>
        <w:left w:val="single" w:sz="48" w:space="0" w:color="F0F0F0"/>
        <w:bottom w:val="single" w:sz="48" w:space="0" w:color="F0F0F0"/>
        <w:right w:val="single" w:sz="48" w:space="0" w:color="F0F0F0"/>
      </w:divBdr>
      <w:divsChild>
        <w:div w:id="3662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578">
      <w:bodyDiv w:val="1"/>
      <w:marLeft w:val="0"/>
      <w:marRight w:val="0"/>
      <w:marTop w:val="0"/>
      <w:marBottom w:val="0"/>
      <w:divBdr>
        <w:top w:val="single" w:sz="48" w:space="0" w:color="F0F0F0"/>
        <w:left w:val="single" w:sz="48" w:space="0" w:color="F0F0F0"/>
        <w:bottom w:val="single" w:sz="48" w:space="0" w:color="F0F0F0"/>
        <w:right w:val="single" w:sz="48" w:space="0" w:color="F0F0F0"/>
      </w:divBdr>
      <w:divsChild>
        <w:div w:id="1147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780">
      <w:bodyDiv w:val="1"/>
      <w:marLeft w:val="0"/>
      <w:marRight w:val="0"/>
      <w:marTop w:val="0"/>
      <w:marBottom w:val="0"/>
      <w:divBdr>
        <w:top w:val="single" w:sz="48" w:space="0" w:color="F0F0F0"/>
        <w:left w:val="single" w:sz="48" w:space="0" w:color="F0F0F0"/>
        <w:bottom w:val="single" w:sz="48" w:space="0" w:color="F0F0F0"/>
        <w:right w:val="single" w:sz="48" w:space="0" w:color="F0F0F0"/>
      </w:divBdr>
      <w:divsChild>
        <w:div w:id="1221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507">
      <w:bodyDiv w:val="1"/>
      <w:marLeft w:val="0"/>
      <w:marRight w:val="0"/>
      <w:marTop w:val="0"/>
      <w:marBottom w:val="0"/>
      <w:divBdr>
        <w:top w:val="single" w:sz="48" w:space="0" w:color="F0F0F0"/>
        <w:left w:val="single" w:sz="48" w:space="0" w:color="F0F0F0"/>
        <w:bottom w:val="single" w:sz="48" w:space="0" w:color="F0F0F0"/>
        <w:right w:val="single" w:sz="48" w:space="0" w:color="F0F0F0"/>
      </w:divBdr>
      <w:divsChild>
        <w:div w:id="564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5349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991">
      <w:bodyDiv w:val="1"/>
      <w:marLeft w:val="0"/>
      <w:marRight w:val="0"/>
      <w:marTop w:val="0"/>
      <w:marBottom w:val="0"/>
      <w:divBdr>
        <w:top w:val="single" w:sz="48" w:space="0" w:color="F0F0F0"/>
        <w:left w:val="single" w:sz="48" w:space="0" w:color="F0F0F0"/>
        <w:bottom w:val="single" w:sz="48" w:space="0" w:color="F0F0F0"/>
        <w:right w:val="single" w:sz="48" w:space="0" w:color="F0F0F0"/>
      </w:divBdr>
      <w:divsChild>
        <w:div w:id="17030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4911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18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694">
      <w:bodyDiv w:val="1"/>
      <w:marLeft w:val="0"/>
      <w:marRight w:val="0"/>
      <w:marTop w:val="0"/>
      <w:marBottom w:val="0"/>
      <w:divBdr>
        <w:top w:val="single" w:sz="48" w:space="0" w:color="F0F0F0"/>
        <w:left w:val="single" w:sz="48" w:space="0" w:color="F0F0F0"/>
        <w:bottom w:val="single" w:sz="48" w:space="0" w:color="F0F0F0"/>
        <w:right w:val="single" w:sz="48" w:space="0" w:color="F0F0F0"/>
      </w:divBdr>
      <w:divsChild>
        <w:div w:id="352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1506</Words>
  <Characters>8588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Fenistil® 4 mg – Raz denne</vt:lpstr>
      <vt:lpstr>Fenistil® 4 mg – Raz denne</vt:lpstr>
    </vt:vector>
  </TitlesOfParts>
  <Company>Novartis</Company>
  <LinksUpToDate>false</LinksUpToDate>
  <CharactersWithSpaces>10074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Fenistil® 4 mg – Raz denne</dc:title>
  <dc:creator>Fialka</dc:creator>
  <cp:lastModifiedBy>ME</cp:lastModifiedBy>
  <cp:revision>3</cp:revision>
  <cp:lastPrinted>2014-12-17T07:44:00Z</cp:lastPrinted>
  <dcterms:created xsi:type="dcterms:W3CDTF">2020-09-23T11:12:00Z</dcterms:created>
  <dcterms:modified xsi:type="dcterms:W3CDTF">2020-09-23T11:12:00Z</dcterms:modified>
</cp:coreProperties>
</file>