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7B" w:rsidRDefault="00C10A7B" w:rsidP="0064267A">
      <w:pPr>
        <w:jc w:val="center"/>
        <w:outlineLvl w:val="0"/>
        <w:rPr>
          <w:b/>
        </w:rPr>
      </w:pPr>
    </w:p>
    <w:p w:rsidR="0064267A" w:rsidRPr="00FF3971" w:rsidRDefault="0064267A" w:rsidP="0064267A">
      <w:pPr>
        <w:jc w:val="center"/>
        <w:outlineLvl w:val="0"/>
        <w:rPr>
          <w:szCs w:val="22"/>
        </w:rPr>
      </w:pPr>
      <w:r w:rsidRPr="00FF3971">
        <w:rPr>
          <w:b/>
        </w:rPr>
        <w:t>SÚHRN CHARAKTERISTICKÝCH VLASTNOSTÍ LIEKU</w:t>
      </w:r>
    </w:p>
    <w:p w:rsidR="000A35C5" w:rsidRPr="00FF3971" w:rsidRDefault="000A35C5">
      <w:pPr>
        <w:rPr>
          <w:szCs w:val="22"/>
        </w:rPr>
      </w:pPr>
    </w:p>
    <w:p w:rsidR="0064267A" w:rsidRPr="00FF3971" w:rsidRDefault="0064267A">
      <w:pPr>
        <w:rPr>
          <w:szCs w:val="22"/>
        </w:rPr>
      </w:pPr>
    </w:p>
    <w:p w:rsidR="0064267A" w:rsidRPr="009866A5" w:rsidRDefault="00E63504" w:rsidP="0064267A">
      <w:pPr>
        <w:suppressAutoHyphens/>
        <w:ind w:left="567" w:hanging="567"/>
        <w:rPr>
          <w:szCs w:val="22"/>
        </w:rPr>
      </w:pPr>
      <w:r w:rsidRPr="009866A5">
        <w:rPr>
          <w:b/>
        </w:rPr>
        <w:t>1.</w:t>
      </w:r>
      <w:r w:rsidR="008A250A">
        <w:tab/>
      </w:r>
      <w:r w:rsidRPr="009866A5">
        <w:rPr>
          <w:b/>
        </w:rPr>
        <w:t>NÁZOV LIEKU</w:t>
      </w:r>
    </w:p>
    <w:p w:rsidR="0064267A" w:rsidRPr="009866A5" w:rsidRDefault="0064267A" w:rsidP="0064267A">
      <w:pPr>
        <w:rPr>
          <w:iCs/>
          <w:szCs w:val="22"/>
        </w:rPr>
      </w:pPr>
    </w:p>
    <w:p w:rsidR="00723B9F" w:rsidRPr="00803D2A" w:rsidRDefault="008A250A" w:rsidP="00723B9F">
      <w:pPr>
        <w:widowControl w:val="0"/>
      </w:pPr>
      <w:proofErr w:type="spellStart"/>
      <w:r>
        <w:t>Mitomycin</w:t>
      </w:r>
      <w:proofErr w:type="spellEnd"/>
      <w:r>
        <w:t xml:space="preserve"> </w:t>
      </w:r>
      <w:proofErr w:type="spellStart"/>
      <w:r>
        <w:t>medac</w:t>
      </w:r>
      <w:proofErr w:type="spellEnd"/>
      <w:r w:rsidR="000A4ABA">
        <w:t xml:space="preserve"> </w:t>
      </w:r>
      <w:r>
        <w:t xml:space="preserve">1 mg/ml </w:t>
      </w:r>
      <w:r w:rsidR="00723B9F">
        <w:t>prášok na injekčný/</w:t>
      </w:r>
      <w:proofErr w:type="spellStart"/>
      <w:r w:rsidR="00723B9F">
        <w:t>infúzny</w:t>
      </w:r>
      <w:proofErr w:type="spellEnd"/>
      <w:r w:rsidR="00723B9F">
        <w:t xml:space="preserve"> roztok alebo na </w:t>
      </w:r>
      <w:proofErr w:type="spellStart"/>
      <w:r w:rsidR="00803D2A" w:rsidRPr="00803D2A">
        <w:t>intravezikálne</w:t>
      </w:r>
      <w:proofErr w:type="spellEnd"/>
      <w:r w:rsidR="00803D2A" w:rsidRPr="00803D2A">
        <w:t xml:space="preserve"> použitie</w:t>
      </w:r>
    </w:p>
    <w:p w:rsidR="0064267A" w:rsidRDefault="0064267A" w:rsidP="0064267A">
      <w:pPr>
        <w:rPr>
          <w:iCs/>
          <w:szCs w:val="22"/>
        </w:rPr>
      </w:pPr>
    </w:p>
    <w:p w:rsidR="00561953" w:rsidRPr="009866A5" w:rsidRDefault="00561953" w:rsidP="0064267A">
      <w:pPr>
        <w:rPr>
          <w:iCs/>
          <w:szCs w:val="22"/>
        </w:rPr>
      </w:pPr>
    </w:p>
    <w:p w:rsidR="0064267A" w:rsidRPr="009866A5" w:rsidRDefault="00E63504" w:rsidP="0064267A">
      <w:pPr>
        <w:suppressAutoHyphens/>
        <w:ind w:left="567" w:hanging="567"/>
        <w:rPr>
          <w:szCs w:val="22"/>
        </w:rPr>
      </w:pPr>
      <w:r w:rsidRPr="009866A5">
        <w:rPr>
          <w:b/>
        </w:rPr>
        <w:t>2.</w:t>
      </w:r>
      <w:r w:rsidR="008A250A">
        <w:tab/>
      </w:r>
      <w:r w:rsidRPr="009866A5">
        <w:rPr>
          <w:b/>
        </w:rPr>
        <w:t>KVALITATÍVNE A KVANTITATÍVNE ZLOŽENIE</w:t>
      </w:r>
    </w:p>
    <w:p w:rsidR="0064267A" w:rsidRPr="009866A5" w:rsidRDefault="0064267A" w:rsidP="0064267A">
      <w:pPr>
        <w:rPr>
          <w:iCs/>
          <w:szCs w:val="22"/>
        </w:rPr>
      </w:pPr>
    </w:p>
    <w:p w:rsidR="000A35C5" w:rsidRPr="009866A5" w:rsidRDefault="008A250A" w:rsidP="0064267A">
      <w:pPr>
        <w:widowControl w:val="0"/>
        <w:rPr>
          <w:szCs w:val="22"/>
        </w:rPr>
      </w:pPr>
      <w:r>
        <w:t xml:space="preserve">Jedna injekčná liekovka </w:t>
      </w:r>
      <w:proofErr w:type="spellStart"/>
      <w:r>
        <w:t>Mitomycin</w:t>
      </w:r>
      <w:proofErr w:type="spellEnd"/>
      <w:r>
        <w:t xml:space="preserve"> </w:t>
      </w:r>
      <w:proofErr w:type="spellStart"/>
      <w:r>
        <w:t>medac</w:t>
      </w:r>
      <w:proofErr w:type="spellEnd"/>
      <w:r>
        <w:t xml:space="preserve"> obsahuje 2 mg </w:t>
      </w:r>
      <w:proofErr w:type="spellStart"/>
      <w:r>
        <w:t>mitomycínu</w:t>
      </w:r>
      <w:proofErr w:type="spellEnd"/>
    </w:p>
    <w:p w:rsidR="002259DF" w:rsidRPr="009866A5" w:rsidRDefault="008A250A" w:rsidP="0064267A">
      <w:pPr>
        <w:widowControl w:val="0"/>
        <w:rPr>
          <w:szCs w:val="22"/>
        </w:rPr>
      </w:pPr>
      <w:r>
        <w:t xml:space="preserve">Jedna injekčná liekovka </w:t>
      </w:r>
      <w:proofErr w:type="spellStart"/>
      <w:r>
        <w:t>Mitomycin</w:t>
      </w:r>
      <w:proofErr w:type="spellEnd"/>
      <w:r>
        <w:t xml:space="preserve"> </w:t>
      </w:r>
      <w:proofErr w:type="spellStart"/>
      <w:r>
        <w:t>medac</w:t>
      </w:r>
      <w:proofErr w:type="spellEnd"/>
      <w:r>
        <w:t xml:space="preserve"> obsahuje 10 mg </w:t>
      </w:r>
      <w:proofErr w:type="spellStart"/>
      <w:r>
        <w:t>mitomycínu</w:t>
      </w:r>
      <w:proofErr w:type="spellEnd"/>
    </w:p>
    <w:p w:rsidR="002259DF" w:rsidRPr="009866A5" w:rsidRDefault="008A250A" w:rsidP="0064267A">
      <w:pPr>
        <w:widowControl w:val="0"/>
        <w:rPr>
          <w:szCs w:val="22"/>
        </w:rPr>
      </w:pPr>
      <w:r>
        <w:t xml:space="preserve">Jedna injekčná liekovka </w:t>
      </w:r>
      <w:proofErr w:type="spellStart"/>
      <w:r>
        <w:t>Mitomycin</w:t>
      </w:r>
      <w:proofErr w:type="spellEnd"/>
      <w:r>
        <w:t xml:space="preserve"> </w:t>
      </w:r>
      <w:proofErr w:type="spellStart"/>
      <w:r>
        <w:t>medac</w:t>
      </w:r>
      <w:proofErr w:type="spellEnd"/>
      <w:r>
        <w:t xml:space="preserve"> obsahuje 20 mg </w:t>
      </w:r>
      <w:proofErr w:type="spellStart"/>
      <w:r>
        <w:t>mitomycínu</w:t>
      </w:r>
      <w:proofErr w:type="spellEnd"/>
    </w:p>
    <w:p w:rsidR="002259DF" w:rsidRPr="00FF3971" w:rsidRDefault="008A250A" w:rsidP="0064267A">
      <w:pPr>
        <w:widowControl w:val="0"/>
        <w:rPr>
          <w:szCs w:val="22"/>
        </w:rPr>
      </w:pPr>
      <w:r>
        <w:t xml:space="preserve">Jedna injekčná liekovka </w:t>
      </w:r>
      <w:proofErr w:type="spellStart"/>
      <w:r>
        <w:t>Mitomycin</w:t>
      </w:r>
      <w:proofErr w:type="spellEnd"/>
      <w:r>
        <w:t xml:space="preserve"> </w:t>
      </w:r>
      <w:proofErr w:type="spellStart"/>
      <w:r>
        <w:t>medac</w:t>
      </w:r>
      <w:proofErr w:type="spellEnd"/>
      <w:r>
        <w:t xml:space="preserve"> obsahuje 40 mg </w:t>
      </w:r>
      <w:proofErr w:type="spellStart"/>
      <w:r>
        <w:t>mitomycínu</w:t>
      </w:r>
      <w:proofErr w:type="spellEnd"/>
    </w:p>
    <w:p w:rsidR="004B4C38" w:rsidRPr="00FF3971" w:rsidRDefault="004B4C38" w:rsidP="0064267A">
      <w:pPr>
        <w:rPr>
          <w:szCs w:val="22"/>
        </w:rPr>
      </w:pPr>
    </w:p>
    <w:p w:rsidR="0064267A" w:rsidRPr="009866A5" w:rsidRDefault="0064267A" w:rsidP="000A35C5">
      <w:pPr>
        <w:outlineLvl w:val="0"/>
        <w:rPr>
          <w:szCs w:val="22"/>
        </w:rPr>
      </w:pPr>
      <w:r w:rsidRPr="00FF3971">
        <w:t>Úplný zoz</w:t>
      </w:r>
      <w:r w:rsidR="000E3F73" w:rsidRPr="00FF3971">
        <w:t>nam pomocných látok, pozri časť </w:t>
      </w:r>
      <w:r w:rsidRPr="00FF3971">
        <w:t>6.1.</w:t>
      </w:r>
    </w:p>
    <w:p w:rsidR="004B4C38" w:rsidRPr="009866A5" w:rsidRDefault="004B4C38" w:rsidP="000A35C5">
      <w:pPr>
        <w:outlineLvl w:val="0"/>
        <w:rPr>
          <w:szCs w:val="22"/>
        </w:rPr>
      </w:pP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64267A">
      <w:pPr>
        <w:suppressAutoHyphens/>
        <w:ind w:left="567" w:hanging="567"/>
        <w:rPr>
          <w:b/>
          <w:caps/>
          <w:szCs w:val="22"/>
        </w:rPr>
      </w:pPr>
      <w:r w:rsidRPr="009866A5">
        <w:rPr>
          <w:b/>
        </w:rPr>
        <w:t>3.</w:t>
      </w:r>
      <w:r w:rsidR="008A250A">
        <w:tab/>
      </w:r>
      <w:r w:rsidRPr="009866A5">
        <w:rPr>
          <w:b/>
        </w:rPr>
        <w:t>LIEKOVÁ FORMA</w:t>
      </w:r>
    </w:p>
    <w:p w:rsidR="0064267A" w:rsidRPr="009866A5" w:rsidRDefault="0064267A" w:rsidP="0064267A">
      <w:pPr>
        <w:rPr>
          <w:szCs w:val="22"/>
        </w:rPr>
      </w:pPr>
    </w:p>
    <w:p w:rsidR="000A35C5" w:rsidRPr="009866A5" w:rsidRDefault="008A250A" w:rsidP="00DC3F38">
      <w:pPr>
        <w:widowControl w:val="0"/>
        <w:rPr>
          <w:szCs w:val="22"/>
        </w:rPr>
      </w:pPr>
      <w:r>
        <w:t>Prášok na injekčný/</w:t>
      </w:r>
      <w:proofErr w:type="spellStart"/>
      <w:r>
        <w:t>infúzny</w:t>
      </w:r>
      <w:proofErr w:type="spellEnd"/>
      <w:r>
        <w:t xml:space="preserve"> roztok alebo na </w:t>
      </w:r>
      <w:proofErr w:type="spellStart"/>
      <w:r w:rsidR="00803D2A">
        <w:t>intravezikálne</w:t>
      </w:r>
      <w:proofErr w:type="spellEnd"/>
      <w:r w:rsidR="00803D2A">
        <w:t xml:space="preserve"> použitie</w:t>
      </w:r>
      <w:r>
        <w:t>.</w:t>
      </w:r>
    </w:p>
    <w:p w:rsidR="000A35C5" w:rsidRPr="009866A5" w:rsidRDefault="000A35C5" w:rsidP="000A35C5">
      <w:pPr>
        <w:widowControl w:val="0"/>
        <w:rPr>
          <w:szCs w:val="22"/>
        </w:rPr>
      </w:pPr>
    </w:p>
    <w:p w:rsidR="007B1926" w:rsidRPr="009866A5" w:rsidRDefault="008A250A" w:rsidP="000A35C5">
      <w:pPr>
        <w:widowControl w:val="0"/>
        <w:rPr>
          <w:szCs w:val="22"/>
        </w:rPr>
      </w:pPr>
      <w:r>
        <w:t>Sivý až sivomodrý prášok alebo koláč.</w:t>
      </w:r>
    </w:p>
    <w:p w:rsidR="0064267A" w:rsidRPr="009866A5" w:rsidRDefault="0064267A" w:rsidP="0064267A">
      <w:pPr>
        <w:rPr>
          <w:szCs w:val="22"/>
        </w:rPr>
      </w:pPr>
    </w:p>
    <w:p w:rsidR="00CD30C1" w:rsidRPr="009866A5" w:rsidRDefault="00CD30C1" w:rsidP="0064267A">
      <w:pPr>
        <w:rPr>
          <w:szCs w:val="22"/>
        </w:rPr>
      </w:pPr>
    </w:p>
    <w:p w:rsidR="0064267A" w:rsidRPr="009866A5" w:rsidRDefault="00E63504" w:rsidP="0064267A">
      <w:pPr>
        <w:suppressAutoHyphens/>
        <w:ind w:left="567" w:hanging="567"/>
        <w:rPr>
          <w:caps/>
          <w:szCs w:val="22"/>
        </w:rPr>
      </w:pPr>
      <w:r w:rsidRPr="009866A5">
        <w:rPr>
          <w:b/>
          <w:caps/>
        </w:rPr>
        <w:t>4.</w:t>
      </w:r>
      <w:r w:rsidR="008A250A">
        <w:tab/>
      </w:r>
      <w:r w:rsidRPr="009866A5">
        <w:rPr>
          <w:b/>
        </w:rPr>
        <w:t>KLINICKÉ ÚDAJE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4.1</w:t>
      </w:r>
      <w:r w:rsidR="008A250A">
        <w:tab/>
      </w:r>
      <w:r w:rsidRPr="009866A5">
        <w:rPr>
          <w:b/>
        </w:rPr>
        <w:t>Terapeutické indikácie</w:t>
      </w:r>
    </w:p>
    <w:p w:rsidR="0064267A" w:rsidRPr="009866A5" w:rsidRDefault="0064267A" w:rsidP="0064267A">
      <w:pPr>
        <w:rPr>
          <w:szCs w:val="22"/>
        </w:rPr>
      </w:pPr>
    </w:p>
    <w:p w:rsidR="00CC282F" w:rsidRPr="00FF3971" w:rsidRDefault="008A250A" w:rsidP="00CC282F">
      <w:pPr>
        <w:tabs>
          <w:tab w:val="left" w:pos="709"/>
        </w:tabs>
        <w:ind w:left="567" w:hanging="567"/>
        <w:rPr>
          <w:szCs w:val="22"/>
        </w:rPr>
      </w:pPr>
      <w:proofErr w:type="spellStart"/>
      <w:r>
        <w:t>Mitomycín</w:t>
      </w:r>
      <w:proofErr w:type="spellEnd"/>
      <w:r>
        <w:t xml:space="preserve"> sa používa na paliatívnu liečbu nádorov.</w:t>
      </w:r>
    </w:p>
    <w:p w:rsidR="000A35C5" w:rsidRPr="009866A5" w:rsidRDefault="000A35C5" w:rsidP="000A35C5">
      <w:pPr>
        <w:rPr>
          <w:szCs w:val="22"/>
        </w:rPr>
      </w:pPr>
    </w:p>
    <w:p w:rsidR="00F557CC" w:rsidRPr="009866A5" w:rsidRDefault="008A250A" w:rsidP="008133C6">
      <w:pPr>
        <w:rPr>
          <w:szCs w:val="22"/>
        </w:rPr>
      </w:pPr>
      <w:r>
        <w:rPr>
          <w:b/>
        </w:rPr>
        <w:t>Intravenózne</w:t>
      </w:r>
      <w:r>
        <w:t xml:space="preserve"> použitie </w:t>
      </w:r>
      <w:proofErr w:type="spellStart"/>
      <w:r>
        <w:t>mitomycínu</w:t>
      </w:r>
      <w:proofErr w:type="spellEnd"/>
      <w:r>
        <w:t xml:space="preserve"> je indikované ako </w:t>
      </w:r>
      <w:proofErr w:type="spellStart"/>
      <w:r>
        <w:t>monochemoterapia</w:t>
      </w:r>
      <w:proofErr w:type="spellEnd"/>
      <w:r>
        <w:t xml:space="preserve"> alebo v kombinovanej chemoterapii </w:t>
      </w:r>
      <w:proofErr w:type="spellStart"/>
      <w:r>
        <w:t>cytostatikami</w:t>
      </w:r>
      <w:proofErr w:type="spellEnd"/>
      <w:r>
        <w:t xml:space="preserve"> dospelý</w:t>
      </w:r>
      <w:r w:rsidR="00FF3971">
        <w:t>m</w:t>
      </w:r>
      <w:r w:rsidR="00FF3971" w:rsidRPr="00FF3971">
        <w:t xml:space="preserve"> paciento</w:t>
      </w:r>
      <w:r w:rsidR="00FF3971">
        <w:t>m</w:t>
      </w:r>
      <w:r w:rsidR="00FF3971" w:rsidRPr="00FF3971">
        <w:t xml:space="preserve"> </w:t>
      </w:r>
      <w:r w:rsidR="00762AD6" w:rsidRPr="00FF3971">
        <w:t>s:</w:t>
      </w:r>
    </w:p>
    <w:p w:rsidR="00762AD6" w:rsidRPr="00FF3971" w:rsidRDefault="008A250A" w:rsidP="00762AD6">
      <w:pPr>
        <w:numPr>
          <w:ilvl w:val="0"/>
          <w:numId w:val="1"/>
        </w:numPr>
      </w:pPr>
      <w:r>
        <w:t xml:space="preserve">pokročilým </w:t>
      </w:r>
      <w:proofErr w:type="spellStart"/>
      <w:r>
        <w:t>kolorektálnym</w:t>
      </w:r>
      <w:proofErr w:type="spellEnd"/>
      <w:r>
        <w:t xml:space="preserve"> karcinómom</w:t>
      </w:r>
    </w:p>
    <w:p w:rsidR="00762AD6" w:rsidRPr="00FF3971" w:rsidRDefault="008A250A" w:rsidP="00762AD6">
      <w:pPr>
        <w:numPr>
          <w:ilvl w:val="0"/>
          <w:numId w:val="1"/>
        </w:numPr>
      </w:pPr>
      <w:r>
        <w:t>pokročilým karcinómom žalúdka</w:t>
      </w:r>
    </w:p>
    <w:p w:rsidR="00762AD6" w:rsidRPr="00FF3971" w:rsidRDefault="008A250A" w:rsidP="00762AD6">
      <w:pPr>
        <w:numPr>
          <w:ilvl w:val="0"/>
          <w:numId w:val="1"/>
        </w:numPr>
      </w:pPr>
      <w:r>
        <w:t>pokročilého pokročilým a/alebo metastázujúcim karcinómom prsníka</w:t>
      </w:r>
    </w:p>
    <w:p w:rsidR="00762AD6" w:rsidRPr="00FF3971" w:rsidRDefault="008A250A" w:rsidP="00762AD6">
      <w:pPr>
        <w:numPr>
          <w:ilvl w:val="0"/>
          <w:numId w:val="1"/>
        </w:numPr>
      </w:pPr>
      <w:r>
        <w:t>pokročilým karcinómom pažeráka</w:t>
      </w:r>
    </w:p>
    <w:p w:rsidR="00762AD6" w:rsidRPr="00FF3971" w:rsidRDefault="008A250A" w:rsidP="00762AD6">
      <w:pPr>
        <w:numPr>
          <w:ilvl w:val="0"/>
          <w:numId w:val="1"/>
        </w:numPr>
      </w:pPr>
      <w:r>
        <w:t>pokročilým karcinómom krčka maternice</w:t>
      </w:r>
    </w:p>
    <w:p w:rsidR="00762AD6" w:rsidRPr="00FF3971" w:rsidRDefault="008A250A" w:rsidP="00762AD6">
      <w:pPr>
        <w:numPr>
          <w:ilvl w:val="0"/>
          <w:numId w:val="1"/>
        </w:numPr>
      </w:pPr>
      <w:r>
        <w:t>nemalobunkovým bronchiálnym karcinómom</w:t>
      </w:r>
    </w:p>
    <w:p w:rsidR="00762AD6" w:rsidRPr="00FF3971" w:rsidRDefault="008A250A" w:rsidP="00762AD6">
      <w:pPr>
        <w:numPr>
          <w:ilvl w:val="0"/>
          <w:numId w:val="1"/>
        </w:numPr>
      </w:pPr>
      <w:r>
        <w:t>pokročilým karcinómom pankreasu</w:t>
      </w:r>
    </w:p>
    <w:p w:rsidR="00762AD6" w:rsidRPr="00FF3971" w:rsidRDefault="008A250A" w:rsidP="00762AD6">
      <w:pPr>
        <w:numPr>
          <w:ilvl w:val="0"/>
          <w:numId w:val="1"/>
        </w:numPr>
      </w:pPr>
      <w:r>
        <w:t>pokročilými nádormi hlavy a krku</w:t>
      </w:r>
    </w:p>
    <w:p w:rsidR="00853DAC" w:rsidRPr="009866A5" w:rsidRDefault="00853DAC" w:rsidP="00853DAC">
      <w:pPr>
        <w:rPr>
          <w:szCs w:val="22"/>
        </w:rPr>
      </w:pPr>
    </w:p>
    <w:p w:rsidR="005101E7" w:rsidRPr="00FF3971" w:rsidRDefault="008A250A" w:rsidP="00CB60B6">
      <w:pPr>
        <w:pStyle w:val="Zkladntext2"/>
        <w:jc w:val="left"/>
        <w:rPr>
          <w:szCs w:val="22"/>
        </w:rPr>
      </w:pPr>
      <w:r>
        <w:t xml:space="preserve">Okrem toho, </w:t>
      </w:r>
      <w:proofErr w:type="spellStart"/>
      <w:r>
        <w:t>mitomycín</w:t>
      </w:r>
      <w:proofErr w:type="spellEnd"/>
      <w:r>
        <w:t xml:space="preserve"> je indikovaný </w:t>
      </w:r>
      <w:r w:rsidR="00FF3971">
        <w:t>na</w:t>
      </w:r>
      <w:r w:rsidR="00FF3971" w:rsidRPr="00FF3971">
        <w:rPr>
          <w:b/>
        </w:rPr>
        <w:t xml:space="preserve"> </w:t>
      </w:r>
      <w:proofErr w:type="spellStart"/>
      <w:r w:rsidR="00762AD6" w:rsidRPr="00FF3971">
        <w:rPr>
          <w:b/>
        </w:rPr>
        <w:t>intravezikálne</w:t>
      </w:r>
      <w:proofErr w:type="spellEnd"/>
      <w:r w:rsidR="00762AD6" w:rsidRPr="00FF3971">
        <w:rPr>
          <w:b/>
        </w:rPr>
        <w:t xml:space="preserve"> </w:t>
      </w:r>
      <w:r w:rsidR="00762AD6" w:rsidRPr="00FF3971">
        <w:t xml:space="preserve">podanie na prevenciu </w:t>
      </w:r>
      <w:proofErr w:type="spellStart"/>
      <w:r w:rsidR="00762AD6" w:rsidRPr="00FF3971">
        <w:t>relapsu</w:t>
      </w:r>
      <w:proofErr w:type="spellEnd"/>
      <w:r w:rsidR="00762AD6" w:rsidRPr="00FF3971">
        <w:t xml:space="preserve"> u dospelých pacientov s povrchovým karcinómom močového mechúra po </w:t>
      </w:r>
      <w:proofErr w:type="spellStart"/>
      <w:r w:rsidR="00762AD6" w:rsidRPr="00FF3971">
        <w:t>transuretrálnej</w:t>
      </w:r>
      <w:proofErr w:type="spellEnd"/>
      <w:r w:rsidR="00762AD6" w:rsidRPr="00FF3971">
        <w:t xml:space="preserve"> resekcii.</w:t>
      </w:r>
    </w:p>
    <w:p w:rsidR="005101E7" w:rsidRPr="009866A5" w:rsidRDefault="005101E7" w:rsidP="00853DAC">
      <w:pPr>
        <w:rPr>
          <w:szCs w:val="22"/>
        </w:rPr>
      </w:pPr>
    </w:p>
    <w:p w:rsidR="0064267A" w:rsidRPr="009866A5" w:rsidRDefault="00E63504" w:rsidP="0064267A">
      <w:pPr>
        <w:spacing w:line="240" w:lineRule="auto"/>
        <w:outlineLvl w:val="0"/>
        <w:rPr>
          <w:b/>
          <w:szCs w:val="22"/>
        </w:rPr>
      </w:pPr>
      <w:r w:rsidRPr="009866A5">
        <w:rPr>
          <w:b/>
        </w:rPr>
        <w:t>4.2</w:t>
      </w:r>
      <w:r w:rsidR="008A250A">
        <w:tab/>
      </w:r>
      <w:r w:rsidRPr="009866A5">
        <w:rPr>
          <w:b/>
        </w:rPr>
        <w:t>Dávkovanie a spôsob podávania</w:t>
      </w:r>
    </w:p>
    <w:p w:rsidR="0064267A" w:rsidRPr="00FF3971" w:rsidRDefault="0064267A" w:rsidP="0064267A">
      <w:pPr>
        <w:rPr>
          <w:szCs w:val="22"/>
        </w:rPr>
      </w:pPr>
    </w:p>
    <w:p w:rsidR="00E6233C" w:rsidRPr="00FF3971" w:rsidRDefault="008A250A" w:rsidP="00E6233C">
      <w:pPr>
        <w:rPr>
          <w:szCs w:val="22"/>
          <w:u w:val="single"/>
        </w:rPr>
      </w:pPr>
      <w:r>
        <w:rPr>
          <w:u w:val="single"/>
        </w:rPr>
        <w:t>Dávkovanie</w:t>
      </w:r>
    </w:p>
    <w:p w:rsidR="00A43ABA" w:rsidRPr="00FF3971" w:rsidRDefault="00A43ABA" w:rsidP="009B63DD">
      <w:pPr>
        <w:rPr>
          <w:szCs w:val="22"/>
        </w:rPr>
      </w:pPr>
    </w:p>
    <w:p w:rsidR="00A43ABA" w:rsidRPr="00FF3971" w:rsidRDefault="008A250A" w:rsidP="00CB60B6">
      <w:pPr>
        <w:rPr>
          <w:szCs w:val="22"/>
        </w:rPr>
      </w:pPr>
      <w:proofErr w:type="spellStart"/>
      <w:r>
        <w:t>Mitomycín</w:t>
      </w:r>
      <w:proofErr w:type="spellEnd"/>
      <w:r>
        <w:t xml:space="preserve"> môžu podávať iba lekári so skúsenosťami s týmto druhom liečby ak je to prísne indikované, a za priebežného sledovania hematologických parametrov. Je nevyhnutné, aby injekcia bola podaná intravenózne. Ak sa liek podá </w:t>
      </w:r>
      <w:proofErr w:type="spellStart"/>
      <w:r>
        <w:t>perivaskulárne</w:t>
      </w:r>
      <w:proofErr w:type="spellEnd"/>
      <w:r>
        <w:t xml:space="preserve">, v postihnutej oblasti dôjde k rozsiahlej </w:t>
      </w:r>
      <w:proofErr w:type="spellStart"/>
      <w:r>
        <w:t>nekróze</w:t>
      </w:r>
      <w:proofErr w:type="spellEnd"/>
      <w:r>
        <w:t>.</w:t>
      </w:r>
    </w:p>
    <w:p w:rsidR="00A43ABA" w:rsidRPr="00FF3971" w:rsidRDefault="00A43ABA" w:rsidP="00CB60B6">
      <w:pPr>
        <w:rPr>
          <w:szCs w:val="22"/>
        </w:rPr>
      </w:pPr>
    </w:p>
    <w:p w:rsidR="00C10A7B" w:rsidRDefault="00C10A7B" w:rsidP="00CB60B6"/>
    <w:p w:rsidR="00A43ABA" w:rsidRPr="00FF3971" w:rsidRDefault="008A250A" w:rsidP="00CB60B6">
      <w:pPr>
        <w:rPr>
          <w:szCs w:val="22"/>
        </w:rPr>
      </w:pPr>
      <w:r>
        <w:t xml:space="preserve">Ak nie je predpísané inak, </w:t>
      </w:r>
      <w:proofErr w:type="spellStart"/>
      <w:r>
        <w:t>mitomycín</w:t>
      </w:r>
      <w:proofErr w:type="spellEnd"/>
      <w:r>
        <w:t xml:space="preserve"> sa dávkuje nasledovne:</w:t>
      </w:r>
    </w:p>
    <w:p w:rsidR="00960474" w:rsidRPr="00FF3971" w:rsidRDefault="00960474" w:rsidP="000B6B03">
      <w:pPr>
        <w:rPr>
          <w:szCs w:val="22"/>
        </w:rPr>
      </w:pPr>
    </w:p>
    <w:p w:rsidR="00960474" w:rsidRPr="00FF3971" w:rsidRDefault="008A250A" w:rsidP="000B6B03">
      <w:pPr>
        <w:rPr>
          <w:i/>
          <w:iCs/>
          <w:szCs w:val="22"/>
        </w:rPr>
      </w:pPr>
      <w:r>
        <w:rPr>
          <w:i/>
        </w:rPr>
        <w:t>Intravenózne podanie</w:t>
      </w:r>
    </w:p>
    <w:p w:rsidR="00960474" w:rsidRPr="00FF3971" w:rsidRDefault="008A250A" w:rsidP="008E619D">
      <w:pPr>
        <w:rPr>
          <w:szCs w:val="22"/>
        </w:rPr>
      </w:pPr>
      <w:r>
        <w:t xml:space="preserve">V </w:t>
      </w:r>
      <w:proofErr w:type="spellStart"/>
      <w:r>
        <w:t>monochemoterapii</w:t>
      </w:r>
      <w:proofErr w:type="spellEnd"/>
      <w:r>
        <w:t xml:space="preserve"> </w:t>
      </w:r>
      <w:proofErr w:type="spellStart"/>
      <w:r>
        <w:t>cytostatikom</w:t>
      </w:r>
      <w:proofErr w:type="spellEnd"/>
      <w:r>
        <w:t xml:space="preserve"> sa </w:t>
      </w:r>
      <w:proofErr w:type="spellStart"/>
      <w:r>
        <w:t>mitomycín</w:t>
      </w:r>
      <w:proofErr w:type="spellEnd"/>
      <w:r>
        <w:t xml:space="preserve"> obyčajne podáva intravenózne ako </w:t>
      </w:r>
      <w:proofErr w:type="spellStart"/>
      <w:r>
        <w:t>bolusová</w:t>
      </w:r>
      <w:proofErr w:type="spellEnd"/>
      <w:r>
        <w:t xml:space="preserve"> injekcia.</w:t>
      </w:r>
    </w:p>
    <w:p w:rsidR="00960474" w:rsidRPr="00FF3971" w:rsidRDefault="008A250A" w:rsidP="00090984">
      <w:pPr>
        <w:rPr>
          <w:szCs w:val="22"/>
        </w:rPr>
      </w:pPr>
      <w:r>
        <w:t>Odporúčané dávkovania sú 10 </w:t>
      </w:r>
      <w:r>
        <w:noBreakHyphen/>
        <w:t> 20 mg/m² telesného povrchu každých 6 </w:t>
      </w:r>
      <w:r>
        <w:noBreakHyphen/>
        <w:t> 8 týždňov, 8 </w:t>
      </w:r>
      <w:r>
        <w:noBreakHyphen/>
        <w:t> 12 mg/m² telesného povrchu každé 3 – 4 týždne alebo 5 </w:t>
      </w:r>
      <w:r>
        <w:noBreakHyphen/>
        <w:t> 10 mg/m² telesného povrchu každých 3 – 6 týždňov, v závislosti od použitého liečebného postupu.</w:t>
      </w:r>
    </w:p>
    <w:p w:rsidR="00702AF7" w:rsidRPr="00FF3971" w:rsidRDefault="008A250A" w:rsidP="00CB60B6">
      <w:pPr>
        <w:rPr>
          <w:szCs w:val="22"/>
        </w:rPr>
      </w:pPr>
      <w:r>
        <w:t xml:space="preserve">Dávkovanie je výrazne nižšie v kombinovanej liečbe. Vzhľadom na riziko aditívnej </w:t>
      </w:r>
      <w:proofErr w:type="spellStart"/>
      <w:r>
        <w:t>myelotoxicity</w:t>
      </w:r>
      <w:proofErr w:type="spellEnd"/>
      <w:r>
        <w:t xml:space="preserve"> sa bez konkrétneho dôvodu netreba odkláňať od osvedčených liečebných protokolov.</w:t>
      </w:r>
    </w:p>
    <w:p w:rsidR="00090984" w:rsidRPr="00FF3971" w:rsidRDefault="00090984" w:rsidP="00090984">
      <w:pPr>
        <w:rPr>
          <w:szCs w:val="22"/>
        </w:rPr>
      </w:pPr>
    </w:p>
    <w:p w:rsidR="00090984" w:rsidRPr="00FF3971" w:rsidRDefault="008A250A" w:rsidP="00090984">
      <w:pPr>
        <w:rPr>
          <w:i/>
          <w:iCs/>
          <w:szCs w:val="22"/>
        </w:rPr>
      </w:pPr>
      <w:proofErr w:type="spellStart"/>
      <w:r>
        <w:rPr>
          <w:i/>
        </w:rPr>
        <w:t>Intravezikálne</w:t>
      </w:r>
      <w:proofErr w:type="spellEnd"/>
      <w:r>
        <w:rPr>
          <w:i/>
        </w:rPr>
        <w:t xml:space="preserve"> podanie</w:t>
      </w:r>
    </w:p>
    <w:p w:rsidR="00702AF7" w:rsidRPr="00FF3971" w:rsidRDefault="008A250A" w:rsidP="00702AF7">
      <w:pPr>
        <w:rPr>
          <w:szCs w:val="24"/>
        </w:rPr>
      </w:pPr>
      <w:r>
        <w:t xml:space="preserve">Existuje mnoho liečebných režimov </w:t>
      </w:r>
      <w:proofErr w:type="spellStart"/>
      <w:r>
        <w:t>intravezikálneho</w:t>
      </w:r>
      <w:proofErr w:type="spellEnd"/>
      <w:r>
        <w:t xml:space="preserve"> podávania </w:t>
      </w:r>
      <w:proofErr w:type="spellStart"/>
      <w:r>
        <w:t>mitomycínu</w:t>
      </w:r>
      <w:proofErr w:type="spellEnd"/>
      <w:r>
        <w:t xml:space="preserve">, ktoré sa líšia použitou dávkou </w:t>
      </w:r>
      <w:proofErr w:type="spellStart"/>
      <w:r>
        <w:t>mitomycínu</w:t>
      </w:r>
      <w:proofErr w:type="spellEnd"/>
      <w:r>
        <w:t xml:space="preserve">, frekvenciou </w:t>
      </w:r>
      <w:proofErr w:type="spellStart"/>
      <w:r>
        <w:t>instilácie</w:t>
      </w:r>
      <w:proofErr w:type="spellEnd"/>
      <w:r w:rsidR="00CD30C1" w:rsidRPr="00FF3971">
        <w:t xml:space="preserve"> a trvaním liečby.</w:t>
      </w:r>
    </w:p>
    <w:p w:rsidR="00702AF7" w:rsidRPr="00FF3971" w:rsidRDefault="00702AF7" w:rsidP="00702AF7"/>
    <w:p w:rsidR="00702AF7" w:rsidRPr="00FF3971" w:rsidRDefault="008A250A" w:rsidP="00702AF7">
      <w:pPr>
        <w:rPr>
          <w:szCs w:val="24"/>
        </w:rPr>
      </w:pPr>
      <w:r>
        <w:t xml:space="preserve">Ak nie je </w:t>
      </w:r>
      <w:proofErr w:type="spellStart"/>
      <w:r>
        <w:t>upresnené</w:t>
      </w:r>
      <w:proofErr w:type="spellEnd"/>
      <w:r>
        <w:t xml:space="preserve"> inak, dávkovanie </w:t>
      </w:r>
      <w:proofErr w:type="spellStart"/>
      <w:r>
        <w:t>mitomycínu</w:t>
      </w:r>
      <w:proofErr w:type="spellEnd"/>
      <w:r>
        <w:t xml:space="preserve"> je 40 mg </w:t>
      </w:r>
      <w:proofErr w:type="spellStart"/>
      <w:r>
        <w:t>mitomycínu</w:t>
      </w:r>
      <w:proofErr w:type="spellEnd"/>
      <w:r>
        <w:t xml:space="preserve"> </w:t>
      </w:r>
      <w:proofErr w:type="spellStart"/>
      <w:r>
        <w:t>instilované</w:t>
      </w:r>
      <w:r w:rsidR="009A1C0B">
        <w:t>ho</w:t>
      </w:r>
      <w:proofErr w:type="spellEnd"/>
      <w:r w:rsidR="00702AF7" w:rsidRPr="00FF3971">
        <w:t xml:space="preserve"> do močového mechúra raz týždenne. Tiež možno použiť </w:t>
      </w:r>
      <w:r>
        <w:t xml:space="preserve">liečebné režimy s </w:t>
      </w:r>
      <w:proofErr w:type="spellStart"/>
      <w:r>
        <w:t>instiláciou</w:t>
      </w:r>
      <w:proofErr w:type="spellEnd"/>
      <w:r>
        <w:t xml:space="preserve"> každé 2 týždne, každý mesiac alebo každé 3 mesiace.</w:t>
      </w:r>
    </w:p>
    <w:p w:rsidR="00702AF7" w:rsidRPr="00FF3971" w:rsidRDefault="008A250A" w:rsidP="00702AF7">
      <w:pPr>
        <w:autoSpaceDE w:val="0"/>
        <w:autoSpaceDN w:val="0"/>
        <w:adjustRightInd w:val="0"/>
        <w:rPr>
          <w:szCs w:val="24"/>
        </w:rPr>
      </w:pPr>
      <w:r>
        <w:t>Špecialista by mal rozhodnúť o optimálnom liečebnom režime, frekvencii a trvaní liečby u každého pacienta individuálne.</w:t>
      </w:r>
    </w:p>
    <w:p w:rsidR="00702AF7" w:rsidRPr="00FF3971" w:rsidRDefault="00702AF7" w:rsidP="00702AF7">
      <w:pPr>
        <w:rPr>
          <w:szCs w:val="22"/>
        </w:rPr>
      </w:pPr>
    </w:p>
    <w:p w:rsidR="00702AF7" w:rsidRPr="00FF3971" w:rsidRDefault="008A250A" w:rsidP="00702AF7">
      <w:pPr>
        <w:rPr>
          <w:szCs w:val="22"/>
        </w:rPr>
      </w:pPr>
      <w:r>
        <w:t>Hodnota pH moču má byť vyššia ako 6.</w:t>
      </w:r>
    </w:p>
    <w:p w:rsidR="00702AF7" w:rsidRPr="00FF3971" w:rsidRDefault="00702AF7" w:rsidP="00CB60B6">
      <w:pPr>
        <w:rPr>
          <w:sz w:val="24"/>
          <w:szCs w:val="24"/>
        </w:rPr>
      </w:pPr>
    </w:p>
    <w:p w:rsidR="00702AF7" w:rsidRPr="00FF3971" w:rsidRDefault="008A250A" w:rsidP="009B63DD">
      <w:pPr>
        <w:rPr>
          <w:i/>
          <w:szCs w:val="22"/>
        </w:rPr>
      </w:pPr>
      <w:r>
        <w:rPr>
          <w:i/>
        </w:rPr>
        <w:t>Osobitné populácie</w:t>
      </w:r>
    </w:p>
    <w:p w:rsidR="00702AF7" w:rsidRPr="00FF3971" w:rsidRDefault="008A250A" w:rsidP="00CB60B6">
      <w:pPr>
        <w:rPr>
          <w:szCs w:val="22"/>
        </w:rPr>
      </w:pPr>
      <w:r>
        <w:t xml:space="preserve">Dávka sa musí znížiť u pacientov, ktorí v minulosti prešli extenzívnou liečbou </w:t>
      </w:r>
      <w:proofErr w:type="spellStart"/>
      <w:r>
        <w:t>cytostatikami</w:t>
      </w:r>
      <w:proofErr w:type="spellEnd"/>
      <w:r>
        <w:t xml:space="preserve">, v prípade </w:t>
      </w:r>
      <w:proofErr w:type="spellStart"/>
      <w:r>
        <w:t>myelosupresie</w:t>
      </w:r>
      <w:proofErr w:type="spellEnd"/>
      <w:r>
        <w:t xml:space="preserve"> alebo u starších pacientov.</w:t>
      </w:r>
    </w:p>
    <w:p w:rsidR="00702AF7" w:rsidRPr="00FF3971" w:rsidRDefault="00702AF7" w:rsidP="00CB60B6">
      <w:pPr>
        <w:pStyle w:val="Zkladntext2"/>
        <w:jc w:val="left"/>
        <w:rPr>
          <w:szCs w:val="22"/>
        </w:rPr>
      </w:pPr>
    </w:p>
    <w:p w:rsidR="00702AF7" w:rsidRPr="00FF3971" w:rsidRDefault="008A250A" w:rsidP="00CB60B6">
      <w:pPr>
        <w:pStyle w:val="Zkladntext2"/>
        <w:jc w:val="left"/>
        <w:rPr>
          <w:szCs w:val="22"/>
        </w:rPr>
      </w:pPr>
      <w:r>
        <w:t xml:space="preserve">K dispozícii je nedostatočné množstvo údajov z klinických štúdií skúmajúcich použitie </w:t>
      </w:r>
      <w:proofErr w:type="spellStart"/>
      <w:r>
        <w:t>mitomycínu</w:t>
      </w:r>
      <w:proofErr w:type="spellEnd"/>
      <w:r>
        <w:t xml:space="preserve"> u pacientov vo veku ≥ 65 rokov.</w:t>
      </w:r>
    </w:p>
    <w:p w:rsidR="00702AF7" w:rsidRPr="00FF3971" w:rsidRDefault="00702AF7" w:rsidP="00CB60B6">
      <w:pPr>
        <w:rPr>
          <w:szCs w:val="22"/>
        </w:rPr>
      </w:pPr>
    </w:p>
    <w:p w:rsidR="00702AF7" w:rsidRPr="00FF3971" w:rsidRDefault="008A250A" w:rsidP="00CB60B6">
      <w:pPr>
        <w:rPr>
          <w:szCs w:val="22"/>
        </w:rPr>
      </w:pPr>
      <w:r>
        <w:t xml:space="preserve">Tento liek sa nemá používať u </w:t>
      </w:r>
      <w:r w:rsidR="00797AD4">
        <w:t xml:space="preserve">pacientov </w:t>
      </w:r>
      <w:r>
        <w:t>s poškodením funkcie obličiek (pozri časť 4.3).</w:t>
      </w:r>
    </w:p>
    <w:p w:rsidR="00702AF7" w:rsidRPr="00FF3971" w:rsidRDefault="00702AF7" w:rsidP="00CB60B6">
      <w:pPr>
        <w:rPr>
          <w:szCs w:val="22"/>
        </w:rPr>
      </w:pPr>
    </w:p>
    <w:p w:rsidR="00702AF7" w:rsidRPr="00FF3971" w:rsidRDefault="008A250A" w:rsidP="00CB60B6">
      <w:pPr>
        <w:rPr>
          <w:szCs w:val="22"/>
        </w:rPr>
      </w:pPr>
      <w:r>
        <w:t>Tento liek sa neodporúča používať u pacientov s poškodením funkcie pečene, keďže pre túto skupinu pacientov nie sú k dispozícii údaje o účinnosti a bezpečnosti.</w:t>
      </w:r>
    </w:p>
    <w:p w:rsidR="003757CD" w:rsidRPr="00FF3971" w:rsidRDefault="003757CD" w:rsidP="009B63DD">
      <w:pPr>
        <w:rPr>
          <w:szCs w:val="22"/>
        </w:rPr>
      </w:pPr>
    </w:p>
    <w:p w:rsidR="00404FBA" w:rsidRPr="00FF3971" w:rsidRDefault="008A250A" w:rsidP="003757CD">
      <w:pPr>
        <w:rPr>
          <w:i/>
          <w:szCs w:val="22"/>
        </w:rPr>
      </w:pPr>
      <w:r>
        <w:rPr>
          <w:i/>
        </w:rPr>
        <w:t>Pediatrická populácia</w:t>
      </w:r>
    </w:p>
    <w:p w:rsidR="00404FBA" w:rsidRPr="00FF3971" w:rsidRDefault="008A250A" w:rsidP="003757CD">
      <w:pPr>
        <w:rPr>
          <w:szCs w:val="22"/>
        </w:rPr>
      </w:pPr>
      <w:r>
        <w:t xml:space="preserve">Bezpečnosť a účinnosť </w:t>
      </w:r>
      <w:proofErr w:type="spellStart"/>
      <w:r>
        <w:t>mitomycínu</w:t>
      </w:r>
      <w:proofErr w:type="spellEnd"/>
      <w:r>
        <w:t xml:space="preserve"> u detí neboli stanovené.</w:t>
      </w:r>
    </w:p>
    <w:p w:rsidR="00EB5A4B" w:rsidRPr="00FF3971" w:rsidRDefault="008A250A" w:rsidP="003757CD">
      <w:pPr>
        <w:rPr>
          <w:szCs w:val="22"/>
        </w:rPr>
      </w:pPr>
      <w:r>
        <w:t>K dispozícii nie sú žiadne údaje.</w:t>
      </w:r>
    </w:p>
    <w:p w:rsidR="0064267A" w:rsidRPr="00FF3971" w:rsidRDefault="0064267A" w:rsidP="0064267A">
      <w:pPr>
        <w:rPr>
          <w:szCs w:val="22"/>
        </w:rPr>
      </w:pPr>
    </w:p>
    <w:p w:rsidR="00EA4FF4" w:rsidRPr="00FF3971" w:rsidRDefault="008A250A" w:rsidP="0064267A">
      <w:pPr>
        <w:rPr>
          <w:szCs w:val="22"/>
          <w:u w:val="single"/>
        </w:rPr>
      </w:pPr>
      <w:r>
        <w:rPr>
          <w:u w:val="single"/>
        </w:rPr>
        <w:t>Spôsob podávania</w:t>
      </w:r>
    </w:p>
    <w:p w:rsidR="00A35EB0" w:rsidRPr="00FF3971" w:rsidRDefault="00A35EB0" w:rsidP="00CB60B6">
      <w:pPr>
        <w:rPr>
          <w:sz w:val="24"/>
          <w:szCs w:val="24"/>
          <w:u w:val="single"/>
        </w:rPr>
      </w:pPr>
    </w:p>
    <w:p w:rsidR="00A35EB0" w:rsidRPr="00FF3971" w:rsidRDefault="008A250A" w:rsidP="00CB60B6">
      <w:pPr>
        <w:rPr>
          <w:szCs w:val="22"/>
        </w:rPr>
      </w:pPr>
      <w:proofErr w:type="spellStart"/>
      <w:r>
        <w:t>Mitomycín</w:t>
      </w:r>
      <w:proofErr w:type="spellEnd"/>
      <w:r>
        <w:t xml:space="preserve"> je určený na injekciu alebo infúziu do krvnej ciev</w:t>
      </w:r>
      <w:r w:rsidR="00101C55">
        <w:t>y</w:t>
      </w:r>
      <w:r w:rsidR="00101C55" w:rsidRPr="00FF3971">
        <w:t xml:space="preserve"> </w:t>
      </w:r>
      <w:r w:rsidR="001A31FF" w:rsidRPr="00FF3971">
        <w:t>(intravenózne použitie)</w:t>
      </w:r>
      <w:r w:rsidR="00A35EB0" w:rsidRPr="00FF3971">
        <w:t xml:space="preserve">, alebo na </w:t>
      </w:r>
      <w:proofErr w:type="spellStart"/>
      <w:r w:rsidR="00A35EB0" w:rsidRPr="00FF3971">
        <w:t>intravezikálnu</w:t>
      </w:r>
      <w:proofErr w:type="spellEnd"/>
      <w:r w:rsidR="00A35EB0" w:rsidRPr="00FF3971">
        <w:t xml:space="preserve"> </w:t>
      </w:r>
      <w:proofErr w:type="spellStart"/>
      <w:r w:rsidR="00A35EB0" w:rsidRPr="00FF3971">
        <w:t>instiláciu</w:t>
      </w:r>
      <w:proofErr w:type="spellEnd"/>
      <w:r w:rsidR="00A35EB0" w:rsidRPr="00FF3971">
        <w:t xml:space="preserve"> po rozpustení. Čiastočné použitie je prípustné.</w:t>
      </w:r>
    </w:p>
    <w:p w:rsidR="00EA4FF4" w:rsidRPr="00FF3971" w:rsidRDefault="00EA4FF4" w:rsidP="0064267A">
      <w:pPr>
        <w:rPr>
          <w:szCs w:val="22"/>
        </w:rPr>
      </w:pPr>
    </w:p>
    <w:p w:rsidR="00A35EB0" w:rsidRPr="00FF3971" w:rsidRDefault="008A250A" w:rsidP="00CB60B6">
      <w:pPr>
        <w:pStyle w:val="Nadpis7"/>
        <w:spacing w:before="0" w:after="0"/>
        <w:rPr>
          <w:bCs/>
          <w:sz w:val="22"/>
          <w:szCs w:val="22"/>
        </w:rPr>
      </w:pPr>
      <w:r>
        <w:rPr>
          <w:i/>
          <w:sz w:val="22"/>
        </w:rPr>
        <w:t>Opatrenia, ktoré sa majú prijať pred manipuláciou s liekom alebo pred jeho podávaním</w:t>
      </w:r>
    </w:p>
    <w:p w:rsidR="00A35EB0" w:rsidRPr="00FF3971" w:rsidRDefault="00A35EB0" w:rsidP="00CB60B6">
      <w:pPr>
        <w:ind w:left="426" w:hanging="284"/>
        <w:rPr>
          <w:szCs w:val="22"/>
        </w:rPr>
      </w:pPr>
      <w:r w:rsidRPr="00FF3971">
        <w:rPr>
          <w:szCs w:val="22"/>
        </w:rPr>
        <w:sym w:font="Symbol" w:char="F0B7"/>
      </w:r>
      <w:r w:rsidR="000E3F73" w:rsidRPr="00FF3971">
        <w:tab/>
      </w:r>
      <w:proofErr w:type="spellStart"/>
      <w:r w:rsidR="000E3F73" w:rsidRPr="00FF3971">
        <w:t>Mitomycin</w:t>
      </w:r>
      <w:proofErr w:type="spellEnd"/>
      <w:r w:rsidR="000E3F73" w:rsidRPr="00FF3971">
        <w:t xml:space="preserve"> </w:t>
      </w:r>
      <w:proofErr w:type="spellStart"/>
      <w:r w:rsidR="000E3F73" w:rsidRPr="00FF3971">
        <w:t>medac</w:t>
      </w:r>
      <w:proofErr w:type="spellEnd"/>
      <w:r w:rsidR="000E3F73" w:rsidRPr="00FF3971">
        <w:t xml:space="preserve">, </w:t>
      </w:r>
      <w:r w:rsidRPr="00FF3971">
        <w:t>sa nesmie používať v zmiešaných injekciách.</w:t>
      </w:r>
    </w:p>
    <w:p w:rsidR="00A35EB0" w:rsidRPr="00FF3971" w:rsidRDefault="00A35EB0" w:rsidP="00CB60B6">
      <w:pPr>
        <w:pStyle w:val="Zkladntext"/>
        <w:spacing w:after="0"/>
        <w:ind w:left="426" w:hanging="284"/>
      </w:pPr>
      <w:r w:rsidRPr="00FF3971">
        <w:sym w:font="Symbol" w:char="F0B7"/>
      </w:r>
      <w:r w:rsidRPr="00FF3971">
        <w:tab/>
        <w:t xml:space="preserve">Iné injekčné roztoky alebo </w:t>
      </w:r>
      <w:proofErr w:type="spellStart"/>
      <w:r w:rsidRPr="00FF3971">
        <w:t>infúzne</w:t>
      </w:r>
      <w:proofErr w:type="spellEnd"/>
      <w:r w:rsidRPr="00FF3971">
        <w:t xml:space="preserve"> roztoky sa musia podávať osobitne.</w:t>
      </w:r>
    </w:p>
    <w:p w:rsidR="00A35EB0" w:rsidRPr="00FF3971" w:rsidRDefault="00A35EB0" w:rsidP="00CB60B6">
      <w:pPr>
        <w:pStyle w:val="Zkladntext"/>
        <w:spacing w:after="0"/>
        <w:ind w:left="426" w:hanging="284"/>
      </w:pPr>
      <w:r w:rsidRPr="00FF3971">
        <w:sym w:font="Symbol" w:char="F0B7"/>
      </w:r>
      <w:r w:rsidRPr="00FF3971">
        <w:tab/>
        <w:t>Je nevyhnutné, aby injekcia bola podaná intravenózne.</w:t>
      </w:r>
    </w:p>
    <w:p w:rsidR="00762AD6" w:rsidRPr="00FF3971" w:rsidRDefault="00762AD6" w:rsidP="00762AD6"/>
    <w:p w:rsidR="00762AD6" w:rsidRPr="00FF3971" w:rsidRDefault="00762AD6" w:rsidP="00762AD6">
      <w:pPr>
        <w:rPr>
          <w:szCs w:val="22"/>
        </w:rPr>
      </w:pPr>
      <w:r w:rsidRPr="00FF3971">
        <w:t xml:space="preserve">Pokyny na </w:t>
      </w:r>
      <w:r w:rsidR="008A250A">
        <w:t>rekonštitúciu a riedenie lieku pred podaním, pozri časť 6.6.</w:t>
      </w:r>
    </w:p>
    <w:p w:rsidR="00C9579E" w:rsidRPr="00FF3971" w:rsidRDefault="00C9579E" w:rsidP="00CB60B6">
      <w:pPr>
        <w:tabs>
          <w:tab w:val="clear" w:pos="567"/>
          <w:tab w:val="left" w:pos="2655"/>
        </w:tabs>
        <w:rPr>
          <w:szCs w:val="22"/>
        </w:rPr>
      </w:pPr>
    </w:p>
    <w:p w:rsidR="0064267A" w:rsidRPr="009866A5" w:rsidRDefault="00E63504" w:rsidP="0064267A">
      <w:pPr>
        <w:ind w:left="567" w:hanging="567"/>
        <w:rPr>
          <w:szCs w:val="22"/>
        </w:rPr>
      </w:pPr>
      <w:r w:rsidRPr="009866A5">
        <w:rPr>
          <w:b/>
        </w:rPr>
        <w:t>4.3</w:t>
      </w:r>
      <w:r w:rsidR="008A250A">
        <w:tab/>
      </w:r>
      <w:r w:rsidRPr="009866A5">
        <w:rPr>
          <w:b/>
        </w:rPr>
        <w:t>Kontraindikácie</w:t>
      </w:r>
    </w:p>
    <w:p w:rsidR="0064267A" w:rsidRPr="009866A5" w:rsidRDefault="0064267A" w:rsidP="0064267A">
      <w:pPr>
        <w:rPr>
          <w:szCs w:val="22"/>
        </w:rPr>
      </w:pPr>
    </w:p>
    <w:p w:rsidR="00C82D74" w:rsidRPr="00FF3971" w:rsidRDefault="00C82D74" w:rsidP="00CB60B6">
      <w:pPr>
        <w:tabs>
          <w:tab w:val="left" w:pos="426"/>
        </w:tabs>
        <w:ind w:firstLine="142"/>
        <w:rPr>
          <w:szCs w:val="22"/>
        </w:rPr>
      </w:pPr>
      <w:r w:rsidRPr="00FF3971">
        <w:rPr>
          <w:szCs w:val="22"/>
        </w:rPr>
        <w:sym w:font="Symbol" w:char="F0B7"/>
      </w:r>
      <w:r w:rsidRPr="00FF3971">
        <w:tab/>
        <w:t>Precitlivenosť na liečivo alebo na ktorúkoľvek z po</w:t>
      </w:r>
      <w:r w:rsidR="000E3F73" w:rsidRPr="00FF3971">
        <w:t>mocných látok uvedených v časti </w:t>
      </w:r>
      <w:r w:rsidRPr="00FF3971">
        <w:t>6.1.</w:t>
      </w:r>
    </w:p>
    <w:p w:rsidR="00C82D74" w:rsidRPr="00FF3971" w:rsidRDefault="00C82D74" w:rsidP="00CB60B6">
      <w:pPr>
        <w:tabs>
          <w:tab w:val="left" w:pos="426"/>
        </w:tabs>
        <w:ind w:firstLine="142"/>
        <w:rPr>
          <w:szCs w:val="22"/>
        </w:rPr>
      </w:pPr>
      <w:r w:rsidRPr="00FF3971">
        <w:rPr>
          <w:szCs w:val="22"/>
        </w:rPr>
        <w:sym w:font="Symbol" w:char="F0B7"/>
      </w:r>
      <w:r w:rsidRPr="00FF3971">
        <w:tab/>
      </w:r>
      <w:r w:rsidR="00316115">
        <w:t>Dojčenie</w:t>
      </w:r>
    </w:p>
    <w:p w:rsidR="00C82D74" w:rsidRPr="009866A5" w:rsidRDefault="00C82D74" w:rsidP="0064267A">
      <w:pPr>
        <w:rPr>
          <w:szCs w:val="22"/>
        </w:rPr>
      </w:pPr>
    </w:p>
    <w:p w:rsidR="00090984" w:rsidRPr="009866A5" w:rsidRDefault="00E63504" w:rsidP="0064267A">
      <w:pPr>
        <w:rPr>
          <w:i/>
          <w:iCs/>
          <w:szCs w:val="22"/>
        </w:rPr>
      </w:pPr>
      <w:r w:rsidRPr="009866A5">
        <w:rPr>
          <w:i/>
        </w:rPr>
        <w:t>V systémovej liečbe</w:t>
      </w:r>
    </w:p>
    <w:p w:rsidR="0064267A" w:rsidRPr="009866A5" w:rsidRDefault="008A250A" w:rsidP="00571A8E">
      <w:pPr>
        <w:rPr>
          <w:szCs w:val="22"/>
        </w:rPr>
      </w:pPr>
      <w:proofErr w:type="spellStart"/>
      <w:r>
        <w:t>Pancytopénia</w:t>
      </w:r>
      <w:proofErr w:type="spellEnd"/>
      <w:r>
        <w:t xml:space="preserve">, izolovaná </w:t>
      </w:r>
      <w:proofErr w:type="spellStart"/>
      <w:r>
        <w:t>leukopénia</w:t>
      </w:r>
      <w:proofErr w:type="spellEnd"/>
      <w:r>
        <w:t xml:space="preserve"> alebo </w:t>
      </w:r>
      <w:proofErr w:type="spellStart"/>
      <w:r>
        <w:t>trombocytopénia</w:t>
      </w:r>
      <w:proofErr w:type="spellEnd"/>
      <w:r>
        <w:t xml:space="preserve">, </w:t>
      </w:r>
      <w:proofErr w:type="spellStart"/>
      <w:r>
        <w:t>hemoragická</w:t>
      </w:r>
      <w:proofErr w:type="spellEnd"/>
      <w:r>
        <w:t xml:space="preserve"> diatéza a akútne infekcie sú absolútnymi kontraindikáciami.</w:t>
      </w:r>
    </w:p>
    <w:p w:rsidR="00090984" w:rsidRPr="009866A5" w:rsidRDefault="00090984" w:rsidP="00090984">
      <w:pPr>
        <w:rPr>
          <w:szCs w:val="22"/>
        </w:rPr>
      </w:pPr>
    </w:p>
    <w:p w:rsidR="008B4C9C" w:rsidRPr="00FF3971" w:rsidRDefault="008A250A" w:rsidP="00CB60B6">
      <w:pPr>
        <w:rPr>
          <w:szCs w:val="22"/>
        </w:rPr>
      </w:pPr>
      <w:r>
        <w:t>Reštrikčné alebo obštrukčné poruchy pľúcnej ventilácie, porucha funkcie obličiek, porucha funkcie pečene a/alebo zlý celkový zdravotný stav sú relatívnymi kontraindikáciami.</w:t>
      </w:r>
      <w:r w:rsidR="00255DC5">
        <w:t xml:space="preserve"> Súbežná rádioterapia alebo liečba iným </w:t>
      </w:r>
      <w:proofErr w:type="spellStart"/>
      <w:r w:rsidR="00255DC5">
        <w:t>cytostatikom</w:t>
      </w:r>
      <w:proofErr w:type="spellEnd"/>
      <w:r w:rsidR="00255DC5">
        <w:t xml:space="preserve"> môže tiež byť</w:t>
      </w:r>
      <w:r>
        <w:t xml:space="preserve"> </w:t>
      </w:r>
      <w:r w:rsidR="00255DC5">
        <w:t>ďalšia kontraindikácia.</w:t>
      </w:r>
    </w:p>
    <w:p w:rsidR="007603CA" w:rsidRPr="009866A5" w:rsidRDefault="007603CA" w:rsidP="009B63DD">
      <w:pPr>
        <w:rPr>
          <w:szCs w:val="22"/>
        </w:rPr>
      </w:pPr>
    </w:p>
    <w:p w:rsidR="007603CA" w:rsidRPr="009866A5" w:rsidRDefault="00E63504" w:rsidP="007603CA">
      <w:pPr>
        <w:rPr>
          <w:i/>
          <w:iCs/>
          <w:szCs w:val="22"/>
        </w:rPr>
      </w:pPr>
      <w:proofErr w:type="spellStart"/>
      <w:r w:rsidRPr="009866A5">
        <w:rPr>
          <w:i/>
        </w:rPr>
        <w:t>Intravezikálna</w:t>
      </w:r>
      <w:proofErr w:type="spellEnd"/>
      <w:r w:rsidRPr="009866A5">
        <w:rPr>
          <w:i/>
        </w:rPr>
        <w:t xml:space="preserve"> liečba</w:t>
      </w:r>
    </w:p>
    <w:p w:rsidR="007603CA" w:rsidRPr="009866A5" w:rsidRDefault="008A250A" w:rsidP="007603CA">
      <w:pPr>
        <w:rPr>
          <w:szCs w:val="22"/>
        </w:rPr>
      </w:pPr>
      <w:r>
        <w:t>Perforácia steny močového mechúra</w:t>
      </w:r>
    </w:p>
    <w:p w:rsidR="00571A8E" w:rsidRPr="009866A5" w:rsidRDefault="008A250A" w:rsidP="007603CA">
      <w:pPr>
        <w:rPr>
          <w:szCs w:val="22"/>
        </w:rPr>
      </w:pPr>
      <w:proofErr w:type="spellStart"/>
      <w:r>
        <w:t>Cystitída</w:t>
      </w:r>
      <w:proofErr w:type="spellEnd"/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CB60B6">
      <w:pPr>
        <w:rPr>
          <w:b/>
          <w:szCs w:val="22"/>
        </w:rPr>
      </w:pPr>
      <w:r w:rsidRPr="009866A5">
        <w:rPr>
          <w:b/>
        </w:rPr>
        <w:t>4.4</w:t>
      </w:r>
      <w:r w:rsidR="008A250A">
        <w:tab/>
      </w:r>
      <w:r w:rsidRPr="009866A5">
        <w:rPr>
          <w:b/>
        </w:rPr>
        <w:t>Osobitné upozornenia a opatrenia pri používaní</w:t>
      </w:r>
    </w:p>
    <w:p w:rsidR="007603CA" w:rsidRPr="009866A5" w:rsidRDefault="007603CA" w:rsidP="00BE1074">
      <w:pPr>
        <w:outlineLvl w:val="0"/>
        <w:rPr>
          <w:szCs w:val="22"/>
        </w:rPr>
      </w:pPr>
    </w:p>
    <w:p w:rsidR="00823D6A" w:rsidRPr="00FF3971" w:rsidRDefault="008A250A" w:rsidP="00CB60B6">
      <w:pPr>
        <w:pStyle w:val="Zkladntext2"/>
        <w:jc w:val="left"/>
        <w:rPr>
          <w:szCs w:val="22"/>
        </w:rPr>
      </w:pPr>
      <w:r>
        <w:t xml:space="preserve">Kvôli toxickým účinkom </w:t>
      </w:r>
      <w:proofErr w:type="spellStart"/>
      <w:r>
        <w:t>mitomycínu</w:t>
      </w:r>
      <w:proofErr w:type="spellEnd"/>
      <w:r>
        <w:t xml:space="preserve"> na kostnú dreň iné </w:t>
      </w:r>
      <w:r w:rsidR="00025C33">
        <w:t xml:space="preserve">modality </w:t>
      </w:r>
      <w:proofErr w:type="spellStart"/>
      <w:r w:rsidR="00025C33">
        <w:t>myelotoxickej</w:t>
      </w:r>
      <w:proofErr w:type="spellEnd"/>
      <w:r w:rsidR="00025C33">
        <w:t xml:space="preserve"> </w:t>
      </w:r>
      <w:r>
        <w:t xml:space="preserve">liečby (najmä iné </w:t>
      </w:r>
      <w:proofErr w:type="spellStart"/>
      <w:r>
        <w:t>cytostatiká</w:t>
      </w:r>
      <w:proofErr w:type="spellEnd"/>
      <w:r>
        <w:t xml:space="preserve">, žiarenie) treba podávať s osobitnou opatrnosťou, za účelom minimalizácie rizika aditívnej </w:t>
      </w:r>
      <w:proofErr w:type="spellStart"/>
      <w:r>
        <w:t>myelosupresie</w:t>
      </w:r>
      <w:proofErr w:type="spellEnd"/>
      <w:r>
        <w:t>.</w:t>
      </w:r>
    </w:p>
    <w:p w:rsidR="00823D6A" w:rsidRPr="00FF3971" w:rsidRDefault="00823D6A" w:rsidP="00CB60B6">
      <w:pPr>
        <w:rPr>
          <w:szCs w:val="22"/>
        </w:rPr>
      </w:pPr>
    </w:p>
    <w:p w:rsidR="00823D6A" w:rsidRPr="00FF3971" w:rsidRDefault="008A250A" w:rsidP="00CB60B6">
      <w:pPr>
        <w:rPr>
          <w:color w:val="000000"/>
          <w:szCs w:val="22"/>
        </w:rPr>
      </w:pPr>
      <w:r>
        <w:t xml:space="preserve">Je nevyhnutné, aby injekcia bola podaná intravenózne. Ak sa liek podá </w:t>
      </w:r>
      <w:proofErr w:type="spellStart"/>
      <w:r>
        <w:t>perivaskulárne</w:t>
      </w:r>
      <w:proofErr w:type="spellEnd"/>
      <w:r>
        <w:t xml:space="preserve">, v postihnutej oblasti dôjde k rozsiahlej </w:t>
      </w:r>
      <w:proofErr w:type="spellStart"/>
      <w:r>
        <w:t>nekróze</w:t>
      </w:r>
      <w:proofErr w:type="spellEnd"/>
      <w:r>
        <w:t xml:space="preserve">. </w:t>
      </w:r>
      <w:r>
        <w:rPr>
          <w:color w:val="000000"/>
        </w:rPr>
        <w:t xml:space="preserve">Na vyhnutie sa </w:t>
      </w:r>
      <w:proofErr w:type="spellStart"/>
      <w:r>
        <w:rPr>
          <w:color w:val="000000"/>
        </w:rPr>
        <w:t>nekróze</w:t>
      </w:r>
      <w:proofErr w:type="spellEnd"/>
      <w:r>
        <w:rPr>
          <w:color w:val="000000"/>
        </w:rPr>
        <w:t xml:space="preserve"> platia nasledujúce odporúčania:</w:t>
      </w:r>
    </w:p>
    <w:p w:rsidR="00823D6A" w:rsidRPr="00FF3971" w:rsidRDefault="008A250A" w:rsidP="00CB60B6">
      <w:pPr>
        <w:pStyle w:val="Zkladntext2"/>
        <w:numPr>
          <w:ilvl w:val="0"/>
          <w:numId w:val="5"/>
        </w:numPr>
        <w:ind w:left="426"/>
        <w:contextualSpacing/>
        <w:jc w:val="left"/>
        <w:rPr>
          <w:szCs w:val="22"/>
        </w:rPr>
      </w:pPr>
      <w:r>
        <w:t>Vždy podávajte do veľkých žíl na rukách.</w:t>
      </w:r>
    </w:p>
    <w:p w:rsidR="00823D6A" w:rsidRPr="00FF3971" w:rsidRDefault="008A250A" w:rsidP="00CB60B6">
      <w:pPr>
        <w:pStyle w:val="Zkladntext2"/>
        <w:numPr>
          <w:ilvl w:val="0"/>
          <w:numId w:val="5"/>
        </w:numPr>
        <w:ind w:left="426"/>
        <w:contextualSpacing/>
        <w:jc w:val="left"/>
        <w:rPr>
          <w:szCs w:val="22"/>
        </w:rPr>
      </w:pPr>
      <w:r>
        <w:t>Nepodávajte priamo intravenózne, ale radšej do trubice dobre nastavenej a bezpečne prebiehajúcej infúzie.</w:t>
      </w:r>
    </w:p>
    <w:p w:rsidR="00823D6A" w:rsidRPr="00FF3971" w:rsidRDefault="008A250A" w:rsidP="00CB60B6">
      <w:pPr>
        <w:pStyle w:val="Zkladntext2"/>
        <w:numPr>
          <w:ilvl w:val="0"/>
          <w:numId w:val="5"/>
        </w:numPr>
        <w:ind w:left="426"/>
        <w:contextualSpacing/>
        <w:jc w:val="left"/>
        <w:rPr>
          <w:szCs w:val="22"/>
        </w:rPr>
      </w:pPr>
      <w:r>
        <w:t xml:space="preserve">Pred odstránením </w:t>
      </w:r>
      <w:r w:rsidR="00A57739">
        <w:t xml:space="preserve">kanyly </w:t>
      </w:r>
      <w:r>
        <w:t xml:space="preserve">po podaní do centrálnej žily prepláchnite ju niekoľko minút infúziou, aby sa vyplavil eventuálny zvyškový objem </w:t>
      </w:r>
      <w:proofErr w:type="spellStart"/>
      <w:r>
        <w:t>mitomycínu</w:t>
      </w:r>
      <w:proofErr w:type="spellEnd"/>
      <w:r>
        <w:t>.</w:t>
      </w:r>
    </w:p>
    <w:p w:rsidR="00823D6A" w:rsidRPr="00FF3971" w:rsidRDefault="008A250A" w:rsidP="00CB60B6">
      <w:pPr>
        <w:rPr>
          <w:szCs w:val="22"/>
        </w:rPr>
      </w:pPr>
      <w:r>
        <w:t xml:space="preserve">Ak dôjde k </w:t>
      </w:r>
      <w:proofErr w:type="spellStart"/>
      <w:r>
        <w:t>extravazácii</w:t>
      </w:r>
      <w:proofErr w:type="spellEnd"/>
      <w:r>
        <w:t xml:space="preserve">, odporúča sa </w:t>
      </w:r>
      <w:r w:rsidR="00255DC5">
        <w:t xml:space="preserve">okamžitá </w:t>
      </w:r>
      <w:r w:rsidR="005E64B2">
        <w:t>lokálna aplikácia</w:t>
      </w:r>
      <w:r>
        <w:t xml:space="preserve"> </w:t>
      </w:r>
      <w:proofErr w:type="spellStart"/>
      <w:r>
        <w:t>dimetylsulfoxidu</w:t>
      </w:r>
      <w:proofErr w:type="spellEnd"/>
      <w:r>
        <w:t xml:space="preserve"> (DMSO 99 %) opakované každých 4 </w:t>
      </w:r>
      <w:r>
        <w:noBreakHyphen/>
        <w:t> 8 hodín, ako aj použitie suchých studených obkladov. Treba sa poradiť s (plastickým) chirurgom v začiatočnom štádiu (do 72 hodín). Systémové injekčné podanie 200 mg vitamínu B6 môže byť užitočné na podporu regenerácie poškodených tkanív.</w:t>
      </w:r>
    </w:p>
    <w:p w:rsidR="00823D6A" w:rsidRPr="00FF3971" w:rsidRDefault="00823D6A" w:rsidP="00CB60B6">
      <w:pPr>
        <w:rPr>
          <w:szCs w:val="22"/>
        </w:rPr>
      </w:pPr>
    </w:p>
    <w:p w:rsidR="00823D6A" w:rsidRPr="00FF3971" w:rsidRDefault="008A250A" w:rsidP="00CB60B6">
      <w:pPr>
        <w:rPr>
          <w:szCs w:val="22"/>
        </w:rPr>
      </w:pPr>
      <w:r>
        <w:t>Dlhodobá liečba môže viesť ku kumulatívnemu toxickému účinku na kostnú dreň. Útlm kostnej drene sa môže prejaviť iba s oneskorením; k najvýraznejšiemu prejavu dochádza po 4 – 6 týždňoch, akumuláciou po predĺženom používaní, a preto si často vyžaduje individuálnu úpravu dávkovania.</w:t>
      </w:r>
    </w:p>
    <w:p w:rsidR="00823D6A" w:rsidRPr="00FF3971" w:rsidRDefault="00823D6A" w:rsidP="00CB60B6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:rsidR="00823D6A" w:rsidRPr="00FF3971" w:rsidRDefault="008A250A" w:rsidP="00CB60B6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>
        <w:rPr>
          <w:color w:val="auto"/>
          <w:sz w:val="22"/>
        </w:rPr>
        <w:t xml:space="preserve">Starší pacienti často majú zníženú fyziologickú funkciu, útlm kostnej drene, ktoré môžu mať predĺžené trvanie, takže u tejto populácie podávajte </w:t>
      </w:r>
      <w:proofErr w:type="spellStart"/>
      <w:r>
        <w:rPr>
          <w:color w:val="auto"/>
          <w:sz w:val="22"/>
        </w:rPr>
        <w:t>mitomycín</w:t>
      </w:r>
      <w:proofErr w:type="spellEnd"/>
      <w:r>
        <w:rPr>
          <w:color w:val="auto"/>
          <w:sz w:val="22"/>
        </w:rPr>
        <w:t xml:space="preserve"> zvlášť opatrne a zároveň dôkladne sledujte pacientov stav.</w:t>
      </w:r>
    </w:p>
    <w:p w:rsidR="00823D6A" w:rsidRPr="00FF3971" w:rsidRDefault="00823D6A" w:rsidP="00CB60B6">
      <w:pPr>
        <w:rPr>
          <w:szCs w:val="22"/>
        </w:rPr>
      </w:pPr>
    </w:p>
    <w:p w:rsidR="00823D6A" w:rsidRPr="00FF3971" w:rsidRDefault="008A250A" w:rsidP="00CB60B6">
      <w:pPr>
        <w:rPr>
          <w:szCs w:val="22"/>
        </w:rPr>
      </w:pPr>
      <w:proofErr w:type="spellStart"/>
      <w:r>
        <w:t>Mitomycín</w:t>
      </w:r>
      <w:proofErr w:type="spellEnd"/>
      <w:r>
        <w:t xml:space="preserve"> je mutagénna a potenciálne karcinogénna látka </w:t>
      </w:r>
      <w:r w:rsidR="005E64B2">
        <w:t xml:space="preserve">pre </w:t>
      </w:r>
      <w:r>
        <w:t>ľudí. Treba sa vyhýbať kontaktu s pokožkou a sliznicami.</w:t>
      </w:r>
    </w:p>
    <w:p w:rsidR="00823D6A" w:rsidRPr="00FF3971" w:rsidRDefault="00823D6A" w:rsidP="00CB60B6">
      <w:pPr>
        <w:rPr>
          <w:szCs w:val="22"/>
        </w:rPr>
      </w:pPr>
    </w:p>
    <w:p w:rsidR="00823D6A" w:rsidRPr="00FF3971" w:rsidRDefault="008A250A" w:rsidP="00CB60B6">
      <w:pPr>
        <w:rPr>
          <w:szCs w:val="22"/>
        </w:rPr>
      </w:pPr>
      <w:r>
        <w:t xml:space="preserve">V prípade pľúcnych príznakov, ktoré nemožno pripísať základnému ochoreniu, liečbu treba okamžite zastaviť. Pľúcna toxicita sa dá dobre liečiť </w:t>
      </w:r>
      <w:proofErr w:type="spellStart"/>
      <w:r>
        <w:t>steroidmi</w:t>
      </w:r>
      <w:proofErr w:type="spellEnd"/>
      <w:r>
        <w:t>.</w:t>
      </w:r>
    </w:p>
    <w:p w:rsidR="00823D6A" w:rsidRPr="00FF3971" w:rsidRDefault="00823D6A" w:rsidP="00CB60B6">
      <w:pPr>
        <w:rPr>
          <w:szCs w:val="22"/>
        </w:rPr>
      </w:pPr>
    </w:p>
    <w:p w:rsidR="00823D6A" w:rsidRPr="00FF3971" w:rsidRDefault="008A250A" w:rsidP="00CB60B6">
      <w:pPr>
        <w:rPr>
          <w:szCs w:val="24"/>
        </w:rPr>
      </w:pPr>
      <w:r>
        <w:t xml:space="preserve">Liečbu treba tiež okamžite zastaviť, ak sa vyskytnú príznaky </w:t>
      </w:r>
      <w:proofErr w:type="spellStart"/>
      <w:r>
        <w:t>hemolýzy</w:t>
      </w:r>
      <w:proofErr w:type="spellEnd"/>
      <w:r>
        <w:t xml:space="preserve"> alebo náznaky dysfunkcie obličiek (</w:t>
      </w:r>
      <w:proofErr w:type="spellStart"/>
      <w:r>
        <w:t>nefrotoxicity</w:t>
      </w:r>
      <w:proofErr w:type="spellEnd"/>
      <w:r>
        <w:t xml:space="preserve">). Výskyt </w:t>
      </w:r>
      <w:proofErr w:type="spellStart"/>
      <w:r>
        <w:t>hemolyticko-uremického</w:t>
      </w:r>
      <w:proofErr w:type="spellEnd"/>
      <w:r>
        <w:t xml:space="preserve"> syndrómu (HUS; nevratné zlyhanie obličiek, </w:t>
      </w:r>
      <w:proofErr w:type="spellStart"/>
      <w:r>
        <w:t>mikroangiopatická</w:t>
      </w:r>
      <w:proofErr w:type="spellEnd"/>
      <w:r>
        <w:t xml:space="preserve"> </w:t>
      </w:r>
      <w:proofErr w:type="spellStart"/>
      <w:r>
        <w:t>hemolytická</w:t>
      </w:r>
      <w:proofErr w:type="spellEnd"/>
      <w:r>
        <w:t xml:space="preserve"> anémia [MAHA syndróm] a </w:t>
      </w:r>
      <w:proofErr w:type="spellStart"/>
      <w:r>
        <w:t>trombocytopénia</w:t>
      </w:r>
      <w:proofErr w:type="spellEnd"/>
      <w:r>
        <w:t>) je obyčajne smrteľný.</w:t>
      </w:r>
    </w:p>
    <w:p w:rsidR="00823D6A" w:rsidRPr="00FF3971" w:rsidRDefault="008A250A" w:rsidP="00CB60B6">
      <w:pPr>
        <w:rPr>
          <w:szCs w:val="22"/>
        </w:rPr>
      </w:pPr>
      <w:r>
        <w:t xml:space="preserve"> </w:t>
      </w:r>
    </w:p>
    <w:p w:rsidR="00823D6A" w:rsidRPr="00FF3971" w:rsidRDefault="008A250A" w:rsidP="00CB60B6">
      <w:pPr>
        <w:rPr>
          <w:szCs w:val="22"/>
        </w:rPr>
      </w:pPr>
      <w:r>
        <w:t xml:space="preserve">V dávkach &gt; 30 mg </w:t>
      </w:r>
      <w:proofErr w:type="spellStart"/>
      <w:r>
        <w:t>mitomycínu</w:t>
      </w:r>
      <w:proofErr w:type="spellEnd"/>
      <w:r>
        <w:t xml:space="preserve">/m² telesného povrchu bola pozorovaná </w:t>
      </w:r>
      <w:proofErr w:type="spellStart"/>
      <w:r>
        <w:t>mikroangiopaticko-hemolytická</w:t>
      </w:r>
      <w:proofErr w:type="spellEnd"/>
      <w:r>
        <w:t xml:space="preserve"> anémia. Odporúča sa pozorné sledovanie funkcie obličiek.</w:t>
      </w:r>
    </w:p>
    <w:p w:rsidR="00823D6A" w:rsidRPr="00FF3971" w:rsidRDefault="00823D6A" w:rsidP="00CB60B6">
      <w:pPr>
        <w:rPr>
          <w:szCs w:val="22"/>
        </w:rPr>
      </w:pPr>
    </w:p>
    <w:p w:rsidR="00823D6A" w:rsidRPr="00FF3971" w:rsidRDefault="008A250A" w:rsidP="00CB60B6">
      <w:pPr>
        <w:rPr>
          <w:szCs w:val="22"/>
        </w:rPr>
      </w:pPr>
      <w:r>
        <w:t xml:space="preserve">Nové poznatky nasvedčujú, že </w:t>
      </w:r>
      <w:r w:rsidR="00851D96">
        <w:t>môže byť vhodný</w:t>
      </w:r>
      <w:r>
        <w:t xml:space="preserve"> liečebný cyklus na odstránenie imunitných komplexov, o ktorých sa zdá, že pri nástupe príznakov hrajú významnú úlohu prostredníctvom stafylokokového proteínu A.</w:t>
      </w:r>
    </w:p>
    <w:p w:rsidR="00823D6A" w:rsidRPr="00FF3971" w:rsidRDefault="00823D6A" w:rsidP="00CB60B6">
      <w:pPr>
        <w:rPr>
          <w:szCs w:val="22"/>
        </w:rPr>
      </w:pPr>
    </w:p>
    <w:p w:rsidR="00823D6A" w:rsidRPr="00FF3971" w:rsidRDefault="008A250A" w:rsidP="00CB60B6">
      <w:pPr>
        <w:rPr>
          <w:szCs w:val="22"/>
        </w:rPr>
      </w:pPr>
      <w:r>
        <w:t xml:space="preserve">U pacientov súčasne liečených inými </w:t>
      </w:r>
      <w:proofErr w:type="spellStart"/>
      <w:r>
        <w:t>antineoplastikami</w:t>
      </w:r>
      <w:proofErr w:type="spellEnd"/>
      <w:r>
        <w:t xml:space="preserve"> bol hlásený výskyt akútnej leukémie (v niektorých prípadoch po </w:t>
      </w:r>
      <w:proofErr w:type="spellStart"/>
      <w:r>
        <w:t>preleukemickej</w:t>
      </w:r>
      <w:proofErr w:type="spellEnd"/>
      <w:r>
        <w:t xml:space="preserve"> fáze) a </w:t>
      </w:r>
      <w:proofErr w:type="spellStart"/>
      <w:r>
        <w:t>myelodysplastického</w:t>
      </w:r>
      <w:proofErr w:type="spellEnd"/>
      <w:r>
        <w:t xml:space="preserve"> syndrómu.</w:t>
      </w:r>
    </w:p>
    <w:p w:rsidR="00823D6A" w:rsidRPr="00FF3971" w:rsidRDefault="00823D6A" w:rsidP="00CB60B6">
      <w:pPr>
        <w:rPr>
          <w:szCs w:val="22"/>
        </w:rPr>
      </w:pPr>
    </w:p>
    <w:p w:rsidR="00823D6A" w:rsidRPr="00FF3971" w:rsidRDefault="008A250A" w:rsidP="00CB60B6">
      <w:pPr>
        <w:rPr>
          <w:szCs w:val="22"/>
        </w:rPr>
      </w:pPr>
      <w:r>
        <w:t>Odporúčané prehliadky a bezpečnostné opatrenia v prípade intravenózneho podania:</w:t>
      </w:r>
    </w:p>
    <w:p w:rsidR="00A9036B" w:rsidRPr="009866A5" w:rsidRDefault="00A9036B" w:rsidP="007603CA">
      <w:pPr>
        <w:outlineLvl w:val="0"/>
        <w:rPr>
          <w:szCs w:val="22"/>
        </w:rPr>
      </w:pPr>
    </w:p>
    <w:p w:rsidR="00A9036B" w:rsidRPr="009866A5" w:rsidRDefault="00E63504" w:rsidP="007603CA">
      <w:pPr>
        <w:outlineLvl w:val="0"/>
        <w:rPr>
          <w:i/>
          <w:iCs/>
          <w:szCs w:val="22"/>
        </w:rPr>
      </w:pPr>
      <w:r w:rsidRPr="009866A5">
        <w:rPr>
          <w:i/>
        </w:rPr>
        <w:t>Pred začiatkom liečby</w:t>
      </w:r>
    </w:p>
    <w:p w:rsidR="00A9036B" w:rsidRPr="009866A5" w:rsidRDefault="008A250A" w:rsidP="00CB60B6">
      <w:pPr>
        <w:numPr>
          <w:ilvl w:val="0"/>
          <w:numId w:val="4"/>
        </w:numPr>
        <w:ind w:hanging="436"/>
        <w:outlineLvl w:val="0"/>
        <w:rPr>
          <w:i/>
          <w:iCs/>
          <w:szCs w:val="22"/>
        </w:rPr>
      </w:pPr>
      <w:r>
        <w:t>Úplný krvný obraz</w:t>
      </w:r>
    </w:p>
    <w:p w:rsidR="00A9036B" w:rsidRPr="009866A5" w:rsidRDefault="008A250A" w:rsidP="00CB60B6">
      <w:pPr>
        <w:numPr>
          <w:ilvl w:val="0"/>
          <w:numId w:val="4"/>
        </w:numPr>
        <w:ind w:hanging="436"/>
        <w:outlineLvl w:val="0"/>
        <w:rPr>
          <w:i/>
          <w:iCs/>
          <w:szCs w:val="22"/>
        </w:rPr>
      </w:pPr>
      <w:r>
        <w:t>Funkčný test pľúc, ak je podozrenie na existujúcu poruchu funkcie pľúc</w:t>
      </w:r>
    </w:p>
    <w:p w:rsidR="00A9036B" w:rsidRPr="009866A5" w:rsidRDefault="008A250A" w:rsidP="00CB60B6">
      <w:pPr>
        <w:numPr>
          <w:ilvl w:val="0"/>
          <w:numId w:val="4"/>
        </w:numPr>
        <w:ind w:hanging="436"/>
        <w:outlineLvl w:val="0"/>
        <w:rPr>
          <w:i/>
          <w:iCs/>
          <w:szCs w:val="22"/>
        </w:rPr>
      </w:pPr>
      <w:r>
        <w:t>Funkčný test obličiek za účelom vylúčenia obličkovej nedostatočnosti</w:t>
      </w:r>
    </w:p>
    <w:p w:rsidR="00A9036B" w:rsidRPr="009866A5" w:rsidRDefault="008A250A" w:rsidP="00CB60B6">
      <w:pPr>
        <w:numPr>
          <w:ilvl w:val="0"/>
          <w:numId w:val="4"/>
        </w:numPr>
        <w:ind w:hanging="436"/>
        <w:outlineLvl w:val="0"/>
        <w:rPr>
          <w:i/>
          <w:iCs/>
          <w:szCs w:val="22"/>
        </w:rPr>
      </w:pPr>
      <w:r>
        <w:t>Funkčný test pečene za účelom vylúčenia pečeňovej nedostatočnosti</w:t>
      </w:r>
    </w:p>
    <w:p w:rsidR="00A9036B" w:rsidRPr="009866A5" w:rsidRDefault="00A9036B" w:rsidP="00A9036B">
      <w:pPr>
        <w:outlineLvl w:val="0"/>
        <w:rPr>
          <w:szCs w:val="22"/>
        </w:rPr>
      </w:pPr>
    </w:p>
    <w:p w:rsidR="00A9036B" w:rsidRPr="009866A5" w:rsidRDefault="00E63504" w:rsidP="00A9036B">
      <w:pPr>
        <w:outlineLvl w:val="0"/>
        <w:rPr>
          <w:i/>
          <w:iCs/>
          <w:szCs w:val="22"/>
        </w:rPr>
      </w:pPr>
      <w:r w:rsidRPr="009866A5">
        <w:rPr>
          <w:i/>
        </w:rPr>
        <w:t>Počas liečby</w:t>
      </w:r>
    </w:p>
    <w:p w:rsidR="00A9036B" w:rsidRPr="009866A5" w:rsidRDefault="008A250A" w:rsidP="00CB60B6">
      <w:pPr>
        <w:numPr>
          <w:ilvl w:val="0"/>
          <w:numId w:val="3"/>
        </w:numPr>
        <w:ind w:hanging="436"/>
        <w:outlineLvl w:val="0"/>
        <w:rPr>
          <w:szCs w:val="22"/>
        </w:rPr>
      </w:pPr>
      <w:r>
        <w:t>Pravidelné sledovanie krvného obrazu</w:t>
      </w:r>
    </w:p>
    <w:p w:rsidR="00A9036B" w:rsidRPr="009866A5" w:rsidRDefault="008A250A" w:rsidP="00CD30C1">
      <w:pPr>
        <w:numPr>
          <w:ilvl w:val="0"/>
          <w:numId w:val="3"/>
        </w:numPr>
        <w:ind w:hanging="436"/>
        <w:outlineLvl w:val="0"/>
        <w:rPr>
          <w:szCs w:val="22"/>
        </w:rPr>
      </w:pPr>
      <w:r>
        <w:t>Pozorné sledovanie funkcie obličiek</w:t>
      </w:r>
    </w:p>
    <w:p w:rsidR="00A9036B" w:rsidRPr="00FF3971" w:rsidRDefault="00A9036B" w:rsidP="00A903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4.5</w:t>
      </w:r>
      <w:r w:rsidR="008A250A">
        <w:tab/>
      </w:r>
      <w:r w:rsidRPr="009866A5">
        <w:rPr>
          <w:b/>
        </w:rPr>
        <w:t>Liekové a iné interakcie</w:t>
      </w:r>
    </w:p>
    <w:p w:rsidR="0064267A" w:rsidRPr="009866A5" w:rsidRDefault="0064267A" w:rsidP="0064267A">
      <w:pPr>
        <w:rPr>
          <w:szCs w:val="22"/>
        </w:rPr>
      </w:pPr>
    </w:p>
    <w:p w:rsidR="005F6FC3" w:rsidRPr="00FF3971" w:rsidRDefault="008A250A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>
        <w:t xml:space="preserve">Možné sú </w:t>
      </w:r>
      <w:proofErr w:type="spellStart"/>
      <w:r>
        <w:t>myelotoxické</w:t>
      </w:r>
      <w:proofErr w:type="spellEnd"/>
      <w:r>
        <w:t xml:space="preserve"> interakcie s inými liečebnými modalitami toxickými pre kostnú dreň (najmä </w:t>
      </w:r>
      <w:r w:rsidR="008D3416">
        <w:t xml:space="preserve">inými </w:t>
      </w:r>
      <w:proofErr w:type="spellStart"/>
      <w:r w:rsidR="008D3416">
        <w:t>cytotoxickými</w:t>
      </w:r>
      <w:proofErr w:type="spellEnd"/>
      <w:r w:rsidR="008D3416">
        <w:t xml:space="preserve"> liekmi</w:t>
      </w:r>
      <w:r>
        <w:t xml:space="preserve">, </w:t>
      </w:r>
      <w:r w:rsidR="00511FFA">
        <w:t>žiarením</w:t>
      </w:r>
      <w:r>
        <w:t>).</w:t>
      </w:r>
    </w:p>
    <w:p w:rsidR="005F6FC3" w:rsidRPr="00FF3971" w:rsidRDefault="005F6FC3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</w:p>
    <w:p w:rsidR="005F6FC3" w:rsidRPr="00FF3971" w:rsidRDefault="008A250A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>
        <w:t xml:space="preserve">Kombinácia s </w:t>
      </w:r>
      <w:proofErr w:type="spellStart"/>
      <w:r>
        <w:t>vinka</w:t>
      </w:r>
      <w:proofErr w:type="spellEnd"/>
      <w:r>
        <w:t xml:space="preserve"> alkaloidmi alebo </w:t>
      </w:r>
      <w:proofErr w:type="spellStart"/>
      <w:r>
        <w:t>bleomycínom</w:t>
      </w:r>
      <w:proofErr w:type="spellEnd"/>
      <w:r>
        <w:t xml:space="preserve"> môže zvýšiť pľúcnu toxicitu.</w:t>
      </w:r>
    </w:p>
    <w:p w:rsidR="00F12B59" w:rsidRPr="00FF3971" w:rsidRDefault="00F12B59" w:rsidP="00CB60B6">
      <w:pPr>
        <w:tabs>
          <w:tab w:val="left" w:pos="709"/>
        </w:tabs>
        <w:rPr>
          <w:sz w:val="24"/>
          <w:szCs w:val="24"/>
        </w:rPr>
      </w:pPr>
    </w:p>
    <w:p w:rsidR="00F12B59" w:rsidRPr="00FF3971" w:rsidRDefault="008A250A" w:rsidP="00CB60B6">
      <w:pPr>
        <w:tabs>
          <w:tab w:val="left" w:pos="709"/>
        </w:tabs>
        <w:rPr>
          <w:rFonts w:eastAsia="MS Mincho" w:cs="TimesNewRoman"/>
          <w:szCs w:val="22"/>
        </w:rPr>
      </w:pPr>
      <w:r>
        <w:t xml:space="preserve">Zvýšené riziko </w:t>
      </w:r>
      <w:proofErr w:type="spellStart"/>
      <w:r>
        <w:t>hemolyticko-uremického</w:t>
      </w:r>
      <w:proofErr w:type="spellEnd"/>
      <w:r>
        <w:t xml:space="preserve"> syndrómu bolo hlásené u pacientov dostávajúcich súčasne </w:t>
      </w:r>
      <w:proofErr w:type="spellStart"/>
      <w:r>
        <w:t>mitomycín</w:t>
      </w:r>
      <w:proofErr w:type="spellEnd"/>
      <w:r>
        <w:t xml:space="preserve"> a 5-fluórouracil alebo </w:t>
      </w:r>
      <w:proofErr w:type="spellStart"/>
      <w:r>
        <w:t>tamoxifen</w:t>
      </w:r>
      <w:proofErr w:type="spellEnd"/>
      <w:r>
        <w:t>.</w:t>
      </w:r>
    </w:p>
    <w:p w:rsidR="005F6FC3" w:rsidRPr="00FF3971" w:rsidRDefault="005F6FC3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</w:p>
    <w:p w:rsidR="005F6FC3" w:rsidRPr="00FF3971" w:rsidRDefault="00511FFA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>
        <w:t xml:space="preserve">Pri </w:t>
      </w:r>
      <w:r w:rsidR="008A250A">
        <w:t xml:space="preserve">pokusoch na zvieratách viedlo podanie </w:t>
      </w:r>
      <w:proofErr w:type="spellStart"/>
      <w:r w:rsidR="008A250A">
        <w:t>pyridoxín</w:t>
      </w:r>
      <w:r>
        <w:t>ium</w:t>
      </w:r>
      <w:r w:rsidR="008A250A">
        <w:t>chloridu</w:t>
      </w:r>
      <w:proofErr w:type="spellEnd"/>
      <w:r w:rsidR="008A250A">
        <w:t xml:space="preserve"> (vitamín</w:t>
      </w:r>
      <w:r>
        <w:t>u</w:t>
      </w:r>
      <w:r w:rsidR="008A250A">
        <w:t xml:space="preserve"> B6) k strate účinku </w:t>
      </w:r>
      <w:proofErr w:type="spellStart"/>
      <w:r w:rsidR="008A250A">
        <w:t>mitomycínu</w:t>
      </w:r>
      <w:proofErr w:type="spellEnd"/>
      <w:r w:rsidR="008A250A">
        <w:t>.</w:t>
      </w:r>
    </w:p>
    <w:p w:rsidR="005F6FC3" w:rsidRPr="00FF3971" w:rsidRDefault="005F6FC3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</w:p>
    <w:p w:rsidR="00687270" w:rsidRPr="00FF3971" w:rsidRDefault="008A250A" w:rsidP="00CB60B6">
      <w:pPr>
        <w:rPr>
          <w:szCs w:val="22"/>
        </w:rPr>
      </w:pPr>
      <w:r>
        <w:t xml:space="preserve">V </w:t>
      </w:r>
      <w:r w:rsidR="008D3416">
        <w:t xml:space="preserve">spojení </w:t>
      </w:r>
      <w:r>
        <w:t xml:space="preserve">s liečbou </w:t>
      </w:r>
      <w:proofErr w:type="spellStart"/>
      <w:r>
        <w:t>mitomycínom</w:t>
      </w:r>
      <w:proofErr w:type="spellEnd"/>
      <w:r>
        <w:t xml:space="preserve"> </w:t>
      </w:r>
      <w:r w:rsidR="008D3416">
        <w:t xml:space="preserve">sa nemajú </w:t>
      </w:r>
      <w:r>
        <w:t>podávať žiadne injekcie živých vakcín, keďže toto môže viesť k zvýšenému riziku infekcie živou vakcínou.</w:t>
      </w:r>
    </w:p>
    <w:p w:rsidR="005F6FC3" w:rsidRPr="00FF3971" w:rsidRDefault="005F6FC3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</w:p>
    <w:p w:rsidR="005F6FC3" w:rsidRPr="00FF3971" w:rsidRDefault="008A250A" w:rsidP="005F6FC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proofErr w:type="spellStart"/>
      <w:r>
        <w:t>Mitomycín</w:t>
      </w:r>
      <w:proofErr w:type="spellEnd"/>
      <w:r>
        <w:t xml:space="preserve"> môže zosilniť </w:t>
      </w:r>
      <w:proofErr w:type="spellStart"/>
      <w:r>
        <w:t>kardiotoxicitu</w:t>
      </w:r>
      <w:proofErr w:type="spellEnd"/>
      <w:r>
        <w:t xml:space="preserve"> </w:t>
      </w:r>
      <w:proofErr w:type="spellStart"/>
      <w:r>
        <w:t>doxorubicínu</w:t>
      </w:r>
      <w:proofErr w:type="spellEnd"/>
      <w:r>
        <w:t>.</w:t>
      </w:r>
    </w:p>
    <w:p w:rsidR="005F6FC3" w:rsidRPr="009866A5" w:rsidRDefault="005F6FC3" w:rsidP="005F6FC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4.6</w:t>
      </w:r>
      <w:r w:rsidR="008A250A">
        <w:tab/>
      </w:r>
      <w:proofErr w:type="spellStart"/>
      <w:r w:rsidR="008A250A">
        <w:rPr>
          <w:b/>
        </w:rPr>
        <w:t>Fertilita</w:t>
      </w:r>
      <w:proofErr w:type="spellEnd"/>
      <w:r w:rsidR="008A250A">
        <w:rPr>
          <w:b/>
        </w:rPr>
        <w:t>, gravidita a laktácia</w:t>
      </w:r>
    </w:p>
    <w:p w:rsidR="00D84A2D" w:rsidRPr="009866A5" w:rsidRDefault="00D84A2D" w:rsidP="00807EB0">
      <w:pPr>
        <w:rPr>
          <w:i/>
          <w:iCs/>
          <w:szCs w:val="22"/>
        </w:rPr>
      </w:pPr>
    </w:p>
    <w:p w:rsidR="00807EB0" w:rsidRPr="009866A5" w:rsidRDefault="00E63504" w:rsidP="00807EB0">
      <w:pPr>
        <w:rPr>
          <w:i/>
          <w:iCs/>
          <w:szCs w:val="22"/>
        </w:rPr>
      </w:pPr>
      <w:r w:rsidRPr="009866A5">
        <w:rPr>
          <w:i/>
        </w:rPr>
        <w:t>Gravidita</w:t>
      </w:r>
    </w:p>
    <w:p w:rsidR="00807EB0" w:rsidRPr="009866A5" w:rsidRDefault="008A250A" w:rsidP="00807EB0">
      <w:pPr>
        <w:rPr>
          <w:szCs w:val="22"/>
        </w:rPr>
      </w:pPr>
      <w:proofErr w:type="spellStart"/>
      <w:r>
        <w:t>Mitomycín</w:t>
      </w:r>
      <w:proofErr w:type="spellEnd"/>
      <w:r>
        <w:t xml:space="preserve"> je </w:t>
      </w:r>
      <w:proofErr w:type="spellStart"/>
      <w:r>
        <w:t>genotoxický</w:t>
      </w:r>
      <w:proofErr w:type="spellEnd"/>
      <w:r>
        <w:t xml:space="preserve"> a môže nepriaznivo ovplyvniť vývoj embrya. </w:t>
      </w:r>
      <w:proofErr w:type="spellStart"/>
      <w:r>
        <w:t>Mitomycín</w:t>
      </w:r>
      <w:proofErr w:type="spellEnd"/>
      <w:r>
        <w:t xml:space="preserve"> sa nemá užívať počas gravidity. Ak je liečba tehotnej pacientky vitálne indikovaná, treba poskytnúť lekárske poradenstvo o riziku škodlivých účinkov na dieťa spojených s liečbou.</w:t>
      </w:r>
    </w:p>
    <w:p w:rsidR="00807EB0" w:rsidRPr="009866A5" w:rsidRDefault="00807EB0" w:rsidP="00807EB0">
      <w:pPr>
        <w:rPr>
          <w:szCs w:val="22"/>
        </w:rPr>
      </w:pPr>
    </w:p>
    <w:p w:rsidR="002C7478" w:rsidRPr="009866A5" w:rsidRDefault="001E7F18" w:rsidP="00807EB0">
      <w:pPr>
        <w:rPr>
          <w:szCs w:val="22"/>
        </w:rPr>
      </w:pPr>
      <w:r>
        <w:rPr>
          <w:i/>
        </w:rPr>
        <w:t>Dojčenie</w:t>
      </w:r>
    </w:p>
    <w:p w:rsidR="00807EB0" w:rsidRPr="009866A5" w:rsidRDefault="008A250A" w:rsidP="00D8458D">
      <w:pPr>
        <w:rPr>
          <w:i/>
          <w:szCs w:val="22"/>
        </w:rPr>
      </w:pPr>
      <w:proofErr w:type="spellStart"/>
      <w:r>
        <w:t>Mitomycín</w:t>
      </w:r>
      <w:proofErr w:type="spellEnd"/>
      <w:r>
        <w:t xml:space="preserve"> sa vylučuje do ľudského </w:t>
      </w:r>
      <w:r w:rsidR="001E7F18">
        <w:t xml:space="preserve">materského </w:t>
      </w:r>
      <w:r>
        <w:t xml:space="preserve">mlieka. </w:t>
      </w:r>
      <w:r w:rsidR="001E7F18">
        <w:t xml:space="preserve">Dojčenie sa </w:t>
      </w:r>
      <w:r>
        <w:t xml:space="preserve">má počas liečby </w:t>
      </w:r>
      <w:r w:rsidR="001E7F18">
        <w:t xml:space="preserve">ukončiť </w:t>
      </w:r>
      <w:r>
        <w:t>(pozri časť 4.3).</w:t>
      </w:r>
    </w:p>
    <w:p w:rsidR="00807EB0" w:rsidRPr="009866A5" w:rsidRDefault="00807EB0" w:rsidP="0064267A">
      <w:pPr>
        <w:rPr>
          <w:szCs w:val="22"/>
        </w:rPr>
      </w:pPr>
    </w:p>
    <w:p w:rsidR="005F6FC3" w:rsidRPr="009866A5" w:rsidRDefault="00E63504" w:rsidP="0064267A">
      <w:pPr>
        <w:rPr>
          <w:i/>
          <w:iCs/>
          <w:szCs w:val="22"/>
        </w:rPr>
      </w:pPr>
      <w:proofErr w:type="spellStart"/>
      <w:r w:rsidRPr="009866A5">
        <w:rPr>
          <w:i/>
        </w:rPr>
        <w:t>Fertilita</w:t>
      </w:r>
      <w:proofErr w:type="spellEnd"/>
    </w:p>
    <w:p w:rsidR="005F6FC3" w:rsidRPr="009866A5" w:rsidRDefault="008A250A" w:rsidP="00313173">
      <w:pPr>
        <w:rPr>
          <w:szCs w:val="22"/>
        </w:rPr>
      </w:pPr>
      <w:r>
        <w:t xml:space="preserve">Žena nesmie otehotnieť počas liečby </w:t>
      </w:r>
      <w:proofErr w:type="spellStart"/>
      <w:r>
        <w:t>mitomycínom</w:t>
      </w:r>
      <w:proofErr w:type="spellEnd"/>
      <w:r>
        <w:t xml:space="preserve">. V prípade otehotnenia počas liečby musí byť poskytnuté genetické poradenstvo. Pohlavne zrelé pacientky </w:t>
      </w:r>
      <w:r w:rsidR="001E7F18">
        <w:t>majú</w:t>
      </w:r>
      <w:r>
        <w:t xml:space="preserve"> </w:t>
      </w:r>
      <w:r w:rsidR="00B955D5">
        <w:t>používať</w:t>
      </w:r>
      <w:r w:rsidR="00511FFA">
        <w:t xml:space="preserve"> </w:t>
      </w:r>
      <w:r w:rsidR="001E7F18">
        <w:t xml:space="preserve">antikoncepciu </w:t>
      </w:r>
      <w:r>
        <w:t>alebo pohlavne abstinovať počas chemoterapie a počas 6 mesiacov po jej ukončení.</w:t>
      </w:r>
    </w:p>
    <w:p w:rsidR="005F6FC3" w:rsidRPr="009866A5" w:rsidRDefault="005F6FC3" w:rsidP="005F6FC3">
      <w:pPr>
        <w:rPr>
          <w:szCs w:val="22"/>
        </w:rPr>
      </w:pPr>
    </w:p>
    <w:p w:rsidR="00844130" w:rsidRPr="009866A5" w:rsidRDefault="008A250A" w:rsidP="00844130">
      <w:pPr>
        <w:rPr>
          <w:szCs w:val="22"/>
        </w:rPr>
      </w:pPr>
      <w:proofErr w:type="spellStart"/>
      <w:r>
        <w:t>Mitomycín</w:t>
      </w:r>
      <w:proofErr w:type="spellEnd"/>
      <w:r>
        <w:t xml:space="preserve"> je </w:t>
      </w:r>
      <w:proofErr w:type="spellStart"/>
      <w:r>
        <w:t>genotoxický</w:t>
      </w:r>
      <w:proofErr w:type="spellEnd"/>
      <w:r>
        <w:t xml:space="preserve">. Mužom liečeným </w:t>
      </w:r>
      <w:proofErr w:type="spellStart"/>
      <w:r>
        <w:t>mitomycínom</w:t>
      </w:r>
      <w:proofErr w:type="spellEnd"/>
      <w:r>
        <w:t xml:space="preserve"> sa preto odporúča nesplodiť dieťa počas liečby a po dobu 6 mesiacov po jej ukončení, a poradiť sa o konzervácii spermy pred začiatkom liečby, vzhľadom k možnosti ireverzibilnej neplodnosti spôsobenej liečbou </w:t>
      </w:r>
      <w:proofErr w:type="spellStart"/>
      <w:r>
        <w:t>mitomycínom</w:t>
      </w:r>
      <w:proofErr w:type="spellEnd"/>
      <w:r>
        <w:t>.</w:t>
      </w:r>
    </w:p>
    <w:p w:rsidR="00844130" w:rsidRPr="009866A5" w:rsidRDefault="00844130" w:rsidP="00844130">
      <w:pPr>
        <w:rPr>
          <w:szCs w:val="22"/>
        </w:rPr>
      </w:pPr>
    </w:p>
    <w:p w:rsidR="006725A9" w:rsidRDefault="006725A9" w:rsidP="0064267A">
      <w:pPr>
        <w:ind w:left="567" w:hanging="567"/>
        <w:outlineLvl w:val="0"/>
        <w:rPr>
          <w:b/>
        </w:rPr>
      </w:pPr>
    </w:p>
    <w:p w:rsidR="006725A9" w:rsidRDefault="006725A9" w:rsidP="0064267A">
      <w:pPr>
        <w:ind w:left="567" w:hanging="567"/>
        <w:outlineLvl w:val="0"/>
        <w:rPr>
          <w:b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4.7</w:t>
      </w:r>
      <w:r w:rsidR="008A250A">
        <w:tab/>
      </w:r>
      <w:r w:rsidRPr="009866A5">
        <w:rPr>
          <w:b/>
        </w:rPr>
        <w:t>Ovplyvnenie schopnosti viesť vozidlá a obsluhovať stroje</w:t>
      </w:r>
    </w:p>
    <w:p w:rsidR="0064267A" w:rsidRPr="009866A5" w:rsidRDefault="0064267A" w:rsidP="0064267A">
      <w:pPr>
        <w:rPr>
          <w:szCs w:val="22"/>
        </w:rPr>
      </w:pPr>
    </w:p>
    <w:p w:rsidR="00CB7E8C" w:rsidRPr="00FF3971" w:rsidRDefault="008A250A" w:rsidP="00CB60B6">
      <w:pPr>
        <w:rPr>
          <w:szCs w:val="22"/>
        </w:rPr>
      </w:pPr>
      <w:r>
        <w:t xml:space="preserve">I v prípade keď sa používajú podľa návodu, tieto lieky môžu spôsobiť </w:t>
      </w:r>
      <w:proofErr w:type="spellStart"/>
      <w:r>
        <w:t>nauzeu</w:t>
      </w:r>
      <w:proofErr w:type="spellEnd"/>
      <w:r>
        <w:t xml:space="preserve"> a vracanie a tým zhoršiť reakčný čas do takej miery, že sa zníži schopnosť viesť motorové vozidlá a obsluhovať stroje. Toto platí ešte viac v </w:t>
      </w:r>
      <w:r w:rsidR="00B955D5">
        <w:t xml:space="preserve">spojení </w:t>
      </w:r>
      <w:r>
        <w:t>s alkoholom.</w:t>
      </w:r>
    </w:p>
    <w:p w:rsidR="00B556F4" w:rsidRPr="009866A5" w:rsidRDefault="00B556F4" w:rsidP="0064267A">
      <w:pPr>
        <w:rPr>
          <w:szCs w:val="22"/>
        </w:rPr>
      </w:pPr>
    </w:p>
    <w:p w:rsidR="0064267A" w:rsidRPr="009866A5" w:rsidRDefault="00E63504" w:rsidP="0064267A">
      <w:pPr>
        <w:spacing w:line="240" w:lineRule="auto"/>
        <w:outlineLvl w:val="0"/>
        <w:rPr>
          <w:b/>
          <w:szCs w:val="22"/>
        </w:rPr>
      </w:pPr>
      <w:r w:rsidRPr="009866A5">
        <w:rPr>
          <w:b/>
        </w:rPr>
        <w:t>4.8</w:t>
      </w:r>
      <w:r w:rsidR="008A250A">
        <w:tab/>
      </w:r>
      <w:r w:rsidRPr="009866A5">
        <w:rPr>
          <w:b/>
        </w:rPr>
        <w:t>Nežiaduce účinky</w:t>
      </w:r>
    </w:p>
    <w:p w:rsidR="00CB7E8C" w:rsidRPr="009866A5" w:rsidRDefault="00CB7E8C" w:rsidP="009B63DD">
      <w:pPr>
        <w:rPr>
          <w:szCs w:val="22"/>
        </w:rPr>
      </w:pPr>
    </w:p>
    <w:p w:rsidR="00CB7E8C" w:rsidRPr="00FF3971" w:rsidRDefault="008A250A" w:rsidP="009B63DD">
      <w:pPr>
        <w:pStyle w:val="Zkladntext"/>
        <w:widowControl w:val="0"/>
        <w:spacing w:after="0"/>
        <w:rPr>
          <w:szCs w:val="22"/>
        </w:rPr>
      </w:pPr>
      <w:r>
        <w:t>Prehľad nežiaducich účinkov je uvedený nižšie podľa triedy orgánových systémov a frekvencie výskytu. Frekvencie výskytu uvedené nižšie sú definované ako:</w:t>
      </w:r>
    </w:p>
    <w:p w:rsidR="00CB7E8C" w:rsidRPr="00FF3971" w:rsidRDefault="008A250A" w:rsidP="00CB60B6">
      <w:pPr>
        <w:pStyle w:val="Zkladntext2"/>
        <w:jc w:val="left"/>
        <w:rPr>
          <w:szCs w:val="22"/>
        </w:rPr>
      </w:pPr>
      <w:r>
        <w:t>Veľmi časté (</w:t>
      </w:r>
      <w:r>
        <w:rPr>
          <w:szCs w:val="22"/>
        </w:rPr>
        <w:sym w:font="Symbol" w:char="F0B3"/>
      </w:r>
      <w:r>
        <w:t> 1/10), časté (</w:t>
      </w:r>
      <w:r>
        <w:rPr>
          <w:szCs w:val="22"/>
        </w:rPr>
        <w:sym w:font="Symbol" w:char="F0B3"/>
      </w:r>
      <w:r>
        <w:t> 1/100 až &lt; 1/10), menej časté (</w:t>
      </w:r>
      <w:r>
        <w:rPr>
          <w:szCs w:val="22"/>
        </w:rPr>
        <w:sym w:font="Symbol" w:char="F0B3"/>
      </w:r>
      <w:r>
        <w:t> 1/1 000 až &lt; 1/100), zriedkavé (</w:t>
      </w:r>
      <w:r>
        <w:rPr>
          <w:szCs w:val="22"/>
        </w:rPr>
        <w:sym w:font="Symbol" w:char="F0B3"/>
      </w:r>
      <w:r>
        <w:t> 1/10 000 až &lt; 1/1 000), veľmi zriedkavé (&lt; 1/10 000) alebo neznáme (z dostupných údajov)</w:t>
      </w:r>
    </w:p>
    <w:p w:rsidR="0064267A" w:rsidRPr="009866A5" w:rsidRDefault="0064267A" w:rsidP="00CB60B6">
      <w:pPr>
        <w:autoSpaceDE w:val="0"/>
        <w:autoSpaceDN w:val="0"/>
        <w:adjustRightInd w:val="0"/>
        <w:rPr>
          <w:szCs w:val="22"/>
        </w:rPr>
      </w:pPr>
    </w:p>
    <w:p w:rsidR="0064267A" w:rsidRPr="00FF3971" w:rsidRDefault="008A250A" w:rsidP="00CB60B6">
      <w:pPr>
        <w:autoSpaceDE w:val="0"/>
        <w:autoSpaceDN w:val="0"/>
        <w:adjustRightInd w:val="0"/>
        <w:rPr>
          <w:iCs/>
          <w:szCs w:val="22"/>
        </w:rPr>
      </w:pPr>
      <w:r>
        <w:t xml:space="preserve">Najčastejšími nežiaducimi účinkami </w:t>
      </w:r>
      <w:proofErr w:type="spellStart"/>
      <w:r>
        <w:t>mitomycínu</w:t>
      </w:r>
      <w:proofErr w:type="spellEnd"/>
      <w:r>
        <w:t xml:space="preserve"> podaného systémovo sú </w:t>
      </w:r>
      <w:proofErr w:type="spellStart"/>
      <w:r>
        <w:t>gastrointestinálne</w:t>
      </w:r>
      <w:proofErr w:type="spellEnd"/>
      <w:r>
        <w:t xml:space="preserve"> príznaky ako </w:t>
      </w:r>
      <w:proofErr w:type="spellStart"/>
      <w:r>
        <w:t>nauzea</w:t>
      </w:r>
      <w:proofErr w:type="spellEnd"/>
      <w:r>
        <w:t xml:space="preserve"> a vracanie, a útlm kostnej drene s </w:t>
      </w:r>
      <w:proofErr w:type="spellStart"/>
      <w:r>
        <w:t>leukopéniou</w:t>
      </w:r>
      <w:proofErr w:type="spellEnd"/>
      <w:r>
        <w:t xml:space="preserve"> a všeobecne dominantnou </w:t>
      </w:r>
      <w:proofErr w:type="spellStart"/>
      <w:r>
        <w:t>trombocytopéniou</w:t>
      </w:r>
      <w:proofErr w:type="spellEnd"/>
      <w:r>
        <w:t>. K útlmu kostnej drene dochádza až u 65 % pacientov. Pretože tento účinok je kumulatívny pri dlhodobom používaní, útlm kostnej drene je často faktorom obmedzujúcim dávku.</w:t>
      </w:r>
    </w:p>
    <w:p w:rsidR="00CB7E8C" w:rsidRPr="00FF3971" w:rsidRDefault="00CB7E8C" w:rsidP="00CB60B6">
      <w:pPr>
        <w:pStyle w:val="Zkladntext2"/>
        <w:jc w:val="left"/>
        <w:rPr>
          <w:sz w:val="24"/>
          <w:szCs w:val="24"/>
        </w:rPr>
      </w:pPr>
    </w:p>
    <w:p w:rsidR="00CB7E8C" w:rsidRPr="00FF3971" w:rsidRDefault="008A250A" w:rsidP="00CB60B6">
      <w:pPr>
        <w:rPr>
          <w:szCs w:val="22"/>
        </w:rPr>
      </w:pPr>
      <w:r>
        <w:t xml:space="preserve">U až 10 % pacientov sa musí počítať so závažnou orgánovou toxicitou vo forme </w:t>
      </w:r>
      <w:proofErr w:type="spellStart"/>
      <w:r>
        <w:t>intersticiálneho</w:t>
      </w:r>
      <w:proofErr w:type="spellEnd"/>
      <w:r>
        <w:t xml:space="preserve"> zápalu pľúc alebo </w:t>
      </w:r>
      <w:proofErr w:type="spellStart"/>
      <w:r>
        <w:t>nefrotoxicity</w:t>
      </w:r>
      <w:proofErr w:type="spellEnd"/>
      <w:r>
        <w:t>.</w:t>
      </w:r>
    </w:p>
    <w:p w:rsidR="00CB7E8C" w:rsidRPr="00FF3971" w:rsidRDefault="00CB7E8C" w:rsidP="009B63DD">
      <w:pPr>
        <w:ind w:left="567" w:hanging="567"/>
        <w:rPr>
          <w:szCs w:val="22"/>
        </w:rPr>
      </w:pPr>
    </w:p>
    <w:p w:rsidR="00CB7E8C" w:rsidRPr="00FF3971" w:rsidRDefault="008A250A" w:rsidP="00CB60B6">
      <w:pPr>
        <w:pStyle w:val="Zkladntext2"/>
        <w:jc w:val="left"/>
        <w:rPr>
          <w:szCs w:val="22"/>
        </w:rPr>
      </w:pPr>
      <w:proofErr w:type="spellStart"/>
      <w:r>
        <w:t>Mitomycín</w:t>
      </w:r>
      <w:proofErr w:type="spellEnd"/>
      <w:r>
        <w:t xml:space="preserve"> je potenciálne </w:t>
      </w:r>
      <w:proofErr w:type="spellStart"/>
      <w:r>
        <w:t>hepatotoxický</w:t>
      </w:r>
      <w:proofErr w:type="spellEnd"/>
      <w:r>
        <w:t>.</w:t>
      </w:r>
    </w:p>
    <w:p w:rsidR="00FD1379" w:rsidRPr="00FF3971" w:rsidRDefault="00FD1379" w:rsidP="0064267A">
      <w:pPr>
        <w:autoSpaceDE w:val="0"/>
        <w:autoSpaceDN w:val="0"/>
        <w:adjustRightInd w:val="0"/>
        <w:jc w:val="both"/>
        <w:rPr>
          <w:i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56"/>
      </w:tblGrid>
      <w:tr w:rsidR="00FD1379" w:rsidRPr="00FF3971" w:rsidTr="000A52ED">
        <w:tc>
          <w:tcPr>
            <w:tcW w:w="4786" w:type="dxa"/>
          </w:tcPr>
          <w:p w:rsidR="00FD1379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krvi a lymfatického systému</w:t>
            </w:r>
          </w:p>
        </w:tc>
        <w:tc>
          <w:tcPr>
            <w:tcW w:w="4456" w:type="dxa"/>
          </w:tcPr>
          <w:p w:rsidR="00FD1379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Veľmi časté</w:t>
            </w:r>
          </w:p>
          <w:p w:rsidR="00FD1379" w:rsidRPr="00FF3971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bCs/>
                <w:iCs/>
                <w:szCs w:val="22"/>
              </w:rPr>
            </w:pPr>
            <w:r>
              <w:tab/>
              <w:t xml:space="preserve">Útlm kostnej drene, </w:t>
            </w:r>
            <w:proofErr w:type="spellStart"/>
            <w:r>
              <w:t>leukopénia</w:t>
            </w:r>
            <w:proofErr w:type="spellEnd"/>
            <w:r>
              <w:t xml:space="preserve">, </w:t>
            </w:r>
            <w:proofErr w:type="spellStart"/>
            <w:r>
              <w:t>trombocytopénia</w:t>
            </w:r>
            <w:proofErr w:type="spellEnd"/>
          </w:p>
          <w:p w:rsidR="00D43D49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D43D49" w:rsidRPr="00FF3971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bCs/>
                <w:iCs/>
                <w:szCs w:val="22"/>
              </w:rPr>
            </w:pPr>
            <w:r>
              <w:tab/>
              <w:t xml:space="preserve">Život ohrozujúca infekcia, sepsa, </w:t>
            </w:r>
            <w:proofErr w:type="spellStart"/>
            <w:r>
              <w:t>hemolytická</w:t>
            </w:r>
            <w:proofErr w:type="spellEnd"/>
            <w:r>
              <w:t xml:space="preserve"> anémia</w:t>
            </w:r>
          </w:p>
        </w:tc>
      </w:tr>
      <w:tr w:rsidR="00D43D49" w:rsidRPr="00FF3971" w:rsidTr="000A52ED">
        <w:tc>
          <w:tcPr>
            <w:tcW w:w="4786" w:type="dxa"/>
          </w:tcPr>
          <w:p w:rsidR="00D43D49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imunitného systému</w:t>
            </w:r>
          </w:p>
        </w:tc>
        <w:tc>
          <w:tcPr>
            <w:tcW w:w="4456" w:type="dxa"/>
          </w:tcPr>
          <w:p w:rsidR="00D84A2D" w:rsidRPr="009866A5" w:rsidRDefault="00E63504" w:rsidP="00B11FB3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Veľmi zriedkavé</w:t>
            </w:r>
          </w:p>
          <w:p w:rsidR="00D43D49" w:rsidRPr="00FF3971" w:rsidRDefault="008A250A" w:rsidP="000A52ED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iCs/>
                <w:szCs w:val="22"/>
                <w:u w:val="single"/>
              </w:rPr>
            </w:pPr>
            <w:r>
              <w:tab/>
              <w:t>Ťažká alergická reakcia</w:t>
            </w:r>
          </w:p>
        </w:tc>
      </w:tr>
      <w:tr w:rsidR="00D43D49" w:rsidRPr="00FF3971" w:rsidTr="000A52ED">
        <w:tc>
          <w:tcPr>
            <w:tcW w:w="4786" w:type="dxa"/>
          </w:tcPr>
          <w:p w:rsidR="00D43D49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srdca a srdcovej činnosti</w:t>
            </w:r>
          </w:p>
        </w:tc>
        <w:tc>
          <w:tcPr>
            <w:tcW w:w="4456" w:type="dxa"/>
          </w:tcPr>
          <w:p w:rsidR="00D43D49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D43D49" w:rsidRPr="009866A5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szCs w:val="22"/>
              </w:rPr>
            </w:pPr>
            <w:r>
              <w:tab/>
              <w:t xml:space="preserve">Zlyhanie srdca po predchádzajúcej liečbe </w:t>
            </w:r>
            <w:proofErr w:type="spellStart"/>
            <w:r>
              <w:t>antracyklínmi</w:t>
            </w:r>
            <w:proofErr w:type="spellEnd"/>
            <w:r>
              <w:t xml:space="preserve"> </w:t>
            </w:r>
          </w:p>
        </w:tc>
      </w:tr>
      <w:tr w:rsidR="00284B53" w:rsidRPr="00FF3971" w:rsidTr="000A52ED">
        <w:tc>
          <w:tcPr>
            <w:tcW w:w="4786" w:type="dxa"/>
          </w:tcPr>
          <w:p w:rsidR="00284B53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 xml:space="preserve">Poruchy dýchacej sústavy, hrudníka a </w:t>
            </w:r>
            <w:proofErr w:type="spellStart"/>
            <w:r>
              <w:t>mediastína</w:t>
            </w:r>
            <w:proofErr w:type="spellEnd"/>
          </w:p>
        </w:tc>
        <w:tc>
          <w:tcPr>
            <w:tcW w:w="4456" w:type="dxa"/>
          </w:tcPr>
          <w:p w:rsidR="00284B53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866A5">
              <w:rPr>
                <w:u w:val="single"/>
              </w:rPr>
              <w:t>Časté (≥ 1/100 až &lt; 1/10)</w:t>
            </w:r>
          </w:p>
          <w:p w:rsidR="00284B53" w:rsidRPr="009866A5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szCs w:val="22"/>
              </w:rPr>
            </w:pPr>
            <w:r>
              <w:tab/>
            </w:r>
            <w:proofErr w:type="spellStart"/>
            <w:r>
              <w:t>Intersticiálny</w:t>
            </w:r>
            <w:proofErr w:type="spellEnd"/>
            <w:r>
              <w:t xml:space="preserve"> zápal pľúc, </w:t>
            </w:r>
            <w:proofErr w:type="spellStart"/>
            <w:r>
              <w:t>dyspnoe</w:t>
            </w:r>
            <w:proofErr w:type="spellEnd"/>
            <w:r>
              <w:t>, kašeľ, dýchavičnosť</w:t>
            </w:r>
          </w:p>
          <w:p w:rsidR="00284B53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284B53" w:rsidRPr="00FF3971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iCs/>
                <w:szCs w:val="22"/>
              </w:rPr>
            </w:pPr>
            <w:r>
              <w:tab/>
              <w:t xml:space="preserve">Pľúcna hypertenzia, pľúcna </w:t>
            </w:r>
            <w:proofErr w:type="spellStart"/>
            <w:r>
              <w:t>venookluzívna</w:t>
            </w:r>
            <w:proofErr w:type="spellEnd"/>
            <w:r>
              <w:t xml:space="preserve"> choroba</w:t>
            </w:r>
          </w:p>
        </w:tc>
      </w:tr>
      <w:tr w:rsidR="00284B53" w:rsidRPr="00FF3971" w:rsidTr="000A52ED">
        <w:tc>
          <w:tcPr>
            <w:tcW w:w="4786" w:type="dxa"/>
          </w:tcPr>
          <w:p w:rsidR="00284B53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 xml:space="preserve">Poruchy </w:t>
            </w:r>
            <w:proofErr w:type="spellStart"/>
            <w:r>
              <w:t>gastrointestinálneho</w:t>
            </w:r>
            <w:proofErr w:type="spellEnd"/>
            <w:r>
              <w:t xml:space="preserve"> traktu</w:t>
            </w:r>
          </w:p>
        </w:tc>
        <w:tc>
          <w:tcPr>
            <w:tcW w:w="4456" w:type="dxa"/>
          </w:tcPr>
          <w:p w:rsidR="00284B53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Veľmi časté</w:t>
            </w:r>
          </w:p>
          <w:p w:rsidR="00284B53" w:rsidRPr="009866A5" w:rsidRDefault="008A250A" w:rsidP="000A52ED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tab/>
            </w:r>
            <w:proofErr w:type="spellStart"/>
            <w:r>
              <w:t>Nauzea</w:t>
            </w:r>
            <w:proofErr w:type="spellEnd"/>
            <w:r>
              <w:t>, vracanie</w:t>
            </w:r>
          </w:p>
          <w:p w:rsidR="00284B53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Menej časté</w:t>
            </w:r>
          </w:p>
          <w:p w:rsidR="00284B53" w:rsidRPr="009866A5" w:rsidRDefault="008A250A" w:rsidP="000A52ED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tab/>
            </w:r>
            <w:proofErr w:type="spellStart"/>
            <w:r>
              <w:t>Mukozitída</w:t>
            </w:r>
            <w:proofErr w:type="spellEnd"/>
            <w:r>
              <w:t xml:space="preserve">, </w:t>
            </w:r>
            <w:proofErr w:type="spellStart"/>
            <w:r>
              <w:t>stomatitída</w:t>
            </w:r>
            <w:proofErr w:type="spellEnd"/>
            <w:r>
              <w:t xml:space="preserve">, hnačka, </w:t>
            </w:r>
            <w:proofErr w:type="spellStart"/>
            <w:r>
              <w:t>anorexia</w:t>
            </w:r>
            <w:proofErr w:type="spellEnd"/>
          </w:p>
        </w:tc>
      </w:tr>
      <w:tr w:rsidR="00284B53" w:rsidRPr="00FF3971" w:rsidTr="000A52ED">
        <w:tc>
          <w:tcPr>
            <w:tcW w:w="4786" w:type="dxa"/>
          </w:tcPr>
          <w:p w:rsidR="00284B53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pečene a žlčových ciest</w:t>
            </w:r>
          </w:p>
        </w:tc>
        <w:tc>
          <w:tcPr>
            <w:tcW w:w="4456" w:type="dxa"/>
          </w:tcPr>
          <w:p w:rsidR="00284B53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284B53" w:rsidRPr="00FF3971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iCs/>
                <w:szCs w:val="22"/>
              </w:rPr>
            </w:pPr>
            <w:r>
              <w:tab/>
              <w:t xml:space="preserve">Porucha funkcie pečene, zvýšené hladiny </w:t>
            </w:r>
            <w:proofErr w:type="spellStart"/>
            <w:r>
              <w:t>transamináz</w:t>
            </w:r>
            <w:proofErr w:type="spellEnd"/>
            <w:r>
              <w:t xml:space="preserve">, žltačka, </w:t>
            </w:r>
            <w:proofErr w:type="spellStart"/>
            <w:r>
              <w:t>venookluzívna</w:t>
            </w:r>
            <w:proofErr w:type="spellEnd"/>
            <w:r>
              <w:t xml:space="preserve"> choroba pečene</w:t>
            </w:r>
          </w:p>
        </w:tc>
      </w:tr>
      <w:tr w:rsidR="00284B53" w:rsidRPr="00FF3971" w:rsidTr="000A52ED">
        <w:tc>
          <w:tcPr>
            <w:tcW w:w="4786" w:type="dxa"/>
          </w:tcPr>
          <w:p w:rsidR="00284B53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kože a podkožného tkaniva</w:t>
            </w:r>
          </w:p>
        </w:tc>
        <w:tc>
          <w:tcPr>
            <w:tcW w:w="4456" w:type="dxa"/>
          </w:tcPr>
          <w:p w:rsidR="00284B53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Časté</w:t>
            </w:r>
          </w:p>
          <w:p w:rsidR="00284B53" w:rsidRPr="00FF3971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iCs/>
                <w:szCs w:val="22"/>
              </w:rPr>
            </w:pPr>
            <w:r>
              <w:tab/>
              <w:t xml:space="preserve">Exantém, alergické kožné vyrážky, kontaktná dermatitída, </w:t>
            </w:r>
            <w:proofErr w:type="spellStart"/>
            <w:r>
              <w:t>palmárno-plantárny</w:t>
            </w:r>
            <w:proofErr w:type="spellEnd"/>
            <w:r>
              <w:t xml:space="preserve"> </w:t>
            </w:r>
            <w:proofErr w:type="spellStart"/>
            <w:r>
              <w:t>erytém</w:t>
            </w:r>
            <w:proofErr w:type="spellEnd"/>
          </w:p>
          <w:p w:rsidR="00284B53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Menej časté</w:t>
            </w:r>
          </w:p>
          <w:p w:rsidR="00284B53" w:rsidRPr="00FF3971" w:rsidRDefault="008A250A" w:rsidP="000A52ED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iCs/>
                <w:szCs w:val="22"/>
              </w:rPr>
            </w:pPr>
            <w:r>
              <w:lastRenderedPageBreak/>
              <w:tab/>
            </w:r>
            <w:proofErr w:type="spellStart"/>
            <w:r w:rsidR="007667A4">
              <w:t>Alopécia</w:t>
            </w:r>
            <w:proofErr w:type="spellEnd"/>
          </w:p>
          <w:p w:rsidR="00284B53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284B53" w:rsidRPr="00FF3971" w:rsidRDefault="008A250A" w:rsidP="001E42E4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iCs/>
                <w:szCs w:val="22"/>
              </w:rPr>
            </w:pPr>
            <w:r>
              <w:tab/>
              <w:t>Generalizovaný exantém</w:t>
            </w:r>
          </w:p>
        </w:tc>
      </w:tr>
      <w:tr w:rsidR="00284B53" w:rsidRPr="00FF3971" w:rsidTr="000A52ED">
        <w:tc>
          <w:tcPr>
            <w:tcW w:w="4786" w:type="dxa"/>
          </w:tcPr>
          <w:p w:rsidR="00284B53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lastRenderedPageBreak/>
              <w:t>Poruchy obličiek a močových ciest</w:t>
            </w:r>
          </w:p>
        </w:tc>
        <w:tc>
          <w:tcPr>
            <w:tcW w:w="4456" w:type="dxa"/>
          </w:tcPr>
          <w:p w:rsidR="00580B79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Časté</w:t>
            </w:r>
          </w:p>
          <w:p w:rsidR="00284B53" w:rsidRPr="009866A5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szCs w:val="22"/>
              </w:rPr>
            </w:pPr>
            <w:r>
              <w:tab/>
              <w:t xml:space="preserve">Porucha funkcie obličiek, zvýšenie hladiny sérového </w:t>
            </w:r>
            <w:proofErr w:type="spellStart"/>
            <w:r>
              <w:t>kreatinínu</w:t>
            </w:r>
            <w:proofErr w:type="spellEnd"/>
            <w:r>
              <w:t xml:space="preserve">, </w:t>
            </w:r>
            <w:proofErr w:type="spellStart"/>
            <w:r>
              <w:t>glomerulopatia</w:t>
            </w:r>
            <w:proofErr w:type="spellEnd"/>
            <w:r>
              <w:t xml:space="preserve">, </w:t>
            </w:r>
            <w:proofErr w:type="spellStart"/>
            <w:r>
              <w:t>nefrotoxicita</w:t>
            </w:r>
            <w:proofErr w:type="spellEnd"/>
          </w:p>
          <w:p w:rsidR="00580B79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B556F4" w:rsidRPr="009866A5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szCs w:val="22"/>
              </w:rPr>
            </w:pPr>
            <w:r>
              <w:tab/>
            </w:r>
            <w:proofErr w:type="spellStart"/>
            <w:r>
              <w:t>Hemolyticko-uremický</w:t>
            </w:r>
            <w:proofErr w:type="spellEnd"/>
            <w:r>
              <w:t xml:space="preserve"> syndróm (HUS; </w:t>
            </w:r>
            <w:r w:rsidR="007667A4">
              <w:t>často fatálny</w:t>
            </w:r>
            <w:r>
              <w:t xml:space="preserve">), </w:t>
            </w:r>
            <w:proofErr w:type="spellStart"/>
            <w:r>
              <w:t>mikroangiopaticko-hemolytická</w:t>
            </w:r>
            <w:proofErr w:type="spellEnd"/>
            <w:r>
              <w:t xml:space="preserve"> anémia</w:t>
            </w:r>
          </w:p>
          <w:p w:rsidR="00580B79" w:rsidRPr="009866A5" w:rsidRDefault="008A250A" w:rsidP="00A93830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tab/>
              <w:t>(MAHA syndróm)</w:t>
            </w:r>
          </w:p>
        </w:tc>
      </w:tr>
      <w:tr w:rsidR="00580B79" w:rsidRPr="00FF3971" w:rsidTr="000A52ED">
        <w:tc>
          <w:tcPr>
            <w:tcW w:w="4786" w:type="dxa"/>
          </w:tcPr>
          <w:p w:rsidR="00580B79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Celkové poruchy a reakcie v mieste podania</w:t>
            </w:r>
          </w:p>
        </w:tc>
        <w:tc>
          <w:tcPr>
            <w:tcW w:w="4456" w:type="dxa"/>
          </w:tcPr>
          <w:p w:rsidR="00022B6A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Časté</w:t>
            </w:r>
          </w:p>
          <w:p w:rsidR="00A93830" w:rsidRPr="009866A5" w:rsidRDefault="008A250A" w:rsidP="00B866C6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i/>
                <w:iCs/>
                <w:szCs w:val="22"/>
              </w:rPr>
            </w:pPr>
            <w:r>
              <w:tab/>
            </w:r>
            <w:r w:rsidR="00E63504" w:rsidRPr="009866A5">
              <w:rPr>
                <w:i/>
              </w:rPr>
              <w:t xml:space="preserve">V prípade </w:t>
            </w:r>
            <w:proofErr w:type="spellStart"/>
            <w:r w:rsidR="00E63504" w:rsidRPr="009866A5">
              <w:rPr>
                <w:i/>
              </w:rPr>
              <w:t>extravazácie</w:t>
            </w:r>
            <w:proofErr w:type="spellEnd"/>
            <w:r w:rsidR="00E63504" w:rsidRPr="009866A5">
              <w:rPr>
                <w:i/>
              </w:rPr>
              <w:t>:</w:t>
            </w:r>
          </w:p>
          <w:p w:rsidR="00580B79" w:rsidRPr="009866A5" w:rsidRDefault="008A250A" w:rsidP="00A93830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tab/>
              <w:t xml:space="preserve">Celulitída, </w:t>
            </w:r>
            <w:proofErr w:type="spellStart"/>
            <w:r>
              <w:t>nekróza</w:t>
            </w:r>
            <w:proofErr w:type="spellEnd"/>
            <w:r>
              <w:t xml:space="preserve"> tkaniva</w:t>
            </w:r>
          </w:p>
          <w:p w:rsidR="00022B6A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Menej časté</w:t>
            </w:r>
          </w:p>
          <w:p w:rsidR="00022B6A" w:rsidRPr="009866A5" w:rsidRDefault="008A250A" w:rsidP="006A3DC6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tab/>
              <w:t>Horúčka</w:t>
            </w:r>
          </w:p>
        </w:tc>
      </w:tr>
    </w:tbl>
    <w:p w:rsidR="0064267A" w:rsidRPr="00FF3971" w:rsidRDefault="0064267A" w:rsidP="00CB60B6">
      <w:pPr>
        <w:tabs>
          <w:tab w:val="clear" w:pos="567"/>
          <w:tab w:val="left" w:pos="1490"/>
        </w:tabs>
        <w:autoSpaceDE w:val="0"/>
        <w:autoSpaceDN w:val="0"/>
        <w:adjustRightInd w:val="0"/>
        <w:jc w:val="both"/>
        <w:rPr>
          <w:szCs w:val="22"/>
        </w:rPr>
      </w:pPr>
    </w:p>
    <w:p w:rsidR="006A3DC6" w:rsidRPr="00FF3971" w:rsidRDefault="008A250A" w:rsidP="006A3DC6">
      <w:pPr>
        <w:jc w:val="both"/>
        <w:rPr>
          <w:b/>
          <w:bCs/>
          <w:szCs w:val="22"/>
          <w:u w:val="single"/>
        </w:rPr>
      </w:pPr>
      <w:r>
        <w:rPr>
          <w:b/>
          <w:szCs w:val="22"/>
          <w:u w:val="single"/>
        </w:rPr>
        <w:t xml:space="preserve">Možné vedľajšie účinky počas </w:t>
      </w:r>
      <w:proofErr w:type="spellStart"/>
      <w:r>
        <w:rPr>
          <w:b/>
          <w:szCs w:val="22"/>
          <w:u w:val="single"/>
        </w:rPr>
        <w:t>intravezikálnej</w:t>
      </w:r>
      <w:proofErr w:type="spellEnd"/>
      <w:r>
        <w:rPr>
          <w:b/>
          <w:szCs w:val="22"/>
          <w:u w:val="single"/>
        </w:rPr>
        <w:t xml:space="preserve"> liečby</w:t>
      </w:r>
    </w:p>
    <w:p w:rsidR="006A3DC6" w:rsidRPr="00FF3971" w:rsidRDefault="006A3DC6" w:rsidP="006A3DC6">
      <w:pPr>
        <w:pStyle w:val="Zkladntext2"/>
        <w:rPr>
          <w:szCs w:val="22"/>
        </w:rPr>
      </w:pPr>
    </w:p>
    <w:tbl>
      <w:tblPr>
        <w:tblpPr w:leftFromText="141" w:rightFromText="141" w:vertAnchor="text" w:horzAnchor="page" w:tblpX="130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4178"/>
      </w:tblGrid>
      <w:tr w:rsidR="006A3DC6" w:rsidRPr="00FF3971" w:rsidTr="00436A84">
        <w:tc>
          <w:tcPr>
            <w:tcW w:w="5028" w:type="dxa"/>
            <w:shd w:val="clear" w:color="auto" w:fill="auto"/>
          </w:tcPr>
          <w:p w:rsidR="006A3DC6" w:rsidRPr="00FF3971" w:rsidRDefault="008A250A" w:rsidP="00436A84">
            <w:pPr>
              <w:rPr>
                <w:szCs w:val="22"/>
              </w:rPr>
            </w:pPr>
            <w:r>
              <w:t>Poruchy kože a podkožného tkaniva</w:t>
            </w:r>
          </w:p>
        </w:tc>
        <w:tc>
          <w:tcPr>
            <w:tcW w:w="4178" w:type="dxa"/>
            <w:shd w:val="clear" w:color="auto" w:fill="auto"/>
          </w:tcPr>
          <w:p w:rsidR="006A3DC6" w:rsidRPr="00FF3971" w:rsidRDefault="008A250A" w:rsidP="00436A84">
            <w:pPr>
              <w:pStyle w:val="Zkladntext2"/>
              <w:rPr>
                <w:szCs w:val="22"/>
                <w:u w:val="single"/>
                <w:lang w:bidi="sk-SK"/>
              </w:rPr>
            </w:pPr>
            <w:r>
              <w:rPr>
                <w:u w:val="single"/>
                <w:lang w:bidi="sk-SK"/>
              </w:rPr>
              <w:t>Časté</w:t>
            </w:r>
          </w:p>
          <w:p w:rsidR="006A3DC6" w:rsidRPr="00FF3971" w:rsidRDefault="008A250A" w:rsidP="00436A84">
            <w:pPr>
              <w:pStyle w:val="Zarkazkladnhotextu2"/>
              <w:spacing w:after="0" w:line="240" w:lineRule="auto"/>
              <w:ind w:left="170"/>
              <w:rPr>
                <w:szCs w:val="22"/>
                <w:lang w:bidi="sk-SK"/>
              </w:rPr>
            </w:pPr>
            <w:r>
              <w:rPr>
                <w:lang w:bidi="sk-SK"/>
              </w:rPr>
              <w:t xml:space="preserve">Svrbenie, alergické kožné vyrážky, kontaktná dermatitída, </w:t>
            </w:r>
            <w:proofErr w:type="spellStart"/>
            <w:r>
              <w:rPr>
                <w:lang w:bidi="sk-SK"/>
              </w:rPr>
              <w:t>palmárno-plantárny</w:t>
            </w:r>
            <w:proofErr w:type="spellEnd"/>
            <w:r>
              <w:rPr>
                <w:lang w:bidi="sk-SK"/>
              </w:rPr>
              <w:t xml:space="preserve"> </w:t>
            </w:r>
            <w:proofErr w:type="spellStart"/>
            <w:r>
              <w:rPr>
                <w:lang w:bidi="sk-SK"/>
              </w:rPr>
              <w:t>erytém</w:t>
            </w:r>
            <w:proofErr w:type="spellEnd"/>
          </w:p>
          <w:p w:rsidR="006A3DC6" w:rsidRPr="00FF3971" w:rsidRDefault="008A250A" w:rsidP="00436A84">
            <w:pPr>
              <w:pStyle w:val="Zkladntext2"/>
              <w:rPr>
                <w:szCs w:val="22"/>
                <w:u w:val="single"/>
                <w:lang w:bidi="sk-SK"/>
              </w:rPr>
            </w:pPr>
            <w:r>
              <w:rPr>
                <w:u w:val="single"/>
                <w:lang w:bidi="sk-SK"/>
              </w:rPr>
              <w:t>Zriedkavé</w:t>
            </w:r>
          </w:p>
          <w:p w:rsidR="006A3DC6" w:rsidRPr="00FF3971" w:rsidRDefault="008A250A" w:rsidP="00436A84">
            <w:pPr>
              <w:ind w:left="170"/>
              <w:rPr>
                <w:szCs w:val="22"/>
              </w:rPr>
            </w:pPr>
            <w:r>
              <w:t>Generalizovaný exantém</w:t>
            </w:r>
          </w:p>
        </w:tc>
      </w:tr>
      <w:tr w:rsidR="006A3DC6" w:rsidRPr="00FF3971" w:rsidTr="00436A84">
        <w:tc>
          <w:tcPr>
            <w:tcW w:w="5028" w:type="dxa"/>
            <w:shd w:val="clear" w:color="auto" w:fill="auto"/>
          </w:tcPr>
          <w:p w:rsidR="006A3DC6" w:rsidRPr="00FF3971" w:rsidRDefault="008A250A" w:rsidP="00436A84">
            <w:pPr>
              <w:rPr>
                <w:szCs w:val="22"/>
              </w:rPr>
            </w:pPr>
            <w:r>
              <w:t>Poruchy obličiek a močových ciest</w:t>
            </w:r>
          </w:p>
        </w:tc>
        <w:tc>
          <w:tcPr>
            <w:tcW w:w="4178" w:type="dxa"/>
            <w:shd w:val="clear" w:color="auto" w:fill="auto"/>
          </w:tcPr>
          <w:p w:rsidR="006A3DC6" w:rsidRPr="00FF3971" w:rsidRDefault="008A250A" w:rsidP="00436A84">
            <w:pPr>
              <w:pStyle w:val="Zkladntext2"/>
              <w:rPr>
                <w:szCs w:val="22"/>
                <w:u w:val="single"/>
                <w:lang w:bidi="sk-SK"/>
              </w:rPr>
            </w:pPr>
            <w:r>
              <w:rPr>
                <w:u w:val="single"/>
                <w:lang w:bidi="sk-SK"/>
              </w:rPr>
              <w:t>Časté</w:t>
            </w:r>
          </w:p>
          <w:p w:rsidR="006A3DC6" w:rsidRPr="00FF3971" w:rsidRDefault="008A250A" w:rsidP="00CD30C1">
            <w:pPr>
              <w:pStyle w:val="Zarkazkladnhotextu3"/>
              <w:spacing w:after="0"/>
              <w:ind w:left="170"/>
              <w:rPr>
                <w:sz w:val="22"/>
                <w:lang w:bidi="sk-SK"/>
              </w:rPr>
            </w:pPr>
            <w:proofErr w:type="spellStart"/>
            <w:r>
              <w:rPr>
                <w:sz w:val="22"/>
                <w:lang w:bidi="sk-SK"/>
              </w:rPr>
              <w:t>Cystitída</w:t>
            </w:r>
            <w:proofErr w:type="spellEnd"/>
            <w:r>
              <w:rPr>
                <w:sz w:val="22"/>
                <w:lang w:bidi="sk-SK"/>
              </w:rPr>
              <w:t xml:space="preserve"> (možno </w:t>
            </w:r>
            <w:proofErr w:type="spellStart"/>
            <w:r>
              <w:rPr>
                <w:sz w:val="22"/>
                <w:lang w:bidi="sk-SK"/>
              </w:rPr>
              <w:t>hemoragická</w:t>
            </w:r>
            <w:proofErr w:type="spellEnd"/>
            <w:r>
              <w:rPr>
                <w:sz w:val="22"/>
                <w:lang w:bidi="sk-SK"/>
              </w:rPr>
              <w:t xml:space="preserve">), </w:t>
            </w:r>
            <w:proofErr w:type="spellStart"/>
            <w:r>
              <w:rPr>
                <w:sz w:val="22"/>
                <w:lang w:bidi="sk-SK"/>
              </w:rPr>
              <w:t>dyzúria</w:t>
            </w:r>
            <w:proofErr w:type="spellEnd"/>
            <w:r>
              <w:rPr>
                <w:sz w:val="22"/>
                <w:lang w:bidi="sk-SK"/>
              </w:rPr>
              <w:t xml:space="preserve">, </w:t>
            </w:r>
            <w:proofErr w:type="spellStart"/>
            <w:r>
              <w:rPr>
                <w:sz w:val="22"/>
                <w:lang w:bidi="sk-SK"/>
              </w:rPr>
              <w:t>noktúria</w:t>
            </w:r>
            <w:proofErr w:type="spellEnd"/>
            <w:r>
              <w:rPr>
                <w:sz w:val="22"/>
                <w:lang w:bidi="sk-SK"/>
              </w:rPr>
              <w:t xml:space="preserve">, </w:t>
            </w:r>
            <w:proofErr w:type="spellStart"/>
            <w:r>
              <w:rPr>
                <w:sz w:val="22"/>
                <w:lang w:bidi="sk-SK"/>
              </w:rPr>
              <w:t>polakizúria</w:t>
            </w:r>
            <w:proofErr w:type="spellEnd"/>
            <w:r>
              <w:rPr>
                <w:sz w:val="22"/>
                <w:lang w:bidi="sk-SK"/>
              </w:rPr>
              <w:t xml:space="preserve">, </w:t>
            </w:r>
            <w:proofErr w:type="spellStart"/>
            <w:r>
              <w:rPr>
                <w:sz w:val="22"/>
                <w:lang w:bidi="sk-SK"/>
              </w:rPr>
              <w:t>hematúria</w:t>
            </w:r>
            <w:proofErr w:type="spellEnd"/>
            <w:r>
              <w:rPr>
                <w:sz w:val="22"/>
                <w:lang w:bidi="sk-SK"/>
              </w:rPr>
              <w:t>, miestne podráždenie steny močového mechúra</w:t>
            </w:r>
          </w:p>
          <w:p w:rsidR="00FA66E5" w:rsidRPr="00FF3971" w:rsidRDefault="00FA66E5" w:rsidP="00FA66E5">
            <w:pPr>
              <w:pStyle w:val="Zarkazkladnhotextu3"/>
              <w:spacing w:after="0"/>
              <w:ind w:left="0"/>
              <w:rPr>
                <w:sz w:val="22"/>
                <w:szCs w:val="22"/>
                <w:lang w:bidi="sk-SK"/>
              </w:rPr>
            </w:pPr>
          </w:p>
          <w:p w:rsidR="006A3DC6" w:rsidRPr="00FF3971" w:rsidRDefault="008A250A" w:rsidP="00436A84">
            <w:pPr>
              <w:pStyle w:val="Zkladntext2"/>
              <w:rPr>
                <w:szCs w:val="22"/>
                <w:u w:val="single"/>
                <w:lang w:bidi="sk-SK"/>
              </w:rPr>
            </w:pPr>
            <w:r>
              <w:rPr>
                <w:u w:val="single"/>
                <w:lang w:bidi="sk-SK"/>
              </w:rPr>
              <w:t>Veľmi zriedkavé</w:t>
            </w:r>
          </w:p>
          <w:p w:rsidR="006A3DC6" w:rsidRPr="00FF3971" w:rsidRDefault="008A250A" w:rsidP="00CA7860">
            <w:pPr>
              <w:ind w:left="170"/>
              <w:rPr>
                <w:sz w:val="24"/>
                <w:szCs w:val="24"/>
              </w:rPr>
            </w:pPr>
            <w:proofErr w:type="spellStart"/>
            <w:r>
              <w:t>Nekrotizujúca</w:t>
            </w:r>
            <w:proofErr w:type="spellEnd"/>
            <w:r>
              <w:t xml:space="preserve"> </w:t>
            </w:r>
            <w:proofErr w:type="spellStart"/>
            <w:r>
              <w:t>cystitída</w:t>
            </w:r>
            <w:proofErr w:type="spellEnd"/>
            <w:r>
              <w:t>, alergická (</w:t>
            </w:r>
            <w:proofErr w:type="spellStart"/>
            <w:r>
              <w:t>eozinofilná</w:t>
            </w:r>
            <w:proofErr w:type="spellEnd"/>
            <w:r>
              <w:t xml:space="preserve">) </w:t>
            </w:r>
            <w:proofErr w:type="spellStart"/>
            <w:r>
              <w:t>cystitída</w:t>
            </w:r>
            <w:proofErr w:type="spellEnd"/>
            <w:r>
              <w:t xml:space="preserve">, </w:t>
            </w:r>
            <w:proofErr w:type="spellStart"/>
            <w:r>
              <w:t>stenóza</w:t>
            </w:r>
            <w:proofErr w:type="spellEnd"/>
            <w:r>
              <w:t xml:space="preserve"> </w:t>
            </w:r>
            <w:proofErr w:type="spellStart"/>
            <w:r>
              <w:t>eferentnej</w:t>
            </w:r>
            <w:proofErr w:type="spellEnd"/>
            <w:r>
              <w:t xml:space="preserve"> časti močových ciest, zníženie kapacity močového mechúra, zvápenatenie steny močového mechúra a </w:t>
            </w:r>
            <w:proofErr w:type="spellStart"/>
            <w:r>
              <w:t>fibróza</w:t>
            </w:r>
            <w:proofErr w:type="spellEnd"/>
            <w:r>
              <w:t xml:space="preserve"> steny močového mechúra, perforácia močového mechúra.</w:t>
            </w:r>
          </w:p>
        </w:tc>
      </w:tr>
    </w:tbl>
    <w:p w:rsidR="006A3DC6" w:rsidRPr="00FF3971" w:rsidRDefault="006A3DC6" w:rsidP="00CB60B6">
      <w:pPr>
        <w:tabs>
          <w:tab w:val="clear" w:pos="567"/>
          <w:tab w:val="left" w:pos="1490"/>
        </w:tabs>
        <w:autoSpaceDE w:val="0"/>
        <w:autoSpaceDN w:val="0"/>
        <w:adjustRightInd w:val="0"/>
        <w:jc w:val="both"/>
        <w:rPr>
          <w:szCs w:val="22"/>
        </w:rPr>
      </w:pPr>
    </w:p>
    <w:p w:rsidR="00181465" w:rsidRPr="00FF3971" w:rsidRDefault="008A250A" w:rsidP="007D7425">
      <w:pPr>
        <w:autoSpaceDE w:val="0"/>
        <w:autoSpaceDN w:val="0"/>
        <w:adjustRightInd w:val="0"/>
        <w:rPr>
          <w:szCs w:val="22"/>
        </w:rPr>
      </w:pPr>
      <w:r>
        <w:t xml:space="preserve">Ak dôjde k </w:t>
      </w:r>
      <w:proofErr w:type="spellStart"/>
      <w:r>
        <w:t>cystitíde</w:t>
      </w:r>
      <w:proofErr w:type="spellEnd"/>
      <w:r>
        <w:t xml:space="preserve">, treba podať symptomatickú liečbu miestnymi protizápalovými liekmi a analgetikami. Vo väčšine prípadov možno s liečbou </w:t>
      </w:r>
      <w:proofErr w:type="spellStart"/>
      <w:r>
        <w:t>mitomycínom</w:t>
      </w:r>
      <w:proofErr w:type="spellEnd"/>
      <w:r>
        <w:t xml:space="preserve"> pokračovať, ak je nutné zníženými dávkami. Boli hlásené ojedinelé prípady alergickej (</w:t>
      </w:r>
      <w:proofErr w:type="spellStart"/>
      <w:r>
        <w:t>eozinofilnej</w:t>
      </w:r>
      <w:proofErr w:type="spellEnd"/>
      <w:r>
        <w:t xml:space="preserve">) </w:t>
      </w:r>
      <w:proofErr w:type="spellStart"/>
      <w:r>
        <w:t>cystitídy</w:t>
      </w:r>
      <w:proofErr w:type="spellEnd"/>
      <w:r>
        <w:t>, ktoré si vynútili prerušenie liečby.</w:t>
      </w:r>
    </w:p>
    <w:p w:rsidR="00181465" w:rsidRPr="00FF3971" w:rsidRDefault="00181465" w:rsidP="00181465">
      <w:pPr>
        <w:autoSpaceDE w:val="0"/>
        <w:autoSpaceDN w:val="0"/>
        <w:adjustRightInd w:val="0"/>
        <w:rPr>
          <w:szCs w:val="22"/>
        </w:rPr>
      </w:pPr>
    </w:p>
    <w:p w:rsidR="0023220D" w:rsidRPr="00FF3971" w:rsidRDefault="008A250A" w:rsidP="0023220D">
      <w:pPr>
        <w:autoSpaceDE w:val="0"/>
        <w:autoSpaceDN w:val="0"/>
        <w:adjustRightInd w:val="0"/>
        <w:rPr>
          <w:szCs w:val="22"/>
          <w:u w:val="single"/>
        </w:rPr>
      </w:pPr>
      <w:r>
        <w:rPr>
          <w:u w:val="single"/>
        </w:rPr>
        <w:t>Hlásenie podozrení na nežiaduce reakcie</w:t>
      </w:r>
    </w:p>
    <w:p w:rsidR="00FD33FD" w:rsidRPr="00FF3971" w:rsidRDefault="008A250A" w:rsidP="00FD33FD">
      <w:pPr>
        <w:widowControl w:val="0"/>
      </w:pPr>
      <w: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561953">
        <w:t xml:space="preserve">na </w:t>
      </w:r>
      <w:r w:rsidR="00E63504" w:rsidRPr="007C5C31">
        <w:rPr>
          <w:szCs w:val="22"/>
          <w:highlight w:val="lightGray"/>
        </w:rPr>
        <w:t xml:space="preserve">národné </w:t>
      </w:r>
      <w:r w:rsidR="00561953">
        <w:rPr>
          <w:szCs w:val="22"/>
          <w:highlight w:val="lightGray"/>
        </w:rPr>
        <w:t xml:space="preserve">centrum </w:t>
      </w:r>
      <w:r w:rsidR="00561953" w:rsidRPr="007C5C31">
        <w:rPr>
          <w:szCs w:val="22"/>
          <w:highlight w:val="lightGray"/>
        </w:rPr>
        <w:t xml:space="preserve"> </w:t>
      </w:r>
      <w:r w:rsidR="00E63504" w:rsidRPr="007C5C31">
        <w:rPr>
          <w:szCs w:val="22"/>
          <w:highlight w:val="lightGray"/>
        </w:rPr>
        <w:t>hlásenia uvedené v </w:t>
      </w:r>
      <w:hyperlink r:id="rId8" w:history="1">
        <w:r w:rsidR="00E63504" w:rsidRPr="007C5C31">
          <w:rPr>
            <w:rStyle w:val="Hypertextovprepojenie"/>
            <w:szCs w:val="22"/>
            <w:highlight w:val="lightGray"/>
          </w:rPr>
          <w:t>Prílohe V</w:t>
        </w:r>
      </w:hyperlink>
      <w:r w:rsidR="00FD33FD" w:rsidRPr="00FF3971">
        <w:t>.</w:t>
      </w:r>
    </w:p>
    <w:p w:rsidR="00FD33FD" w:rsidRPr="00FF3971" w:rsidRDefault="00FD33FD" w:rsidP="00FD33FD">
      <w:pPr>
        <w:widowControl w:val="0"/>
      </w:pPr>
    </w:p>
    <w:p w:rsidR="00FD33FD" w:rsidRPr="009866A5" w:rsidRDefault="00FD33FD" w:rsidP="00FD33FD">
      <w:pPr>
        <w:autoSpaceDE w:val="0"/>
        <w:autoSpaceDN w:val="0"/>
        <w:adjustRightInd w:val="0"/>
        <w:rPr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4.9</w:t>
      </w:r>
      <w:r w:rsidRPr="009866A5">
        <w:tab/>
      </w:r>
      <w:r w:rsidRPr="009866A5">
        <w:rPr>
          <w:b/>
        </w:rPr>
        <w:t>Predávkovanie</w:t>
      </w:r>
    </w:p>
    <w:p w:rsidR="0064267A" w:rsidRPr="009866A5" w:rsidRDefault="0064267A" w:rsidP="0064267A">
      <w:pPr>
        <w:rPr>
          <w:szCs w:val="22"/>
        </w:rPr>
      </w:pPr>
    </w:p>
    <w:p w:rsidR="006725A9" w:rsidRDefault="006725A9" w:rsidP="00CB60B6"/>
    <w:p w:rsidR="006725A9" w:rsidRDefault="006725A9" w:rsidP="00CB60B6"/>
    <w:p w:rsidR="005A46EB" w:rsidRPr="00FF3971" w:rsidRDefault="00E63504" w:rsidP="00CB60B6">
      <w:pPr>
        <w:rPr>
          <w:szCs w:val="22"/>
        </w:rPr>
      </w:pPr>
      <w:r w:rsidRPr="009866A5">
        <w:t xml:space="preserve">V prípade predávkovania sa musí počítať so závažnou </w:t>
      </w:r>
      <w:proofErr w:type="spellStart"/>
      <w:r w:rsidRPr="009866A5">
        <w:t>myelotoxicitou</w:t>
      </w:r>
      <w:proofErr w:type="spellEnd"/>
      <w:r w:rsidRPr="009866A5">
        <w:t xml:space="preserve"> alebo dokonca s</w:t>
      </w:r>
      <w:r w:rsidR="00B01503">
        <w:t xml:space="preserve">  </w:t>
      </w:r>
      <w:proofErr w:type="spellStart"/>
      <w:r w:rsidRPr="009866A5">
        <w:t>myeloft</w:t>
      </w:r>
      <w:r w:rsidR="00B01503">
        <w:t>í</w:t>
      </w:r>
      <w:r w:rsidRPr="009866A5">
        <w:t>zou</w:t>
      </w:r>
      <w:proofErr w:type="spellEnd"/>
      <w:r w:rsidRPr="009866A5">
        <w:t>, ktorej plne rozvinutý klinický účinok sa dostaví iba po približne 2 týždňoch.</w:t>
      </w:r>
    </w:p>
    <w:p w:rsidR="005A46EB" w:rsidRPr="00FF3971" w:rsidRDefault="005A46EB" w:rsidP="00CB60B6">
      <w:pPr>
        <w:rPr>
          <w:szCs w:val="22"/>
        </w:rPr>
      </w:pPr>
    </w:p>
    <w:p w:rsidR="006725A9" w:rsidRDefault="006725A9" w:rsidP="00CB60B6"/>
    <w:p w:rsidR="005A46EB" w:rsidRPr="00FF3971" w:rsidRDefault="00E63504" w:rsidP="00CB60B6">
      <w:pPr>
        <w:rPr>
          <w:szCs w:val="22"/>
        </w:rPr>
      </w:pPr>
      <w:r w:rsidRPr="009866A5">
        <w:t>Doba, za ktorú počet leukocytov klesne na najnižšiu hodnotu, môže trvať 4 týždne. Preto, ak je podozrenie na predávkovanie, treba podrobne a dlhodobo sledovať hematologické parametre.</w:t>
      </w:r>
    </w:p>
    <w:p w:rsidR="001A31FF" w:rsidRDefault="001A31FF" w:rsidP="00CB60B6"/>
    <w:p w:rsidR="001C763B" w:rsidRDefault="00592979" w:rsidP="001C763B">
      <w:pPr>
        <w:rPr>
          <w:rFonts w:ascii="TimesNewRoman" w:eastAsia="SimSun" w:hAnsi="TimesNewRoman" w:cs="TimesNewRoman"/>
          <w:szCs w:val="22"/>
          <w:lang w:bidi="ar-SA"/>
        </w:rPr>
      </w:pPr>
      <w:r w:rsidRPr="00592979">
        <w:rPr>
          <w:rFonts w:ascii="TimesNewRoman" w:eastAsia="SimSun" w:hAnsi="TimesNewRoman" w:cs="TimesNewRoman"/>
          <w:szCs w:val="22"/>
          <w:lang w:bidi="ar-SA"/>
        </w:rPr>
        <w:t xml:space="preserve">Keďže nie sú dostupné žiadne účinné </w:t>
      </w:r>
      <w:proofErr w:type="spellStart"/>
      <w:r w:rsidRPr="00592979">
        <w:rPr>
          <w:rFonts w:ascii="TimesNewRoman" w:eastAsia="SimSun" w:hAnsi="TimesNewRoman" w:cs="TimesNewRoman"/>
          <w:szCs w:val="22"/>
          <w:lang w:bidi="ar-SA"/>
        </w:rPr>
        <w:t>antidotá</w:t>
      </w:r>
      <w:proofErr w:type="spellEnd"/>
      <w:r w:rsidRPr="00592979">
        <w:rPr>
          <w:rFonts w:ascii="TimesNewRoman" w:eastAsia="SimSun" w:hAnsi="TimesNewRoman" w:cs="TimesNewRoman"/>
          <w:szCs w:val="22"/>
          <w:lang w:bidi="ar-SA"/>
        </w:rPr>
        <w:t>, počas každého podávania sa vyžaduje najvyšší stupeň opatrnosti.</w:t>
      </w:r>
    </w:p>
    <w:p w:rsidR="001C763B" w:rsidRPr="00FF3971" w:rsidRDefault="001C763B" w:rsidP="001C763B"/>
    <w:p w:rsidR="001A31FF" w:rsidRPr="00FF3971" w:rsidRDefault="00E63504" w:rsidP="00CB60B6">
      <w:r w:rsidRPr="009866A5">
        <w:t xml:space="preserve">Doteraz však neboli hlásené žiadne prípady predávkovania </w:t>
      </w:r>
      <w:proofErr w:type="spellStart"/>
      <w:r w:rsidRPr="009866A5">
        <w:t>intravezikálne</w:t>
      </w:r>
      <w:proofErr w:type="spellEnd"/>
      <w:r w:rsidRPr="009866A5">
        <w:t xml:space="preserve"> podaným </w:t>
      </w:r>
      <w:proofErr w:type="spellStart"/>
      <w:r w:rsidRPr="009866A5">
        <w:t>mitomycínom</w:t>
      </w:r>
      <w:proofErr w:type="spellEnd"/>
      <w:r w:rsidRPr="009866A5">
        <w:t>.</w:t>
      </w:r>
    </w:p>
    <w:p w:rsidR="00EC47B8" w:rsidRPr="00FF3971" w:rsidRDefault="00EC47B8" w:rsidP="00CB60B6"/>
    <w:p w:rsidR="00EC47B8" w:rsidRPr="00FF3971" w:rsidRDefault="00E63504" w:rsidP="00CB60B6">
      <w:pPr>
        <w:rPr>
          <w:szCs w:val="22"/>
          <w:highlight w:val="yellow"/>
        </w:rPr>
      </w:pPr>
      <w:r w:rsidRPr="009866A5">
        <w:t xml:space="preserve">Keďže nie je dostupné žiadne účinné </w:t>
      </w:r>
      <w:proofErr w:type="spellStart"/>
      <w:r w:rsidRPr="009866A5">
        <w:t>antidotum</w:t>
      </w:r>
      <w:proofErr w:type="spellEnd"/>
      <w:r w:rsidRPr="009866A5">
        <w:t>, pri každom podaní treba postupovať nanajvýš opatrne.</w:t>
      </w:r>
    </w:p>
    <w:p w:rsidR="0064267A" w:rsidRPr="009866A5" w:rsidRDefault="0064267A" w:rsidP="00CB60B6">
      <w:pPr>
        <w:tabs>
          <w:tab w:val="clear" w:pos="567"/>
          <w:tab w:val="left" w:pos="1715"/>
        </w:tabs>
        <w:rPr>
          <w:szCs w:val="22"/>
        </w:rPr>
      </w:pPr>
    </w:p>
    <w:p w:rsidR="0064267A" w:rsidRPr="00FF3971" w:rsidRDefault="0064267A" w:rsidP="0064267A">
      <w:pPr>
        <w:rPr>
          <w:szCs w:val="22"/>
        </w:rPr>
      </w:pPr>
    </w:p>
    <w:p w:rsidR="0064267A" w:rsidRPr="00FF3971" w:rsidRDefault="00E63504" w:rsidP="0064267A">
      <w:pPr>
        <w:suppressAutoHyphens/>
        <w:ind w:left="567" w:hanging="567"/>
        <w:rPr>
          <w:szCs w:val="22"/>
        </w:rPr>
      </w:pPr>
      <w:r w:rsidRPr="009866A5">
        <w:rPr>
          <w:b/>
        </w:rPr>
        <w:t>5.</w:t>
      </w:r>
      <w:r w:rsidRPr="009866A5">
        <w:tab/>
      </w:r>
      <w:r w:rsidRPr="009866A5">
        <w:rPr>
          <w:b/>
        </w:rPr>
        <w:t>FARMAKOLOGICKÉ VLASTNOSTI</w:t>
      </w:r>
    </w:p>
    <w:p w:rsidR="0064267A" w:rsidRPr="00FF3971" w:rsidRDefault="0064267A" w:rsidP="0064267A">
      <w:pPr>
        <w:rPr>
          <w:szCs w:val="22"/>
        </w:rPr>
      </w:pPr>
    </w:p>
    <w:p w:rsidR="0064267A" w:rsidRPr="00FF3971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5.1</w:t>
      </w:r>
      <w:r w:rsidRPr="009866A5">
        <w:tab/>
      </w:r>
      <w:proofErr w:type="spellStart"/>
      <w:r w:rsidRPr="009866A5">
        <w:rPr>
          <w:b/>
        </w:rPr>
        <w:t>Farmakodynamické</w:t>
      </w:r>
      <w:proofErr w:type="spellEnd"/>
      <w:r w:rsidRPr="009866A5">
        <w:rPr>
          <w:b/>
        </w:rPr>
        <w:t xml:space="preserve"> vlastnosti</w:t>
      </w:r>
    </w:p>
    <w:p w:rsidR="0064267A" w:rsidRPr="00FF3971" w:rsidRDefault="0064267A" w:rsidP="0064267A">
      <w:pPr>
        <w:rPr>
          <w:szCs w:val="22"/>
        </w:rPr>
      </w:pPr>
    </w:p>
    <w:p w:rsidR="0064267A" w:rsidRPr="00FF3971" w:rsidRDefault="00E63504" w:rsidP="004E3FF0">
      <w:pPr>
        <w:outlineLvl w:val="0"/>
      </w:pPr>
      <w:proofErr w:type="spellStart"/>
      <w:r w:rsidRPr="009866A5">
        <w:t>Farmakoterapeutická</w:t>
      </w:r>
      <w:proofErr w:type="spellEnd"/>
      <w:r w:rsidRPr="009866A5">
        <w:t xml:space="preserve"> skupina: </w:t>
      </w:r>
      <w:proofErr w:type="spellStart"/>
      <w:r w:rsidRPr="009866A5">
        <w:t>Cytostatiká</w:t>
      </w:r>
      <w:proofErr w:type="spellEnd"/>
      <w:r w:rsidRPr="009866A5">
        <w:t xml:space="preserve">, </w:t>
      </w:r>
      <w:proofErr w:type="spellStart"/>
      <w:r w:rsidRPr="009866A5">
        <w:t>cytotoxické</w:t>
      </w:r>
      <w:proofErr w:type="spellEnd"/>
      <w:r w:rsidRPr="009866A5">
        <w:t xml:space="preserve"> antibiotiká a podobné liečivá, iné </w:t>
      </w:r>
      <w:proofErr w:type="spellStart"/>
      <w:r w:rsidRPr="009866A5">
        <w:t>cytotoxické</w:t>
      </w:r>
      <w:proofErr w:type="spellEnd"/>
      <w:r w:rsidRPr="009866A5">
        <w:t xml:space="preserve"> antibiotiká, ATC kód: L01DC03</w:t>
      </w:r>
    </w:p>
    <w:p w:rsidR="00F025D2" w:rsidRPr="009866A5" w:rsidRDefault="00F025D2" w:rsidP="004E3FF0">
      <w:pPr>
        <w:outlineLvl w:val="0"/>
        <w:rPr>
          <w:bCs/>
          <w:szCs w:val="22"/>
        </w:rPr>
      </w:pPr>
    </w:p>
    <w:p w:rsidR="0064267A" w:rsidRPr="00FF3971" w:rsidRDefault="00E63504" w:rsidP="0064267A">
      <w:pPr>
        <w:rPr>
          <w:szCs w:val="22"/>
        </w:rPr>
      </w:pPr>
      <w:r w:rsidRPr="009866A5">
        <w:t xml:space="preserve">Antibiotikum </w:t>
      </w:r>
      <w:proofErr w:type="spellStart"/>
      <w:r w:rsidRPr="009866A5">
        <w:t>mitomycín</w:t>
      </w:r>
      <w:proofErr w:type="spellEnd"/>
      <w:r w:rsidRPr="009866A5">
        <w:t xml:space="preserve"> je </w:t>
      </w:r>
      <w:proofErr w:type="spellStart"/>
      <w:r w:rsidRPr="009866A5">
        <w:t>cytostatický</w:t>
      </w:r>
      <w:proofErr w:type="spellEnd"/>
      <w:r w:rsidRPr="009866A5">
        <w:t xml:space="preserve"> liek zo skupiny </w:t>
      </w:r>
      <w:proofErr w:type="spellStart"/>
      <w:r w:rsidRPr="009866A5">
        <w:t>alkylačných</w:t>
      </w:r>
      <w:proofErr w:type="spellEnd"/>
      <w:r w:rsidRPr="009866A5">
        <w:t xml:space="preserve"> látok.</w:t>
      </w:r>
    </w:p>
    <w:p w:rsidR="00182B27" w:rsidRPr="009866A5" w:rsidRDefault="00182B27" w:rsidP="0064267A">
      <w:pPr>
        <w:rPr>
          <w:i/>
          <w:szCs w:val="22"/>
        </w:rPr>
      </w:pPr>
    </w:p>
    <w:p w:rsidR="0064267A" w:rsidRPr="00FF3971" w:rsidRDefault="00E63504" w:rsidP="00601663">
      <w:pPr>
        <w:rPr>
          <w:bCs/>
          <w:szCs w:val="22"/>
        </w:rPr>
      </w:pPr>
      <w:proofErr w:type="spellStart"/>
      <w:r w:rsidRPr="009866A5">
        <w:t>Mitomycín</w:t>
      </w:r>
      <w:proofErr w:type="spellEnd"/>
      <w:r w:rsidRPr="009866A5">
        <w:t xml:space="preserve"> je antibiotikum s </w:t>
      </w:r>
      <w:proofErr w:type="spellStart"/>
      <w:r w:rsidRPr="009866A5">
        <w:t>antineoplastickým</w:t>
      </w:r>
      <w:proofErr w:type="spellEnd"/>
      <w:r w:rsidRPr="009866A5">
        <w:t xml:space="preserve"> účinkom, izolované zo </w:t>
      </w:r>
      <w:proofErr w:type="spellStart"/>
      <w:r w:rsidRPr="009866A5">
        <w:rPr>
          <w:i/>
        </w:rPr>
        <w:t>Streptomyces</w:t>
      </w:r>
      <w:proofErr w:type="spellEnd"/>
      <w:r w:rsidRPr="009866A5">
        <w:rPr>
          <w:i/>
        </w:rPr>
        <w:t xml:space="preserve"> </w:t>
      </w:r>
      <w:proofErr w:type="spellStart"/>
      <w:r w:rsidRPr="009866A5">
        <w:rPr>
          <w:i/>
        </w:rPr>
        <w:t>caespitosus</w:t>
      </w:r>
      <w:proofErr w:type="spellEnd"/>
      <w:r w:rsidRPr="009866A5">
        <w:rPr>
          <w:i/>
        </w:rPr>
        <w:t xml:space="preserve">. </w:t>
      </w:r>
      <w:r w:rsidRPr="009866A5">
        <w:t xml:space="preserve">Nachádza sa v </w:t>
      </w:r>
      <w:proofErr w:type="spellStart"/>
      <w:r w:rsidRPr="009866A5">
        <w:t>inaktívnej</w:t>
      </w:r>
      <w:proofErr w:type="spellEnd"/>
      <w:r w:rsidRPr="009866A5">
        <w:t xml:space="preserve"> forme. K aktivácii na </w:t>
      </w:r>
      <w:proofErr w:type="spellStart"/>
      <w:r w:rsidRPr="009866A5">
        <w:t>trifunkčnú</w:t>
      </w:r>
      <w:proofErr w:type="spellEnd"/>
      <w:r w:rsidRPr="009866A5">
        <w:t xml:space="preserve"> </w:t>
      </w:r>
      <w:proofErr w:type="spellStart"/>
      <w:r w:rsidRPr="009866A5">
        <w:t>alkylačnú</w:t>
      </w:r>
      <w:proofErr w:type="spellEnd"/>
      <w:r w:rsidRPr="009866A5">
        <w:t xml:space="preserve"> látku dochádza rýchlo buď pri fyziologickej hodnote pH v prítomnosti NADPH v sére, alebo intracelulárne, prakticky vo všetkých telesných bunkách s výnimkou mozgu, keďže </w:t>
      </w:r>
      <w:proofErr w:type="spellStart"/>
      <w:r w:rsidRPr="009866A5">
        <w:t>mitomycín</w:t>
      </w:r>
      <w:proofErr w:type="spellEnd"/>
      <w:r w:rsidRPr="009866A5">
        <w:t xml:space="preserve"> neprekoná </w:t>
      </w:r>
      <w:proofErr w:type="spellStart"/>
      <w:r w:rsidRPr="009866A5">
        <w:t>hematoencefalickú</w:t>
      </w:r>
      <w:proofErr w:type="spellEnd"/>
      <w:r w:rsidRPr="009866A5">
        <w:t xml:space="preserve"> bariéru. Všetky tri </w:t>
      </w:r>
      <w:proofErr w:type="spellStart"/>
      <w:r w:rsidRPr="009866A5">
        <w:t>alkylačné</w:t>
      </w:r>
      <w:proofErr w:type="spellEnd"/>
      <w:r w:rsidRPr="009866A5">
        <w:t xml:space="preserve"> radikály majú pôvod v </w:t>
      </w:r>
      <w:proofErr w:type="spellStart"/>
      <w:r w:rsidRPr="009866A5">
        <w:t>chinónovej</w:t>
      </w:r>
      <w:proofErr w:type="spellEnd"/>
      <w:r w:rsidRPr="009866A5">
        <w:t xml:space="preserve">, </w:t>
      </w:r>
      <w:proofErr w:type="spellStart"/>
      <w:r w:rsidRPr="009866A5">
        <w:t>aziridínovej</w:t>
      </w:r>
      <w:proofErr w:type="spellEnd"/>
      <w:r w:rsidRPr="009866A5">
        <w:t xml:space="preserve"> a </w:t>
      </w:r>
      <w:proofErr w:type="spellStart"/>
      <w:r w:rsidRPr="009866A5">
        <w:t>uretánovej</w:t>
      </w:r>
      <w:proofErr w:type="spellEnd"/>
      <w:r w:rsidRPr="009866A5">
        <w:t xml:space="preserve"> skupine. Mechanizmus účinku sa zakladá prevažne na </w:t>
      </w:r>
      <w:proofErr w:type="spellStart"/>
      <w:r w:rsidRPr="009866A5">
        <w:t>alkylácii</w:t>
      </w:r>
      <w:proofErr w:type="spellEnd"/>
      <w:r w:rsidRPr="009866A5">
        <w:t xml:space="preserve"> DNA (v menšej miere RNA), so zodpovedajúcou inhibíciou syntézy DNA. Stupeň poškodenia DNA </w:t>
      </w:r>
      <w:proofErr w:type="spellStart"/>
      <w:r w:rsidRPr="009866A5">
        <w:t>koreluje</w:t>
      </w:r>
      <w:proofErr w:type="spellEnd"/>
      <w:r w:rsidRPr="009866A5">
        <w:t xml:space="preserve"> s klinickým účinkom a je nižší u rezistentných buniek ako u citlivých buniek. Ako aj v u iných </w:t>
      </w:r>
      <w:proofErr w:type="spellStart"/>
      <w:r w:rsidRPr="009866A5">
        <w:t>alkylačných</w:t>
      </w:r>
      <w:proofErr w:type="spellEnd"/>
      <w:r w:rsidRPr="009866A5">
        <w:t xml:space="preserve"> látok, </w:t>
      </w:r>
      <w:proofErr w:type="spellStart"/>
      <w:r w:rsidRPr="009866A5">
        <w:t>proliferujúce</w:t>
      </w:r>
      <w:proofErr w:type="spellEnd"/>
      <w:r w:rsidRPr="009866A5">
        <w:t xml:space="preserve"> bunky sú poškodené do väčšej miery ako tie, ktoré sú v </w:t>
      </w:r>
      <w:proofErr w:type="spellStart"/>
      <w:r w:rsidRPr="009866A5">
        <w:t>kľudovej</w:t>
      </w:r>
      <w:proofErr w:type="spellEnd"/>
      <w:r w:rsidRPr="009866A5">
        <w:t xml:space="preserve"> fáze (G0) bunkového cyklu. Okrem toho, najmä pri používaní vyšších dávok, uvoľňujú sa voľné peroxidové radikály, čo vedie k zlomom v DNA. Uvoľňovanie peroxidových radikálov je spojené s orgánovo špecifickou kombináciou vedľajších účinkov.</w:t>
      </w:r>
    </w:p>
    <w:p w:rsidR="0064267A" w:rsidRPr="00FF3971" w:rsidRDefault="0064267A" w:rsidP="0064267A">
      <w:pPr>
        <w:jc w:val="both"/>
        <w:rPr>
          <w:bCs/>
          <w:iCs/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b/>
          <w:szCs w:val="22"/>
        </w:rPr>
      </w:pPr>
      <w:r w:rsidRPr="009866A5">
        <w:rPr>
          <w:b/>
        </w:rPr>
        <w:t>5.2</w:t>
      </w:r>
      <w:r w:rsidRPr="009866A5">
        <w:tab/>
      </w:r>
      <w:proofErr w:type="spellStart"/>
      <w:r w:rsidRPr="009866A5">
        <w:rPr>
          <w:b/>
        </w:rPr>
        <w:t>Farmakokinetické</w:t>
      </w:r>
      <w:proofErr w:type="spellEnd"/>
      <w:r w:rsidRPr="009866A5">
        <w:rPr>
          <w:b/>
        </w:rPr>
        <w:t xml:space="preserve"> vlastnosti</w:t>
      </w:r>
    </w:p>
    <w:p w:rsidR="0064267A" w:rsidRPr="009866A5" w:rsidRDefault="0064267A" w:rsidP="0064267A">
      <w:pPr>
        <w:ind w:left="567" w:hanging="567"/>
        <w:outlineLvl w:val="0"/>
        <w:rPr>
          <w:b/>
          <w:szCs w:val="22"/>
        </w:rPr>
      </w:pPr>
    </w:p>
    <w:p w:rsidR="00425B18" w:rsidRPr="009866A5" w:rsidRDefault="00E63504" w:rsidP="007964DE">
      <w:pPr>
        <w:numPr>
          <w:ilvl w:val="12"/>
          <w:numId w:val="0"/>
        </w:numPr>
        <w:ind w:right="-2"/>
        <w:rPr>
          <w:iCs/>
          <w:szCs w:val="22"/>
        </w:rPr>
      </w:pPr>
      <w:r w:rsidRPr="009866A5">
        <w:t>Po intravenóznom podaní 10 </w:t>
      </w:r>
      <w:r w:rsidRPr="009866A5">
        <w:noBreakHyphen/>
        <w:t xml:space="preserve"> 20 mg/m² </w:t>
      </w:r>
      <w:proofErr w:type="spellStart"/>
      <w:r w:rsidRPr="009866A5">
        <w:t>mitomycínu</w:t>
      </w:r>
      <w:proofErr w:type="spellEnd"/>
      <w:r w:rsidRPr="009866A5">
        <w:t xml:space="preserve"> boli zistené maximálne plazmatické hladiny 0,4 </w:t>
      </w:r>
      <w:r w:rsidRPr="009866A5">
        <w:noBreakHyphen/>
        <w:t> 3,2 </w:t>
      </w:r>
      <w:proofErr w:type="spellStart"/>
      <w:r w:rsidRPr="009866A5">
        <w:t>μg</w:t>
      </w:r>
      <w:proofErr w:type="spellEnd"/>
      <w:r w:rsidRPr="009866A5">
        <w:t xml:space="preserve">/ml. Biologický polčas je krátky, trvá od 40 do 50 minút. Hladina v sére </w:t>
      </w:r>
      <w:r w:rsidR="00147058" w:rsidRPr="008A250A">
        <w:t>klesá</w:t>
      </w:r>
      <w:r w:rsidRPr="009866A5">
        <w:t xml:space="preserve"> </w:t>
      </w:r>
      <w:proofErr w:type="spellStart"/>
      <w:r w:rsidRPr="009866A5">
        <w:t>biexponenciálne</w:t>
      </w:r>
      <w:proofErr w:type="spellEnd"/>
      <w:r w:rsidRPr="009866A5">
        <w:t>, strmo počas prvých 45 minút a potom pomalšie.</w:t>
      </w:r>
    </w:p>
    <w:p w:rsidR="00B43EC2" w:rsidRPr="00FF3971" w:rsidRDefault="00E63504" w:rsidP="00CB60B6">
      <w:pPr>
        <w:rPr>
          <w:szCs w:val="22"/>
        </w:rPr>
      </w:pPr>
      <w:r w:rsidRPr="009866A5">
        <w:t xml:space="preserve">Po približne 3 hodinách sú hladiny v sére obyčajne pod detekčným limitom. Hlavným miestom metabolizmu a eliminácie je pečeň. V súlade s tým boli zistené vysoké koncentrácie </w:t>
      </w:r>
      <w:proofErr w:type="spellStart"/>
      <w:r w:rsidRPr="009866A5">
        <w:t>mitomycínu</w:t>
      </w:r>
      <w:proofErr w:type="spellEnd"/>
      <w:r w:rsidRPr="009866A5">
        <w:t xml:space="preserve"> v žlčníku. Vylučovanie obličkami hrá iba malú úlohu v rámci eliminácie.</w:t>
      </w:r>
    </w:p>
    <w:p w:rsidR="00B43EC2" w:rsidRPr="00FF3971" w:rsidRDefault="00E63504" w:rsidP="00CB60B6">
      <w:pPr>
        <w:rPr>
          <w:szCs w:val="22"/>
        </w:rPr>
      </w:pPr>
      <w:r w:rsidRPr="009866A5">
        <w:t xml:space="preserve">Počas </w:t>
      </w:r>
      <w:proofErr w:type="spellStart"/>
      <w:r w:rsidRPr="009866A5">
        <w:t>intravezikálnej</w:t>
      </w:r>
      <w:proofErr w:type="spellEnd"/>
      <w:r w:rsidRPr="009866A5">
        <w:t xml:space="preserve"> liečby sa </w:t>
      </w:r>
      <w:proofErr w:type="spellStart"/>
      <w:r w:rsidRPr="009866A5">
        <w:t>mitomycín</w:t>
      </w:r>
      <w:proofErr w:type="spellEnd"/>
      <w:r w:rsidRPr="009866A5">
        <w:t xml:space="preserve"> absorbuje iba v bezvýznamných dávkach. Napriek tomu nemožno úplne vylúčiť systémový účinok.</w:t>
      </w:r>
    </w:p>
    <w:p w:rsidR="00B43EC2" w:rsidRPr="009866A5" w:rsidRDefault="00B43EC2" w:rsidP="00B43EC2">
      <w:pPr>
        <w:numPr>
          <w:ilvl w:val="12"/>
          <w:numId w:val="0"/>
        </w:numPr>
        <w:ind w:right="-2"/>
        <w:rPr>
          <w:iCs/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5.3</w:t>
      </w:r>
      <w:r w:rsidRPr="009866A5">
        <w:tab/>
      </w:r>
      <w:r w:rsidRPr="009866A5">
        <w:rPr>
          <w:b/>
        </w:rPr>
        <w:t>Predklinické údaje o bezpečnosti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64267A">
      <w:pPr>
        <w:rPr>
          <w:szCs w:val="22"/>
        </w:rPr>
      </w:pPr>
      <w:r w:rsidRPr="009866A5">
        <w:t xml:space="preserve">V štúdiách na zvieratách mal </w:t>
      </w:r>
      <w:proofErr w:type="spellStart"/>
      <w:r w:rsidRPr="009866A5">
        <w:t>mitomycín</w:t>
      </w:r>
      <w:proofErr w:type="spellEnd"/>
      <w:r w:rsidRPr="009866A5">
        <w:t xml:space="preserve"> toxický účinok na všetky </w:t>
      </w:r>
      <w:proofErr w:type="spellStart"/>
      <w:r w:rsidRPr="009866A5">
        <w:t>proliferujúce</w:t>
      </w:r>
      <w:proofErr w:type="spellEnd"/>
      <w:r w:rsidRPr="009866A5">
        <w:t xml:space="preserve"> tkanivá, predovšetkým na bunky kostnej drene a </w:t>
      </w:r>
      <w:proofErr w:type="spellStart"/>
      <w:r w:rsidRPr="009866A5">
        <w:t>gastrointestinálnej</w:t>
      </w:r>
      <w:proofErr w:type="spellEnd"/>
      <w:r w:rsidRPr="009866A5">
        <w:t xml:space="preserve"> sliznice, a </w:t>
      </w:r>
      <w:proofErr w:type="spellStart"/>
      <w:r w:rsidRPr="009866A5">
        <w:t>spermatogenéza</w:t>
      </w:r>
      <w:proofErr w:type="spellEnd"/>
      <w:r w:rsidRPr="009866A5">
        <w:t xml:space="preserve"> bola </w:t>
      </w:r>
      <w:proofErr w:type="spellStart"/>
      <w:r w:rsidRPr="009866A5">
        <w:t>inhibovaná</w:t>
      </w:r>
      <w:proofErr w:type="spellEnd"/>
      <w:r w:rsidRPr="009866A5">
        <w:t>.</w:t>
      </w:r>
    </w:p>
    <w:p w:rsidR="006725A9" w:rsidRDefault="006725A9" w:rsidP="00687BA1"/>
    <w:p w:rsidR="00687BA1" w:rsidRPr="009866A5" w:rsidRDefault="00E63504" w:rsidP="00687BA1">
      <w:pPr>
        <w:rPr>
          <w:szCs w:val="22"/>
        </w:rPr>
      </w:pPr>
      <w:proofErr w:type="spellStart"/>
      <w:r w:rsidRPr="009866A5">
        <w:t>Mitomycín</w:t>
      </w:r>
      <w:proofErr w:type="spellEnd"/>
      <w:r w:rsidRPr="009866A5">
        <w:t xml:space="preserve"> má mutagénne, karcinogénne a </w:t>
      </w:r>
      <w:proofErr w:type="spellStart"/>
      <w:r w:rsidRPr="009866A5">
        <w:t>teratogénne</w:t>
      </w:r>
      <w:proofErr w:type="spellEnd"/>
      <w:r w:rsidRPr="009866A5">
        <w:t xml:space="preserve"> vlastnosti, ktoré sa dajú preukázať na vhodných experimentálnych modeloch.</w:t>
      </w:r>
    </w:p>
    <w:p w:rsidR="006725A9" w:rsidRDefault="006725A9" w:rsidP="005635D0"/>
    <w:p w:rsidR="0064267A" w:rsidRPr="009866A5" w:rsidRDefault="00E63504" w:rsidP="005635D0">
      <w:pPr>
        <w:rPr>
          <w:szCs w:val="22"/>
        </w:rPr>
      </w:pPr>
      <w:r w:rsidRPr="009866A5">
        <w:t xml:space="preserve">Ak sa podá mimo žily, alebo v prípade </w:t>
      </w:r>
      <w:proofErr w:type="spellStart"/>
      <w:r w:rsidRPr="009866A5">
        <w:t>extravazácie</w:t>
      </w:r>
      <w:proofErr w:type="spellEnd"/>
      <w:r w:rsidRPr="009866A5">
        <w:t xml:space="preserve"> do okolitého tkaniva, </w:t>
      </w:r>
      <w:proofErr w:type="spellStart"/>
      <w:r w:rsidRPr="009866A5">
        <w:t>mitomycín</w:t>
      </w:r>
      <w:proofErr w:type="spellEnd"/>
      <w:r w:rsidRPr="009866A5">
        <w:t xml:space="preserve"> spôsobuje závažnú </w:t>
      </w:r>
      <w:proofErr w:type="spellStart"/>
      <w:r w:rsidRPr="009866A5">
        <w:t>nekrózu</w:t>
      </w:r>
      <w:proofErr w:type="spellEnd"/>
      <w:r w:rsidRPr="009866A5">
        <w:t>.</w:t>
      </w:r>
    </w:p>
    <w:p w:rsidR="00425B18" w:rsidRPr="009866A5" w:rsidRDefault="00425B18" w:rsidP="00425B18">
      <w:pPr>
        <w:rPr>
          <w:szCs w:val="22"/>
        </w:rPr>
      </w:pPr>
    </w:p>
    <w:p w:rsidR="00C10A7B" w:rsidRDefault="00C10A7B" w:rsidP="0064267A">
      <w:pPr>
        <w:suppressAutoHyphens/>
        <w:ind w:left="567" w:hanging="567"/>
        <w:rPr>
          <w:b/>
        </w:rPr>
      </w:pPr>
    </w:p>
    <w:p w:rsidR="0064267A" w:rsidRPr="009866A5" w:rsidRDefault="00E63504" w:rsidP="0064267A">
      <w:pPr>
        <w:suppressAutoHyphens/>
        <w:ind w:left="567" w:hanging="567"/>
        <w:rPr>
          <w:b/>
          <w:szCs w:val="22"/>
        </w:rPr>
      </w:pPr>
      <w:r w:rsidRPr="009866A5">
        <w:rPr>
          <w:b/>
        </w:rPr>
        <w:t>6.</w:t>
      </w:r>
      <w:r w:rsidRPr="009866A5">
        <w:tab/>
      </w:r>
      <w:r w:rsidRPr="009866A5">
        <w:rPr>
          <w:b/>
        </w:rPr>
        <w:t>FARMACEUTICKÉ INFORMÁCIE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6.1</w:t>
      </w:r>
      <w:r w:rsidRPr="009866A5">
        <w:tab/>
      </w:r>
      <w:r w:rsidRPr="009866A5">
        <w:rPr>
          <w:b/>
        </w:rPr>
        <w:t>Zoznam pomocných látok</w:t>
      </w:r>
    </w:p>
    <w:p w:rsidR="0064267A" w:rsidRPr="009866A5" w:rsidRDefault="0064267A" w:rsidP="0064267A">
      <w:pPr>
        <w:rPr>
          <w:i/>
          <w:szCs w:val="22"/>
        </w:rPr>
      </w:pPr>
    </w:p>
    <w:p w:rsidR="0064267A" w:rsidRPr="009866A5" w:rsidRDefault="00E63504" w:rsidP="0064267A">
      <w:pPr>
        <w:rPr>
          <w:szCs w:val="22"/>
        </w:rPr>
      </w:pPr>
      <w:r w:rsidRPr="009866A5">
        <w:t>Močovina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6.2</w:t>
      </w:r>
      <w:r w:rsidRPr="009866A5">
        <w:tab/>
      </w:r>
      <w:r w:rsidRPr="009866A5">
        <w:rPr>
          <w:b/>
        </w:rPr>
        <w:t>Inkompatibility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521E74">
      <w:pPr>
        <w:rPr>
          <w:szCs w:val="22"/>
        </w:rPr>
      </w:pPr>
      <w:r w:rsidRPr="009866A5">
        <w:t>Tento liek sa nesmie miešať s inými liekmi okrem tých, ktoré sú uvedené v časti 6.6.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6.3</w:t>
      </w:r>
      <w:r w:rsidRPr="009866A5">
        <w:tab/>
      </w:r>
      <w:r w:rsidRPr="009866A5">
        <w:rPr>
          <w:b/>
        </w:rPr>
        <w:t>Čas použiteľnosti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BA0656">
      <w:pPr>
        <w:rPr>
          <w:i/>
          <w:iCs/>
          <w:szCs w:val="22"/>
        </w:rPr>
      </w:pPr>
      <w:proofErr w:type="spellStart"/>
      <w:r w:rsidRPr="009866A5">
        <w:rPr>
          <w:i/>
        </w:rPr>
        <w:t>Mitomycin</w:t>
      </w:r>
      <w:proofErr w:type="spellEnd"/>
      <w:r w:rsidRPr="009866A5">
        <w:rPr>
          <w:i/>
        </w:rPr>
        <w:t xml:space="preserve"> </w:t>
      </w:r>
      <w:proofErr w:type="spellStart"/>
      <w:r w:rsidRPr="009866A5">
        <w:rPr>
          <w:i/>
        </w:rPr>
        <w:t>medac</w:t>
      </w:r>
      <w:proofErr w:type="spellEnd"/>
      <w:r w:rsidRPr="009866A5">
        <w:rPr>
          <w:i/>
        </w:rPr>
        <w:t xml:space="preserve">, injekčné liekovky s 2 mg (10 mg, 20 mg, 40 mg) </w:t>
      </w:r>
      <w:proofErr w:type="spellStart"/>
      <w:r w:rsidRPr="009866A5">
        <w:rPr>
          <w:i/>
        </w:rPr>
        <w:t>mitomycínu</w:t>
      </w:r>
      <w:proofErr w:type="spellEnd"/>
    </w:p>
    <w:p w:rsidR="00521E74" w:rsidRPr="00505D74" w:rsidRDefault="00505D74" w:rsidP="0064267A">
      <w:pPr>
        <w:rPr>
          <w:szCs w:val="22"/>
        </w:rPr>
      </w:pPr>
      <w:r>
        <w:t>2 roky</w:t>
      </w:r>
    </w:p>
    <w:p w:rsidR="002A70EF" w:rsidRDefault="002A70EF" w:rsidP="0064267A">
      <w:pPr>
        <w:rPr>
          <w:szCs w:val="22"/>
        </w:rPr>
      </w:pPr>
    </w:p>
    <w:p w:rsidR="008D7564" w:rsidRPr="008D7564" w:rsidRDefault="00505D74" w:rsidP="008D7564">
      <w:pPr>
        <w:rPr>
          <w:szCs w:val="22"/>
        </w:rPr>
      </w:pPr>
      <w:r w:rsidRPr="00505D74">
        <w:rPr>
          <w:szCs w:val="22"/>
        </w:rPr>
        <w:t xml:space="preserve">Po rekonštitúcii sa má </w:t>
      </w:r>
      <w:r>
        <w:rPr>
          <w:szCs w:val="22"/>
        </w:rPr>
        <w:t>liek</w:t>
      </w:r>
      <w:r w:rsidRPr="00505D74">
        <w:rPr>
          <w:szCs w:val="22"/>
        </w:rPr>
        <w:t xml:space="preserve"> použiť</w:t>
      </w:r>
      <w:r>
        <w:rPr>
          <w:szCs w:val="22"/>
        </w:rPr>
        <w:t xml:space="preserve"> okamžite</w:t>
      </w:r>
      <w:r w:rsidRPr="00505D74">
        <w:rPr>
          <w:szCs w:val="22"/>
        </w:rPr>
        <w:t>.</w:t>
      </w:r>
    </w:p>
    <w:p w:rsidR="008D7564" w:rsidRPr="008D7564" w:rsidRDefault="008D7564" w:rsidP="008D7564">
      <w:pPr>
        <w:rPr>
          <w:szCs w:val="22"/>
        </w:rPr>
      </w:pPr>
    </w:p>
    <w:p w:rsidR="008D7564" w:rsidRPr="009866A5" w:rsidRDefault="008D7564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b/>
          <w:szCs w:val="22"/>
        </w:rPr>
      </w:pPr>
      <w:r w:rsidRPr="009866A5">
        <w:rPr>
          <w:b/>
        </w:rPr>
        <w:t>6.4</w:t>
      </w:r>
      <w:r w:rsidRPr="009866A5">
        <w:tab/>
      </w:r>
      <w:r w:rsidRPr="009866A5">
        <w:rPr>
          <w:b/>
        </w:rPr>
        <w:t>Špeciálne upozornenia na uchovávanie</w:t>
      </w:r>
    </w:p>
    <w:p w:rsidR="0064267A" w:rsidRPr="009866A5" w:rsidRDefault="0064267A" w:rsidP="0064267A">
      <w:pPr>
        <w:ind w:left="567" w:hanging="567"/>
        <w:outlineLvl w:val="0"/>
        <w:rPr>
          <w:szCs w:val="22"/>
        </w:rPr>
      </w:pPr>
    </w:p>
    <w:p w:rsidR="004670AC" w:rsidRPr="00FF3971" w:rsidRDefault="00E63504" w:rsidP="0064267A">
      <w:r w:rsidRPr="009866A5">
        <w:t>Uchovávajte injekčnú liekovku vo vonkajšom obale na ochranu pred svetlom.</w:t>
      </w:r>
    </w:p>
    <w:p w:rsidR="00CE5693" w:rsidRPr="009866A5" w:rsidRDefault="00CE5693" w:rsidP="0064267A">
      <w:pPr>
        <w:rPr>
          <w:szCs w:val="22"/>
        </w:rPr>
      </w:pPr>
    </w:p>
    <w:p w:rsidR="004670AC" w:rsidRPr="009866A5" w:rsidRDefault="00E63504" w:rsidP="0064267A">
      <w:pPr>
        <w:rPr>
          <w:szCs w:val="22"/>
        </w:rPr>
      </w:pPr>
      <w:r w:rsidRPr="009866A5">
        <w:t>Podmienky na uchovávanie po rekonštitúcii lieku, pozri časť 6.3.</w:t>
      </w:r>
    </w:p>
    <w:p w:rsidR="001D0905" w:rsidRPr="009866A5" w:rsidRDefault="001D0905" w:rsidP="0064267A">
      <w:pPr>
        <w:rPr>
          <w:szCs w:val="22"/>
        </w:rPr>
      </w:pPr>
    </w:p>
    <w:p w:rsidR="0064267A" w:rsidRPr="009866A5" w:rsidRDefault="00E63504" w:rsidP="00521E74">
      <w:pPr>
        <w:spacing w:line="240" w:lineRule="auto"/>
        <w:outlineLvl w:val="0"/>
        <w:rPr>
          <w:b/>
          <w:szCs w:val="22"/>
        </w:rPr>
      </w:pPr>
      <w:r w:rsidRPr="009866A5">
        <w:rPr>
          <w:b/>
        </w:rPr>
        <w:t>6.5</w:t>
      </w:r>
      <w:r w:rsidRPr="009866A5">
        <w:tab/>
      </w:r>
      <w:r w:rsidRPr="009866A5">
        <w:rPr>
          <w:b/>
        </w:rPr>
        <w:t>Druh obalu a obsah balenia</w:t>
      </w:r>
    </w:p>
    <w:p w:rsidR="0064267A" w:rsidRPr="009866A5" w:rsidRDefault="0064267A" w:rsidP="0064267A">
      <w:pPr>
        <w:outlineLvl w:val="0"/>
        <w:rPr>
          <w:szCs w:val="22"/>
        </w:rPr>
      </w:pPr>
    </w:p>
    <w:p w:rsidR="00BC4B32" w:rsidRPr="009866A5" w:rsidRDefault="00E63504" w:rsidP="00BC4B32">
      <w:pPr>
        <w:rPr>
          <w:szCs w:val="22"/>
        </w:rPr>
      </w:pPr>
      <w:proofErr w:type="spellStart"/>
      <w:r w:rsidRPr="009866A5">
        <w:t>Mitomycin</w:t>
      </w:r>
      <w:proofErr w:type="spellEnd"/>
      <w:r w:rsidRPr="009866A5">
        <w:t xml:space="preserve"> </w:t>
      </w:r>
      <w:proofErr w:type="spellStart"/>
      <w:r w:rsidRPr="009866A5">
        <w:t>medac</w:t>
      </w:r>
      <w:proofErr w:type="spellEnd"/>
      <w:r w:rsidRPr="009866A5">
        <w:t>, 2 mg:</w:t>
      </w:r>
    </w:p>
    <w:p w:rsidR="00BC4B32" w:rsidRPr="009866A5" w:rsidRDefault="00E63504" w:rsidP="00BC4B32">
      <w:pPr>
        <w:rPr>
          <w:szCs w:val="22"/>
        </w:rPr>
      </w:pPr>
      <w:r w:rsidRPr="009866A5">
        <w:t xml:space="preserve">Balenia s 1, 5 a 10 injekčnými liekovkami objemu 6 ml z priesvitného skla (typ I) s </w:t>
      </w:r>
      <w:proofErr w:type="spellStart"/>
      <w:r w:rsidRPr="009866A5">
        <w:t>brómbutylovou</w:t>
      </w:r>
      <w:proofErr w:type="spellEnd"/>
      <w:r w:rsidRPr="009866A5">
        <w:t xml:space="preserve"> gumovou zátkou potiahnutou </w:t>
      </w:r>
      <w:proofErr w:type="spellStart"/>
      <w:r w:rsidRPr="009866A5">
        <w:t>fluoropolymérom</w:t>
      </w:r>
      <w:proofErr w:type="spellEnd"/>
      <w:r w:rsidRPr="009866A5">
        <w:t xml:space="preserve"> a s hliníkovým odklápacím uzáverom</w:t>
      </w:r>
    </w:p>
    <w:p w:rsidR="00521E74" w:rsidRPr="009866A5" w:rsidRDefault="00521E74" w:rsidP="0064267A">
      <w:pPr>
        <w:rPr>
          <w:szCs w:val="22"/>
        </w:rPr>
      </w:pPr>
    </w:p>
    <w:p w:rsidR="00544BDC" w:rsidRPr="009866A5" w:rsidRDefault="00E63504" w:rsidP="0064267A">
      <w:pPr>
        <w:rPr>
          <w:szCs w:val="22"/>
        </w:rPr>
      </w:pPr>
      <w:proofErr w:type="spellStart"/>
      <w:r w:rsidRPr="009866A5">
        <w:t>Mitomycin</w:t>
      </w:r>
      <w:proofErr w:type="spellEnd"/>
      <w:r w:rsidRPr="009866A5">
        <w:t xml:space="preserve"> </w:t>
      </w:r>
      <w:proofErr w:type="spellStart"/>
      <w:r w:rsidRPr="009866A5">
        <w:t>medac</w:t>
      </w:r>
      <w:proofErr w:type="spellEnd"/>
      <w:r w:rsidRPr="009866A5">
        <w:t>, 10 mg:</w:t>
      </w:r>
    </w:p>
    <w:p w:rsidR="008C0322" w:rsidRPr="009866A5" w:rsidRDefault="00E63504" w:rsidP="00521E74">
      <w:pPr>
        <w:rPr>
          <w:szCs w:val="22"/>
        </w:rPr>
      </w:pPr>
      <w:r w:rsidRPr="009866A5">
        <w:t xml:space="preserve">Balenia s 1, 5 a 10 injekčnými liekovkami objemu 10 ml z priesvitného skla (typ I) s </w:t>
      </w:r>
      <w:proofErr w:type="spellStart"/>
      <w:r w:rsidRPr="009866A5">
        <w:t>brómbutylovou</w:t>
      </w:r>
      <w:proofErr w:type="spellEnd"/>
      <w:r w:rsidRPr="009866A5">
        <w:t xml:space="preserve"> gumovou zátkou potiahnutou </w:t>
      </w:r>
      <w:proofErr w:type="spellStart"/>
      <w:r w:rsidRPr="009866A5">
        <w:t>fluoropolymérom</w:t>
      </w:r>
      <w:proofErr w:type="spellEnd"/>
      <w:r w:rsidRPr="009866A5">
        <w:t xml:space="preserve"> a s hliníkovým odklápacím uzáverom</w:t>
      </w:r>
    </w:p>
    <w:p w:rsidR="00544BDC" w:rsidRPr="009866A5" w:rsidRDefault="00544BDC" w:rsidP="00521E74">
      <w:pPr>
        <w:rPr>
          <w:szCs w:val="22"/>
        </w:rPr>
      </w:pPr>
    </w:p>
    <w:p w:rsidR="00544BDC" w:rsidRPr="009866A5" w:rsidRDefault="00E63504" w:rsidP="00521E74">
      <w:pPr>
        <w:rPr>
          <w:szCs w:val="22"/>
        </w:rPr>
      </w:pPr>
      <w:proofErr w:type="spellStart"/>
      <w:r w:rsidRPr="009866A5">
        <w:t>Mitomycin</w:t>
      </w:r>
      <w:proofErr w:type="spellEnd"/>
      <w:r w:rsidRPr="009866A5">
        <w:t xml:space="preserve"> </w:t>
      </w:r>
      <w:proofErr w:type="spellStart"/>
      <w:r w:rsidRPr="009866A5">
        <w:t>medac</w:t>
      </w:r>
      <w:proofErr w:type="spellEnd"/>
      <w:r w:rsidRPr="009866A5">
        <w:t>, 20 mg:</w:t>
      </w:r>
    </w:p>
    <w:p w:rsidR="00544BDC" w:rsidRPr="009866A5" w:rsidRDefault="00E63504" w:rsidP="00521E74">
      <w:pPr>
        <w:rPr>
          <w:szCs w:val="22"/>
        </w:rPr>
      </w:pPr>
      <w:r w:rsidRPr="009866A5">
        <w:t xml:space="preserve">Balenia s 1, 5 a 10 injekčnými liekovkami objemu 20 ml z priesvitného skla (typ I) s </w:t>
      </w:r>
      <w:proofErr w:type="spellStart"/>
      <w:r w:rsidRPr="009866A5">
        <w:t>brómbutylovou</w:t>
      </w:r>
      <w:proofErr w:type="spellEnd"/>
      <w:r w:rsidRPr="009866A5">
        <w:t xml:space="preserve"> gumovou zátkou potiahnutou </w:t>
      </w:r>
      <w:proofErr w:type="spellStart"/>
      <w:r w:rsidRPr="009866A5">
        <w:t>fluoropolymérom</w:t>
      </w:r>
      <w:proofErr w:type="spellEnd"/>
      <w:r w:rsidRPr="009866A5">
        <w:t xml:space="preserve"> a s hliníkovým odklápacím uzáverom</w:t>
      </w:r>
    </w:p>
    <w:p w:rsidR="0023421F" w:rsidRPr="009866A5" w:rsidRDefault="0023421F" w:rsidP="00521E74">
      <w:pPr>
        <w:rPr>
          <w:szCs w:val="22"/>
        </w:rPr>
      </w:pPr>
    </w:p>
    <w:p w:rsidR="00544BDC" w:rsidRPr="009866A5" w:rsidRDefault="00E63504" w:rsidP="00521E74">
      <w:pPr>
        <w:rPr>
          <w:szCs w:val="22"/>
        </w:rPr>
      </w:pPr>
      <w:proofErr w:type="spellStart"/>
      <w:r w:rsidRPr="009866A5">
        <w:t>Mitomycin</w:t>
      </w:r>
      <w:proofErr w:type="spellEnd"/>
      <w:r w:rsidRPr="009866A5">
        <w:t xml:space="preserve"> </w:t>
      </w:r>
      <w:proofErr w:type="spellStart"/>
      <w:r w:rsidRPr="009866A5">
        <w:t>medac</w:t>
      </w:r>
      <w:proofErr w:type="spellEnd"/>
      <w:r w:rsidRPr="009866A5">
        <w:t>, 40 mg:</w:t>
      </w:r>
    </w:p>
    <w:p w:rsidR="00544BDC" w:rsidRPr="009866A5" w:rsidRDefault="00E63504" w:rsidP="00521E74">
      <w:pPr>
        <w:rPr>
          <w:szCs w:val="22"/>
        </w:rPr>
      </w:pPr>
      <w:r w:rsidRPr="009866A5">
        <w:t xml:space="preserve">Balenia s 1, 5 a 10 injekčnými liekovkami objemu 50 ml z priesvitného skla (typ I) s </w:t>
      </w:r>
      <w:proofErr w:type="spellStart"/>
      <w:r w:rsidRPr="009866A5">
        <w:t>brómbutylovou</w:t>
      </w:r>
      <w:proofErr w:type="spellEnd"/>
      <w:r w:rsidRPr="009866A5">
        <w:t xml:space="preserve"> gumovou zátkou potiahnutou </w:t>
      </w:r>
      <w:proofErr w:type="spellStart"/>
      <w:r w:rsidRPr="009866A5">
        <w:t>fluoropolymérom</w:t>
      </w:r>
      <w:proofErr w:type="spellEnd"/>
      <w:r w:rsidRPr="009866A5">
        <w:t xml:space="preserve"> a s hliníkovým odklápacím uzáverom</w:t>
      </w:r>
    </w:p>
    <w:p w:rsidR="00544BDC" w:rsidRPr="009866A5" w:rsidRDefault="00544BDC" w:rsidP="00521E74">
      <w:pPr>
        <w:rPr>
          <w:szCs w:val="22"/>
        </w:rPr>
      </w:pPr>
    </w:p>
    <w:p w:rsidR="004670AC" w:rsidRPr="009866A5" w:rsidRDefault="00E63504" w:rsidP="00521E74">
      <w:pPr>
        <w:rPr>
          <w:szCs w:val="22"/>
        </w:rPr>
      </w:pPr>
      <w:r w:rsidRPr="009866A5">
        <w:t>Na trh nemusia byť uvedené všetky veľkosti balenia.</w:t>
      </w:r>
    </w:p>
    <w:p w:rsidR="001D0905" w:rsidRPr="009866A5" w:rsidRDefault="001D0905" w:rsidP="0064267A">
      <w:pPr>
        <w:rPr>
          <w:szCs w:val="22"/>
        </w:rPr>
      </w:pPr>
    </w:p>
    <w:p w:rsidR="0064267A" w:rsidRPr="009866A5" w:rsidRDefault="00E63504" w:rsidP="001F44D4">
      <w:pPr>
        <w:ind w:left="567" w:hanging="567"/>
        <w:outlineLvl w:val="0"/>
        <w:rPr>
          <w:szCs w:val="22"/>
        </w:rPr>
      </w:pPr>
      <w:r w:rsidRPr="009866A5">
        <w:rPr>
          <w:b/>
        </w:rPr>
        <w:t>6.6</w:t>
      </w:r>
      <w:r w:rsidRPr="009866A5">
        <w:tab/>
      </w:r>
      <w:r w:rsidRPr="009866A5">
        <w:rPr>
          <w:b/>
        </w:rPr>
        <w:t>Špeciálne opatrenia na likvidáciu a iné zaobchádzanie s liekom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1F44D4">
      <w:pPr>
        <w:rPr>
          <w:i/>
          <w:szCs w:val="22"/>
        </w:rPr>
      </w:pPr>
      <w:r w:rsidRPr="009866A5">
        <w:rPr>
          <w:i/>
        </w:rPr>
        <w:t xml:space="preserve">Rekonštitúcia injekčného alebo </w:t>
      </w:r>
      <w:proofErr w:type="spellStart"/>
      <w:r w:rsidRPr="009866A5">
        <w:rPr>
          <w:i/>
        </w:rPr>
        <w:t>infúzneho</w:t>
      </w:r>
      <w:proofErr w:type="spellEnd"/>
      <w:r w:rsidRPr="009866A5">
        <w:rPr>
          <w:i/>
        </w:rPr>
        <w:t xml:space="preserve"> roztoku pripraveného na použitie</w:t>
      </w:r>
    </w:p>
    <w:p w:rsidR="00FE47B6" w:rsidRPr="009866A5" w:rsidRDefault="00FE47B6" w:rsidP="001F44D4">
      <w:pPr>
        <w:rPr>
          <w:iCs/>
          <w:szCs w:val="22"/>
        </w:rPr>
      </w:pPr>
    </w:p>
    <w:p w:rsidR="008B0CE5" w:rsidRPr="009866A5" w:rsidRDefault="00E63504" w:rsidP="008B0CE5">
      <w:pPr>
        <w:rPr>
          <w:iCs/>
          <w:szCs w:val="22"/>
        </w:rPr>
      </w:pPr>
      <w:proofErr w:type="spellStart"/>
      <w:r w:rsidRPr="009866A5">
        <w:t>Mitomycín</w:t>
      </w:r>
      <w:proofErr w:type="spellEnd"/>
      <w:r w:rsidRPr="009866A5">
        <w:t xml:space="preserve"> 2 mg:</w:t>
      </w:r>
    </w:p>
    <w:p w:rsidR="006725A9" w:rsidRDefault="006725A9" w:rsidP="008B0CE5"/>
    <w:p w:rsidR="008B0CE5" w:rsidRPr="009866A5" w:rsidRDefault="00E63504" w:rsidP="008B0CE5">
      <w:pPr>
        <w:rPr>
          <w:iCs/>
          <w:szCs w:val="22"/>
        </w:rPr>
      </w:pPr>
      <w:r w:rsidRPr="009866A5">
        <w:t xml:space="preserve">Rozpusťte obsah jednej injekčnej liekovky </w:t>
      </w:r>
      <w:proofErr w:type="spellStart"/>
      <w:r w:rsidRPr="009866A5">
        <w:t>Mitomycin</w:t>
      </w:r>
      <w:proofErr w:type="spellEnd"/>
      <w:r w:rsidRPr="009866A5">
        <w:t xml:space="preserve"> </w:t>
      </w:r>
      <w:proofErr w:type="spellStart"/>
      <w:r w:rsidRPr="009866A5">
        <w:t>medac</w:t>
      </w:r>
      <w:proofErr w:type="spellEnd"/>
      <w:r w:rsidRPr="009866A5">
        <w:t xml:space="preserve"> s obsahom 2 mg v 2 ml vody na injekciu prevracaním injekčnej liekovky.</w:t>
      </w:r>
    </w:p>
    <w:p w:rsidR="00C10A7B" w:rsidRDefault="00C10A7B" w:rsidP="008B0CE5"/>
    <w:p w:rsidR="008B0CE5" w:rsidRPr="009866A5" w:rsidRDefault="00E63504" w:rsidP="008B0CE5">
      <w:pPr>
        <w:rPr>
          <w:iCs/>
          <w:szCs w:val="22"/>
        </w:rPr>
      </w:pPr>
      <w:r w:rsidRPr="009866A5">
        <w:t xml:space="preserve">Ak sa prášok nerozpustí okamžite, nechajte injekčnú liekovku stáť </w:t>
      </w:r>
      <w:r w:rsidR="00B01503">
        <w:t>pri</w:t>
      </w:r>
      <w:r w:rsidRPr="009866A5">
        <w:t xml:space="preserve"> izbovej teplote až kým sa prášok úplne nerozpustí. Obsah injekčnej liekovky sa musí rozpustiť a vytvoriť modrofialový číry roztok do 2 minút.</w:t>
      </w:r>
    </w:p>
    <w:p w:rsidR="008B0CE5" w:rsidRPr="009866A5" w:rsidRDefault="008B0CE5" w:rsidP="001F44D4">
      <w:pPr>
        <w:rPr>
          <w:iCs/>
          <w:szCs w:val="22"/>
        </w:rPr>
      </w:pPr>
    </w:p>
    <w:p w:rsidR="00C941D2" w:rsidRPr="009866A5" w:rsidRDefault="00E63504" w:rsidP="00C941D2">
      <w:pPr>
        <w:rPr>
          <w:iCs/>
          <w:szCs w:val="22"/>
        </w:rPr>
      </w:pPr>
      <w:proofErr w:type="spellStart"/>
      <w:r w:rsidRPr="009866A5">
        <w:t>Mitomycín</w:t>
      </w:r>
      <w:proofErr w:type="spellEnd"/>
      <w:r w:rsidRPr="009866A5">
        <w:t xml:space="preserve"> 10 mg:</w:t>
      </w:r>
    </w:p>
    <w:p w:rsidR="00C941D2" w:rsidRPr="009866A5" w:rsidRDefault="00E63504" w:rsidP="00C941D2">
      <w:pPr>
        <w:rPr>
          <w:iCs/>
          <w:szCs w:val="22"/>
        </w:rPr>
      </w:pPr>
      <w:r w:rsidRPr="009866A5">
        <w:t xml:space="preserve">Rozpusťte obsah jednej injekčnej liekovky </w:t>
      </w:r>
      <w:proofErr w:type="spellStart"/>
      <w:r w:rsidRPr="009866A5">
        <w:t>Mitomycin</w:t>
      </w:r>
      <w:proofErr w:type="spellEnd"/>
      <w:r w:rsidRPr="009866A5">
        <w:t xml:space="preserve"> </w:t>
      </w:r>
      <w:proofErr w:type="spellStart"/>
      <w:r w:rsidRPr="009866A5">
        <w:t>medac</w:t>
      </w:r>
      <w:proofErr w:type="spellEnd"/>
      <w:r w:rsidRPr="009866A5">
        <w:t xml:space="preserve"> s obsahom 10 mg v 10 ml vody na injekciu prevracaním injekčnej liekovky.</w:t>
      </w:r>
    </w:p>
    <w:p w:rsidR="00C941D2" w:rsidRPr="009866A5" w:rsidRDefault="00E63504" w:rsidP="00C941D2">
      <w:pPr>
        <w:rPr>
          <w:iCs/>
          <w:szCs w:val="22"/>
        </w:rPr>
      </w:pPr>
      <w:r w:rsidRPr="009866A5">
        <w:t xml:space="preserve">Ak sa prášok nerozpustí okamžite, nechajte injekčnú liekovku stáť </w:t>
      </w:r>
      <w:r w:rsidR="00B01503">
        <w:t>pri</w:t>
      </w:r>
      <w:r w:rsidRPr="009866A5">
        <w:t xml:space="preserve"> izbovej teplote až kým sa prášok úplne nerozpustí. Obsah injekčnej liekovky sa musí rozpustiť a vytvoriť modrofialový číry roztok do 2 minút.</w:t>
      </w:r>
    </w:p>
    <w:p w:rsidR="00C941D2" w:rsidRPr="009866A5" w:rsidRDefault="00C941D2" w:rsidP="001F44D4">
      <w:pPr>
        <w:rPr>
          <w:iCs/>
          <w:szCs w:val="22"/>
        </w:rPr>
      </w:pPr>
    </w:p>
    <w:p w:rsidR="00FE47B6" w:rsidRPr="009866A5" w:rsidRDefault="00E63504" w:rsidP="001F44D4">
      <w:pPr>
        <w:rPr>
          <w:iCs/>
          <w:szCs w:val="22"/>
        </w:rPr>
      </w:pPr>
      <w:proofErr w:type="spellStart"/>
      <w:r w:rsidRPr="009866A5">
        <w:t>Mitomycín</w:t>
      </w:r>
      <w:proofErr w:type="spellEnd"/>
      <w:r w:rsidRPr="009866A5">
        <w:t xml:space="preserve"> 20 mg:</w:t>
      </w:r>
    </w:p>
    <w:p w:rsidR="00521E74" w:rsidRPr="009866A5" w:rsidRDefault="00E63504" w:rsidP="001F44D4">
      <w:pPr>
        <w:rPr>
          <w:iCs/>
          <w:szCs w:val="22"/>
        </w:rPr>
      </w:pPr>
      <w:r w:rsidRPr="009866A5">
        <w:t xml:space="preserve">Rozpusťte obsah jednej injekčnej liekovky </w:t>
      </w:r>
      <w:proofErr w:type="spellStart"/>
      <w:r w:rsidRPr="009866A5">
        <w:t>Mitomycin</w:t>
      </w:r>
      <w:proofErr w:type="spellEnd"/>
      <w:r w:rsidRPr="009866A5">
        <w:t xml:space="preserve"> </w:t>
      </w:r>
      <w:proofErr w:type="spellStart"/>
      <w:r w:rsidRPr="009866A5">
        <w:t>medac</w:t>
      </w:r>
      <w:proofErr w:type="spellEnd"/>
      <w:r w:rsidRPr="009866A5">
        <w:t xml:space="preserve"> s obsahom 20 mg v 20 ml vody na injekciu prevracaním injekčnej liekovky.</w:t>
      </w:r>
    </w:p>
    <w:p w:rsidR="00521E74" w:rsidRPr="009866A5" w:rsidRDefault="00E63504" w:rsidP="001F44D4">
      <w:pPr>
        <w:rPr>
          <w:iCs/>
          <w:szCs w:val="22"/>
        </w:rPr>
      </w:pPr>
      <w:r w:rsidRPr="009866A5">
        <w:t xml:space="preserve">Ak sa prášok nerozpustí okamžite, nechajte injekčnú liekovku stáť </w:t>
      </w:r>
      <w:r w:rsidR="00B01503">
        <w:t>pri</w:t>
      </w:r>
      <w:r w:rsidRPr="009866A5">
        <w:t xml:space="preserve"> izbovej teplote až kým sa prášok úplne nerozpustí. Obsah injekčnej liekovky sa musí rozpustiť a vytvoriť modrofialový číry roztok do 2 minút.</w:t>
      </w:r>
    </w:p>
    <w:p w:rsidR="00521E74" w:rsidRPr="009866A5" w:rsidRDefault="00521E74" w:rsidP="00521E74">
      <w:pPr>
        <w:rPr>
          <w:iCs/>
          <w:szCs w:val="22"/>
        </w:rPr>
      </w:pPr>
    </w:p>
    <w:p w:rsidR="00521E74" w:rsidRPr="009866A5" w:rsidRDefault="00E63504" w:rsidP="001F44D4">
      <w:pPr>
        <w:rPr>
          <w:i/>
          <w:szCs w:val="22"/>
        </w:rPr>
      </w:pPr>
      <w:r w:rsidRPr="009866A5">
        <w:rPr>
          <w:i/>
        </w:rPr>
        <w:t xml:space="preserve">Rekonštitúcia roztoku na </w:t>
      </w:r>
      <w:proofErr w:type="spellStart"/>
      <w:r w:rsidRPr="009866A5">
        <w:rPr>
          <w:i/>
        </w:rPr>
        <w:t>intravezikálne</w:t>
      </w:r>
      <w:proofErr w:type="spellEnd"/>
      <w:r w:rsidRPr="009866A5">
        <w:rPr>
          <w:i/>
        </w:rPr>
        <w:t xml:space="preserve"> použitie pripraveného na použitie </w:t>
      </w:r>
    </w:p>
    <w:p w:rsidR="008B0CE5" w:rsidRPr="009866A5" w:rsidRDefault="008B0CE5" w:rsidP="001F44D4">
      <w:pPr>
        <w:rPr>
          <w:i/>
          <w:szCs w:val="22"/>
        </w:rPr>
      </w:pPr>
    </w:p>
    <w:p w:rsidR="00C941D2" w:rsidRPr="009866A5" w:rsidRDefault="00E63504" w:rsidP="00C941D2">
      <w:pPr>
        <w:rPr>
          <w:i/>
          <w:szCs w:val="22"/>
        </w:rPr>
      </w:pPr>
      <w:proofErr w:type="spellStart"/>
      <w:r w:rsidRPr="009866A5">
        <w:t>Mitomycín</w:t>
      </w:r>
      <w:proofErr w:type="spellEnd"/>
      <w:r w:rsidRPr="009866A5">
        <w:t xml:space="preserve"> 2 mg:</w:t>
      </w:r>
    </w:p>
    <w:p w:rsidR="00C941D2" w:rsidRPr="009866A5" w:rsidRDefault="00E63504" w:rsidP="00C941D2">
      <w:pPr>
        <w:rPr>
          <w:iCs/>
          <w:szCs w:val="22"/>
        </w:rPr>
      </w:pPr>
      <w:r w:rsidRPr="009866A5">
        <w:t xml:space="preserve">Rozpusťte obsah 10 – 20 injekčných liekoviek </w:t>
      </w:r>
      <w:proofErr w:type="spellStart"/>
      <w:r w:rsidRPr="009866A5">
        <w:t>Mitomycin</w:t>
      </w:r>
      <w:proofErr w:type="spellEnd"/>
      <w:r w:rsidRPr="009866A5">
        <w:t xml:space="preserve"> </w:t>
      </w:r>
      <w:proofErr w:type="spellStart"/>
      <w:r w:rsidRPr="009866A5">
        <w:t>medac</w:t>
      </w:r>
      <w:proofErr w:type="spellEnd"/>
      <w:r w:rsidRPr="009866A5">
        <w:t>, 2 mg (zodpovedajúce 20 </w:t>
      </w:r>
      <w:r w:rsidRPr="009866A5">
        <w:noBreakHyphen/>
        <w:t xml:space="preserve"> 40 mg </w:t>
      </w:r>
      <w:proofErr w:type="spellStart"/>
      <w:r w:rsidRPr="009866A5">
        <w:t>mitomycínu</w:t>
      </w:r>
      <w:proofErr w:type="spellEnd"/>
      <w:r w:rsidRPr="009866A5">
        <w:t>) v 20 </w:t>
      </w:r>
      <w:r w:rsidRPr="009866A5">
        <w:noBreakHyphen/>
        <w:t> 40 ml sterilného 0,9 % roztoku chloridu sodného. Obsah injekčnej liekovky sa musí rozpustiť a vytvoriť modrofialový číry roztok do 2 minút.</w:t>
      </w:r>
    </w:p>
    <w:p w:rsidR="00C941D2" w:rsidRPr="009866A5" w:rsidRDefault="00C941D2" w:rsidP="001F44D4">
      <w:pPr>
        <w:rPr>
          <w:i/>
          <w:szCs w:val="22"/>
        </w:rPr>
      </w:pPr>
    </w:p>
    <w:p w:rsidR="007B3C14" w:rsidRPr="009866A5" w:rsidRDefault="00E63504" w:rsidP="007B3C14">
      <w:pPr>
        <w:rPr>
          <w:i/>
          <w:szCs w:val="22"/>
        </w:rPr>
      </w:pPr>
      <w:proofErr w:type="spellStart"/>
      <w:r w:rsidRPr="009866A5">
        <w:t>Mitomycín</w:t>
      </w:r>
      <w:proofErr w:type="spellEnd"/>
      <w:r w:rsidRPr="009866A5">
        <w:t xml:space="preserve"> 10 mg:</w:t>
      </w:r>
    </w:p>
    <w:p w:rsidR="007B3C14" w:rsidRPr="009866A5" w:rsidRDefault="00E63504" w:rsidP="007B3C14">
      <w:pPr>
        <w:rPr>
          <w:iCs/>
          <w:szCs w:val="22"/>
        </w:rPr>
      </w:pPr>
      <w:r w:rsidRPr="009866A5">
        <w:t xml:space="preserve">Rozpusťte obsah 2 – 4 injekčných liekoviek </w:t>
      </w:r>
      <w:proofErr w:type="spellStart"/>
      <w:r w:rsidRPr="009866A5">
        <w:t>Mitomycin</w:t>
      </w:r>
      <w:proofErr w:type="spellEnd"/>
      <w:r w:rsidRPr="009866A5">
        <w:t xml:space="preserve"> </w:t>
      </w:r>
      <w:proofErr w:type="spellStart"/>
      <w:r w:rsidRPr="009866A5">
        <w:t>medac</w:t>
      </w:r>
      <w:proofErr w:type="spellEnd"/>
      <w:r w:rsidRPr="009866A5">
        <w:t>, 10 mg (zodpovedajúce 20 </w:t>
      </w:r>
      <w:r w:rsidRPr="009866A5">
        <w:noBreakHyphen/>
        <w:t xml:space="preserve"> 40 mg </w:t>
      </w:r>
      <w:proofErr w:type="spellStart"/>
      <w:r w:rsidRPr="009866A5">
        <w:t>mitomycínu</w:t>
      </w:r>
      <w:proofErr w:type="spellEnd"/>
      <w:r w:rsidRPr="009866A5">
        <w:t>) v 20 </w:t>
      </w:r>
      <w:r w:rsidRPr="009866A5">
        <w:noBreakHyphen/>
        <w:t> 40 ml sterilného 0,9 % roztoku chloridu sodného. Obsah injekčnej liekovky sa musí rozpustiť a vytvoriť modrofialový číry roztok do 2 minút.</w:t>
      </w:r>
    </w:p>
    <w:p w:rsidR="00C941D2" w:rsidRPr="009866A5" w:rsidRDefault="00C941D2" w:rsidP="001F44D4">
      <w:pPr>
        <w:rPr>
          <w:i/>
          <w:szCs w:val="22"/>
        </w:rPr>
      </w:pPr>
    </w:p>
    <w:p w:rsidR="008B0CE5" w:rsidRPr="009866A5" w:rsidRDefault="00E63504" w:rsidP="001F44D4">
      <w:pPr>
        <w:rPr>
          <w:i/>
          <w:szCs w:val="22"/>
        </w:rPr>
      </w:pPr>
      <w:proofErr w:type="spellStart"/>
      <w:r w:rsidRPr="009866A5">
        <w:t>Mitomycín</w:t>
      </w:r>
      <w:proofErr w:type="spellEnd"/>
      <w:r w:rsidRPr="009866A5">
        <w:t xml:space="preserve"> 20 mg:</w:t>
      </w:r>
    </w:p>
    <w:p w:rsidR="00331D03" w:rsidRPr="009866A5" w:rsidRDefault="00E63504" w:rsidP="001F44D4">
      <w:pPr>
        <w:rPr>
          <w:iCs/>
          <w:szCs w:val="22"/>
        </w:rPr>
      </w:pPr>
      <w:r w:rsidRPr="009866A5">
        <w:t xml:space="preserve">Rozpusťte obsah 1 – 2 injekčných liekoviek </w:t>
      </w:r>
      <w:proofErr w:type="spellStart"/>
      <w:r w:rsidRPr="009866A5">
        <w:t>Mitomycin</w:t>
      </w:r>
      <w:proofErr w:type="spellEnd"/>
      <w:r w:rsidRPr="009866A5">
        <w:t xml:space="preserve"> </w:t>
      </w:r>
      <w:proofErr w:type="spellStart"/>
      <w:r w:rsidRPr="009866A5">
        <w:t>medac</w:t>
      </w:r>
      <w:proofErr w:type="spellEnd"/>
      <w:r w:rsidRPr="009866A5">
        <w:t>, 20 mg (zodpovedajúce 20 </w:t>
      </w:r>
      <w:r w:rsidRPr="009866A5">
        <w:noBreakHyphen/>
        <w:t xml:space="preserve"> 40 mg </w:t>
      </w:r>
      <w:proofErr w:type="spellStart"/>
      <w:r w:rsidRPr="009866A5">
        <w:t>mitomycínu</w:t>
      </w:r>
      <w:proofErr w:type="spellEnd"/>
      <w:r w:rsidRPr="009866A5">
        <w:t>) v 20 </w:t>
      </w:r>
      <w:r w:rsidRPr="009866A5">
        <w:noBreakHyphen/>
        <w:t> 40 ml sterilného 0,9 % roztoku chloridu sodného. Obsah injekčnej liekovky sa musí rozpustiť a vytvoriť modrofialový číry roztok do 2 minút.</w:t>
      </w:r>
    </w:p>
    <w:p w:rsidR="00C941D2" w:rsidRPr="009866A5" w:rsidRDefault="00C941D2" w:rsidP="001F44D4">
      <w:pPr>
        <w:rPr>
          <w:iCs/>
          <w:szCs w:val="22"/>
        </w:rPr>
      </w:pPr>
    </w:p>
    <w:p w:rsidR="00C941D2" w:rsidRPr="009866A5" w:rsidRDefault="00E63504" w:rsidP="00C941D2">
      <w:pPr>
        <w:rPr>
          <w:i/>
          <w:szCs w:val="22"/>
        </w:rPr>
      </w:pPr>
      <w:proofErr w:type="spellStart"/>
      <w:r w:rsidRPr="009866A5">
        <w:t>Mitomycín</w:t>
      </w:r>
      <w:proofErr w:type="spellEnd"/>
      <w:r w:rsidRPr="009866A5">
        <w:t xml:space="preserve"> 40 mg:</w:t>
      </w:r>
    </w:p>
    <w:p w:rsidR="00C941D2" w:rsidRPr="009866A5" w:rsidRDefault="00E63504" w:rsidP="00C941D2">
      <w:pPr>
        <w:rPr>
          <w:iCs/>
          <w:szCs w:val="22"/>
        </w:rPr>
      </w:pPr>
      <w:r w:rsidRPr="009866A5">
        <w:t xml:space="preserve">Rozpusťte obsah jednej injekčnej liekovky </w:t>
      </w:r>
      <w:proofErr w:type="spellStart"/>
      <w:r w:rsidRPr="009866A5">
        <w:t>Mitomycin</w:t>
      </w:r>
      <w:proofErr w:type="spellEnd"/>
      <w:r w:rsidRPr="009866A5">
        <w:t xml:space="preserve"> </w:t>
      </w:r>
      <w:proofErr w:type="spellStart"/>
      <w:r w:rsidRPr="009866A5">
        <w:t>medac</w:t>
      </w:r>
      <w:proofErr w:type="spellEnd"/>
      <w:r w:rsidRPr="009866A5">
        <w:t xml:space="preserve">, 40 mg (zodpovedajúce 40 mg </w:t>
      </w:r>
      <w:proofErr w:type="spellStart"/>
      <w:r w:rsidRPr="009866A5">
        <w:t>mitomycínu</w:t>
      </w:r>
      <w:proofErr w:type="spellEnd"/>
      <w:r w:rsidRPr="009866A5">
        <w:t>) v 40 ml sterilného 0,9 % roztoku chloridu sodného. Obsah injekčnej liekovky sa musí rozpustiť a vytvoriť modrofialový číry roztok do 2 minút.</w:t>
      </w:r>
    </w:p>
    <w:p w:rsidR="00AC19B2" w:rsidRPr="009866A5" w:rsidRDefault="00AC19B2" w:rsidP="001F44D4">
      <w:pPr>
        <w:rPr>
          <w:iCs/>
          <w:szCs w:val="22"/>
        </w:rPr>
      </w:pPr>
    </w:p>
    <w:p w:rsidR="00331D03" w:rsidRPr="009866A5" w:rsidRDefault="00E63504" w:rsidP="00521E74">
      <w:pPr>
        <w:rPr>
          <w:iCs/>
          <w:szCs w:val="22"/>
        </w:rPr>
      </w:pPr>
      <w:r w:rsidRPr="009866A5">
        <w:t>Môžu sa použiť iba číre roztoky.</w:t>
      </w:r>
    </w:p>
    <w:p w:rsidR="001A7ED2" w:rsidRPr="009866A5" w:rsidRDefault="00E63504" w:rsidP="007E546C">
      <w:pPr>
        <w:rPr>
          <w:iCs/>
          <w:szCs w:val="22"/>
        </w:rPr>
      </w:pPr>
      <w:r w:rsidRPr="009866A5">
        <w:t>Obsah injekčných liekoviek je určený iba na jedno použitie/jeden vstup.</w:t>
      </w:r>
    </w:p>
    <w:p w:rsidR="00331D03" w:rsidRPr="009866A5" w:rsidRDefault="00E63504" w:rsidP="007E546C">
      <w:pPr>
        <w:rPr>
          <w:iCs/>
          <w:szCs w:val="22"/>
        </w:rPr>
      </w:pPr>
      <w:r w:rsidRPr="009866A5">
        <w:t>Nepoužitý roztok sa musí zlikvidovať.</w:t>
      </w:r>
    </w:p>
    <w:p w:rsidR="00331D03" w:rsidRPr="009866A5" w:rsidRDefault="00E63504" w:rsidP="007E546C">
      <w:pPr>
        <w:rPr>
          <w:iCs/>
          <w:szCs w:val="22"/>
        </w:rPr>
      </w:pPr>
      <w:r w:rsidRPr="009866A5">
        <w:t>Chráňte rekonštituovaný roztok pred svetlom.</w:t>
      </w:r>
    </w:p>
    <w:p w:rsidR="0064267A" w:rsidRPr="009866A5" w:rsidRDefault="0064267A" w:rsidP="0064267A">
      <w:pPr>
        <w:rPr>
          <w:i/>
          <w:szCs w:val="22"/>
        </w:rPr>
      </w:pPr>
    </w:p>
    <w:p w:rsidR="00331D03" w:rsidRPr="00FF3971" w:rsidRDefault="00E63504" w:rsidP="005635D0">
      <w:pPr>
        <w:rPr>
          <w:szCs w:val="22"/>
        </w:rPr>
      </w:pPr>
      <w:proofErr w:type="spellStart"/>
      <w:r w:rsidRPr="009866A5">
        <w:t>Mitomycin</w:t>
      </w:r>
      <w:proofErr w:type="spellEnd"/>
      <w:r w:rsidRPr="009866A5">
        <w:t xml:space="preserve"> </w:t>
      </w:r>
      <w:proofErr w:type="spellStart"/>
      <w:r w:rsidRPr="009866A5">
        <w:t>medac</w:t>
      </w:r>
      <w:proofErr w:type="spellEnd"/>
      <w:r w:rsidRPr="009866A5">
        <w:t xml:space="preserve"> sa nesmie používať v zmiešaných injekciách. Iné injekčné alebo </w:t>
      </w:r>
      <w:proofErr w:type="spellStart"/>
      <w:r w:rsidRPr="009866A5">
        <w:t>infúzne</w:t>
      </w:r>
      <w:proofErr w:type="spellEnd"/>
      <w:r w:rsidRPr="009866A5">
        <w:t xml:space="preserve"> roztoky sa musia podávať osobitne.</w:t>
      </w:r>
    </w:p>
    <w:p w:rsidR="006725A9" w:rsidRDefault="006725A9" w:rsidP="0064267A"/>
    <w:p w:rsidR="0064267A" w:rsidRPr="00FF3971" w:rsidRDefault="00217420" w:rsidP="0064267A">
      <w:pPr>
        <w:rPr>
          <w:szCs w:val="22"/>
        </w:rPr>
      </w:pPr>
      <w:r>
        <w:t xml:space="preserve">V relevantných prípadoch, pri </w:t>
      </w:r>
      <w:proofErr w:type="spellStart"/>
      <w:r>
        <w:t>intravaskulárnej</w:t>
      </w:r>
      <w:proofErr w:type="spellEnd"/>
      <w:r>
        <w:t xml:space="preserve"> injekcii, treba dávať pozor aby nedošlo k </w:t>
      </w:r>
      <w:proofErr w:type="spellStart"/>
      <w:r>
        <w:t>extravazácii</w:t>
      </w:r>
      <w:proofErr w:type="spellEnd"/>
      <w:r>
        <w:t>.</w:t>
      </w:r>
    </w:p>
    <w:p w:rsidR="006725A9" w:rsidRDefault="006725A9" w:rsidP="0064267A"/>
    <w:p w:rsidR="0064267A" w:rsidRPr="00FF3971" w:rsidRDefault="00E63504" w:rsidP="0064267A">
      <w:pPr>
        <w:rPr>
          <w:szCs w:val="22"/>
        </w:rPr>
      </w:pPr>
      <w:bookmarkStart w:id="0" w:name="_GoBack"/>
      <w:bookmarkEnd w:id="0"/>
      <w:r w:rsidRPr="009866A5">
        <w:t>Nepoužitý liek alebo odpad vzniknutý z lieku treba vrátiť do lekárne.</w:t>
      </w:r>
    </w:p>
    <w:p w:rsidR="004A614F" w:rsidRPr="009866A5" w:rsidRDefault="004A614F" w:rsidP="0064267A">
      <w:pPr>
        <w:rPr>
          <w:szCs w:val="22"/>
        </w:rPr>
      </w:pPr>
    </w:p>
    <w:p w:rsidR="00C10A7B" w:rsidRDefault="00C10A7B" w:rsidP="006725A9">
      <w:pPr>
        <w:rPr>
          <w:b/>
        </w:rPr>
      </w:pPr>
    </w:p>
    <w:p w:rsidR="0064267A" w:rsidRPr="009866A5" w:rsidRDefault="00E63504" w:rsidP="0064267A">
      <w:pPr>
        <w:ind w:left="567" w:hanging="567"/>
        <w:rPr>
          <w:szCs w:val="22"/>
        </w:rPr>
      </w:pPr>
      <w:r w:rsidRPr="009866A5">
        <w:rPr>
          <w:b/>
        </w:rPr>
        <w:t>7.</w:t>
      </w:r>
      <w:r w:rsidRPr="009866A5">
        <w:tab/>
      </w:r>
      <w:r w:rsidRPr="009866A5">
        <w:rPr>
          <w:b/>
        </w:rPr>
        <w:t>DRŽITEĽ ROZHODNUTIA O REGISTRÁCII</w:t>
      </w:r>
    </w:p>
    <w:p w:rsidR="001A7ED2" w:rsidRPr="009866A5" w:rsidRDefault="001A7ED2" w:rsidP="0064267A">
      <w:pPr>
        <w:rPr>
          <w:szCs w:val="22"/>
        </w:rPr>
      </w:pPr>
    </w:p>
    <w:p w:rsidR="00FD33FD" w:rsidRPr="00FF3971" w:rsidRDefault="00E63504" w:rsidP="00FD33FD">
      <w:pPr>
        <w:pStyle w:val="Default"/>
        <w:rPr>
          <w:sz w:val="22"/>
          <w:szCs w:val="22"/>
          <w:lang w:val="sk-SK"/>
        </w:rPr>
      </w:pPr>
      <w:proofErr w:type="spellStart"/>
      <w:r w:rsidRPr="009866A5">
        <w:rPr>
          <w:sz w:val="22"/>
          <w:szCs w:val="22"/>
          <w:lang w:val="sk-SK"/>
        </w:rPr>
        <w:t>medac</w:t>
      </w:r>
      <w:proofErr w:type="spellEnd"/>
      <w:r w:rsidRPr="009866A5">
        <w:rPr>
          <w:sz w:val="22"/>
          <w:szCs w:val="22"/>
          <w:lang w:val="sk-SK"/>
        </w:rPr>
        <w:t xml:space="preserve"> </w:t>
      </w:r>
      <w:proofErr w:type="spellStart"/>
      <w:r w:rsidRPr="009866A5">
        <w:rPr>
          <w:sz w:val="22"/>
          <w:szCs w:val="22"/>
          <w:lang w:val="sk-SK"/>
        </w:rPr>
        <w:t>Gesellschaft</w:t>
      </w:r>
      <w:proofErr w:type="spellEnd"/>
      <w:r w:rsidRPr="009866A5">
        <w:rPr>
          <w:sz w:val="22"/>
          <w:szCs w:val="22"/>
          <w:lang w:val="sk-SK"/>
        </w:rPr>
        <w:t xml:space="preserve"> </w:t>
      </w:r>
      <w:proofErr w:type="spellStart"/>
      <w:r w:rsidRPr="009866A5">
        <w:rPr>
          <w:sz w:val="22"/>
          <w:szCs w:val="22"/>
          <w:lang w:val="sk-SK"/>
        </w:rPr>
        <w:t>für</w:t>
      </w:r>
      <w:proofErr w:type="spellEnd"/>
      <w:r w:rsidRPr="009866A5">
        <w:rPr>
          <w:sz w:val="22"/>
          <w:szCs w:val="22"/>
          <w:lang w:val="sk-SK"/>
        </w:rPr>
        <w:t xml:space="preserve"> </w:t>
      </w:r>
      <w:proofErr w:type="spellStart"/>
      <w:r w:rsidRPr="009866A5">
        <w:rPr>
          <w:sz w:val="22"/>
          <w:szCs w:val="22"/>
          <w:lang w:val="sk-SK"/>
        </w:rPr>
        <w:t>klinische</w:t>
      </w:r>
      <w:proofErr w:type="spellEnd"/>
      <w:r w:rsidRPr="009866A5">
        <w:rPr>
          <w:sz w:val="22"/>
          <w:szCs w:val="22"/>
          <w:lang w:val="sk-SK"/>
        </w:rPr>
        <w:t xml:space="preserve"> </w:t>
      </w:r>
      <w:proofErr w:type="spellStart"/>
      <w:r w:rsidRPr="009866A5">
        <w:rPr>
          <w:sz w:val="22"/>
          <w:szCs w:val="22"/>
          <w:lang w:val="sk-SK"/>
        </w:rPr>
        <w:t>Spezialpräparate</w:t>
      </w:r>
      <w:proofErr w:type="spellEnd"/>
      <w:r w:rsidRPr="009866A5">
        <w:rPr>
          <w:sz w:val="22"/>
          <w:szCs w:val="22"/>
          <w:lang w:val="sk-SK"/>
        </w:rPr>
        <w:t xml:space="preserve"> </w:t>
      </w:r>
      <w:proofErr w:type="spellStart"/>
      <w:r w:rsidRPr="009866A5">
        <w:rPr>
          <w:sz w:val="22"/>
          <w:szCs w:val="22"/>
          <w:lang w:val="sk-SK"/>
        </w:rPr>
        <w:t>mbH</w:t>
      </w:r>
      <w:proofErr w:type="spellEnd"/>
    </w:p>
    <w:p w:rsidR="00FD33FD" w:rsidRPr="00FF3971" w:rsidRDefault="00E63504" w:rsidP="00FD33FD">
      <w:pPr>
        <w:pStyle w:val="Default"/>
        <w:rPr>
          <w:sz w:val="22"/>
          <w:szCs w:val="22"/>
          <w:lang w:val="sk-SK"/>
        </w:rPr>
      </w:pPr>
      <w:proofErr w:type="spellStart"/>
      <w:r w:rsidRPr="009866A5">
        <w:rPr>
          <w:sz w:val="22"/>
          <w:szCs w:val="22"/>
          <w:lang w:val="sk-SK"/>
        </w:rPr>
        <w:t>Theaterstr</w:t>
      </w:r>
      <w:proofErr w:type="spellEnd"/>
      <w:r w:rsidRPr="009866A5">
        <w:rPr>
          <w:sz w:val="22"/>
          <w:szCs w:val="22"/>
          <w:lang w:val="sk-SK"/>
        </w:rPr>
        <w:t>. 6</w:t>
      </w:r>
    </w:p>
    <w:p w:rsidR="00FD33FD" w:rsidRPr="00FF3971" w:rsidRDefault="00E63504" w:rsidP="00FD33FD">
      <w:pPr>
        <w:pStyle w:val="Default"/>
        <w:rPr>
          <w:sz w:val="22"/>
          <w:szCs w:val="22"/>
          <w:lang w:val="sk-SK"/>
        </w:rPr>
      </w:pPr>
      <w:r w:rsidRPr="009866A5">
        <w:rPr>
          <w:sz w:val="22"/>
          <w:szCs w:val="22"/>
          <w:lang w:val="sk-SK"/>
        </w:rPr>
        <w:t>22880 </w:t>
      </w:r>
      <w:proofErr w:type="spellStart"/>
      <w:r w:rsidRPr="009866A5">
        <w:rPr>
          <w:sz w:val="22"/>
          <w:szCs w:val="22"/>
          <w:lang w:val="sk-SK"/>
        </w:rPr>
        <w:t>Wedel</w:t>
      </w:r>
      <w:proofErr w:type="spellEnd"/>
    </w:p>
    <w:p w:rsidR="00FD33FD" w:rsidRPr="00FF3971" w:rsidRDefault="00E63504" w:rsidP="00FD33FD">
      <w:pPr>
        <w:pStyle w:val="Default"/>
        <w:rPr>
          <w:sz w:val="22"/>
          <w:szCs w:val="22"/>
          <w:lang w:val="sk-SK"/>
        </w:rPr>
      </w:pPr>
      <w:r w:rsidRPr="009866A5">
        <w:rPr>
          <w:sz w:val="22"/>
          <w:szCs w:val="22"/>
          <w:lang w:val="sk-SK"/>
        </w:rPr>
        <w:t>Nemecko</w:t>
      </w:r>
    </w:p>
    <w:p w:rsidR="00FD33FD" w:rsidRPr="00FF3971" w:rsidRDefault="00E63504" w:rsidP="00FD33FD">
      <w:pPr>
        <w:pStyle w:val="Default"/>
        <w:rPr>
          <w:sz w:val="22"/>
          <w:szCs w:val="22"/>
          <w:lang w:val="sk-SK"/>
        </w:rPr>
      </w:pPr>
      <w:r w:rsidRPr="009866A5">
        <w:rPr>
          <w:sz w:val="22"/>
          <w:szCs w:val="22"/>
          <w:lang w:val="sk-SK"/>
        </w:rPr>
        <w:t>Tel.: +49 4103 8006-0</w:t>
      </w:r>
    </w:p>
    <w:p w:rsidR="0064267A" w:rsidRPr="00FF3971" w:rsidRDefault="00E63504" w:rsidP="00FD33FD">
      <w:r w:rsidRPr="009866A5">
        <w:t>Fax: +49 4103 8006-100</w:t>
      </w:r>
    </w:p>
    <w:p w:rsidR="00FD33FD" w:rsidRPr="009866A5" w:rsidRDefault="00FD33FD" w:rsidP="00FD33FD">
      <w:pPr>
        <w:rPr>
          <w:szCs w:val="22"/>
        </w:rPr>
      </w:pP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rPr>
          <w:b/>
          <w:szCs w:val="22"/>
        </w:rPr>
      </w:pPr>
      <w:r w:rsidRPr="009866A5">
        <w:rPr>
          <w:b/>
        </w:rPr>
        <w:t>8.</w:t>
      </w:r>
      <w:r w:rsidRPr="009866A5">
        <w:tab/>
      </w:r>
      <w:r w:rsidRPr="009866A5">
        <w:rPr>
          <w:b/>
        </w:rPr>
        <w:t>REGISTRAČNÉ ČÍSLO (ČÍSLA)</w:t>
      </w:r>
    </w:p>
    <w:p w:rsidR="00F573FA" w:rsidRPr="00FF3971" w:rsidRDefault="00F573FA" w:rsidP="0064267A"/>
    <w:p w:rsidR="009C59C0" w:rsidRPr="009866A5" w:rsidRDefault="000466A9" w:rsidP="0064267A">
      <w:pPr>
        <w:rPr>
          <w:szCs w:val="22"/>
        </w:rPr>
      </w:pPr>
      <w:r>
        <w:rPr>
          <w:szCs w:val="22"/>
        </w:rPr>
        <w:t>44/0265/16-S</w:t>
      </w:r>
    </w:p>
    <w:p w:rsidR="007A48E6" w:rsidRPr="009866A5" w:rsidRDefault="007A48E6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rPr>
          <w:szCs w:val="22"/>
        </w:rPr>
      </w:pPr>
      <w:r w:rsidRPr="009866A5">
        <w:rPr>
          <w:b/>
        </w:rPr>
        <w:t>9.</w:t>
      </w:r>
      <w:r w:rsidRPr="009866A5">
        <w:tab/>
      </w:r>
      <w:r w:rsidRPr="009866A5">
        <w:rPr>
          <w:b/>
        </w:rPr>
        <w:t>DÁTUM PRVEJ REGISTRÁCIE/ PREDĹŽENIA REGISTRÁCIE</w:t>
      </w:r>
    </w:p>
    <w:p w:rsidR="0064267A" w:rsidRPr="009866A5" w:rsidRDefault="0064267A" w:rsidP="0064267A">
      <w:pPr>
        <w:rPr>
          <w:szCs w:val="22"/>
        </w:rPr>
      </w:pPr>
    </w:p>
    <w:p w:rsidR="0023220D" w:rsidRPr="009866A5" w:rsidRDefault="00E63504" w:rsidP="0023220D">
      <w:pPr>
        <w:rPr>
          <w:i/>
          <w:szCs w:val="22"/>
        </w:rPr>
      </w:pPr>
      <w:r w:rsidRPr="009866A5">
        <w:t xml:space="preserve">Dátum prvej registrácie: </w:t>
      </w:r>
      <w:r w:rsidR="00561953">
        <w:t xml:space="preserve"> 22. júna 2016</w:t>
      </w:r>
    </w:p>
    <w:p w:rsidR="0064267A" w:rsidRPr="009866A5" w:rsidRDefault="0064267A" w:rsidP="0064267A">
      <w:pPr>
        <w:rPr>
          <w:szCs w:val="22"/>
        </w:rPr>
      </w:pPr>
    </w:p>
    <w:p w:rsidR="0037021D" w:rsidRPr="009866A5" w:rsidRDefault="0037021D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rPr>
          <w:b/>
          <w:szCs w:val="22"/>
        </w:rPr>
      </w:pPr>
      <w:r w:rsidRPr="009866A5">
        <w:rPr>
          <w:b/>
        </w:rPr>
        <w:t>10.</w:t>
      </w:r>
      <w:r w:rsidRPr="009866A5">
        <w:tab/>
      </w:r>
      <w:r w:rsidRPr="009866A5">
        <w:rPr>
          <w:b/>
        </w:rPr>
        <w:t>DÁTUM REVÍZIE TEXTU</w:t>
      </w:r>
    </w:p>
    <w:p w:rsidR="0037021D" w:rsidRPr="009866A5" w:rsidRDefault="0037021D" w:rsidP="0064267A">
      <w:pPr>
        <w:rPr>
          <w:szCs w:val="22"/>
        </w:rPr>
      </w:pPr>
    </w:p>
    <w:p w:rsidR="0064267A" w:rsidRPr="009866A5" w:rsidRDefault="004A78BC" w:rsidP="0064267A">
      <w:pPr>
        <w:rPr>
          <w:szCs w:val="22"/>
        </w:rPr>
      </w:pPr>
      <w:r>
        <w:rPr>
          <w:szCs w:val="22"/>
        </w:rPr>
        <w:t>10</w:t>
      </w:r>
      <w:r w:rsidR="00505D74">
        <w:rPr>
          <w:szCs w:val="22"/>
        </w:rPr>
        <w:t>/2020</w:t>
      </w:r>
    </w:p>
    <w:p w:rsidR="0064267A" w:rsidRPr="00FF3971" w:rsidRDefault="0064267A" w:rsidP="0037021D">
      <w:pPr>
        <w:rPr>
          <w:szCs w:val="22"/>
        </w:rPr>
      </w:pPr>
    </w:p>
    <w:sectPr w:rsidR="0064267A" w:rsidRPr="00FF3971" w:rsidSect="00D707D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5267E1" w15:done="0"/>
  <w15:commentEx w15:paraId="1567CDC0" w15:done="0"/>
  <w15:commentEx w15:paraId="4A4CFC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358" w:rsidRDefault="00AE3358" w:rsidP="00A76CC3">
      <w:pPr>
        <w:spacing w:line="240" w:lineRule="auto"/>
      </w:pPr>
      <w:r>
        <w:separator/>
      </w:r>
    </w:p>
  </w:endnote>
  <w:endnote w:type="continuationSeparator" w:id="0">
    <w:p w:rsidR="00AE3358" w:rsidRDefault="00AE3358" w:rsidP="00A76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Bahnschrift Light"/>
    <w:panose1 w:val="020B0502040204020203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16738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707D0" w:rsidRPr="00D707D0" w:rsidRDefault="00D707D0">
        <w:pPr>
          <w:pStyle w:val="Pta"/>
          <w:jc w:val="center"/>
          <w:rPr>
            <w:sz w:val="18"/>
            <w:szCs w:val="18"/>
          </w:rPr>
        </w:pPr>
        <w:r w:rsidRPr="00D707D0">
          <w:rPr>
            <w:sz w:val="18"/>
            <w:szCs w:val="18"/>
          </w:rPr>
          <w:fldChar w:fldCharType="begin"/>
        </w:r>
        <w:r w:rsidRPr="00D707D0">
          <w:rPr>
            <w:sz w:val="18"/>
            <w:szCs w:val="18"/>
          </w:rPr>
          <w:instrText>PAGE   \* MERGEFORMAT</w:instrText>
        </w:r>
        <w:r w:rsidRPr="00D707D0">
          <w:rPr>
            <w:sz w:val="18"/>
            <w:szCs w:val="18"/>
          </w:rPr>
          <w:fldChar w:fldCharType="separate"/>
        </w:r>
        <w:r w:rsidR="006725A9">
          <w:rPr>
            <w:noProof/>
            <w:sz w:val="18"/>
            <w:szCs w:val="18"/>
          </w:rPr>
          <w:t>10</w:t>
        </w:r>
        <w:r w:rsidRPr="00D707D0">
          <w:rPr>
            <w:sz w:val="18"/>
            <w:szCs w:val="18"/>
          </w:rPr>
          <w:fldChar w:fldCharType="end"/>
        </w:r>
      </w:p>
    </w:sdtContent>
  </w:sdt>
  <w:p w:rsidR="001447C4" w:rsidRPr="00654F67" w:rsidRDefault="001447C4" w:rsidP="000E6FE7">
    <w:pPr>
      <w:tabs>
        <w:tab w:val="center" w:pos="4536"/>
        <w:tab w:val="right" w:pos="8306"/>
        <w:tab w:val="right" w:pos="8931"/>
      </w:tabs>
      <w:ind w:right="96"/>
      <w:rPr>
        <w:noProof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142295"/>
      <w:docPartObj>
        <w:docPartGallery w:val="Page Numbers (Bottom of Page)"/>
        <w:docPartUnique/>
      </w:docPartObj>
    </w:sdtPr>
    <w:sdtEndPr/>
    <w:sdtContent>
      <w:p w:rsidR="00561953" w:rsidRDefault="0056195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7D0">
          <w:rPr>
            <w:noProof/>
          </w:rPr>
          <w:t>1</w:t>
        </w:r>
        <w:r>
          <w:fldChar w:fldCharType="end"/>
        </w:r>
      </w:p>
    </w:sdtContent>
  </w:sdt>
  <w:p w:rsidR="00561953" w:rsidRDefault="0056195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358" w:rsidRDefault="00AE3358" w:rsidP="00A76CC3">
      <w:pPr>
        <w:spacing w:line="240" w:lineRule="auto"/>
      </w:pPr>
      <w:r>
        <w:separator/>
      </w:r>
    </w:p>
  </w:footnote>
  <w:footnote w:type="continuationSeparator" w:id="0">
    <w:p w:rsidR="00AE3358" w:rsidRDefault="00AE3358" w:rsidP="00A76C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7B" w:rsidRPr="00EB0577" w:rsidRDefault="00C10A7B" w:rsidP="00C10A7B">
    <w:pPr>
      <w:pStyle w:val="Hlavika"/>
      <w:rPr>
        <w:sz w:val="18"/>
        <w:szCs w:val="18"/>
        <w:lang w:eastAsia="en-US"/>
      </w:rPr>
    </w:pPr>
    <w:r>
      <w:rPr>
        <w:sz w:val="18"/>
        <w:szCs w:val="18"/>
        <w:lang w:eastAsia="en-US"/>
      </w:rPr>
      <w:t>Príloha č.1</w:t>
    </w:r>
    <w:r w:rsidRPr="00EB0577">
      <w:rPr>
        <w:sz w:val="18"/>
        <w:szCs w:val="18"/>
        <w:lang w:eastAsia="en-US"/>
      </w:rPr>
      <w:t xml:space="preserve"> k notifikácii o zmene , ev. č.: 2016/02734-ZIA</w:t>
    </w:r>
  </w:p>
  <w:p w:rsidR="00561953" w:rsidRDefault="00C10A7B">
    <w:pPr>
      <w:pStyle w:val="Hlavika"/>
    </w:pPr>
    <w:r>
      <w:rPr>
        <w:sz w:val="18"/>
        <w:szCs w:val="18"/>
        <w:lang w:eastAsia="en-US"/>
      </w:rPr>
      <w:t>Príloha č.1</w:t>
    </w:r>
    <w:r w:rsidRPr="00EB0577">
      <w:rPr>
        <w:sz w:val="18"/>
        <w:szCs w:val="18"/>
        <w:lang w:eastAsia="en-US"/>
      </w:rPr>
      <w:t xml:space="preserve"> k notifikácii o zmene , ev. č.: </w:t>
    </w:r>
    <w:r>
      <w:rPr>
        <w:sz w:val="18"/>
        <w:szCs w:val="18"/>
        <w:lang w:eastAsia="en-US"/>
      </w:rPr>
      <w:t>2016/02996</w:t>
    </w:r>
    <w:r w:rsidRPr="00EB0577">
      <w:rPr>
        <w:sz w:val="18"/>
        <w:szCs w:val="18"/>
        <w:lang w:eastAsia="en-US"/>
      </w:rPr>
      <w:t>-ZI</w:t>
    </w:r>
    <w:r>
      <w:rPr>
        <w:sz w:val="18"/>
        <w:szCs w:val="18"/>
        <w:lang w:eastAsia="en-US"/>
      </w:rPr>
      <w:t>B</w:t>
    </w:r>
    <w:r w:rsidRPr="006056D6" w:rsidDel="00EB0577">
      <w:rPr>
        <w:sz w:val="18"/>
        <w:szCs w:val="18"/>
        <w:lang w:eastAsia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577" w:rsidRPr="00EB0577" w:rsidRDefault="00EB0577" w:rsidP="00EB0577">
    <w:pPr>
      <w:pStyle w:val="Hlavika"/>
      <w:rPr>
        <w:sz w:val="18"/>
        <w:szCs w:val="18"/>
        <w:lang w:eastAsia="en-US"/>
      </w:rPr>
    </w:pPr>
    <w:r>
      <w:rPr>
        <w:sz w:val="18"/>
        <w:szCs w:val="18"/>
        <w:lang w:eastAsia="en-US"/>
      </w:rPr>
      <w:t>Príloha č.1</w:t>
    </w:r>
    <w:r w:rsidRPr="00EB0577">
      <w:rPr>
        <w:sz w:val="18"/>
        <w:szCs w:val="18"/>
        <w:lang w:eastAsia="en-US"/>
      </w:rPr>
      <w:t xml:space="preserve"> k notifikácii o zmene , ev. č.: 2016/02734-ZIA</w:t>
    </w:r>
  </w:p>
  <w:p w:rsidR="007A5CAC" w:rsidRDefault="00C10A7B">
    <w:pPr>
      <w:pStyle w:val="Hlavika"/>
    </w:pPr>
    <w:r>
      <w:rPr>
        <w:sz w:val="18"/>
        <w:szCs w:val="18"/>
        <w:lang w:eastAsia="en-US"/>
      </w:rPr>
      <w:t>Príloha č.1</w:t>
    </w:r>
    <w:r w:rsidRPr="00EB0577">
      <w:rPr>
        <w:sz w:val="18"/>
        <w:szCs w:val="18"/>
        <w:lang w:eastAsia="en-US"/>
      </w:rPr>
      <w:t xml:space="preserve"> k notifikácii o zmene , ev. č.: </w:t>
    </w:r>
    <w:r>
      <w:rPr>
        <w:sz w:val="18"/>
        <w:szCs w:val="18"/>
        <w:lang w:eastAsia="en-US"/>
      </w:rPr>
      <w:t>2016/02996</w:t>
    </w:r>
    <w:r w:rsidRPr="00EB0577">
      <w:rPr>
        <w:sz w:val="18"/>
        <w:szCs w:val="18"/>
        <w:lang w:eastAsia="en-US"/>
      </w:rPr>
      <w:t>-ZI</w:t>
    </w:r>
    <w:r>
      <w:rPr>
        <w:sz w:val="18"/>
        <w:szCs w:val="18"/>
        <w:lang w:eastAsia="en-US"/>
      </w:rPr>
      <w:t>B</w:t>
    </w:r>
    <w:r w:rsidRPr="006056D6" w:rsidDel="00EB0577">
      <w:rPr>
        <w:sz w:val="18"/>
        <w:szCs w:val="18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340"/>
    <w:multiLevelType w:val="hybridMultilevel"/>
    <w:tmpl w:val="9D1CEB8C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B754F"/>
    <w:multiLevelType w:val="hybridMultilevel"/>
    <w:tmpl w:val="574C8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609C7"/>
    <w:multiLevelType w:val="hybridMultilevel"/>
    <w:tmpl w:val="4E5A48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670EC"/>
    <w:multiLevelType w:val="hybridMultilevel"/>
    <w:tmpl w:val="2A542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821D1"/>
    <w:multiLevelType w:val="hybridMultilevel"/>
    <w:tmpl w:val="718EB0E0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nga Kawecka">
    <w15:presenceInfo w15:providerId="AD" w15:userId="S-1-5-21-2503064832-2543567733-4025002159-2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7A"/>
    <w:rsid w:val="000004C1"/>
    <w:rsid w:val="000113DD"/>
    <w:rsid w:val="000136F0"/>
    <w:rsid w:val="00013C1B"/>
    <w:rsid w:val="000217AE"/>
    <w:rsid w:val="00022B6A"/>
    <w:rsid w:val="00025C33"/>
    <w:rsid w:val="00030AF5"/>
    <w:rsid w:val="000422F7"/>
    <w:rsid w:val="00045424"/>
    <w:rsid w:val="000466A9"/>
    <w:rsid w:val="00046847"/>
    <w:rsid w:val="00071272"/>
    <w:rsid w:val="00071CAB"/>
    <w:rsid w:val="00076E0E"/>
    <w:rsid w:val="000871B8"/>
    <w:rsid w:val="00090984"/>
    <w:rsid w:val="00095889"/>
    <w:rsid w:val="000977B2"/>
    <w:rsid w:val="000A35C5"/>
    <w:rsid w:val="000A4ABA"/>
    <w:rsid w:val="000A52ED"/>
    <w:rsid w:val="000B6B03"/>
    <w:rsid w:val="000D15C2"/>
    <w:rsid w:val="000D6248"/>
    <w:rsid w:val="000D7B16"/>
    <w:rsid w:val="000D7DCB"/>
    <w:rsid w:val="000E3F73"/>
    <w:rsid w:val="000E6FE7"/>
    <w:rsid w:val="00101C55"/>
    <w:rsid w:val="00102DFD"/>
    <w:rsid w:val="00104782"/>
    <w:rsid w:val="00104CBE"/>
    <w:rsid w:val="00113011"/>
    <w:rsid w:val="001228C9"/>
    <w:rsid w:val="00125241"/>
    <w:rsid w:val="001274ED"/>
    <w:rsid w:val="00137AE9"/>
    <w:rsid w:val="00141218"/>
    <w:rsid w:val="00144457"/>
    <w:rsid w:val="001447C4"/>
    <w:rsid w:val="00147058"/>
    <w:rsid w:val="00150275"/>
    <w:rsid w:val="001541C4"/>
    <w:rsid w:val="00155CB2"/>
    <w:rsid w:val="00181465"/>
    <w:rsid w:val="00182B27"/>
    <w:rsid w:val="001832AD"/>
    <w:rsid w:val="00196D00"/>
    <w:rsid w:val="001A2C7F"/>
    <w:rsid w:val="001A31FF"/>
    <w:rsid w:val="001A4366"/>
    <w:rsid w:val="001A61F1"/>
    <w:rsid w:val="001A7ED2"/>
    <w:rsid w:val="001B73E3"/>
    <w:rsid w:val="001C7277"/>
    <w:rsid w:val="001C763B"/>
    <w:rsid w:val="001C7AFA"/>
    <w:rsid w:val="001D0905"/>
    <w:rsid w:val="001D434D"/>
    <w:rsid w:val="001E42E4"/>
    <w:rsid w:val="001E7F18"/>
    <w:rsid w:val="001E7F3D"/>
    <w:rsid w:val="001F06E1"/>
    <w:rsid w:val="001F44D4"/>
    <w:rsid w:val="001F5136"/>
    <w:rsid w:val="00217420"/>
    <w:rsid w:val="002217CD"/>
    <w:rsid w:val="002259DF"/>
    <w:rsid w:val="0023220D"/>
    <w:rsid w:val="0023421F"/>
    <w:rsid w:val="00255DC5"/>
    <w:rsid w:val="00261A7B"/>
    <w:rsid w:val="0026789C"/>
    <w:rsid w:val="00271FCF"/>
    <w:rsid w:val="002724E2"/>
    <w:rsid w:val="00272E67"/>
    <w:rsid w:val="002776BA"/>
    <w:rsid w:val="00281749"/>
    <w:rsid w:val="002829A9"/>
    <w:rsid w:val="00284079"/>
    <w:rsid w:val="00284B53"/>
    <w:rsid w:val="002860E6"/>
    <w:rsid w:val="002A70EF"/>
    <w:rsid w:val="002A7D96"/>
    <w:rsid w:val="002C7478"/>
    <w:rsid w:val="002E1BE9"/>
    <w:rsid w:val="002E2464"/>
    <w:rsid w:val="002E7B17"/>
    <w:rsid w:val="002F5DDC"/>
    <w:rsid w:val="00307B4D"/>
    <w:rsid w:val="00310A0E"/>
    <w:rsid w:val="00310B94"/>
    <w:rsid w:val="00313173"/>
    <w:rsid w:val="00316115"/>
    <w:rsid w:val="0031708A"/>
    <w:rsid w:val="00317116"/>
    <w:rsid w:val="00320F55"/>
    <w:rsid w:val="0032182C"/>
    <w:rsid w:val="00321FDD"/>
    <w:rsid w:val="00331D03"/>
    <w:rsid w:val="00333599"/>
    <w:rsid w:val="00336072"/>
    <w:rsid w:val="00336581"/>
    <w:rsid w:val="003438EA"/>
    <w:rsid w:val="003547EC"/>
    <w:rsid w:val="003670ED"/>
    <w:rsid w:val="0037021D"/>
    <w:rsid w:val="003757CD"/>
    <w:rsid w:val="00382E52"/>
    <w:rsid w:val="003A201B"/>
    <w:rsid w:val="003A40CA"/>
    <w:rsid w:val="003B660A"/>
    <w:rsid w:val="003C1BEF"/>
    <w:rsid w:val="003E47B9"/>
    <w:rsid w:val="003E5201"/>
    <w:rsid w:val="003E613B"/>
    <w:rsid w:val="003F6F1A"/>
    <w:rsid w:val="003F738D"/>
    <w:rsid w:val="004047D7"/>
    <w:rsid w:val="00404FBA"/>
    <w:rsid w:val="00425B18"/>
    <w:rsid w:val="00436A84"/>
    <w:rsid w:val="004466D6"/>
    <w:rsid w:val="00447CCE"/>
    <w:rsid w:val="00450A45"/>
    <w:rsid w:val="004551B7"/>
    <w:rsid w:val="004670AC"/>
    <w:rsid w:val="00482C19"/>
    <w:rsid w:val="004900D5"/>
    <w:rsid w:val="004962F9"/>
    <w:rsid w:val="004A3B82"/>
    <w:rsid w:val="004A5C54"/>
    <w:rsid w:val="004A614F"/>
    <w:rsid w:val="004A78BC"/>
    <w:rsid w:val="004A7B76"/>
    <w:rsid w:val="004A7DD2"/>
    <w:rsid w:val="004B2A0D"/>
    <w:rsid w:val="004B4C38"/>
    <w:rsid w:val="004C6284"/>
    <w:rsid w:val="004C79AF"/>
    <w:rsid w:val="004D2F77"/>
    <w:rsid w:val="004E3FF0"/>
    <w:rsid w:val="004F04FE"/>
    <w:rsid w:val="004F622A"/>
    <w:rsid w:val="00500500"/>
    <w:rsid w:val="00504CDD"/>
    <w:rsid w:val="005052A9"/>
    <w:rsid w:val="00505D74"/>
    <w:rsid w:val="005074DF"/>
    <w:rsid w:val="005101E7"/>
    <w:rsid w:val="00511FFA"/>
    <w:rsid w:val="00512FBF"/>
    <w:rsid w:val="005144DE"/>
    <w:rsid w:val="00514522"/>
    <w:rsid w:val="005218F8"/>
    <w:rsid w:val="00521E74"/>
    <w:rsid w:val="00534F4C"/>
    <w:rsid w:val="00540F41"/>
    <w:rsid w:val="00542387"/>
    <w:rsid w:val="00544BDC"/>
    <w:rsid w:val="00551ED3"/>
    <w:rsid w:val="00561953"/>
    <w:rsid w:val="005635D0"/>
    <w:rsid w:val="0056635C"/>
    <w:rsid w:val="00571A8E"/>
    <w:rsid w:val="00573B40"/>
    <w:rsid w:val="00580B79"/>
    <w:rsid w:val="005827D2"/>
    <w:rsid w:val="00587FBD"/>
    <w:rsid w:val="005901ED"/>
    <w:rsid w:val="00590480"/>
    <w:rsid w:val="005928A7"/>
    <w:rsid w:val="00592979"/>
    <w:rsid w:val="0059674D"/>
    <w:rsid w:val="005A46EB"/>
    <w:rsid w:val="005B6FFF"/>
    <w:rsid w:val="005B7110"/>
    <w:rsid w:val="005D5783"/>
    <w:rsid w:val="005D7EBD"/>
    <w:rsid w:val="005E3552"/>
    <w:rsid w:val="005E3DE9"/>
    <w:rsid w:val="005E64B2"/>
    <w:rsid w:val="005E6C1C"/>
    <w:rsid w:val="005F6FC3"/>
    <w:rsid w:val="00601663"/>
    <w:rsid w:val="006056D6"/>
    <w:rsid w:val="00630DE9"/>
    <w:rsid w:val="0063579F"/>
    <w:rsid w:val="0064267A"/>
    <w:rsid w:val="006426F8"/>
    <w:rsid w:val="00654F67"/>
    <w:rsid w:val="0065596D"/>
    <w:rsid w:val="006561F1"/>
    <w:rsid w:val="006725A9"/>
    <w:rsid w:val="00687270"/>
    <w:rsid w:val="00687BA1"/>
    <w:rsid w:val="006A3D7C"/>
    <w:rsid w:val="006A3DC6"/>
    <w:rsid w:val="006A65E8"/>
    <w:rsid w:val="006C2FC3"/>
    <w:rsid w:val="006C32E7"/>
    <w:rsid w:val="006C7694"/>
    <w:rsid w:val="006E3B7B"/>
    <w:rsid w:val="006E4A29"/>
    <w:rsid w:val="006E4C67"/>
    <w:rsid w:val="006E535D"/>
    <w:rsid w:val="006E76F8"/>
    <w:rsid w:val="00702AF7"/>
    <w:rsid w:val="00702D83"/>
    <w:rsid w:val="00713025"/>
    <w:rsid w:val="007203D3"/>
    <w:rsid w:val="00723B9F"/>
    <w:rsid w:val="00751316"/>
    <w:rsid w:val="0075228C"/>
    <w:rsid w:val="00756377"/>
    <w:rsid w:val="00757160"/>
    <w:rsid w:val="007603CA"/>
    <w:rsid w:val="00760AF2"/>
    <w:rsid w:val="00762AD6"/>
    <w:rsid w:val="00763673"/>
    <w:rsid w:val="007667A4"/>
    <w:rsid w:val="00773962"/>
    <w:rsid w:val="00782D25"/>
    <w:rsid w:val="007875C9"/>
    <w:rsid w:val="00795F36"/>
    <w:rsid w:val="007964DE"/>
    <w:rsid w:val="00797AD4"/>
    <w:rsid w:val="007A3C93"/>
    <w:rsid w:val="007A48E6"/>
    <w:rsid w:val="007A5CAC"/>
    <w:rsid w:val="007A6934"/>
    <w:rsid w:val="007B1926"/>
    <w:rsid w:val="007B1E2B"/>
    <w:rsid w:val="007B3C14"/>
    <w:rsid w:val="007C5677"/>
    <w:rsid w:val="007C5C31"/>
    <w:rsid w:val="007D4850"/>
    <w:rsid w:val="007D7425"/>
    <w:rsid w:val="007E24CE"/>
    <w:rsid w:val="007E2763"/>
    <w:rsid w:val="007E546C"/>
    <w:rsid w:val="00803D2A"/>
    <w:rsid w:val="008061A4"/>
    <w:rsid w:val="00807EB0"/>
    <w:rsid w:val="008133C6"/>
    <w:rsid w:val="00821B74"/>
    <w:rsid w:val="00823D6A"/>
    <w:rsid w:val="00830760"/>
    <w:rsid w:val="00832FDD"/>
    <w:rsid w:val="00843DBE"/>
    <w:rsid w:val="00844130"/>
    <w:rsid w:val="008448BB"/>
    <w:rsid w:val="00851D96"/>
    <w:rsid w:val="00853DAC"/>
    <w:rsid w:val="00865636"/>
    <w:rsid w:val="00871D4A"/>
    <w:rsid w:val="0087309C"/>
    <w:rsid w:val="00874962"/>
    <w:rsid w:val="00881445"/>
    <w:rsid w:val="008A250A"/>
    <w:rsid w:val="008B0CE5"/>
    <w:rsid w:val="008B4C9C"/>
    <w:rsid w:val="008C0322"/>
    <w:rsid w:val="008C0376"/>
    <w:rsid w:val="008C25D3"/>
    <w:rsid w:val="008C69FB"/>
    <w:rsid w:val="008D094F"/>
    <w:rsid w:val="008D3416"/>
    <w:rsid w:val="008D7564"/>
    <w:rsid w:val="008E0518"/>
    <w:rsid w:val="008E619D"/>
    <w:rsid w:val="008E6F0B"/>
    <w:rsid w:val="008F211B"/>
    <w:rsid w:val="0090107A"/>
    <w:rsid w:val="00901C12"/>
    <w:rsid w:val="009069C2"/>
    <w:rsid w:val="00906CDC"/>
    <w:rsid w:val="00906D63"/>
    <w:rsid w:val="00911592"/>
    <w:rsid w:val="00912EBE"/>
    <w:rsid w:val="009223EA"/>
    <w:rsid w:val="00923A25"/>
    <w:rsid w:val="00925527"/>
    <w:rsid w:val="00935289"/>
    <w:rsid w:val="00936CB8"/>
    <w:rsid w:val="009412CA"/>
    <w:rsid w:val="00960474"/>
    <w:rsid w:val="00961819"/>
    <w:rsid w:val="009625EC"/>
    <w:rsid w:val="0096452B"/>
    <w:rsid w:val="00970079"/>
    <w:rsid w:val="009818C6"/>
    <w:rsid w:val="00982494"/>
    <w:rsid w:val="009866A5"/>
    <w:rsid w:val="00991F73"/>
    <w:rsid w:val="009A1C0B"/>
    <w:rsid w:val="009B63DD"/>
    <w:rsid w:val="009B650D"/>
    <w:rsid w:val="009C59C0"/>
    <w:rsid w:val="009D35D5"/>
    <w:rsid w:val="009E2D31"/>
    <w:rsid w:val="009F74ED"/>
    <w:rsid w:val="00A11C69"/>
    <w:rsid w:val="00A16AFE"/>
    <w:rsid w:val="00A229FC"/>
    <w:rsid w:val="00A35EB0"/>
    <w:rsid w:val="00A406D8"/>
    <w:rsid w:val="00A43ABA"/>
    <w:rsid w:val="00A43C57"/>
    <w:rsid w:val="00A57739"/>
    <w:rsid w:val="00A60B26"/>
    <w:rsid w:val="00A67111"/>
    <w:rsid w:val="00A716C9"/>
    <w:rsid w:val="00A76CC3"/>
    <w:rsid w:val="00A80486"/>
    <w:rsid w:val="00A8113E"/>
    <w:rsid w:val="00A9036B"/>
    <w:rsid w:val="00A93830"/>
    <w:rsid w:val="00A9444C"/>
    <w:rsid w:val="00AB2998"/>
    <w:rsid w:val="00AB6CBA"/>
    <w:rsid w:val="00AC19B2"/>
    <w:rsid w:val="00AC2CC7"/>
    <w:rsid w:val="00AC3CB5"/>
    <w:rsid w:val="00AC3D4F"/>
    <w:rsid w:val="00AC4084"/>
    <w:rsid w:val="00AC6202"/>
    <w:rsid w:val="00AC6CB9"/>
    <w:rsid w:val="00AE1BD0"/>
    <w:rsid w:val="00AE3358"/>
    <w:rsid w:val="00AF0AB4"/>
    <w:rsid w:val="00AF68DF"/>
    <w:rsid w:val="00AF7FE2"/>
    <w:rsid w:val="00B01503"/>
    <w:rsid w:val="00B05334"/>
    <w:rsid w:val="00B11FB3"/>
    <w:rsid w:val="00B1270C"/>
    <w:rsid w:val="00B17048"/>
    <w:rsid w:val="00B21DEF"/>
    <w:rsid w:val="00B256DE"/>
    <w:rsid w:val="00B32AB6"/>
    <w:rsid w:val="00B34D10"/>
    <w:rsid w:val="00B36277"/>
    <w:rsid w:val="00B43EC2"/>
    <w:rsid w:val="00B455AD"/>
    <w:rsid w:val="00B4749D"/>
    <w:rsid w:val="00B556F4"/>
    <w:rsid w:val="00B55D29"/>
    <w:rsid w:val="00B609C9"/>
    <w:rsid w:val="00B62F5C"/>
    <w:rsid w:val="00B63E23"/>
    <w:rsid w:val="00B73757"/>
    <w:rsid w:val="00B866C6"/>
    <w:rsid w:val="00B86F6D"/>
    <w:rsid w:val="00B9295A"/>
    <w:rsid w:val="00B945D5"/>
    <w:rsid w:val="00B955D5"/>
    <w:rsid w:val="00B96948"/>
    <w:rsid w:val="00BA040B"/>
    <w:rsid w:val="00BA0656"/>
    <w:rsid w:val="00BA70AA"/>
    <w:rsid w:val="00BC4B32"/>
    <w:rsid w:val="00BD0777"/>
    <w:rsid w:val="00BD1A23"/>
    <w:rsid w:val="00BD22AF"/>
    <w:rsid w:val="00BD3345"/>
    <w:rsid w:val="00BD421F"/>
    <w:rsid w:val="00BE1074"/>
    <w:rsid w:val="00BE265E"/>
    <w:rsid w:val="00BE2F1F"/>
    <w:rsid w:val="00C10A7B"/>
    <w:rsid w:val="00C27896"/>
    <w:rsid w:val="00C37543"/>
    <w:rsid w:val="00C40B7C"/>
    <w:rsid w:val="00C47D3A"/>
    <w:rsid w:val="00C50A03"/>
    <w:rsid w:val="00C64938"/>
    <w:rsid w:val="00C66FA2"/>
    <w:rsid w:val="00C772E9"/>
    <w:rsid w:val="00C8228A"/>
    <w:rsid w:val="00C82D74"/>
    <w:rsid w:val="00C84FD0"/>
    <w:rsid w:val="00C90C76"/>
    <w:rsid w:val="00C941D2"/>
    <w:rsid w:val="00C9579E"/>
    <w:rsid w:val="00C97CC1"/>
    <w:rsid w:val="00CA0D0E"/>
    <w:rsid w:val="00CA7860"/>
    <w:rsid w:val="00CB60B6"/>
    <w:rsid w:val="00CB7E8C"/>
    <w:rsid w:val="00CC282F"/>
    <w:rsid w:val="00CC55F0"/>
    <w:rsid w:val="00CD099B"/>
    <w:rsid w:val="00CD30C1"/>
    <w:rsid w:val="00CD3C7D"/>
    <w:rsid w:val="00CE5693"/>
    <w:rsid w:val="00D00C63"/>
    <w:rsid w:val="00D038FE"/>
    <w:rsid w:val="00D04873"/>
    <w:rsid w:val="00D11F02"/>
    <w:rsid w:val="00D37588"/>
    <w:rsid w:val="00D43D49"/>
    <w:rsid w:val="00D56147"/>
    <w:rsid w:val="00D57C06"/>
    <w:rsid w:val="00D65579"/>
    <w:rsid w:val="00D707D0"/>
    <w:rsid w:val="00D77E07"/>
    <w:rsid w:val="00D8079D"/>
    <w:rsid w:val="00D8242D"/>
    <w:rsid w:val="00D82AAB"/>
    <w:rsid w:val="00D8458D"/>
    <w:rsid w:val="00D84A2D"/>
    <w:rsid w:val="00D84C25"/>
    <w:rsid w:val="00D86F66"/>
    <w:rsid w:val="00D9048B"/>
    <w:rsid w:val="00D93B41"/>
    <w:rsid w:val="00D96B60"/>
    <w:rsid w:val="00DA04A3"/>
    <w:rsid w:val="00DA492F"/>
    <w:rsid w:val="00DA573E"/>
    <w:rsid w:val="00DA61C3"/>
    <w:rsid w:val="00DB2EDF"/>
    <w:rsid w:val="00DC3F38"/>
    <w:rsid w:val="00DD7530"/>
    <w:rsid w:val="00DE7A44"/>
    <w:rsid w:val="00DF229A"/>
    <w:rsid w:val="00DF41AD"/>
    <w:rsid w:val="00E16866"/>
    <w:rsid w:val="00E21206"/>
    <w:rsid w:val="00E250DA"/>
    <w:rsid w:val="00E33F41"/>
    <w:rsid w:val="00E6158D"/>
    <w:rsid w:val="00E6233C"/>
    <w:rsid w:val="00E63504"/>
    <w:rsid w:val="00E714EF"/>
    <w:rsid w:val="00E833BE"/>
    <w:rsid w:val="00E91279"/>
    <w:rsid w:val="00EA4FF4"/>
    <w:rsid w:val="00EB0577"/>
    <w:rsid w:val="00EB0FBD"/>
    <w:rsid w:val="00EB5A4B"/>
    <w:rsid w:val="00EB6C2E"/>
    <w:rsid w:val="00EC47B8"/>
    <w:rsid w:val="00EE0051"/>
    <w:rsid w:val="00EF43D9"/>
    <w:rsid w:val="00F025D2"/>
    <w:rsid w:val="00F02976"/>
    <w:rsid w:val="00F10D81"/>
    <w:rsid w:val="00F12B59"/>
    <w:rsid w:val="00F22BEB"/>
    <w:rsid w:val="00F557CC"/>
    <w:rsid w:val="00F573FA"/>
    <w:rsid w:val="00F623EC"/>
    <w:rsid w:val="00F67E51"/>
    <w:rsid w:val="00F71DD4"/>
    <w:rsid w:val="00F83A92"/>
    <w:rsid w:val="00F85C4C"/>
    <w:rsid w:val="00F92312"/>
    <w:rsid w:val="00FA1DB8"/>
    <w:rsid w:val="00FA3581"/>
    <w:rsid w:val="00FA66E5"/>
    <w:rsid w:val="00FB4A16"/>
    <w:rsid w:val="00FC2179"/>
    <w:rsid w:val="00FC536E"/>
    <w:rsid w:val="00FC649B"/>
    <w:rsid w:val="00FC714A"/>
    <w:rsid w:val="00FD1379"/>
    <w:rsid w:val="00FD33FD"/>
    <w:rsid w:val="00FE12FC"/>
    <w:rsid w:val="00FE47B6"/>
    <w:rsid w:val="00FE63DB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Vrinda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3C14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lang w:bidi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35EB0"/>
    <w:pPr>
      <w:tabs>
        <w:tab w:val="clear" w:pos="567"/>
      </w:tabs>
      <w:spacing w:before="240" w:after="60" w:line="240" w:lineRule="auto"/>
      <w:outlineLvl w:val="6"/>
    </w:pPr>
    <w:rPr>
      <w:sz w:val="24"/>
      <w:szCs w:val="24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4267A"/>
    <w:rPr>
      <w:color w:val="0000FF"/>
      <w:u w:val="single"/>
    </w:rPr>
  </w:style>
  <w:style w:type="paragraph" w:customStyle="1" w:styleId="EMEAEnBodyText">
    <w:name w:val="EMEA En Body Text"/>
    <w:basedOn w:val="Normlny"/>
    <w:rsid w:val="0064267A"/>
    <w:pPr>
      <w:tabs>
        <w:tab w:val="clear" w:pos="567"/>
      </w:tabs>
      <w:spacing w:before="120" w:after="120" w:line="240" w:lineRule="auto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A76CC3"/>
    <w:pPr>
      <w:tabs>
        <w:tab w:val="clear" w:pos="567"/>
        <w:tab w:val="center" w:pos="4513"/>
        <w:tab w:val="right" w:pos="9026"/>
      </w:tabs>
    </w:pPr>
    <w:rPr>
      <w:lang w:bidi="ar-SA"/>
    </w:rPr>
  </w:style>
  <w:style w:type="character" w:customStyle="1" w:styleId="HlavikaChar">
    <w:name w:val="Hlavička Char"/>
    <w:link w:val="Hlavika"/>
    <w:uiPriority w:val="99"/>
    <w:rsid w:val="00A76CC3"/>
    <w:rPr>
      <w:rFonts w:ascii="Times New Roman" w:eastAsia="Times New Roman" w:hAnsi="Times New Roman" w:cs="Times New Roman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76CC3"/>
    <w:pPr>
      <w:tabs>
        <w:tab w:val="clear" w:pos="567"/>
        <w:tab w:val="center" w:pos="4513"/>
        <w:tab w:val="right" w:pos="9026"/>
      </w:tabs>
    </w:pPr>
    <w:rPr>
      <w:lang w:bidi="ar-SA"/>
    </w:rPr>
  </w:style>
  <w:style w:type="character" w:customStyle="1" w:styleId="PtaChar">
    <w:name w:val="Päta Char"/>
    <w:link w:val="Pta"/>
    <w:uiPriority w:val="99"/>
    <w:rsid w:val="00A76CC3"/>
    <w:rPr>
      <w:rFonts w:ascii="Times New Roman" w:eastAsia="Times New Roman" w:hAnsi="Times New Roman" w:cs="Times New Roman"/>
      <w:sz w:val="22"/>
      <w:lang w:eastAsia="sk-SK"/>
    </w:rPr>
  </w:style>
  <w:style w:type="table" w:styleId="Mriekatabuky">
    <w:name w:val="Table Grid"/>
    <w:basedOn w:val="Normlnatabuka"/>
    <w:uiPriority w:val="59"/>
    <w:rsid w:val="00FD1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571A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1A8E"/>
    <w:rPr>
      <w:sz w:val="20"/>
      <w:lang w:bidi="ar-SA"/>
    </w:rPr>
  </w:style>
  <w:style w:type="character" w:customStyle="1" w:styleId="TextkomentraChar">
    <w:name w:val="Text komentára Char"/>
    <w:link w:val="Textkomentra"/>
    <w:uiPriority w:val="99"/>
    <w:semiHidden/>
    <w:rsid w:val="00571A8E"/>
    <w:rPr>
      <w:rFonts w:ascii="Times New Roman" w:eastAsia="Times New Roman" w:hAnsi="Times New Roman" w:cs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1A8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71A8E"/>
    <w:rPr>
      <w:rFonts w:ascii="Times New Roman" w:eastAsia="Times New Roman" w:hAnsi="Times New Roman" w:cs="Times New Roman"/>
      <w:b/>
      <w:bCs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1A8E"/>
    <w:pPr>
      <w:spacing w:line="240" w:lineRule="auto"/>
    </w:pPr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571A8E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7875C9"/>
    <w:rPr>
      <w:rFonts w:ascii="Times New Roman" w:eastAsia="Times New Roman" w:hAnsi="Times New Roman" w:cs="Times New Roman"/>
      <w:sz w:val="22"/>
      <w:lang w:bidi="sk-SK"/>
    </w:rPr>
  </w:style>
  <w:style w:type="paragraph" w:styleId="Odsekzoznamu">
    <w:name w:val="List Paragraph"/>
    <w:basedOn w:val="Normlny"/>
    <w:uiPriority w:val="34"/>
    <w:qFormat/>
    <w:rsid w:val="00853DAC"/>
    <w:pPr>
      <w:ind w:left="708"/>
    </w:pPr>
  </w:style>
  <w:style w:type="paragraph" w:styleId="Zkladntext2">
    <w:name w:val="Body Text 2"/>
    <w:basedOn w:val="Normlny"/>
    <w:link w:val="Zkladntext2Char"/>
    <w:rsid w:val="005101E7"/>
    <w:pPr>
      <w:tabs>
        <w:tab w:val="clear" w:pos="567"/>
      </w:tabs>
      <w:spacing w:line="240" w:lineRule="auto"/>
      <w:jc w:val="both"/>
    </w:pPr>
    <w:rPr>
      <w:color w:val="000000"/>
      <w:lang w:bidi="ar-SA"/>
    </w:rPr>
  </w:style>
  <w:style w:type="character" w:customStyle="1" w:styleId="Zkladntext2Char">
    <w:name w:val="Základný text 2 Char"/>
    <w:link w:val="Zkladntext2"/>
    <w:rsid w:val="005101E7"/>
    <w:rPr>
      <w:rFonts w:ascii="Times New Roman" w:eastAsia="Times New Roman" w:hAnsi="Times New Roman" w:cs="Times New Roman"/>
      <w:color w:val="000000"/>
      <w:sz w:val="22"/>
      <w:lang w:val="sk-SK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35EB0"/>
    <w:pPr>
      <w:spacing w:after="120"/>
    </w:pPr>
    <w:rPr>
      <w:lang w:bidi="ar-SA"/>
    </w:rPr>
  </w:style>
  <w:style w:type="character" w:customStyle="1" w:styleId="ZkladntextChar">
    <w:name w:val="Základný text Char"/>
    <w:link w:val="Zkladntext"/>
    <w:uiPriority w:val="99"/>
    <w:semiHidden/>
    <w:rsid w:val="00A35EB0"/>
    <w:rPr>
      <w:rFonts w:ascii="Times New Roman" w:eastAsia="Times New Roman" w:hAnsi="Times New Roman" w:cs="Times New Roman"/>
      <w:sz w:val="22"/>
      <w:lang w:val="sk-SK" w:eastAsia="sk-SK"/>
    </w:rPr>
  </w:style>
  <w:style w:type="character" w:customStyle="1" w:styleId="Nadpis7Char">
    <w:name w:val="Nadpis 7 Char"/>
    <w:link w:val="Nadpis7"/>
    <w:uiPriority w:val="99"/>
    <w:rsid w:val="00A35EB0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Normlnywebov">
    <w:name w:val="Normal (Web)"/>
    <w:basedOn w:val="Normlny"/>
    <w:uiPriority w:val="99"/>
    <w:rsid w:val="00823D6A"/>
    <w:pPr>
      <w:tabs>
        <w:tab w:val="clear" w:pos="567"/>
      </w:tabs>
      <w:spacing w:before="100" w:beforeAutospacing="1" w:after="58" w:line="240" w:lineRule="auto"/>
    </w:pPr>
    <w:rPr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A3DC6"/>
    <w:pPr>
      <w:spacing w:after="120"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6A3DC6"/>
    <w:rPr>
      <w:rFonts w:ascii="Times New Roman" w:eastAsia="Times New Roman" w:hAnsi="Times New Roman" w:cs="Times New Roman"/>
      <w:sz w:val="2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6A3DC6"/>
    <w:pPr>
      <w:spacing w:after="120"/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uiPriority w:val="99"/>
    <w:rsid w:val="006A3DC6"/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Default">
    <w:name w:val="Default"/>
    <w:basedOn w:val="Normlny"/>
    <w:rsid w:val="00FD33FD"/>
    <w:pPr>
      <w:tabs>
        <w:tab w:val="clear" w:pos="567"/>
      </w:tabs>
      <w:autoSpaceDE w:val="0"/>
      <w:autoSpaceDN w:val="0"/>
      <w:spacing w:line="240" w:lineRule="auto"/>
    </w:pPr>
    <w:rPr>
      <w:rFonts w:eastAsia="Calibri"/>
      <w:color w:val="000000"/>
      <w:sz w:val="24"/>
      <w:szCs w:val="24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Vrinda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3C14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lang w:bidi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35EB0"/>
    <w:pPr>
      <w:tabs>
        <w:tab w:val="clear" w:pos="567"/>
      </w:tabs>
      <w:spacing w:before="240" w:after="60" w:line="240" w:lineRule="auto"/>
      <w:outlineLvl w:val="6"/>
    </w:pPr>
    <w:rPr>
      <w:sz w:val="24"/>
      <w:szCs w:val="24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4267A"/>
    <w:rPr>
      <w:color w:val="0000FF"/>
      <w:u w:val="single"/>
    </w:rPr>
  </w:style>
  <w:style w:type="paragraph" w:customStyle="1" w:styleId="EMEAEnBodyText">
    <w:name w:val="EMEA En Body Text"/>
    <w:basedOn w:val="Normlny"/>
    <w:rsid w:val="0064267A"/>
    <w:pPr>
      <w:tabs>
        <w:tab w:val="clear" w:pos="567"/>
      </w:tabs>
      <w:spacing w:before="120" w:after="120" w:line="240" w:lineRule="auto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A76CC3"/>
    <w:pPr>
      <w:tabs>
        <w:tab w:val="clear" w:pos="567"/>
        <w:tab w:val="center" w:pos="4513"/>
        <w:tab w:val="right" w:pos="9026"/>
      </w:tabs>
    </w:pPr>
    <w:rPr>
      <w:lang w:bidi="ar-SA"/>
    </w:rPr>
  </w:style>
  <w:style w:type="character" w:customStyle="1" w:styleId="HlavikaChar">
    <w:name w:val="Hlavička Char"/>
    <w:link w:val="Hlavika"/>
    <w:uiPriority w:val="99"/>
    <w:rsid w:val="00A76CC3"/>
    <w:rPr>
      <w:rFonts w:ascii="Times New Roman" w:eastAsia="Times New Roman" w:hAnsi="Times New Roman" w:cs="Times New Roman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76CC3"/>
    <w:pPr>
      <w:tabs>
        <w:tab w:val="clear" w:pos="567"/>
        <w:tab w:val="center" w:pos="4513"/>
        <w:tab w:val="right" w:pos="9026"/>
      </w:tabs>
    </w:pPr>
    <w:rPr>
      <w:lang w:bidi="ar-SA"/>
    </w:rPr>
  </w:style>
  <w:style w:type="character" w:customStyle="1" w:styleId="PtaChar">
    <w:name w:val="Päta Char"/>
    <w:link w:val="Pta"/>
    <w:uiPriority w:val="99"/>
    <w:rsid w:val="00A76CC3"/>
    <w:rPr>
      <w:rFonts w:ascii="Times New Roman" w:eastAsia="Times New Roman" w:hAnsi="Times New Roman" w:cs="Times New Roman"/>
      <w:sz w:val="22"/>
      <w:lang w:eastAsia="sk-SK"/>
    </w:rPr>
  </w:style>
  <w:style w:type="table" w:styleId="Mriekatabuky">
    <w:name w:val="Table Grid"/>
    <w:basedOn w:val="Normlnatabuka"/>
    <w:uiPriority w:val="59"/>
    <w:rsid w:val="00FD1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571A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1A8E"/>
    <w:rPr>
      <w:sz w:val="20"/>
      <w:lang w:bidi="ar-SA"/>
    </w:rPr>
  </w:style>
  <w:style w:type="character" w:customStyle="1" w:styleId="TextkomentraChar">
    <w:name w:val="Text komentára Char"/>
    <w:link w:val="Textkomentra"/>
    <w:uiPriority w:val="99"/>
    <w:semiHidden/>
    <w:rsid w:val="00571A8E"/>
    <w:rPr>
      <w:rFonts w:ascii="Times New Roman" w:eastAsia="Times New Roman" w:hAnsi="Times New Roman" w:cs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1A8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71A8E"/>
    <w:rPr>
      <w:rFonts w:ascii="Times New Roman" w:eastAsia="Times New Roman" w:hAnsi="Times New Roman" w:cs="Times New Roman"/>
      <w:b/>
      <w:bCs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1A8E"/>
    <w:pPr>
      <w:spacing w:line="240" w:lineRule="auto"/>
    </w:pPr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571A8E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7875C9"/>
    <w:rPr>
      <w:rFonts w:ascii="Times New Roman" w:eastAsia="Times New Roman" w:hAnsi="Times New Roman" w:cs="Times New Roman"/>
      <w:sz w:val="22"/>
      <w:lang w:bidi="sk-SK"/>
    </w:rPr>
  </w:style>
  <w:style w:type="paragraph" w:styleId="Odsekzoznamu">
    <w:name w:val="List Paragraph"/>
    <w:basedOn w:val="Normlny"/>
    <w:uiPriority w:val="34"/>
    <w:qFormat/>
    <w:rsid w:val="00853DAC"/>
    <w:pPr>
      <w:ind w:left="708"/>
    </w:pPr>
  </w:style>
  <w:style w:type="paragraph" w:styleId="Zkladntext2">
    <w:name w:val="Body Text 2"/>
    <w:basedOn w:val="Normlny"/>
    <w:link w:val="Zkladntext2Char"/>
    <w:rsid w:val="005101E7"/>
    <w:pPr>
      <w:tabs>
        <w:tab w:val="clear" w:pos="567"/>
      </w:tabs>
      <w:spacing w:line="240" w:lineRule="auto"/>
      <w:jc w:val="both"/>
    </w:pPr>
    <w:rPr>
      <w:color w:val="000000"/>
      <w:lang w:bidi="ar-SA"/>
    </w:rPr>
  </w:style>
  <w:style w:type="character" w:customStyle="1" w:styleId="Zkladntext2Char">
    <w:name w:val="Základný text 2 Char"/>
    <w:link w:val="Zkladntext2"/>
    <w:rsid w:val="005101E7"/>
    <w:rPr>
      <w:rFonts w:ascii="Times New Roman" w:eastAsia="Times New Roman" w:hAnsi="Times New Roman" w:cs="Times New Roman"/>
      <w:color w:val="000000"/>
      <w:sz w:val="22"/>
      <w:lang w:val="sk-SK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35EB0"/>
    <w:pPr>
      <w:spacing w:after="120"/>
    </w:pPr>
    <w:rPr>
      <w:lang w:bidi="ar-SA"/>
    </w:rPr>
  </w:style>
  <w:style w:type="character" w:customStyle="1" w:styleId="ZkladntextChar">
    <w:name w:val="Základný text Char"/>
    <w:link w:val="Zkladntext"/>
    <w:uiPriority w:val="99"/>
    <w:semiHidden/>
    <w:rsid w:val="00A35EB0"/>
    <w:rPr>
      <w:rFonts w:ascii="Times New Roman" w:eastAsia="Times New Roman" w:hAnsi="Times New Roman" w:cs="Times New Roman"/>
      <w:sz w:val="22"/>
      <w:lang w:val="sk-SK" w:eastAsia="sk-SK"/>
    </w:rPr>
  </w:style>
  <w:style w:type="character" w:customStyle="1" w:styleId="Nadpis7Char">
    <w:name w:val="Nadpis 7 Char"/>
    <w:link w:val="Nadpis7"/>
    <w:uiPriority w:val="99"/>
    <w:rsid w:val="00A35EB0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Normlnywebov">
    <w:name w:val="Normal (Web)"/>
    <w:basedOn w:val="Normlny"/>
    <w:uiPriority w:val="99"/>
    <w:rsid w:val="00823D6A"/>
    <w:pPr>
      <w:tabs>
        <w:tab w:val="clear" w:pos="567"/>
      </w:tabs>
      <w:spacing w:before="100" w:beforeAutospacing="1" w:after="58" w:line="240" w:lineRule="auto"/>
    </w:pPr>
    <w:rPr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A3DC6"/>
    <w:pPr>
      <w:spacing w:after="120"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6A3DC6"/>
    <w:rPr>
      <w:rFonts w:ascii="Times New Roman" w:eastAsia="Times New Roman" w:hAnsi="Times New Roman" w:cs="Times New Roman"/>
      <w:sz w:val="2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6A3DC6"/>
    <w:pPr>
      <w:spacing w:after="120"/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uiPriority w:val="99"/>
    <w:rsid w:val="006A3DC6"/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Default">
    <w:name w:val="Default"/>
    <w:basedOn w:val="Normlny"/>
    <w:rsid w:val="00FD33FD"/>
    <w:pPr>
      <w:tabs>
        <w:tab w:val="clear" w:pos="567"/>
      </w:tabs>
      <w:autoSpaceDE w:val="0"/>
      <w:autoSpaceDN w:val="0"/>
      <w:spacing w:line="240" w:lineRule="auto"/>
    </w:pPr>
    <w:rPr>
      <w:rFonts w:eastAsia="Calibri"/>
      <w:color w:val="000000"/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3145</Words>
  <Characters>17928</Characters>
  <Application>Microsoft Office Word</Application>
  <DocSecurity>0</DocSecurity>
  <Lines>149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Z29308</vt:lpstr>
      <vt:lpstr>Z29308</vt:lpstr>
      <vt:lpstr>Z29038</vt:lpstr>
    </vt:vector>
  </TitlesOfParts>
  <Manager>K021</Manager>
  <Company>Zebra Translations Limited</Company>
  <LinksUpToDate>false</LinksUpToDate>
  <CharactersWithSpaces>21031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Z29308</dc:title>
  <dc:subject>Mitomycin medac 1 mg/ml SPC updates - SK</dc:subject>
  <dc:creator>P042</dc:creator>
  <cp:lastModifiedBy>Kubáčková, Jaroslava</cp:lastModifiedBy>
  <cp:revision>9</cp:revision>
  <cp:lastPrinted>2020-09-30T06:57:00Z</cp:lastPrinted>
  <dcterms:created xsi:type="dcterms:W3CDTF">2020-09-29T12:53:00Z</dcterms:created>
  <dcterms:modified xsi:type="dcterms:W3CDTF">2020-09-30T06:57:00Z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5/24/2016 2:59:22 PM</vt:lpwstr>
  </property>
  <property fmtid="{D5CDD505-2E9C-101B-9397-08002B2CF9AE}" pid="3" name="OS_LastOpenUser">
    <vt:lpwstr>PLATEM</vt:lpwstr>
  </property>
</Properties>
</file>