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81E07" w14:textId="77777777" w:rsidR="00C978CD" w:rsidRPr="0040260E" w:rsidRDefault="00E9367B" w:rsidP="0040260E">
      <w:pPr>
        <w:pStyle w:val="SPCaPILhlavika"/>
        <w:rPr>
          <w:szCs w:val="22"/>
        </w:rPr>
      </w:pPr>
      <w:bookmarkStart w:id="0" w:name="_GoBack"/>
      <w:bookmarkEnd w:id="0"/>
      <w:r w:rsidRPr="0040260E">
        <w:rPr>
          <w:szCs w:val="22"/>
        </w:rPr>
        <w:t>SÚHRN CHARAKTERISTICKÝCH VLASTNOSTÍ LIEKU</w:t>
      </w:r>
    </w:p>
    <w:p w14:paraId="6984EB53" w14:textId="77777777" w:rsidR="00DB76AA" w:rsidRPr="0040260E" w:rsidRDefault="00DB76AA" w:rsidP="0040260E">
      <w:pPr>
        <w:pStyle w:val="SPCaPILhlavika"/>
        <w:rPr>
          <w:szCs w:val="22"/>
        </w:rPr>
      </w:pPr>
    </w:p>
    <w:p w14:paraId="2B44C7DD" w14:textId="77777777" w:rsidR="00DB76AA" w:rsidRPr="0040260E" w:rsidRDefault="00DB76AA" w:rsidP="0040260E">
      <w:pPr>
        <w:pStyle w:val="SPCaPILhlavika"/>
        <w:rPr>
          <w:szCs w:val="22"/>
        </w:rPr>
      </w:pPr>
    </w:p>
    <w:p w14:paraId="08B434AB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NÁZO</w:t>
      </w:r>
      <w:r w:rsidR="005F2843" w:rsidRPr="0040260E">
        <w:rPr>
          <w:szCs w:val="22"/>
          <w:lang w:val="sk-SK"/>
        </w:rPr>
        <w:t>V </w:t>
      </w:r>
      <w:r w:rsidRPr="0040260E">
        <w:rPr>
          <w:szCs w:val="22"/>
          <w:lang w:val="sk-SK"/>
        </w:rPr>
        <w:t>LIEKU</w:t>
      </w:r>
    </w:p>
    <w:p w14:paraId="04552D43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2B60C1A" w14:textId="77777777"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</w:t>
      </w:r>
    </w:p>
    <w:p w14:paraId="2CFB1418" w14:textId="77777777"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</w:t>
      </w:r>
    </w:p>
    <w:p w14:paraId="373E9D9C" w14:textId="77777777" w:rsidR="00615B98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</w:t>
      </w:r>
      <w:r w:rsidR="00615B98" w:rsidRPr="0040260E">
        <w:rPr>
          <w:rFonts w:ascii="Times New Roman" w:hAnsi="Times New Roman"/>
          <w:szCs w:val="22"/>
        </w:rPr>
        <w:t>ablety</w:t>
      </w:r>
    </w:p>
    <w:p w14:paraId="783128AF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10F2B890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A9F30DF" w14:textId="77777777" w:rsidR="00BB6BF8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KVALITATÍVNE</w:t>
      </w:r>
      <w:r w:rsidR="00307548" w:rsidRPr="0040260E">
        <w:rPr>
          <w:szCs w:val="22"/>
          <w:lang w:val="sk-SK"/>
        </w:rPr>
        <w:t xml:space="preserve"> a </w:t>
      </w:r>
      <w:r w:rsidRPr="0040260E">
        <w:rPr>
          <w:szCs w:val="22"/>
          <w:lang w:val="sk-SK"/>
        </w:rPr>
        <w:t>KVANTITATÍVNE ZLOŽENIE</w:t>
      </w:r>
    </w:p>
    <w:p w14:paraId="5822BC91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7A8F38C" w14:textId="77777777"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 xml:space="preserve">mg: </w:t>
      </w:r>
      <w:r w:rsidR="00EA12D6" w:rsidRPr="0040260E">
        <w:rPr>
          <w:rFonts w:ascii="Times New Roman" w:hAnsi="Times New Roman"/>
          <w:szCs w:val="22"/>
        </w:rPr>
        <w:t xml:space="preserve">Jedna </w:t>
      </w:r>
      <w:r w:rsidR="00E9367B" w:rsidRPr="0040260E">
        <w:rPr>
          <w:rFonts w:ascii="Times New Roman" w:hAnsi="Times New Roman"/>
          <w:szCs w:val="22"/>
        </w:rPr>
        <w:t>tablet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obsahuje 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(v</w:t>
      </w:r>
      <w:r w:rsidR="005F2843" w:rsidRPr="0040260E">
        <w:rPr>
          <w:rFonts w:ascii="Times New Roman" w:hAnsi="Times New Roman"/>
          <w:szCs w:val="22"/>
        </w:rPr>
        <w:t>o</w:t>
      </w:r>
      <w:r w:rsidR="00945AD4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forme</w:t>
      </w:r>
      <w:r w:rsidR="00945AD4" w:rsidRPr="0040260E">
        <w:rPr>
          <w:rFonts w:ascii="Times New Roman" w:hAnsi="Times New Roman"/>
          <w:szCs w:val="22"/>
        </w:rPr>
        <w:t xml:space="preserve"> paroxetíniumchloridu</w:t>
      </w:r>
      <w:r w:rsidR="00E9367B" w:rsidRPr="0040260E">
        <w:rPr>
          <w:rFonts w:ascii="Times New Roman" w:hAnsi="Times New Roman"/>
          <w:szCs w:val="22"/>
        </w:rPr>
        <w:t>).</w:t>
      </w:r>
    </w:p>
    <w:p w14:paraId="379418C7" w14:textId="77777777"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 xml:space="preserve">mg: </w:t>
      </w:r>
      <w:r w:rsidR="00EA12D6" w:rsidRPr="0040260E">
        <w:rPr>
          <w:rFonts w:ascii="Times New Roman" w:hAnsi="Times New Roman"/>
          <w:szCs w:val="22"/>
        </w:rPr>
        <w:t xml:space="preserve">Jedna </w:t>
      </w:r>
      <w:r w:rsidR="00E9367B" w:rsidRPr="0040260E">
        <w:rPr>
          <w:rFonts w:ascii="Times New Roman" w:hAnsi="Times New Roman"/>
          <w:szCs w:val="22"/>
        </w:rPr>
        <w:t>tablet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obsahuje 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 xml:space="preserve">forme </w:t>
      </w:r>
      <w:r w:rsidR="00945AD4" w:rsidRPr="0040260E">
        <w:rPr>
          <w:rFonts w:ascii="Times New Roman" w:hAnsi="Times New Roman"/>
          <w:szCs w:val="22"/>
        </w:rPr>
        <w:t>paroxetíniumchloridu).</w:t>
      </w:r>
    </w:p>
    <w:p w14:paraId="478758BE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E6451AF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Úplný zoznam pomocných látok, 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6.1.</w:t>
      </w:r>
    </w:p>
    <w:p w14:paraId="599E6630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CC32172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4E6DC5E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LIEKOVÁ FORMA</w:t>
      </w:r>
    </w:p>
    <w:p w14:paraId="37A0E6B4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2BF581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Tableta.</w:t>
      </w:r>
    </w:p>
    <w:p w14:paraId="71A335E1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1D56FC8A" w14:textId="77777777" w:rsidR="00C978CD" w:rsidRPr="0040260E" w:rsidRDefault="00D84F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ARKETIS 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plochá sivobiela okrúhla tableta so skosenými hranami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označením „20“</w:t>
      </w:r>
      <w:r w:rsidR="00BF080F" w:rsidRPr="0040260E">
        <w:rPr>
          <w:rFonts w:ascii="Times New Roman" w:hAnsi="Times New Roman"/>
          <w:szCs w:val="22"/>
        </w:rPr>
        <w:t>,</w:t>
      </w:r>
      <w:r w:rsidR="00E9367B" w:rsidRPr="0040260E">
        <w:rPr>
          <w:rFonts w:ascii="Times New Roman" w:hAnsi="Times New Roman"/>
          <w:szCs w:val="22"/>
        </w:rPr>
        <w:t xml:space="preserve"> na jednej strane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 xml:space="preserve">deliacou ryhou. Tableta sa môže rozdeliť na </w:t>
      </w:r>
      <w:r w:rsidR="00BF080F" w:rsidRPr="0040260E">
        <w:rPr>
          <w:rFonts w:ascii="Times New Roman" w:hAnsi="Times New Roman"/>
          <w:szCs w:val="22"/>
        </w:rPr>
        <w:t>rovnaké dávky</w:t>
      </w:r>
      <w:r w:rsidR="00E9367B" w:rsidRPr="0040260E">
        <w:rPr>
          <w:rFonts w:ascii="Times New Roman" w:hAnsi="Times New Roman"/>
          <w:szCs w:val="22"/>
        </w:rPr>
        <w:t>.</w:t>
      </w:r>
    </w:p>
    <w:p w14:paraId="2D230117" w14:textId="77777777" w:rsidR="00E56A67" w:rsidRPr="0040260E" w:rsidRDefault="00E56A6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2EDA9B8" w14:textId="77777777" w:rsidR="00C978CD" w:rsidRPr="0040260E" w:rsidRDefault="00D84F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ARKETIS 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plochá sivobiela okrúhla tableta so skosenými hranami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 xml:space="preserve">deliacou ryhou. Tableta sa môže rozdeliť na </w:t>
      </w:r>
      <w:r w:rsidR="00BF080F" w:rsidRPr="0040260E">
        <w:rPr>
          <w:rFonts w:ascii="Times New Roman" w:hAnsi="Times New Roman"/>
          <w:szCs w:val="22"/>
        </w:rPr>
        <w:t>rovnaké dávky</w:t>
      </w:r>
      <w:r w:rsidR="00E9367B" w:rsidRPr="0040260E">
        <w:rPr>
          <w:rFonts w:ascii="Times New Roman" w:hAnsi="Times New Roman"/>
          <w:szCs w:val="22"/>
        </w:rPr>
        <w:t>.</w:t>
      </w:r>
    </w:p>
    <w:p w14:paraId="6294D3EE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293345F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644CCAFF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KLINICKÉ ÚDAJE</w:t>
      </w:r>
    </w:p>
    <w:p w14:paraId="7114721A" w14:textId="77777777" w:rsidR="00C978CD" w:rsidRPr="0040260E" w:rsidRDefault="00E9367B" w:rsidP="0040260E">
      <w:pPr>
        <w:pStyle w:val="Styl2"/>
        <w:spacing w:before="0" w:after="0"/>
      </w:pPr>
      <w:r w:rsidRPr="0040260E">
        <w:t>Terapeutické indikácie</w:t>
      </w:r>
    </w:p>
    <w:p w14:paraId="386A3BA4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E7EE781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Liečba</w:t>
      </w:r>
    </w:p>
    <w:p w14:paraId="45843367" w14:textId="77777777" w:rsidR="00C978CD" w:rsidRPr="0040260E" w:rsidRDefault="009577B2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Veľkej </w:t>
      </w:r>
      <w:r w:rsidR="00E9367B" w:rsidRPr="0040260E">
        <w:rPr>
          <w:rFonts w:ascii="Times New Roman" w:hAnsi="Times New Roman"/>
          <w:szCs w:val="22"/>
        </w:rPr>
        <w:t>depresívnej epizódy</w:t>
      </w:r>
    </w:p>
    <w:p w14:paraId="7BB4D3B3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Obsedantno</w:t>
      </w:r>
      <w:r w:rsidR="00BF080F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kompulzívnej poruchy</w:t>
      </w:r>
    </w:p>
    <w:p w14:paraId="632A7FB3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Panickej poruchy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agorafóbio</w:t>
      </w:r>
      <w:r w:rsidR="005F2843" w:rsidRPr="0040260E">
        <w:rPr>
          <w:rFonts w:ascii="Times New Roman" w:hAnsi="Times New Roman"/>
          <w:szCs w:val="22"/>
        </w:rPr>
        <w:t>u a</w:t>
      </w:r>
      <w:r w:rsidR="005734A8" w:rsidRPr="0040260E">
        <w:rPr>
          <w:rFonts w:ascii="Times New Roman" w:hAnsi="Times New Roman"/>
          <w:szCs w:val="22"/>
        </w:rPr>
        <w:t>lebo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be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nej</w:t>
      </w:r>
    </w:p>
    <w:p w14:paraId="7071D1A9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Sociálnej úzkostnej poruchy/</w:t>
      </w:r>
      <w:r w:rsidR="00027974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>ociálnej fóbie</w:t>
      </w:r>
    </w:p>
    <w:p w14:paraId="59854637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Generalizovanej úzkostnej poruchy</w:t>
      </w:r>
    </w:p>
    <w:p w14:paraId="68E395B4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Posttraumatickej stresovej poruchy</w:t>
      </w:r>
    </w:p>
    <w:p w14:paraId="7DF2FF8A" w14:textId="77777777" w:rsidR="00DB76AA" w:rsidRPr="0040260E" w:rsidRDefault="00DB76AA" w:rsidP="0040260E">
      <w:pPr>
        <w:pStyle w:val="Normlndobloku"/>
        <w:spacing w:after="0"/>
        <w:ind w:left="567" w:hanging="567"/>
        <w:jc w:val="left"/>
        <w:rPr>
          <w:rFonts w:ascii="Times New Roman" w:hAnsi="Times New Roman"/>
          <w:szCs w:val="22"/>
        </w:rPr>
      </w:pPr>
    </w:p>
    <w:p w14:paraId="6E425993" w14:textId="77777777" w:rsidR="00C978CD" w:rsidRPr="0040260E" w:rsidRDefault="00E9367B" w:rsidP="0040260E">
      <w:pPr>
        <w:pStyle w:val="Styl2"/>
        <w:spacing w:before="0" w:after="0"/>
      </w:pPr>
      <w:r w:rsidRPr="0040260E">
        <w:t>Dávkovanie</w:t>
      </w:r>
      <w:r w:rsidR="00307548" w:rsidRPr="0040260E">
        <w:t xml:space="preserve"> a </w:t>
      </w:r>
      <w:r w:rsidRPr="0040260E">
        <w:t>spôsob podávania</w:t>
      </w:r>
    </w:p>
    <w:p w14:paraId="027353C4" w14:textId="77777777" w:rsidR="00DB76AA" w:rsidRPr="0040260E" w:rsidRDefault="00DB76AA" w:rsidP="0040260E">
      <w:pPr>
        <w:pStyle w:val="Styl2-2"/>
      </w:pPr>
    </w:p>
    <w:p w14:paraId="1D614751" w14:textId="77777777" w:rsidR="00D63215" w:rsidRPr="0040260E" w:rsidRDefault="00D63215" w:rsidP="0040260E">
      <w:pPr>
        <w:pStyle w:val="Styl2-2"/>
      </w:pPr>
      <w:r w:rsidRPr="0040260E">
        <w:t>Dávkovanie</w:t>
      </w:r>
      <w:r w:rsidR="00DB76AA" w:rsidRPr="0040260E">
        <w:t>:</w:t>
      </w:r>
    </w:p>
    <w:p w14:paraId="37F9C259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3A1AB99" w14:textId="77777777" w:rsidR="000B406E" w:rsidRPr="0040260E" w:rsidRDefault="00407224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Veľká </w:t>
      </w:r>
      <w:r w:rsidR="00F23F4C" w:rsidRPr="0040260E">
        <w:rPr>
          <w:szCs w:val="22"/>
        </w:rPr>
        <w:t>depresívn</w:t>
      </w:r>
      <w:r w:rsidR="005F2843" w:rsidRPr="0040260E">
        <w:rPr>
          <w:szCs w:val="22"/>
        </w:rPr>
        <w:t xml:space="preserve">a </w:t>
      </w:r>
      <w:r w:rsidR="00F23F4C" w:rsidRPr="0040260E">
        <w:rPr>
          <w:szCs w:val="22"/>
        </w:rPr>
        <w:t>epizóda</w:t>
      </w:r>
    </w:p>
    <w:p w14:paraId="6C40C93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 Zlepšenie stav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začne zvyčajne už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prvom týždn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liečby, ale 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stať zjavnejšie až od druhéh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týždň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liečby. Tak ak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všetkých antidepresívnych lieko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dávkovanie musí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potreby hodnotiť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upravovať poča</w:t>
      </w:r>
      <w:r w:rsidR="005F2843" w:rsidRPr="0040260E">
        <w:rPr>
          <w:rFonts w:ascii="Times New Roman" w:hAnsi="Times New Roman"/>
          <w:szCs w:val="22"/>
        </w:rPr>
        <w:t>s </w:t>
      </w:r>
      <w:r w:rsidR="00307548" w:rsidRPr="0040260E">
        <w:rPr>
          <w:rFonts w:ascii="Times New Roman" w:hAnsi="Times New Roman"/>
          <w:szCs w:val="22"/>
        </w:rPr>
        <w:t>3 </w:t>
      </w:r>
      <w:r w:rsidRPr="0040260E">
        <w:rPr>
          <w:rFonts w:ascii="Times New Roman" w:hAnsi="Times New Roman"/>
          <w:szCs w:val="22"/>
        </w:rPr>
        <w:t>až 4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od začiatk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liečby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potom následne, ak 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bude považované 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klinicky vhodné.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niektorých 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nedostatočno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odpoveďo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odpovede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postupne zvyšovať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</w:p>
    <w:p w14:paraId="0C738159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majú liečiť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dostatočne dlhej doby</w:t>
      </w:r>
      <w:r w:rsidR="00156856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 xml:space="preserve"> najmenej 6 mesiacov,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zaistilo, že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nich nepretrvávajú žiadne symptómy.</w:t>
      </w:r>
    </w:p>
    <w:p w14:paraId="4635E250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C37ECA2" w14:textId="77777777" w:rsidR="00C978CD" w:rsidRPr="0040260E" w:rsidRDefault="00FC57D7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Obsedantno-kompulzívna porucha</w:t>
      </w:r>
    </w:p>
    <w:p w14:paraId="287DC6F7" w14:textId="77777777"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majú začať dávko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postupne zvyšovať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niekoľkých týždňoch </w:t>
      </w:r>
      <w:r w:rsidRPr="0040260E">
        <w:rPr>
          <w:rFonts w:ascii="Times New Roman" w:hAnsi="Times New Roman"/>
          <w:szCs w:val="22"/>
        </w:rPr>
        <w:lastRenderedPageBreak/>
        <w:t>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zvýšenie ich dávky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6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</w:t>
      </w:r>
    </w:p>
    <w:p w14:paraId="7C46A979" w14:textId="77777777" w:rsidR="00C978CD" w:rsidRPr="0040260E" w:rsidRDefault="00FC57D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obsedantno-kompulzívnou poruchou (obsessive compulsive disorder, OCD) sa majú liečiť počas dostatočne dlhej doby, aby sa zaistilo, že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 xml:space="preserve">nich nepretrvávajú žiadne symptómy. </w:t>
      </w:r>
      <w:r w:rsidR="00E9367B"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môže byť niekoľkomesačná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aj dlhši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časť 5.1).</w:t>
      </w:r>
    </w:p>
    <w:p w14:paraId="3DE08C8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6A7CF854" w14:textId="77777777"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Panická porucha</w:t>
      </w:r>
    </w:p>
    <w:p w14:paraId="574F991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majú začať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odpovede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postupne zvyšovať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dávku.</w:t>
      </w:r>
    </w:p>
    <w:p w14:paraId="23AFDFE5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Nízk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9183B" w:rsidRPr="0040260E">
        <w:rPr>
          <w:rFonts w:ascii="Times New Roman" w:hAnsi="Times New Roman"/>
          <w:szCs w:val="22"/>
        </w:rPr>
        <w:t>za</w:t>
      </w:r>
      <w:r w:rsidRPr="0040260E">
        <w:rPr>
          <w:rFonts w:ascii="Times New Roman" w:hAnsi="Times New Roman"/>
          <w:szCs w:val="22"/>
        </w:rPr>
        <w:t>čiatočná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preto,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minimalizoval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potenciálne zhoršenie symptomatológie panickéh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syndrómu, k čom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zvyčajne dochádz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skorých štádiách liečby tejt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poruchy.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zvýšenie ich dávky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6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</w:t>
      </w:r>
    </w:p>
    <w:p w14:paraId="2D2D08F1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panicko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porucho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majú liečiť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dostatočne dlhej doby,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zaistilo, že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nich nepretrvávajú žiadne symptómy. 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byť niekoľkomesačná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 dlhši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14:paraId="33BCDA98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6F1AD946" w14:textId="77777777"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Sociáln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úzkostná porucha/sociáln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fóbia</w:t>
      </w:r>
    </w:p>
    <w:p w14:paraId="740E4D62" w14:textId="77777777" w:rsidR="00BB6BF8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zvyšovanie ich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 Dlhodobé užívanie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pravidelne vyhodnocovať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14:paraId="63BBABA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1B4F3AB" w14:textId="77777777"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Generalizovaná úzkostná porucha</w:t>
      </w:r>
    </w:p>
    <w:p w14:paraId="05F4C45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zvyšovanie ich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prírastky,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 Dlhodobé užívanie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pravidelne vyhodnocovať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14:paraId="1A1CC939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D60491A" w14:textId="77777777"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Posttraumatická stresová porucha</w:t>
      </w:r>
    </w:p>
    <w:p w14:paraId="51E1498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zvyšovanie ich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prírastky,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 Dlhodobé užívanie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pravidelne vyhodnocovať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14:paraId="4ACEAD23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5D50389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VŠEOBECNÉ INFORMÁCIE</w:t>
      </w:r>
    </w:p>
    <w:p w14:paraId="07F58739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1515146" w14:textId="77777777" w:rsidR="00C978CD" w:rsidRPr="0040260E" w:rsidRDefault="000C014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z vysadenia </w:t>
      </w:r>
      <w:r w:rsidR="003D204E" w:rsidRPr="0040260E">
        <w:rPr>
          <w:szCs w:val="22"/>
        </w:rPr>
        <w:t>pozorované p</w:t>
      </w:r>
      <w:r w:rsidR="005F2843" w:rsidRPr="0040260E">
        <w:rPr>
          <w:szCs w:val="22"/>
        </w:rPr>
        <w:t xml:space="preserve">o </w:t>
      </w:r>
      <w:r w:rsidR="003D204E" w:rsidRPr="0040260E">
        <w:rPr>
          <w:szCs w:val="22"/>
        </w:rPr>
        <w:t>prerušení podávani</w:t>
      </w:r>
      <w:r w:rsidR="005F2843" w:rsidRPr="0040260E">
        <w:rPr>
          <w:szCs w:val="22"/>
        </w:rPr>
        <w:t xml:space="preserve">a </w:t>
      </w:r>
      <w:r w:rsidR="003D204E" w:rsidRPr="0040260E">
        <w:rPr>
          <w:szCs w:val="22"/>
        </w:rPr>
        <w:t>paroxetínu</w:t>
      </w:r>
    </w:p>
    <w:p w14:paraId="57A7D3C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Náhlem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prerušeni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užívani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zabrániť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</w:t>
      </w:r>
      <w:r w:rsidR="00083B1D" w:rsidRPr="0040260E">
        <w:rPr>
          <w:rFonts w:ascii="Times New Roman" w:hAnsi="Times New Roman"/>
          <w:szCs w:val="22"/>
        </w:rPr>
        <w:t>ti</w:t>
      </w:r>
      <w:r w:rsidR="004D7222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4.8). Režim postupnéh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znižovani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dávky uplatnený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klinických štúdiách spočíval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znižovaní dennej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týždenných intervaloch. Ak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znížení dávky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liečby objavi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neznesiteľné symptómy, 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zvážiť pokračovanie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predtým predpísano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dávkou. Následne môže lekár pokračovať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znižovaní dávky, ale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pozvoľnejšo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rýchlosťou.</w:t>
      </w:r>
    </w:p>
    <w:p w14:paraId="5C74621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7E4F728" w14:textId="77777777" w:rsidR="00C978CD" w:rsidRPr="0040260E" w:rsidRDefault="00186526" w:rsidP="0040260E">
      <w:pPr>
        <w:pStyle w:val="Styl3"/>
        <w:spacing w:after="0"/>
        <w:jc w:val="left"/>
        <w:rPr>
          <w:i/>
          <w:szCs w:val="22"/>
        </w:rPr>
      </w:pPr>
      <w:r w:rsidRPr="0040260E">
        <w:rPr>
          <w:i/>
          <w:szCs w:val="22"/>
        </w:rPr>
        <w:t xml:space="preserve">Osobitné </w:t>
      </w:r>
      <w:r w:rsidR="00083B1D" w:rsidRPr="0040260E">
        <w:rPr>
          <w:i/>
          <w:szCs w:val="22"/>
        </w:rPr>
        <w:t>skupiny pacientov</w:t>
      </w:r>
    </w:p>
    <w:p w14:paraId="25EAA6B4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60A13E5" w14:textId="77777777" w:rsidR="00C978CD" w:rsidRPr="0040260E" w:rsidRDefault="00D63215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Pediatrická populácia </w:t>
      </w:r>
    </w:p>
    <w:p w14:paraId="3BA9FD20" w14:textId="77777777" w:rsidR="00C978CD" w:rsidRPr="0040260E" w:rsidRDefault="00307548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Deti a dospievajúci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(7</w:t>
      </w:r>
      <w:r w:rsidR="00BB6BF8" w:rsidRPr="0040260E">
        <w:rPr>
          <w:rFonts w:ascii="Times New Roman" w:hAnsi="Times New Roman"/>
          <w:szCs w:val="22"/>
        </w:rPr>
        <w:t>–</w:t>
      </w:r>
      <w:r w:rsidR="004D7222" w:rsidRPr="0040260E">
        <w:rPr>
          <w:rFonts w:ascii="Times New Roman" w:hAnsi="Times New Roman"/>
          <w:szCs w:val="22"/>
        </w:rPr>
        <w:t>17 </w:t>
      </w:r>
      <w:r w:rsidR="00E9367B" w:rsidRPr="0040260E">
        <w:rPr>
          <w:rFonts w:ascii="Times New Roman" w:hAnsi="Times New Roman"/>
          <w:szCs w:val="22"/>
        </w:rPr>
        <w:t>ro</w:t>
      </w:r>
      <w:r w:rsidR="00083B1D" w:rsidRPr="0040260E">
        <w:rPr>
          <w:rFonts w:ascii="Times New Roman" w:hAnsi="Times New Roman"/>
          <w:szCs w:val="22"/>
        </w:rPr>
        <w:t>kov</w:t>
      </w:r>
      <w:r w:rsidR="00E9367B" w:rsidRPr="0040260E">
        <w:rPr>
          <w:rFonts w:ascii="Times New Roman" w:hAnsi="Times New Roman"/>
          <w:szCs w:val="22"/>
        </w:rPr>
        <w:t>)</w:t>
      </w:r>
    </w:p>
    <w:p w14:paraId="036092AA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používať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5E7CD9" w:rsidRPr="0040260E">
        <w:rPr>
          <w:rFonts w:ascii="Times New Roman" w:hAnsi="Times New Roman"/>
          <w:szCs w:val="22"/>
        </w:rPr>
        <w:t>dospievajúcich</w:t>
      </w:r>
      <w:r w:rsidRPr="0040260E">
        <w:rPr>
          <w:rFonts w:ascii="Times New Roman" w:hAnsi="Times New Roman"/>
          <w:szCs w:val="22"/>
        </w:rPr>
        <w:t>, pretože kontrolované klinické štúdie zistili, že 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spáj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zvýšeným rizikom samovražednéh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správani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nepriateľstva.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týcht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štúdiách okrem toh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nebol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dostatočne potvrdená účinnosť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</w:t>
      </w:r>
      <w:r w:rsidR="00083B1D" w:rsidRPr="0040260E">
        <w:rPr>
          <w:rFonts w:ascii="Times New Roman" w:hAnsi="Times New Roman"/>
          <w:szCs w:val="22"/>
        </w:rPr>
        <w:t xml:space="preserve">ti </w:t>
      </w:r>
      <w:r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4.8).</w:t>
      </w:r>
    </w:p>
    <w:p w14:paraId="2AE735A9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3026D30" w14:textId="77777777" w:rsidR="00C978CD" w:rsidRPr="0040260E" w:rsidRDefault="00307548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Deti </w:t>
      </w:r>
      <w:r w:rsidR="00E9367B" w:rsidRPr="0040260E">
        <w:rPr>
          <w:rFonts w:ascii="Times New Roman" w:hAnsi="Times New Roman"/>
          <w:szCs w:val="22"/>
        </w:rPr>
        <w:t>mladši</w:t>
      </w:r>
      <w:r w:rsidRPr="0040260E">
        <w:rPr>
          <w:rFonts w:ascii="Times New Roman" w:hAnsi="Times New Roman"/>
          <w:szCs w:val="22"/>
        </w:rPr>
        <w:t>e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7 </w:t>
      </w:r>
      <w:r w:rsidR="00E9367B" w:rsidRPr="0040260E">
        <w:rPr>
          <w:rFonts w:ascii="Times New Roman" w:hAnsi="Times New Roman"/>
          <w:szCs w:val="22"/>
        </w:rPr>
        <w:t>rokov</w:t>
      </w:r>
    </w:p>
    <w:p w14:paraId="0F238748" w14:textId="77777777" w:rsidR="00C978CD" w:rsidRPr="0040260E" w:rsidRDefault="005F2843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detí mladších ak</w:t>
      </w:r>
      <w:r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7 </w:t>
      </w:r>
      <w:r w:rsidR="00E9367B" w:rsidRPr="0040260E">
        <w:rPr>
          <w:rFonts w:ascii="Times New Roman" w:hAnsi="Times New Roman"/>
          <w:szCs w:val="22"/>
        </w:rPr>
        <w:t>roko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nebol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použitie paroxetín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skúmané. Paroxetín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nemá </w:t>
      </w:r>
      <w:r w:rsidR="005E7CD9" w:rsidRPr="0040260E">
        <w:rPr>
          <w:rFonts w:ascii="Times New Roman" w:hAnsi="Times New Roman"/>
          <w:szCs w:val="22"/>
        </w:rPr>
        <w:t>po</w:t>
      </w:r>
      <w:r w:rsidR="00E9367B" w:rsidRPr="0040260E">
        <w:rPr>
          <w:rFonts w:ascii="Times New Roman" w:hAnsi="Times New Roman"/>
          <w:szCs w:val="22"/>
        </w:rPr>
        <w:t>užívať, pretože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tejt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vekovej skupine nebol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bezpečnosť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účinnosť potvrdená.</w:t>
      </w:r>
    </w:p>
    <w:p w14:paraId="61099B84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89FF6F0" w14:textId="77777777" w:rsidR="00D63215" w:rsidRPr="0040260E" w:rsidRDefault="00D63215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lastRenderedPageBreak/>
        <w:t>Starší ľudia</w:t>
      </w:r>
    </w:p>
    <w:p w14:paraId="3BD122D0" w14:textId="77777777" w:rsidR="00D63215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U starších ľudí sa vyskytujú zvýšené plazmatické koncentrácie paroxetínu, dosiahnuté hodnoty však nevybočujú z rozmedzia hodnôt pozorovaných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mladších vekových skupinách. Dávkovanie sa má začať</w:t>
      </w:r>
      <w:r w:rsidR="00CB2447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 xml:space="preserve">počiatočnou </w:t>
      </w:r>
      <w:r w:rsidRPr="0040260E">
        <w:rPr>
          <w:rFonts w:ascii="Times New Roman" w:hAnsi="Times New Roman"/>
          <w:szCs w:val="22"/>
        </w:rPr>
        <w:t>dávkou pre dospelých.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niektorých pacientov môže byť zvyšovanie dávky užitočné, ale nemá sa presiahnuť maximálna dávka 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</w:p>
    <w:p w14:paraId="6131664B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F2E3831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Poruch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funkcie obličiek/pečene</w:t>
      </w:r>
    </w:p>
    <w:p w14:paraId="6B2E8DAF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závažno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obličiek (klíren</w:t>
      </w:r>
      <w:r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kreatinín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menej 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ml/min) aleb</w:t>
      </w:r>
      <w:r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pečene dochádz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k zvýšeným plazmatickým koncentráciám paroxetínu. Dávkovanie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pret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musí znížiť až 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dolnú hranic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dávkovacieh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rozsahu.</w:t>
      </w:r>
    </w:p>
    <w:p w14:paraId="73FE6343" w14:textId="77777777" w:rsidR="00DB76AA" w:rsidRPr="00DD1A53" w:rsidRDefault="00DB76AA" w:rsidP="0040260E">
      <w:pPr>
        <w:pStyle w:val="Styl2-2"/>
        <w:rPr>
          <w:lang w:val="sk-SK"/>
        </w:rPr>
      </w:pPr>
    </w:p>
    <w:p w14:paraId="013308BD" w14:textId="77777777" w:rsidR="00D63215" w:rsidRPr="00DD1A53" w:rsidRDefault="00D63215" w:rsidP="0040260E">
      <w:pPr>
        <w:pStyle w:val="Styl2-2"/>
        <w:rPr>
          <w:lang w:val="sk-SK"/>
        </w:rPr>
      </w:pPr>
      <w:r w:rsidRPr="0040260E">
        <w:rPr>
          <w:lang w:val="sk-SK"/>
        </w:rPr>
        <w:t>Spôsob</w:t>
      </w:r>
      <w:r w:rsidRPr="00DD1A53">
        <w:rPr>
          <w:lang w:val="sk-SK"/>
        </w:rPr>
        <w:t xml:space="preserve"> </w:t>
      </w:r>
      <w:r w:rsidRPr="0040260E">
        <w:rPr>
          <w:lang w:val="sk-SK"/>
        </w:rPr>
        <w:t>podávania</w:t>
      </w:r>
      <w:r w:rsidR="00BD7091" w:rsidRPr="00DD1A53">
        <w:rPr>
          <w:lang w:val="sk-SK"/>
        </w:rPr>
        <w:t>:</w:t>
      </w:r>
    </w:p>
    <w:p w14:paraId="1DE2F6D4" w14:textId="77777777" w:rsidR="00BD7091" w:rsidRPr="00DD1A53" w:rsidRDefault="00BD7091" w:rsidP="0040260E">
      <w:pPr>
        <w:rPr>
          <w:szCs w:val="22"/>
          <w:lang w:val="sk-SK"/>
        </w:rPr>
      </w:pPr>
    </w:p>
    <w:p w14:paraId="2723F763" w14:textId="77777777" w:rsidR="00BD7091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 sa podávať paroxetín jedenkrát denne ráno spolu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 xml:space="preserve">jedlom. </w:t>
      </w:r>
      <w:r w:rsidR="003F4A54" w:rsidRPr="0040260E">
        <w:rPr>
          <w:rFonts w:ascii="Times New Roman" w:hAnsi="Times New Roman"/>
          <w:szCs w:val="22"/>
        </w:rPr>
        <w:t xml:space="preserve">Aby sa predišlo nepríjemným </w:t>
      </w:r>
      <w:r w:rsidR="00BD7091" w:rsidRPr="0040260E">
        <w:rPr>
          <w:rFonts w:ascii="Times New Roman" w:hAnsi="Times New Roman"/>
          <w:szCs w:val="22"/>
        </w:rPr>
        <w:t xml:space="preserve">lokálnym </w:t>
      </w:r>
      <w:r w:rsidR="003F4A54" w:rsidRPr="0040260E">
        <w:rPr>
          <w:rFonts w:ascii="Times New Roman" w:hAnsi="Times New Roman"/>
          <w:szCs w:val="22"/>
        </w:rPr>
        <w:t>reakciám pri užití tablety (ako je horkosť v ústach, pálenie v krku, dráždivý kašeľ alebo pocit na dávenie), tableta sa nemá cmúľať, žuť alebo ponechávať v ústach, ale má sa celá ihneď prehltnúť a zapiť dostatočným množstvo vody (najmenej 150 ml).</w:t>
      </w:r>
    </w:p>
    <w:p w14:paraId="29D6642D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0CDCDF5" w14:textId="77777777" w:rsidR="00D63215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Na perorálne podanie.</w:t>
      </w:r>
    </w:p>
    <w:p w14:paraId="1262E34C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6B687AD" w14:textId="77777777" w:rsidR="00C978CD" w:rsidRPr="0040260E" w:rsidRDefault="00E9367B" w:rsidP="0040260E">
      <w:pPr>
        <w:pStyle w:val="Styl2"/>
        <w:spacing w:before="0" w:after="0"/>
      </w:pPr>
      <w:r w:rsidRPr="0040260E">
        <w:t>Kontraindikácie</w:t>
      </w:r>
    </w:p>
    <w:p w14:paraId="537FEEB8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6DF5FC9B" w14:textId="77777777" w:rsidR="00C978CD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Precitlivenosť</w:t>
      </w:r>
      <w:r w:rsidR="00E3436C" w:rsidRPr="0040260E">
        <w:rPr>
          <w:rFonts w:ascii="Times New Roman" w:hAnsi="Times New Roman"/>
          <w:szCs w:val="22"/>
        </w:rPr>
        <w:t xml:space="preserve"> na </w:t>
      </w:r>
      <w:r w:rsidR="00BB6BF8" w:rsidRPr="0040260E">
        <w:rPr>
          <w:rFonts w:ascii="Times New Roman" w:hAnsi="Times New Roman"/>
          <w:szCs w:val="22"/>
        </w:rPr>
        <w:t>liečiv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E4B2E" w:rsidRPr="0040260E">
        <w:rPr>
          <w:rFonts w:ascii="Times New Roman" w:hAnsi="Times New Roman"/>
          <w:szCs w:val="22"/>
        </w:rPr>
        <w:t xml:space="preserve">ktorúkoľvek </w:t>
      </w:r>
      <w:r w:rsidR="005F2843"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pomocných látok</w:t>
      </w:r>
      <w:r w:rsidR="009E4B2E" w:rsidRPr="0040260E">
        <w:rPr>
          <w:rFonts w:ascii="Times New Roman" w:hAnsi="Times New Roman"/>
          <w:szCs w:val="22"/>
        </w:rPr>
        <w:t xml:space="preserve"> uvedených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9E4B2E" w:rsidRPr="0040260E">
        <w:rPr>
          <w:rFonts w:ascii="Times New Roman" w:hAnsi="Times New Roman"/>
          <w:szCs w:val="22"/>
        </w:rPr>
        <w:t>čast</w:t>
      </w:r>
      <w:r w:rsidR="005F2843" w:rsidRPr="0040260E">
        <w:rPr>
          <w:rFonts w:ascii="Times New Roman" w:hAnsi="Times New Roman"/>
          <w:szCs w:val="22"/>
        </w:rPr>
        <w:t>i</w:t>
      </w:r>
      <w:r w:rsidR="004D7222" w:rsidRPr="0040260E">
        <w:rPr>
          <w:rFonts w:ascii="Times New Roman" w:hAnsi="Times New Roman"/>
          <w:szCs w:val="22"/>
        </w:rPr>
        <w:t> </w:t>
      </w:r>
      <w:r w:rsidR="009E4B2E" w:rsidRPr="0040260E">
        <w:rPr>
          <w:rFonts w:ascii="Times New Roman" w:hAnsi="Times New Roman"/>
          <w:szCs w:val="22"/>
        </w:rPr>
        <w:t>6.1.</w:t>
      </w:r>
    </w:p>
    <w:p w14:paraId="10E8B881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AFAD972" w14:textId="77777777" w:rsidR="004D2778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je kontraindikovaný</w:t>
      </w:r>
      <w:r w:rsidR="00307548" w:rsidRPr="0040260E">
        <w:rPr>
          <w:rFonts w:ascii="Times New Roman" w:hAnsi="Times New Roman"/>
          <w:szCs w:val="22"/>
        </w:rPr>
        <w:t xml:space="preserve"> v</w:t>
      </w:r>
      <w:r w:rsidR="00AC20ED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AC20ED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inhibítorm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monoaminooxidázy (IMAO).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="004D2778" w:rsidRPr="0040260E">
        <w:rPr>
          <w:rFonts w:ascii="Times New Roman" w:hAnsi="Times New Roman"/>
          <w:szCs w:val="22"/>
        </w:rPr>
        <w:t>Vo</w:t>
      </w:r>
      <w:r w:rsidR="00BD7091" w:rsidRPr="0040260E">
        <w:rPr>
          <w:rFonts w:ascii="Times New Roman" w:hAnsi="Times New Roman"/>
          <w:szCs w:val="22"/>
        </w:rPr>
        <w:t> </w:t>
      </w:r>
      <w:r w:rsidR="004D2778" w:rsidRPr="0040260E">
        <w:rPr>
          <w:rFonts w:ascii="Times New Roman" w:hAnsi="Times New Roman"/>
          <w:szCs w:val="22"/>
        </w:rPr>
        <w:t xml:space="preserve">výnimočných situáciách je možné paroxetín podávať </w:t>
      </w:r>
      <w:r w:rsidR="00471DC3" w:rsidRPr="0040260E">
        <w:rPr>
          <w:rFonts w:ascii="Times New Roman" w:hAnsi="Times New Roman"/>
          <w:szCs w:val="22"/>
        </w:rPr>
        <w:t>súbežne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4D2778" w:rsidRPr="0040260E">
        <w:rPr>
          <w:rFonts w:ascii="Times New Roman" w:hAnsi="Times New Roman"/>
          <w:szCs w:val="22"/>
        </w:rPr>
        <w:t xml:space="preserve">linezolidom (antibiotikum, reverzibilný neselektívny IMAO) za predpokladu, že sú k dispozícií zariadenia na monitorovanie prejavov </w:t>
      </w:r>
      <w:r w:rsidR="00004278" w:rsidRPr="0040260E">
        <w:rPr>
          <w:rFonts w:ascii="Times New Roman" w:hAnsi="Times New Roman"/>
          <w:szCs w:val="22"/>
        </w:rPr>
        <w:t>sérotonín</w:t>
      </w:r>
      <w:r w:rsidR="004D2778" w:rsidRPr="0040260E">
        <w:rPr>
          <w:rFonts w:ascii="Times New Roman" w:hAnsi="Times New Roman"/>
          <w:szCs w:val="22"/>
        </w:rPr>
        <w:t>ového syndrómu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D2778" w:rsidRPr="0040260E">
        <w:rPr>
          <w:rFonts w:ascii="Times New Roman" w:hAnsi="Times New Roman"/>
          <w:szCs w:val="22"/>
        </w:rPr>
        <w:t>krvného tlaku (pozri časť 4.5).</w:t>
      </w:r>
    </w:p>
    <w:p w14:paraId="1474C72E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F09DE3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začať:</w:t>
      </w:r>
    </w:p>
    <w:p w14:paraId="189FC2A6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dvoch týždňoch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ireverzibilnéh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IMAO, alebo</w:t>
      </w:r>
    </w:p>
    <w:p w14:paraId="43FB10C7" w14:textId="77777777"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najmenej 24 hodín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reverzibilnéh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(napr. moklobemid</w:t>
      </w:r>
      <w:r w:rsidR="00593F66" w:rsidRPr="0040260E">
        <w:rPr>
          <w:rFonts w:ascii="Times New Roman" w:hAnsi="Times New Roman"/>
          <w:szCs w:val="22"/>
        </w:rPr>
        <w:t>, linezolid, methylthioninium chlorid (met</w:t>
      </w:r>
      <w:r w:rsidR="00631A17" w:rsidRPr="0040260E">
        <w:rPr>
          <w:rFonts w:ascii="Times New Roman" w:hAnsi="Times New Roman"/>
          <w:szCs w:val="22"/>
        </w:rPr>
        <w:t>yl</w:t>
      </w:r>
      <w:r w:rsidR="004D2778" w:rsidRPr="0040260E">
        <w:rPr>
          <w:rFonts w:ascii="Times New Roman" w:hAnsi="Times New Roman"/>
          <w:szCs w:val="22"/>
        </w:rPr>
        <w:t>é</w:t>
      </w:r>
      <w:r w:rsidR="00631A17" w:rsidRPr="0040260E">
        <w:rPr>
          <w:rFonts w:ascii="Times New Roman" w:hAnsi="Times New Roman"/>
          <w:szCs w:val="22"/>
        </w:rPr>
        <w:t>nová modrá</w:t>
      </w:r>
      <w:r w:rsidR="006A2166" w:rsidRPr="0040260E">
        <w:rPr>
          <w:rFonts w:ascii="Times New Roman" w:hAnsi="Times New Roman"/>
          <w:szCs w:val="22"/>
        </w:rPr>
        <w:t xml:space="preserve"> - </w:t>
      </w:r>
      <w:r w:rsidR="00631A17" w:rsidRPr="0040260E">
        <w:rPr>
          <w:rFonts w:ascii="Times New Roman" w:hAnsi="Times New Roman"/>
          <w:szCs w:val="22"/>
        </w:rPr>
        <w:t>predoperačné vizualizačné činidlo</w:t>
      </w:r>
      <w:r w:rsidR="00593F66" w:rsidRPr="0040260E">
        <w:rPr>
          <w:rFonts w:ascii="Times New Roman" w:hAnsi="Times New Roman"/>
          <w:szCs w:val="22"/>
        </w:rPr>
        <w:t>, ktoré je reverzibiln</w:t>
      </w:r>
      <w:r w:rsidR="00631A17" w:rsidRPr="0040260E">
        <w:rPr>
          <w:rFonts w:ascii="Times New Roman" w:hAnsi="Times New Roman"/>
          <w:szCs w:val="22"/>
        </w:rPr>
        <w:t xml:space="preserve">ým neselektívnym </w:t>
      </w:r>
      <w:r w:rsidR="00271429" w:rsidRPr="0040260E">
        <w:rPr>
          <w:rFonts w:ascii="Times New Roman" w:hAnsi="Times New Roman"/>
          <w:szCs w:val="22"/>
        </w:rPr>
        <w:t>IMAO</w:t>
      </w:r>
      <w:r w:rsidR="00593F66" w:rsidRPr="0040260E">
        <w:rPr>
          <w:rFonts w:ascii="Times New Roman" w:hAnsi="Times New Roman"/>
          <w:szCs w:val="22"/>
        </w:rPr>
        <w:t>)</w:t>
      </w:r>
      <w:r w:rsidRPr="0040260E">
        <w:rPr>
          <w:rFonts w:ascii="Times New Roman" w:hAnsi="Times New Roman"/>
          <w:szCs w:val="22"/>
        </w:rPr>
        <w:t>).</w:t>
      </w:r>
    </w:p>
    <w:p w14:paraId="11BF7E29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A57928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prerušením liečby paroxetínom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začatím liečby akýmkoľvek 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musí uplynúť najmenej jeden týždeň.</w:t>
      </w:r>
    </w:p>
    <w:p w14:paraId="0C9D489F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8F7ADB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tioridazínom, pretože, 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iné liečivá, ktoré inhibujú pečeňový enzým CYP45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2D6, paroxetín môže zvýšiť plazmatické hladiny tioridazín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4.5). Podávanie samostatnéh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tioridazín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môže viesť k predĺženi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QTc interval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spojení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závažno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komorovo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arytmio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torsade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de pointe</w:t>
      </w:r>
      <w:r w:rsidR="005F2843" w:rsidRPr="0040260E">
        <w:rPr>
          <w:rFonts w:ascii="Times New Roman" w:hAnsi="Times New Roman"/>
          <w:szCs w:val="22"/>
        </w:rPr>
        <w:t>s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náhlo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smrťou.</w:t>
      </w:r>
    </w:p>
    <w:p w14:paraId="20D10B6C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EAFE6F5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pimozidom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4.5).</w:t>
      </w:r>
    </w:p>
    <w:p w14:paraId="0D3C0BBD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39B171E" w14:textId="77777777" w:rsidR="00C978CD" w:rsidRPr="0040260E" w:rsidRDefault="00E9367B" w:rsidP="0040260E">
      <w:pPr>
        <w:pStyle w:val="Styl2"/>
        <w:spacing w:before="0" w:after="0"/>
      </w:pPr>
      <w:r w:rsidRPr="0040260E">
        <w:t>Osobitné upozorneni</w:t>
      </w:r>
      <w:r w:rsidR="005F2843" w:rsidRPr="0040260E">
        <w:t>a</w:t>
      </w:r>
      <w:r w:rsidR="00307548" w:rsidRPr="0040260E">
        <w:t xml:space="preserve"> a </w:t>
      </w:r>
      <w:r w:rsidRPr="0040260E">
        <w:t>opatreni</w:t>
      </w:r>
      <w:r w:rsidR="005F2843" w:rsidRPr="0040260E">
        <w:t xml:space="preserve">a </w:t>
      </w:r>
      <w:r w:rsidRPr="0040260E">
        <w:t>pr</w:t>
      </w:r>
      <w:r w:rsidR="005F2843" w:rsidRPr="0040260E">
        <w:t xml:space="preserve">i </w:t>
      </w:r>
      <w:r w:rsidRPr="0040260E">
        <w:t>používaní</w:t>
      </w:r>
    </w:p>
    <w:p w14:paraId="7FD2C258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376B21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začať opatrne až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dvoch týždňoch od ukončeni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liečby ireverzibilným 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24 </w:t>
      </w:r>
      <w:r w:rsidRPr="0040260E">
        <w:rPr>
          <w:rFonts w:ascii="Times New Roman" w:hAnsi="Times New Roman"/>
          <w:szCs w:val="22"/>
        </w:rPr>
        <w:t>hodín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ukončení liečby reverzibilným inhibítorom MAO.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Dávky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majú postupne zvyšovať až dovtedy, kým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nedosiahne optimáln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odpoveď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</w:t>
      </w:r>
      <w:r w:rsidR="008047DE" w:rsidRPr="0040260E">
        <w:rPr>
          <w:rFonts w:ascii="Times New Roman" w:hAnsi="Times New Roman"/>
          <w:szCs w:val="22"/>
        </w:rPr>
        <w:t>ti</w:t>
      </w:r>
      <w:r w:rsidRPr="0040260E">
        <w:rPr>
          <w:rFonts w:ascii="Times New Roman" w:hAnsi="Times New Roman"/>
          <w:szCs w:val="22"/>
        </w:rPr>
        <w:t xml:space="preserve"> 4.</w:t>
      </w:r>
      <w:r w:rsidR="004D7222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5</w:t>
      </w:r>
      <w:r w:rsidRPr="0040260E">
        <w:rPr>
          <w:rFonts w:ascii="Times New Roman" w:hAnsi="Times New Roman"/>
          <w:szCs w:val="22"/>
        </w:rPr>
        <w:t>).</w:t>
      </w:r>
    </w:p>
    <w:p w14:paraId="0B9BDE07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5A15DB3" w14:textId="77777777" w:rsidR="00E3436C" w:rsidRPr="0040260E" w:rsidRDefault="00E3436C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Pediatrická populácia</w:t>
      </w:r>
    </w:p>
    <w:p w14:paraId="4A948DD8" w14:textId="77777777"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používať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dospievajúcich</w:t>
      </w:r>
      <w:r w:rsidRPr="0040260E">
        <w:rPr>
          <w:rFonts w:ascii="Times New Roman" w:hAnsi="Times New Roman"/>
          <w:szCs w:val="22"/>
        </w:rPr>
        <w:t xml:space="preserve">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18 </w:t>
      </w:r>
      <w:r w:rsidRPr="0040260E">
        <w:rPr>
          <w:rFonts w:ascii="Times New Roman" w:hAnsi="Times New Roman"/>
          <w:szCs w:val="22"/>
        </w:rPr>
        <w:t>rokov</w:t>
      </w:r>
      <w:r w:rsidR="00192413" w:rsidRPr="0040260E">
        <w:rPr>
          <w:rFonts w:ascii="Times New Roman" w:hAnsi="Times New Roman"/>
          <w:szCs w:val="22"/>
        </w:rPr>
        <w:t xml:space="preserve"> Správanie spojené so</w:t>
      </w:r>
      <w:r w:rsidR="00BD7091" w:rsidRPr="0040260E">
        <w:rPr>
          <w:rFonts w:ascii="Times New Roman" w:hAnsi="Times New Roman"/>
          <w:szCs w:val="22"/>
        </w:rPr>
        <w:t> </w:t>
      </w:r>
      <w:r w:rsidR="00192413" w:rsidRPr="0040260E">
        <w:rPr>
          <w:rFonts w:ascii="Times New Roman" w:hAnsi="Times New Roman"/>
          <w:szCs w:val="22"/>
        </w:rPr>
        <w:t>samovraždou (pokus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192413" w:rsidRPr="0040260E">
        <w:rPr>
          <w:rFonts w:ascii="Times New Roman" w:hAnsi="Times New Roman"/>
          <w:szCs w:val="22"/>
        </w:rPr>
        <w:t>samovraždu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samovražedné myšlienky)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nepriateľstvo (hlavne agresia, nepriateľské správanie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hnev) boli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192413" w:rsidRPr="0040260E">
        <w:rPr>
          <w:rFonts w:ascii="Times New Roman" w:hAnsi="Times New Roman"/>
          <w:szCs w:val="22"/>
        </w:rPr>
        <w:t>klinických štúdiách pozorované častejšie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192413"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dospievajúcich liečených antidepresívami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192413"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192413" w:rsidRPr="0040260E">
        <w:rPr>
          <w:rFonts w:ascii="Times New Roman" w:hAnsi="Times New Roman"/>
          <w:szCs w:val="22"/>
        </w:rPr>
        <w:t>deťmi</w:t>
      </w:r>
      <w:r w:rsidR="00307548" w:rsidRPr="0040260E">
        <w:rPr>
          <w:rFonts w:ascii="Times New Roman" w:hAnsi="Times New Roman"/>
          <w:szCs w:val="22"/>
        </w:rPr>
        <w:t xml:space="preserve"> a</w:t>
      </w:r>
      <w:r w:rsidR="00C35D6B" w:rsidRPr="0040260E">
        <w:rPr>
          <w:rFonts w:ascii="Times New Roman" w:hAnsi="Times New Roman"/>
          <w:szCs w:val="22"/>
        </w:rPr>
        <w:t> </w:t>
      </w:r>
      <w:r w:rsidR="00192413" w:rsidRPr="0040260E">
        <w:rPr>
          <w:rFonts w:ascii="Times New Roman" w:hAnsi="Times New Roman"/>
          <w:szCs w:val="22"/>
        </w:rPr>
        <w:t>dospievajúcimi</w:t>
      </w:r>
      <w:r w:rsidR="00C35D6B" w:rsidRPr="0040260E">
        <w:rPr>
          <w:rFonts w:ascii="Times New Roman" w:hAnsi="Times New Roman"/>
          <w:szCs w:val="22"/>
        </w:rPr>
        <w:t>,</w:t>
      </w:r>
      <w:r w:rsidR="00192413" w:rsidRPr="0040260E">
        <w:rPr>
          <w:rFonts w:ascii="Times New Roman" w:hAnsi="Times New Roman"/>
          <w:szCs w:val="22"/>
        </w:rPr>
        <w:t xml:space="preserve"> ktorým bolo podávané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placebo. Ak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základe klinickej potreby preds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len rozhodne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liečbe, pacient musí byť starostliv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sledovaný </w:t>
      </w:r>
      <w:r w:rsidRPr="0040260E">
        <w:rPr>
          <w:rFonts w:ascii="Times New Roman" w:hAnsi="Times New Roman"/>
          <w:szCs w:val="22"/>
        </w:rPr>
        <w:lastRenderedPageBreak/>
        <w:t>kvôl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výskyt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 xml:space="preserve">samovražedných symptómov. Navyše </w:t>
      </w:r>
      <w:r w:rsidR="00192413" w:rsidRPr="0040260E">
        <w:rPr>
          <w:rFonts w:ascii="Times New Roman" w:hAnsi="Times New Roman"/>
          <w:szCs w:val="22"/>
        </w:rPr>
        <w:t xml:space="preserve">chýbajú </w:t>
      </w:r>
      <w:r w:rsidRPr="0040260E">
        <w:rPr>
          <w:rFonts w:ascii="Times New Roman" w:hAnsi="Times New Roman"/>
          <w:szCs w:val="22"/>
        </w:rPr>
        <w:t>údaje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dlhodobej bezpečnost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požívani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 xml:space="preserve">dospievajúcich, </w:t>
      </w:r>
      <w:r w:rsidRPr="0040260E">
        <w:rPr>
          <w:rFonts w:ascii="Times New Roman" w:hAnsi="Times New Roman"/>
          <w:szCs w:val="22"/>
        </w:rPr>
        <w:t>týkajúce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rastu, dospievani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kognitívneh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behaviorálneh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vývoj</w:t>
      </w:r>
      <w:r w:rsidR="005F2843" w:rsidRPr="0040260E">
        <w:rPr>
          <w:rFonts w:ascii="Times New Roman" w:hAnsi="Times New Roman"/>
          <w:szCs w:val="22"/>
        </w:rPr>
        <w:t>a</w:t>
      </w:r>
      <w:r w:rsidR="00B91DB6" w:rsidRPr="0040260E">
        <w:rPr>
          <w:rFonts w:ascii="Times New Roman" w:hAnsi="Times New Roman"/>
          <w:szCs w:val="22"/>
        </w:rPr>
        <w:t>.</w:t>
      </w:r>
    </w:p>
    <w:p w14:paraId="40126E03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E133B10" w14:textId="77777777" w:rsidR="00C63429" w:rsidRPr="0040260E" w:rsidRDefault="00C63429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Samovražda/samovražedné myšlienky aleb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klinické zhoršenie</w:t>
      </w:r>
    </w:p>
    <w:p w14:paraId="62CDA3B6" w14:textId="77777777" w:rsidR="00B91DB6" w:rsidRPr="0040260E" w:rsidRDefault="00C63429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Depresi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91DB6" w:rsidRPr="0040260E">
        <w:rPr>
          <w:rFonts w:ascii="Times New Roman" w:hAnsi="Times New Roman"/>
          <w:szCs w:val="22"/>
        </w:rPr>
        <w:t xml:space="preserve">sa dáva do súvislosti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zvýšeným rizikom samovražedných myšlienok, sebapoškod</w:t>
      </w:r>
      <w:r w:rsidR="00B91DB6" w:rsidRPr="0040260E">
        <w:rPr>
          <w:rFonts w:ascii="Times New Roman" w:hAnsi="Times New Roman"/>
          <w:szCs w:val="22"/>
        </w:rPr>
        <w:t>e</w:t>
      </w:r>
      <w:r w:rsidR="006A2166" w:rsidRPr="0040260E">
        <w:rPr>
          <w:rFonts w:ascii="Times New Roman" w:hAnsi="Times New Roman"/>
          <w:szCs w:val="22"/>
        </w:rPr>
        <w:t>n</w:t>
      </w:r>
      <w:r w:rsidR="00B91DB6" w:rsidRPr="0040260E">
        <w:rPr>
          <w:rFonts w:ascii="Times New Roman" w:hAnsi="Times New Roman"/>
          <w:szCs w:val="22"/>
        </w:rPr>
        <w:t>ím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samovražd</w:t>
      </w:r>
      <w:r w:rsidR="00B91DB6" w:rsidRPr="0040260E">
        <w:rPr>
          <w:rFonts w:ascii="Times New Roman" w:hAnsi="Times New Roman"/>
          <w:szCs w:val="22"/>
        </w:rPr>
        <w:t>ou</w:t>
      </w:r>
      <w:r w:rsidRPr="0040260E">
        <w:rPr>
          <w:rFonts w:ascii="Times New Roman" w:hAnsi="Times New Roman"/>
          <w:szCs w:val="22"/>
        </w:rPr>
        <w:t xml:space="preserve"> (</w:t>
      </w:r>
      <w:r w:rsidR="00B91DB6" w:rsidRPr="0040260E">
        <w:rPr>
          <w:rFonts w:ascii="Times New Roman" w:hAnsi="Times New Roman"/>
          <w:szCs w:val="22"/>
        </w:rPr>
        <w:t>udalosti spojené so samovraždou</w:t>
      </w:r>
      <w:r w:rsidRPr="0040260E">
        <w:rPr>
          <w:rFonts w:ascii="Times New Roman" w:hAnsi="Times New Roman"/>
          <w:szCs w:val="22"/>
        </w:rPr>
        <w:t xml:space="preserve">). </w:t>
      </w:r>
      <w:r w:rsidR="00B91DB6" w:rsidRPr="0040260E">
        <w:rPr>
          <w:rFonts w:ascii="Times New Roman" w:hAnsi="Times New Roman"/>
          <w:szCs w:val="22"/>
        </w:rPr>
        <w:t>Toto riziko pretrváva až do nástupu zjavnej remisie.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Nakoľk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91DB6" w:rsidRPr="0040260E">
        <w:rPr>
          <w:rFonts w:ascii="Times New Roman" w:hAnsi="Times New Roman"/>
          <w:szCs w:val="22"/>
        </w:rPr>
        <w:t xml:space="preserve">sa </w:t>
      </w:r>
      <w:r w:rsidRPr="0040260E">
        <w:rPr>
          <w:rFonts w:ascii="Times New Roman" w:hAnsi="Times New Roman"/>
          <w:szCs w:val="22"/>
        </w:rPr>
        <w:t>zlepšenie nemusí prejaviť poča</w:t>
      </w:r>
      <w:r w:rsidR="005F2843" w:rsidRPr="0040260E">
        <w:rPr>
          <w:rFonts w:ascii="Times New Roman" w:hAnsi="Times New Roman"/>
          <w:szCs w:val="22"/>
        </w:rPr>
        <w:t>s </w:t>
      </w:r>
      <w:r w:rsidR="00B91DB6" w:rsidRPr="0040260E">
        <w:rPr>
          <w:rFonts w:ascii="Times New Roman" w:hAnsi="Times New Roman"/>
          <w:szCs w:val="22"/>
        </w:rPr>
        <w:t xml:space="preserve">prvých </w:t>
      </w:r>
      <w:r w:rsidRPr="0040260E">
        <w:rPr>
          <w:rFonts w:ascii="Times New Roman" w:hAnsi="Times New Roman"/>
          <w:szCs w:val="22"/>
        </w:rPr>
        <w:t>niekoľkých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viacerých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liečby,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musi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byť starostliv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91DB6" w:rsidRPr="0040260E">
        <w:rPr>
          <w:rFonts w:ascii="Times New Roman" w:hAnsi="Times New Roman"/>
          <w:szCs w:val="22"/>
        </w:rPr>
        <w:t>monitorovaní, až kým nenastane zlepšenie.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="00B91DB6" w:rsidRPr="0040260E">
        <w:rPr>
          <w:rFonts w:ascii="Times New Roman" w:hAnsi="Times New Roman"/>
          <w:szCs w:val="22"/>
        </w:rPr>
        <w:t>Vo všeobecnosti klinické skúsenosti ukazujú, že riziko samovraždy sa môže zvýšiť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B91DB6" w:rsidRPr="0040260E">
        <w:rPr>
          <w:rFonts w:ascii="Times New Roman" w:hAnsi="Times New Roman"/>
          <w:szCs w:val="22"/>
        </w:rPr>
        <w:t>skorých štádiách zotavovania.</w:t>
      </w:r>
    </w:p>
    <w:p w14:paraId="060E613A" w14:textId="77777777" w:rsidR="008C5788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Iné psychiatrické stavy, na liečbu ktorých bol</w:t>
      </w:r>
      <w:r w:rsidRPr="0040260E" w:rsidDel="008C5788">
        <w:rPr>
          <w:rFonts w:ascii="Times New Roman" w:hAnsi="Times New Roman"/>
          <w:szCs w:val="22"/>
        </w:rPr>
        <w:t xml:space="preserve"> </w:t>
      </w:r>
      <w:r w:rsidR="00C63429" w:rsidRPr="0040260E">
        <w:rPr>
          <w:rFonts w:ascii="Times New Roman" w:hAnsi="Times New Roman"/>
          <w:szCs w:val="22"/>
        </w:rPr>
        <w:t xml:space="preserve">paroxetín </w:t>
      </w:r>
      <w:r w:rsidRPr="0040260E">
        <w:rPr>
          <w:rFonts w:ascii="Times New Roman" w:hAnsi="Times New Roman"/>
          <w:szCs w:val="22"/>
        </w:rPr>
        <w:t>predpísaný, môžu byť tiež spojené so zvýšeným rizikom suicidálneho správania.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Okrem toho, tieto stavy môžu byť 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veľkou depresívnou poruchou.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Rovnaké opatrenia dodržiavané pri liečbe pacientov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veľkou depresívnou poruchou majú byť dodržiavané aj pri liečbe pacientov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inými psychiatrickými poruchami.</w:t>
      </w:r>
    </w:p>
    <w:p w14:paraId="70B494F5" w14:textId="77777777" w:rsidR="00C049A9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anamnézou suicidálnych príhod alebo významnými prejavmi samovražedných myšlienok pred začatím liečby majú väčšie riziko samovražedných myšlienok alebo samovražedných pokusov,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preto majú byť starostlivo sledovaní počas liečby.</w:t>
      </w:r>
    </w:p>
    <w:p w14:paraId="5AC35F42" w14:textId="77777777" w:rsidR="008C5788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Meta-analýza placebom</w:t>
      </w:r>
      <w:r w:rsidR="006A2166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kontrolovaných klinických skúšaní antidepresívnych liekov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dospelých pacientov so psychiatrickými poruchami ukázala zvýšené riziko samovražedného správania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antidepresívami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placebom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 mladších ako 2</w:t>
      </w:r>
      <w:r w:rsidR="00307548" w:rsidRPr="0040260E">
        <w:rPr>
          <w:rFonts w:ascii="Times New Roman" w:hAnsi="Times New Roman"/>
          <w:szCs w:val="22"/>
        </w:rPr>
        <w:t>5 </w:t>
      </w:r>
      <w:r w:rsidRPr="0040260E">
        <w:rPr>
          <w:rFonts w:ascii="Times New Roman" w:hAnsi="Times New Roman"/>
          <w:szCs w:val="22"/>
        </w:rPr>
        <w:t>rokov</w:t>
      </w:r>
      <w:r w:rsidR="00234C85" w:rsidRPr="0040260E">
        <w:rPr>
          <w:rFonts w:ascii="Times New Roman" w:hAnsi="Times New Roman"/>
          <w:szCs w:val="22"/>
        </w:rPr>
        <w:t xml:space="preserve"> (pozri tiež časť 5.1)</w:t>
      </w:r>
      <w:r w:rsidRPr="0040260E">
        <w:rPr>
          <w:rFonts w:ascii="Times New Roman" w:hAnsi="Times New Roman"/>
          <w:szCs w:val="22"/>
        </w:rPr>
        <w:t>.</w:t>
      </w:r>
    </w:p>
    <w:p w14:paraId="142A4251" w14:textId="77777777" w:rsidR="008C5788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Pacientov, obzvlášť </w:t>
      </w:r>
      <w:r w:rsidR="00234C85" w:rsidRPr="0040260E">
        <w:rPr>
          <w:rFonts w:ascii="Times New Roman" w:hAnsi="Times New Roman"/>
          <w:szCs w:val="22"/>
        </w:rPr>
        <w:t>tých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vysokým rizikom suicidálnych myšlienok, je potrebné hlavne na začiatku liečby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 zmene dávkovania starostlivo monitorovať.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Pacienti (a ich opatrovatelia) majú byť upozornení na potrebu sledovania výskytu klinického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zhoršenia, samovražedného správania alebo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neobyčajných zmien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správaní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vyhľadať lekársku pomoc hneď, ako sa tieto príznaky objavia.</w:t>
      </w:r>
    </w:p>
    <w:p w14:paraId="343EE103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6B4B03C8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Akatízia</w:t>
      </w:r>
      <w:r w:rsidR="00C90C42" w:rsidRPr="0040260E">
        <w:rPr>
          <w:szCs w:val="22"/>
        </w:rPr>
        <w:t>/psychomotorický nepokoj</w:t>
      </w:r>
    </w:p>
    <w:p w14:paraId="37DD0BB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Použitie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rozvojom akatízie, ktorá je charakterizovaná vnútorným pocitom nepokoj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psychomotoricko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agitovanosťou,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neschopnosť sedieť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stáť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C35D6B" w:rsidRPr="0040260E">
        <w:rPr>
          <w:rFonts w:ascii="Times New Roman" w:hAnsi="Times New Roman"/>
          <w:szCs w:val="22"/>
        </w:rPr>
        <w:t>pokojne</w:t>
      </w:r>
      <w:r w:rsidR="00E10D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zvyčajne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83B1D" w:rsidRPr="0040260E">
        <w:rPr>
          <w:rFonts w:ascii="Times New Roman" w:hAnsi="Times New Roman"/>
          <w:szCs w:val="22"/>
        </w:rPr>
        <w:t xml:space="preserve">spojení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subjektívno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tiesňou. Akatízi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najväčšo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pravdepodobnosťo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vyskytuje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prvých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liečby.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0967BE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pacientov,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ktorých dôjde k týmt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symptómom, môže byť zvyšovanie dávky škodlivé.</w:t>
      </w:r>
    </w:p>
    <w:p w14:paraId="361823B5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71EAC9F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</w:t>
      </w:r>
      <w:r w:rsidR="00EE0AE8" w:rsidRPr="0040260E">
        <w:rPr>
          <w:szCs w:val="22"/>
        </w:rPr>
        <w:t>é</w:t>
      </w:r>
      <w:r w:rsidRPr="0040260E">
        <w:rPr>
          <w:szCs w:val="22"/>
        </w:rPr>
        <w:t>rotonínový syndróm/</w:t>
      </w:r>
      <w:r w:rsidR="006B2897" w:rsidRPr="0040260E">
        <w:rPr>
          <w:szCs w:val="22"/>
        </w:rPr>
        <w:t>m</w:t>
      </w:r>
      <w:r w:rsidRPr="0040260E">
        <w:rPr>
          <w:szCs w:val="22"/>
        </w:rPr>
        <w:t>alígny neuroleptický syndróm</w:t>
      </w:r>
    </w:p>
    <w:p w14:paraId="4ED12FBF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zriedkavých prípadoch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súvislost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liečbo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paroxetínom vyskytnúť rozvoj 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rotonínovéh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syndróm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aleb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príznako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podobných malígnem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neuroleptickém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syndrómu, najmä ak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podáv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kombináci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ďalším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rotonergným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a/aleb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neuroleptickým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liekmi. Vzhľadom k tomu, že tiet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syndrómy môž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viesť k potenciálne život ohrozujúcim stavom, liečb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paroxetínom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musí prerušiť, ak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takét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príznaky (charakterizované skupino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symptómo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sú hypertermia, rigidita, myoklónia, autonómn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nestabilit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možným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rýchlym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výkyvm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známok života, zmeny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duševnom stave zahŕňajúce zmätenosť, podráždenosť, extrémn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agitovanosť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progresom d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delíri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kómy) vyskytnú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musí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začať podporná symptomatická liečba. Paroxetín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nesmie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kombináci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prekurzorm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je L</w:t>
      </w:r>
      <w:r w:rsidR="00083B1D" w:rsidRPr="0040260E">
        <w:rPr>
          <w:rFonts w:ascii="Times New Roman" w:hAnsi="Times New Roman"/>
          <w:szCs w:val="22"/>
        </w:rPr>
        <w:t>-</w:t>
      </w:r>
      <w:r w:rsidR="00461FE9" w:rsidRPr="0040260E">
        <w:rPr>
          <w:rFonts w:ascii="Times New Roman" w:hAnsi="Times New Roman"/>
          <w:szCs w:val="22"/>
        </w:rPr>
        <w:t>tryptofán</w:t>
      </w:r>
      <w:r w:rsidR="00E9367B" w:rsidRPr="0040260E">
        <w:rPr>
          <w:rFonts w:ascii="Times New Roman" w:hAnsi="Times New Roman"/>
          <w:szCs w:val="22"/>
        </w:rPr>
        <w:t xml:space="preserve">, oxitriptan)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dôvod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rizik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rotonínovéh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syndróm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(pozr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čast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C90C42"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5</w:t>
      </w:r>
      <w:r w:rsidR="00E9367B" w:rsidRPr="0040260E">
        <w:rPr>
          <w:rFonts w:ascii="Times New Roman" w:hAnsi="Times New Roman"/>
          <w:szCs w:val="22"/>
        </w:rPr>
        <w:t>).</w:t>
      </w:r>
    </w:p>
    <w:p w14:paraId="4A218003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238D3D4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Mánia</w:t>
      </w:r>
    </w:p>
    <w:p w14:paraId="59230C3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3263D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všetkých antidepresí</w:t>
      </w:r>
      <w:r w:rsidR="005F2843" w:rsidRPr="0040260E">
        <w:rPr>
          <w:rFonts w:ascii="Times New Roman" w:hAnsi="Times New Roman"/>
          <w:szCs w:val="22"/>
        </w:rPr>
        <w:t>v</w:t>
      </w:r>
      <w:r w:rsidR="0003263D" w:rsidRPr="0040260E">
        <w:rPr>
          <w:rFonts w:ascii="Times New Roman" w:hAnsi="Times New Roman"/>
          <w:szCs w:val="22"/>
        </w:rPr>
        <w:t>ach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 musí používať opatrne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mánio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anamnéze. Podávanie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prerušiť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03263D" w:rsidRPr="0040260E">
        <w:rPr>
          <w:rFonts w:ascii="Times New Roman" w:hAnsi="Times New Roman"/>
          <w:szCs w:val="22"/>
        </w:rPr>
        <w:t xml:space="preserve">každého </w:t>
      </w:r>
      <w:r w:rsidRPr="0040260E">
        <w:rPr>
          <w:rFonts w:ascii="Times New Roman" w:hAnsi="Times New Roman"/>
          <w:szCs w:val="22"/>
        </w:rPr>
        <w:t>pacienta,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ktoréh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začne </w:t>
      </w:r>
      <w:r w:rsidR="006A2166" w:rsidRPr="0040260E">
        <w:rPr>
          <w:rFonts w:ascii="Times New Roman" w:hAnsi="Times New Roman"/>
          <w:szCs w:val="22"/>
        </w:rPr>
        <w:t>manická</w:t>
      </w:r>
      <w:r w:rsidRPr="0040260E">
        <w:rPr>
          <w:rFonts w:ascii="Times New Roman" w:hAnsi="Times New Roman"/>
          <w:szCs w:val="22"/>
        </w:rPr>
        <w:t xml:space="preserve"> fáza.</w:t>
      </w:r>
    </w:p>
    <w:p w14:paraId="309937B0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0FA15E9" w14:textId="77777777" w:rsidR="00C978CD" w:rsidRPr="0040260E" w:rsidRDefault="00E9367B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Poruch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funkcie obličiek/pečene</w:t>
      </w:r>
    </w:p>
    <w:p w14:paraId="15273D40" w14:textId="77777777"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závažno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porucho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funkcie obličiek 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porucho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funkcie pečene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časť 4.</w:t>
      </w:r>
      <w:r w:rsidR="004D7222" w:rsidRPr="0040260E">
        <w:rPr>
          <w:rFonts w:ascii="Times New Roman" w:hAnsi="Times New Roman"/>
          <w:szCs w:val="22"/>
        </w:rPr>
        <w:t>2</w:t>
      </w:r>
      <w:r w:rsidRPr="0040260E">
        <w:rPr>
          <w:rFonts w:ascii="Times New Roman" w:hAnsi="Times New Roman"/>
          <w:szCs w:val="22"/>
        </w:rPr>
        <w:t>).</w:t>
      </w:r>
    </w:p>
    <w:p w14:paraId="1D657D2C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97FB373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Diabetes</w:t>
      </w:r>
    </w:p>
    <w:p w14:paraId="1314164A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diabetom môže liečb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SSRI </w:t>
      </w:r>
      <w:r w:rsidR="00F366DE" w:rsidRPr="0040260E">
        <w:rPr>
          <w:rFonts w:ascii="Times New Roman" w:hAnsi="Times New Roman"/>
          <w:szCs w:val="22"/>
        </w:rPr>
        <w:t>ovplyvniť glykemickú kontrolu</w:t>
      </w:r>
      <w:r w:rsidR="00E9367B" w:rsidRPr="0040260E">
        <w:rPr>
          <w:rFonts w:ascii="Times New Roman" w:hAnsi="Times New Roman"/>
          <w:szCs w:val="22"/>
        </w:rPr>
        <w:t>. Je možné, že bude potrebné upraviť dávkovanie inzulín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a/aleb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perorálnych hypoglykemík.</w:t>
      </w:r>
      <w:r w:rsidR="00E3436C" w:rsidRPr="0040260E">
        <w:rPr>
          <w:rFonts w:ascii="Times New Roman" w:hAnsi="Times New Roman"/>
          <w:szCs w:val="22"/>
        </w:rPr>
        <w:t xml:space="preserve"> Okrem toho niektoré štúdie </w:t>
      </w:r>
      <w:r w:rsidR="00E3436C" w:rsidRPr="0040260E">
        <w:rPr>
          <w:rFonts w:ascii="Times New Roman" w:hAnsi="Times New Roman"/>
          <w:szCs w:val="22"/>
        </w:rPr>
        <w:lastRenderedPageBreak/>
        <w:t xml:space="preserve">naznačujú, že </w:t>
      </w:r>
      <w:r w:rsidR="00307548" w:rsidRPr="0040260E">
        <w:rPr>
          <w:rFonts w:ascii="Times New Roman" w:hAnsi="Times New Roman"/>
          <w:szCs w:val="22"/>
        </w:rPr>
        <w:t>pokiaľ</w:t>
      </w:r>
      <w:r w:rsidR="00E3436C" w:rsidRPr="0040260E">
        <w:rPr>
          <w:rFonts w:ascii="Times New Roman" w:hAnsi="Times New Roman"/>
          <w:szCs w:val="22"/>
        </w:rPr>
        <w:t xml:space="preserve"> je paroxetín podávaný </w:t>
      </w:r>
      <w:r w:rsidR="00B1067C" w:rsidRPr="0040260E">
        <w:rPr>
          <w:rFonts w:ascii="Times New Roman" w:hAnsi="Times New Roman"/>
          <w:szCs w:val="22"/>
        </w:rPr>
        <w:t xml:space="preserve">súbežne </w:t>
      </w:r>
      <w:r w:rsidR="00307548" w:rsidRPr="0040260E">
        <w:rPr>
          <w:rFonts w:ascii="Times New Roman" w:hAnsi="Times New Roman"/>
          <w:szCs w:val="22"/>
        </w:rPr>
        <w:t>s </w:t>
      </w:r>
      <w:r w:rsidR="00E3436C" w:rsidRPr="0040260E">
        <w:rPr>
          <w:rFonts w:ascii="Times New Roman" w:hAnsi="Times New Roman"/>
          <w:szCs w:val="22"/>
        </w:rPr>
        <w:t>pravastatínom môže sa vyskytnúť zvýšená glykémia (pozri bod 4.5).</w:t>
      </w:r>
    </w:p>
    <w:p w14:paraId="04A7C60A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365271B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Epilepsia</w:t>
      </w:r>
    </w:p>
    <w:p w14:paraId="4A99F67F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87FC3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antidepresí</w:t>
      </w:r>
      <w:r w:rsidR="005F2843" w:rsidRPr="0040260E">
        <w:rPr>
          <w:rFonts w:ascii="Times New Roman" w:hAnsi="Times New Roman"/>
          <w:szCs w:val="22"/>
        </w:rPr>
        <w:t>v</w:t>
      </w:r>
      <w:r w:rsidR="00B87FC3" w:rsidRPr="0040260E">
        <w:rPr>
          <w:rFonts w:ascii="Times New Roman" w:hAnsi="Times New Roman"/>
          <w:szCs w:val="22"/>
        </w:rPr>
        <w:t>ach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 musí používať opatrne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epilepsiou.</w:t>
      </w:r>
    </w:p>
    <w:p w14:paraId="0F924F1D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AF1D15D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Záchvaty</w:t>
      </w:r>
    </w:p>
    <w:p w14:paraId="29F9E814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Celkový výskyt záchvato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je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liečených paroxetínom menej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0,</w:t>
      </w:r>
      <w:r w:rsidR="00307548" w:rsidRPr="0040260E">
        <w:rPr>
          <w:rFonts w:ascii="Times New Roman" w:hAnsi="Times New Roman"/>
          <w:szCs w:val="22"/>
        </w:rPr>
        <w:t>1 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. Podávanie liek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prerušiť ak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akéhokoľvek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nastane záchvat.</w:t>
      </w:r>
    </w:p>
    <w:p w14:paraId="73491484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5A4F035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Elektrokonvulzívn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liečb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(ECT)</w:t>
      </w:r>
    </w:p>
    <w:p w14:paraId="339FFC98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Existuje mál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klinických skúseností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71DC3" w:rsidRPr="0040260E">
        <w:rPr>
          <w:rFonts w:ascii="Times New Roman" w:hAnsi="Times New Roman"/>
          <w:szCs w:val="22"/>
        </w:rPr>
        <w:t xml:space="preserve">súbežným </w:t>
      </w:r>
      <w:r w:rsidR="00C80AA3" w:rsidRPr="0040260E">
        <w:rPr>
          <w:rFonts w:ascii="Times New Roman" w:hAnsi="Times New Roman"/>
          <w:szCs w:val="22"/>
        </w:rPr>
        <w:t>použitím</w:t>
      </w:r>
      <w:r w:rsidRPr="0040260E">
        <w:rPr>
          <w:rFonts w:ascii="Times New Roman" w:hAnsi="Times New Roman"/>
          <w:szCs w:val="22"/>
        </w:rPr>
        <w:t xml:space="preserve">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ECT.</w:t>
      </w:r>
    </w:p>
    <w:p w14:paraId="1BAA16C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6739B087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Glaukóm</w:t>
      </w:r>
    </w:p>
    <w:p w14:paraId="2B36272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636D84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SSR</w:t>
      </w:r>
      <w:r w:rsidR="005F2843" w:rsidRPr="0040260E">
        <w:rPr>
          <w:rFonts w:ascii="Times New Roman" w:hAnsi="Times New Roman"/>
          <w:szCs w:val="22"/>
        </w:rPr>
        <w:t>I</w:t>
      </w:r>
      <w:r w:rsidR="00636D84" w:rsidRPr="0040260E">
        <w:rPr>
          <w:rFonts w:ascii="Times New Roman" w:hAnsi="Times New Roman"/>
          <w:szCs w:val="22"/>
        </w:rPr>
        <w:t>,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paroxetín môže spôsobiť mydriázu, pret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používať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B40B66" w:rsidRPr="0040260E">
        <w:rPr>
          <w:rFonts w:ascii="Times New Roman" w:hAnsi="Times New Roman"/>
          <w:szCs w:val="22"/>
        </w:rPr>
        <w:t>opatrnosťo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glaukómom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zatvoreným uhlom 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glaukómom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anamnéze.</w:t>
      </w:r>
    </w:p>
    <w:p w14:paraId="5787C8AC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F2A445B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Ochoreni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srdca</w:t>
      </w:r>
    </w:p>
    <w:p w14:paraId="638D10AD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ochoreniam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srdc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majú dodržiavať zvyčajné opatrenia.</w:t>
      </w:r>
    </w:p>
    <w:p w14:paraId="35C5B0D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C1DE279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Hyponatr</w:t>
      </w:r>
      <w:r w:rsidR="009810A2" w:rsidRPr="0040260E">
        <w:rPr>
          <w:szCs w:val="22"/>
        </w:rPr>
        <w:t>i</w:t>
      </w:r>
      <w:r w:rsidRPr="0040260E">
        <w:rPr>
          <w:szCs w:val="22"/>
        </w:rPr>
        <w:t>émia</w:t>
      </w:r>
    </w:p>
    <w:p w14:paraId="218628E8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Hyponatr</w:t>
      </w:r>
      <w:r w:rsidR="00C91089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hlásená zriedkavo, najmä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starších ľudí. Opatrnosť je potrebná 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vystavených rizik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hyponatr</w:t>
      </w:r>
      <w:r w:rsidR="00FF0662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 xml:space="preserve">émie, napr.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bežne</w:t>
      </w:r>
      <w:r w:rsidRPr="0040260E">
        <w:rPr>
          <w:rFonts w:ascii="Times New Roman" w:hAnsi="Times New Roman"/>
          <w:szCs w:val="22"/>
        </w:rPr>
        <w:t xml:space="preserve"> podávaných lieko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cirhózy. Hyponatr</w:t>
      </w:r>
      <w:r w:rsidR="00471DC3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zvyčajne vymizne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liečby paroxetínom.</w:t>
      </w:r>
    </w:p>
    <w:p w14:paraId="32DC03F4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D907FE8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Krvácanie</w:t>
      </w:r>
    </w:p>
    <w:p w14:paraId="6B87C012" w14:textId="77777777" w:rsidR="00C978CD" w:rsidRPr="0040260E" w:rsidRDefault="006F651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hlásené prípady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kože,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sú ekchymóz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purpura. Hlásené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ďalšie prejavy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napr. gastrointestinálne </w:t>
      </w:r>
      <w:r w:rsidR="000967BE" w:rsidRPr="0040260E">
        <w:rPr>
          <w:rFonts w:ascii="Times New Roman" w:hAnsi="Times New Roman"/>
          <w:szCs w:val="22"/>
        </w:rPr>
        <w:t xml:space="preserve">a gynekologické </w:t>
      </w:r>
      <w:r w:rsidR="00E9367B" w:rsidRPr="0040260E">
        <w:rPr>
          <w:rFonts w:ascii="Times New Roman" w:hAnsi="Times New Roman"/>
          <w:szCs w:val="22"/>
        </w:rPr>
        <w:t>krvácanie. Starší ľudi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byť vystavení zvýšeném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riziku</w:t>
      </w:r>
      <w:r w:rsidRPr="0040260E">
        <w:rPr>
          <w:rFonts w:ascii="Times New Roman" w:hAnsi="Times New Roman"/>
          <w:szCs w:val="22"/>
        </w:rPr>
        <w:t xml:space="preserve"> </w:t>
      </w:r>
      <w:r w:rsidR="000967BE" w:rsidRPr="0040260E">
        <w:rPr>
          <w:rFonts w:ascii="Times New Roman" w:hAnsi="Times New Roman"/>
          <w:szCs w:val="22"/>
        </w:rPr>
        <w:t xml:space="preserve">prípadov </w:t>
      </w:r>
      <w:r w:rsidRPr="0040260E">
        <w:rPr>
          <w:rFonts w:ascii="Times New Roman" w:hAnsi="Times New Roman"/>
          <w:szCs w:val="22"/>
        </w:rPr>
        <w:t>krvácania</w:t>
      </w:r>
      <w:r w:rsidR="000967BE" w:rsidRPr="0040260E">
        <w:rPr>
          <w:rFonts w:ascii="Times New Roman" w:hAnsi="Times New Roman"/>
          <w:szCs w:val="22"/>
        </w:rPr>
        <w:t>, ktoré nesúvisia s menštruáciou</w:t>
      </w:r>
      <w:r w:rsidR="00E202B2" w:rsidRPr="0040260E">
        <w:rPr>
          <w:rFonts w:ascii="Times New Roman" w:hAnsi="Times New Roman"/>
          <w:szCs w:val="22"/>
        </w:rPr>
        <w:t>.</w:t>
      </w:r>
    </w:p>
    <w:p w14:paraId="51E055B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antikoagulanciami,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liekmi,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ktorých je známe, že ovplyvňujú funkci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krvných doštičiek 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ďalším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liekmi, ktoré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zvýšiť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(napr.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atypickým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antipsychotikami,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sú klozapín, fenotiazíny, väčšin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TCA, kyselin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acetylsalicylová, NSAID, inhibítory COX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2),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majú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 poruchy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stavy, ktoré ich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predisponovať 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krvácaniu</w:t>
      </w:r>
      <w:r w:rsidR="00796224" w:rsidRPr="0040260E">
        <w:rPr>
          <w:rFonts w:ascii="Times New Roman" w:hAnsi="Times New Roman"/>
          <w:szCs w:val="22"/>
        </w:rPr>
        <w:t xml:space="preserve"> (pozri časť 4.8)</w:t>
      </w:r>
    </w:p>
    <w:p w14:paraId="264646BF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114D65D" w14:textId="77777777" w:rsidR="00C90C42" w:rsidRPr="0040260E" w:rsidRDefault="00631A1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Interakcie</w:t>
      </w:r>
      <w:r w:rsidR="00307548" w:rsidRPr="0040260E">
        <w:rPr>
          <w:szCs w:val="22"/>
        </w:rPr>
        <w:t xml:space="preserve"> s </w:t>
      </w:r>
      <w:r w:rsidRPr="0040260E">
        <w:rPr>
          <w:szCs w:val="22"/>
        </w:rPr>
        <w:t>tamoxif</w:t>
      </w:r>
      <w:r w:rsidR="00B40B66" w:rsidRPr="0040260E">
        <w:rPr>
          <w:szCs w:val="22"/>
        </w:rPr>
        <w:t>é</w:t>
      </w:r>
      <w:r w:rsidRPr="0040260E">
        <w:rPr>
          <w:szCs w:val="22"/>
        </w:rPr>
        <w:t>nom</w:t>
      </w:r>
    </w:p>
    <w:p w14:paraId="4770AAD7" w14:textId="77777777" w:rsidR="0080739D" w:rsidRPr="0040260E" w:rsidRDefault="0080739D" w:rsidP="0040260E">
      <w:pPr>
        <w:pStyle w:val="Normlndobloku"/>
        <w:spacing w:after="0"/>
        <w:jc w:val="left"/>
        <w:rPr>
          <w:rFonts w:ascii="Times New Roman" w:hAnsi="Times New Roman"/>
          <w:b/>
          <w:szCs w:val="22"/>
        </w:rPr>
      </w:pPr>
      <w:r w:rsidRPr="0040260E">
        <w:rPr>
          <w:rFonts w:ascii="Times New Roman" w:hAnsi="Times New Roman"/>
          <w:szCs w:val="22"/>
        </w:rPr>
        <w:t>Paroxetín, silný inhibítor CYP2D6, môže viesť k zníženým koncentráciám endoxifenu, jedného z najdôležitejších aktívnych metabolitov tamoxif</w:t>
      </w:r>
      <w:r w:rsidR="006A2166" w:rsidRPr="0040260E">
        <w:rPr>
          <w:rFonts w:ascii="Times New Roman" w:hAnsi="Times New Roman"/>
          <w:szCs w:val="22"/>
        </w:rPr>
        <w:t>é</w:t>
      </w:r>
      <w:r w:rsidRPr="0040260E">
        <w:rPr>
          <w:rFonts w:ascii="Times New Roman" w:hAnsi="Times New Roman"/>
          <w:szCs w:val="22"/>
        </w:rPr>
        <w:t>nu. Preto sa má vždy, keď je to možné, vyhnúť podávaniu paroxetínu počas liečby tamoxif</w:t>
      </w:r>
      <w:r w:rsidR="006A2166" w:rsidRPr="0040260E">
        <w:rPr>
          <w:rFonts w:ascii="Times New Roman" w:hAnsi="Times New Roman"/>
          <w:szCs w:val="22"/>
        </w:rPr>
        <w:t>é</w:t>
      </w:r>
      <w:r w:rsidRPr="0040260E">
        <w:rPr>
          <w:rFonts w:ascii="Times New Roman" w:hAnsi="Times New Roman"/>
          <w:szCs w:val="22"/>
        </w:rPr>
        <w:t>nom (pozri časť 4.5).</w:t>
      </w:r>
    </w:p>
    <w:p w14:paraId="4856DA17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46F971FB" w14:textId="77777777" w:rsidR="00C978CD" w:rsidRPr="0040260E" w:rsidRDefault="000C014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z vysadenia </w:t>
      </w:r>
      <w:r w:rsidR="00E9367B" w:rsidRPr="0040260E">
        <w:rPr>
          <w:szCs w:val="22"/>
        </w:rPr>
        <w:t>pozorované p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prerušení liečby paroxetínom</w:t>
      </w:r>
    </w:p>
    <w:p w14:paraId="6A968AEA" w14:textId="77777777" w:rsidR="00C978CD" w:rsidRPr="0040260E" w:rsidRDefault="000C014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Symptómy z vysadenia </w:t>
      </w:r>
      <w:r w:rsidR="00E9367B" w:rsidRPr="0040260E">
        <w:rPr>
          <w:rFonts w:ascii="Times New Roman" w:hAnsi="Times New Roman"/>
          <w:szCs w:val="22"/>
        </w:rPr>
        <w:t>sú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prerušení liečby časté, najmä ak je prerušenie náhle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="00E9367B" w:rsidRPr="0040260E">
        <w:rPr>
          <w:rFonts w:ascii="Times New Roman" w:hAnsi="Times New Roman"/>
          <w:szCs w:val="22"/>
        </w:rPr>
        <w:t>4.8)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klinických štúdiách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nežiaduce udalost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prerušení liečby vyskytl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F42821" w:rsidRPr="0040260E">
        <w:rPr>
          <w:rFonts w:ascii="Times New Roman" w:hAnsi="Times New Roman"/>
          <w:szCs w:val="22"/>
        </w:rPr>
        <w:t>%</w:t>
      </w:r>
      <w:r w:rsidR="00E9367B"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liečených paroxetínom oprot</w:t>
      </w:r>
      <w:r w:rsidR="005F2843" w:rsidRPr="0040260E">
        <w:rPr>
          <w:rFonts w:ascii="Times New Roman" w:hAnsi="Times New Roman"/>
          <w:szCs w:val="22"/>
        </w:rPr>
        <w:t>i</w:t>
      </w:r>
      <w:r w:rsidR="004D7222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F42821" w:rsidRPr="0040260E">
        <w:rPr>
          <w:rFonts w:ascii="Times New Roman" w:hAnsi="Times New Roman"/>
          <w:szCs w:val="22"/>
        </w:rPr>
        <w:t>%</w:t>
      </w:r>
      <w:r w:rsidR="00E9367B"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placebom. Výskyt abstinenčných symptómo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nie je rovnaký ak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lieku, ktorý vytvár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návyk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závislosť.</w:t>
      </w:r>
    </w:p>
    <w:p w14:paraId="2C5C1FF4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abstinenčných symptómo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závisieť od niekoľkých faktorov, vrátane dĺžky trvani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dávky použitej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rýchlost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znižovani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dávky.</w:t>
      </w:r>
    </w:p>
    <w:p w14:paraId="6542B18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Hlásené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závrat, zmyslové poruchy (vrátane parestézie</w:t>
      </w:r>
      <w:r w:rsidR="00C90C42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 xml:space="preserve"> pocito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elektrických šokov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A039FE" w:rsidRPr="0040260E">
        <w:rPr>
          <w:rFonts w:ascii="Times New Roman" w:hAnsi="Times New Roman"/>
          <w:szCs w:val="22"/>
        </w:rPr>
        <w:t>tinitu</w:t>
      </w:r>
      <w:r w:rsidRPr="0040260E">
        <w:rPr>
          <w:rFonts w:ascii="Times New Roman" w:hAnsi="Times New Roman"/>
          <w:szCs w:val="22"/>
        </w:rPr>
        <w:t>), poruchy spánk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(vrátane intenzívnych sno</w:t>
      </w:r>
      <w:r w:rsidR="005F2843" w:rsidRPr="0040260E">
        <w:rPr>
          <w:rFonts w:ascii="Times New Roman" w:hAnsi="Times New Roman"/>
          <w:szCs w:val="22"/>
        </w:rPr>
        <w:t>v</w:t>
      </w:r>
      <w:r w:rsidRPr="0040260E">
        <w:rPr>
          <w:rFonts w:ascii="Times New Roman" w:hAnsi="Times New Roman"/>
          <w:szCs w:val="22"/>
        </w:rPr>
        <w:t>), agitovanosť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úzkosť, nauzea, tremor, zmätenosť, potenie, bolesť hlavy, hnačka, palpitácie, emocionáln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nestabilita, podráždenosť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zrakové poruchy. 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sú zvyčajne mierne až stredne ťažké,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však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byť závažnej intenzity. Zvyčajne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vyskytnú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prvých niekoľkých dní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liečby, ale takét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hlásené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dávk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vynechal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nevedomky. 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sú prechodné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zvyčajne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vyrieši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týždňov, aj keď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jedinco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trvať dlhšie (2</w:t>
      </w:r>
      <w:r w:rsidR="00521962" w:rsidRPr="0040260E">
        <w:rPr>
          <w:rFonts w:ascii="Times New Roman" w:hAnsi="Times New Roman"/>
          <w:szCs w:val="22"/>
        </w:rPr>
        <w:t> </w:t>
      </w:r>
      <w:r w:rsidR="00DA2DDF" w:rsidRPr="0040260E">
        <w:rPr>
          <w:rFonts w:ascii="Times New Roman" w:hAnsi="Times New Roman"/>
          <w:szCs w:val="22"/>
        </w:rPr>
        <w:t>–</w:t>
      </w:r>
      <w:r w:rsidR="00521962" w:rsidRPr="0040260E">
        <w:rPr>
          <w:rFonts w:ascii="Times New Roman" w:hAnsi="Times New Roman"/>
          <w:szCs w:val="22"/>
        </w:rPr>
        <w:t> </w:t>
      </w:r>
      <w:r w:rsidR="00307548" w:rsidRPr="0040260E">
        <w:rPr>
          <w:rFonts w:ascii="Times New Roman" w:hAnsi="Times New Roman"/>
          <w:szCs w:val="22"/>
        </w:rPr>
        <w:t>3 </w:t>
      </w:r>
      <w:r w:rsidRPr="0040260E">
        <w:rPr>
          <w:rFonts w:ascii="Times New Roman" w:hAnsi="Times New Roman"/>
          <w:szCs w:val="22"/>
        </w:rPr>
        <w:t xml:space="preserve">mesiace </w:t>
      </w:r>
      <w:r w:rsidR="005F2843" w:rsidRPr="0040260E">
        <w:rPr>
          <w:rFonts w:ascii="Times New Roman" w:hAnsi="Times New Roman"/>
          <w:szCs w:val="22"/>
        </w:rPr>
        <w:t>a</w:t>
      </w:r>
      <w:r w:rsidR="00DA2DDF" w:rsidRPr="0040260E">
        <w:rPr>
          <w:rFonts w:ascii="Times New Roman" w:hAnsi="Times New Roman"/>
          <w:szCs w:val="22"/>
        </w:rPr>
        <w:t>lebo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 xml:space="preserve">viac).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prerušení liečby odporúča,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lastRenderedPageBreak/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znižoval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postupne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niekoľkých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mesiaco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potrieb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0C0147" w:rsidRPr="0040260E">
        <w:rPr>
          <w:rFonts w:ascii="Times New Roman" w:hAnsi="Times New Roman"/>
          <w:szCs w:val="22"/>
        </w:rPr>
        <w:t xml:space="preserve">Symptómy z vysadenia </w:t>
      </w:r>
      <w:r w:rsidRPr="0040260E">
        <w:rPr>
          <w:rFonts w:ascii="Times New Roman" w:hAnsi="Times New Roman"/>
          <w:szCs w:val="22"/>
        </w:rPr>
        <w:t>pozorované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paroxetínu,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4.2).</w:t>
      </w:r>
    </w:p>
    <w:p w14:paraId="4AA1525F" w14:textId="77777777" w:rsidR="00A576C3" w:rsidRPr="0040260E" w:rsidRDefault="00A576C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9E1E78C" w14:textId="77777777" w:rsidR="00A576C3" w:rsidRPr="00DD1A53" w:rsidRDefault="00A576C3" w:rsidP="0040260E">
      <w:pPr>
        <w:widowControl w:val="0"/>
        <w:rPr>
          <w:szCs w:val="22"/>
          <w:u w:val="single"/>
          <w:lang w:val="sk-SK"/>
        </w:rPr>
      </w:pPr>
      <w:r w:rsidRPr="00DD1A53">
        <w:rPr>
          <w:szCs w:val="22"/>
          <w:u w:val="single"/>
          <w:lang w:val="sk-SK"/>
        </w:rPr>
        <w:t xml:space="preserve">Sexuálna dysfunkcia </w:t>
      </w:r>
    </w:p>
    <w:p w14:paraId="5A7CA1F3" w14:textId="77777777" w:rsidR="00A576C3" w:rsidRPr="00DD1A53" w:rsidRDefault="00A576C3" w:rsidP="0040260E">
      <w:pPr>
        <w:widowControl w:val="0"/>
        <w:rPr>
          <w:szCs w:val="22"/>
          <w:lang w:val="sk-SK"/>
        </w:rPr>
      </w:pPr>
      <w:r w:rsidRPr="00DD1A53">
        <w:rPr>
          <w:szCs w:val="22"/>
          <w:lang w:val="sk-SK"/>
        </w:rPr>
        <w:t>Selektívne inhibítory spätného vychytávania sérotonínu (selective serotonin reuptake inhibitors, 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14:paraId="7A5DDB0A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DA900D2" w14:textId="77777777" w:rsidR="00C978CD" w:rsidRPr="0040260E" w:rsidRDefault="00E9367B" w:rsidP="0040260E">
      <w:pPr>
        <w:pStyle w:val="Styl2"/>
        <w:spacing w:before="0" w:after="0"/>
      </w:pPr>
      <w:r w:rsidRPr="0040260E">
        <w:t>Liekové</w:t>
      </w:r>
      <w:r w:rsidR="00307548" w:rsidRPr="0040260E">
        <w:t xml:space="preserve"> a </w:t>
      </w:r>
      <w:r w:rsidRPr="0040260E">
        <w:t>iné interakcie</w:t>
      </w:r>
    </w:p>
    <w:p w14:paraId="57917199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1BFD76C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</w:t>
      </w:r>
      <w:r w:rsidR="00B07356" w:rsidRPr="0040260E">
        <w:rPr>
          <w:szCs w:val="22"/>
        </w:rPr>
        <w:t>é</w:t>
      </w:r>
      <w:r w:rsidRPr="0040260E">
        <w:rPr>
          <w:szCs w:val="22"/>
        </w:rPr>
        <w:t>rotonergné lieky</w:t>
      </w:r>
    </w:p>
    <w:p w14:paraId="37B7FFBC" w14:textId="77777777" w:rsidR="00B73EB5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04278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SSRI, sú</w:t>
      </w:r>
      <w:r w:rsidR="00471DC3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podávanie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</w:t>
      </w:r>
      <w:r w:rsidR="00004278" w:rsidRPr="0040260E">
        <w:rPr>
          <w:rFonts w:ascii="Times New Roman" w:hAnsi="Times New Roman"/>
          <w:szCs w:val="22"/>
        </w:rPr>
        <w:t>é</w:t>
      </w:r>
      <w:r w:rsidRPr="0040260E">
        <w:rPr>
          <w:rFonts w:ascii="Times New Roman" w:hAnsi="Times New Roman"/>
          <w:szCs w:val="22"/>
        </w:rPr>
        <w:t>rotonergným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liekm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môže viesť k výskyt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účinko</w:t>
      </w:r>
      <w:r w:rsidR="005F2843" w:rsidRPr="0040260E">
        <w:rPr>
          <w:rFonts w:ascii="Times New Roman" w:hAnsi="Times New Roman"/>
          <w:szCs w:val="22"/>
        </w:rPr>
        <w:t>v </w:t>
      </w:r>
      <w:r w:rsidR="00B73EB5" w:rsidRPr="0040260E">
        <w:rPr>
          <w:rFonts w:ascii="Times New Roman" w:hAnsi="Times New Roman"/>
          <w:szCs w:val="22"/>
        </w:rPr>
        <w:t>súvisiacich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F56CC5"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="00F56CC5" w:rsidRPr="0040260E">
        <w:rPr>
          <w:rFonts w:ascii="Times New Roman" w:hAnsi="Times New Roman"/>
          <w:szCs w:val="22"/>
        </w:rPr>
        <w:t>HT</w:t>
      </w:r>
      <w:r w:rsidR="00B73EB5" w:rsidRPr="0040260E">
        <w:rPr>
          <w:rFonts w:ascii="Times New Roman" w:hAnsi="Times New Roman"/>
          <w:szCs w:val="22"/>
        </w:rPr>
        <w:t xml:space="preserve"> (s</w:t>
      </w:r>
      <w:r w:rsidR="00004278" w:rsidRPr="0040260E">
        <w:rPr>
          <w:rFonts w:ascii="Times New Roman" w:hAnsi="Times New Roman"/>
          <w:szCs w:val="22"/>
        </w:rPr>
        <w:t>é</w:t>
      </w:r>
      <w:r w:rsidR="00B73EB5" w:rsidRPr="0040260E">
        <w:rPr>
          <w:rFonts w:ascii="Times New Roman" w:hAnsi="Times New Roman"/>
          <w:szCs w:val="22"/>
        </w:rPr>
        <w:t>roton</w:t>
      </w:r>
      <w:r w:rsidR="00046EBB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nový syndróm: 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004278" w:rsidRPr="0040260E">
        <w:rPr>
          <w:rFonts w:ascii="Times New Roman" w:hAnsi="Times New Roman"/>
          <w:szCs w:val="22"/>
        </w:rPr>
        <w:t>časť </w:t>
      </w:r>
      <w:r w:rsidR="00B73EB5" w:rsidRPr="0040260E">
        <w:rPr>
          <w:rFonts w:ascii="Times New Roman" w:hAnsi="Times New Roman"/>
          <w:szCs w:val="22"/>
        </w:rPr>
        <w:t xml:space="preserve">4.4). </w:t>
      </w:r>
      <w:r w:rsidR="00564215" w:rsidRPr="0040260E">
        <w:rPr>
          <w:rFonts w:ascii="Times New Roman" w:hAnsi="Times New Roman"/>
          <w:szCs w:val="22"/>
        </w:rPr>
        <w:t>Opatrnosť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564215" w:rsidRPr="0040260E">
        <w:rPr>
          <w:rFonts w:ascii="Times New Roman" w:hAnsi="Times New Roman"/>
          <w:szCs w:val="22"/>
        </w:rPr>
        <w:t xml:space="preserve">starostlivé klinické sledovanie pacienta sa odporúča vtedy, ak sú sérotonergné lieky </w:t>
      </w:r>
      <w:r w:rsidR="00B73EB5" w:rsidRPr="0040260E">
        <w:rPr>
          <w:rFonts w:ascii="Times New Roman" w:hAnsi="Times New Roman"/>
          <w:szCs w:val="22"/>
        </w:rPr>
        <w:t>(ak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L</w:t>
      </w:r>
      <w:r w:rsidR="00FC57D7" w:rsidRPr="0040260E">
        <w:rPr>
          <w:rFonts w:ascii="Times New Roman" w:hAnsi="Times New Roman"/>
          <w:szCs w:val="22"/>
        </w:rPr>
        <w:t>-</w:t>
      </w:r>
      <w:r w:rsidR="00461FE9" w:rsidRPr="0040260E">
        <w:rPr>
          <w:rFonts w:ascii="Times New Roman" w:hAnsi="Times New Roman"/>
          <w:szCs w:val="22"/>
        </w:rPr>
        <w:t>tryptofán</w:t>
      </w:r>
      <w:r w:rsidR="00B73EB5" w:rsidRPr="0040260E">
        <w:rPr>
          <w:rFonts w:ascii="Times New Roman" w:hAnsi="Times New Roman"/>
          <w:szCs w:val="22"/>
        </w:rPr>
        <w:t>, tript</w:t>
      </w:r>
      <w:r w:rsidR="00004278" w:rsidRPr="0040260E">
        <w:rPr>
          <w:rFonts w:ascii="Times New Roman" w:hAnsi="Times New Roman"/>
          <w:szCs w:val="22"/>
        </w:rPr>
        <w:t>á</w:t>
      </w:r>
      <w:r w:rsidR="00B73EB5" w:rsidRPr="0040260E">
        <w:rPr>
          <w:rFonts w:ascii="Times New Roman" w:hAnsi="Times New Roman"/>
          <w:szCs w:val="22"/>
        </w:rPr>
        <w:t>ny, tramadol, linezolid,</w:t>
      </w:r>
      <w:r w:rsidR="00564215" w:rsidRPr="0040260E">
        <w:rPr>
          <w:rFonts w:ascii="Times New Roman" w:hAnsi="Times New Roman"/>
          <w:szCs w:val="22"/>
        </w:rPr>
        <w:t xml:space="preserve"> </w:t>
      </w:r>
      <w:r w:rsidR="00004278" w:rsidRPr="0040260E">
        <w:rPr>
          <w:rFonts w:ascii="Times New Roman" w:hAnsi="Times New Roman"/>
          <w:bCs/>
          <w:szCs w:val="22"/>
        </w:rPr>
        <w:t>met</w:t>
      </w:r>
      <w:r w:rsidR="006A2166" w:rsidRPr="0040260E">
        <w:rPr>
          <w:rFonts w:ascii="Times New Roman" w:hAnsi="Times New Roman"/>
          <w:bCs/>
          <w:szCs w:val="22"/>
        </w:rPr>
        <w:t>h</w:t>
      </w:r>
      <w:r w:rsidR="00004278" w:rsidRPr="0040260E">
        <w:rPr>
          <w:rFonts w:ascii="Times New Roman" w:hAnsi="Times New Roman"/>
          <w:bCs/>
          <w:szCs w:val="22"/>
        </w:rPr>
        <w:t>ylt</w:t>
      </w:r>
      <w:r w:rsidR="006A2166" w:rsidRPr="0040260E">
        <w:rPr>
          <w:rFonts w:ascii="Times New Roman" w:hAnsi="Times New Roman"/>
          <w:bCs/>
          <w:szCs w:val="22"/>
        </w:rPr>
        <w:t>h</w:t>
      </w:r>
      <w:r w:rsidR="00004278" w:rsidRPr="0040260E">
        <w:rPr>
          <w:rFonts w:ascii="Times New Roman" w:hAnsi="Times New Roman"/>
          <w:bCs/>
          <w:szCs w:val="22"/>
        </w:rPr>
        <w:t>ion</w:t>
      </w:r>
      <w:r w:rsidR="006A2166" w:rsidRPr="0040260E">
        <w:rPr>
          <w:rFonts w:ascii="Times New Roman" w:hAnsi="Times New Roman"/>
          <w:bCs/>
          <w:szCs w:val="22"/>
        </w:rPr>
        <w:t>inium c</w:t>
      </w:r>
      <w:r w:rsidR="00004278" w:rsidRPr="0040260E">
        <w:rPr>
          <w:rFonts w:ascii="Times New Roman" w:hAnsi="Times New Roman"/>
          <w:bCs/>
          <w:szCs w:val="22"/>
        </w:rPr>
        <w:t xml:space="preserve">hlorid </w:t>
      </w:r>
      <w:r w:rsidR="00B73EB5" w:rsidRPr="0040260E">
        <w:rPr>
          <w:rFonts w:ascii="Times New Roman" w:hAnsi="Times New Roman"/>
          <w:szCs w:val="22"/>
        </w:rPr>
        <w:t>(metyl</w:t>
      </w:r>
      <w:r w:rsidR="006A2166" w:rsidRPr="0040260E">
        <w:rPr>
          <w:rFonts w:ascii="Times New Roman" w:hAnsi="Times New Roman"/>
          <w:szCs w:val="22"/>
        </w:rPr>
        <w:t>é</w:t>
      </w:r>
      <w:r w:rsidR="00B73EB5" w:rsidRPr="0040260E">
        <w:rPr>
          <w:rFonts w:ascii="Times New Roman" w:hAnsi="Times New Roman"/>
          <w:szCs w:val="22"/>
        </w:rPr>
        <w:t xml:space="preserve">nová modrá), SSRI, </w:t>
      </w:r>
      <w:r w:rsidR="006A2166" w:rsidRPr="0040260E">
        <w:rPr>
          <w:rFonts w:ascii="Times New Roman" w:hAnsi="Times New Roman"/>
          <w:szCs w:val="22"/>
        </w:rPr>
        <w:t>lítium</w:t>
      </w:r>
      <w:r w:rsidR="00B73EB5" w:rsidRPr="0040260E">
        <w:rPr>
          <w:rFonts w:ascii="Times New Roman" w:hAnsi="Times New Roman"/>
          <w:szCs w:val="22"/>
        </w:rPr>
        <w:t>, petid</w:t>
      </w:r>
      <w:r w:rsidR="00004278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B73EB5" w:rsidRPr="0040260E">
        <w:rPr>
          <w:rFonts w:ascii="Times New Roman" w:hAnsi="Times New Roman"/>
          <w:szCs w:val="22"/>
        </w:rPr>
        <w:t xml:space="preserve">prípravky obsahujúce </w:t>
      </w:r>
      <w:r w:rsidR="00806354" w:rsidRPr="0040260E">
        <w:rPr>
          <w:rFonts w:ascii="Times New Roman" w:hAnsi="Times New Roman"/>
          <w:szCs w:val="22"/>
        </w:rPr>
        <w:t>ľubovník</w:t>
      </w:r>
      <w:r w:rsidR="00B73EB5" w:rsidRPr="0040260E">
        <w:rPr>
          <w:rFonts w:ascii="Times New Roman" w:hAnsi="Times New Roman"/>
          <w:szCs w:val="22"/>
        </w:rPr>
        <w:t xml:space="preserve"> bodkovaný </w:t>
      </w:r>
      <w:r w:rsidR="00FC57D7" w:rsidRPr="0040260E">
        <w:rPr>
          <w:rFonts w:ascii="Times New Roman" w:hAnsi="Times New Roman"/>
          <w:szCs w:val="22"/>
        </w:rPr>
        <w:t>-</w:t>
      </w:r>
      <w:r w:rsidR="00B73EB5"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i/>
          <w:szCs w:val="22"/>
        </w:rPr>
        <w:t>Hypericum perforatum</w:t>
      </w:r>
      <w:r w:rsidR="00B73EB5" w:rsidRPr="0040260E">
        <w:rPr>
          <w:rFonts w:ascii="Times New Roman" w:hAnsi="Times New Roman"/>
          <w:szCs w:val="22"/>
        </w:rPr>
        <w:t>) podávané sú</w:t>
      </w:r>
      <w:r w:rsidR="00471DC3" w:rsidRPr="0040260E">
        <w:rPr>
          <w:rFonts w:ascii="Times New Roman" w:hAnsi="Times New Roman"/>
          <w:szCs w:val="22"/>
        </w:rPr>
        <w:t>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B73EB5" w:rsidRPr="0040260E">
        <w:rPr>
          <w:rFonts w:ascii="Times New Roman" w:hAnsi="Times New Roman"/>
          <w:szCs w:val="22"/>
        </w:rPr>
        <w:t>paroxetínom. 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73EB5"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73EB5" w:rsidRPr="0040260E">
        <w:rPr>
          <w:rFonts w:ascii="Times New Roman" w:hAnsi="Times New Roman"/>
          <w:szCs w:val="22"/>
        </w:rPr>
        <w:t>tiež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564215" w:rsidRPr="0040260E">
        <w:rPr>
          <w:rFonts w:ascii="Times New Roman" w:hAnsi="Times New Roman"/>
          <w:szCs w:val="22"/>
        </w:rPr>
        <w:t xml:space="preserve">fentanylom používaným </w:t>
      </w:r>
      <w:r w:rsidR="00B73EB5"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celkovej anestézi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liečbe chronickej bolesti. Sú</w:t>
      </w:r>
      <w:r w:rsidR="00471DC3" w:rsidRPr="0040260E">
        <w:rPr>
          <w:rFonts w:ascii="Times New Roman" w:hAnsi="Times New Roman"/>
          <w:szCs w:val="22"/>
        </w:rPr>
        <w:t>bežné</w:t>
      </w:r>
      <w:r w:rsidR="00B73EB5" w:rsidRPr="0040260E">
        <w:rPr>
          <w:rFonts w:ascii="Times New Roman" w:hAnsi="Times New Roman"/>
          <w:szCs w:val="22"/>
        </w:rPr>
        <w:t xml:space="preserve"> užívanie paroxet</w:t>
      </w:r>
      <w:r w:rsidR="00806354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B73EB5" w:rsidRPr="0040260E">
        <w:rPr>
          <w:rFonts w:ascii="Times New Roman" w:hAnsi="Times New Roman"/>
          <w:szCs w:val="22"/>
        </w:rPr>
        <w:t>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 xml:space="preserve">je kontraindikované </w:t>
      </w:r>
      <w:r w:rsidR="005F2843" w:rsidRPr="0040260E">
        <w:rPr>
          <w:rFonts w:ascii="Times New Roman" w:hAnsi="Times New Roman"/>
          <w:szCs w:val="22"/>
        </w:rPr>
        <w:t>z </w:t>
      </w:r>
      <w:r w:rsidR="00B73EB5"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73EB5" w:rsidRPr="0040260E">
        <w:rPr>
          <w:rFonts w:ascii="Times New Roman" w:hAnsi="Times New Roman"/>
          <w:szCs w:val="22"/>
        </w:rPr>
        <w:t>vznik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s</w:t>
      </w:r>
      <w:r w:rsidR="00564215" w:rsidRPr="0040260E">
        <w:rPr>
          <w:rFonts w:ascii="Times New Roman" w:hAnsi="Times New Roman"/>
          <w:szCs w:val="22"/>
        </w:rPr>
        <w:t>é</w:t>
      </w:r>
      <w:r w:rsidR="00B73EB5" w:rsidRPr="0040260E">
        <w:rPr>
          <w:rFonts w:ascii="Times New Roman" w:hAnsi="Times New Roman"/>
          <w:szCs w:val="22"/>
        </w:rPr>
        <w:t>roton</w:t>
      </w:r>
      <w:r w:rsidR="00564215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novéh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syndróm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časť 4.</w:t>
      </w:r>
      <w:r w:rsidR="004D7222" w:rsidRPr="0040260E">
        <w:rPr>
          <w:rFonts w:ascii="Times New Roman" w:hAnsi="Times New Roman"/>
          <w:szCs w:val="22"/>
        </w:rPr>
        <w:t>3</w:t>
      </w:r>
      <w:r w:rsidR="00B73EB5" w:rsidRPr="0040260E">
        <w:rPr>
          <w:rFonts w:ascii="Times New Roman" w:hAnsi="Times New Roman"/>
          <w:szCs w:val="22"/>
        </w:rPr>
        <w:t>)</w:t>
      </w:r>
      <w:r w:rsidR="00C80AA3" w:rsidRPr="0040260E">
        <w:rPr>
          <w:rFonts w:ascii="Times New Roman" w:hAnsi="Times New Roman"/>
          <w:szCs w:val="22"/>
        </w:rPr>
        <w:t>.</w:t>
      </w:r>
    </w:p>
    <w:p w14:paraId="28DA9D4D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65D160D2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Pimozid</w:t>
      </w:r>
    </w:p>
    <w:p w14:paraId="2C7C4DEE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štúdi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570C61" w:rsidRPr="0040260E">
        <w:rPr>
          <w:rFonts w:ascii="Times New Roman" w:hAnsi="Times New Roman"/>
          <w:szCs w:val="22"/>
        </w:rPr>
        <w:t>jednorazovou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nízko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dávko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pimozid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</w:t>
      </w:r>
      <w:r w:rsidR="00307548" w:rsidRPr="0040260E">
        <w:rPr>
          <w:rFonts w:ascii="Times New Roman" w:hAnsi="Times New Roman"/>
          <w:szCs w:val="22"/>
        </w:rPr>
        <w:t>2 </w:t>
      </w:r>
      <w:r w:rsidR="00E9367B" w:rsidRPr="0040260E">
        <w:rPr>
          <w:rFonts w:ascii="Times New Roman" w:hAnsi="Times New Roman"/>
          <w:szCs w:val="22"/>
        </w:rPr>
        <w:t>mg) podano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bežne</w:t>
      </w:r>
      <w:r w:rsidR="00E9367B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s</w:t>
      </w:r>
      <w:r w:rsidR="007D31C6" w:rsidRPr="0040260E">
        <w:rPr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> </w:t>
      </w:r>
      <w:r w:rsidR="00B73EB5" w:rsidRPr="0040260E">
        <w:rPr>
          <w:rFonts w:ascii="Times New Roman" w:hAnsi="Times New Roman"/>
          <w:szCs w:val="22"/>
        </w:rPr>
        <w:t>6</w:t>
      </w:r>
      <w:r w:rsidR="00307548" w:rsidRPr="0040260E">
        <w:rPr>
          <w:rFonts w:ascii="Times New Roman" w:hAnsi="Times New Roman"/>
          <w:szCs w:val="22"/>
        </w:rPr>
        <w:t>0 </w:t>
      </w:r>
      <w:r w:rsidR="00B73EB5" w:rsidRPr="0040260E">
        <w:rPr>
          <w:rFonts w:ascii="Times New Roman" w:hAnsi="Times New Roman"/>
          <w:szCs w:val="22"/>
        </w:rPr>
        <w:t>mg</w:t>
      </w:r>
      <w:r w:rsidR="00E9367B"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szCs w:val="22"/>
        </w:rPr>
        <w:t>paroxetín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pozoroval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B73EB5" w:rsidRPr="0040260E">
        <w:rPr>
          <w:rFonts w:ascii="Times New Roman" w:hAnsi="Times New Roman"/>
          <w:szCs w:val="22"/>
        </w:rPr>
        <w:t>priemere 2,</w:t>
      </w:r>
      <w:r w:rsidR="00307548" w:rsidRPr="0040260E">
        <w:rPr>
          <w:rFonts w:ascii="Times New Roman" w:hAnsi="Times New Roman"/>
          <w:szCs w:val="22"/>
        </w:rPr>
        <w:t>5 </w:t>
      </w:r>
      <w:r w:rsidR="00B73EB5" w:rsidRPr="0040260E">
        <w:rPr>
          <w:rFonts w:ascii="Times New Roman" w:hAnsi="Times New Roman"/>
          <w:szCs w:val="22"/>
        </w:rPr>
        <w:t>krát</w:t>
      </w:r>
      <w:r w:rsidR="009F27A5"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szCs w:val="22"/>
        </w:rPr>
        <w:t>vyššie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hladiny pimozidu. </w:t>
      </w:r>
      <w:r w:rsidR="00B73EB5" w:rsidRPr="0040260E">
        <w:rPr>
          <w:rFonts w:ascii="Times New Roman" w:hAnsi="Times New Roman"/>
          <w:szCs w:val="22"/>
        </w:rPr>
        <w:t>T</w:t>
      </w:r>
      <w:r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je možné vysvetliť známym</w:t>
      </w:r>
      <w:r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CYP2D6 inhibičným</w:t>
      </w:r>
      <w:r w:rsidRPr="0040260E">
        <w:rPr>
          <w:rFonts w:ascii="Times New Roman" w:hAnsi="Times New Roman"/>
          <w:szCs w:val="22"/>
        </w:rPr>
        <w:t xml:space="preserve">i </w:t>
      </w:r>
      <w:r w:rsidR="00FC57D7" w:rsidRPr="0040260E">
        <w:rPr>
          <w:rFonts w:ascii="Times New Roman" w:hAnsi="Times New Roman"/>
          <w:szCs w:val="22"/>
        </w:rPr>
        <w:t>vlastnosťami</w:t>
      </w:r>
      <w:r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szCs w:val="22"/>
        </w:rPr>
        <w:t xml:space="preserve">paroxetínu.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dôvod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úzkeh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terapeutickéh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index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pimozid</w:t>
      </w:r>
      <w:r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jeh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známej schopnost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predlžovať QT interval</w:t>
      </w:r>
      <w:r w:rsidR="00FB4763" w:rsidRPr="0040260E">
        <w:rPr>
          <w:rFonts w:ascii="Times New Roman" w:hAnsi="Times New Roman"/>
          <w:szCs w:val="22"/>
        </w:rPr>
        <w:t xml:space="preserve"> je účastné použitie pimozid</w:t>
      </w:r>
      <w:r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FB4763" w:rsidRPr="0040260E">
        <w:rPr>
          <w:rFonts w:ascii="Times New Roman" w:hAnsi="Times New Roman"/>
          <w:szCs w:val="22"/>
        </w:rPr>
        <w:t>paroxetín</w:t>
      </w:r>
      <w:r w:rsidRPr="0040260E">
        <w:rPr>
          <w:rFonts w:ascii="Times New Roman" w:hAnsi="Times New Roman"/>
          <w:szCs w:val="22"/>
        </w:rPr>
        <w:t xml:space="preserve">u </w:t>
      </w:r>
      <w:r w:rsidR="00FB4763" w:rsidRPr="0040260E">
        <w:rPr>
          <w:rFonts w:ascii="Times New Roman" w:hAnsi="Times New Roman"/>
          <w:szCs w:val="22"/>
        </w:rPr>
        <w:t>kontraindikované</w:t>
      </w:r>
      <w:r w:rsidR="00E9367B" w:rsidRPr="0040260E">
        <w:rPr>
          <w:rFonts w:ascii="Times New Roman" w:hAnsi="Times New Roman"/>
          <w:szCs w:val="22"/>
        </w:rPr>
        <w:t xml:space="preserve"> (pozr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časť 4.3).</w:t>
      </w:r>
    </w:p>
    <w:p w14:paraId="37C65DA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004BB38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Enzýmy metabolizujúce lieky</w:t>
      </w:r>
    </w:p>
    <w:p w14:paraId="608F3978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Metabolizmu</w:t>
      </w:r>
      <w:r w:rsidR="005F2843" w:rsidRPr="0040260E">
        <w:rPr>
          <w:rFonts w:ascii="Times New Roman" w:hAnsi="Times New Roman"/>
          <w:szCs w:val="22"/>
        </w:rPr>
        <w:t>s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farmakokinetik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môže ovplyvniť indukci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inhibíci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enzýmo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metabolizujúcich lieky.</w:t>
      </w:r>
    </w:p>
    <w:p w14:paraId="719CA089" w14:textId="77777777" w:rsidR="00C978CD" w:rsidRPr="0040260E" w:rsidRDefault="0049481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Ak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má paroxetín podávať sú</w:t>
      </w:r>
      <w:r w:rsidR="00471DC3" w:rsidRPr="0040260E">
        <w:rPr>
          <w:rFonts w:ascii="Times New Roman" w:hAnsi="Times New Roman"/>
          <w:szCs w:val="22"/>
        </w:rPr>
        <w:t>bežne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známym inhibítorom enzýmo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metabolizujúcich lieky, musí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zvážiť podávanie dávok paroxetín</w:t>
      </w:r>
      <w:r w:rsidR="005F2843" w:rsidRPr="0040260E">
        <w:rPr>
          <w:rFonts w:ascii="Times New Roman" w:hAnsi="Times New Roman"/>
          <w:szCs w:val="22"/>
        </w:rPr>
        <w:t>u z </w:t>
      </w:r>
      <w:r w:rsidR="00E9367B" w:rsidRPr="0040260E">
        <w:rPr>
          <w:rFonts w:ascii="Times New Roman" w:hAnsi="Times New Roman"/>
          <w:szCs w:val="22"/>
        </w:rPr>
        <w:t>dolnej hranice dávkovacieh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rozsahu.</w:t>
      </w:r>
    </w:p>
    <w:p w14:paraId="20C78FD9" w14:textId="77777777" w:rsidR="00C978CD" w:rsidRPr="0040260E" w:rsidRDefault="0049481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Ak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má liek podávať sú</w:t>
      </w:r>
      <w:r w:rsidR="00471DC3" w:rsidRPr="0040260E">
        <w:rPr>
          <w:rFonts w:ascii="Times New Roman" w:hAnsi="Times New Roman"/>
          <w:szCs w:val="22"/>
        </w:rPr>
        <w:t>bežne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známym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induktorm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enzýmo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 xml:space="preserve">metabolizujúcich lieky (napr. karbamazepínom, rifampicínom, fenobarbitalom, fenytoínom) </w:t>
      </w:r>
      <w:r w:rsidR="00FB4763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FB4763" w:rsidRPr="0040260E">
        <w:rPr>
          <w:rFonts w:ascii="Times New Roman" w:hAnsi="Times New Roman"/>
          <w:szCs w:val="22"/>
        </w:rPr>
        <w:t>fosamprenavirom/ritonavirom,</w:t>
      </w:r>
      <w:r w:rsidR="00FC57D7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nie je potrebná žiadn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úprav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úvodnéh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dávkovania. Akákoľvek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úprav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dávkovani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FB4763"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FB4763" w:rsidRPr="0040260E">
        <w:rPr>
          <w:rFonts w:ascii="Times New Roman" w:hAnsi="Times New Roman"/>
          <w:szCs w:val="22"/>
        </w:rPr>
        <w:t>(č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FB4763" w:rsidRPr="0040260E">
        <w:rPr>
          <w:rFonts w:ascii="Times New Roman" w:hAnsi="Times New Roman"/>
          <w:szCs w:val="22"/>
        </w:rPr>
        <w:t>už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začatí</w:t>
      </w:r>
      <w:r w:rsidR="00FB4763" w:rsidRPr="0040260E">
        <w:rPr>
          <w:rFonts w:ascii="Times New Roman" w:hAnsi="Times New Roman"/>
          <w:szCs w:val="22"/>
        </w:rPr>
        <w:t xml:space="preserve"> liečby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FB4763"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vysadení</w:t>
      </w:r>
      <w:r w:rsidR="00FB4763" w:rsidRPr="0040260E">
        <w:rPr>
          <w:rFonts w:ascii="Times New Roman" w:hAnsi="Times New Roman"/>
          <w:szCs w:val="22"/>
        </w:rPr>
        <w:t xml:space="preserve"> induktor</w:t>
      </w:r>
      <w:r w:rsidRPr="0040260E">
        <w:rPr>
          <w:rFonts w:ascii="Times New Roman" w:hAnsi="Times New Roman"/>
          <w:szCs w:val="22"/>
        </w:rPr>
        <w:t>a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FB4763" w:rsidRPr="0040260E">
        <w:rPr>
          <w:rFonts w:ascii="Times New Roman" w:hAnsi="Times New Roman"/>
          <w:szCs w:val="22"/>
        </w:rPr>
        <w:t>enzýmu)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má riadiť klinickým účinkom (znášanlivosť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účinnosť).</w:t>
      </w:r>
    </w:p>
    <w:p w14:paraId="22E636D9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4D2F374" w14:textId="77777777" w:rsidR="0098765F" w:rsidRPr="0040260E" w:rsidRDefault="0098765F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Neuromuskulárne blokátory</w:t>
      </w:r>
    </w:p>
    <w:p w14:paraId="5BD29410" w14:textId="77777777" w:rsidR="0098765F" w:rsidRPr="0040260E" w:rsidRDefault="0098765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SSRI môžu znižovať aktivitu cholínesterázy v plazme a viesť k predĺženiu neuromuskulárnej blokády vyvolanej mivakúriom a suxametóniom.</w:t>
      </w:r>
    </w:p>
    <w:p w14:paraId="38870B72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2FCEE1E4" w14:textId="77777777" w:rsidR="00FB4763" w:rsidRPr="0040260E" w:rsidRDefault="00FB4763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Fosamprenavir/ritonavir</w:t>
      </w:r>
    </w:p>
    <w:p w14:paraId="2EBCBAA0" w14:textId="77777777" w:rsidR="00FB4763" w:rsidRPr="0040260E" w:rsidRDefault="00FB476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podávanie fosamprenaviru/ritonavir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dávke 700/10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dvakrát denne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 xml:space="preserve">mg jedenkrát denne zdravým </w:t>
      </w:r>
      <w:r w:rsidR="00806354" w:rsidRPr="0040260E">
        <w:rPr>
          <w:rFonts w:ascii="Times New Roman" w:hAnsi="Times New Roman"/>
          <w:szCs w:val="22"/>
        </w:rPr>
        <w:t>dobrovoľníkom</w:t>
      </w:r>
      <w:r w:rsidRPr="0040260E">
        <w:rPr>
          <w:rFonts w:ascii="Times New Roman" w:hAnsi="Times New Roman"/>
          <w:szCs w:val="22"/>
        </w:rPr>
        <w:t xml:space="preserve">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dní viedl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 signifikantném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zníženi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plazmatických hladín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približne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5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. Plazmatické hladiny fosamprenaviru/ritonavir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sú</w:t>
      </w:r>
      <w:r w:rsidR="00812DA2" w:rsidRPr="0040260E">
        <w:rPr>
          <w:rFonts w:ascii="Times New Roman" w:hAnsi="Times New Roman"/>
          <w:szCs w:val="22"/>
        </w:rPr>
        <w:t>bežného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paroxetínom blízke referenčným hodnotám iných štúdií, č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naznačuje, že paroxetín nemal signifikantný vply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metabolizmu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fosamprenaviru/ritonaviru. Údaje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5C3827" w:rsidRPr="0040260E">
        <w:rPr>
          <w:rFonts w:ascii="Times New Roman" w:hAnsi="Times New Roman"/>
          <w:szCs w:val="22"/>
        </w:rPr>
        <w:t>účinkoch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dlhodobéh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5C3827" w:rsidRPr="0040260E">
        <w:rPr>
          <w:rFonts w:ascii="Times New Roman" w:hAnsi="Times New Roman"/>
          <w:szCs w:val="22"/>
        </w:rPr>
        <w:t xml:space="preserve">súbežného </w:t>
      </w:r>
      <w:r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fosamprenaviru/ritonavir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(presahujúceh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dní) nie sú k dispozícii.</w:t>
      </w:r>
    </w:p>
    <w:p w14:paraId="19505AF4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ABDF96A" w14:textId="77777777" w:rsidR="004E7BE8" w:rsidRPr="0040260E" w:rsidRDefault="004E7BE8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Procyklidín</w:t>
      </w:r>
    </w:p>
    <w:p w14:paraId="251628E2" w14:textId="77777777"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Každodenné podávanie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významne zvyšuje plazmatické hladiny procyklidínu. Pokiaľ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spozorujú anticholinergné účinky,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procyklidín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znížiť.</w:t>
      </w:r>
    </w:p>
    <w:p w14:paraId="5E2B239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802431C" w14:textId="77777777" w:rsidR="004E7BE8" w:rsidRPr="0040260E" w:rsidRDefault="004E7BE8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lastRenderedPageBreak/>
        <w:t>Antikonvulzíva</w:t>
      </w:r>
    </w:p>
    <w:p w14:paraId="49D5536D" w14:textId="77777777"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Karbamazepín, fenytoín, valproát sodný: Nezdá sa, že by sú</w:t>
      </w:r>
      <w:r w:rsidR="00812DA2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podávanie mal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nejaký účinok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farmakokinetický/dynamický profil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epileptických pacientov.</w:t>
      </w:r>
    </w:p>
    <w:p w14:paraId="17EE56AA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2D7F77F9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Inhibičný potenciál paroxetín</w:t>
      </w:r>
      <w:r w:rsidR="005F2843" w:rsidRPr="0040260E">
        <w:rPr>
          <w:szCs w:val="22"/>
        </w:rPr>
        <w:t xml:space="preserve">u </w:t>
      </w:r>
      <w:r w:rsidRPr="0040260E">
        <w:rPr>
          <w:szCs w:val="22"/>
        </w:rPr>
        <w:t>voč</w:t>
      </w:r>
      <w:r w:rsidR="005F2843" w:rsidRPr="0040260E">
        <w:rPr>
          <w:szCs w:val="22"/>
        </w:rPr>
        <w:t xml:space="preserve">i </w:t>
      </w:r>
      <w:r w:rsidRPr="0040260E">
        <w:rPr>
          <w:szCs w:val="22"/>
        </w:rPr>
        <w:t>CYP2D6</w:t>
      </w:r>
    </w:p>
    <w:p w14:paraId="0E2A587D" w14:textId="77777777" w:rsidR="00C049A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ostatné antidepresíva, vrátane ostatných SSRI, paroxetín inhibuje pečeňový enzým CYP2D6 cytochróm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P450. Inhibíci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CYP2D6 môže viesť k zvýšeným plazmatickým koncentráciám sú</w:t>
      </w:r>
      <w:r w:rsidR="00812DA2" w:rsidRPr="0040260E">
        <w:rPr>
          <w:rFonts w:ascii="Times New Roman" w:hAnsi="Times New Roman"/>
          <w:szCs w:val="22"/>
        </w:rPr>
        <w:t>bežne</w:t>
      </w:r>
      <w:r w:rsidRPr="0040260E">
        <w:rPr>
          <w:rFonts w:ascii="Times New Roman" w:hAnsi="Times New Roman"/>
          <w:szCs w:val="22"/>
        </w:rPr>
        <w:t xml:space="preserve"> podávaných liekov, ktoré sú metabolizované týmt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enzýmom. Patri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 niektoré tricyklické antidepresív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(napr. klomipramín, nortriptylín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dezipramín), fenotiazínové neuroleptiká (napr. perfenazín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tioridazín, 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4.3), ri</w:t>
      </w:r>
      <w:r w:rsidR="00AC20ED" w:rsidRPr="0040260E">
        <w:rPr>
          <w:rFonts w:ascii="Times New Roman" w:hAnsi="Times New Roman"/>
          <w:szCs w:val="22"/>
        </w:rPr>
        <w:t>z</w:t>
      </w:r>
      <w:r w:rsidRPr="0040260E">
        <w:rPr>
          <w:rFonts w:ascii="Times New Roman" w:hAnsi="Times New Roman"/>
          <w:szCs w:val="22"/>
        </w:rPr>
        <w:t>peridón, atomoxetín, niektoré antiarytmiká typ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1c (napr. propafenón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flekainid)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metoprolol. Neodporúč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podávať paroxetín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metoprololom, keď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podáv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srdcovej nedostatočnosti,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</w:t>
      </w:r>
      <w:r w:rsidR="005F2843" w:rsidRPr="0040260E">
        <w:rPr>
          <w:rFonts w:ascii="Times New Roman" w:hAnsi="Times New Roman"/>
          <w:szCs w:val="22"/>
        </w:rPr>
        <w:t>o z 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jeh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úzkeh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terapeutickéh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index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tejt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indikácii.</w:t>
      </w:r>
    </w:p>
    <w:p w14:paraId="09915C66" w14:textId="77777777" w:rsidR="00A718DF" w:rsidRPr="0040260E" w:rsidRDefault="00A718D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literatúre sa udáva farmakokinetická interakcia medzi inhibítormi CYP2D6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6A2166" w:rsidRPr="0040260E">
        <w:rPr>
          <w:rFonts w:ascii="Times New Roman" w:hAnsi="Times New Roman"/>
          <w:szCs w:val="22"/>
        </w:rPr>
        <w:t>tamoxifénom</w:t>
      </w:r>
      <w:r w:rsidRPr="0040260E">
        <w:rPr>
          <w:rFonts w:ascii="Times New Roman" w:hAnsi="Times New Roman"/>
          <w:szCs w:val="22"/>
        </w:rPr>
        <w:t>, pri ktorej sa preukázalo 65</w:t>
      </w:r>
      <w:r w:rsidR="008E1DA2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7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zníženie plazmatických hladín jednej z účinnejších foriem </w:t>
      </w:r>
      <w:r w:rsidR="006A2166" w:rsidRPr="0040260E">
        <w:rPr>
          <w:rFonts w:ascii="Times New Roman" w:hAnsi="Times New Roman"/>
          <w:szCs w:val="22"/>
        </w:rPr>
        <w:t>tamoxifénu</w:t>
      </w:r>
      <w:r w:rsidRPr="0040260E">
        <w:rPr>
          <w:rFonts w:ascii="Times New Roman" w:hAnsi="Times New Roman"/>
          <w:szCs w:val="22"/>
        </w:rPr>
        <w:t>, t.j. endoxifenu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 xml:space="preserve">niektorých štúdiách bola pri súbežnom použití niektorých antidepresív typu SSRI hlásená znížená účinnosť </w:t>
      </w:r>
      <w:r w:rsidR="006A2166" w:rsidRPr="0040260E">
        <w:rPr>
          <w:rFonts w:ascii="Times New Roman" w:hAnsi="Times New Roman"/>
          <w:szCs w:val="22"/>
        </w:rPr>
        <w:t>tamoxifénu</w:t>
      </w:r>
      <w:r w:rsidRPr="0040260E">
        <w:rPr>
          <w:rFonts w:ascii="Times New Roman" w:hAnsi="Times New Roman"/>
          <w:szCs w:val="22"/>
        </w:rPr>
        <w:t xml:space="preserve">. Keďže nie je možné vylúčiť znížený účinok </w:t>
      </w:r>
      <w:r w:rsidR="006A2166" w:rsidRPr="0040260E">
        <w:rPr>
          <w:rFonts w:ascii="Times New Roman" w:hAnsi="Times New Roman"/>
          <w:szCs w:val="22"/>
        </w:rPr>
        <w:t>tamoxifénu</w:t>
      </w:r>
      <w:r w:rsidRPr="0040260E">
        <w:rPr>
          <w:rFonts w:ascii="Times New Roman" w:hAnsi="Times New Roman"/>
          <w:szCs w:val="22"/>
        </w:rPr>
        <w:t>, súbežnému podávaniu so silnými inhibítormi CYP2D6 (vrátane paroxetínu) sa má vždy, keď je to možné, vyhnúť (pozri časť 4.4).</w:t>
      </w:r>
    </w:p>
    <w:p w14:paraId="2892763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5CF036A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Alkohol</w:t>
      </w:r>
    </w:p>
    <w:p w14:paraId="41C2B9A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957A81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psychotropných lieko</w:t>
      </w:r>
      <w:r w:rsidR="00957A81" w:rsidRPr="0040260E">
        <w:rPr>
          <w:rFonts w:ascii="Times New Roman" w:hAnsi="Times New Roman"/>
          <w:szCs w:val="22"/>
        </w:rPr>
        <w:t>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musi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byť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upozornení,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užívani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vyhl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konzumáci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alkoholu.</w:t>
      </w:r>
    </w:p>
    <w:p w14:paraId="6658DB5C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9E45241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Perorálne antikoagulanciá</w:t>
      </w:r>
    </w:p>
    <w:p w14:paraId="47346ECA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vyskytnúť farmakodynamická interakci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antikoagulanciami. Sú</w:t>
      </w:r>
      <w:r w:rsidR="00812DA2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použitie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perorálnych antikoagulancií môže viesť k zvýšenej antikoagulačnej aktivite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krvácania. 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musí používať opatrne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sú liečení 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4.4).</w:t>
      </w:r>
    </w:p>
    <w:p w14:paraId="418B19D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06C355D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NSAID</w:t>
      </w:r>
      <w:r w:rsidR="00C80AA3" w:rsidRPr="0040260E">
        <w:rPr>
          <w:szCs w:val="22"/>
        </w:rPr>
        <w:t>/</w:t>
      </w:r>
      <w:r w:rsidRPr="0040260E">
        <w:rPr>
          <w:szCs w:val="22"/>
        </w:rPr>
        <w:t>kyselin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acetylsalicylová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ďalšie antikoagulačné lieky</w:t>
      </w:r>
    </w:p>
    <w:p w14:paraId="2247F0DA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vyskytnúť farmakodynamická interakci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NSAID/kyselino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acetylsalicylovou. Sú</w:t>
      </w:r>
      <w:r w:rsidR="00957A81" w:rsidRPr="0040260E">
        <w:rPr>
          <w:rFonts w:ascii="Times New Roman" w:hAnsi="Times New Roman"/>
          <w:szCs w:val="22"/>
        </w:rPr>
        <w:t>bež</w:t>
      </w:r>
      <w:r w:rsidRPr="0040260E">
        <w:rPr>
          <w:rFonts w:ascii="Times New Roman" w:hAnsi="Times New Roman"/>
          <w:szCs w:val="22"/>
        </w:rPr>
        <w:t>né použitie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NSAID/kyseliny acetylsalicylovej môže viesť k</w:t>
      </w:r>
      <w:r w:rsidR="00C80AA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zvýšeném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4.4).</w:t>
      </w:r>
    </w:p>
    <w:p w14:paraId="3CEF9A49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</w:t>
      </w:r>
      <w:r w:rsidR="00812DA2" w:rsidRPr="0040260E">
        <w:rPr>
          <w:rFonts w:ascii="Times New Roman" w:hAnsi="Times New Roman"/>
          <w:szCs w:val="22"/>
        </w:rPr>
        <w:t>úbežne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antikoagulanciami,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liekmi,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ktorých je známe, že ovplyvňujú funkci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krvných doštičiek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zvyšujú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(napr.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atypickým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antipsychotikami,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sú klozapín, fenotiazíny, väčšin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TCA, kyselin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acetylsalicylová, NSAID, inhibítory COX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2),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majú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 poruchy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stavy, ktoré ich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predisponovať 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krvácaniu.</w:t>
      </w:r>
    </w:p>
    <w:p w14:paraId="4EFEBA1C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D36AAFA" w14:textId="77777777" w:rsidR="00D96D83" w:rsidRPr="0040260E" w:rsidRDefault="00D96D83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Pravastatín</w:t>
      </w:r>
    </w:p>
    <w:p w14:paraId="5549F463" w14:textId="77777777" w:rsidR="00D96D83" w:rsidRPr="0040260E" w:rsidRDefault="00D96D8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V štúdiách boli pozorované interakcie medzi paroxetínom a pravastatínom naznačujúce, že </w:t>
      </w:r>
      <w:r w:rsidR="00C91089" w:rsidRPr="0040260E">
        <w:rPr>
          <w:rFonts w:ascii="Times New Roman" w:hAnsi="Times New Roman"/>
          <w:szCs w:val="22"/>
        </w:rPr>
        <w:t xml:space="preserve">súbežné </w:t>
      </w:r>
      <w:r w:rsidRPr="0040260E">
        <w:rPr>
          <w:rFonts w:ascii="Times New Roman" w:hAnsi="Times New Roman"/>
          <w:szCs w:val="22"/>
        </w:rPr>
        <w:t xml:space="preserve">podávanie paroxetínu a pravastatínu môže viesť ku zvýšenej </w:t>
      </w:r>
      <w:r w:rsidR="001769CE" w:rsidRPr="0040260E">
        <w:rPr>
          <w:rFonts w:ascii="Times New Roman" w:hAnsi="Times New Roman"/>
          <w:szCs w:val="22"/>
        </w:rPr>
        <w:t xml:space="preserve">hladine </w:t>
      </w:r>
      <w:r w:rsidR="003934CA" w:rsidRPr="0040260E">
        <w:rPr>
          <w:rFonts w:ascii="Times New Roman" w:hAnsi="Times New Roman"/>
          <w:szCs w:val="22"/>
        </w:rPr>
        <w:t>glukózy</w:t>
      </w:r>
      <w:r w:rsidR="001769CE" w:rsidRPr="0040260E">
        <w:rPr>
          <w:rFonts w:ascii="Times New Roman" w:hAnsi="Times New Roman"/>
          <w:szCs w:val="22"/>
        </w:rPr>
        <w:t xml:space="preserve"> v krvi</w:t>
      </w:r>
      <w:r w:rsidRPr="0040260E">
        <w:rPr>
          <w:rFonts w:ascii="Times New Roman" w:hAnsi="Times New Roman"/>
          <w:szCs w:val="22"/>
        </w:rPr>
        <w:t>. Pacienti s ochorením diabetes mellitus užívajúci sú</w:t>
      </w:r>
      <w:r w:rsidR="00812DA2" w:rsidRPr="0040260E">
        <w:rPr>
          <w:rFonts w:ascii="Times New Roman" w:hAnsi="Times New Roman"/>
          <w:szCs w:val="22"/>
        </w:rPr>
        <w:t>bežne</w:t>
      </w:r>
      <w:r w:rsidRPr="0040260E">
        <w:rPr>
          <w:rFonts w:ascii="Times New Roman" w:hAnsi="Times New Roman"/>
          <w:szCs w:val="22"/>
        </w:rPr>
        <w:t xml:space="preserve"> paroxetín a pravastatín môžu vyžadovať úpravu dávok perorálnych hypoglykemických prípravkov a/alebo inzulínu (pozri bod 4.4.)</w:t>
      </w:r>
    </w:p>
    <w:p w14:paraId="11316351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EBBDCBD" w14:textId="77777777" w:rsidR="00C978CD" w:rsidRPr="0040260E" w:rsidRDefault="002C02A6" w:rsidP="0040260E">
      <w:pPr>
        <w:pStyle w:val="Styl2"/>
        <w:spacing w:before="0" w:after="0"/>
      </w:pPr>
      <w:r w:rsidRPr="0040260E">
        <w:t>Fertilita, g</w:t>
      </w:r>
      <w:r w:rsidR="00E9367B" w:rsidRPr="0040260E">
        <w:t>ravidit</w:t>
      </w:r>
      <w:r w:rsidR="005F2843" w:rsidRPr="0040260E">
        <w:t>a</w:t>
      </w:r>
      <w:r w:rsidR="00307548" w:rsidRPr="0040260E">
        <w:t xml:space="preserve"> a </w:t>
      </w:r>
      <w:r w:rsidR="00E9367B" w:rsidRPr="0040260E">
        <w:t>laktácia</w:t>
      </w:r>
    </w:p>
    <w:p w14:paraId="78100EFB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B1BA899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Gravidita</w:t>
      </w:r>
    </w:p>
    <w:p w14:paraId="0F1FC156" w14:textId="77777777" w:rsidR="00742CE1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Niektoré epidemiologické štúdie uvádzajú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zvýšené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vznik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742CE1" w:rsidRPr="0040260E">
        <w:rPr>
          <w:rFonts w:ascii="Times New Roman" w:hAnsi="Times New Roman"/>
          <w:szCs w:val="22"/>
        </w:rPr>
        <w:t>vrodených malformáci</w:t>
      </w:r>
      <w:r w:rsidR="006A2166" w:rsidRPr="0040260E">
        <w:rPr>
          <w:rFonts w:ascii="Times New Roman" w:hAnsi="Times New Roman"/>
          <w:szCs w:val="22"/>
        </w:rPr>
        <w:t>í</w:t>
      </w:r>
      <w:r w:rsidR="00742CE1" w:rsidRPr="0040260E">
        <w:rPr>
          <w:rFonts w:ascii="Times New Roman" w:hAnsi="Times New Roman"/>
          <w:szCs w:val="22"/>
        </w:rPr>
        <w:t>, najmä</w:t>
      </w:r>
      <w:r w:rsidRPr="0040260E">
        <w:rPr>
          <w:rFonts w:ascii="Times New Roman" w:hAnsi="Times New Roman"/>
          <w:szCs w:val="22"/>
        </w:rPr>
        <w:t xml:space="preserve"> kardiovaskulárnych malformácií (napr. defekty ventrikulárneh</w:t>
      </w:r>
      <w:r w:rsidR="005F2843" w:rsidRPr="0040260E">
        <w:rPr>
          <w:rFonts w:ascii="Times New Roman" w:hAnsi="Times New Roman"/>
          <w:szCs w:val="22"/>
        </w:rPr>
        <w:t>o</w:t>
      </w:r>
      <w:r w:rsidR="00671A3D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a </w:t>
      </w:r>
      <w:r w:rsidRPr="0040260E">
        <w:rPr>
          <w:rFonts w:ascii="Times New Roman" w:hAnsi="Times New Roman"/>
          <w:szCs w:val="22"/>
        </w:rPr>
        <w:t>atriálneh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septa) spojených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užívaním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prvéh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trimestra. Mechanizmu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nie je známy. Údaje uvádzajú, že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narodeni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dieťať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kardiovaskulárnym defektom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podávaní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tehotenstve je menšie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2/10</w:t>
      </w:r>
      <w:r w:rsidR="00307548" w:rsidRPr="0040260E">
        <w:rPr>
          <w:rFonts w:ascii="Times New Roman" w:hAnsi="Times New Roman"/>
          <w:szCs w:val="22"/>
        </w:rPr>
        <w:t>0 v </w:t>
      </w:r>
      <w:r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predpokladaným výskytom takýcht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defekto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 xml:space="preserve">celkovej populácii, ktorý </w:t>
      </w:r>
      <w:r w:rsidR="00054005" w:rsidRPr="0040260E">
        <w:rPr>
          <w:rFonts w:ascii="Times New Roman" w:hAnsi="Times New Roman"/>
          <w:szCs w:val="22"/>
        </w:rPr>
        <w:t xml:space="preserve">je </w:t>
      </w:r>
      <w:r w:rsidRPr="0040260E">
        <w:rPr>
          <w:rFonts w:ascii="Times New Roman" w:hAnsi="Times New Roman"/>
          <w:szCs w:val="22"/>
        </w:rPr>
        <w:t>približne 1/100.</w:t>
      </w:r>
    </w:p>
    <w:p w14:paraId="5048CC38" w14:textId="77777777" w:rsidR="003613E8" w:rsidRPr="0040260E" w:rsidRDefault="00742CE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473A1" w:rsidRPr="0040260E">
        <w:rPr>
          <w:rFonts w:ascii="Times New Roman" w:hAnsi="Times New Roman"/>
          <w:szCs w:val="22"/>
        </w:rPr>
        <w:t>priebeh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0473A1" w:rsidRPr="0040260E">
        <w:rPr>
          <w:rFonts w:ascii="Times New Roman" w:hAnsi="Times New Roman"/>
          <w:szCs w:val="22"/>
        </w:rPr>
        <w:t>tehotenstv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0473A1" w:rsidRPr="0040260E">
        <w:rPr>
          <w:rFonts w:ascii="Times New Roman" w:hAnsi="Times New Roman"/>
          <w:szCs w:val="22"/>
        </w:rPr>
        <w:t>len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473A1" w:rsidRPr="0040260E">
        <w:rPr>
          <w:rFonts w:ascii="Times New Roman" w:hAnsi="Times New Roman"/>
          <w:szCs w:val="22"/>
        </w:rPr>
        <w:t>prípade nutnosti</w:t>
      </w:r>
      <w:r w:rsidR="001C5C2E" w:rsidRPr="0040260E">
        <w:rPr>
          <w:rFonts w:ascii="Times New Roman" w:hAnsi="Times New Roman"/>
          <w:szCs w:val="22"/>
        </w:rPr>
        <w:t>. U</w:t>
      </w:r>
      <w:r w:rsidR="00307548" w:rsidRPr="0040260E">
        <w:rPr>
          <w:rFonts w:ascii="Times New Roman" w:hAnsi="Times New Roman"/>
          <w:szCs w:val="22"/>
        </w:rPr>
        <w:t> </w:t>
      </w:r>
      <w:r w:rsidR="000473A1" w:rsidRPr="0040260E">
        <w:rPr>
          <w:rFonts w:ascii="Times New Roman" w:hAnsi="Times New Roman"/>
          <w:szCs w:val="22"/>
        </w:rPr>
        <w:t xml:space="preserve">žien, ktoré </w:t>
      </w:r>
      <w:r w:rsidR="00806354" w:rsidRPr="0040260E">
        <w:rPr>
          <w:rFonts w:ascii="Times New Roman" w:hAnsi="Times New Roman"/>
          <w:szCs w:val="22"/>
        </w:rPr>
        <w:t>plánujú</w:t>
      </w:r>
      <w:r w:rsidR="000473A1" w:rsidRPr="0040260E">
        <w:rPr>
          <w:rFonts w:ascii="Times New Roman" w:hAnsi="Times New Roman"/>
          <w:szCs w:val="22"/>
        </w:rPr>
        <w:t xml:space="preserve"> otehotnieť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473A1" w:rsidRPr="0040260E">
        <w:rPr>
          <w:rFonts w:ascii="Times New Roman" w:hAnsi="Times New Roman"/>
          <w:szCs w:val="22"/>
        </w:rPr>
        <w:t>ktoré otehotnejú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473A1" w:rsidRPr="0040260E">
        <w:rPr>
          <w:rFonts w:ascii="Times New Roman" w:hAnsi="Times New Roman"/>
          <w:szCs w:val="22"/>
        </w:rPr>
        <w:t>priebeh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0473A1" w:rsidRPr="0040260E">
        <w:rPr>
          <w:rFonts w:ascii="Times New Roman" w:hAnsi="Times New Roman"/>
          <w:szCs w:val="22"/>
        </w:rPr>
        <w:t>liečby, musí lekár zvážiť alternatívn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0473A1" w:rsidRPr="0040260E">
        <w:rPr>
          <w:rFonts w:ascii="Times New Roman" w:hAnsi="Times New Roman"/>
          <w:szCs w:val="22"/>
        </w:rPr>
        <w:t xml:space="preserve">liečbu. </w:t>
      </w:r>
      <w:r w:rsidR="004D7264" w:rsidRPr="0040260E">
        <w:rPr>
          <w:rFonts w:ascii="Times New Roman" w:hAnsi="Times New Roman"/>
          <w:szCs w:val="22"/>
        </w:rPr>
        <w:t>N</w:t>
      </w:r>
      <w:r w:rsidR="000473A1" w:rsidRPr="0040260E">
        <w:rPr>
          <w:rFonts w:ascii="Times New Roman" w:hAnsi="Times New Roman"/>
          <w:szCs w:val="22"/>
        </w:rPr>
        <w:t>áhlem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4D7264" w:rsidRPr="0040260E">
        <w:rPr>
          <w:rFonts w:ascii="Times New Roman" w:hAnsi="Times New Roman"/>
          <w:szCs w:val="22"/>
        </w:rPr>
        <w:t xml:space="preserve">ukončeniu </w:t>
      </w:r>
      <w:r w:rsidR="003613E8" w:rsidRPr="0040260E">
        <w:rPr>
          <w:rFonts w:ascii="Times New Roman" w:hAnsi="Times New Roman"/>
          <w:szCs w:val="22"/>
        </w:rPr>
        <w:lastRenderedPageBreak/>
        <w:t xml:space="preserve">liečby </w:t>
      </w:r>
      <w:r w:rsidR="004D7264" w:rsidRPr="0040260E">
        <w:rPr>
          <w:rFonts w:ascii="Times New Roman" w:hAnsi="Times New Roman"/>
          <w:szCs w:val="22"/>
        </w:rPr>
        <w:t>počas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3613E8" w:rsidRPr="0040260E">
        <w:rPr>
          <w:rFonts w:ascii="Times New Roman" w:hAnsi="Times New Roman"/>
          <w:szCs w:val="22"/>
        </w:rPr>
        <w:t>tehotenstv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D7264" w:rsidRPr="0040260E">
        <w:rPr>
          <w:rFonts w:ascii="Times New Roman" w:hAnsi="Times New Roman"/>
          <w:szCs w:val="22"/>
        </w:rPr>
        <w:t xml:space="preserve">sa treba vyhnúť </w:t>
      </w:r>
      <w:r w:rsidR="003613E8"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0C0147" w:rsidRPr="0040260E">
        <w:rPr>
          <w:rFonts w:ascii="Times New Roman" w:hAnsi="Times New Roman"/>
          <w:szCs w:val="22"/>
        </w:rPr>
        <w:t xml:space="preserve">Symptómy z vysadenia </w:t>
      </w:r>
      <w:r w:rsidR="003613E8" w:rsidRPr="0040260E">
        <w:rPr>
          <w:rFonts w:ascii="Times New Roman" w:hAnsi="Times New Roman"/>
          <w:szCs w:val="22"/>
        </w:rPr>
        <w:t>pozorované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3613E8"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3613E8" w:rsidRPr="0040260E">
        <w:rPr>
          <w:rFonts w:ascii="Times New Roman" w:hAnsi="Times New Roman"/>
          <w:szCs w:val="22"/>
        </w:rPr>
        <w:t>paroxetínu</w:t>
      </w:r>
      <w:r w:rsidR="000C0147" w:rsidRPr="0040260E">
        <w:rPr>
          <w:rFonts w:ascii="Times New Roman" w:hAnsi="Times New Roman"/>
          <w:szCs w:val="22"/>
        </w:rPr>
        <w:t>,</w:t>
      </w:r>
      <w:r w:rsidR="003613E8" w:rsidRPr="0040260E">
        <w:rPr>
          <w:rFonts w:ascii="Times New Roman" w:hAnsi="Times New Roman"/>
          <w:szCs w:val="22"/>
        </w:rPr>
        <w:t xml:space="preserve"> </w:t>
      </w:r>
      <w:r w:rsidR="00827C6D" w:rsidRPr="0040260E">
        <w:rPr>
          <w:rFonts w:ascii="Times New Roman" w:hAnsi="Times New Roman"/>
          <w:szCs w:val="22"/>
        </w:rPr>
        <w:t xml:space="preserve">časť </w:t>
      </w:r>
      <w:r w:rsidR="003613E8"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2</w:t>
      </w:r>
      <w:r w:rsidR="003613E8" w:rsidRPr="0040260E">
        <w:rPr>
          <w:rFonts w:ascii="Times New Roman" w:hAnsi="Times New Roman"/>
          <w:szCs w:val="22"/>
        </w:rPr>
        <w:t>).</w:t>
      </w:r>
    </w:p>
    <w:p w14:paraId="13CF613B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15D1C298" w14:textId="77777777" w:rsidR="003613E8" w:rsidRPr="0040260E" w:rsidRDefault="0022788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Novorodencov, ktorých</w:t>
      </w:r>
      <w:r w:rsidR="003613E8" w:rsidRPr="0040260E">
        <w:rPr>
          <w:rFonts w:ascii="Times New Roman" w:hAnsi="Times New Roman"/>
          <w:szCs w:val="22"/>
        </w:rPr>
        <w:t xml:space="preserve"> matky pokračoval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3613E8" w:rsidRPr="0040260E">
        <w:rPr>
          <w:rFonts w:ascii="Times New Roman" w:hAnsi="Times New Roman"/>
          <w:szCs w:val="22"/>
        </w:rPr>
        <w:t>užívaní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3613E8" w:rsidRPr="0040260E">
        <w:rPr>
          <w:rFonts w:ascii="Times New Roman" w:hAnsi="Times New Roman"/>
          <w:szCs w:val="22"/>
        </w:rPr>
        <w:t>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3613E8" w:rsidRPr="0040260E">
        <w:rPr>
          <w:rFonts w:ascii="Times New Roman" w:hAnsi="Times New Roman"/>
          <w:szCs w:val="22"/>
        </w:rPr>
        <w:t>vyšších štádiách tehotenstva, najmä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3613E8" w:rsidRPr="0040260E">
        <w:rPr>
          <w:rFonts w:ascii="Times New Roman" w:hAnsi="Times New Roman"/>
          <w:szCs w:val="22"/>
        </w:rPr>
        <w:t>treťom trimestr</w:t>
      </w:r>
      <w:r w:rsidR="005F2843" w:rsidRPr="0040260E">
        <w:rPr>
          <w:rFonts w:ascii="Times New Roman" w:hAnsi="Times New Roman"/>
          <w:szCs w:val="22"/>
        </w:rPr>
        <w:t>i</w:t>
      </w:r>
      <w:r w:rsidR="00DA1899" w:rsidRPr="0040260E">
        <w:rPr>
          <w:rFonts w:ascii="Times New Roman" w:hAnsi="Times New Roman"/>
          <w:szCs w:val="22"/>
        </w:rPr>
        <w:t>,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3613E8" w:rsidRPr="0040260E">
        <w:rPr>
          <w:rFonts w:ascii="Times New Roman" w:hAnsi="Times New Roman"/>
          <w:szCs w:val="22"/>
        </w:rPr>
        <w:t>je potrebné sledovať.</w:t>
      </w:r>
    </w:p>
    <w:p w14:paraId="2B22F080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6712993" w14:textId="77777777" w:rsidR="0022788E" w:rsidRPr="0040260E" w:rsidRDefault="0022788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Nasledujúce symptómy sa môžu vyskytnúť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novorodenca, ktorého matka používala paroxetín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neskorších štádiách gravidity: respiračná tieseň, cyanóza, apnoe, záchvaty, nestabilita teploty, porucha príjmu potravy, dávenie, hypoglykémia, hypotónia, hypertónia, hyperreflexia, tremor, nervozita, podráždenosť, letargia, nepretržitý plač, somnolencia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ťažkosti so spánkom. Tieto symptómy môžu byť buď dôsledkom serotonínergných účinkov alebo abstinenčných symptómov. Vo väčšine prípadov komplikácie začnú okamžite alebo krátko (</w:t>
      </w:r>
      <w:r w:rsidR="00DA1899" w:rsidRPr="0040260E">
        <w:rPr>
          <w:rFonts w:ascii="Times New Roman" w:hAnsi="Times New Roman"/>
          <w:szCs w:val="22"/>
        </w:rPr>
        <w:t xml:space="preserve">do </w:t>
      </w:r>
      <w:r w:rsidRPr="0040260E">
        <w:rPr>
          <w:rFonts w:ascii="Times New Roman" w:hAnsi="Times New Roman"/>
          <w:szCs w:val="22"/>
        </w:rPr>
        <w:t>24 hodín) po pôrode.</w:t>
      </w:r>
    </w:p>
    <w:p w14:paraId="6E54ECC1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B0B87CC" w14:textId="77777777" w:rsidR="000616EF" w:rsidRPr="0040260E" w:rsidRDefault="000616E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Epidemiologické štúdie </w:t>
      </w:r>
      <w:r w:rsidR="00406DEC" w:rsidRPr="0040260E">
        <w:rPr>
          <w:rFonts w:ascii="Times New Roman" w:hAnsi="Times New Roman"/>
          <w:szCs w:val="22"/>
        </w:rPr>
        <w:t>naznačujú, že použitie 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06DEC"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="00406DEC" w:rsidRPr="0040260E">
        <w:rPr>
          <w:rFonts w:ascii="Times New Roman" w:hAnsi="Times New Roman"/>
          <w:szCs w:val="22"/>
        </w:rPr>
        <w:t>tehotenstva, najmä poča</w:t>
      </w:r>
      <w:r w:rsidR="005F2843" w:rsidRPr="0040260E">
        <w:rPr>
          <w:rFonts w:ascii="Times New Roman" w:hAnsi="Times New Roman"/>
          <w:szCs w:val="22"/>
        </w:rPr>
        <w:t>s </w:t>
      </w:r>
      <w:r w:rsidR="00406DEC" w:rsidRPr="0040260E">
        <w:rPr>
          <w:rFonts w:ascii="Times New Roman" w:hAnsi="Times New Roman"/>
          <w:szCs w:val="22"/>
        </w:rPr>
        <w:t>pokročiléh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>tehotenstva, môže zvýšiť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>vznik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406DEC" w:rsidRPr="0040260E">
        <w:rPr>
          <w:rFonts w:ascii="Times New Roman" w:hAnsi="Times New Roman"/>
          <w:szCs w:val="22"/>
        </w:rPr>
        <w:t>perzistujúcej pľúcnej hypertenzie novorodenco</w:t>
      </w:r>
      <w:r w:rsidR="005F2843" w:rsidRPr="0040260E">
        <w:rPr>
          <w:rFonts w:ascii="Times New Roman" w:hAnsi="Times New Roman"/>
          <w:szCs w:val="22"/>
        </w:rPr>
        <w:t>v </w:t>
      </w:r>
      <w:r w:rsidR="00406DEC" w:rsidRPr="0040260E">
        <w:rPr>
          <w:rFonts w:ascii="Times New Roman" w:hAnsi="Times New Roman"/>
          <w:szCs w:val="22"/>
        </w:rPr>
        <w:t>(PPHN).</w:t>
      </w:r>
      <w:r w:rsidR="00DA1899" w:rsidRPr="0040260E">
        <w:rPr>
          <w:rFonts w:ascii="Times New Roman" w:hAnsi="Times New Roman"/>
          <w:szCs w:val="22"/>
        </w:rPr>
        <w:t xml:space="preserve"> </w:t>
      </w:r>
      <w:r w:rsidR="00406DEC" w:rsidRPr="0040260E">
        <w:rPr>
          <w:rFonts w:ascii="Times New Roman" w:hAnsi="Times New Roman"/>
          <w:szCs w:val="22"/>
        </w:rPr>
        <w:t>Pozorované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 xml:space="preserve">približne </w:t>
      </w:r>
      <w:r w:rsidR="00307548" w:rsidRPr="0040260E">
        <w:rPr>
          <w:rFonts w:ascii="Times New Roman" w:hAnsi="Times New Roman"/>
          <w:szCs w:val="22"/>
        </w:rPr>
        <w:t>5 </w:t>
      </w:r>
      <w:r w:rsidR="00406DEC" w:rsidRPr="0040260E">
        <w:rPr>
          <w:rFonts w:ascii="Times New Roman" w:hAnsi="Times New Roman"/>
          <w:szCs w:val="22"/>
        </w:rPr>
        <w:t>prípado</w:t>
      </w:r>
      <w:r w:rsidR="005F2843" w:rsidRPr="0040260E">
        <w:rPr>
          <w:rFonts w:ascii="Times New Roman" w:hAnsi="Times New Roman"/>
          <w:szCs w:val="22"/>
        </w:rPr>
        <w:t>v </w:t>
      </w:r>
      <w:r w:rsidR="00406DEC"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06DEC" w:rsidRPr="0040260E">
        <w:rPr>
          <w:rFonts w:ascii="Times New Roman" w:hAnsi="Times New Roman"/>
          <w:szCs w:val="22"/>
        </w:rPr>
        <w:t>100</w:t>
      </w:r>
      <w:r w:rsidR="00307548" w:rsidRPr="0040260E">
        <w:rPr>
          <w:rFonts w:ascii="Times New Roman" w:hAnsi="Times New Roman"/>
          <w:szCs w:val="22"/>
        </w:rPr>
        <w:t>0 </w:t>
      </w:r>
      <w:r w:rsidR="00406DEC" w:rsidRPr="0040260E">
        <w:rPr>
          <w:rFonts w:ascii="Times New Roman" w:hAnsi="Times New Roman"/>
          <w:szCs w:val="22"/>
        </w:rPr>
        <w:t>tehotenstiev.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98765F" w:rsidRPr="0040260E">
        <w:rPr>
          <w:rFonts w:ascii="Times New Roman" w:hAnsi="Times New Roman"/>
          <w:szCs w:val="22"/>
        </w:rPr>
        <w:t>V </w:t>
      </w:r>
      <w:r w:rsidR="00406DEC" w:rsidRPr="0040260E">
        <w:rPr>
          <w:rFonts w:ascii="Times New Roman" w:hAnsi="Times New Roman"/>
          <w:szCs w:val="22"/>
        </w:rPr>
        <w:t>bežnej populáci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06DEC"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06DEC" w:rsidRPr="0040260E">
        <w:rPr>
          <w:rFonts w:ascii="Times New Roman" w:hAnsi="Times New Roman"/>
          <w:szCs w:val="22"/>
        </w:rPr>
        <w:t xml:space="preserve">vyskytuje </w:t>
      </w:r>
      <w:r w:rsidR="00307548" w:rsidRPr="0040260E">
        <w:rPr>
          <w:rFonts w:ascii="Times New Roman" w:hAnsi="Times New Roman"/>
          <w:szCs w:val="22"/>
        </w:rPr>
        <w:t>1 </w:t>
      </w:r>
      <w:r w:rsidR="00406DEC" w:rsidRPr="0040260E">
        <w:rPr>
          <w:rFonts w:ascii="Times New Roman" w:hAnsi="Times New Roman"/>
          <w:szCs w:val="22"/>
        </w:rPr>
        <w:t xml:space="preserve">až </w:t>
      </w:r>
      <w:r w:rsidR="00307548" w:rsidRPr="0040260E">
        <w:rPr>
          <w:rFonts w:ascii="Times New Roman" w:hAnsi="Times New Roman"/>
          <w:szCs w:val="22"/>
        </w:rPr>
        <w:t>2 </w:t>
      </w:r>
      <w:r w:rsidR="00406DEC" w:rsidRPr="0040260E">
        <w:rPr>
          <w:rFonts w:ascii="Times New Roman" w:hAnsi="Times New Roman"/>
          <w:szCs w:val="22"/>
        </w:rPr>
        <w:t>prípady PPHN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06DEC" w:rsidRPr="0040260E">
        <w:rPr>
          <w:rFonts w:ascii="Times New Roman" w:hAnsi="Times New Roman"/>
          <w:szCs w:val="22"/>
        </w:rPr>
        <w:t>100</w:t>
      </w:r>
      <w:r w:rsidR="00307548" w:rsidRPr="0040260E">
        <w:rPr>
          <w:rFonts w:ascii="Times New Roman" w:hAnsi="Times New Roman"/>
          <w:szCs w:val="22"/>
        </w:rPr>
        <w:t>0 </w:t>
      </w:r>
      <w:r w:rsidR="00406DEC" w:rsidRPr="0040260E">
        <w:rPr>
          <w:rFonts w:ascii="Times New Roman" w:hAnsi="Times New Roman"/>
          <w:szCs w:val="22"/>
        </w:rPr>
        <w:t>tehotenstiev.</w:t>
      </w:r>
    </w:p>
    <w:p w14:paraId="1465754E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1351DCC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Štúdie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zvieratách preukázal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reprodukčnú toxicitu, ale nepreukázal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priame škodlivé účinky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graviditu, embryonálny/fetálny vývoj, pôrod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postnatálny vývoj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časť </w:t>
      </w:r>
      <w:r w:rsidR="00EC7BB6" w:rsidRPr="0040260E">
        <w:rPr>
          <w:rFonts w:ascii="Times New Roman" w:hAnsi="Times New Roman"/>
          <w:szCs w:val="22"/>
        </w:rPr>
        <w:t>5.3</w:t>
      </w:r>
      <w:r w:rsidRPr="0040260E">
        <w:rPr>
          <w:rFonts w:ascii="Times New Roman" w:hAnsi="Times New Roman"/>
          <w:szCs w:val="22"/>
        </w:rPr>
        <w:t>).</w:t>
      </w:r>
    </w:p>
    <w:p w14:paraId="46903F12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</w:p>
    <w:p w14:paraId="26D081E3" w14:textId="77777777" w:rsidR="00041FAC" w:rsidRPr="0040260E" w:rsidRDefault="00041FAC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  <w:r w:rsidRPr="0040260E">
        <w:rPr>
          <w:rFonts w:ascii="Times New Roman" w:hAnsi="Times New Roman"/>
          <w:szCs w:val="22"/>
          <w:u w:val="single"/>
        </w:rPr>
        <w:t>Dojčenie</w:t>
      </w:r>
    </w:p>
    <w:p w14:paraId="2813ADF8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  <w:lang w:eastAsia="en-GB"/>
        </w:rPr>
      </w:pPr>
      <w:r w:rsidRPr="0040260E">
        <w:rPr>
          <w:rFonts w:ascii="Times New Roman" w:hAnsi="Times New Roman"/>
          <w:szCs w:val="22"/>
        </w:rPr>
        <w:t>Malé množstv</w:t>
      </w:r>
      <w:r w:rsidR="00783AB4" w:rsidRPr="0040260E">
        <w:rPr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 xml:space="preserve">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AE6502" w:rsidRPr="0040260E">
        <w:rPr>
          <w:rFonts w:ascii="Times New Roman" w:hAnsi="Times New Roman"/>
          <w:szCs w:val="22"/>
        </w:rPr>
        <w:t>a</w:t>
      </w:r>
      <w:r w:rsidRPr="0040260E">
        <w:rPr>
          <w:rFonts w:ascii="Times New Roman" w:hAnsi="Times New Roman"/>
          <w:szCs w:val="22"/>
        </w:rPr>
        <w:t xml:space="preserve"> vyluč</w:t>
      </w:r>
      <w:r w:rsidR="00AE6502" w:rsidRPr="0040260E">
        <w:rPr>
          <w:rFonts w:ascii="Times New Roman" w:hAnsi="Times New Roman"/>
          <w:szCs w:val="22"/>
        </w:rPr>
        <w:t>uj</w:t>
      </w:r>
      <w:r w:rsidR="00783AB4" w:rsidRPr="0040260E">
        <w:rPr>
          <w:rFonts w:ascii="Times New Roman" w:hAnsi="Times New Roman"/>
          <w:szCs w:val="22"/>
        </w:rPr>
        <w:t>e</w:t>
      </w:r>
      <w:r w:rsidRPr="0040260E">
        <w:rPr>
          <w:rFonts w:ascii="Times New Roman" w:hAnsi="Times New Roman"/>
          <w:szCs w:val="22"/>
        </w:rPr>
        <w:t xml:space="preserve">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materskéh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mlieka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publikovaných štúdiách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sérové koncentrácie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 xml:space="preserve">dojčených detí </w:t>
      </w:r>
      <w:r w:rsidR="00FC57D7" w:rsidRPr="0040260E">
        <w:rPr>
          <w:rFonts w:ascii="Times New Roman" w:hAnsi="Times New Roman"/>
          <w:szCs w:val="22"/>
        </w:rPr>
        <w:t xml:space="preserve">nedetekovateľné </w:t>
      </w:r>
      <w:r w:rsidR="004D7222" w:rsidRPr="0040260E">
        <w:rPr>
          <w:rFonts w:ascii="Times New Roman" w:hAnsi="Times New Roman"/>
          <w:szCs w:val="22"/>
        </w:rPr>
        <w:t>(&lt;</w:t>
      </w:r>
      <w:r w:rsidR="00054005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ng/ml)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nízke </w:t>
      </w:r>
      <w:r w:rsidR="004D7222" w:rsidRPr="0040260E">
        <w:rPr>
          <w:rFonts w:ascii="Times New Roman" w:hAnsi="Times New Roman"/>
          <w:szCs w:val="22"/>
        </w:rPr>
        <w:t>(&lt;</w:t>
      </w:r>
      <w:r w:rsidR="00054005" w:rsidRPr="0040260E">
        <w:rPr>
          <w:rFonts w:ascii="Times New Roman" w:hAnsi="Times New Roman"/>
          <w:szCs w:val="22"/>
        </w:rPr>
        <w:t xml:space="preserve"> </w:t>
      </w:r>
      <w:r w:rsidR="004D7222" w:rsidRPr="0040260E">
        <w:rPr>
          <w:rFonts w:ascii="Times New Roman" w:hAnsi="Times New Roman"/>
          <w:szCs w:val="22"/>
        </w:rPr>
        <w:t>4 </w:t>
      </w:r>
      <w:r w:rsidRPr="0040260E">
        <w:rPr>
          <w:rFonts w:ascii="Times New Roman" w:hAnsi="Times New Roman"/>
          <w:szCs w:val="22"/>
        </w:rPr>
        <w:t>ng/ml)</w:t>
      </w:r>
      <w:r w:rsidR="00307548" w:rsidRPr="0040260E">
        <w:rPr>
          <w:rFonts w:ascii="Times New Roman" w:hAnsi="Times New Roman"/>
          <w:szCs w:val="22"/>
        </w:rPr>
        <w:t xml:space="preserve"> a u </w:t>
      </w:r>
      <w:r w:rsidRPr="0040260E">
        <w:rPr>
          <w:rFonts w:ascii="Times New Roman" w:hAnsi="Times New Roman"/>
          <w:szCs w:val="22"/>
        </w:rPr>
        <w:t>týcht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dojčiat nebol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pozorované žiadne známky účink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lieku.</w:t>
      </w:r>
      <w:r w:rsidR="00783AB4" w:rsidRPr="0040260E">
        <w:rPr>
          <w:rFonts w:ascii="Times New Roman" w:hAnsi="Times New Roman"/>
          <w:szCs w:val="22"/>
        </w:rPr>
        <w:t xml:space="preserve"> Keďže sa neočakávajú žiadne účinky, dojčenie je možné zvážiť</w:t>
      </w:r>
      <w:r w:rsidR="00783AB4" w:rsidRPr="0040260E">
        <w:rPr>
          <w:rFonts w:ascii="Times New Roman" w:hAnsi="Times New Roman"/>
          <w:szCs w:val="22"/>
          <w:lang w:eastAsia="en-GB"/>
        </w:rPr>
        <w:t>.</w:t>
      </w:r>
    </w:p>
    <w:p w14:paraId="1605C808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6D79293" w14:textId="77777777" w:rsidR="00E3436C" w:rsidRPr="0040260E" w:rsidRDefault="00E3436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Fertilita</w:t>
      </w:r>
    </w:p>
    <w:p w14:paraId="471F1008" w14:textId="77777777" w:rsidR="00E3436C" w:rsidRPr="0040260E" w:rsidRDefault="00E343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Štúdie na zvieratách preukázali, že paroxetín môže ovplyvniť kvalitu spermií (pozri časť 5.3). Údaje získané z ľudského materiálu </w:t>
      </w:r>
      <w:r w:rsidRPr="0040260E">
        <w:rPr>
          <w:rStyle w:val="Bacil"/>
          <w:rFonts w:ascii="Times New Roman" w:hAnsi="Times New Roman"/>
          <w:szCs w:val="22"/>
        </w:rPr>
        <w:t>in vitro</w:t>
      </w:r>
      <w:r w:rsidRPr="0040260E">
        <w:rPr>
          <w:rFonts w:ascii="Times New Roman" w:hAnsi="Times New Roman"/>
          <w:szCs w:val="22"/>
        </w:rPr>
        <w:t xml:space="preserve"> môžu naznačovať účinky na kvalitu spermií, avšak spontánne hlásenia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SSRI (vrátane paroxetínu)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ľudí preukázali, že vplyv na kvalitu spermií je pravdepodobne reverzibilný. Vplyv na ľudskú fertilitu zatiaľ nebol preukázaný.</w:t>
      </w:r>
    </w:p>
    <w:p w14:paraId="0DB6DBD9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B1CDE9C" w14:textId="77777777" w:rsidR="00C978CD" w:rsidRPr="0040260E" w:rsidRDefault="00E9367B" w:rsidP="0040260E">
      <w:pPr>
        <w:pStyle w:val="Styl2"/>
        <w:spacing w:before="0" w:after="0"/>
      </w:pPr>
      <w:r w:rsidRPr="0040260E">
        <w:t>Ovplyvnenie schopnost</w:t>
      </w:r>
      <w:r w:rsidR="005F2843" w:rsidRPr="0040260E">
        <w:t xml:space="preserve">i </w:t>
      </w:r>
      <w:r w:rsidRPr="0040260E">
        <w:t>viesť vozidlá</w:t>
      </w:r>
      <w:r w:rsidR="00307548" w:rsidRPr="0040260E">
        <w:t xml:space="preserve"> a </w:t>
      </w:r>
      <w:r w:rsidRPr="0040260E">
        <w:t>obsluhovať stroje</w:t>
      </w:r>
    </w:p>
    <w:p w14:paraId="5D94EB26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50E00E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Klinické skúsenost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ukázali, že 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nie je spojená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poškodením kognitívnej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psychomotorickej funkcie. 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A62412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všetkých lieko</w:t>
      </w:r>
      <w:r w:rsidR="00A62412" w:rsidRPr="0040260E">
        <w:rPr>
          <w:rFonts w:ascii="Times New Roman" w:hAnsi="Times New Roman"/>
          <w:szCs w:val="22"/>
        </w:rPr>
        <w:t>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pôsobiacich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psychiku,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musi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byť obozretní pokiaľ ide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ich schopnosť viesť vozidlá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obsluhovať stroje.</w:t>
      </w:r>
    </w:p>
    <w:p w14:paraId="7545473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Aj keď paroxetín nezvyšuje </w:t>
      </w:r>
      <w:r w:rsidR="00A62412" w:rsidRPr="0040260E">
        <w:rPr>
          <w:rFonts w:ascii="Times New Roman" w:hAnsi="Times New Roman"/>
          <w:szCs w:val="22"/>
        </w:rPr>
        <w:t>účinky </w:t>
      </w:r>
      <w:r w:rsidRPr="0040260E">
        <w:rPr>
          <w:rFonts w:ascii="Times New Roman" w:hAnsi="Times New Roman"/>
          <w:szCs w:val="22"/>
        </w:rPr>
        <w:t>alkohol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mentálne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motorické zručnosti, sú</w:t>
      </w:r>
      <w:r w:rsidR="00812DA2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užívanie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alkohol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neodporúča.</w:t>
      </w:r>
    </w:p>
    <w:p w14:paraId="7DC972F3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44BC532" w14:textId="77777777" w:rsidR="00C978CD" w:rsidRPr="0040260E" w:rsidRDefault="00E9367B" w:rsidP="0040260E">
      <w:pPr>
        <w:pStyle w:val="Styl2"/>
        <w:spacing w:before="0" w:after="0"/>
      </w:pPr>
      <w:r w:rsidRPr="0040260E">
        <w:t>Nežiaduce účinky</w:t>
      </w:r>
    </w:p>
    <w:p w14:paraId="59D8DED0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6FE8AE9F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pokračujúco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liečbo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môže intenzit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frekvenci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niektorých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nižšie uvedených nežiaducich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reakcií </w:t>
      </w:r>
      <w:r w:rsidR="004C5DFD" w:rsidRPr="0040260E">
        <w:rPr>
          <w:rFonts w:ascii="Times New Roman" w:hAnsi="Times New Roman"/>
          <w:szCs w:val="22"/>
        </w:rPr>
        <w:t xml:space="preserve">na liek </w:t>
      </w:r>
      <w:r w:rsidR="00E9367B" w:rsidRPr="0040260E">
        <w:rPr>
          <w:rFonts w:ascii="Times New Roman" w:hAnsi="Times New Roman"/>
          <w:szCs w:val="22"/>
        </w:rPr>
        <w:t>znižovať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zvyčajne nevedú k ukončeni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 xml:space="preserve">liečby. Nežiaduce reakcie </w:t>
      </w:r>
      <w:r w:rsidR="004C5DFD" w:rsidRPr="0040260E">
        <w:rPr>
          <w:rFonts w:ascii="Times New Roman" w:hAnsi="Times New Roman"/>
          <w:szCs w:val="22"/>
        </w:rPr>
        <w:t xml:space="preserve">na liek </w:t>
      </w:r>
      <w:r w:rsidR="00E9367B" w:rsidRPr="0040260E">
        <w:rPr>
          <w:rFonts w:ascii="Times New Roman" w:hAnsi="Times New Roman"/>
          <w:szCs w:val="22"/>
        </w:rPr>
        <w:t>sú uvedené nižšie podľ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tried orgánových systémo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frekvencie. Frekvencie sú definované ako:</w:t>
      </w:r>
    </w:p>
    <w:p w14:paraId="4C7FFA8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časté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1/10)</w:t>
      </w:r>
    </w:p>
    <w:p w14:paraId="64BAF51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Časté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1/10</w:t>
      </w:r>
      <w:r w:rsidR="00307548" w:rsidRPr="0040260E">
        <w:rPr>
          <w:rFonts w:ascii="Times New Roman" w:hAnsi="Times New Roman"/>
          <w:szCs w:val="22"/>
        </w:rPr>
        <w:t>0 </w:t>
      </w:r>
      <w:r w:rsidR="00E4095B" w:rsidRPr="0040260E">
        <w:rPr>
          <w:rFonts w:ascii="Times New Roman" w:hAnsi="Times New Roman"/>
          <w:szCs w:val="22"/>
        </w:rPr>
        <w:t>až</w:t>
      </w:r>
      <w:r w:rsidRPr="0040260E">
        <w:rPr>
          <w:rFonts w:ascii="Times New Roman" w:hAnsi="Times New Roman"/>
          <w:szCs w:val="22"/>
        </w:rPr>
        <w:t xml:space="preserve"> </w:t>
      </w:r>
      <w:r w:rsidR="00C96AC3" w:rsidRPr="0040260E">
        <w:rPr>
          <w:rFonts w:ascii="Times New Roman" w:hAnsi="Times New Roman"/>
          <w:szCs w:val="22"/>
        </w:rPr>
        <w:t>&lt;</w:t>
      </w:r>
      <w:r w:rsidRPr="0040260E">
        <w:rPr>
          <w:rFonts w:ascii="Times New Roman" w:hAnsi="Times New Roman"/>
          <w:szCs w:val="22"/>
        </w:rPr>
        <w:t>1/10)</w:t>
      </w:r>
    </w:p>
    <w:p w14:paraId="735A653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Menej časté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00</w:t>
      </w:r>
      <w:r w:rsidR="00307548" w:rsidRPr="0040260E">
        <w:rPr>
          <w:rFonts w:ascii="Times New Roman" w:hAnsi="Times New Roman"/>
          <w:szCs w:val="22"/>
        </w:rPr>
        <w:t>0 </w:t>
      </w:r>
      <w:r w:rsidR="00E4095B" w:rsidRPr="0040260E">
        <w:rPr>
          <w:rFonts w:ascii="Times New Roman" w:hAnsi="Times New Roman"/>
          <w:szCs w:val="22"/>
        </w:rPr>
        <w:t>až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="00C96AC3" w:rsidRPr="0040260E">
        <w:rPr>
          <w:rFonts w:ascii="Times New Roman" w:hAnsi="Times New Roman"/>
          <w:szCs w:val="22"/>
        </w:rPr>
        <w:t>&lt;</w:t>
      </w:r>
      <w:r w:rsidRPr="0040260E">
        <w:rPr>
          <w:rFonts w:ascii="Times New Roman" w:hAnsi="Times New Roman"/>
          <w:szCs w:val="22"/>
        </w:rPr>
        <w:t>1/100)</w:t>
      </w:r>
    </w:p>
    <w:p w14:paraId="6DE9458B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Zriedkavé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00</w:t>
      </w:r>
      <w:r w:rsidR="00307548" w:rsidRPr="0040260E">
        <w:rPr>
          <w:rFonts w:ascii="Times New Roman" w:hAnsi="Times New Roman"/>
          <w:szCs w:val="22"/>
        </w:rPr>
        <w:t>0 </w:t>
      </w:r>
      <w:r w:rsidR="00E4095B" w:rsidRPr="0040260E">
        <w:rPr>
          <w:rFonts w:ascii="Times New Roman" w:hAnsi="Times New Roman"/>
          <w:szCs w:val="22"/>
        </w:rPr>
        <w:t xml:space="preserve">až </w:t>
      </w:r>
      <w:r w:rsidR="00C96AC3" w:rsidRPr="0040260E">
        <w:rPr>
          <w:rFonts w:ascii="Times New Roman" w:hAnsi="Times New Roman"/>
          <w:szCs w:val="22"/>
        </w:rPr>
        <w:t>&lt;</w:t>
      </w:r>
      <w:r w:rsidRPr="0040260E">
        <w:rPr>
          <w:rFonts w:ascii="Times New Roman" w:hAnsi="Times New Roman"/>
          <w:szCs w:val="22"/>
        </w:rPr>
        <w:t>1/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000)</w:t>
      </w:r>
    </w:p>
    <w:p w14:paraId="291DD49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zriedkavé </w:t>
      </w:r>
      <w:r w:rsidR="00C96AC3" w:rsidRPr="0040260E">
        <w:rPr>
          <w:rFonts w:ascii="Times New Roman" w:hAnsi="Times New Roman"/>
          <w:szCs w:val="22"/>
        </w:rPr>
        <w:t>(&lt; </w:t>
      </w:r>
      <w:r w:rsidRPr="0040260E">
        <w:rPr>
          <w:rFonts w:ascii="Times New Roman" w:hAnsi="Times New Roman"/>
          <w:szCs w:val="22"/>
        </w:rPr>
        <w:t>1/1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000)</w:t>
      </w:r>
    </w:p>
    <w:p w14:paraId="78727342" w14:textId="77777777" w:rsidR="00E4095B" w:rsidRPr="0040260E" w:rsidRDefault="00E409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Neznáme (z dostupných údajov)</w:t>
      </w:r>
    </w:p>
    <w:p w14:paraId="59BC9E37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40E8BE8" w14:textId="77777777"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krv</w:t>
      </w:r>
      <w:r w:rsidR="005F2843" w:rsidRPr="0040260E">
        <w:rPr>
          <w:szCs w:val="22"/>
        </w:rPr>
        <w:t>i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lymfatickéh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systému</w:t>
      </w:r>
    </w:p>
    <w:p w14:paraId="2D1A1AA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abnormálne krvácanie, predovšetkým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kože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slizníc (</w:t>
      </w:r>
      <w:r w:rsidR="00C10147" w:rsidRPr="0040260E">
        <w:rPr>
          <w:rFonts w:ascii="Times New Roman" w:hAnsi="Times New Roman"/>
          <w:szCs w:val="22"/>
        </w:rPr>
        <w:t>vrátane</w:t>
      </w:r>
      <w:r w:rsidRPr="0040260E">
        <w:rPr>
          <w:rFonts w:ascii="Times New Roman" w:hAnsi="Times New Roman"/>
          <w:szCs w:val="22"/>
        </w:rPr>
        <w:t xml:space="preserve"> ekchymózy</w:t>
      </w:r>
      <w:r w:rsidR="0098765F" w:rsidRPr="0040260E">
        <w:rPr>
          <w:rFonts w:ascii="Times New Roman" w:hAnsi="Times New Roman"/>
          <w:szCs w:val="22"/>
        </w:rPr>
        <w:t xml:space="preserve"> a gynekologického krvácania</w:t>
      </w:r>
      <w:r w:rsidRPr="0040260E">
        <w:rPr>
          <w:rFonts w:ascii="Times New Roman" w:hAnsi="Times New Roman"/>
          <w:szCs w:val="22"/>
        </w:rPr>
        <w:t>)</w:t>
      </w:r>
    </w:p>
    <w:p w14:paraId="5D7D243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trombocytopénia</w:t>
      </w:r>
    </w:p>
    <w:p w14:paraId="24E2A6D3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2626AE84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imunitnéh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systému</w:t>
      </w:r>
    </w:p>
    <w:p w14:paraId="3501CAD5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zriedkavé: </w:t>
      </w:r>
      <w:r w:rsidR="00BD7091" w:rsidRPr="0040260E">
        <w:rPr>
          <w:rFonts w:ascii="Times New Roman" w:hAnsi="Times New Roman"/>
          <w:szCs w:val="22"/>
        </w:rPr>
        <w:t>závažné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8D485B" w:rsidRPr="0040260E">
        <w:rPr>
          <w:rFonts w:ascii="Times New Roman" w:hAnsi="Times New Roman"/>
          <w:szCs w:val="22"/>
        </w:rPr>
        <w:t xml:space="preserve">potenciálne život ohrozujúce </w:t>
      </w:r>
      <w:r w:rsidRPr="0040260E">
        <w:rPr>
          <w:rFonts w:ascii="Times New Roman" w:hAnsi="Times New Roman"/>
          <w:szCs w:val="22"/>
        </w:rPr>
        <w:t xml:space="preserve">alergické reakcie (vrátane </w:t>
      </w:r>
      <w:r w:rsidR="00E43C34" w:rsidRPr="0040260E">
        <w:rPr>
          <w:rFonts w:ascii="Times New Roman" w:hAnsi="Times New Roman"/>
          <w:szCs w:val="22"/>
        </w:rPr>
        <w:t xml:space="preserve">anafylaktoidnej </w:t>
      </w:r>
      <w:r w:rsidR="008D485B" w:rsidRPr="0040260E">
        <w:rPr>
          <w:rFonts w:ascii="Times New Roman" w:hAnsi="Times New Roman"/>
          <w:szCs w:val="22"/>
        </w:rPr>
        <w:t>reakcie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angioedému)</w:t>
      </w:r>
    </w:p>
    <w:p w14:paraId="20CF0ECB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42774B2D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endokrinnéh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systému</w:t>
      </w:r>
    </w:p>
    <w:p w14:paraId="758BD77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syndróm neprimeranej sekrécie antidiuretickéh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hormón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(SIADH)</w:t>
      </w:r>
    </w:p>
    <w:p w14:paraId="10D69D98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4689947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metabolizm</w:t>
      </w:r>
      <w:r w:rsidR="005F2843" w:rsidRPr="0040260E">
        <w:rPr>
          <w:szCs w:val="22"/>
        </w:rPr>
        <w:t>u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výživy</w:t>
      </w:r>
    </w:p>
    <w:p w14:paraId="0BCCF018" w14:textId="77777777" w:rsidR="00C049A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Časté: </w:t>
      </w:r>
      <w:r w:rsidR="00E4095B" w:rsidRPr="0040260E">
        <w:rPr>
          <w:rFonts w:ascii="Times New Roman" w:hAnsi="Times New Roman"/>
          <w:szCs w:val="22"/>
        </w:rPr>
        <w:t xml:space="preserve">zvýšené hladiny cholesterolu, </w:t>
      </w:r>
      <w:r w:rsidRPr="0040260E">
        <w:rPr>
          <w:rFonts w:ascii="Times New Roman" w:hAnsi="Times New Roman"/>
          <w:szCs w:val="22"/>
        </w:rPr>
        <w:t>znížená chuť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jedla</w:t>
      </w:r>
    </w:p>
    <w:p w14:paraId="50237E24" w14:textId="77777777" w:rsidR="008D485B" w:rsidRPr="0040260E" w:rsidRDefault="008D48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diabetických pacientov bolo hlásené ovplyvnenie hladín glykémie (pozri bod 4.4)</w:t>
      </w:r>
    </w:p>
    <w:p w14:paraId="7CAB1878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hyponatr</w:t>
      </w:r>
      <w:r w:rsidR="00703E45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émia</w:t>
      </w:r>
    </w:p>
    <w:p w14:paraId="4AD6BB4A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Hyponatr</w:t>
      </w:r>
      <w:r w:rsidR="002F2736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hlásená predovšetkým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starších 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niekedy je dôsledkom syndróm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neprimeranej sekrécie antidiuretickéh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hormón</w:t>
      </w:r>
      <w:r w:rsidR="005F2843" w:rsidRPr="0040260E">
        <w:rPr>
          <w:rFonts w:ascii="Times New Roman" w:hAnsi="Times New Roman"/>
          <w:szCs w:val="22"/>
        </w:rPr>
        <w:t>u</w:t>
      </w:r>
      <w:r w:rsidR="00C96AC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(SIADH).</w:t>
      </w:r>
    </w:p>
    <w:p w14:paraId="2ADBDDED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4FDD90FB" w14:textId="77777777"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Psychické poruchy</w:t>
      </w:r>
    </w:p>
    <w:p w14:paraId="020FDCC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somnolencia, insomnia, agitácia</w:t>
      </w:r>
      <w:r w:rsidR="00994F6C" w:rsidRPr="0040260E">
        <w:rPr>
          <w:rFonts w:ascii="Times New Roman" w:hAnsi="Times New Roman"/>
          <w:szCs w:val="22"/>
        </w:rPr>
        <w:t>, abnormálne sny (vrátane nočných múr)</w:t>
      </w:r>
    </w:p>
    <w:p w14:paraId="35949D59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zmätenosť, halucinácie</w:t>
      </w:r>
    </w:p>
    <w:p w14:paraId="216532E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manické reakcie, úzkosť, depersonalizácia, záchvaty paniky, akatízi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C96AC3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4.4.)</w:t>
      </w:r>
    </w:p>
    <w:p w14:paraId="425DC086" w14:textId="77777777" w:rsidR="00E074F9" w:rsidRPr="0040260E" w:rsidRDefault="00994F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Neznám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frekvencia: s</w:t>
      </w:r>
      <w:r w:rsidR="00432D68" w:rsidRPr="0040260E">
        <w:rPr>
          <w:rFonts w:ascii="Times New Roman" w:hAnsi="Times New Roman"/>
          <w:szCs w:val="22"/>
        </w:rPr>
        <w:t>amo</w:t>
      </w:r>
      <w:r w:rsidRPr="0040260E">
        <w:rPr>
          <w:rFonts w:ascii="Times New Roman" w:hAnsi="Times New Roman"/>
          <w:szCs w:val="22"/>
        </w:rPr>
        <w:t>vražedné myšlienky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</w:t>
      </w:r>
      <w:r w:rsidR="00432D68" w:rsidRPr="0040260E">
        <w:rPr>
          <w:rFonts w:ascii="Times New Roman" w:hAnsi="Times New Roman"/>
          <w:szCs w:val="22"/>
        </w:rPr>
        <w:t>amo</w:t>
      </w:r>
      <w:r w:rsidRPr="0040260E">
        <w:rPr>
          <w:rFonts w:ascii="Times New Roman" w:hAnsi="Times New Roman"/>
          <w:szCs w:val="22"/>
        </w:rPr>
        <w:t>vražedné správanie</w:t>
      </w:r>
      <w:r w:rsidR="00123A6E" w:rsidRPr="0040260E">
        <w:rPr>
          <w:rFonts w:ascii="Times New Roman" w:hAnsi="Times New Roman"/>
          <w:szCs w:val="22"/>
        </w:rPr>
        <w:t>*</w:t>
      </w:r>
      <w:r w:rsidR="00E074F9" w:rsidRPr="0040260E">
        <w:rPr>
          <w:rFonts w:ascii="Times New Roman" w:hAnsi="Times New Roman"/>
          <w:szCs w:val="22"/>
        </w:rPr>
        <w:t>, agresivita</w:t>
      </w:r>
      <w:r w:rsidR="00123A6E" w:rsidRPr="0040260E">
        <w:rPr>
          <w:rFonts w:ascii="Times New Roman" w:hAnsi="Times New Roman"/>
          <w:szCs w:val="22"/>
        </w:rPr>
        <w:t>**</w:t>
      </w:r>
      <w:r w:rsidR="00DD53D4" w:rsidRPr="0040260E">
        <w:rPr>
          <w:rFonts w:ascii="Times New Roman" w:hAnsi="Times New Roman"/>
          <w:szCs w:val="22"/>
        </w:rPr>
        <w:t>, bruxizmus</w:t>
      </w:r>
    </w:p>
    <w:p w14:paraId="21AFA5E7" w14:textId="77777777"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6A7C64DC" w14:textId="77777777" w:rsidR="00123A6E" w:rsidRPr="0040260E" w:rsidRDefault="00C1014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* </w:t>
      </w:r>
      <w:r w:rsidR="00432D68" w:rsidRPr="0040260E">
        <w:rPr>
          <w:rFonts w:ascii="Times New Roman" w:hAnsi="Times New Roman"/>
          <w:szCs w:val="22"/>
        </w:rPr>
        <w:t>Prípady suicidálnych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32D68" w:rsidRPr="0040260E">
        <w:rPr>
          <w:rFonts w:ascii="Times New Roman" w:hAnsi="Times New Roman"/>
          <w:szCs w:val="22"/>
        </w:rPr>
        <w:t>suicidálneho správania boli hlásené počas liečby alebo skoro po</w:t>
      </w:r>
      <w:r w:rsidR="00BD7091" w:rsidRPr="0040260E">
        <w:rPr>
          <w:rFonts w:ascii="Times New Roman" w:hAnsi="Times New Roman"/>
          <w:szCs w:val="22"/>
        </w:rPr>
        <w:t> </w:t>
      </w:r>
      <w:r w:rsidR="00432D68" w:rsidRPr="0040260E">
        <w:rPr>
          <w:rFonts w:ascii="Times New Roman" w:hAnsi="Times New Roman"/>
          <w:szCs w:val="22"/>
        </w:rPr>
        <w:t>prerušení liečby paroxetínom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="00432D68" w:rsidRPr="0040260E">
        <w:rPr>
          <w:rFonts w:ascii="Times New Roman" w:hAnsi="Times New Roman"/>
          <w:szCs w:val="22"/>
        </w:rPr>
        <w:t>(pozri časť 4.4).</w:t>
      </w:r>
    </w:p>
    <w:p w14:paraId="413632E0" w14:textId="77777777" w:rsidR="0000795B" w:rsidRPr="0040260E" w:rsidRDefault="00123A6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** Po uvedení lieku na trh sa pozorovali prípady agresivity.</w:t>
      </w:r>
    </w:p>
    <w:p w14:paraId="574A84E1" w14:textId="77777777" w:rsidR="00FD19C7" w:rsidRPr="0040260E" w:rsidRDefault="00FD19C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byť aj dôsledkom základnéh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ochorenia.</w:t>
      </w:r>
    </w:p>
    <w:p w14:paraId="60D88CD8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6EA023E4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nervovéh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systému</w:t>
      </w:r>
    </w:p>
    <w:p w14:paraId="108DD179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závraty, tremor</w:t>
      </w:r>
      <w:r w:rsidR="00994F6C" w:rsidRPr="0040260E">
        <w:rPr>
          <w:rFonts w:ascii="Times New Roman" w:hAnsi="Times New Roman"/>
          <w:szCs w:val="22"/>
        </w:rPr>
        <w:t>, bolesť hlavy</w:t>
      </w:r>
      <w:r w:rsidR="00581510" w:rsidRPr="0040260E">
        <w:rPr>
          <w:rFonts w:ascii="Times New Roman" w:hAnsi="Times New Roman"/>
          <w:szCs w:val="22"/>
        </w:rPr>
        <w:t>, poruchy sústredenia</w:t>
      </w:r>
    </w:p>
    <w:p w14:paraId="2BA9DB4F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Menej časté: </w:t>
      </w:r>
      <w:r w:rsidR="00581510" w:rsidRPr="0040260E">
        <w:rPr>
          <w:rFonts w:ascii="Times New Roman" w:hAnsi="Times New Roman"/>
          <w:szCs w:val="22"/>
        </w:rPr>
        <w:t>extrapyramídové</w:t>
      </w:r>
      <w:r w:rsidRPr="0040260E">
        <w:rPr>
          <w:rFonts w:ascii="Times New Roman" w:hAnsi="Times New Roman"/>
          <w:szCs w:val="22"/>
        </w:rPr>
        <w:t xml:space="preserve"> poruchy</w:t>
      </w:r>
    </w:p>
    <w:p w14:paraId="2E4F431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kŕče</w:t>
      </w:r>
      <w:r w:rsidR="00994F6C" w:rsidRPr="0040260E">
        <w:rPr>
          <w:rFonts w:ascii="Times New Roman" w:hAnsi="Times New Roman"/>
          <w:szCs w:val="22"/>
        </w:rPr>
        <w:t xml:space="preserve">, syndróm </w:t>
      </w:r>
      <w:r w:rsidR="00581510" w:rsidRPr="0040260E">
        <w:rPr>
          <w:rFonts w:ascii="Times New Roman" w:hAnsi="Times New Roman"/>
          <w:szCs w:val="22"/>
        </w:rPr>
        <w:t>nepokojných</w:t>
      </w:r>
      <w:r w:rsidR="00994F6C" w:rsidRPr="0040260E">
        <w:rPr>
          <w:rFonts w:ascii="Times New Roman" w:hAnsi="Times New Roman"/>
          <w:szCs w:val="22"/>
        </w:rPr>
        <w:t xml:space="preserve"> nôh (</w:t>
      </w:r>
      <w:r w:rsidR="00C049A9" w:rsidRPr="0040260E">
        <w:rPr>
          <w:rFonts w:ascii="Times New Roman" w:hAnsi="Times New Roman"/>
          <w:szCs w:val="22"/>
        </w:rPr>
        <w:t>RLS</w:t>
      </w:r>
      <w:r w:rsidR="00994F6C" w:rsidRPr="0040260E">
        <w:rPr>
          <w:rFonts w:ascii="Times New Roman" w:hAnsi="Times New Roman"/>
          <w:szCs w:val="22"/>
        </w:rPr>
        <w:t>)</w:t>
      </w:r>
    </w:p>
    <w:p w14:paraId="31CC7CBA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zriedkavé: </w:t>
      </w:r>
      <w:r w:rsidR="00004278" w:rsidRPr="0040260E">
        <w:rPr>
          <w:rFonts w:ascii="Times New Roman" w:hAnsi="Times New Roman"/>
          <w:szCs w:val="22"/>
        </w:rPr>
        <w:t>sérotonínový</w:t>
      </w:r>
      <w:r w:rsidRPr="0040260E">
        <w:rPr>
          <w:rFonts w:ascii="Times New Roman" w:hAnsi="Times New Roman"/>
          <w:szCs w:val="22"/>
        </w:rPr>
        <w:t xml:space="preserve"> syndróm (symptómy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 xml:space="preserve">zahŕňať agitáciu, zmätenosť, diaforézu, halucinácie, hyperreflexiu, myoklóniu, </w:t>
      </w:r>
      <w:r w:rsidR="00581510" w:rsidRPr="0040260E">
        <w:rPr>
          <w:rFonts w:ascii="Times New Roman" w:hAnsi="Times New Roman"/>
          <w:szCs w:val="22"/>
        </w:rPr>
        <w:t>chvenie</w:t>
      </w:r>
      <w:r w:rsidRPr="0040260E">
        <w:rPr>
          <w:rFonts w:ascii="Times New Roman" w:hAnsi="Times New Roman"/>
          <w:szCs w:val="22"/>
        </w:rPr>
        <w:t>, tachykardi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tremor)</w:t>
      </w:r>
    </w:p>
    <w:p w14:paraId="0CD9C31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extrapyramidálnej poruche zahŕňajúcej orofaciáln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dystóni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získané od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niekedy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základným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pohybovým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porucham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FF2003" w:rsidRPr="0040260E">
        <w:rPr>
          <w:rFonts w:ascii="Times New Roman" w:hAnsi="Times New Roman"/>
          <w:szCs w:val="22"/>
        </w:rPr>
        <w:t>od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tých, ktorí užíval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neuroleptické lieky.</w:t>
      </w:r>
    </w:p>
    <w:p w14:paraId="191E02D4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2F5F3EB5" w14:textId="77777777"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oka</w:t>
      </w:r>
    </w:p>
    <w:p w14:paraId="73F5685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rozmazané videnie</w:t>
      </w:r>
    </w:p>
    <w:p w14:paraId="28B1A3FC" w14:textId="77777777" w:rsidR="00994F6C" w:rsidRPr="0040260E" w:rsidRDefault="00994F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mydriáz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FF2003" w:rsidRPr="0040260E">
        <w:rPr>
          <w:rFonts w:ascii="Times New Roman" w:hAnsi="Times New Roman"/>
          <w:szCs w:val="22"/>
        </w:rPr>
        <w:t>časť</w:t>
      </w:r>
      <w:r w:rsidRPr="0040260E">
        <w:rPr>
          <w:rFonts w:ascii="Times New Roman" w:hAnsi="Times New Roman"/>
          <w:szCs w:val="22"/>
        </w:rPr>
        <w:t xml:space="preserve"> 4.</w:t>
      </w:r>
      <w:r w:rsidR="00C96AC3" w:rsidRPr="0040260E">
        <w:rPr>
          <w:rFonts w:ascii="Times New Roman" w:hAnsi="Times New Roman"/>
          <w:szCs w:val="22"/>
        </w:rPr>
        <w:t>4</w:t>
      </w:r>
      <w:r w:rsidRPr="0040260E">
        <w:rPr>
          <w:rFonts w:ascii="Times New Roman" w:hAnsi="Times New Roman"/>
          <w:szCs w:val="22"/>
        </w:rPr>
        <w:t>)</w:t>
      </w:r>
    </w:p>
    <w:p w14:paraId="41ECB91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akútny glaukóm</w:t>
      </w:r>
    </w:p>
    <w:p w14:paraId="31865AB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A52D568" w14:textId="77777777" w:rsidR="00994F6C" w:rsidRPr="0040260E" w:rsidRDefault="00994F6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uch</w:t>
      </w:r>
      <w:r w:rsidR="005F2843" w:rsidRPr="0040260E">
        <w:rPr>
          <w:szCs w:val="22"/>
        </w:rPr>
        <w:t>a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labyrintu</w:t>
      </w:r>
    </w:p>
    <w:p w14:paraId="26D1AFBB" w14:textId="77777777" w:rsidR="00994F6C" w:rsidRPr="0040260E" w:rsidRDefault="00994F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Neznám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frekvencia: tin</w:t>
      </w:r>
      <w:r w:rsidR="00BD7091" w:rsidRPr="0040260E">
        <w:rPr>
          <w:rFonts w:ascii="Times New Roman" w:hAnsi="Times New Roman"/>
          <w:szCs w:val="22"/>
        </w:rPr>
        <w:t>n</w:t>
      </w:r>
      <w:r w:rsidRPr="0040260E">
        <w:rPr>
          <w:rFonts w:ascii="Times New Roman" w:hAnsi="Times New Roman"/>
          <w:szCs w:val="22"/>
        </w:rPr>
        <w:t>itus</w:t>
      </w:r>
    </w:p>
    <w:p w14:paraId="554F4E35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E7826B6" w14:textId="77777777"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srdc</w:t>
      </w:r>
      <w:r w:rsidR="005F2843" w:rsidRPr="0040260E">
        <w:rPr>
          <w:szCs w:val="22"/>
        </w:rPr>
        <w:t>a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srdcovej činnosti</w:t>
      </w:r>
    </w:p>
    <w:p w14:paraId="4271FDB1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sínusová tachykardia</w:t>
      </w:r>
    </w:p>
    <w:p w14:paraId="2A1E4685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bradykardia</w:t>
      </w:r>
    </w:p>
    <w:p w14:paraId="6684204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5D713F7" w14:textId="77777777" w:rsidR="00C978CD" w:rsidRPr="0040260E" w:rsidRDefault="00245900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c</w:t>
      </w:r>
      <w:r w:rsidR="00E9367B" w:rsidRPr="0040260E">
        <w:rPr>
          <w:szCs w:val="22"/>
        </w:rPr>
        <w:t>iev</w:t>
      </w:r>
    </w:p>
    <w:p w14:paraId="5725D235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prechodné zvýšenie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zníženie krvnéh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tlaku</w:t>
      </w:r>
      <w:r w:rsidR="00994F6C" w:rsidRPr="0040260E">
        <w:rPr>
          <w:rFonts w:ascii="Times New Roman" w:hAnsi="Times New Roman"/>
          <w:szCs w:val="22"/>
        </w:rPr>
        <w:t>, posturáln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94F6C" w:rsidRPr="0040260E">
        <w:rPr>
          <w:rFonts w:ascii="Times New Roman" w:hAnsi="Times New Roman"/>
          <w:szCs w:val="22"/>
        </w:rPr>
        <w:t>hypotenzia</w:t>
      </w:r>
    </w:p>
    <w:p w14:paraId="60FE0F3F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liečbe paroxetínom bol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hlásené prechodné zvýšenie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zníženie krvnéh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tlaku, zvyčajne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ktorých už existoval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hypertenzi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úzkosť.</w:t>
      </w:r>
    </w:p>
    <w:p w14:paraId="0D9BD57B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2E59913F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dýchacej sústavy, hrudník</w:t>
      </w:r>
      <w:r w:rsidR="005F2843" w:rsidRPr="0040260E">
        <w:rPr>
          <w:szCs w:val="22"/>
        </w:rPr>
        <w:t>a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mediastína</w:t>
      </w:r>
    </w:p>
    <w:p w14:paraId="3D25F541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zívanie</w:t>
      </w:r>
    </w:p>
    <w:p w14:paraId="743E9082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F3AB986" w14:textId="77777777" w:rsidR="00C978CD" w:rsidRPr="0040260E" w:rsidRDefault="00E9367B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lastRenderedPageBreak/>
        <w:t>Poruchy gastrointestinálneh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traktu</w:t>
      </w:r>
    </w:p>
    <w:p w14:paraId="2AEC0B8B" w14:textId="77777777"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časté: nauzea</w:t>
      </w:r>
    </w:p>
    <w:p w14:paraId="3C83A06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Časté: zápcha, hnačka, </w:t>
      </w:r>
      <w:r w:rsidR="00994F6C" w:rsidRPr="0040260E">
        <w:rPr>
          <w:rFonts w:ascii="Times New Roman" w:hAnsi="Times New Roman"/>
          <w:szCs w:val="22"/>
        </w:rPr>
        <w:t xml:space="preserve">vracanie, </w:t>
      </w:r>
      <w:r w:rsidRPr="0040260E">
        <w:rPr>
          <w:rFonts w:ascii="Times New Roman" w:hAnsi="Times New Roman"/>
          <w:szCs w:val="22"/>
        </w:rPr>
        <w:t>such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ústach</w:t>
      </w:r>
    </w:p>
    <w:p w14:paraId="20AC444A" w14:textId="7ECD0D2B" w:rsidR="00C978CD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gastrointestinálne krvácanie</w:t>
      </w:r>
    </w:p>
    <w:p w14:paraId="1B7F27E7" w14:textId="04C2F1D2" w:rsidR="009B3272" w:rsidRPr="0040260E" w:rsidRDefault="009B3272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Neznáme: m</w:t>
      </w:r>
      <w:r w:rsidRPr="009B3272">
        <w:rPr>
          <w:rFonts w:ascii="Times New Roman" w:hAnsi="Times New Roman"/>
          <w:szCs w:val="22"/>
        </w:rPr>
        <w:t>ikroskopická kolitída</w:t>
      </w:r>
    </w:p>
    <w:p w14:paraId="0BC49451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F7A9B34" w14:textId="77777777" w:rsidR="00C978CD" w:rsidRPr="0040260E" w:rsidRDefault="00245900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pečene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žlčových ciest</w:t>
      </w:r>
    </w:p>
    <w:p w14:paraId="6DA0E11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vzostup hladiny pečeňových enzýmov</w:t>
      </w:r>
    </w:p>
    <w:p w14:paraId="4FE75ECF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poruchy pečene (ak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hepatitída, niekedy spojená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žltačko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a/aleb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zlyhaním pečene)</w:t>
      </w:r>
    </w:p>
    <w:p w14:paraId="7A2CFAFF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Hlásený bol vzostup hladiny pečeňových enzýmov. 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získané aj postmarketingové hláseni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poruchách pečene (ak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hepatitída, niekedy spojená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žltačko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a/aleb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zlyhaním pečene).</w:t>
      </w:r>
      <w:r w:rsidR="00E4095B" w:rsidRPr="0040260E">
        <w:rPr>
          <w:rFonts w:ascii="Times New Roman" w:hAnsi="Times New Roman"/>
          <w:szCs w:val="22"/>
        </w:rPr>
        <w:t xml:space="preserve"> </w:t>
      </w:r>
      <w:r w:rsidR="00FF2003" w:rsidRPr="0040260E">
        <w:rPr>
          <w:rFonts w:ascii="Times New Roman" w:hAnsi="Times New Roman"/>
          <w:szCs w:val="22"/>
        </w:rPr>
        <w:t xml:space="preserve">Ukončenie </w:t>
      </w:r>
      <w:r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zvážiť vtedy, ak sú výsledky funkčných testo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pečene dlhodob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zvýšené.</w:t>
      </w:r>
    </w:p>
    <w:p w14:paraId="2AA5F3A3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3B807661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kože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podkožnéh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tkaniva</w:t>
      </w:r>
    </w:p>
    <w:p w14:paraId="4A4A29A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potenie</w:t>
      </w:r>
    </w:p>
    <w:p w14:paraId="1A2BB66B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ekzantém, pruritus</w:t>
      </w:r>
    </w:p>
    <w:p w14:paraId="1A01F1C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</w:t>
      </w:r>
      <w:r w:rsidR="00994F6C" w:rsidRPr="0040260E">
        <w:rPr>
          <w:rFonts w:ascii="Times New Roman" w:hAnsi="Times New Roman"/>
          <w:szCs w:val="22"/>
        </w:rPr>
        <w:t xml:space="preserve"> závažné kožné reakcie (vrátane </w:t>
      </w:r>
      <w:r w:rsidR="00FF2003" w:rsidRPr="0040260E">
        <w:rPr>
          <w:rFonts w:ascii="Times New Roman" w:hAnsi="Times New Roman"/>
          <w:szCs w:val="22"/>
        </w:rPr>
        <w:t>multiformného erytému</w:t>
      </w:r>
      <w:r w:rsidR="00994F6C" w:rsidRPr="0040260E">
        <w:rPr>
          <w:rFonts w:ascii="Times New Roman" w:hAnsi="Times New Roman"/>
          <w:szCs w:val="22"/>
        </w:rPr>
        <w:t>, Stevens</w:t>
      </w:r>
      <w:r w:rsidR="00FF2003" w:rsidRPr="0040260E">
        <w:rPr>
          <w:rFonts w:ascii="Times New Roman" w:hAnsi="Times New Roman"/>
          <w:szCs w:val="22"/>
        </w:rPr>
        <w:t>ovho</w:t>
      </w:r>
      <w:r w:rsidR="00FC57D7" w:rsidRPr="0040260E">
        <w:rPr>
          <w:rFonts w:ascii="Times New Roman" w:hAnsi="Times New Roman"/>
          <w:szCs w:val="22"/>
        </w:rPr>
        <w:t>-</w:t>
      </w:r>
      <w:r w:rsidR="00994F6C" w:rsidRPr="0040260E">
        <w:rPr>
          <w:rFonts w:ascii="Times New Roman" w:hAnsi="Times New Roman"/>
          <w:szCs w:val="22"/>
        </w:rPr>
        <w:t>Johnsonovh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994F6C" w:rsidRPr="0040260E">
        <w:rPr>
          <w:rFonts w:ascii="Times New Roman" w:hAnsi="Times New Roman"/>
          <w:szCs w:val="22"/>
        </w:rPr>
        <w:t>syndróm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994F6C" w:rsidRPr="0040260E">
        <w:rPr>
          <w:rFonts w:ascii="Times New Roman" w:hAnsi="Times New Roman"/>
          <w:szCs w:val="22"/>
        </w:rPr>
        <w:t>toxickej epidermálnej nekrolýzy),</w:t>
      </w:r>
      <w:r w:rsidR="009F27A5" w:rsidRPr="0040260E">
        <w:rPr>
          <w:rFonts w:ascii="Times New Roman" w:hAnsi="Times New Roman"/>
          <w:szCs w:val="22"/>
        </w:rPr>
        <w:t xml:space="preserve"> </w:t>
      </w:r>
      <w:r w:rsidR="008D485B" w:rsidRPr="0040260E">
        <w:rPr>
          <w:rFonts w:ascii="Times New Roman" w:hAnsi="Times New Roman"/>
          <w:szCs w:val="22"/>
        </w:rPr>
        <w:t xml:space="preserve">žihľavka, </w:t>
      </w:r>
      <w:r w:rsidRPr="0040260E">
        <w:rPr>
          <w:rFonts w:ascii="Times New Roman" w:hAnsi="Times New Roman"/>
          <w:szCs w:val="22"/>
        </w:rPr>
        <w:t>fotosenzitívne reakcie</w:t>
      </w:r>
    </w:p>
    <w:p w14:paraId="57A6118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8FB2988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obličiek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močov</w:t>
      </w:r>
      <w:r w:rsidR="00CD298C" w:rsidRPr="0040260E">
        <w:rPr>
          <w:szCs w:val="22"/>
        </w:rPr>
        <w:t>ých ciest</w:t>
      </w:r>
    </w:p>
    <w:p w14:paraId="767516C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zadržiavanie moču</w:t>
      </w:r>
      <w:r w:rsidR="00994F6C" w:rsidRPr="0040260E">
        <w:rPr>
          <w:rFonts w:ascii="Times New Roman" w:hAnsi="Times New Roman"/>
          <w:szCs w:val="22"/>
        </w:rPr>
        <w:t>, inkontinenci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94F6C" w:rsidRPr="0040260E">
        <w:rPr>
          <w:rFonts w:ascii="Times New Roman" w:hAnsi="Times New Roman"/>
          <w:szCs w:val="22"/>
        </w:rPr>
        <w:t>moču</w:t>
      </w:r>
    </w:p>
    <w:p w14:paraId="04F8B2DC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3F2431D" w14:textId="77777777" w:rsidR="00C978CD" w:rsidRPr="0040260E" w:rsidRDefault="00B0699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Poruchy </w:t>
      </w:r>
      <w:r w:rsidR="00E9367B" w:rsidRPr="0040260E">
        <w:rPr>
          <w:szCs w:val="22"/>
        </w:rPr>
        <w:t>reprodukčnéh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systém</w:t>
      </w:r>
      <w:r w:rsidR="005F2843" w:rsidRPr="0040260E">
        <w:rPr>
          <w:szCs w:val="22"/>
        </w:rPr>
        <w:t>u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prsníkov</w:t>
      </w:r>
    </w:p>
    <w:p w14:paraId="10059B49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časté: sexuáln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dysfunkcia</w:t>
      </w:r>
    </w:p>
    <w:p w14:paraId="4222FAA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hyperprolaktinémia/galaktorea</w:t>
      </w:r>
      <w:r w:rsidR="00123A6E" w:rsidRPr="0040260E">
        <w:rPr>
          <w:rFonts w:ascii="Times New Roman" w:hAnsi="Times New Roman"/>
          <w:szCs w:val="22"/>
        </w:rPr>
        <w:t>, poruchy menštruácie (vrátane menorágie, metrorágie, amenorey, oneskoren</w:t>
      </w:r>
      <w:r w:rsidR="00BA5EA4" w:rsidRPr="0040260E">
        <w:rPr>
          <w:rFonts w:ascii="Times New Roman" w:hAnsi="Times New Roman"/>
          <w:szCs w:val="22"/>
        </w:rPr>
        <w:t xml:space="preserve">ej </w:t>
      </w:r>
      <w:r w:rsidR="00123A6E" w:rsidRPr="0040260E">
        <w:rPr>
          <w:rFonts w:ascii="Times New Roman" w:hAnsi="Times New Roman"/>
          <w:szCs w:val="22"/>
        </w:rPr>
        <w:t>menštruáci</w:t>
      </w:r>
      <w:r w:rsidR="00BA5EA4" w:rsidRPr="0040260E">
        <w:rPr>
          <w:rFonts w:ascii="Times New Roman" w:hAnsi="Times New Roman"/>
          <w:szCs w:val="22"/>
        </w:rPr>
        <w:t>e</w:t>
      </w:r>
      <w:r w:rsidR="00123A6E" w:rsidRPr="0040260E">
        <w:rPr>
          <w:rFonts w:ascii="Times New Roman" w:hAnsi="Times New Roman"/>
          <w:szCs w:val="22"/>
        </w:rPr>
        <w:t xml:space="preserve"> a nepravideln</w:t>
      </w:r>
      <w:r w:rsidR="00BA5EA4" w:rsidRPr="0040260E">
        <w:rPr>
          <w:rFonts w:ascii="Times New Roman" w:hAnsi="Times New Roman"/>
          <w:szCs w:val="22"/>
        </w:rPr>
        <w:t>ej</w:t>
      </w:r>
      <w:r w:rsidR="00123A6E" w:rsidRPr="0040260E">
        <w:rPr>
          <w:rFonts w:ascii="Times New Roman" w:hAnsi="Times New Roman"/>
          <w:szCs w:val="22"/>
        </w:rPr>
        <w:t xml:space="preserve"> menštruáci</w:t>
      </w:r>
      <w:r w:rsidR="00BA5EA4" w:rsidRPr="0040260E">
        <w:rPr>
          <w:rFonts w:ascii="Times New Roman" w:hAnsi="Times New Roman"/>
          <w:szCs w:val="22"/>
        </w:rPr>
        <w:t>e</w:t>
      </w:r>
      <w:r w:rsidR="00123A6E" w:rsidRPr="0040260E">
        <w:rPr>
          <w:rFonts w:ascii="Times New Roman" w:hAnsi="Times New Roman"/>
          <w:szCs w:val="22"/>
        </w:rPr>
        <w:t>).</w:t>
      </w:r>
    </w:p>
    <w:p w14:paraId="52F6251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priapizmus</w:t>
      </w:r>
    </w:p>
    <w:p w14:paraId="47FACAF0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B482742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kostrovej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svalovej sústavy</w:t>
      </w:r>
      <w:r w:rsidR="00307548" w:rsidRPr="0040260E">
        <w:rPr>
          <w:szCs w:val="22"/>
        </w:rPr>
        <w:t xml:space="preserve"> a </w:t>
      </w:r>
      <w:r w:rsidR="00CD298C" w:rsidRPr="0040260E">
        <w:rPr>
          <w:szCs w:val="22"/>
        </w:rPr>
        <w:t>spojivovéh</w:t>
      </w:r>
      <w:r w:rsidR="005F2843" w:rsidRPr="0040260E">
        <w:rPr>
          <w:szCs w:val="22"/>
        </w:rPr>
        <w:t xml:space="preserve">o </w:t>
      </w:r>
      <w:r w:rsidR="00CD298C" w:rsidRPr="0040260E">
        <w:rPr>
          <w:szCs w:val="22"/>
        </w:rPr>
        <w:t>tkaniva</w:t>
      </w:r>
    </w:p>
    <w:p w14:paraId="1A17198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artralgia, myalgia</w:t>
      </w:r>
    </w:p>
    <w:p w14:paraId="033AD79D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036E62C7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Celkové </w:t>
      </w:r>
      <w:r w:rsidR="00CD298C" w:rsidRPr="0040260E">
        <w:rPr>
          <w:szCs w:val="22"/>
        </w:rPr>
        <w:t>poruchy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reakcie</w:t>
      </w:r>
      <w:r w:rsidR="00307548" w:rsidRPr="0040260E">
        <w:rPr>
          <w:szCs w:val="22"/>
        </w:rPr>
        <w:t xml:space="preserve"> v </w:t>
      </w:r>
      <w:r w:rsidRPr="0040260E">
        <w:rPr>
          <w:szCs w:val="22"/>
        </w:rPr>
        <w:t>mieste podania</w:t>
      </w:r>
    </w:p>
    <w:p w14:paraId="3CD01D6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asténia, prírastok telesnej hmotnosti</w:t>
      </w:r>
    </w:p>
    <w:p w14:paraId="1703B560" w14:textId="77777777" w:rsidR="00FB35C5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periférny edém</w:t>
      </w:r>
    </w:p>
    <w:p w14:paraId="0451CF56" w14:textId="77777777" w:rsidR="00AD646D" w:rsidRPr="0040260E" w:rsidRDefault="00AD646D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18BD734" w14:textId="77777777" w:rsidR="00667891" w:rsidRPr="0040260E" w:rsidRDefault="00667891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Účinky skupiny liečiv</w:t>
      </w:r>
    </w:p>
    <w:p w14:paraId="7CCBD23C" w14:textId="77777777" w:rsidR="00123A6E" w:rsidRPr="0040260E" w:rsidRDefault="00123A6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Epidemiologické štúdie vykonané hlavne na pacientoch vo veku 50 rokov a viac poukázali na zvýšené riziko zlomenín kostí u pacientov, ktorí užívajú SSRI a tricyklické antidepresíva. Mechanizmus vedúci k zvýšenému riziku nie je známy.</w:t>
      </w:r>
    </w:p>
    <w:p w14:paraId="324D3AAA" w14:textId="77777777" w:rsidR="00FB35C5" w:rsidRPr="0040260E" w:rsidRDefault="00FB35C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7D050C4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6DB75434" w14:textId="77777777" w:rsidR="00C978CD" w:rsidRPr="0040260E" w:rsidRDefault="000C014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Z VYSADENIA </w:t>
      </w:r>
      <w:r w:rsidR="00E9367B" w:rsidRPr="0040260E">
        <w:rPr>
          <w:szCs w:val="22"/>
        </w:rPr>
        <w:t>POZOROVANÉ P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PRERUŠENÍ LIEČBY PAROXETÍNOM</w:t>
      </w:r>
    </w:p>
    <w:p w14:paraId="2D26496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závrat, zmyslové poruchy, poruchy spánku, úzkosť, bolesť hlavy</w:t>
      </w:r>
    </w:p>
    <w:p w14:paraId="30DAA74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agit</w:t>
      </w:r>
      <w:r w:rsidR="000C0147" w:rsidRPr="0040260E">
        <w:rPr>
          <w:rFonts w:ascii="Times New Roman" w:hAnsi="Times New Roman"/>
          <w:szCs w:val="22"/>
        </w:rPr>
        <w:t>ovanosť</w:t>
      </w:r>
      <w:r w:rsidRPr="0040260E">
        <w:rPr>
          <w:rFonts w:ascii="Times New Roman" w:hAnsi="Times New Roman"/>
          <w:szCs w:val="22"/>
        </w:rPr>
        <w:t>, nauzea, tremor, zmätenosť, potenie, emocionáln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nestabilita, zrakové poruchy, palpitácie, hnačka, podráždenosť</w:t>
      </w:r>
    </w:p>
    <w:p w14:paraId="4F50CEE6" w14:textId="77777777" w:rsidR="00C978CD" w:rsidRPr="0040260E" w:rsidRDefault="000C014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Ukončenie </w:t>
      </w:r>
      <w:r w:rsidR="00E9367B"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(najmä ak je náhle) čast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vedie k symptómom</w:t>
      </w:r>
      <w:r w:rsidRPr="0040260E">
        <w:rPr>
          <w:rFonts w:ascii="Times New Roman" w:hAnsi="Times New Roman"/>
          <w:szCs w:val="22"/>
        </w:rPr>
        <w:t xml:space="preserve"> z vysadenia</w:t>
      </w:r>
      <w:r w:rsidR="00E9367B" w:rsidRPr="0040260E">
        <w:rPr>
          <w:rFonts w:ascii="Times New Roman" w:hAnsi="Times New Roman"/>
          <w:szCs w:val="22"/>
        </w:rPr>
        <w:t>. Hlásené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závrat, zmyslové poruchy (vrátane parestézie</w:t>
      </w:r>
      <w:r w:rsidR="00EC5465" w:rsidRPr="0040260E">
        <w:rPr>
          <w:rFonts w:ascii="Times New Roman" w:hAnsi="Times New Roman"/>
          <w:szCs w:val="22"/>
        </w:rPr>
        <w:t>,</w:t>
      </w:r>
      <w:r w:rsidR="00E9367B" w:rsidRPr="0040260E">
        <w:rPr>
          <w:rFonts w:ascii="Times New Roman" w:hAnsi="Times New Roman"/>
          <w:szCs w:val="22"/>
        </w:rPr>
        <w:t xml:space="preserve"> pocito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elektrických šoko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C5465" w:rsidRPr="0040260E">
        <w:rPr>
          <w:rFonts w:ascii="Times New Roman" w:hAnsi="Times New Roman"/>
          <w:szCs w:val="22"/>
        </w:rPr>
        <w:t>tinitu</w:t>
      </w:r>
      <w:r w:rsidR="00E9367B" w:rsidRPr="0040260E">
        <w:rPr>
          <w:rFonts w:ascii="Times New Roman" w:hAnsi="Times New Roman"/>
          <w:szCs w:val="22"/>
        </w:rPr>
        <w:t>), poruchy spánk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(vrátane intenzívnych snov), agit</w:t>
      </w:r>
      <w:r w:rsidRPr="0040260E">
        <w:rPr>
          <w:rFonts w:ascii="Times New Roman" w:hAnsi="Times New Roman"/>
          <w:szCs w:val="22"/>
        </w:rPr>
        <w:t>ovanosť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úzkosť, nauzea, tremor, zmätenosť, potenie, bolesť hlavy, hnačka, palpitácie, emocionáln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nestabilita, podráždenosť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zrakové poruchy.</w:t>
      </w:r>
    </w:p>
    <w:p w14:paraId="6A1E218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sú zvyčajne mierne až stredne ťažké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prechodné, ale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byť závažné a/aleb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dlhodob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trvajúce.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postupné znižovanie dávky, ak 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už nie je potrebná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C96AC3" w:rsidRPr="0040260E">
        <w:rPr>
          <w:rFonts w:ascii="Times New Roman" w:hAnsi="Times New Roman"/>
          <w:szCs w:val="22"/>
        </w:rPr>
        <w:t>čas</w:t>
      </w:r>
      <w:r w:rsidR="003C54F4" w:rsidRPr="0040260E">
        <w:rPr>
          <w:rFonts w:ascii="Times New Roman" w:hAnsi="Times New Roman"/>
          <w:szCs w:val="22"/>
        </w:rPr>
        <w:t>ti</w:t>
      </w:r>
      <w:r w:rsidR="00C96AC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4.</w:t>
      </w:r>
      <w:r w:rsidR="00307548" w:rsidRPr="0040260E">
        <w:rPr>
          <w:rFonts w:ascii="Times New Roman" w:hAnsi="Times New Roman"/>
          <w:szCs w:val="22"/>
        </w:rPr>
        <w:t>2 a </w:t>
      </w:r>
      <w:r w:rsidRPr="0040260E">
        <w:rPr>
          <w:rFonts w:ascii="Times New Roman" w:hAnsi="Times New Roman"/>
          <w:szCs w:val="22"/>
        </w:rPr>
        <w:t>4.4).</w:t>
      </w:r>
    </w:p>
    <w:p w14:paraId="20F9E974" w14:textId="77777777" w:rsidR="00FB35C5" w:rsidRPr="0040260E" w:rsidRDefault="00FB35C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E7DC8B4" w14:textId="77777777" w:rsidR="009F3335" w:rsidRPr="0040260E" w:rsidRDefault="00BD245B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lastRenderedPageBreak/>
        <w:t>NEŽIADUCE ÚČINKY ZÍSKANÉ Z PEDIATRICKÝCH KLINICKÝCH SKÚŠANÍ</w:t>
      </w:r>
    </w:p>
    <w:p w14:paraId="2A8978C2" w14:textId="77777777" w:rsidR="009F3335" w:rsidRPr="0040260E" w:rsidRDefault="009F3335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Boli pozorované nasledujúce nežiaduce účinky:</w:t>
      </w:r>
    </w:p>
    <w:p w14:paraId="76EA7C5F" w14:textId="77777777" w:rsidR="00C049A9" w:rsidRPr="0040260E" w:rsidRDefault="009F3335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Zvýšená miera správania spojeného so samovraždou (zahŕňajúca 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samovražedné myšlienky), sebapoškodzujúce správanie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zvýšená miera nepriateľstva. Samovražedné myšlienky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samovraždy boli pozorované hlavne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klinických skúšaniach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dospievajúcich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depresívnou poruchou. Zvýšená miera nepriateľstva sa vyskytovala hlavne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obsedantno-kompulzívnou poruchou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najmä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mladších detí vo veku do 1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rokov.</w:t>
      </w:r>
    </w:p>
    <w:p w14:paraId="1CB236CF" w14:textId="77777777"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Ďalšie nežiaduce účinky, ktoré boli pozorované: znížená chuť do jedla, tremor, potenie, hyperkinéza, agitovanosť, emocionálna labilita (vrátane plaču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zmien nálady), nežiaduce účinky 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krvácaním, predovšetkým kože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slizníc.</w:t>
      </w:r>
    </w:p>
    <w:p w14:paraId="7BED650F" w14:textId="77777777"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Účinky, ktoré sa pozorovali po ukončení/znižovaní dávky paroxetínu sú: emocionálna labilita (vrátane plaču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zmien nálady, sebapoškodzovania, samovražedných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pokusov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samovraždu), nervozita, závrat, nauzea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bolesť brucha (pozri časť 4.4).</w:t>
      </w:r>
    </w:p>
    <w:p w14:paraId="5D4AE3B0" w14:textId="77777777"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Pozri časť 5.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pre viac informácii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pediatrických klinických skúšaniach.</w:t>
      </w:r>
    </w:p>
    <w:p w14:paraId="1D0DBEDE" w14:textId="77777777" w:rsidR="002278BA" w:rsidRPr="0040260E" w:rsidRDefault="002278BA" w:rsidP="0040260E">
      <w:pPr>
        <w:pStyle w:val="Styl3"/>
        <w:spacing w:after="0"/>
        <w:jc w:val="left"/>
        <w:rPr>
          <w:szCs w:val="22"/>
        </w:rPr>
      </w:pPr>
    </w:p>
    <w:p w14:paraId="335FFBA7" w14:textId="77777777" w:rsidR="009F3335" w:rsidRPr="0040260E" w:rsidRDefault="009F3335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Hlásenie podozrení na nežiaduce reakcie</w:t>
      </w:r>
    </w:p>
    <w:p w14:paraId="04460792" w14:textId="77777777"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Hlásenie podozrení na nežiaduce reakcie po registrácii lieku je dôležité. Umožňuje priebežné monitorovanie pomeru prínosu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rizika lieku. Od zdravotníckych pracovníkov sa vyžaduje, aby hlásili akékoľvek podozrenia na nežiaduce reakcie</w:t>
      </w:r>
      <w:r w:rsidR="003F4A54" w:rsidRPr="0040260E">
        <w:rPr>
          <w:rFonts w:ascii="Times New Roman" w:hAnsi="Times New Roman"/>
          <w:szCs w:val="22"/>
        </w:rPr>
        <w:t xml:space="preserve"> na</w:t>
      </w:r>
      <w:r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  <w:highlight w:val="lightGray"/>
        </w:rPr>
        <w:t xml:space="preserve">národné </w:t>
      </w:r>
      <w:r w:rsidR="003F4A54" w:rsidRPr="0040260E">
        <w:rPr>
          <w:rFonts w:ascii="Times New Roman" w:hAnsi="Times New Roman"/>
          <w:szCs w:val="22"/>
          <w:highlight w:val="lightGray"/>
        </w:rPr>
        <w:t>centrum</w:t>
      </w:r>
      <w:r w:rsidRPr="0040260E">
        <w:rPr>
          <w:rFonts w:ascii="Times New Roman" w:hAnsi="Times New Roman"/>
          <w:szCs w:val="22"/>
          <w:highlight w:val="lightGray"/>
        </w:rPr>
        <w:t xml:space="preserve"> hlásenia uvedené</w:t>
      </w:r>
      <w:r w:rsidR="00307548" w:rsidRPr="0040260E">
        <w:rPr>
          <w:rFonts w:ascii="Times New Roman" w:hAnsi="Times New Roman"/>
          <w:szCs w:val="22"/>
          <w:highlight w:val="lightGray"/>
        </w:rPr>
        <w:t xml:space="preserve"> v </w:t>
      </w:r>
      <w:hyperlink r:id="rId7" w:history="1">
        <w:r w:rsidRPr="0040260E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40260E">
        <w:rPr>
          <w:rFonts w:ascii="Times New Roman" w:hAnsi="Times New Roman"/>
          <w:szCs w:val="22"/>
        </w:rPr>
        <w:t>.</w:t>
      </w:r>
    </w:p>
    <w:p w14:paraId="0D9D0D9C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D1FDB88" w14:textId="77777777" w:rsidR="00C978CD" w:rsidRPr="0040260E" w:rsidRDefault="00E9367B" w:rsidP="0040260E">
      <w:pPr>
        <w:pStyle w:val="Styl2"/>
        <w:spacing w:before="0" w:after="0"/>
      </w:pPr>
      <w:r w:rsidRPr="0040260E">
        <w:t>Predávkovanie</w:t>
      </w:r>
    </w:p>
    <w:p w14:paraId="2A35E3A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706B18B7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</w:t>
      </w:r>
    </w:p>
    <w:p w14:paraId="57A01446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dostupných informáci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9367B" w:rsidRPr="0040260E">
        <w:rPr>
          <w:rFonts w:ascii="Times New Roman" w:hAnsi="Times New Roman"/>
          <w:szCs w:val="22"/>
        </w:rPr>
        <w:t>predávkovaní paroxetínom je zrejmé jeh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široké rozmedzie bezpečnosti.</w:t>
      </w:r>
    </w:p>
    <w:p w14:paraId="33369B9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Skúsenost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predávkovaním paroxetínom ukázali, že okrem symptómo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uvedených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čast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4.8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hlásené horúčka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mimovoľné svalové kontrakcie.</w:t>
      </w:r>
    </w:p>
    <w:p w14:paraId="50FAF738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zvyčajne uzdravil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be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závažných následkov,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prípadoch, keď užil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samostatné dávky až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200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 xml:space="preserve">mg. </w:t>
      </w:r>
      <w:r w:rsidR="009F3335" w:rsidRPr="0040260E">
        <w:rPr>
          <w:rFonts w:ascii="Times New Roman" w:hAnsi="Times New Roman"/>
          <w:szCs w:val="22"/>
        </w:rPr>
        <w:t>Zriedkavo</w:t>
      </w:r>
      <w:r w:rsidR="009F3335" w:rsidRPr="0040260E" w:rsidDel="009F3335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hlásené nežiaduce účinky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kóm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zmeny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EKG</w:t>
      </w:r>
      <w:r w:rsidR="00C12882" w:rsidRPr="0040260E">
        <w:rPr>
          <w:rFonts w:ascii="Times New Roman" w:hAnsi="Times New Roman"/>
          <w:szCs w:val="22"/>
        </w:rPr>
        <w:t xml:space="preserve">, </w:t>
      </w: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fatálnym výsledkom,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C12882" w:rsidRPr="0040260E">
        <w:rPr>
          <w:rFonts w:ascii="Times New Roman" w:hAnsi="Times New Roman"/>
          <w:szCs w:val="22"/>
        </w:rPr>
        <w:t xml:space="preserve">to </w:t>
      </w:r>
      <w:r w:rsidRPr="0040260E">
        <w:rPr>
          <w:rFonts w:ascii="Times New Roman" w:hAnsi="Times New Roman"/>
          <w:szCs w:val="22"/>
        </w:rPr>
        <w:t>zvyčajne vtedy, keď bol paroxetín užitý spol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ďalším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psychotropným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liekmi,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alkoholom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be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neho.</w:t>
      </w:r>
    </w:p>
    <w:p w14:paraId="46EB0E9D" w14:textId="77777777" w:rsidR="00FB35C5" w:rsidRPr="0040260E" w:rsidRDefault="00FB35C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29C6CC2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Liečba</w:t>
      </w:r>
    </w:p>
    <w:p w14:paraId="0605328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Špecifické antidotum nie je známe.</w:t>
      </w:r>
    </w:p>
    <w:p w14:paraId="106F6B8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pozostávať z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všeobecných opatrení, ktoré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dodržiavajú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predávkovani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akýmkoľvek antidepresívom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="00C12882" w:rsidRPr="0040260E">
        <w:rPr>
          <w:rFonts w:ascii="Times New Roman" w:hAnsi="Times New Roman"/>
          <w:szCs w:val="22"/>
        </w:rPr>
        <w:t>priebehu niekoľkých hodín po predávkovaní je m</w:t>
      </w:r>
      <w:r w:rsidR="00A104A6" w:rsidRPr="0040260E">
        <w:rPr>
          <w:rFonts w:ascii="Times New Roman" w:hAnsi="Times New Roman"/>
          <w:szCs w:val="22"/>
        </w:rPr>
        <w:t>ožn</w:t>
      </w:r>
      <w:r w:rsidR="00C12882" w:rsidRPr="0040260E">
        <w:rPr>
          <w:rFonts w:ascii="Times New Roman" w:hAnsi="Times New Roman"/>
          <w:szCs w:val="22"/>
        </w:rPr>
        <w:t>é</w:t>
      </w:r>
      <w:r w:rsidR="00A104A6" w:rsidRPr="0040260E">
        <w:rPr>
          <w:rFonts w:ascii="Times New Roman" w:hAnsi="Times New Roman"/>
          <w:szCs w:val="22"/>
        </w:rPr>
        <w:t xml:space="preserve"> zvážiť podanie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C5465" w:rsidRPr="0040260E">
        <w:rPr>
          <w:rFonts w:ascii="Times New Roman" w:hAnsi="Times New Roman"/>
          <w:szCs w:val="22"/>
        </w:rPr>
        <w:t>20</w:t>
      </w:r>
      <w:r w:rsidR="00BB6BF8" w:rsidRPr="0040260E">
        <w:rPr>
          <w:rFonts w:ascii="Times New Roman" w:hAnsi="Times New Roman"/>
          <w:szCs w:val="22"/>
        </w:rPr>
        <w:t>–</w:t>
      </w:r>
      <w:r w:rsidR="00EC5465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C5465" w:rsidRPr="0040260E">
        <w:rPr>
          <w:rFonts w:ascii="Times New Roman" w:hAnsi="Times New Roman"/>
          <w:szCs w:val="22"/>
        </w:rPr>
        <w:t xml:space="preserve">g </w:t>
      </w:r>
      <w:r w:rsidR="00806354" w:rsidRPr="0040260E">
        <w:rPr>
          <w:rFonts w:ascii="Times New Roman" w:hAnsi="Times New Roman"/>
          <w:szCs w:val="22"/>
        </w:rPr>
        <w:t>aktívneh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C5465" w:rsidRPr="0040260E">
        <w:rPr>
          <w:rFonts w:ascii="Times New Roman" w:hAnsi="Times New Roman"/>
          <w:szCs w:val="22"/>
        </w:rPr>
        <w:t>uhli</w:t>
      </w:r>
      <w:r w:rsidR="005F2843" w:rsidRPr="0040260E">
        <w:rPr>
          <w:rFonts w:ascii="Times New Roman" w:hAnsi="Times New Roman"/>
          <w:szCs w:val="22"/>
        </w:rPr>
        <w:t>a</w:t>
      </w:r>
      <w:r w:rsidR="00EC5465" w:rsidRPr="0040260E">
        <w:rPr>
          <w:rFonts w:ascii="Times New Roman" w:hAnsi="Times New Roman"/>
          <w:szCs w:val="22"/>
        </w:rPr>
        <w:t>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>znížil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806354" w:rsidRPr="0040260E">
        <w:rPr>
          <w:rFonts w:ascii="Times New Roman" w:hAnsi="Times New Roman"/>
          <w:szCs w:val="22"/>
        </w:rPr>
        <w:t>absorpci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 xml:space="preserve">paroxetínu. </w:t>
      </w:r>
      <w:r w:rsidR="00A104A6" w:rsidRPr="0040260E">
        <w:rPr>
          <w:rFonts w:ascii="Times New Roman" w:hAnsi="Times New Roman"/>
          <w:szCs w:val="22"/>
        </w:rPr>
        <w:t xml:space="preserve">Odporúča </w:t>
      </w:r>
      <w:r w:rsidR="00EC5465"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>podporná starostlivosť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C5465" w:rsidRPr="0040260E">
        <w:rPr>
          <w:rFonts w:ascii="Times New Roman" w:hAnsi="Times New Roman"/>
          <w:szCs w:val="22"/>
        </w:rPr>
        <w:t>častým monitorovaním vi</w:t>
      </w:r>
      <w:r w:rsidR="00A104A6" w:rsidRPr="0040260E">
        <w:rPr>
          <w:rFonts w:ascii="Times New Roman" w:hAnsi="Times New Roman"/>
          <w:szCs w:val="22"/>
        </w:rPr>
        <w:t>t</w:t>
      </w:r>
      <w:r w:rsidR="00EC5465" w:rsidRPr="0040260E">
        <w:rPr>
          <w:rFonts w:ascii="Times New Roman" w:hAnsi="Times New Roman"/>
          <w:szCs w:val="22"/>
        </w:rPr>
        <w:t>álnych funkcií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C5465" w:rsidRPr="0040260E">
        <w:rPr>
          <w:rFonts w:ascii="Times New Roman" w:hAnsi="Times New Roman"/>
          <w:szCs w:val="22"/>
        </w:rPr>
        <w:t>starostlivé sledovanie. Starostlivosť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C5465"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>m</w:t>
      </w:r>
      <w:r w:rsidR="00A104A6" w:rsidRPr="0040260E">
        <w:rPr>
          <w:rFonts w:ascii="Times New Roman" w:hAnsi="Times New Roman"/>
          <w:szCs w:val="22"/>
        </w:rPr>
        <w:t>á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C5465" w:rsidRPr="0040260E">
        <w:rPr>
          <w:rFonts w:ascii="Times New Roman" w:hAnsi="Times New Roman"/>
          <w:szCs w:val="22"/>
        </w:rPr>
        <w:t>byť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621E07" w:rsidRPr="0040260E">
        <w:rPr>
          <w:rFonts w:ascii="Times New Roman" w:hAnsi="Times New Roman"/>
          <w:szCs w:val="22"/>
        </w:rPr>
        <w:t>klinického stavu</w:t>
      </w:r>
      <w:r w:rsidR="00EC5465" w:rsidRPr="0040260E">
        <w:rPr>
          <w:rFonts w:ascii="Times New Roman" w:hAnsi="Times New Roman"/>
          <w:szCs w:val="22"/>
        </w:rPr>
        <w:t>.</w:t>
      </w:r>
    </w:p>
    <w:p w14:paraId="1D7C429B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313E8C2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6DD53A02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FARMAKOLOGICKÉ VLASTNOSTI</w:t>
      </w:r>
    </w:p>
    <w:p w14:paraId="281F4F45" w14:textId="77777777" w:rsidR="00C978CD" w:rsidRPr="0040260E" w:rsidRDefault="00E9367B" w:rsidP="0040260E">
      <w:pPr>
        <w:pStyle w:val="Styl2"/>
        <w:spacing w:before="0" w:after="0"/>
      </w:pPr>
      <w:r w:rsidRPr="0040260E">
        <w:t>Farmakodynamické vlastnosti</w:t>
      </w:r>
    </w:p>
    <w:p w14:paraId="5430DD50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1A71855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Farmakoterapeutická skupina: Antidepresív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 xml:space="preserve"> selektívne inhibítory 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004278" w:rsidRPr="0040260E">
        <w:rPr>
          <w:rFonts w:ascii="Times New Roman" w:hAnsi="Times New Roman"/>
          <w:szCs w:val="22"/>
        </w:rPr>
        <w:t>sérotonín</w:t>
      </w:r>
      <w:r w:rsidRPr="0040260E">
        <w:rPr>
          <w:rFonts w:ascii="Times New Roman" w:hAnsi="Times New Roman"/>
          <w:szCs w:val="22"/>
        </w:rPr>
        <w:t>u. ATC kód: N06AB05.</w:t>
      </w:r>
    </w:p>
    <w:p w14:paraId="325D5FA7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432B5D5D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Mechanizmu</w:t>
      </w:r>
      <w:r w:rsidR="005F2843" w:rsidRPr="0040260E">
        <w:rPr>
          <w:szCs w:val="22"/>
        </w:rPr>
        <w:t>s </w:t>
      </w:r>
      <w:r w:rsidRPr="0040260E">
        <w:rPr>
          <w:szCs w:val="22"/>
        </w:rPr>
        <w:t>účinku</w:t>
      </w:r>
    </w:p>
    <w:p w14:paraId="71A98E8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je účinný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selektívny inhibítor 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hydroxytryptamín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 xml:space="preserve">HT, </w:t>
      </w:r>
      <w:r w:rsidR="00004278" w:rsidRPr="0040260E">
        <w:rPr>
          <w:rFonts w:ascii="Times New Roman" w:hAnsi="Times New Roman"/>
          <w:szCs w:val="22"/>
        </w:rPr>
        <w:t>sérotonín</w:t>
      </w:r>
      <w:r w:rsidRPr="0040260E">
        <w:rPr>
          <w:rFonts w:ascii="Times New Roman" w:hAnsi="Times New Roman"/>
          <w:szCs w:val="22"/>
        </w:rPr>
        <w:t>u)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predpokladá sa, že jeh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antidepresívny účinok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účinnosť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OCD, sociálnej úzkostnej poruchy/sociálnej fóbie, generalizovanej úzkostnej poruchy, posttraumatickej stresovej poruchy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panickej poruchy súvisí práve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špecificko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inhibício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synaptických membránach mozgových neurónov.</w:t>
      </w:r>
    </w:p>
    <w:p w14:paraId="10CCBCEA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nie je chemicky príbuzný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tricyklickými, tetracyklickým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dostupným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antidepresívami.</w:t>
      </w:r>
    </w:p>
    <w:p w14:paraId="19780C9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má nízk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afinit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 muskarínovým cholinergným receptorom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štúdie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zvieratách zistil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ib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slabé anticholinergné vlastnosti.</w:t>
      </w:r>
    </w:p>
    <w:p w14:paraId="2D87BD72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lastRenderedPageBreak/>
        <w:t>V </w:t>
      </w:r>
      <w:r w:rsidR="00E9367B" w:rsidRPr="0040260E">
        <w:rPr>
          <w:rFonts w:ascii="Times New Roman" w:hAnsi="Times New Roman"/>
          <w:szCs w:val="22"/>
        </w:rPr>
        <w:t>súlade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týmt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 xml:space="preserve">selektívnym účinkom štúdie </w:t>
      </w:r>
      <w:r w:rsidR="00E9367B" w:rsidRPr="0040260E">
        <w:rPr>
          <w:rStyle w:val="Bacil"/>
          <w:rFonts w:ascii="Times New Roman" w:hAnsi="Times New Roman"/>
          <w:szCs w:val="22"/>
        </w:rPr>
        <w:t>in vitr</w:t>
      </w:r>
      <w:r w:rsidRPr="0040260E">
        <w:rPr>
          <w:rStyle w:val="Bacil"/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ukazujú, že paroxetín má 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rozdiel od tricyklických antidepresí</w:t>
      </w:r>
      <w:r w:rsidR="00C96AC3" w:rsidRPr="0040260E">
        <w:rPr>
          <w:rFonts w:ascii="Times New Roman" w:hAnsi="Times New Roman"/>
          <w:szCs w:val="22"/>
        </w:rPr>
        <w:t xml:space="preserve">v </w:t>
      </w:r>
      <w:r w:rsidR="00E9367B" w:rsidRPr="0040260E">
        <w:rPr>
          <w:rFonts w:ascii="Times New Roman" w:hAnsi="Times New Roman"/>
          <w:szCs w:val="22"/>
        </w:rPr>
        <w:t>nízk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afinit</w:t>
      </w:r>
      <w:r w:rsidRPr="0040260E">
        <w:rPr>
          <w:rFonts w:ascii="Times New Roman" w:hAnsi="Times New Roman"/>
          <w:szCs w:val="22"/>
        </w:rPr>
        <w:t xml:space="preserve">u </w:t>
      </w:r>
      <w:r w:rsidR="00C96AC3" w:rsidRPr="0040260E">
        <w:rPr>
          <w:rFonts w:ascii="Times New Roman" w:hAnsi="Times New Roman"/>
          <w:szCs w:val="22"/>
        </w:rPr>
        <w:t>k </w:t>
      </w:r>
      <w:r w:rsidR="00E9367B" w:rsidRPr="0040260E">
        <w:rPr>
          <w:rFonts w:ascii="Times New Roman" w:hAnsi="Times New Roman"/>
          <w:szCs w:val="22"/>
        </w:rPr>
        <w:t>alfa1, alfa</w:t>
      </w:r>
      <w:r w:rsidR="00307548" w:rsidRPr="0040260E">
        <w:rPr>
          <w:rFonts w:ascii="Times New Roman" w:hAnsi="Times New Roman"/>
          <w:szCs w:val="22"/>
        </w:rPr>
        <w:t>2 a </w:t>
      </w:r>
      <w:r w:rsidR="00E9367B" w:rsidRPr="0040260E">
        <w:rPr>
          <w:rFonts w:ascii="Times New Roman" w:hAnsi="Times New Roman"/>
          <w:szCs w:val="22"/>
        </w:rPr>
        <w:t>beta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adrenergným receptorom, k</w:t>
      </w:r>
      <w:r w:rsidR="00F42821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dopamínovým (D2), rôznym 5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HT1, 5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HT</w:t>
      </w:r>
      <w:r w:rsidR="00307548" w:rsidRPr="0040260E">
        <w:rPr>
          <w:rFonts w:ascii="Times New Roman" w:hAnsi="Times New Roman"/>
          <w:szCs w:val="22"/>
        </w:rPr>
        <w:t>2 a </w:t>
      </w:r>
      <w:r w:rsidR="00E9367B" w:rsidRPr="0040260E">
        <w:rPr>
          <w:rFonts w:ascii="Times New Roman" w:hAnsi="Times New Roman"/>
          <w:szCs w:val="22"/>
        </w:rPr>
        <w:t>histamínovým (H1) receptorom. Tomu, že neexistujú interakcie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postsynaptickým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receptorm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Style w:val="Bacil"/>
          <w:rFonts w:ascii="Times New Roman" w:hAnsi="Times New Roman"/>
          <w:szCs w:val="22"/>
        </w:rPr>
        <w:t>in vitr</w:t>
      </w:r>
      <w:r w:rsidRPr="0040260E">
        <w:rPr>
          <w:rStyle w:val="Bacil"/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zodpovedajú </w:t>
      </w:r>
      <w:r w:rsidR="000E5BA4" w:rsidRPr="0040260E">
        <w:rPr>
          <w:rFonts w:ascii="Times New Roman" w:hAnsi="Times New Roman"/>
          <w:szCs w:val="22"/>
        </w:rPr>
        <w:t>aj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výsledky štúdií </w:t>
      </w:r>
      <w:r w:rsidR="00E9367B" w:rsidRPr="0040260E">
        <w:rPr>
          <w:rStyle w:val="Bacil"/>
          <w:rFonts w:ascii="Times New Roman" w:hAnsi="Times New Roman"/>
          <w:szCs w:val="22"/>
        </w:rPr>
        <w:t>in vivo</w:t>
      </w:r>
      <w:r w:rsidR="00E9367B" w:rsidRPr="0040260E">
        <w:rPr>
          <w:rFonts w:ascii="Times New Roman" w:hAnsi="Times New Roman"/>
          <w:szCs w:val="22"/>
        </w:rPr>
        <w:t>, pr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ktorých nedochádz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k útlm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CN</w:t>
      </w:r>
      <w:r w:rsidRPr="0040260E">
        <w:rPr>
          <w:rFonts w:ascii="Times New Roman" w:hAnsi="Times New Roman"/>
          <w:szCs w:val="22"/>
        </w:rPr>
        <w:t>S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an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k hypotenzívnem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účinku.</w:t>
      </w:r>
    </w:p>
    <w:p w14:paraId="4B7B87EB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D1A237A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Farmakodynamické účinky</w:t>
      </w:r>
    </w:p>
    <w:p w14:paraId="4ECFE8B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neovplyvňuje psychomotorické funkcie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046EBB" w:rsidRPr="0040260E">
        <w:rPr>
          <w:rFonts w:ascii="Times New Roman" w:hAnsi="Times New Roman"/>
          <w:szCs w:val="22"/>
        </w:rPr>
        <w:t>nepotenciuje</w:t>
      </w:r>
      <w:r w:rsidRPr="0040260E">
        <w:rPr>
          <w:rFonts w:ascii="Times New Roman" w:hAnsi="Times New Roman"/>
          <w:szCs w:val="22"/>
        </w:rPr>
        <w:t xml:space="preserve"> depresívny účinok etanolu.</w:t>
      </w:r>
    </w:p>
    <w:p w14:paraId="1920B0AB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E5BA4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selektívnych inhibítoro</w:t>
      </w:r>
      <w:r w:rsidR="000E5BA4" w:rsidRPr="0040260E">
        <w:rPr>
          <w:rFonts w:ascii="Times New Roman" w:hAnsi="Times New Roman"/>
          <w:szCs w:val="22"/>
        </w:rPr>
        <w:t>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HT, paroxetín spôsobuje príznaky nadmernej stimulácie 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 receptorov, keď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podá zvieratám, ktorým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predtým podané inhibítory monoaminooxidázy (IMAO)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61FE9" w:rsidRPr="0040260E">
        <w:rPr>
          <w:rFonts w:ascii="Times New Roman" w:hAnsi="Times New Roman"/>
          <w:szCs w:val="22"/>
        </w:rPr>
        <w:t>tryptofán</w:t>
      </w:r>
      <w:r w:rsidRPr="0040260E">
        <w:rPr>
          <w:rFonts w:ascii="Times New Roman" w:hAnsi="Times New Roman"/>
          <w:szCs w:val="22"/>
        </w:rPr>
        <w:t>.</w:t>
      </w:r>
    </w:p>
    <w:p w14:paraId="16265C5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Behaviorálne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EEG štúdie naznačujú, že paroxetín má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dávke, ktorá zvyčajne prevyšuje dávky potrebné pre inhibíci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HT, slabý stimulačný účinok. Stimuláci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nie je amfetamínovej povahy.</w:t>
      </w:r>
    </w:p>
    <w:p w14:paraId="58B0AB9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základe štúdií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zvieratách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preukázalo, že paroxetín je dobre tolerovaný kardiovaskulárnym systémom. Paroxetín nevyvoláv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podaní zdravým dobrovoľníkom žiadne klinicky významné zmeny krvnéh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tlaku, tepovej frekvencie 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EKG.</w:t>
      </w:r>
    </w:p>
    <w:p w14:paraId="0CB314E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Štúdie svedči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tom, že paroxetín má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rozdiel od antidepresív, ktoré inhibujú spätné vychytávanie noradrenalínu, omnoh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menši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tendenci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inhibovať antihypertenzívne účinky guanetidínu.</w:t>
      </w:r>
    </w:p>
    <w:p w14:paraId="4D367880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liečbe depresívnych porúch je účinnosť paroxetín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porovnateľná s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štandardným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antidepresívami.</w:t>
      </w:r>
    </w:p>
    <w:p w14:paraId="3DB9AD61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Existujú určité dôkazy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 xml:space="preserve">tom, že paroxetín môže byť terapeuticky úspešný </w:t>
      </w:r>
      <w:r w:rsidR="000E5BA4"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štandardným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antidepresívam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nereagujú.</w:t>
      </w:r>
    </w:p>
    <w:p w14:paraId="173D24C7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Ranné užívanie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nemá škodlivý vply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kvalit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dĺžk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spánku. Okrem toh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pravdepodobné, že 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reagovaní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spozorujú zlepšenie spánku.</w:t>
      </w:r>
    </w:p>
    <w:p w14:paraId="1FB8A529" w14:textId="77777777" w:rsidR="00DB76AA" w:rsidRPr="0040260E" w:rsidRDefault="00DB76AA" w:rsidP="0040260E">
      <w:pPr>
        <w:tabs>
          <w:tab w:val="left" w:pos="567"/>
        </w:tabs>
        <w:rPr>
          <w:szCs w:val="22"/>
          <w:u w:val="single"/>
          <w:lang w:val="sk-SK" w:eastAsia="en-US"/>
        </w:rPr>
      </w:pPr>
    </w:p>
    <w:p w14:paraId="09A4D896" w14:textId="77777777" w:rsidR="00313B0F" w:rsidRPr="0040260E" w:rsidRDefault="00313B0F" w:rsidP="0040260E">
      <w:pPr>
        <w:tabs>
          <w:tab w:val="left" w:pos="567"/>
        </w:tabs>
        <w:rPr>
          <w:szCs w:val="22"/>
          <w:u w:val="single"/>
          <w:lang w:val="sk-SK" w:eastAsia="en-US"/>
        </w:rPr>
      </w:pPr>
      <w:r w:rsidRPr="0040260E">
        <w:rPr>
          <w:szCs w:val="22"/>
          <w:u w:val="single"/>
          <w:lang w:val="sk-SK" w:eastAsia="en-US"/>
        </w:rPr>
        <w:t>Analýza samovražedného správania</w:t>
      </w:r>
      <w:r w:rsidR="00307548" w:rsidRPr="0040260E">
        <w:rPr>
          <w:szCs w:val="22"/>
          <w:u w:val="single"/>
          <w:lang w:val="sk-SK" w:eastAsia="en-US"/>
        </w:rPr>
        <w:t xml:space="preserve"> u </w:t>
      </w:r>
      <w:r w:rsidRPr="0040260E">
        <w:rPr>
          <w:szCs w:val="22"/>
          <w:u w:val="single"/>
          <w:lang w:val="sk-SK" w:eastAsia="en-US"/>
        </w:rPr>
        <w:t>dospelých</w:t>
      </w:r>
    </w:p>
    <w:p w14:paraId="141598EF" w14:textId="77777777" w:rsidR="00313B0F" w:rsidRPr="0040260E" w:rsidRDefault="00313B0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Analýza placebom kontrolovaných skúšaní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dospelých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psychiatrickými poruchami špecificky zameraná na paroxetín ukázala zvýšenie výskytu samovražedného správania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mladých dospelých (vo veku 18</w:t>
      </w:r>
      <w:r w:rsidR="00F42821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24 rokov) liečených paroxetínom oproti placebu (2,19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oproti 0,9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).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starších vekových skupinách nebolo takéto zvýšenie pozorované</w:t>
      </w:r>
      <w:r w:rsidR="001C5C2E" w:rsidRPr="0040260E">
        <w:rPr>
          <w:rFonts w:ascii="Times New Roman" w:hAnsi="Times New Roman"/>
          <w:szCs w:val="22"/>
        </w:rPr>
        <w:t>. U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dospelých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depresívnou poruchou (všetkých vekových skupín) došlo k zvýšeniu výskytu samovražedného správania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 liečených paroxetínom oproti placebu (0,3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oproti 0,0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); vo všetkých prípadoch sa jednalo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pacientov liečených paroxetínom sa však väčšina týchto pokusov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 (8 z 11) vyskytla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mladších dospelých (pozri aj časť 4.4).</w:t>
      </w:r>
    </w:p>
    <w:p w14:paraId="1B98C345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4E87FB9E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Odpoveď 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dávku</w:t>
      </w:r>
    </w:p>
    <w:p w14:paraId="51CCB629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štúdiách fixnej dávky je krivk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odpovede 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dávk</w:t>
      </w:r>
      <w:r w:rsidRPr="0040260E">
        <w:rPr>
          <w:rFonts w:ascii="Times New Roman" w:hAnsi="Times New Roman"/>
          <w:szCs w:val="22"/>
        </w:rPr>
        <w:t xml:space="preserve">u </w:t>
      </w:r>
      <w:r w:rsidR="005F1936" w:rsidRPr="0040260E">
        <w:rPr>
          <w:rFonts w:ascii="Times New Roman" w:hAnsi="Times New Roman"/>
          <w:szCs w:val="22"/>
        </w:rPr>
        <w:t>plochá</w:t>
      </w:r>
      <w:r w:rsidR="00E9367B" w:rsidRPr="0040260E">
        <w:rPr>
          <w:rFonts w:ascii="Times New Roman" w:hAnsi="Times New Roman"/>
          <w:szCs w:val="22"/>
        </w:rPr>
        <w:t>, č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svedčí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9367B" w:rsidRPr="0040260E">
        <w:rPr>
          <w:rFonts w:ascii="Times New Roman" w:hAnsi="Times New Roman"/>
          <w:szCs w:val="22"/>
        </w:rPr>
        <w:t>tom, že neexistuje výhod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týkajúc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účinnost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pre užívanie vyšších 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odporúčaných dávok. Existujú však niektoré klinické údaje, ktoré svedči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9367B" w:rsidRPr="0040260E">
        <w:rPr>
          <w:rFonts w:ascii="Times New Roman" w:hAnsi="Times New Roman"/>
          <w:szCs w:val="22"/>
        </w:rPr>
        <w:t>tom, že pre niektorých paciento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môže byť prínosná titráci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dávky smerom nahor.</w:t>
      </w:r>
    </w:p>
    <w:p w14:paraId="357533F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6C5741E0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Dlhodobá účinnosť</w:t>
      </w:r>
    </w:p>
    <w:p w14:paraId="6A872296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Dlhodobá účinnosť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1277F7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1277F7" w:rsidRPr="0040260E">
        <w:rPr>
          <w:rFonts w:ascii="Times New Roman" w:hAnsi="Times New Roman"/>
          <w:szCs w:val="22"/>
        </w:rPr>
        <w:t xml:space="preserve">liečbe </w:t>
      </w:r>
      <w:r w:rsidRPr="0040260E">
        <w:rPr>
          <w:rFonts w:ascii="Times New Roman" w:hAnsi="Times New Roman"/>
          <w:szCs w:val="22"/>
        </w:rPr>
        <w:t>depresie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preukázaná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52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týždňovej štúdi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udržiavacej dávky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koncepcio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prevencie relapsu: relap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mal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paroxetín (20</w:t>
      </w:r>
      <w:r w:rsidR="00BB6BF8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denne) oprot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28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placebo.</w:t>
      </w:r>
    </w:p>
    <w:p w14:paraId="5D46CA34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FC8147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Dlhodobá účinnosť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obsedantno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kompulzívnej poruchy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preskúmaná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troch 24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týždňových štúdiách udržiavacej dávky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koncepcio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prevencie relapsu. Jedn</w:t>
      </w:r>
      <w:r w:rsidR="005F2843" w:rsidRPr="0040260E">
        <w:rPr>
          <w:rFonts w:ascii="Times New Roman" w:hAnsi="Times New Roman"/>
          <w:szCs w:val="22"/>
        </w:rPr>
        <w:t>a z </w:t>
      </w:r>
      <w:r w:rsidRPr="0040260E">
        <w:rPr>
          <w:rFonts w:ascii="Times New Roman" w:hAnsi="Times New Roman"/>
          <w:szCs w:val="22"/>
        </w:rPr>
        <w:t>troch štúdií dosiahl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významný rozdiel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podiele jedinco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relapsom 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paroxetínom (38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>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placebom (59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>).</w:t>
      </w:r>
    </w:p>
    <w:p w14:paraId="39C50DF1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7B496C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Dlhodobá účinnosť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panickej poruchy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preukázaná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24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týždňovej štúdi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udržiavacej dávky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koncepcio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prevencie relapsu: relap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mal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paroxetín (10</w:t>
      </w:r>
      <w:r w:rsidR="00BB6BF8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denne) oprot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placebo. 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5F1936" w:rsidRPr="0040260E">
        <w:rPr>
          <w:rFonts w:ascii="Times New Roman" w:hAnsi="Times New Roman"/>
          <w:szCs w:val="22"/>
        </w:rPr>
        <w:t xml:space="preserve">štúdia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podporená 36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štúdio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udržiavacej dávky.</w:t>
      </w:r>
    </w:p>
    <w:p w14:paraId="4608AA3B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57768C8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lastRenderedPageBreak/>
        <w:t>Dlhodobá účinnosť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sociálnej úzkostnej poruchy</w:t>
      </w:r>
      <w:r w:rsidR="005F1936" w:rsidRPr="0040260E">
        <w:rPr>
          <w:rFonts w:ascii="Times New Roman" w:hAnsi="Times New Roman"/>
          <w:szCs w:val="22"/>
        </w:rPr>
        <w:t xml:space="preserve">, </w:t>
      </w:r>
      <w:r w:rsidRPr="0040260E">
        <w:rPr>
          <w:rFonts w:ascii="Times New Roman" w:hAnsi="Times New Roman"/>
          <w:szCs w:val="22"/>
        </w:rPr>
        <w:t>generalizovanej úzkostnej poruchy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posttraumatickej stresovej poruchy nebol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dostatočne preukázaná.</w:t>
      </w:r>
    </w:p>
    <w:p w14:paraId="60FBA835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</w:p>
    <w:p w14:paraId="3170D425" w14:textId="77777777" w:rsidR="001277F7" w:rsidRPr="0040260E" w:rsidRDefault="001277F7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  <w:r w:rsidRPr="0040260E">
        <w:rPr>
          <w:rFonts w:ascii="Times New Roman" w:hAnsi="Times New Roman"/>
          <w:szCs w:val="22"/>
          <w:u w:val="single"/>
        </w:rPr>
        <w:t>Nežiaduce účinky získané z pediatrických klinických skúšaní</w:t>
      </w:r>
    </w:p>
    <w:p w14:paraId="50874F94" w14:textId="77777777" w:rsidR="000E5BA4" w:rsidRPr="0040260E" w:rsidRDefault="000E5BA4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krátkodobých (do 10–1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týždňov) pediatrických klinických štúdiách uskutočňovaných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277F7" w:rsidRPr="0040260E">
        <w:rPr>
          <w:rFonts w:ascii="Times New Roman" w:hAnsi="Times New Roman"/>
          <w:szCs w:val="22"/>
        </w:rPr>
        <w:t xml:space="preserve">dospievajúcich </w:t>
      </w:r>
      <w:r w:rsidRPr="0040260E">
        <w:rPr>
          <w:rFonts w:ascii="Times New Roman" w:hAnsi="Times New Roman"/>
          <w:szCs w:val="22"/>
        </w:rPr>
        <w:t>boli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frekvenciou najmenej</w:t>
      </w:r>
      <w:r w:rsidR="00307548" w:rsidRPr="0040260E">
        <w:rPr>
          <w:rFonts w:ascii="Times New Roman" w:hAnsi="Times New Roman"/>
          <w:szCs w:val="22"/>
        </w:rPr>
        <w:t xml:space="preserve"> u 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pacientov</w:t>
      </w:r>
      <w:r w:rsidR="00307548" w:rsidRPr="0040260E">
        <w:rPr>
          <w:rFonts w:ascii="Times New Roman" w:hAnsi="Times New Roman"/>
          <w:szCs w:val="22"/>
        </w:rPr>
        <w:t xml:space="preserve"> a s </w:t>
      </w:r>
      <w:r w:rsidRPr="0040260E">
        <w:rPr>
          <w:rFonts w:ascii="Times New Roman" w:hAnsi="Times New Roman"/>
          <w:szCs w:val="22"/>
        </w:rPr>
        <w:t xml:space="preserve">frekvenciou výskytu najmenej dvojnásobnou oproti placebu pozorované nasledujúce nežiaduce účinky: zvýšená miera 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vražedného správania (zah</w:t>
      </w:r>
      <w:r w:rsidR="001277F7" w:rsidRPr="0040260E">
        <w:rPr>
          <w:rFonts w:ascii="Times New Roman" w:hAnsi="Times New Roman"/>
          <w:szCs w:val="22"/>
        </w:rPr>
        <w:t>ŕ</w:t>
      </w:r>
      <w:r w:rsidRPr="0040260E">
        <w:rPr>
          <w:rFonts w:ascii="Times New Roman" w:hAnsi="Times New Roman"/>
          <w:szCs w:val="22"/>
        </w:rPr>
        <w:t>ň</w:t>
      </w:r>
      <w:r w:rsidR="001277F7" w:rsidRPr="0040260E">
        <w:rPr>
          <w:rFonts w:ascii="Times New Roman" w:hAnsi="Times New Roman"/>
          <w:szCs w:val="22"/>
        </w:rPr>
        <w:t>a</w:t>
      </w:r>
      <w:r w:rsidRPr="0040260E">
        <w:rPr>
          <w:rFonts w:ascii="Times New Roman" w:hAnsi="Times New Roman"/>
          <w:szCs w:val="22"/>
        </w:rPr>
        <w:t>júca 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vraždu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 xml:space="preserve">vražedné myšlienky), 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vražedné myšlienky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vraždu boli pozorované hlavne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klinických štúdiách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mladistvých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depresívnou epizódou. Zvýšená miera nepriateľského správa</w:t>
      </w:r>
      <w:r w:rsidR="001277F7" w:rsidRPr="0040260E">
        <w:rPr>
          <w:rFonts w:ascii="Times New Roman" w:hAnsi="Times New Roman"/>
          <w:szCs w:val="22"/>
        </w:rPr>
        <w:t>nia sa vyskytovala hlavne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1277F7"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046EBB" w:rsidRPr="0040260E">
        <w:rPr>
          <w:rFonts w:ascii="Times New Roman" w:hAnsi="Times New Roman"/>
          <w:szCs w:val="22"/>
        </w:rPr>
        <w:t>obsedantno-kompulzívnou</w:t>
      </w:r>
      <w:r w:rsidRPr="0040260E">
        <w:rPr>
          <w:rFonts w:ascii="Times New Roman" w:hAnsi="Times New Roman"/>
          <w:szCs w:val="22"/>
        </w:rPr>
        <w:t xml:space="preserve"> poruchou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najmä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mladších detí vo veku do 1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rokov. Ďalšie nežiaduce účinky, ktoré boli častejšie pozorované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skupin</w:t>
      </w:r>
      <w:r w:rsidR="001277F7" w:rsidRPr="0040260E">
        <w:rPr>
          <w:rFonts w:ascii="Times New Roman" w:hAnsi="Times New Roman"/>
          <w:szCs w:val="22"/>
        </w:rPr>
        <w:t>e</w:t>
      </w:r>
      <w:r w:rsidRPr="0040260E">
        <w:rPr>
          <w:rFonts w:ascii="Times New Roman" w:hAnsi="Times New Roman"/>
          <w:szCs w:val="22"/>
        </w:rPr>
        <w:t xml:space="preserve"> užívajúc</w:t>
      </w:r>
      <w:r w:rsidR="001277F7" w:rsidRPr="0040260E">
        <w:rPr>
          <w:rFonts w:ascii="Times New Roman" w:hAnsi="Times New Roman"/>
          <w:szCs w:val="22"/>
        </w:rPr>
        <w:t>ej</w:t>
      </w:r>
      <w:r w:rsidRPr="0040260E">
        <w:rPr>
          <w:rFonts w:ascii="Times New Roman" w:hAnsi="Times New Roman"/>
          <w:szCs w:val="22"/>
        </w:rPr>
        <w:t xml:space="preserve"> paroxetín než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skupin</w:t>
      </w:r>
      <w:r w:rsidR="001277F7" w:rsidRPr="0040260E">
        <w:rPr>
          <w:rFonts w:ascii="Times New Roman" w:hAnsi="Times New Roman"/>
          <w:szCs w:val="22"/>
        </w:rPr>
        <w:t>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placebom boli znížená chuť do jedla, tremor, potenie, hyperkinéza, agitovanosť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emocionálna labilita (vrátane plaču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zmien nálady).</w:t>
      </w:r>
    </w:p>
    <w:p w14:paraId="7204CD2F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D407DE8" w14:textId="77777777" w:rsidR="00E05660" w:rsidRPr="0040260E" w:rsidRDefault="00E05660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štúdiách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režimom postupného znižovania dávky boli počas fázy znižovania dávky alebo po prerušení podávania paroxetínu hlásené nasledujúce symptómy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frekvenciou najmenej</w:t>
      </w:r>
      <w:r w:rsidR="00307548" w:rsidRPr="0040260E">
        <w:rPr>
          <w:rFonts w:ascii="Times New Roman" w:hAnsi="Times New Roman"/>
          <w:szCs w:val="22"/>
        </w:rPr>
        <w:t xml:space="preserve"> u 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výskytom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pomere najmenej dvojnásobnom voči placebu: emocionálna labilita (vrátane plaču, zmien nálady, sebapoškodzovania, samovražedných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pokusov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samovraždu), nervozita, závrat, nauzea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bolesť brucha (pozri časť 4.4)</w:t>
      </w:r>
      <w:r w:rsidR="000E3249" w:rsidRPr="0040260E">
        <w:rPr>
          <w:rFonts w:ascii="Times New Roman" w:hAnsi="Times New Roman"/>
          <w:szCs w:val="22"/>
        </w:rPr>
        <w:t>.</w:t>
      </w:r>
    </w:p>
    <w:p w14:paraId="6E2B149B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5C26AA9" w14:textId="77777777" w:rsidR="000E5BA4" w:rsidRPr="0040260E" w:rsidRDefault="000E5BA4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Pri piatich paralelných skupinových štúdiách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dobou liečby od 8 týždňov do 8 mesiacov</w:t>
      </w:r>
      <w:r w:rsidR="00E05660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> boli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 liečených paroxetínom pozorované nežiaduce účinky 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krvácaním</w:t>
      </w:r>
      <w:r w:rsidR="00E05660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 xml:space="preserve"> </w:t>
      </w:r>
      <w:r w:rsidR="00E05660" w:rsidRPr="0040260E">
        <w:rPr>
          <w:rFonts w:ascii="Times New Roman" w:hAnsi="Times New Roman"/>
          <w:szCs w:val="22"/>
        </w:rPr>
        <w:t>predovšetkým na koži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05660" w:rsidRPr="0040260E">
        <w:rPr>
          <w:rFonts w:ascii="Times New Roman" w:hAnsi="Times New Roman"/>
          <w:szCs w:val="22"/>
        </w:rPr>
        <w:t>slizniciach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05660" w:rsidRPr="0040260E">
        <w:rPr>
          <w:rFonts w:ascii="Times New Roman" w:hAnsi="Times New Roman"/>
          <w:szCs w:val="22"/>
        </w:rPr>
        <w:t>pacientov liečených paroxetínom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05660" w:rsidRPr="0040260E">
        <w:rPr>
          <w:rFonts w:ascii="Times New Roman" w:hAnsi="Times New Roman"/>
          <w:szCs w:val="22"/>
        </w:rPr>
        <w:t>frekvenciou 1,74</w:t>
      </w:r>
      <w:r w:rsidR="00F42821" w:rsidRPr="0040260E">
        <w:rPr>
          <w:rFonts w:ascii="Times New Roman" w:hAnsi="Times New Roman"/>
          <w:szCs w:val="22"/>
        </w:rPr>
        <w:t> %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05660"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05660" w:rsidRPr="0040260E">
        <w:rPr>
          <w:rFonts w:ascii="Times New Roman" w:hAnsi="Times New Roman"/>
          <w:szCs w:val="22"/>
        </w:rPr>
        <w:t>0,74</w:t>
      </w:r>
      <w:r w:rsidR="00F42821" w:rsidRPr="0040260E">
        <w:rPr>
          <w:rFonts w:ascii="Times New Roman" w:hAnsi="Times New Roman"/>
          <w:szCs w:val="22"/>
        </w:rPr>
        <w:t> %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dostávali placebo</w:t>
      </w:r>
      <w:r w:rsidR="000E3249" w:rsidRPr="0040260E">
        <w:rPr>
          <w:rFonts w:ascii="Times New Roman" w:hAnsi="Times New Roman"/>
          <w:szCs w:val="22"/>
        </w:rPr>
        <w:t>.</w:t>
      </w:r>
    </w:p>
    <w:p w14:paraId="0E827BB0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ECFBB72" w14:textId="77777777" w:rsidR="00C978CD" w:rsidRPr="0040260E" w:rsidRDefault="00E9367B" w:rsidP="0040260E">
      <w:pPr>
        <w:pStyle w:val="Styl2"/>
        <w:spacing w:before="0" w:after="0"/>
      </w:pPr>
      <w:r w:rsidRPr="0040260E">
        <w:t>Farmakokinetické vlastnosti</w:t>
      </w:r>
    </w:p>
    <w:p w14:paraId="4256DA35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18FDFC45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Absorpcia</w:t>
      </w:r>
    </w:p>
    <w:p w14:paraId="62C3B4D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perorálnom podaní dobre vstrebáv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podlieh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metabolizmu.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dôsledk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efekt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je množstv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systémovej cirkuláci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menšie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množstvo, ktoré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vstrebe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gastrointestinálneh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traktu. Dochádz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k čiastočnej saturáci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účink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k zníženi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plazmatickém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klírensu, pretože telesná záťaž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zvýš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vyšších jednorazových dávkach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podaní opakovanej dávky. 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má 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následok disproporčné zvýšeni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plazmatických koncentrácií paroxetínu,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nie sú farmakokinetické parametre konštantné, č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vedie k nelineárnej kinetike. Nelinearit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však zvyčajne malá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obmedzuje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tých jedincov, ktorí dosiahn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nízke plazmatické hladiny 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nízkych dávkach.</w:t>
      </w:r>
    </w:p>
    <w:p w14:paraId="08FC6FE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Ustálené systémové hladiny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dosiahn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C96AC3" w:rsidRPr="0040260E">
        <w:rPr>
          <w:rFonts w:ascii="Times New Roman" w:hAnsi="Times New Roman"/>
          <w:szCs w:val="22"/>
        </w:rPr>
        <w:t>7 </w:t>
      </w:r>
      <w:r w:rsidRPr="0040260E">
        <w:rPr>
          <w:rFonts w:ascii="Times New Roman" w:hAnsi="Times New Roman"/>
          <w:szCs w:val="22"/>
        </w:rPr>
        <w:t xml:space="preserve">až </w:t>
      </w:r>
      <w:r w:rsidR="00C96AC3" w:rsidRPr="0040260E">
        <w:rPr>
          <w:rFonts w:ascii="Times New Roman" w:hAnsi="Times New Roman"/>
          <w:szCs w:val="22"/>
        </w:rPr>
        <w:t>14 </w:t>
      </w:r>
      <w:r w:rsidRPr="0040260E">
        <w:rPr>
          <w:rFonts w:ascii="Times New Roman" w:hAnsi="Times New Roman"/>
          <w:szCs w:val="22"/>
        </w:rPr>
        <w:t>dňoch od začati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liekm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okamžitým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kontrolovaným uvoľňovaním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nezdá sa, že 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farmakokinetické parametre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dlhodobej liečby menili.</w:t>
      </w:r>
    </w:p>
    <w:p w14:paraId="575E7AD6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5E9B563B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Distribúcia</w:t>
      </w:r>
    </w:p>
    <w:p w14:paraId="0848044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je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rozsiahlej miere distribuovaný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tkaní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farmakokinetické výpočty svedči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tom, že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plazme zostáv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len </w:t>
      </w:r>
      <w:r w:rsidR="00307548" w:rsidRPr="0040260E">
        <w:rPr>
          <w:rFonts w:ascii="Times New Roman" w:hAnsi="Times New Roman"/>
          <w:szCs w:val="22"/>
        </w:rPr>
        <w:t>1 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celkovéh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množstv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paroxetínu.</w:t>
      </w:r>
    </w:p>
    <w:p w14:paraId="4DD7FDE4" w14:textId="77777777" w:rsidR="000E324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terapeutických koncentráciách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as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9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prítomnéh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viaže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proteíny.</w:t>
      </w:r>
    </w:p>
    <w:p w14:paraId="7233EA38" w14:textId="77777777" w:rsidR="000E324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Plazmatické koncentrácie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nekorelujú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klinickým účinkom (nežiaduce účinky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účinnosť).</w:t>
      </w:r>
    </w:p>
    <w:p w14:paraId="4CAD50BE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2FFF602B" w14:textId="77777777" w:rsidR="00C978CD" w:rsidRPr="0040260E" w:rsidRDefault="008D485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Biotransformácia</w:t>
      </w:r>
    </w:p>
    <w:p w14:paraId="73190E9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Hlavným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metabolitm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sú polárne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konjugované produkty oxidácie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metylácie, ktoré sú ľahk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vylučované. Vzhľadom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ich relatívn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farmakologickú neúčinnosť nie je 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pravdepodobné, že by prispieval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k terapeutickém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účink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paroxetínu.</w:t>
      </w:r>
    </w:p>
    <w:p w14:paraId="23527155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Metabolizmu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neovplyvňuje selektívny účinok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spätné vychytávanie 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neurónoch.</w:t>
      </w:r>
    </w:p>
    <w:p w14:paraId="2CD28AB2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241F86B6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Eliminácia</w:t>
      </w:r>
    </w:p>
    <w:p w14:paraId="687FC8D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ak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dávky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zvyčajne vylúč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močom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nezmenenej forme, zatiaľ</w:t>
      </w:r>
      <w:r w:rsidR="009800AB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č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forme metabolito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as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64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dávky. Približne 36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podanej dávky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vylučuje stolicou, pravdepodobne </w:t>
      </w:r>
      <w:r w:rsidRPr="0040260E">
        <w:rPr>
          <w:rFonts w:ascii="Times New Roman" w:hAnsi="Times New Roman"/>
          <w:szCs w:val="22"/>
        </w:rPr>
        <w:lastRenderedPageBreak/>
        <w:t xml:space="preserve">prostredníctvom žlče,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menej ak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1 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pripadá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nezmenený paroxetín. 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ted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vylučuje prevažne 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forme metabolitov.</w:t>
      </w:r>
    </w:p>
    <w:p w14:paraId="09498A79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Vylučovanie metabolito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je dvojfázové, primárne je výsledkom 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metabolizm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sekundárne je ovplyvnené systémovo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eliminácio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paroxetínu.</w:t>
      </w:r>
    </w:p>
    <w:p w14:paraId="655202AC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Polča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vylučovani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premenlivý, zvyčajne býv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as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deň.</w:t>
      </w:r>
    </w:p>
    <w:p w14:paraId="163D5B9A" w14:textId="77777777"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14:paraId="4AEFD1A0" w14:textId="77777777" w:rsidR="00C978CD" w:rsidRPr="0040260E" w:rsidRDefault="001C5C2E" w:rsidP="0040260E">
      <w:pPr>
        <w:pStyle w:val="Styl3"/>
        <w:spacing w:after="0"/>
        <w:jc w:val="left"/>
        <w:rPr>
          <w:szCs w:val="22"/>
          <w:u w:val="none"/>
        </w:rPr>
      </w:pPr>
      <w:r w:rsidRPr="0040260E">
        <w:rPr>
          <w:szCs w:val="22"/>
          <w:u w:val="none"/>
        </w:rPr>
        <w:t xml:space="preserve">OSOBITNÉ </w:t>
      </w:r>
      <w:r w:rsidR="000E3249" w:rsidRPr="0040260E">
        <w:rPr>
          <w:szCs w:val="22"/>
          <w:u w:val="none"/>
        </w:rPr>
        <w:t>SKUPINY PACIENTOV</w:t>
      </w:r>
    </w:p>
    <w:p w14:paraId="6D49C72E" w14:textId="77777777" w:rsidR="002278BA" w:rsidRPr="0040260E" w:rsidRDefault="002278BA" w:rsidP="0040260E">
      <w:pPr>
        <w:pStyle w:val="Styl3"/>
        <w:spacing w:after="0"/>
        <w:jc w:val="left"/>
        <w:rPr>
          <w:szCs w:val="22"/>
        </w:rPr>
      </w:pPr>
    </w:p>
    <w:p w14:paraId="426B2AAB" w14:textId="77777777"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Starší pacient</w:t>
      </w:r>
      <w:r w:rsidR="005F2843" w:rsidRPr="0040260E">
        <w:rPr>
          <w:szCs w:val="22"/>
        </w:rPr>
        <w:t>i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poruch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funkcie obličiek/pečene</w:t>
      </w:r>
    </w:p>
    <w:p w14:paraId="2450BECF" w14:textId="77777777"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starších ľudí</w:t>
      </w:r>
      <w:r w:rsidR="00307548" w:rsidRPr="0040260E">
        <w:rPr>
          <w:rFonts w:ascii="Times New Roman" w:hAnsi="Times New Roman"/>
          <w:szCs w:val="22"/>
        </w:rPr>
        <w:t xml:space="preserve"> a u </w:t>
      </w:r>
      <w:r w:rsidR="00E9367B" w:rsidRPr="0040260E">
        <w:rPr>
          <w:rFonts w:ascii="Times New Roman" w:hAnsi="Times New Roman"/>
          <w:szCs w:val="22"/>
        </w:rPr>
        <w:t>jedinco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závažno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obličiek aleb</w:t>
      </w:r>
      <w:r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jedinco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pečene dochádz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k zvýšeni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 xml:space="preserve">plazmatických koncentrácií paroxetínu, ale dosiahnuté hodnoty nevybočujú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rozmedzi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hodnôt pozorovaných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zdravých dospelých jedincov.</w:t>
      </w:r>
    </w:p>
    <w:p w14:paraId="48B4D920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CFA76DE" w14:textId="77777777" w:rsidR="00C978CD" w:rsidRPr="0040260E" w:rsidRDefault="00E9367B" w:rsidP="0040260E">
      <w:pPr>
        <w:pStyle w:val="Styl2"/>
        <w:spacing w:before="0" w:after="0"/>
      </w:pPr>
      <w:r w:rsidRPr="0040260E">
        <w:t>Predklinické údaje</w:t>
      </w:r>
      <w:r w:rsidR="00307548" w:rsidRPr="0040260E">
        <w:t xml:space="preserve"> o </w:t>
      </w:r>
      <w:r w:rsidRPr="0040260E">
        <w:t>bezpečnosti</w:t>
      </w:r>
    </w:p>
    <w:p w14:paraId="0FAEFF1D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77DB48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Uskutočnil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toxikologické štúdie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opiciach makak rézu</w:t>
      </w:r>
      <w:r w:rsidR="005F2843" w:rsidRPr="0040260E">
        <w:rPr>
          <w:rFonts w:ascii="Times New Roman" w:hAnsi="Times New Roman"/>
          <w:szCs w:val="22"/>
        </w:rPr>
        <w:t>s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bielych potkanoch</w:t>
      </w:r>
      <w:r w:rsidR="005415C0" w:rsidRPr="0040260E">
        <w:rPr>
          <w:rFonts w:ascii="Times New Roman" w:hAnsi="Times New Roman"/>
          <w:szCs w:val="22"/>
        </w:rPr>
        <w:t>;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oboch sú metabolické procesy podobné ak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ľudí.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očakávaní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podávaní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potkanov, podobne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podávaní ostatných lipofilných amíno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vrátane tricyklických antidepresív, zistená fosfolipidóza. Fosfolipidóz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nezistil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štúdiách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primátoch 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podávaní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až jednéh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rok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dávkach 6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násobne prevyšujúcich odporúčané klinicky účinné dávkovanie.</w:t>
      </w:r>
    </w:p>
    <w:p w14:paraId="3C848E31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Style w:val="Bacil"/>
          <w:rFonts w:ascii="Times New Roman" w:hAnsi="Times New Roman"/>
          <w:szCs w:val="22"/>
        </w:rPr>
        <w:t>Karcinogenéza:</w:t>
      </w:r>
      <w:r w:rsidRPr="0040260E">
        <w:rPr>
          <w:rFonts w:ascii="Times New Roman" w:hAnsi="Times New Roman"/>
          <w:szCs w:val="22"/>
        </w:rPr>
        <w:t xml:space="preserve"> Paroxetín nepreukazoval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dvojročných štúdiách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myšiach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 xml:space="preserve">potkanoch žiadny </w:t>
      </w:r>
      <w:r w:rsidR="005415C0" w:rsidRPr="0040260E">
        <w:rPr>
          <w:rFonts w:ascii="Times New Roman" w:hAnsi="Times New Roman"/>
          <w:szCs w:val="22"/>
        </w:rPr>
        <w:t>karcinogénny</w:t>
      </w:r>
      <w:r w:rsidRPr="0040260E">
        <w:rPr>
          <w:rFonts w:ascii="Times New Roman" w:hAnsi="Times New Roman"/>
          <w:szCs w:val="22"/>
        </w:rPr>
        <w:t xml:space="preserve"> účinok.</w:t>
      </w:r>
    </w:p>
    <w:p w14:paraId="444FC923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Style w:val="Bacil"/>
          <w:rFonts w:ascii="Times New Roman" w:hAnsi="Times New Roman"/>
          <w:szCs w:val="22"/>
        </w:rPr>
        <w:t>Genotoxicita: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celom rade testo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Style w:val="Bacil"/>
          <w:rFonts w:ascii="Times New Roman" w:hAnsi="Times New Roman"/>
          <w:szCs w:val="22"/>
        </w:rPr>
        <w:t>in vitr</w:t>
      </w:r>
      <w:r w:rsidR="005F2843" w:rsidRPr="0040260E">
        <w:rPr>
          <w:rStyle w:val="Bacil"/>
          <w:rFonts w:ascii="Times New Roman" w:hAnsi="Times New Roman"/>
          <w:szCs w:val="22"/>
        </w:rPr>
        <w:t>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Style w:val="Bacil"/>
          <w:rFonts w:ascii="Times New Roman" w:hAnsi="Times New Roman"/>
          <w:szCs w:val="22"/>
        </w:rPr>
        <w:t>in viv</w:t>
      </w:r>
      <w:r w:rsidR="005F2843" w:rsidRPr="0040260E">
        <w:rPr>
          <w:rStyle w:val="Bacil"/>
          <w:rFonts w:ascii="Times New Roman" w:hAnsi="Times New Roman"/>
          <w:szCs w:val="22"/>
        </w:rPr>
        <w:t>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nezistil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genotoxicita.</w:t>
      </w:r>
    </w:p>
    <w:p w14:paraId="43E42DAA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Štúdie reprodukčnej toxicity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potkano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preukázali, že paroxetín ovplyvňuje fertilit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 xml:space="preserve">samcov </w:t>
      </w:r>
      <w:r w:rsidR="00307548" w:rsidRPr="0040260E">
        <w:rPr>
          <w:rFonts w:ascii="Times New Roman" w:hAnsi="Times New Roman"/>
          <w:szCs w:val="22"/>
        </w:rPr>
        <w:t>a </w:t>
      </w:r>
      <w:r w:rsidRPr="0040260E">
        <w:rPr>
          <w:rFonts w:ascii="Times New Roman" w:hAnsi="Times New Roman"/>
          <w:szCs w:val="22"/>
        </w:rPr>
        <w:t xml:space="preserve">samíc </w:t>
      </w:r>
      <w:r w:rsidR="00442297" w:rsidRPr="0040260E">
        <w:rPr>
          <w:rFonts w:ascii="Times New Roman" w:hAnsi="Times New Roman"/>
          <w:szCs w:val="22"/>
        </w:rPr>
        <w:t>znížením indexu fertility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42297" w:rsidRPr="0040260E">
        <w:rPr>
          <w:rFonts w:ascii="Times New Roman" w:hAnsi="Times New Roman"/>
          <w:szCs w:val="22"/>
        </w:rPr>
        <w:t>početnosti tehotenstie</w:t>
      </w:r>
      <w:r w:rsidRPr="0040260E">
        <w:rPr>
          <w:rFonts w:ascii="Times New Roman" w:hAnsi="Times New Roman"/>
          <w:szCs w:val="22"/>
        </w:rPr>
        <w:t>v.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potkano</w:t>
      </w:r>
      <w:r w:rsidR="00C96AC3" w:rsidRPr="0040260E">
        <w:rPr>
          <w:rFonts w:ascii="Times New Roman" w:hAnsi="Times New Roman"/>
          <w:szCs w:val="22"/>
        </w:rPr>
        <w:t xml:space="preserve">v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pozorovaná zvýšená mortalit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mláďat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 xml:space="preserve">oneskorená osifikácia. </w:t>
      </w:r>
      <w:r w:rsidR="00442297" w:rsidRPr="0040260E">
        <w:rPr>
          <w:rFonts w:ascii="Times New Roman" w:hAnsi="Times New Roman"/>
          <w:szCs w:val="22"/>
        </w:rPr>
        <w:t>Posledné uvedené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účinky pravdepodobne súvis</w:t>
      </w:r>
      <w:r w:rsidR="00442297" w:rsidRPr="0040260E">
        <w:rPr>
          <w:rFonts w:ascii="Times New Roman" w:hAnsi="Times New Roman"/>
          <w:szCs w:val="22"/>
        </w:rPr>
        <w:t>ia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442297" w:rsidRPr="0040260E">
        <w:rPr>
          <w:rFonts w:ascii="Times New Roman" w:hAnsi="Times New Roman"/>
          <w:szCs w:val="22"/>
        </w:rPr>
        <w:t>maternálnou toxicitou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42297" w:rsidRPr="0040260E">
        <w:rPr>
          <w:rFonts w:ascii="Times New Roman" w:hAnsi="Times New Roman"/>
          <w:szCs w:val="22"/>
        </w:rPr>
        <w:t xml:space="preserve">nie sú považované </w:t>
      </w:r>
      <w:r w:rsidRPr="0040260E">
        <w:rPr>
          <w:rFonts w:ascii="Times New Roman" w:hAnsi="Times New Roman"/>
          <w:szCs w:val="22"/>
        </w:rPr>
        <w:t>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priamy účinok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plod/novorodenca.</w:t>
      </w:r>
    </w:p>
    <w:p w14:paraId="23B8A674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DD685DB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9DA1AF8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FARMACEUTICKÉ INFORMÁCIE</w:t>
      </w:r>
    </w:p>
    <w:p w14:paraId="2F49720A" w14:textId="77777777" w:rsidR="00C978CD" w:rsidRPr="0040260E" w:rsidRDefault="00E9367B" w:rsidP="0040260E">
      <w:pPr>
        <w:pStyle w:val="Styl2"/>
        <w:spacing w:before="0" w:after="0"/>
      </w:pPr>
      <w:r w:rsidRPr="0040260E">
        <w:t>Zoznam pomocných látok</w:t>
      </w:r>
    </w:p>
    <w:p w14:paraId="2FA8AA39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4971635" w14:textId="77777777" w:rsidR="00C978CD" w:rsidRPr="0040260E" w:rsidRDefault="00E7306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</w:t>
      </w:r>
      <w:r w:rsidR="00414770" w:rsidRPr="0040260E">
        <w:rPr>
          <w:rFonts w:ascii="Times New Roman" w:hAnsi="Times New Roman"/>
          <w:szCs w:val="22"/>
        </w:rPr>
        <w:t>ikrokryštalická</w:t>
      </w:r>
      <w:r w:rsidR="00E9367B" w:rsidRPr="0040260E">
        <w:rPr>
          <w:rFonts w:ascii="Times New Roman" w:hAnsi="Times New Roman"/>
          <w:szCs w:val="22"/>
        </w:rPr>
        <w:t xml:space="preserve"> celulóz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C170D4" w:rsidRPr="0040260E">
        <w:rPr>
          <w:rFonts w:ascii="Times New Roman" w:hAnsi="Times New Roman"/>
          <w:szCs w:val="22"/>
        </w:rPr>
        <w:t>(</w:t>
      </w:r>
      <w:r w:rsidR="00E9367B"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460</w:t>
      </w:r>
      <w:r w:rsidR="00C170D4" w:rsidRPr="0040260E">
        <w:rPr>
          <w:rFonts w:ascii="Times New Roman" w:hAnsi="Times New Roman"/>
          <w:szCs w:val="22"/>
        </w:rPr>
        <w:t>)</w:t>
      </w:r>
    </w:p>
    <w:p w14:paraId="633BF6B9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fosforečnan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vápenat</w:t>
      </w:r>
      <w:r w:rsidR="002278BA" w:rsidRPr="0040260E">
        <w:rPr>
          <w:rFonts w:ascii="Times New Roman" w:hAnsi="Times New Roman"/>
          <w:szCs w:val="22"/>
        </w:rPr>
        <w:t xml:space="preserve">ý, dihydrát </w:t>
      </w:r>
      <w:r w:rsidR="005B57D0" w:rsidRPr="0040260E">
        <w:rPr>
          <w:rFonts w:ascii="Times New Roman" w:hAnsi="Times New Roman"/>
          <w:szCs w:val="22"/>
        </w:rPr>
        <w:t xml:space="preserve"> </w:t>
      </w:r>
      <w:r w:rsidR="00C170D4" w:rsidRPr="0040260E">
        <w:rPr>
          <w:rFonts w:ascii="Times New Roman" w:hAnsi="Times New Roman"/>
          <w:szCs w:val="22"/>
        </w:rPr>
        <w:t>(</w:t>
      </w:r>
      <w:r w:rsidR="005B57D0" w:rsidRPr="0040260E">
        <w:rPr>
          <w:rFonts w:ascii="Times New Roman" w:hAnsi="Times New Roman"/>
          <w:szCs w:val="22"/>
        </w:rPr>
        <w:t>E 34</w:t>
      </w:r>
      <w:r w:rsidR="00C170D4" w:rsidRPr="0040260E">
        <w:rPr>
          <w:rFonts w:ascii="Times New Roman" w:hAnsi="Times New Roman"/>
          <w:szCs w:val="22"/>
        </w:rPr>
        <w:t>1)</w:t>
      </w:r>
    </w:p>
    <w:p w14:paraId="0E7500A2" w14:textId="77777777" w:rsidR="00C978CD" w:rsidRPr="0040260E" w:rsidRDefault="00E7306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</w:t>
      </w:r>
      <w:r w:rsidR="00E9367B" w:rsidRPr="0040260E">
        <w:rPr>
          <w:rFonts w:ascii="Times New Roman" w:hAnsi="Times New Roman"/>
          <w:szCs w:val="22"/>
        </w:rPr>
        <w:t xml:space="preserve">odná soľ kroskarmelózy </w:t>
      </w:r>
      <w:r w:rsidR="00C170D4" w:rsidRPr="0040260E">
        <w:rPr>
          <w:rFonts w:ascii="Times New Roman" w:hAnsi="Times New Roman"/>
          <w:szCs w:val="22"/>
        </w:rPr>
        <w:t>(</w:t>
      </w:r>
      <w:r w:rsidR="00E9367B"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468</w:t>
      </w:r>
      <w:r w:rsidR="00C170D4" w:rsidRPr="0040260E">
        <w:rPr>
          <w:rFonts w:ascii="Times New Roman" w:hAnsi="Times New Roman"/>
          <w:szCs w:val="22"/>
        </w:rPr>
        <w:t>)</w:t>
      </w:r>
    </w:p>
    <w:p w14:paraId="39A6102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oxid kremičitý</w:t>
      </w:r>
      <w:r w:rsidR="002278BA" w:rsidRPr="0040260E">
        <w:rPr>
          <w:rFonts w:ascii="Times New Roman" w:hAnsi="Times New Roman"/>
          <w:szCs w:val="22"/>
        </w:rPr>
        <w:t>, koloidný</w:t>
      </w:r>
      <w:r w:rsidRPr="0040260E">
        <w:rPr>
          <w:rFonts w:ascii="Times New Roman" w:hAnsi="Times New Roman"/>
          <w:szCs w:val="22"/>
        </w:rPr>
        <w:t xml:space="preserve"> </w:t>
      </w:r>
      <w:r w:rsidR="00C170D4" w:rsidRPr="0040260E">
        <w:rPr>
          <w:rFonts w:ascii="Times New Roman" w:hAnsi="Times New Roman"/>
          <w:szCs w:val="22"/>
        </w:rPr>
        <w:t>bezvodý (</w:t>
      </w:r>
      <w:r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551</w:t>
      </w:r>
      <w:r w:rsidR="00C170D4" w:rsidRPr="0040260E">
        <w:rPr>
          <w:rFonts w:ascii="Times New Roman" w:hAnsi="Times New Roman"/>
          <w:szCs w:val="22"/>
        </w:rPr>
        <w:t>)</w:t>
      </w:r>
    </w:p>
    <w:p w14:paraId="32C5B48E" w14:textId="77777777" w:rsidR="00C978CD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stearan horečnatý </w:t>
      </w:r>
      <w:r w:rsidR="00C170D4" w:rsidRPr="0040260E">
        <w:rPr>
          <w:rFonts w:ascii="Times New Roman" w:hAnsi="Times New Roman"/>
          <w:szCs w:val="22"/>
        </w:rPr>
        <w:t>(</w:t>
      </w:r>
      <w:r w:rsidR="00E9367B"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470b</w:t>
      </w:r>
      <w:r w:rsidR="00C170D4" w:rsidRPr="0040260E">
        <w:rPr>
          <w:rFonts w:ascii="Times New Roman" w:hAnsi="Times New Roman"/>
          <w:szCs w:val="22"/>
        </w:rPr>
        <w:t>)</w:t>
      </w:r>
    </w:p>
    <w:p w14:paraId="65AC7B02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4F7EA3F" w14:textId="77777777" w:rsidR="00C978CD" w:rsidRPr="0040260E" w:rsidRDefault="00E9367B" w:rsidP="0040260E">
      <w:pPr>
        <w:pStyle w:val="Styl2"/>
        <w:spacing w:before="0" w:after="0"/>
      </w:pPr>
      <w:r w:rsidRPr="0040260E">
        <w:t>Inkompatibility</w:t>
      </w:r>
    </w:p>
    <w:p w14:paraId="55E249A7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6530728B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Neaplikovateľné.</w:t>
      </w:r>
    </w:p>
    <w:p w14:paraId="0EA72766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D9F32EC" w14:textId="77777777" w:rsidR="00C978CD" w:rsidRPr="0040260E" w:rsidRDefault="00E9367B" w:rsidP="0040260E">
      <w:pPr>
        <w:pStyle w:val="Styl2"/>
        <w:spacing w:before="0" w:after="0"/>
      </w:pPr>
      <w:r w:rsidRPr="0040260E">
        <w:t>Ča</w:t>
      </w:r>
      <w:r w:rsidR="005F2843" w:rsidRPr="0040260E">
        <w:t>s </w:t>
      </w:r>
      <w:r w:rsidRPr="0040260E">
        <w:t>použiteľnosti</w:t>
      </w:r>
    </w:p>
    <w:p w14:paraId="1F714A6C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840DE09" w14:textId="77777777" w:rsidR="00C978CD" w:rsidRPr="0040260E" w:rsidRDefault="0030754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3 </w:t>
      </w:r>
      <w:r w:rsidR="00E9367B" w:rsidRPr="0040260E">
        <w:rPr>
          <w:rFonts w:ascii="Times New Roman" w:hAnsi="Times New Roman"/>
          <w:szCs w:val="22"/>
        </w:rPr>
        <w:t>roky</w:t>
      </w:r>
    </w:p>
    <w:p w14:paraId="4B92E014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5CAB2CD1" w14:textId="77777777" w:rsidR="00C978CD" w:rsidRPr="0040260E" w:rsidRDefault="00E9367B" w:rsidP="0040260E">
      <w:pPr>
        <w:pStyle w:val="Styl2"/>
        <w:spacing w:before="0" w:after="0"/>
      </w:pPr>
      <w:r w:rsidRPr="0040260E">
        <w:t>Špeciálne upozorneni</w:t>
      </w:r>
      <w:r w:rsidR="005F2843" w:rsidRPr="0040260E">
        <w:t xml:space="preserve">a </w:t>
      </w:r>
      <w:r w:rsidRPr="0040260E">
        <w:t>n</w:t>
      </w:r>
      <w:r w:rsidR="005F2843" w:rsidRPr="0040260E">
        <w:t xml:space="preserve">a </w:t>
      </w:r>
      <w:r w:rsidRPr="0040260E">
        <w:t>uchovávanie</w:t>
      </w:r>
    </w:p>
    <w:p w14:paraId="2DE327B1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E767C00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Tent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liek nevyžaduje žiadne </w:t>
      </w:r>
      <w:r w:rsidR="005B57D0" w:rsidRPr="0040260E">
        <w:rPr>
          <w:rFonts w:ascii="Times New Roman" w:hAnsi="Times New Roman"/>
          <w:szCs w:val="22"/>
        </w:rPr>
        <w:t xml:space="preserve">zvláštne podmienky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uchovávanie.</w:t>
      </w:r>
    </w:p>
    <w:p w14:paraId="22800FE0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5EDD23A" w14:textId="77777777" w:rsidR="00C978CD" w:rsidRPr="0040260E" w:rsidRDefault="00E9367B" w:rsidP="0040260E">
      <w:pPr>
        <w:pStyle w:val="Styl2"/>
        <w:spacing w:before="0" w:after="0"/>
      </w:pPr>
      <w:r w:rsidRPr="0040260E">
        <w:t>Druh obal</w:t>
      </w:r>
      <w:r w:rsidR="005F2843" w:rsidRPr="0040260E">
        <w:t>u</w:t>
      </w:r>
      <w:r w:rsidR="00307548" w:rsidRPr="0040260E">
        <w:t xml:space="preserve"> a </w:t>
      </w:r>
      <w:r w:rsidRPr="0040260E">
        <w:t>obsah balenia</w:t>
      </w:r>
    </w:p>
    <w:p w14:paraId="2FA6CA59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CAD728E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PVC/Al blister: baleni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obsahujú 10, 14, </w:t>
      </w:r>
      <w:r w:rsidR="005B57D0" w:rsidRPr="0040260E">
        <w:rPr>
          <w:rFonts w:ascii="Times New Roman" w:hAnsi="Times New Roman"/>
          <w:szCs w:val="22"/>
        </w:rPr>
        <w:t xml:space="preserve">20, </w:t>
      </w:r>
      <w:r w:rsidRPr="0040260E">
        <w:rPr>
          <w:rFonts w:ascii="Times New Roman" w:hAnsi="Times New Roman"/>
          <w:szCs w:val="22"/>
        </w:rPr>
        <w:t xml:space="preserve">28, 30, </w:t>
      </w:r>
      <w:r w:rsidR="005B57D0" w:rsidRPr="0040260E">
        <w:rPr>
          <w:rFonts w:ascii="Times New Roman" w:hAnsi="Times New Roman"/>
          <w:szCs w:val="22"/>
        </w:rPr>
        <w:t xml:space="preserve">50, </w:t>
      </w:r>
      <w:r w:rsidRPr="0040260E">
        <w:rPr>
          <w:rFonts w:ascii="Times New Roman" w:hAnsi="Times New Roman"/>
          <w:szCs w:val="22"/>
        </w:rPr>
        <w:t xml:space="preserve">56, 60, 90, </w:t>
      </w:r>
      <w:r w:rsidR="005B57D0" w:rsidRPr="0040260E">
        <w:rPr>
          <w:rFonts w:ascii="Times New Roman" w:hAnsi="Times New Roman"/>
          <w:szCs w:val="22"/>
        </w:rPr>
        <w:t xml:space="preserve">98, </w:t>
      </w:r>
      <w:r w:rsidR="00C16D35" w:rsidRPr="0040260E">
        <w:rPr>
          <w:rFonts w:ascii="Times New Roman" w:hAnsi="Times New Roman"/>
          <w:szCs w:val="22"/>
        </w:rPr>
        <w:t xml:space="preserve">100, </w:t>
      </w:r>
      <w:r w:rsidRPr="0040260E">
        <w:rPr>
          <w:rFonts w:ascii="Times New Roman" w:hAnsi="Times New Roman"/>
          <w:szCs w:val="22"/>
        </w:rPr>
        <w:t>120, 18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50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tabliet.</w:t>
      </w:r>
    </w:p>
    <w:p w14:paraId="15106A3C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1C83F90" w14:textId="77777777" w:rsidR="00C978CD" w:rsidRPr="0040260E" w:rsidRDefault="00B50DA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Na trh nemusia byť uvedené </w:t>
      </w:r>
      <w:r w:rsidR="00E9367B" w:rsidRPr="0040260E">
        <w:rPr>
          <w:rFonts w:ascii="Times New Roman" w:hAnsi="Times New Roman"/>
          <w:szCs w:val="22"/>
        </w:rPr>
        <w:t>všetky veľkost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baleni</w:t>
      </w:r>
      <w:r w:rsidR="005F2843" w:rsidRPr="0040260E">
        <w:rPr>
          <w:rFonts w:ascii="Times New Roman" w:hAnsi="Times New Roman"/>
          <w:szCs w:val="22"/>
        </w:rPr>
        <w:t>a</w:t>
      </w:r>
      <w:r w:rsidR="006777E3" w:rsidRPr="0040260E">
        <w:rPr>
          <w:rFonts w:ascii="Times New Roman" w:hAnsi="Times New Roman"/>
          <w:szCs w:val="22"/>
        </w:rPr>
        <w:t>.</w:t>
      </w:r>
    </w:p>
    <w:p w14:paraId="6A3B40E4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E3552E6" w14:textId="77777777" w:rsidR="00C978CD" w:rsidRPr="0040260E" w:rsidRDefault="00E9367B" w:rsidP="0040260E">
      <w:pPr>
        <w:pStyle w:val="Styl2"/>
        <w:spacing w:before="0" w:after="0"/>
      </w:pPr>
      <w:r w:rsidRPr="0040260E">
        <w:lastRenderedPageBreak/>
        <w:t>Špeciálne opatreni</w:t>
      </w:r>
      <w:r w:rsidR="005F2843" w:rsidRPr="0040260E">
        <w:t xml:space="preserve">a </w:t>
      </w:r>
      <w:r w:rsidRPr="0040260E">
        <w:t>n</w:t>
      </w:r>
      <w:r w:rsidR="005F2843" w:rsidRPr="0040260E">
        <w:t xml:space="preserve">a </w:t>
      </w:r>
      <w:r w:rsidRPr="0040260E">
        <w:t>likvidáciu</w:t>
      </w:r>
    </w:p>
    <w:p w14:paraId="5EBA4D38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C314D5D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Žiadne zvláštne požiadavky.</w:t>
      </w:r>
    </w:p>
    <w:p w14:paraId="7A71B176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6B20369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2639C39D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DRŽITEĽ ROZHODNUTI</w:t>
      </w:r>
      <w:r w:rsidR="005F2843" w:rsidRPr="0040260E">
        <w:rPr>
          <w:szCs w:val="22"/>
          <w:lang w:val="sk-SK"/>
        </w:rPr>
        <w:t>A</w:t>
      </w:r>
      <w:r w:rsidR="00307548" w:rsidRPr="0040260E">
        <w:rPr>
          <w:szCs w:val="22"/>
          <w:lang w:val="sk-SK"/>
        </w:rPr>
        <w:t xml:space="preserve"> o </w:t>
      </w:r>
      <w:r w:rsidRPr="0040260E">
        <w:rPr>
          <w:szCs w:val="22"/>
          <w:lang w:val="sk-SK"/>
        </w:rPr>
        <w:t>REGISTRÁCII</w:t>
      </w:r>
    </w:p>
    <w:p w14:paraId="11122A3E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0EB3597" w14:textId="77777777" w:rsidR="00E7306F" w:rsidRPr="0040260E" w:rsidRDefault="00B248D6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MEDOCHEMIE </w:t>
      </w:r>
      <w:r w:rsidR="00E9367B" w:rsidRPr="0040260E">
        <w:rPr>
          <w:rFonts w:ascii="Times New Roman" w:hAnsi="Times New Roman"/>
          <w:szCs w:val="22"/>
        </w:rPr>
        <w:t>Ltd.</w:t>
      </w:r>
    </w:p>
    <w:p w14:paraId="5A7383A6" w14:textId="77777777" w:rsidR="00E7306F" w:rsidRPr="0040260E" w:rsidRDefault="008D48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1-1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Constantinoupoleos Street</w:t>
      </w:r>
    </w:p>
    <w:p w14:paraId="1C8E4E13" w14:textId="77777777" w:rsidR="00E7306F" w:rsidRPr="0040260E" w:rsidRDefault="008D48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3011 </w:t>
      </w:r>
      <w:r w:rsidR="00E9367B" w:rsidRPr="0040260E">
        <w:rPr>
          <w:rFonts w:ascii="Times New Roman" w:hAnsi="Times New Roman"/>
          <w:szCs w:val="22"/>
        </w:rPr>
        <w:t>Limassol</w:t>
      </w:r>
    </w:p>
    <w:p w14:paraId="1A55FAE2" w14:textId="77777777"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Cyprus</w:t>
      </w:r>
    </w:p>
    <w:p w14:paraId="6F866A9E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12B52A49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B23E1CD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REGISTRAČNÉ ČÍSLA</w:t>
      </w:r>
    </w:p>
    <w:p w14:paraId="3A9A408D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4AAB3B36" w14:textId="77777777"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30/0482/06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S</w:t>
      </w:r>
    </w:p>
    <w:p w14:paraId="260B663A" w14:textId="77777777"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30/0483/06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S</w:t>
      </w:r>
    </w:p>
    <w:p w14:paraId="1E5D9038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6728352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224A57F" w14:textId="77777777"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DÁTUM PRVEJ REGISTRÁCIE/ PREDĹŽENI</w:t>
      </w:r>
      <w:r w:rsidR="005F2843" w:rsidRPr="0040260E">
        <w:rPr>
          <w:szCs w:val="22"/>
          <w:lang w:val="sk-SK"/>
        </w:rPr>
        <w:t xml:space="preserve">A </w:t>
      </w:r>
      <w:r w:rsidRPr="0040260E">
        <w:rPr>
          <w:szCs w:val="22"/>
          <w:lang w:val="sk-SK"/>
        </w:rPr>
        <w:t>REGISTRÁCIE</w:t>
      </w:r>
    </w:p>
    <w:p w14:paraId="02EDE8A2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C024D1D" w14:textId="77777777" w:rsidR="00B248D6" w:rsidRPr="0040260E" w:rsidRDefault="00B9023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Dátum prvej registrácie: </w:t>
      </w:r>
      <w:r w:rsidR="006D674B" w:rsidRPr="0040260E">
        <w:rPr>
          <w:rFonts w:ascii="Times New Roman" w:hAnsi="Times New Roman"/>
          <w:szCs w:val="22"/>
        </w:rPr>
        <w:t>28.</w:t>
      </w:r>
      <w:r w:rsidR="00E7306F" w:rsidRPr="0040260E">
        <w:rPr>
          <w:rFonts w:ascii="Times New Roman" w:hAnsi="Times New Roman"/>
          <w:szCs w:val="22"/>
        </w:rPr>
        <w:t xml:space="preserve"> novembra </w:t>
      </w:r>
      <w:r w:rsidR="006D674B" w:rsidRPr="0040260E">
        <w:rPr>
          <w:rFonts w:ascii="Times New Roman" w:hAnsi="Times New Roman"/>
          <w:szCs w:val="22"/>
        </w:rPr>
        <w:t>2006</w:t>
      </w:r>
    </w:p>
    <w:p w14:paraId="7F554F90" w14:textId="77777777" w:rsidR="00C049A9" w:rsidRPr="0040260E" w:rsidRDefault="00B9023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Dátum poslednéh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predĺženia</w:t>
      </w:r>
      <w:r w:rsidR="009B55B8" w:rsidRPr="0040260E">
        <w:rPr>
          <w:rFonts w:ascii="Times New Roman" w:hAnsi="Times New Roman"/>
          <w:szCs w:val="22"/>
        </w:rPr>
        <w:t xml:space="preserve"> registrácie</w:t>
      </w:r>
      <w:r w:rsidRPr="0040260E">
        <w:rPr>
          <w:rFonts w:ascii="Times New Roman" w:hAnsi="Times New Roman"/>
          <w:szCs w:val="22"/>
        </w:rPr>
        <w:t>:</w:t>
      </w:r>
      <w:r w:rsidR="008D485B" w:rsidRPr="0040260E">
        <w:rPr>
          <w:rFonts w:ascii="Times New Roman" w:hAnsi="Times New Roman"/>
          <w:szCs w:val="22"/>
        </w:rPr>
        <w:t xml:space="preserve"> 12.</w:t>
      </w:r>
      <w:r w:rsidR="00E7306F" w:rsidRPr="0040260E">
        <w:rPr>
          <w:rFonts w:ascii="Times New Roman" w:hAnsi="Times New Roman"/>
          <w:szCs w:val="22"/>
        </w:rPr>
        <w:t xml:space="preserve"> decembra </w:t>
      </w:r>
      <w:r w:rsidR="008D485B" w:rsidRPr="0040260E">
        <w:rPr>
          <w:rFonts w:ascii="Times New Roman" w:hAnsi="Times New Roman"/>
          <w:szCs w:val="22"/>
        </w:rPr>
        <w:t>2013</w:t>
      </w:r>
    </w:p>
    <w:p w14:paraId="06DA4C2A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7FA89CAE" w14:textId="77777777"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028FAC9C" w14:textId="77777777" w:rsidR="00C96AC3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DÁTUM REVÍZIE TEXTU</w:t>
      </w:r>
    </w:p>
    <w:p w14:paraId="5CDD97A4" w14:textId="77777777"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14:paraId="3C0F468C" w14:textId="6FC38EA9" w:rsidR="00C978CD" w:rsidRPr="0040260E" w:rsidRDefault="00DC0026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10/2020</w:t>
      </w:r>
    </w:p>
    <w:sectPr w:rsidR="00C978CD" w:rsidRPr="0040260E" w:rsidSect="0040260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E4231" w14:textId="77777777" w:rsidR="00D410BB" w:rsidRDefault="00D410BB" w:rsidP="00BA076B">
      <w:r>
        <w:separator/>
      </w:r>
    </w:p>
    <w:p w14:paraId="2B4E30F6" w14:textId="77777777" w:rsidR="00D410BB" w:rsidRDefault="00D410BB"/>
    <w:p w14:paraId="71B91B11" w14:textId="77777777" w:rsidR="00D410BB" w:rsidRDefault="00D410BB" w:rsidP="00313B0F"/>
  </w:endnote>
  <w:endnote w:type="continuationSeparator" w:id="0">
    <w:p w14:paraId="53227433" w14:textId="77777777" w:rsidR="00D410BB" w:rsidRDefault="00D410BB" w:rsidP="00BA076B">
      <w:r>
        <w:continuationSeparator/>
      </w:r>
    </w:p>
    <w:p w14:paraId="6BD0A6C9" w14:textId="77777777" w:rsidR="00D410BB" w:rsidRDefault="00D410BB"/>
    <w:p w14:paraId="3E9B5A31" w14:textId="77777777" w:rsidR="00D410BB" w:rsidRDefault="00D410BB" w:rsidP="00313B0F"/>
  </w:endnote>
  <w:endnote w:type="continuationNotice" w:id="1">
    <w:p w14:paraId="6E2D3344" w14:textId="77777777" w:rsidR="00D410BB" w:rsidRDefault="00D41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39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3C3DFD" w14:textId="38FE6926" w:rsidR="00DC0026" w:rsidRPr="00DD1A53" w:rsidRDefault="00DC0026">
        <w:pPr>
          <w:pStyle w:val="Pta"/>
          <w:jc w:val="center"/>
          <w:rPr>
            <w:sz w:val="18"/>
            <w:szCs w:val="18"/>
          </w:rPr>
        </w:pPr>
        <w:r w:rsidRPr="00DD1A53">
          <w:rPr>
            <w:sz w:val="18"/>
            <w:szCs w:val="18"/>
          </w:rPr>
          <w:fldChar w:fldCharType="begin"/>
        </w:r>
        <w:r w:rsidRPr="00DD1A53">
          <w:rPr>
            <w:sz w:val="18"/>
            <w:szCs w:val="18"/>
          </w:rPr>
          <w:instrText>PAGE   \* MERGEFORMAT</w:instrText>
        </w:r>
        <w:r w:rsidRPr="00DD1A53">
          <w:rPr>
            <w:sz w:val="18"/>
            <w:szCs w:val="18"/>
          </w:rPr>
          <w:fldChar w:fldCharType="separate"/>
        </w:r>
        <w:r w:rsidR="00DD1A53" w:rsidRPr="00DD1A53">
          <w:rPr>
            <w:noProof/>
            <w:sz w:val="18"/>
            <w:szCs w:val="18"/>
            <w:lang w:val="sk-SK"/>
          </w:rPr>
          <w:t>1</w:t>
        </w:r>
        <w:r w:rsidRPr="00DD1A53">
          <w:rPr>
            <w:sz w:val="18"/>
            <w:szCs w:val="18"/>
          </w:rPr>
          <w:fldChar w:fldCharType="end"/>
        </w:r>
      </w:p>
    </w:sdtContent>
  </w:sdt>
  <w:p w14:paraId="05FE6EBC" w14:textId="7E8B1F49" w:rsidR="00686F39" w:rsidRPr="00DC0026" w:rsidRDefault="00686F39" w:rsidP="005F1936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0FD2C" w14:textId="77777777" w:rsidR="00686F39" w:rsidRDefault="00686F39" w:rsidP="00681CE4">
    <w:pPr>
      <w:pStyle w:val="Pta"/>
      <w:jc w:val="center"/>
    </w:pPr>
    <w:r w:rsidRPr="00501C91">
      <w:rPr>
        <w:rStyle w:val="slostrany"/>
        <w:szCs w:val="22"/>
      </w:rPr>
      <w:fldChar w:fldCharType="begin"/>
    </w:r>
    <w:r w:rsidRPr="00501C91">
      <w:rPr>
        <w:rStyle w:val="slostrany"/>
        <w:szCs w:val="22"/>
      </w:rPr>
      <w:instrText xml:space="preserve"> PAGE </w:instrText>
    </w:r>
    <w:r w:rsidRPr="00501C91">
      <w:rPr>
        <w:rStyle w:val="slostrany"/>
        <w:szCs w:val="22"/>
      </w:rPr>
      <w:fldChar w:fldCharType="separate"/>
    </w:r>
    <w:r>
      <w:rPr>
        <w:rStyle w:val="slostrany"/>
        <w:noProof/>
        <w:szCs w:val="22"/>
      </w:rPr>
      <w:t>1</w:t>
    </w:r>
    <w:r w:rsidRPr="00501C91">
      <w:rPr>
        <w:rStyle w:val="slostrany"/>
        <w:szCs w:val="22"/>
      </w:rPr>
      <w:fldChar w:fldCharType="end"/>
    </w:r>
    <w:r w:rsidRPr="00501C91">
      <w:rPr>
        <w:rStyle w:val="slostrany"/>
        <w:szCs w:val="22"/>
      </w:rPr>
      <w:t>/</w:t>
    </w:r>
    <w:r w:rsidRPr="00501C91">
      <w:rPr>
        <w:rStyle w:val="slostrany"/>
        <w:szCs w:val="22"/>
      </w:rPr>
      <w:fldChar w:fldCharType="begin"/>
    </w:r>
    <w:r w:rsidRPr="00501C91">
      <w:rPr>
        <w:rStyle w:val="slostrany"/>
        <w:szCs w:val="22"/>
      </w:rPr>
      <w:instrText xml:space="preserve"> NUMPAGES </w:instrText>
    </w:r>
    <w:r w:rsidRPr="00501C91">
      <w:rPr>
        <w:rStyle w:val="slostrany"/>
        <w:szCs w:val="22"/>
      </w:rPr>
      <w:fldChar w:fldCharType="separate"/>
    </w:r>
    <w:r w:rsidR="00612732">
      <w:rPr>
        <w:rStyle w:val="slostrany"/>
        <w:noProof/>
        <w:szCs w:val="22"/>
      </w:rPr>
      <w:t>15</w:t>
    </w:r>
    <w:r w:rsidRPr="00501C91">
      <w:rPr>
        <w:rStyle w:val="slostrany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DF7BD" w14:textId="77777777" w:rsidR="00D410BB" w:rsidRDefault="00D410BB" w:rsidP="00BA076B">
      <w:r>
        <w:separator/>
      </w:r>
    </w:p>
    <w:p w14:paraId="1B25CA81" w14:textId="77777777" w:rsidR="00D410BB" w:rsidRDefault="00D410BB"/>
    <w:p w14:paraId="13D67D39" w14:textId="77777777" w:rsidR="00D410BB" w:rsidRDefault="00D410BB" w:rsidP="00313B0F"/>
  </w:footnote>
  <w:footnote w:type="continuationSeparator" w:id="0">
    <w:p w14:paraId="4CE982A1" w14:textId="77777777" w:rsidR="00D410BB" w:rsidRDefault="00D410BB" w:rsidP="00BA076B">
      <w:r>
        <w:continuationSeparator/>
      </w:r>
    </w:p>
    <w:p w14:paraId="35453A66" w14:textId="77777777" w:rsidR="00D410BB" w:rsidRDefault="00D410BB"/>
    <w:p w14:paraId="3BDE21B6" w14:textId="77777777" w:rsidR="00D410BB" w:rsidRDefault="00D410BB" w:rsidP="00313B0F"/>
  </w:footnote>
  <w:footnote w:type="continuationNotice" w:id="1">
    <w:p w14:paraId="0DCA41AB" w14:textId="77777777" w:rsidR="00D410BB" w:rsidRDefault="00D410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24253" w14:textId="77777777" w:rsidR="00686F39" w:rsidRDefault="00686F39"/>
  <w:p w14:paraId="16B76A82" w14:textId="77777777" w:rsidR="00686F39" w:rsidRDefault="00686F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E111C" w14:textId="3B2CBF78" w:rsidR="00686F39" w:rsidRDefault="00686F39" w:rsidP="0040260E">
    <w:r>
      <w:rPr>
        <w:sz w:val="18"/>
        <w:szCs w:val="18"/>
        <w:lang w:val="sk-SK"/>
      </w:rPr>
      <w:t xml:space="preserve">Príloha č. 1 k notifikácii o zmene, ev.č. </w:t>
    </w:r>
    <w:r w:rsidR="00DC0026">
      <w:rPr>
        <w:sz w:val="18"/>
        <w:szCs w:val="18"/>
        <w:lang w:val="sk-SK"/>
      </w:rPr>
      <w:t>2020/02892-ZIA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6DB71" w14:textId="77777777" w:rsidR="00686F39" w:rsidRPr="00DB76AA" w:rsidRDefault="00686F39" w:rsidP="003F4A54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 zmene</w:t>
    </w:r>
    <w:r w:rsidRPr="00DB76AA">
      <w:rPr>
        <w:sz w:val="18"/>
        <w:szCs w:val="18"/>
        <w:lang w:val="sk-SK"/>
      </w:rPr>
      <w:t xml:space="preserve">, ev.č.: </w:t>
    </w:r>
    <w:r w:rsidRPr="002278BA">
      <w:rPr>
        <w:sz w:val="18"/>
        <w:szCs w:val="18"/>
        <w:lang w:val="sk-SK"/>
      </w:rPr>
      <w:t xml:space="preserve"> 2018/05595</w:t>
    </w:r>
    <w:r>
      <w:rPr>
        <w:sz w:val="18"/>
        <w:szCs w:val="18"/>
        <w:lang w:val="sk-SK"/>
      </w:rPr>
      <w:t>-ZME</w:t>
    </w:r>
  </w:p>
  <w:p w14:paraId="276D55B8" w14:textId="77777777" w:rsidR="00686F39" w:rsidRDefault="00686F39" w:rsidP="003F4A54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ev.č. </w:t>
    </w:r>
    <w:r w:rsidRPr="00DB76AA">
      <w:rPr>
        <w:sz w:val="18"/>
        <w:szCs w:val="18"/>
        <w:lang w:val="sk-SK"/>
      </w:rPr>
      <w:t>2018/07033</w:t>
    </w:r>
    <w:r>
      <w:rPr>
        <w:sz w:val="18"/>
        <w:szCs w:val="18"/>
        <w:lang w:val="sk-SK"/>
      </w:rPr>
      <w:t>-ZIA</w:t>
    </w:r>
  </w:p>
  <w:p w14:paraId="287E3B41" w14:textId="77777777" w:rsidR="00686F39" w:rsidRPr="0015005B" w:rsidRDefault="00686F39" w:rsidP="00BA1225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FA91E"/>
    <w:multiLevelType w:val="hybridMultilevel"/>
    <w:tmpl w:val="47920B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B1E77D"/>
    <w:multiLevelType w:val="hybridMultilevel"/>
    <w:tmpl w:val="0530B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18417E"/>
    <w:multiLevelType w:val="hybridMultilevel"/>
    <w:tmpl w:val="722EE3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F037C6"/>
    <w:multiLevelType w:val="hybridMultilevel"/>
    <w:tmpl w:val="B99613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4C7DB5"/>
    <w:multiLevelType w:val="hybridMultilevel"/>
    <w:tmpl w:val="2F9280B8"/>
    <w:lvl w:ilvl="0" w:tplc="8362D83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8E5F"/>
    <w:multiLevelType w:val="hybridMultilevel"/>
    <w:tmpl w:val="2A7BEB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D4AA7"/>
    <w:multiLevelType w:val="multilevel"/>
    <w:tmpl w:val="F7DAF47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F8"/>
    <w:rsid w:val="0000049E"/>
    <w:rsid w:val="00004278"/>
    <w:rsid w:val="0000795B"/>
    <w:rsid w:val="00013834"/>
    <w:rsid w:val="00014BCF"/>
    <w:rsid w:val="000225F6"/>
    <w:rsid w:val="00023D8D"/>
    <w:rsid w:val="00027974"/>
    <w:rsid w:val="00027C5E"/>
    <w:rsid w:val="000309E2"/>
    <w:rsid w:val="0003263D"/>
    <w:rsid w:val="00035A35"/>
    <w:rsid w:val="00041FAC"/>
    <w:rsid w:val="00046EBB"/>
    <w:rsid w:val="000473A1"/>
    <w:rsid w:val="00054005"/>
    <w:rsid w:val="000616EF"/>
    <w:rsid w:val="000828ED"/>
    <w:rsid w:val="00083B1D"/>
    <w:rsid w:val="0009647F"/>
    <w:rsid w:val="000967BE"/>
    <w:rsid w:val="000A7B41"/>
    <w:rsid w:val="000B2448"/>
    <w:rsid w:val="000B406E"/>
    <w:rsid w:val="000B4978"/>
    <w:rsid w:val="000C0147"/>
    <w:rsid w:val="000E3249"/>
    <w:rsid w:val="000E5BA4"/>
    <w:rsid w:val="00123A6E"/>
    <w:rsid w:val="001277F7"/>
    <w:rsid w:val="00130457"/>
    <w:rsid w:val="00130FFF"/>
    <w:rsid w:val="00134D3E"/>
    <w:rsid w:val="001477C3"/>
    <w:rsid w:val="0015005B"/>
    <w:rsid w:val="0015303B"/>
    <w:rsid w:val="00156856"/>
    <w:rsid w:val="00164691"/>
    <w:rsid w:val="001769CE"/>
    <w:rsid w:val="00186526"/>
    <w:rsid w:val="00192413"/>
    <w:rsid w:val="00193F53"/>
    <w:rsid w:val="00194BD8"/>
    <w:rsid w:val="001A470E"/>
    <w:rsid w:val="001C5C2E"/>
    <w:rsid w:val="001D267F"/>
    <w:rsid w:val="001D339D"/>
    <w:rsid w:val="001D34A9"/>
    <w:rsid w:val="001D6ADE"/>
    <w:rsid w:val="001D6B24"/>
    <w:rsid w:val="001D6CF3"/>
    <w:rsid w:val="001F00D6"/>
    <w:rsid w:val="0020616E"/>
    <w:rsid w:val="002166D0"/>
    <w:rsid w:val="0022788E"/>
    <w:rsid w:val="002278BA"/>
    <w:rsid w:val="00234C85"/>
    <w:rsid w:val="00245900"/>
    <w:rsid w:val="0027047C"/>
    <w:rsid w:val="00271429"/>
    <w:rsid w:val="002812F7"/>
    <w:rsid w:val="00295062"/>
    <w:rsid w:val="002A1C7F"/>
    <w:rsid w:val="002B7304"/>
    <w:rsid w:val="002C02A6"/>
    <w:rsid w:val="002F04AE"/>
    <w:rsid w:val="002F2736"/>
    <w:rsid w:val="002F678E"/>
    <w:rsid w:val="00303B27"/>
    <w:rsid w:val="00307548"/>
    <w:rsid w:val="00313B0F"/>
    <w:rsid w:val="00316943"/>
    <w:rsid w:val="00321CE7"/>
    <w:rsid w:val="00333F35"/>
    <w:rsid w:val="0033796C"/>
    <w:rsid w:val="0035261C"/>
    <w:rsid w:val="003613E8"/>
    <w:rsid w:val="003934CA"/>
    <w:rsid w:val="003B1B06"/>
    <w:rsid w:val="003B7434"/>
    <w:rsid w:val="003C54F4"/>
    <w:rsid w:val="003D204E"/>
    <w:rsid w:val="003F4A54"/>
    <w:rsid w:val="003F592A"/>
    <w:rsid w:val="0040260E"/>
    <w:rsid w:val="00406DEC"/>
    <w:rsid w:val="00407224"/>
    <w:rsid w:val="00414770"/>
    <w:rsid w:val="0042296D"/>
    <w:rsid w:val="00425589"/>
    <w:rsid w:val="00432D68"/>
    <w:rsid w:val="004353B8"/>
    <w:rsid w:val="00442297"/>
    <w:rsid w:val="004522E1"/>
    <w:rsid w:val="0045397C"/>
    <w:rsid w:val="0046177E"/>
    <w:rsid w:val="00461FE9"/>
    <w:rsid w:val="00462863"/>
    <w:rsid w:val="0046523D"/>
    <w:rsid w:val="00471DC3"/>
    <w:rsid w:val="00480CB9"/>
    <w:rsid w:val="0049481C"/>
    <w:rsid w:val="004A46B6"/>
    <w:rsid w:val="004A5BFB"/>
    <w:rsid w:val="004C01BD"/>
    <w:rsid w:val="004C5DFD"/>
    <w:rsid w:val="004D2778"/>
    <w:rsid w:val="004D338A"/>
    <w:rsid w:val="004D5054"/>
    <w:rsid w:val="004D7222"/>
    <w:rsid w:val="004D7264"/>
    <w:rsid w:val="004E37F2"/>
    <w:rsid w:val="004E7BE8"/>
    <w:rsid w:val="005038E5"/>
    <w:rsid w:val="0050409D"/>
    <w:rsid w:val="00504CA7"/>
    <w:rsid w:val="0050575E"/>
    <w:rsid w:val="005140F3"/>
    <w:rsid w:val="00521962"/>
    <w:rsid w:val="00523760"/>
    <w:rsid w:val="005271E5"/>
    <w:rsid w:val="005415C0"/>
    <w:rsid w:val="00542E5C"/>
    <w:rsid w:val="00564215"/>
    <w:rsid w:val="005671EE"/>
    <w:rsid w:val="00570C61"/>
    <w:rsid w:val="005734A8"/>
    <w:rsid w:val="00574A71"/>
    <w:rsid w:val="00581510"/>
    <w:rsid w:val="00593F66"/>
    <w:rsid w:val="005A3333"/>
    <w:rsid w:val="005B57D0"/>
    <w:rsid w:val="005C3827"/>
    <w:rsid w:val="005E12DE"/>
    <w:rsid w:val="005E7CD9"/>
    <w:rsid w:val="005E7FB6"/>
    <w:rsid w:val="005F1936"/>
    <w:rsid w:val="005F2843"/>
    <w:rsid w:val="0060107F"/>
    <w:rsid w:val="0060173A"/>
    <w:rsid w:val="0061187E"/>
    <w:rsid w:val="00612732"/>
    <w:rsid w:val="00613A1C"/>
    <w:rsid w:val="00615B98"/>
    <w:rsid w:val="00621E07"/>
    <w:rsid w:val="00631A17"/>
    <w:rsid w:val="0063351F"/>
    <w:rsid w:val="00636D84"/>
    <w:rsid w:val="00644E96"/>
    <w:rsid w:val="00667891"/>
    <w:rsid w:val="00671A3D"/>
    <w:rsid w:val="00673936"/>
    <w:rsid w:val="006777E3"/>
    <w:rsid w:val="00681CE4"/>
    <w:rsid w:val="00686F39"/>
    <w:rsid w:val="006967A5"/>
    <w:rsid w:val="006A2166"/>
    <w:rsid w:val="006B2897"/>
    <w:rsid w:val="006B7779"/>
    <w:rsid w:val="006C0247"/>
    <w:rsid w:val="006D674B"/>
    <w:rsid w:val="006E4D21"/>
    <w:rsid w:val="006F6511"/>
    <w:rsid w:val="006F70C9"/>
    <w:rsid w:val="00703E45"/>
    <w:rsid w:val="00742CE1"/>
    <w:rsid w:val="00747F35"/>
    <w:rsid w:val="007672ED"/>
    <w:rsid w:val="00770DCD"/>
    <w:rsid w:val="007720B9"/>
    <w:rsid w:val="00777907"/>
    <w:rsid w:val="00781ECD"/>
    <w:rsid w:val="00783AB4"/>
    <w:rsid w:val="007851E0"/>
    <w:rsid w:val="00796224"/>
    <w:rsid w:val="00796AC9"/>
    <w:rsid w:val="007A4AC5"/>
    <w:rsid w:val="007B0A91"/>
    <w:rsid w:val="007B5A4A"/>
    <w:rsid w:val="007B63EB"/>
    <w:rsid w:val="007D30A2"/>
    <w:rsid w:val="007D31C6"/>
    <w:rsid w:val="007D5AC6"/>
    <w:rsid w:val="007E22B2"/>
    <w:rsid w:val="007F20AE"/>
    <w:rsid w:val="007F616A"/>
    <w:rsid w:val="008047DE"/>
    <w:rsid w:val="00806354"/>
    <w:rsid w:val="0080739D"/>
    <w:rsid w:val="00812DA2"/>
    <w:rsid w:val="0082577A"/>
    <w:rsid w:val="00827C6D"/>
    <w:rsid w:val="00834A96"/>
    <w:rsid w:val="008422E3"/>
    <w:rsid w:val="008458BF"/>
    <w:rsid w:val="00855C24"/>
    <w:rsid w:val="008767B2"/>
    <w:rsid w:val="00886B67"/>
    <w:rsid w:val="00896879"/>
    <w:rsid w:val="008B4F4C"/>
    <w:rsid w:val="008B527F"/>
    <w:rsid w:val="008C1C17"/>
    <w:rsid w:val="008C5788"/>
    <w:rsid w:val="008D1198"/>
    <w:rsid w:val="008D485B"/>
    <w:rsid w:val="008E1DA2"/>
    <w:rsid w:val="008F52AA"/>
    <w:rsid w:val="00922CA4"/>
    <w:rsid w:val="00932BAC"/>
    <w:rsid w:val="00943F6A"/>
    <w:rsid w:val="00945AD4"/>
    <w:rsid w:val="0095447A"/>
    <w:rsid w:val="009549C6"/>
    <w:rsid w:val="009554D8"/>
    <w:rsid w:val="00955E16"/>
    <w:rsid w:val="009577B2"/>
    <w:rsid w:val="00957A81"/>
    <w:rsid w:val="00960591"/>
    <w:rsid w:val="009663E3"/>
    <w:rsid w:val="009679FE"/>
    <w:rsid w:val="009800AB"/>
    <w:rsid w:val="009810A2"/>
    <w:rsid w:val="0098316C"/>
    <w:rsid w:val="0098765F"/>
    <w:rsid w:val="0099183B"/>
    <w:rsid w:val="00994C7A"/>
    <w:rsid w:val="00994F6C"/>
    <w:rsid w:val="009B3272"/>
    <w:rsid w:val="009B55B8"/>
    <w:rsid w:val="009B6C13"/>
    <w:rsid w:val="009D262A"/>
    <w:rsid w:val="009E4B2E"/>
    <w:rsid w:val="009F2567"/>
    <w:rsid w:val="009F27A5"/>
    <w:rsid w:val="009F3335"/>
    <w:rsid w:val="00A039FE"/>
    <w:rsid w:val="00A104A6"/>
    <w:rsid w:val="00A1676E"/>
    <w:rsid w:val="00A17612"/>
    <w:rsid w:val="00A20F9A"/>
    <w:rsid w:val="00A26BDE"/>
    <w:rsid w:val="00A37650"/>
    <w:rsid w:val="00A4590D"/>
    <w:rsid w:val="00A46D5E"/>
    <w:rsid w:val="00A50F53"/>
    <w:rsid w:val="00A576C3"/>
    <w:rsid w:val="00A62412"/>
    <w:rsid w:val="00A718DF"/>
    <w:rsid w:val="00A81246"/>
    <w:rsid w:val="00A84068"/>
    <w:rsid w:val="00A8538E"/>
    <w:rsid w:val="00A8685B"/>
    <w:rsid w:val="00A96A64"/>
    <w:rsid w:val="00AB046B"/>
    <w:rsid w:val="00AC20ED"/>
    <w:rsid w:val="00AD646D"/>
    <w:rsid w:val="00AE258C"/>
    <w:rsid w:val="00AE5EE5"/>
    <w:rsid w:val="00AE6502"/>
    <w:rsid w:val="00AF1267"/>
    <w:rsid w:val="00AF2BFF"/>
    <w:rsid w:val="00B00D90"/>
    <w:rsid w:val="00B0303F"/>
    <w:rsid w:val="00B06997"/>
    <w:rsid w:val="00B07356"/>
    <w:rsid w:val="00B1067C"/>
    <w:rsid w:val="00B153AF"/>
    <w:rsid w:val="00B15D01"/>
    <w:rsid w:val="00B17117"/>
    <w:rsid w:val="00B22184"/>
    <w:rsid w:val="00B248D6"/>
    <w:rsid w:val="00B35214"/>
    <w:rsid w:val="00B3562D"/>
    <w:rsid w:val="00B400E5"/>
    <w:rsid w:val="00B40B66"/>
    <w:rsid w:val="00B4696C"/>
    <w:rsid w:val="00B469F3"/>
    <w:rsid w:val="00B50DA5"/>
    <w:rsid w:val="00B73EB5"/>
    <w:rsid w:val="00B87FC3"/>
    <w:rsid w:val="00B90231"/>
    <w:rsid w:val="00B91DB6"/>
    <w:rsid w:val="00B95608"/>
    <w:rsid w:val="00BA076B"/>
    <w:rsid w:val="00BA1225"/>
    <w:rsid w:val="00BA5EA4"/>
    <w:rsid w:val="00BB6BF8"/>
    <w:rsid w:val="00BC04A3"/>
    <w:rsid w:val="00BC2176"/>
    <w:rsid w:val="00BD245B"/>
    <w:rsid w:val="00BD53BE"/>
    <w:rsid w:val="00BD7091"/>
    <w:rsid w:val="00BE0B89"/>
    <w:rsid w:val="00BE144C"/>
    <w:rsid w:val="00BE1B78"/>
    <w:rsid w:val="00BF080F"/>
    <w:rsid w:val="00BF5B74"/>
    <w:rsid w:val="00BF680B"/>
    <w:rsid w:val="00C006DF"/>
    <w:rsid w:val="00C049A9"/>
    <w:rsid w:val="00C10147"/>
    <w:rsid w:val="00C12882"/>
    <w:rsid w:val="00C16D35"/>
    <w:rsid w:val="00C170D4"/>
    <w:rsid w:val="00C221B8"/>
    <w:rsid w:val="00C22ECD"/>
    <w:rsid w:val="00C23B71"/>
    <w:rsid w:val="00C35D6B"/>
    <w:rsid w:val="00C4457E"/>
    <w:rsid w:val="00C47913"/>
    <w:rsid w:val="00C63429"/>
    <w:rsid w:val="00C63D04"/>
    <w:rsid w:val="00C6671E"/>
    <w:rsid w:val="00C66CAB"/>
    <w:rsid w:val="00C754B9"/>
    <w:rsid w:val="00C80AA3"/>
    <w:rsid w:val="00C82766"/>
    <w:rsid w:val="00C90C42"/>
    <w:rsid w:val="00C91089"/>
    <w:rsid w:val="00C93BF7"/>
    <w:rsid w:val="00C96AC3"/>
    <w:rsid w:val="00C978CD"/>
    <w:rsid w:val="00CA60E3"/>
    <w:rsid w:val="00CB2447"/>
    <w:rsid w:val="00CC007A"/>
    <w:rsid w:val="00CC4334"/>
    <w:rsid w:val="00CD298C"/>
    <w:rsid w:val="00CE77B7"/>
    <w:rsid w:val="00CF4344"/>
    <w:rsid w:val="00CF600F"/>
    <w:rsid w:val="00D24AA5"/>
    <w:rsid w:val="00D252F2"/>
    <w:rsid w:val="00D30DD9"/>
    <w:rsid w:val="00D410BB"/>
    <w:rsid w:val="00D42D33"/>
    <w:rsid w:val="00D472DB"/>
    <w:rsid w:val="00D500A9"/>
    <w:rsid w:val="00D553CB"/>
    <w:rsid w:val="00D63215"/>
    <w:rsid w:val="00D84F5B"/>
    <w:rsid w:val="00D96D83"/>
    <w:rsid w:val="00DA1899"/>
    <w:rsid w:val="00DA292E"/>
    <w:rsid w:val="00DA2DDF"/>
    <w:rsid w:val="00DA77D3"/>
    <w:rsid w:val="00DB4E15"/>
    <w:rsid w:val="00DB76AA"/>
    <w:rsid w:val="00DB7869"/>
    <w:rsid w:val="00DC0026"/>
    <w:rsid w:val="00DD1A53"/>
    <w:rsid w:val="00DD53D4"/>
    <w:rsid w:val="00DE03AB"/>
    <w:rsid w:val="00DE6501"/>
    <w:rsid w:val="00E05660"/>
    <w:rsid w:val="00E074F9"/>
    <w:rsid w:val="00E10DC3"/>
    <w:rsid w:val="00E11BAC"/>
    <w:rsid w:val="00E1773F"/>
    <w:rsid w:val="00E202B2"/>
    <w:rsid w:val="00E303BA"/>
    <w:rsid w:val="00E319FA"/>
    <w:rsid w:val="00E31EBF"/>
    <w:rsid w:val="00E3436C"/>
    <w:rsid w:val="00E4095B"/>
    <w:rsid w:val="00E41E31"/>
    <w:rsid w:val="00E43C34"/>
    <w:rsid w:val="00E50090"/>
    <w:rsid w:val="00E519B5"/>
    <w:rsid w:val="00E56A67"/>
    <w:rsid w:val="00E729B7"/>
    <w:rsid w:val="00E7306F"/>
    <w:rsid w:val="00E764EA"/>
    <w:rsid w:val="00E84A2F"/>
    <w:rsid w:val="00E8783D"/>
    <w:rsid w:val="00E9223C"/>
    <w:rsid w:val="00E9367B"/>
    <w:rsid w:val="00E95EF8"/>
    <w:rsid w:val="00EA12D6"/>
    <w:rsid w:val="00EC5465"/>
    <w:rsid w:val="00EC7BB6"/>
    <w:rsid w:val="00ED1FC3"/>
    <w:rsid w:val="00ED3401"/>
    <w:rsid w:val="00EE0AE8"/>
    <w:rsid w:val="00EE7240"/>
    <w:rsid w:val="00F06587"/>
    <w:rsid w:val="00F174A8"/>
    <w:rsid w:val="00F23F4C"/>
    <w:rsid w:val="00F366DE"/>
    <w:rsid w:val="00F42821"/>
    <w:rsid w:val="00F4564F"/>
    <w:rsid w:val="00F479E9"/>
    <w:rsid w:val="00F56CC5"/>
    <w:rsid w:val="00F66AFF"/>
    <w:rsid w:val="00F74583"/>
    <w:rsid w:val="00FA2EF9"/>
    <w:rsid w:val="00FA754A"/>
    <w:rsid w:val="00FB26FF"/>
    <w:rsid w:val="00FB35C5"/>
    <w:rsid w:val="00FB4763"/>
    <w:rsid w:val="00FC3DFB"/>
    <w:rsid w:val="00FC57D7"/>
    <w:rsid w:val="00FD19C7"/>
    <w:rsid w:val="00FE4FA8"/>
    <w:rsid w:val="00FF0662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12857"/>
  <w15:docId w15:val="{0B108F84-9900-4F41-8ACC-76B29283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4D7222"/>
    <w:rPr>
      <w:rFonts w:ascii="Times New Roman" w:hAnsi="Times New Roman"/>
      <w:sz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36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C634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94C7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E95EF8"/>
    <w:pPr>
      <w:spacing w:before="100" w:beforeAutospacing="1" w:after="100" w:afterAutospacing="1"/>
    </w:pPr>
    <w:rPr>
      <w:sz w:val="24"/>
      <w:szCs w:val="24"/>
    </w:rPr>
  </w:style>
  <w:style w:type="character" w:customStyle="1" w:styleId="Bacil">
    <w:name w:val="Bacil"/>
    <w:qFormat/>
    <w:rsid w:val="00E9367B"/>
    <w:rPr>
      <w:i/>
    </w:rPr>
  </w:style>
  <w:style w:type="character" w:customStyle="1" w:styleId="Nadpis1Char">
    <w:name w:val="Nadpis 1 Char"/>
    <w:link w:val="Nadpis1"/>
    <w:uiPriority w:val="9"/>
    <w:rsid w:val="00E9367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FB26FF"/>
    <w:pPr>
      <w:suppressAutoHyphens/>
      <w:spacing w:after="120"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56A67"/>
    <w:pPr>
      <w:numPr>
        <w:numId w:val="6"/>
      </w:numPr>
      <w:spacing w:after="0"/>
      <w:ind w:left="567" w:hanging="567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E9367B"/>
    <w:pPr>
      <w:numPr>
        <w:numId w:val="7"/>
      </w:numPr>
    </w:pPr>
  </w:style>
  <w:style w:type="paragraph" w:customStyle="1" w:styleId="SPCaPILhlavika">
    <w:name w:val="SPC a PIL hlavička"/>
    <w:basedOn w:val="Normlny"/>
    <w:autoRedefine/>
    <w:qFormat/>
    <w:rsid w:val="00E56A67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027C5E"/>
    <w:pPr>
      <w:keepNext/>
      <w:numPr>
        <w:numId w:val="11"/>
      </w:numPr>
      <w:tabs>
        <w:tab w:val="clear" w:pos="360"/>
        <w:tab w:val="num" w:pos="660"/>
      </w:tabs>
      <w:spacing w:before="360" w:after="12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027C5E"/>
    <w:pPr>
      <w:keepNext/>
      <w:numPr>
        <w:ilvl w:val="1"/>
        <w:numId w:val="11"/>
      </w:numPr>
      <w:tabs>
        <w:tab w:val="clear" w:pos="360"/>
        <w:tab w:val="num" w:pos="550"/>
      </w:tabs>
      <w:spacing w:before="120" w:after="120"/>
      <w:ind w:left="0" w:firstLine="0"/>
    </w:pPr>
    <w:rPr>
      <w:b/>
      <w:bCs/>
      <w:szCs w:val="22"/>
      <w:lang w:val="sk-SK" w:eastAsia="en-US"/>
    </w:rPr>
  </w:style>
  <w:style w:type="paragraph" w:customStyle="1" w:styleId="Styl3">
    <w:name w:val="Styl3"/>
    <w:basedOn w:val="Normlndobloku"/>
    <w:rsid w:val="00E9367B"/>
    <w:pPr>
      <w:tabs>
        <w:tab w:val="left" w:pos="6946"/>
      </w:tabs>
      <w:suppressAutoHyphens w:val="0"/>
    </w:pPr>
    <w:rPr>
      <w:rFonts w:ascii="Times New Roman" w:eastAsia="Times New Roman" w:hAnsi="Times New Roman"/>
      <w:u w:val="single"/>
      <w:lang w:eastAsia="cs-CZ"/>
    </w:rPr>
  </w:style>
  <w:style w:type="character" w:customStyle="1" w:styleId="longtext1">
    <w:name w:val="long_text1"/>
    <w:rsid w:val="000616EF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rsid w:val="00BA076B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rsid w:val="00BA076B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BA076B"/>
  </w:style>
  <w:style w:type="character" w:customStyle="1" w:styleId="Nadpis4Char">
    <w:name w:val="Nadpis 4 Char"/>
    <w:link w:val="Nadpis4"/>
    <w:uiPriority w:val="9"/>
    <w:semiHidden/>
    <w:rsid w:val="00C63429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5589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425589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semiHidden/>
    <w:unhideWhenUsed/>
    <w:rsid w:val="009E4B2E"/>
    <w:rPr>
      <w:color w:val="0000FF"/>
      <w:u w:val="single"/>
    </w:rPr>
  </w:style>
  <w:style w:type="character" w:customStyle="1" w:styleId="NormlndoblokuChar">
    <w:name w:val="Normální do bloku Char"/>
    <w:link w:val="Normlndobloku"/>
    <w:rsid w:val="00FB26FF"/>
    <w:rPr>
      <w:rFonts w:ascii="TimesNewRoman" w:eastAsia="Calibri" w:hAnsi="TimesNewRoman" w:cs="TimesNewRoman"/>
      <w:sz w:val="22"/>
      <w:szCs w:val="24"/>
      <w:lang w:val="sk-SK" w:eastAsia="en-US"/>
    </w:rPr>
  </w:style>
  <w:style w:type="paragraph" w:styleId="Zkladntext3">
    <w:name w:val="Body Text 3"/>
    <w:basedOn w:val="Normlny"/>
    <w:rsid w:val="009F3335"/>
    <w:rPr>
      <w:rFonts w:ascii="Arial" w:hAnsi="Arial"/>
      <w:color w:val="FF0000"/>
      <w:sz w:val="20"/>
      <w:lang w:val="sk-SK" w:eastAsia="sk-SK"/>
    </w:rPr>
  </w:style>
  <w:style w:type="paragraph" w:customStyle="1" w:styleId="Styl2-2">
    <w:name w:val="Styl2-2"/>
    <w:basedOn w:val="Styl2"/>
    <w:next w:val="Normlny"/>
    <w:autoRedefine/>
    <w:qFormat/>
    <w:rsid w:val="00DB76AA"/>
    <w:pPr>
      <w:numPr>
        <w:ilvl w:val="0"/>
        <w:numId w:val="0"/>
      </w:numPr>
      <w:spacing w:before="0" w:after="0"/>
    </w:pPr>
    <w:rPr>
      <w:b w:val="0"/>
      <w:i/>
      <w:lang w:val="en-GB"/>
    </w:rPr>
  </w:style>
  <w:style w:type="paragraph" w:styleId="Revzia">
    <w:name w:val="Revision"/>
    <w:hidden/>
    <w:uiPriority w:val="99"/>
    <w:semiHidden/>
    <w:rsid w:val="003934CA"/>
    <w:rPr>
      <w:rFonts w:ascii="Times New Roman" w:hAnsi="Times New Roman"/>
      <w:sz w:val="22"/>
      <w:lang w:val="en-US"/>
    </w:rPr>
  </w:style>
  <w:style w:type="character" w:styleId="Odkaznakomentr">
    <w:name w:val="annotation reference"/>
    <w:uiPriority w:val="99"/>
    <w:semiHidden/>
    <w:unhideWhenUsed/>
    <w:rsid w:val="00FB35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5C5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FB35C5"/>
    <w:rPr>
      <w:rFonts w:ascii="Times New Roman" w:hAnsi="Times New Roman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5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B35C5"/>
    <w:rPr>
      <w:rFonts w:ascii="Times New Roman" w:hAnsi="Times New Roman"/>
      <w:b/>
      <w:bCs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6678</Words>
  <Characters>38066</Characters>
  <Application>Microsoft Office Word</Application>
  <DocSecurity>0</DocSecurity>
  <Lines>317</Lines>
  <Paragraphs>89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[Version 7, 07/2005]</vt:lpstr>
      <vt:lpstr>[Version 7, 07/2005]</vt:lpstr>
    </vt:vector>
  </TitlesOfParts>
  <Company>Hewlett-Packard Company</Company>
  <LinksUpToDate>false</LinksUpToDate>
  <CharactersWithSpaces>44655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General-EMEA/248615/2005</dc:subject>
  <dc:creator>katarinaj</dc:creator>
  <cp:lastModifiedBy>zuzana molnarova</cp:lastModifiedBy>
  <cp:revision>2</cp:revision>
  <cp:lastPrinted>2020-10-07T06:09:00Z</cp:lastPrinted>
  <dcterms:created xsi:type="dcterms:W3CDTF">2020-10-07T06:13:00Z</dcterms:created>
  <dcterms:modified xsi:type="dcterms:W3CDTF">2020-10-07T06:13:00Z</dcterms:modified>
</cp:coreProperties>
</file>