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B7BE6" w14:textId="77777777" w:rsidR="00E85B56" w:rsidRPr="00E86955" w:rsidRDefault="0044604D" w:rsidP="009721A3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E86955">
        <w:rPr>
          <w:rFonts w:ascii="Times New Roman" w:hAnsi="Times New Roman"/>
          <w:b/>
          <w:bCs/>
          <w:lang w:val="sk"/>
        </w:rPr>
        <w:t>SÚHRN CHARAKTERISTICKÝCH VLASTNOSTÍ LIEKU</w:t>
      </w:r>
    </w:p>
    <w:p w14:paraId="106D09D7" w14:textId="77777777" w:rsidR="00E85B56" w:rsidRPr="00E86955" w:rsidRDefault="00E85B56" w:rsidP="002011F9">
      <w:pPr>
        <w:spacing w:after="0" w:line="240" w:lineRule="auto"/>
        <w:rPr>
          <w:rFonts w:ascii="Times New Roman" w:hAnsi="Times New Roman"/>
        </w:rPr>
      </w:pPr>
    </w:p>
    <w:p w14:paraId="522E18CF" w14:textId="77777777" w:rsidR="009E5803" w:rsidRPr="00E86955" w:rsidRDefault="009E5803" w:rsidP="002011F9">
      <w:pPr>
        <w:spacing w:after="0" w:line="240" w:lineRule="auto"/>
        <w:rPr>
          <w:rFonts w:ascii="Times New Roman" w:hAnsi="Times New Roman"/>
        </w:rPr>
      </w:pPr>
    </w:p>
    <w:p w14:paraId="421F2412" w14:textId="5E0F4795" w:rsidR="00003978" w:rsidRPr="00E86955" w:rsidRDefault="00003978" w:rsidP="00E86955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E86955">
        <w:rPr>
          <w:rFonts w:ascii="Times New Roman" w:hAnsi="Times New Roman"/>
          <w:b/>
          <w:bCs/>
          <w:lang w:val="sk"/>
        </w:rPr>
        <w:t xml:space="preserve">NÁZOV LIEKU </w:t>
      </w:r>
    </w:p>
    <w:p w14:paraId="4D7AA80C" w14:textId="77777777" w:rsidR="009E5803" w:rsidRPr="00E86955" w:rsidRDefault="009E5803" w:rsidP="002011F9">
      <w:pPr>
        <w:pStyle w:val="Default"/>
        <w:rPr>
          <w:color w:val="auto"/>
          <w:sz w:val="22"/>
          <w:szCs w:val="22"/>
          <w:lang w:val="sk"/>
        </w:rPr>
      </w:pPr>
    </w:p>
    <w:p w14:paraId="3FB78B66" w14:textId="44AD11FB" w:rsidR="00003978" w:rsidRPr="00E86955" w:rsidRDefault="001A3B94" w:rsidP="002011F9">
      <w:pPr>
        <w:pStyle w:val="Default"/>
        <w:rPr>
          <w:color w:val="auto"/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Dulxetenon</w:t>
      </w:r>
      <w:proofErr w:type="spellEnd"/>
      <w:r w:rsidR="002127A1" w:rsidRPr="00E86955">
        <w:rPr>
          <w:color w:val="auto"/>
          <w:sz w:val="22"/>
          <w:szCs w:val="22"/>
          <w:lang w:val="sk"/>
        </w:rPr>
        <w:t xml:space="preserve"> </w:t>
      </w:r>
      <w:r w:rsidR="009E5803" w:rsidRPr="00E86955">
        <w:rPr>
          <w:color w:val="auto"/>
          <w:sz w:val="22"/>
          <w:szCs w:val="22"/>
          <w:lang w:val="sk"/>
        </w:rPr>
        <w:t>30 </w:t>
      </w:r>
      <w:r w:rsidR="00CC0069" w:rsidRPr="00E86955">
        <w:rPr>
          <w:color w:val="auto"/>
          <w:sz w:val="22"/>
          <w:szCs w:val="22"/>
          <w:lang w:val="sk"/>
        </w:rPr>
        <w:t xml:space="preserve">mg </w:t>
      </w:r>
      <w:r w:rsidR="009E5803" w:rsidRPr="00E86955">
        <w:rPr>
          <w:color w:val="auto"/>
          <w:sz w:val="22"/>
          <w:szCs w:val="22"/>
          <w:lang w:val="sk"/>
        </w:rPr>
        <w:t xml:space="preserve">tvrdé </w:t>
      </w:r>
      <w:proofErr w:type="spellStart"/>
      <w:r w:rsidR="009E5803" w:rsidRPr="00E86955">
        <w:rPr>
          <w:color w:val="auto"/>
          <w:sz w:val="22"/>
          <w:szCs w:val="22"/>
          <w:lang w:val="sk"/>
        </w:rPr>
        <w:t>gastrorezistentné</w:t>
      </w:r>
      <w:proofErr w:type="spellEnd"/>
      <w:r w:rsidR="009E5803" w:rsidRPr="00E86955">
        <w:rPr>
          <w:color w:val="auto"/>
          <w:sz w:val="22"/>
          <w:szCs w:val="22"/>
          <w:lang w:val="sk"/>
        </w:rPr>
        <w:t xml:space="preserve"> kapsuly</w:t>
      </w:r>
    </w:p>
    <w:p w14:paraId="7F6B9F1E" w14:textId="3E97B4E2" w:rsidR="00D34BD7" w:rsidRPr="00E86955" w:rsidRDefault="001A3B94" w:rsidP="002011F9">
      <w:pPr>
        <w:pStyle w:val="Default"/>
        <w:rPr>
          <w:color w:val="auto"/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Dulxetenon</w:t>
      </w:r>
      <w:proofErr w:type="spellEnd"/>
      <w:r w:rsidR="002127A1" w:rsidRPr="00E86955">
        <w:rPr>
          <w:sz w:val="22"/>
          <w:szCs w:val="22"/>
          <w:lang w:val="sk"/>
        </w:rPr>
        <w:t xml:space="preserve"> </w:t>
      </w:r>
      <w:r w:rsidR="009E5803" w:rsidRPr="00E86955">
        <w:rPr>
          <w:sz w:val="22"/>
          <w:szCs w:val="22"/>
          <w:lang w:val="sk"/>
        </w:rPr>
        <w:t>60 </w:t>
      </w:r>
      <w:r w:rsidR="00CC0069" w:rsidRPr="00E86955">
        <w:rPr>
          <w:sz w:val="22"/>
          <w:szCs w:val="22"/>
          <w:lang w:val="sk"/>
        </w:rPr>
        <w:t xml:space="preserve">mg tvrdé </w:t>
      </w:r>
      <w:proofErr w:type="spellStart"/>
      <w:r w:rsidR="00CC0069" w:rsidRPr="00E86955">
        <w:rPr>
          <w:sz w:val="22"/>
          <w:szCs w:val="22"/>
          <w:lang w:val="sk"/>
        </w:rPr>
        <w:t>gastrorezistentné</w:t>
      </w:r>
      <w:proofErr w:type="spellEnd"/>
      <w:r w:rsidR="00CC0069" w:rsidRPr="00E86955">
        <w:rPr>
          <w:sz w:val="22"/>
          <w:szCs w:val="22"/>
          <w:lang w:val="sk"/>
        </w:rPr>
        <w:t xml:space="preserve"> kapsuly</w:t>
      </w:r>
    </w:p>
    <w:p w14:paraId="5EC444A6" w14:textId="0BE76A27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2A8A6CCC" w14:textId="77777777" w:rsidR="00A2708C" w:rsidRPr="00E86955" w:rsidRDefault="00A2708C" w:rsidP="002011F9">
      <w:pPr>
        <w:pStyle w:val="Default"/>
        <w:rPr>
          <w:color w:val="auto"/>
          <w:sz w:val="22"/>
          <w:szCs w:val="22"/>
        </w:rPr>
      </w:pPr>
    </w:p>
    <w:p w14:paraId="1B7C9572" w14:textId="0B3A1778" w:rsidR="00003978" w:rsidRPr="00E86955" w:rsidRDefault="00003978" w:rsidP="002011F9">
      <w:pPr>
        <w:pStyle w:val="Default"/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>KVALITATÍVNE A KVANTITATÍVNE ZLOŽENIE</w:t>
      </w:r>
      <w:r w:rsidRPr="00E86955">
        <w:rPr>
          <w:color w:val="auto"/>
          <w:sz w:val="22"/>
          <w:szCs w:val="22"/>
          <w:lang w:val="sk"/>
        </w:rPr>
        <w:t xml:space="preserve"> </w:t>
      </w:r>
    </w:p>
    <w:p w14:paraId="157DE6E5" w14:textId="77777777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1A0FA6AD" w14:textId="5D030EC0" w:rsidR="00A2708C" w:rsidRPr="00E86955" w:rsidRDefault="001A3B94" w:rsidP="002011F9">
      <w:pPr>
        <w:pStyle w:val="Default"/>
        <w:rPr>
          <w:color w:val="auto"/>
          <w:sz w:val="22"/>
          <w:szCs w:val="22"/>
          <w:u w:val="single"/>
        </w:rPr>
      </w:pPr>
      <w:proofErr w:type="spellStart"/>
      <w:r w:rsidRPr="00E86955">
        <w:rPr>
          <w:color w:val="auto"/>
          <w:sz w:val="22"/>
          <w:szCs w:val="22"/>
          <w:u w:val="single"/>
          <w:lang w:val="sk"/>
        </w:rPr>
        <w:t>Dulxetenon</w:t>
      </w:r>
      <w:proofErr w:type="spellEnd"/>
      <w:r w:rsidR="00AF0C32" w:rsidRPr="00E86955">
        <w:rPr>
          <w:color w:val="auto"/>
          <w:sz w:val="22"/>
          <w:szCs w:val="22"/>
          <w:u w:val="single"/>
          <w:lang w:val="sk"/>
        </w:rPr>
        <w:t xml:space="preserve"> </w:t>
      </w:r>
      <w:r w:rsidR="009E5803" w:rsidRPr="00E86955">
        <w:rPr>
          <w:color w:val="auto"/>
          <w:sz w:val="22"/>
          <w:szCs w:val="22"/>
          <w:u w:val="single"/>
          <w:lang w:val="sk"/>
        </w:rPr>
        <w:t>30 </w:t>
      </w:r>
      <w:r w:rsidR="00A2708C" w:rsidRPr="00E86955">
        <w:rPr>
          <w:color w:val="auto"/>
          <w:sz w:val="22"/>
          <w:szCs w:val="22"/>
          <w:u w:val="single"/>
          <w:lang w:val="sk"/>
        </w:rPr>
        <w:t xml:space="preserve">mg tvrdé </w:t>
      </w:r>
      <w:proofErr w:type="spellStart"/>
      <w:r w:rsidR="00A2708C" w:rsidRPr="00E86955">
        <w:rPr>
          <w:color w:val="auto"/>
          <w:sz w:val="22"/>
          <w:szCs w:val="22"/>
          <w:u w:val="single"/>
          <w:lang w:val="sk"/>
        </w:rPr>
        <w:t>gastrorezistentné</w:t>
      </w:r>
      <w:proofErr w:type="spellEnd"/>
      <w:r w:rsidR="00A2708C" w:rsidRPr="00E86955">
        <w:rPr>
          <w:color w:val="auto"/>
          <w:sz w:val="22"/>
          <w:szCs w:val="22"/>
          <w:u w:val="single"/>
          <w:lang w:val="sk"/>
        </w:rPr>
        <w:t xml:space="preserve"> kapsuly</w:t>
      </w:r>
    </w:p>
    <w:p w14:paraId="6579F943" w14:textId="77777777" w:rsidR="00A2708C" w:rsidRPr="00E86955" w:rsidRDefault="00A2708C" w:rsidP="002011F9">
      <w:pPr>
        <w:pStyle w:val="Default"/>
        <w:rPr>
          <w:color w:val="auto"/>
          <w:sz w:val="22"/>
          <w:szCs w:val="22"/>
          <w:u w:val="single"/>
        </w:rPr>
      </w:pPr>
    </w:p>
    <w:p w14:paraId="135C64F2" w14:textId="753CB7E0" w:rsidR="004A5CB7" w:rsidRPr="00E86955" w:rsidRDefault="009E5803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Jedna kapsula obsahuje 30 </w:t>
      </w:r>
      <w:r w:rsidR="00D34BD7" w:rsidRPr="00E86955">
        <w:rPr>
          <w:color w:val="auto"/>
          <w:sz w:val="22"/>
          <w:szCs w:val="22"/>
          <w:lang w:val="sk"/>
        </w:rPr>
        <w:t xml:space="preserve">mg </w:t>
      </w:r>
      <w:proofErr w:type="spellStart"/>
      <w:r w:rsidR="00D34BD7"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="00D34BD7" w:rsidRPr="00E86955">
        <w:rPr>
          <w:color w:val="auto"/>
          <w:sz w:val="22"/>
          <w:szCs w:val="22"/>
          <w:lang w:val="sk"/>
        </w:rPr>
        <w:t xml:space="preserve"> (vo forme </w:t>
      </w:r>
      <w:proofErr w:type="spellStart"/>
      <w:r w:rsidR="00D34BD7" w:rsidRPr="00E86955">
        <w:rPr>
          <w:color w:val="auto"/>
          <w:sz w:val="22"/>
          <w:szCs w:val="22"/>
          <w:lang w:val="sk"/>
        </w:rPr>
        <w:t>hydrochloridu</w:t>
      </w:r>
      <w:proofErr w:type="spellEnd"/>
      <w:r w:rsidR="00D34BD7" w:rsidRPr="00E86955">
        <w:rPr>
          <w:color w:val="auto"/>
          <w:sz w:val="22"/>
          <w:szCs w:val="22"/>
          <w:lang w:val="sk"/>
        </w:rPr>
        <w:t>).</w:t>
      </w:r>
    </w:p>
    <w:p w14:paraId="5A995714" w14:textId="7CE948CA" w:rsidR="004A5CB7" w:rsidRPr="00E86955" w:rsidRDefault="004A5CB7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Pomocná látka (pomocné látky) so známym účinkom: každá to</w:t>
      </w:r>
      <w:r w:rsidR="009E5803" w:rsidRPr="00E86955">
        <w:rPr>
          <w:color w:val="auto"/>
          <w:sz w:val="22"/>
          <w:szCs w:val="22"/>
          <w:lang w:val="sk"/>
        </w:rPr>
        <w:t>bolka obsahuje približne 47,9</w:t>
      </w:r>
      <w:r w:rsidR="009E5803" w:rsidRPr="00E86955">
        <w:rPr>
          <w:color w:val="auto"/>
          <w:sz w:val="22"/>
          <w:szCs w:val="22"/>
          <w:lang w:val="sk"/>
        </w:rPr>
        <w:noBreakHyphen/>
        <w:t>51,4 </w:t>
      </w:r>
      <w:r w:rsidRPr="00E86955">
        <w:rPr>
          <w:color w:val="auto"/>
          <w:sz w:val="22"/>
          <w:szCs w:val="22"/>
          <w:lang w:val="sk"/>
        </w:rPr>
        <w:t>mg sacharózy.</w:t>
      </w:r>
    </w:p>
    <w:p w14:paraId="47AE78D3" w14:textId="77777777" w:rsidR="00D34BD7" w:rsidRPr="00E86955" w:rsidRDefault="00D34BD7" w:rsidP="002011F9">
      <w:pPr>
        <w:pStyle w:val="Default"/>
        <w:rPr>
          <w:color w:val="auto"/>
          <w:sz w:val="22"/>
          <w:szCs w:val="22"/>
        </w:rPr>
      </w:pPr>
    </w:p>
    <w:p w14:paraId="0B5E1956" w14:textId="5959D4FC" w:rsidR="00A2708C" w:rsidRPr="00E86955" w:rsidRDefault="001A3B94" w:rsidP="002011F9">
      <w:pPr>
        <w:pStyle w:val="Default"/>
        <w:rPr>
          <w:color w:val="auto"/>
          <w:sz w:val="22"/>
          <w:szCs w:val="22"/>
          <w:u w:val="single"/>
        </w:rPr>
      </w:pPr>
      <w:proofErr w:type="spellStart"/>
      <w:r w:rsidRPr="00E86955">
        <w:rPr>
          <w:color w:val="auto"/>
          <w:sz w:val="22"/>
          <w:szCs w:val="22"/>
          <w:u w:val="single"/>
          <w:lang w:val="sk"/>
        </w:rPr>
        <w:t>Dulxetenon</w:t>
      </w:r>
      <w:proofErr w:type="spellEnd"/>
      <w:r w:rsidR="00AF0C32" w:rsidRPr="00E86955">
        <w:rPr>
          <w:color w:val="auto"/>
          <w:sz w:val="22"/>
          <w:szCs w:val="22"/>
          <w:u w:val="single"/>
          <w:lang w:val="sk"/>
        </w:rPr>
        <w:t xml:space="preserve"> </w:t>
      </w:r>
      <w:r w:rsidR="009E5803" w:rsidRPr="00E86955">
        <w:rPr>
          <w:color w:val="auto"/>
          <w:sz w:val="22"/>
          <w:szCs w:val="22"/>
          <w:u w:val="single"/>
          <w:lang w:val="sk"/>
        </w:rPr>
        <w:t>60 </w:t>
      </w:r>
      <w:r w:rsidR="00A2708C" w:rsidRPr="00E86955">
        <w:rPr>
          <w:color w:val="auto"/>
          <w:sz w:val="22"/>
          <w:szCs w:val="22"/>
          <w:u w:val="single"/>
          <w:lang w:val="sk"/>
        </w:rPr>
        <w:t xml:space="preserve">mg tvrdé </w:t>
      </w:r>
      <w:proofErr w:type="spellStart"/>
      <w:r w:rsidR="00A2708C" w:rsidRPr="00E86955">
        <w:rPr>
          <w:color w:val="auto"/>
          <w:sz w:val="22"/>
          <w:szCs w:val="22"/>
          <w:u w:val="single"/>
          <w:lang w:val="sk"/>
        </w:rPr>
        <w:t>gastrorezistentné</w:t>
      </w:r>
      <w:proofErr w:type="spellEnd"/>
      <w:r w:rsidR="00A2708C" w:rsidRPr="00E86955">
        <w:rPr>
          <w:color w:val="auto"/>
          <w:sz w:val="22"/>
          <w:szCs w:val="22"/>
          <w:u w:val="single"/>
          <w:lang w:val="sk"/>
        </w:rPr>
        <w:t xml:space="preserve"> kapsuly</w:t>
      </w:r>
    </w:p>
    <w:p w14:paraId="33FEB430" w14:textId="77777777" w:rsidR="00A2708C" w:rsidRPr="00E86955" w:rsidRDefault="00A2708C" w:rsidP="002011F9">
      <w:pPr>
        <w:pStyle w:val="Default"/>
        <w:rPr>
          <w:color w:val="auto"/>
          <w:sz w:val="22"/>
          <w:szCs w:val="22"/>
        </w:rPr>
      </w:pPr>
    </w:p>
    <w:p w14:paraId="4D5354E7" w14:textId="0DF201E6" w:rsidR="00D34BD7" w:rsidRPr="00E86955" w:rsidRDefault="00D34BD7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>Jedna ka</w:t>
      </w:r>
      <w:r w:rsidR="009E5803" w:rsidRPr="00E86955">
        <w:rPr>
          <w:sz w:val="22"/>
          <w:szCs w:val="22"/>
          <w:lang w:val="sk"/>
        </w:rPr>
        <w:t>psula obsahuje 60 </w:t>
      </w:r>
      <w:r w:rsidRPr="00E86955">
        <w:rPr>
          <w:sz w:val="22"/>
          <w:szCs w:val="22"/>
          <w:lang w:val="sk"/>
        </w:rPr>
        <w:t xml:space="preserve">mg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(vo forme </w:t>
      </w:r>
      <w:proofErr w:type="spellStart"/>
      <w:r w:rsidRPr="00E86955">
        <w:rPr>
          <w:sz w:val="22"/>
          <w:szCs w:val="22"/>
          <w:lang w:val="sk"/>
        </w:rPr>
        <w:t>hydrochloridu</w:t>
      </w:r>
      <w:proofErr w:type="spellEnd"/>
      <w:r w:rsidRPr="00E86955">
        <w:rPr>
          <w:sz w:val="22"/>
          <w:szCs w:val="22"/>
          <w:lang w:val="sk"/>
        </w:rPr>
        <w:t xml:space="preserve">). </w:t>
      </w:r>
    </w:p>
    <w:p w14:paraId="10ECF5FE" w14:textId="707F0ED6" w:rsidR="00D34BD7" w:rsidRPr="00E86955" w:rsidRDefault="00D34BD7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>Po</w:t>
      </w:r>
      <w:r w:rsidR="009E5803" w:rsidRPr="00E86955">
        <w:rPr>
          <w:sz w:val="22"/>
          <w:szCs w:val="22"/>
          <w:lang w:val="sk"/>
        </w:rPr>
        <w:t xml:space="preserve">mocná látka so známym účinkom: </w:t>
      </w:r>
      <w:r w:rsidRPr="00E86955">
        <w:rPr>
          <w:sz w:val="22"/>
          <w:szCs w:val="22"/>
          <w:lang w:val="sk"/>
        </w:rPr>
        <w:t>každá ka</w:t>
      </w:r>
      <w:r w:rsidR="009E5803" w:rsidRPr="00E86955">
        <w:rPr>
          <w:sz w:val="22"/>
          <w:szCs w:val="22"/>
          <w:lang w:val="sk"/>
        </w:rPr>
        <w:t>psula obsahuje približne 95,9</w:t>
      </w:r>
      <w:r w:rsidR="009E5803" w:rsidRPr="00E86955">
        <w:rPr>
          <w:sz w:val="22"/>
          <w:szCs w:val="22"/>
          <w:lang w:val="sk"/>
        </w:rPr>
        <w:noBreakHyphen/>
      </w:r>
      <w:r w:rsidRPr="00E86955">
        <w:rPr>
          <w:sz w:val="22"/>
          <w:szCs w:val="22"/>
          <w:lang w:val="sk"/>
        </w:rPr>
        <w:t>102,9 mg sacharózy.</w:t>
      </w:r>
    </w:p>
    <w:p w14:paraId="6DA5BD1B" w14:textId="77777777" w:rsidR="00D34BD7" w:rsidRPr="00E86955" w:rsidRDefault="00D34BD7" w:rsidP="002011F9">
      <w:pPr>
        <w:pStyle w:val="Default"/>
        <w:rPr>
          <w:color w:val="auto"/>
          <w:sz w:val="22"/>
          <w:szCs w:val="22"/>
        </w:rPr>
      </w:pPr>
    </w:p>
    <w:p w14:paraId="0A54989E" w14:textId="59CE3840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Úplný zoznam p</w:t>
      </w:r>
      <w:r w:rsidR="009E5803" w:rsidRPr="00E86955">
        <w:rPr>
          <w:color w:val="auto"/>
          <w:sz w:val="22"/>
          <w:szCs w:val="22"/>
          <w:lang w:val="sk"/>
        </w:rPr>
        <w:t>omocných látok, pozri časť 6.1.</w:t>
      </w:r>
    </w:p>
    <w:p w14:paraId="6A6F96C6" w14:textId="47E009E6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55F81EAB" w14:textId="78E88B14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2ABD5FD0" w14:textId="097BA499" w:rsidR="00003978" w:rsidRPr="00E86955" w:rsidRDefault="00003978" w:rsidP="002011F9">
      <w:pPr>
        <w:pStyle w:val="Default"/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LIEKOVÁ FORMA </w:t>
      </w:r>
      <w:r w:rsidR="00B41BD4" w:rsidRPr="00E86955">
        <w:rPr>
          <w:b/>
          <w:bCs/>
          <w:color w:val="auto"/>
          <w:sz w:val="22"/>
          <w:szCs w:val="22"/>
          <w:lang w:val="sk"/>
        </w:rPr>
        <w:t xml:space="preserve"> </w:t>
      </w:r>
    </w:p>
    <w:p w14:paraId="3E11724C" w14:textId="0C2C65E5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3E5AAF3E" w14:textId="54FF5DD5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T</w:t>
      </w:r>
      <w:r w:rsidR="009E5803" w:rsidRPr="00E86955">
        <w:rPr>
          <w:color w:val="auto"/>
          <w:sz w:val="22"/>
          <w:szCs w:val="22"/>
          <w:lang w:val="sk"/>
        </w:rPr>
        <w:t xml:space="preserve">vrdá </w:t>
      </w:r>
      <w:proofErr w:type="spellStart"/>
      <w:r w:rsidR="009E5803" w:rsidRPr="00E86955">
        <w:rPr>
          <w:color w:val="auto"/>
          <w:sz w:val="22"/>
          <w:szCs w:val="22"/>
          <w:lang w:val="sk"/>
        </w:rPr>
        <w:t>gastrorezistentná</w:t>
      </w:r>
      <w:proofErr w:type="spellEnd"/>
      <w:r w:rsidR="009E5803" w:rsidRPr="00E86955">
        <w:rPr>
          <w:color w:val="auto"/>
          <w:sz w:val="22"/>
          <w:szCs w:val="22"/>
          <w:lang w:val="sk"/>
        </w:rPr>
        <w:t xml:space="preserve"> kapsula.</w:t>
      </w:r>
    </w:p>
    <w:p w14:paraId="3801AB00" w14:textId="77777777" w:rsidR="00CA34E6" w:rsidRPr="00E86955" w:rsidRDefault="00CA34E6" w:rsidP="002011F9">
      <w:pPr>
        <w:pStyle w:val="Default"/>
        <w:rPr>
          <w:color w:val="auto"/>
          <w:sz w:val="22"/>
          <w:szCs w:val="22"/>
        </w:rPr>
      </w:pPr>
    </w:p>
    <w:p w14:paraId="3309F1CC" w14:textId="664C9D56" w:rsidR="00A2708C" w:rsidRPr="00E86955" w:rsidRDefault="001A3B94" w:rsidP="002011F9">
      <w:pPr>
        <w:pStyle w:val="Default"/>
        <w:rPr>
          <w:color w:val="auto"/>
          <w:sz w:val="22"/>
          <w:szCs w:val="22"/>
          <w:u w:val="single"/>
        </w:rPr>
      </w:pPr>
      <w:proofErr w:type="spellStart"/>
      <w:r w:rsidRPr="00E86955">
        <w:rPr>
          <w:color w:val="auto"/>
          <w:sz w:val="22"/>
          <w:szCs w:val="22"/>
          <w:u w:val="single"/>
          <w:lang w:val="sk"/>
        </w:rPr>
        <w:t>Dulxetenon</w:t>
      </w:r>
      <w:proofErr w:type="spellEnd"/>
      <w:r w:rsidR="00AF0C32" w:rsidRPr="00E86955">
        <w:rPr>
          <w:color w:val="auto"/>
          <w:sz w:val="22"/>
          <w:szCs w:val="22"/>
          <w:u w:val="single"/>
          <w:lang w:val="sk"/>
        </w:rPr>
        <w:t xml:space="preserve"> </w:t>
      </w:r>
      <w:r w:rsidR="009E5803" w:rsidRPr="00E86955">
        <w:rPr>
          <w:color w:val="auto"/>
          <w:sz w:val="22"/>
          <w:szCs w:val="22"/>
          <w:u w:val="single"/>
          <w:lang w:val="sk"/>
        </w:rPr>
        <w:t>30 </w:t>
      </w:r>
      <w:r w:rsidR="00A2708C" w:rsidRPr="00E86955">
        <w:rPr>
          <w:color w:val="auto"/>
          <w:sz w:val="22"/>
          <w:szCs w:val="22"/>
          <w:u w:val="single"/>
          <w:lang w:val="sk"/>
        </w:rPr>
        <w:t xml:space="preserve">mg tvrdé </w:t>
      </w:r>
      <w:proofErr w:type="spellStart"/>
      <w:r w:rsidR="00A2708C" w:rsidRPr="00E86955">
        <w:rPr>
          <w:color w:val="auto"/>
          <w:sz w:val="22"/>
          <w:szCs w:val="22"/>
          <w:u w:val="single"/>
          <w:lang w:val="sk"/>
        </w:rPr>
        <w:t>gastrorezistentné</w:t>
      </w:r>
      <w:proofErr w:type="spellEnd"/>
      <w:r w:rsidR="00A2708C" w:rsidRPr="00E86955">
        <w:rPr>
          <w:color w:val="auto"/>
          <w:sz w:val="22"/>
          <w:szCs w:val="22"/>
          <w:u w:val="single"/>
          <w:lang w:val="sk"/>
        </w:rPr>
        <w:t xml:space="preserve"> kapsuly</w:t>
      </w:r>
    </w:p>
    <w:p w14:paraId="1F8DEDF0" w14:textId="77777777" w:rsidR="00A2708C" w:rsidRPr="00E86955" w:rsidRDefault="00A2708C" w:rsidP="002011F9">
      <w:pPr>
        <w:pStyle w:val="Default"/>
        <w:rPr>
          <w:color w:val="auto"/>
          <w:sz w:val="22"/>
          <w:szCs w:val="22"/>
        </w:rPr>
      </w:pPr>
    </w:p>
    <w:p w14:paraId="22EDC6F6" w14:textId="3F6203AB" w:rsidR="00234FDC" w:rsidRPr="00E86955" w:rsidRDefault="009E5803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30 </w:t>
      </w:r>
      <w:r w:rsidR="00D34BD7" w:rsidRPr="00E86955">
        <w:rPr>
          <w:color w:val="auto"/>
          <w:sz w:val="22"/>
          <w:szCs w:val="22"/>
          <w:lang w:val="sk"/>
        </w:rPr>
        <w:t>mg nepriehľadný, biely obal a nepriehľadné modré viečko</w:t>
      </w:r>
    </w:p>
    <w:p w14:paraId="16F69CBE" w14:textId="77777777" w:rsidR="00D34BD7" w:rsidRPr="00E86955" w:rsidRDefault="00D34BD7" w:rsidP="002011F9">
      <w:pPr>
        <w:pStyle w:val="Default"/>
        <w:rPr>
          <w:color w:val="auto"/>
          <w:sz w:val="22"/>
          <w:szCs w:val="22"/>
        </w:rPr>
      </w:pPr>
    </w:p>
    <w:p w14:paraId="0DE7E28B" w14:textId="243CEB9F" w:rsidR="00A2708C" w:rsidRPr="00E86955" w:rsidRDefault="001A3B94" w:rsidP="002011F9">
      <w:pPr>
        <w:pStyle w:val="Default"/>
        <w:rPr>
          <w:color w:val="auto"/>
          <w:sz w:val="22"/>
          <w:szCs w:val="22"/>
          <w:u w:val="single"/>
        </w:rPr>
      </w:pPr>
      <w:proofErr w:type="spellStart"/>
      <w:r w:rsidRPr="00E86955">
        <w:rPr>
          <w:color w:val="auto"/>
          <w:sz w:val="22"/>
          <w:szCs w:val="22"/>
          <w:u w:val="single"/>
          <w:lang w:val="sk"/>
        </w:rPr>
        <w:t>Dulxetenon</w:t>
      </w:r>
      <w:proofErr w:type="spellEnd"/>
      <w:r w:rsidR="00AF0C32" w:rsidRPr="00E86955">
        <w:rPr>
          <w:color w:val="auto"/>
          <w:sz w:val="22"/>
          <w:szCs w:val="22"/>
          <w:u w:val="single"/>
          <w:lang w:val="sk"/>
        </w:rPr>
        <w:t xml:space="preserve"> </w:t>
      </w:r>
      <w:r w:rsidR="009E5803" w:rsidRPr="00E86955">
        <w:rPr>
          <w:color w:val="auto"/>
          <w:sz w:val="22"/>
          <w:szCs w:val="22"/>
          <w:u w:val="single"/>
          <w:lang w:val="sk"/>
        </w:rPr>
        <w:t>60 </w:t>
      </w:r>
      <w:r w:rsidR="00A2708C" w:rsidRPr="00E86955">
        <w:rPr>
          <w:color w:val="auto"/>
          <w:sz w:val="22"/>
          <w:szCs w:val="22"/>
          <w:u w:val="single"/>
          <w:lang w:val="sk"/>
        </w:rPr>
        <w:t xml:space="preserve">mg tvrdé </w:t>
      </w:r>
      <w:proofErr w:type="spellStart"/>
      <w:r w:rsidR="00A2708C" w:rsidRPr="00E86955">
        <w:rPr>
          <w:color w:val="auto"/>
          <w:sz w:val="22"/>
          <w:szCs w:val="22"/>
          <w:u w:val="single"/>
          <w:lang w:val="sk"/>
        </w:rPr>
        <w:t>gastrorezistentné</w:t>
      </w:r>
      <w:proofErr w:type="spellEnd"/>
      <w:r w:rsidR="00A2708C" w:rsidRPr="00E86955">
        <w:rPr>
          <w:color w:val="auto"/>
          <w:sz w:val="22"/>
          <w:szCs w:val="22"/>
          <w:u w:val="single"/>
          <w:lang w:val="sk"/>
        </w:rPr>
        <w:t xml:space="preserve"> kapsuly</w:t>
      </w:r>
    </w:p>
    <w:p w14:paraId="13EAA6D8" w14:textId="77777777" w:rsidR="00A2708C" w:rsidRPr="00E86955" w:rsidRDefault="00A2708C" w:rsidP="002011F9">
      <w:pPr>
        <w:pStyle w:val="Default"/>
        <w:rPr>
          <w:color w:val="auto"/>
          <w:sz w:val="22"/>
          <w:szCs w:val="22"/>
        </w:rPr>
      </w:pPr>
    </w:p>
    <w:p w14:paraId="2C0F76B9" w14:textId="74A72019" w:rsidR="00D34BD7" w:rsidRPr="00E86955" w:rsidRDefault="009E5803" w:rsidP="002011F9">
      <w:pPr>
        <w:pStyle w:val="Default"/>
        <w:rPr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60 </w:t>
      </w:r>
      <w:r w:rsidR="00D34BD7" w:rsidRPr="00E86955">
        <w:rPr>
          <w:color w:val="auto"/>
          <w:sz w:val="22"/>
          <w:szCs w:val="22"/>
          <w:lang w:val="sk"/>
        </w:rPr>
        <w:t xml:space="preserve">mg </w:t>
      </w:r>
      <w:r w:rsidR="00D34BD7" w:rsidRPr="00E86955">
        <w:rPr>
          <w:sz w:val="22"/>
          <w:szCs w:val="22"/>
          <w:lang w:val="sk"/>
        </w:rPr>
        <w:t>nepriehľadný, zelený obal a nepriehľadné modré viečko</w:t>
      </w:r>
    </w:p>
    <w:p w14:paraId="684A7145" w14:textId="77777777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0AE84AA6" w14:textId="1E4DBDC3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0C8468F9" w14:textId="5E227917" w:rsidR="00003978" w:rsidRPr="00E86955" w:rsidRDefault="00003978" w:rsidP="002011F9">
      <w:pPr>
        <w:pStyle w:val="Default"/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KLINICKÉ ÚDAJE </w:t>
      </w:r>
    </w:p>
    <w:p w14:paraId="4EBBC171" w14:textId="2775A4D4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13F8F39B" w14:textId="6B8C5AF8" w:rsidR="00003978" w:rsidRPr="00E86955" w:rsidRDefault="00003978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Terapeutické indikácie </w:t>
      </w:r>
    </w:p>
    <w:p w14:paraId="50A635D5" w14:textId="67411B53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136C12E2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Liečba veľkej depresívnej poruchy. </w:t>
      </w:r>
    </w:p>
    <w:p w14:paraId="341D2E29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Liečba diabetickej periférnej </w:t>
      </w:r>
      <w:proofErr w:type="spellStart"/>
      <w:r w:rsidRPr="00E86955">
        <w:rPr>
          <w:sz w:val="22"/>
          <w:szCs w:val="22"/>
          <w:lang w:val="sk"/>
        </w:rPr>
        <w:t>neuropatickej</w:t>
      </w:r>
      <w:proofErr w:type="spellEnd"/>
      <w:r w:rsidRPr="00E86955">
        <w:rPr>
          <w:sz w:val="22"/>
          <w:szCs w:val="22"/>
          <w:lang w:val="sk"/>
        </w:rPr>
        <w:t xml:space="preserve"> bolesti. </w:t>
      </w:r>
    </w:p>
    <w:p w14:paraId="5E80AE5D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Liečba generalizovanej úzkostnej poruchy. </w:t>
      </w:r>
    </w:p>
    <w:p w14:paraId="09AE0CF7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753417C6" w14:textId="39C57799" w:rsidR="00C60153" w:rsidRPr="00E86955" w:rsidRDefault="001A3B94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Dulxetenon</w:t>
      </w:r>
      <w:proofErr w:type="spellEnd"/>
      <w:r w:rsidR="00AA7647" w:rsidRPr="00E86955">
        <w:rPr>
          <w:sz w:val="22"/>
          <w:szCs w:val="22"/>
          <w:lang w:val="sk"/>
        </w:rPr>
        <w:t xml:space="preserve"> </w:t>
      </w:r>
      <w:r w:rsidR="00A2708C" w:rsidRPr="00E86955">
        <w:rPr>
          <w:sz w:val="22"/>
          <w:szCs w:val="22"/>
          <w:lang w:val="sk"/>
        </w:rPr>
        <w:t xml:space="preserve">je indikovaný u dospelých. </w:t>
      </w:r>
    </w:p>
    <w:p w14:paraId="6A810209" w14:textId="77777777" w:rsidR="00C60153" w:rsidRPr="00E86955" w:rsidRDefault="00C60153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Ďalšie informácie nájdete v časti 5.1. </w:t>
      </w:r>
    </w:p>
    <w:p w14:paraId="7237FDE4" w14:textId="47C235D7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6913FFDF" w14:textId="028AC05A" w:rsidR="00003978" w:rsidRPr="00E86955" w:rsidRDefault="00003978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Dávkovanie a spôsob podávania </w:t>
      </w:r>
    </w:p>
    <w:p w14:paraId="3F4C0B84" w14:textId="00984829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6362AA4E" w14:textId="77777777" w:rsidR="00C60153" w:rsidRPr="00E86955" w:rsidRDefault="00C60153" w:rsidP="002011F9">
      <w:pPr>
        <w:pStyle w:val="Default"/>
        <w:rPr>
          <w:sz w:val="22"/>
          <w:szCs w:val="22"/>
          <w:u w:val="single"/>
        </w:rPr>
      </w:pPr>
      <w:r w:rsidRPr="00E86955">
        <w:rPr>
          <w:sz w:val="22"/>
          <w:szCs w:val="22"/>
          <w:u w:val="single"/>
          <w:lang w:val="sk"/>
        </w:rPr>
        <w:t xml:space="preserve">Dávkovanie </w:t>
      </w:r>
    </w:p>
    <w:p w14:paraId="5B2C6CFE" w14:textId="77777777" w:rsidR="008C73A8" w:rsidRPr="00E86955" w:rsidRDefault="008C73A8" w:rsidP="002011F9">
      <w:pPr>
        <w:pStyle w:val="Default"/>
        <w:rPr>
          <w:sz w:val="22"/>
          <w:szCs w:val="22"/>
          <w:u w:val="single"/>
        </w:rPr>
      </w:pPr>
    </w:p>
    <w:p w14:paraId="525E3360" w14:textId="77777777" w:rsidR="00C60153" w:rsidRPr="00E86955" w:rsidRDefault="00C60153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Veľká depresívna porucha: </w:t>
      </w:r>
    </w:p>
    <w:p w14:paraId="02E5C152" w14:textId="77777777" w:rsidR="008C73A8" w:rsidRPr="00E86955" w:rsidRDefault="008C73A8" w:rsidP="002011F9">
      <w:pPr>
        <w:pStyle w:val="Default"/>
        <w:rPr>
          <w:sz w:val="22"/>
          <w:szCs w:val="22"/>
        </w:rPr>
      </w:pPr>
    </w:p>
    <w:p w14:paraId="4336194A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Počiatočná a odporúčaná udržiavacia dávka je 60 mg jedenkrát denne s jedlom alebo bez jedla. V klinických štúdiách boli z hľadiska bezpečnosti hodnotené podané dávky vyššie ako 60 mg jedenkrát denne až po maximálnu dávku 120 mg denne. Klinický dôkaz o tom, že by pacienti nereagujúci na počiatočnú odporúčanú dávku mohli profitovať zo vzostupnej titrácie dávky však neexistuje. </w:t>
      </w:r>
    </w:p>
    <w:p w14:paraId="0D751610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5FDC16B0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Odpoveď na liečbu sa spravidla objaví po 2-4 týždňoch liečby. </w:t>
      </w:r>
    </w:p>
    <w:p w14:paraId="195F4498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76D728D9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Po konsolidácii antidepresívnej odpovede na liečbu sa odporúča v liečbe pokračovať ešte niekoľko mesiacov, aby sa zabránilo </w:t>
      </w:r>
      <w:proofErr w:type="spellStart"/>
      <w:r w:rsidRPr="00E86955">
        <w:rPr>
          <w:sz w:val="22"/>
          <w:szCs w:val="22"/>
          <w:lang w:val="sk"/>
        </w:rPr>
        <w:t>relapsu</w:t>
      </w:r>
      <w:proofErr w:type="spellEnd"/>
      <w:r w:rsidRPr="00E86955">
        <w:rPr>
          <w:sz w:val="22"/>
          <w:szCs w:val="22"/>
          <w:lang w:val="sk"/>
        </w:rPr>
        <w:t xml:space="preserve">. U pacientov odpovedajúcich na liečbu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a s históriou opakujúcich sa depresívnych epizód treba zvážiť ďalšiu dlhodobú liečbu s dávkou 60 až 120 mg/deň. </w:t>
      </w:r>
    </w:p>
    <w:p w14:paraId="3746FE6D" w14:textId="77777777" w:rsidR="00C60153" w:rsidRPr="00E86955" w:rsidRDefault="00C60153" w:rsidP="00E86955">
      <w:pPr>
        <w:pStyle w:val="Default"/>
        <w:rPr>
          <w:i/>
          <w:iCs/>
          <w:sz w:val="22"/>
          <w:szCs w:val="22"/>
        </w:rPr>
      </w:pPr>
    </w:p>
    <w:p w14:paraId="399B5D29" w14:textId="77777777" w:rsidR="00C60153" w:rsidRPr="00E86955" w:rsidRDefault="00C60153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>Generalizovaná úzkostná porucha:</w:t>
      </w:r>
    </w:p>
    <w:p w14:paraId="1851C543" w14:textId="77777777" w:rsidR="008C73A8" w:rsidRPr="00E86955" w:rsidRDefault="008C73A8" w:rsidP="002011F9">
      <w:pPr>
        <w:pStyle w:val="Default"/>
        <w:rPr>
          <w:sz w:val="22"/>
          <w:szCs w:val="22"/>
        </w:rPr>
      </w:pPr>
    </w:p>
    <w:p w14:paraId="14096D3D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Odporúčaná počiatočná dávka u pacientov s generalizovanou úzkostnou poruchou je 30 mg jedenkrát denne s jedlom alebo bez jedla. U pacientov bez dostatočnej odpovede sa má dávka zvýšiť na 60 mg, čo je zvyčajná udržiavacia dávka u väčšiny pacientov. </w:t>
      </w:r>
    </w:p>
    <w:p w14:paraId="48B08517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36EEAB95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U pacientov, ktorí trpia tiež veľkou depresívnou poruchou, počiatočná a udržiavacia dávka je 60 mg jedenkrát denne (prosím pozri tiež vyššie odporúčanie dávkovania). </w:t>
      </w:r>
    </w:p>
    <w:p w14:paraId="7D394000" w14:textId="77777777" w:rsidR="00C60153" w:rsidRPr="00E86955" w:rsidRDefault="00C60153" w:rsidP="002011F9">
      <w:pPr>
        <w:pStyle w:val="Default"/>
        <w:rPr>
          <w:color w:val="auto"/>
          <w:sz w:val="22"/>
          <w:szCs w:val="22"/>
        </w:rPr>
      </w:pPr>
    </w:p>
    <w:p w14:paraId="18594E24" w14:textId="1175893B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Preukázalo sa, že dávky až do 120 mg denne sú účinné a v klinických štúdiách boli hodnotené aj</w:t>
      </w:r>
      <w:r w:rsidR="002A461F" w:rsidRPr="00E86955">
        <w:rPr>
          <w:color w:val="auto"/>
          <w:sz w:val="22"/>
          <w:szCs w:val="22"/>
          <w:lang w:val="sk"/>
        </w:rPr>
        <w:t xml:space="preserve"> </w:t>
      </w:r>
      <w:r w:rsidRPr="00E86955">
        <w:rPr>
          <w:color w:val="auto"/>
          <w:sz w:val="22"/>
          <w:szCs w:val="22"/>
          <w:lang w:val="sk"/>
        </w:rPr>
        <w:t xml:space="preserve">z hľadiska bezpečnosti. U pacientov s nedostatočnou odpoveďou na 60 mg sa môže zvážiť zvýšenie dávky až na 90 mg alebo </w:t>
      </w:r>
      <w:r w:rsidRPr="00E86955">
        <w:rPr>
          <w:sz w:val="22"/>
          <w:szCs w:val="22"/>
          <w:lang w:val="sk"/>
        </w:rPr>
        <w:t xml:space="preserve">120 mg. Dávka sa má zvyšovať podľa klinickej odpovede a znášanlivosti. </w:t>
      </w:r>
    </w:p>
    <w:p w14:paraId="35178495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246293C" w14:textId="4390A599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>Po konsolidácii odpovede na liečbu sa odporúča v liečbe pokračovať ešte niekoľko mesi</w:t>
      </w:r>
      <w:r w:rsidR="009E5803" w:rsidRPr="00E86955">
        <w:rPr>
          <w:rFonts w:ascii="Times New Roman" w:hAnsi="Times New Roman"/>
          <w:color w:val="000000"/>
          <w:lang w:val="sk"/>
        </w:rPr>
        <w:t xml:space="preserve">acov, aby sa zabránilo </w:t>
      </w:r>
      <w:proofErr w:type="spellStart"/>
      <w:r w:rsidR="009E5803" w:rsidRPr="00E86955">
        <w:rPr>
          <w:rFonts w:ascii="Times New Roman" w:hAnsi="Times New Roman"/>
          <w:color w:val="000000"/>
          <w:lang w:val="sk"/>
        </w:rPr>
        <w:t>relapsu</w:t>
      </w:r>
      <w:proofErr w:type="spellEnd"/>
      <w:r w:rsidR="009E5803" w:rsidRPr="00E86955">
        <w:rPr>
          <w:rFonts w:ascii="Times New Roman" w:hAnsi="Times New Roman"/>
          <w:color w:val="000000"/>
          <w:lang w:val="sk"/>
        </w:rPr>
        <w:t>.</w:t>
      </w:r>
    </w:p>
    <w:p w14:paraId="38A8CC39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3EAF6FFD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Diabetická periférna </w:t>
      </w:r>
      <w:proofErr w:type="spellStart"/>
      <w:r w:rsidRPr="00E86955">
        <w:rPr>
          <w:rFonts w:ascii="Times New Roman" w:hAnsi="Times New Roman"/>
          <w:i/>
          <w:iCs/>
          <w:color w:val="000000"/>
          <w:lang w:val="sk"/>
        </w:rPr>
        <w:t>neuropatická</w:t>
      </w:r>
      <w:proofErr w:type="spellEnd"/>
      <w:r w:rsidRPr="00E86955">
        <w:rPr>
          <w:rFonts w:ascii="Times New Roman" w:hAnsi="Times New Roman"/>
          <w:i/>
          <w:iCs/>
          <w:color w:val="000000"/>
          <w:lang w:val="sk"/>
        </w:rPr>
        <w:t xml:space="preserve"> bolesť:</w:t>
      </w:r>
    </w:p>
    <w:p w14:paraId="6B68091C" w14:textId="77777777" w:rsidR="008C73A8" w:rsidRPr="00E86955" w:rsidRDefault="008C73A8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1326CF6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Počiatočná a odporúčaná udržiavacia dávka je 60 mg jedenkrát denne s jedlom alebo bez jedla. V klinických štúdiách boli z hľadiska bezpečnosti hodnotené dávky vyššie ako 60 mg jedenkrát denne až po maximálnu dávku 120 mg denne podané v rovnomerne rozdelených dávkach. Plazmatická koncentrácia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preukazuje veľkú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interindividuálnu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variabilitu (pozri časť 5.2). V dôsledku toho môže niektorým pacientom, ktorí nedostatočne reagujú na dávku 60 mg, vyššia dávka prospieť. </w:t>
      </w:r>
    </w:p>
    <w:p w14:paraId="568AE186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8FAA873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Odpoveď na liečbu sa má vyhodnocovať po dvoch mesiacoch liečby. U pacientov s nedostatočnou počiatočnou odpoveďou je dodatočná odpoveď po uplynutí tejto doby nepravdepodobná. </w:t>
      </w:r>
    </w:p>
    <w:p w14:paraId="331D044B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B3A73C7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Prínos liečby je potrebné pravidelne prehodnocovať (minimálne každé tri mesiace) (pozri časť 5.1). </w:t>
      </w:r>
    </w:p>
    <w:p w14:paraId="0C78A4E3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0B5A5B3B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Osobitné skupiny </w:t>
      </w:r>
    </w:p>
    <w:p w14:paraId="246A93D8" w14:textId="77777777" w:rsidR="008C73A8" w:rsidRPr="00E86955" w:rsidRDefault="008C73A8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7B67BCB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Starší pacienti </w:t>
      </w:r>
    </w:p>
    <w:p w14:paraId="1EB7E8AD" w14:textId="347CD8BE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Vyšší vek sám o sebe nie je dôvodom pre úpravu dávky. K liečbe starších pacientov je však potrebné pristupovať opatrne, najmä pri dávke </w:t>
      </w:r>
      <w:proofErr w:type="spellStart"/>
      <w:r w:rsidR="00806143" w:rsidRPr="00E86955">
        <w:rPr>
          <w:rFonts w:ascii="Times New Roman" w:hAnsi="Times New Roman"/>
          <w:color w:val="000000"/>
          <w:lang w:val="sk"/>
        </w:rPr>
        <w:t>d</w:t>
      </w:r>
      <w:r w:rsidRPr="00E86955">
        <w:rPr>
          <w:rFonts w:ascii="Times New Roman" w:hAnsi="Times New Roman"/>
          <w:color w:val="000000"/>
          <w:lang w:val="sk"/>
        </w:rPr>
        <w:t>uloxet</w:t>
      </w:r>
      <w:r w:rsidR="00806143" w:rsidRPr="00E86955">
        <w:rPr>
          <w:rFonts w:ascii="Times New Roman" w:hAnsi="Times New Roman"/>
          <w:color w:val="000000"/>
          <w:lang w:val="sk"/>
        </w:rPr>
        <w:t>í</w:t>
      </w:r>
      <w:r w:rsidRPr="00E86955">
        <w:rPr>
          <w:rFonts w:ascii="Times New Roman" w:hAnsi="Times New Roman"/>
          <w:color w:val="000000"/>
          <w:lang w:val="sk"/>
        </w:rPr>
        <w:t>n</w:t>
      </w:r>
      <w:r w:rsidR="00806143" w:rsidRPr="00E86955">
        <w:rPr>
          <w:rFonts w:ascii="Times New Roman" w:hAnsi="Times New Roman"/>
          <w:color w:val="000000"/>
          <w:lang w:val="sk"/>
        </w:rPr>
        <w:t>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120 mg denne pri liečbe veľkej depresívnej poruchy alebo generalizovanej úzkostnej poruchy, kde sú údaje obmedzené (pozri časti 4.4 a 5.2). </w:t>
      </w:r>
    </w:p>
    <w:p w14:paraId="1065E4BB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30049008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Porucha funkcie pečene </w:t>
      </w:r>
    </w:p>
    <w:p w14:paraId="3A16624A" w14:textId="24E2F192" w:rsidR="00C60153" w:rsidRPr="00E86955" w:rsidRDefault="001433FD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E86955">
        <w:rPr>
          <w:rFonts w:ascii="Times New Roman" w:hAnsi="Times New Roman"/>
          <w:color w:val="000000"/>
          <w:lang w:val="sk"/>
        </w:rPr>
        <w:t>Duloxet</w:t>
      </w:r>
      <w:r w:rsidR="002A461F" w:rsidRPr="00E86955">
        <w:rPr>
          <w:rFonts w:ascii="Times New Roman" w:hAnsi="Times New Roman"/>
          <w:color w:val="000000"/>
          <w:lang w:val="sk"/>
        </w:rPr>
        <w:t>í</w:t>
      </w:r>
      <w:r w:rsidRPr="00E86955">
        <w:rPr>
          <w:rFonts w:ascii="Times New Roman" w:hAnsi="Times New Roman"/>
          <w:color w:val="000000"/>
          <w:lang w:val="sk"/>
        </w:rPr>
        <w:t>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sa nesmie používať u pacientov, ktorí trpia ochorením pečene poškodzujúcim jej funkciu (pozri časti 4.3 a 5.2). </w:t>
      </w:r>
    </w:p>
    <w:p w14:paraId="07C5937E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41B7FDBF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Porucha funkcie obličiek </w:t>
      </w:r>
    </w:p>
    <w:p w14:paraId="4A8E7256" w14:textId="6D98CA86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>U pacientov s miernym alebo stredne závažným poškodením obličiek (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klírens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kreatinínu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30 až</w:t>
      </w:r>
      <w:r w:rsidR="002A461F" w:rsidRPr="00E86955">
        <w:rPr>
          <w:rFonts w:ascii="Times New Roman" w:hAnsi="Times New Roman"/>
          <w:color w:val="000000"/>
          <w:lang w:val="sk"/>
        </w:rPr>
        <w:t xml:space="preserve"> </w:t>
      </w:r>
      <w:r w:rsidRPr="00E86955">
        <w:rPr>
          <w:rFonts w:ascii="Times New Roman" w:hAnsi="Times New Roman"/>
          <w:color w:val="000000"/>
          <w:lang w:val="sk"/>
        </w:rPr>
        <w:t xml:space="preserve">80 ml/min) nie je nutné upravovať dávku.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</w:t>
      </w:r>
      <w:r w:rsidR="00806143" w:rsidRPr="00E86955">
        <w:rPr>
          <w:rFonts w:ascii="Times New Roman" w:hAnsi="Times New Roman"/>
          <w:color w:val="000000"/>
          <w:lang w:val="sk"/>
        </w:rPr>
        <w:t>í</w:t>
      </w:r>
      <w:r w:rsidRPr="00E86955">
        <w:rPr>
          <w:rFonts w:ascii="Times New Roman" w:hAnsi="Times New Roman"/>
          <w:color w:val="000000"/>
          <w:lang w:val="sk"/>
        </w:rPr>
        <w:t>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nesmú užívať pacienti so závažným poškodením obličiek (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klírens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kreatinínu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&lt;30 ml/min, pozri časť 4.3). </w:t>
      </w:r>
    </w:p>
    <w:p w14:paraId="55C520F0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068D6CE9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Pediatrická populácia </w:t>
      </w:r>
    </w:p>
    <w:p w14:paraId="7A97D253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E86955">
        <w:rPr>
          <w:rFonts w:ascii="Times New Roman" w:hAnsi="Times New Roman"/>
          <w:color w:val="000000"/>
          <w:lang w:val="sk"/>
        </w:rPr>
        <w:t>Duloxetín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sa nemá používať u detí 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dospievajcich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vo veku do 18 rokov na liečbu veľkej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veľkej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depresívnej poruchy z dôvodu obáv o bezpečnosť a účinnosť (pozri časti 4.4, 4.8 a 5.1). </w:t>
      </w:r>
    </w:p>
    <w:p w14:paraId="2D6CB663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E9DADBC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Bezpečnosť a účinnosť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na liečbu generalizovanej úzkostnej poruchy u pediatrických pacientov vo veku 7-17 rokov neboli stanovené. Aktuálne dostupné údaje sú uvedené v častiach 4.8, 5.1 a 5.2. </w:t>
      </w:r>
    </w:p>
    <w:p w14:paraId="421EE0DC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5A5306A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Bezpečnosť a účinnosť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na liečbu diabetickej periférnej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neuropatickej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bolesti sa neskúmali. K dispozícii nie sú žiadne údaje. </w:t>
      </w:r>
    </w:p>
    <w:p w14:paraId="1D3F19D8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18CF23F3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Ukončenie liečby </w:t>
      </w:r>
    </w:p>
    <w:p w14:paraId="5DA2E8C2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Je potrebné vyhnúť sa náhlemu vysadeniu. Pri ukončovaní liečby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sa má dávka znižovať postupne aspoň počas jedného až dvoch týždňov, aby sa znížilo riziko symptómov z vysadenia (pozri časti 4.4 a 4.8). Ak sa po znížení dávky alebo po vysadení liečby objavia neznesiteľné príznaky</w:t>
      </w:r>
      <w:r w:rsidR="008D3FC6" w:rsidRPr="00E86955">
        <w:rPr>
          <w:rFonts w:ascii="Times New Roman" w:hAnsi="Times New Roman"/>
          <w:color w:val="000000"/>
          <w:lang w:val="sk"/>
        </w:rPr>
        <w:t xml:space="preserve"> </w:t>
      </w:r>
      <w:r w:rsidRPr="00E86955">
        <w:rPr>
          <w:rFonts w:ascii="Times New Roman" w:hAnsi="Times New Roman"/>
          <w:color w:val="000000"/>
          <w:lang w:val="sk"/>
        </w:rPr>
        <w:t xml:space="preserve">z vysadenia, je potrebné zvážiť podávanie predtým predpísanej dávky. Neskôr môže lekár pokračovať v znižovaní dávky, ale oveľa postupnejšie. </w:t>
      </w:r>
    </w:p>
    <w:p w14:paraId="4DC83F41" w14:textId="77777777" w:rsidR="00C60153" w:rsidRPr="00E86955" w:rsidRDefault="00C60153" w:rsidP="00E869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62F8638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E86955">
        <w:rPr>
          <w:rFonts w:ascii="Times New Roman" w:hAnsi="Times New Roman"/>
          <w:color w:val="000000"/>
          <w:u w:val="single"/>
          <w:lang w:val="sk"/>
        </w:rPr>
        <w:t xml:space="preserve">Spôsob podávania </w:t>
      </w:r>
    </w:p>
    <w:p w14:paraId="383CD182" w14:textId="77777777" w:rsidR="008466EA" w:rsidRPr="00E86955" w:rsidRDefault="008466EA" w:rsidP="002011F9">
      <w:pPr>
        <w:pStyle w:val="Default"/>
        <w:rPr>
          <w:sz w:val="22"/>
          <w:szCs w:val="22"/>
        </w:rPr>
      </w:pPr>
    </w:p>
    <w:p w14:paraId="103E46CA" w14:textId="77777777" w:rsidR="00C60153" w:rsidRPr="00E86955" w:rsidRDefault="00C60153" w:rsidP="002011F9">
      <w:pPr>
        <w:pStyle w:val="Default"/>
        <w:rPr>
          <w:color w:val="auto"/>
          <w:sz w:val="22"/>
          <w:szCs w:val="22"/>
        </w:rPr>
      </w:pPr>
      <w:r w:rsidRPr="00E86955">
        <w:rPr>
          <w:sz w:val="22"/>
          <w:szCs w:val="22"/>
          <w:lang w:val="sk"/>
        </w:rPr>
        <w:t>Na perorálne použitie.</w:t>
      </w:r>
    </w:p>
    <w:p w14:paraId="402E6FB3" w14:textId="77777777" w:rsidR="00C60153" w:rsidRPr="00E86955" w:rsidRDefault="00C60153" w:rsidP="002011F9">
      <w:pPr>
        <w:pStyle w:val="Default"/>
        <w:rPr>
          <w:b/>
          <w:bCs/>
          <w:color w:val="auto"/>
          <w:sz w:val="22"/>
          <w:szCs w:val="22"/>
        </w:rPr>
      </w:pPr>
    </w:p>
    <w:p w14:paraId="50800855" w14:textId="2001F1AC" w:rsidR="00003978" w:rsidRPr="00E86955" w:rsidRDefault="00003978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Kontraindikácie </w:t>
      </w:r>
    </w:p>
    <w:p w14:paraId="5ACC8AB5" w14:textId="199E5E3C" w:rsidR="00003978" w:rsidRPr="00E86955" w:rsidRDefault="00003978" w:rsidP="002011F9">
      <w:pPr>
        <w:pStyle w:val="Default"/>
        <w:rPr>
          <w:color w:val="auto"/>
          <w:sz w:val="22"/>
          <w:szCs w:val="22"/>
        </w:rPr>
      </w:pPr>
    </w:p>
    <w:p w14:paraId="73F215D2" w14:textId="7D4B8CCC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>Precitlivenosť na liečivo alebo na ktorúkoľvek z po</w:t>
      </w:r>
      <w:r w:rsidR="009E5803" w:rsidRPr="00E86955">
        <w:rPr>
          <w:sz w:val="22"/>
          <w:szCs w:val="22"/>
          <w:lang w:val="sk"/>
        </w:rPr>
        <w:t>mocných látok uvedených v časti </w:t>
      </w:r>
      <w:r w:rsidRPr="00E86955">
        <w:rPr>
          <w:sz w:val="22"/>
          <w:szCs w:val="22"/>
          <w:lang w:val="sk"/>
        </w:rPr>
        <w:t>6.1</w:t>
      </w:r>
      <w:r w:rsidR="009E5803" w:rsidRPr="00E86955">
        <w:rPr>
          <w:sz w:val="22"/>
          <w:szCs w:val="22"/>
          <w:lang w:val="sk"/>
        </w:rPr>
        <w:t>.</w:t>
      </w:r>
    </w:p>
    <w:p w14:paraId="293C11DA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008595B7" w14:textId="07E4704B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Kontraindikované je súčasné podávanie </w:t>
      </w:r>
      <w:proofErr w:type="spellStart"/>
      <w:r w:rsidR="00315726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315726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r w:rsidR="00315726" w:rsidRPr="00E86955">
        <w:rPr>
          <w:sz w:val="22"/>
          <w:szCs w:val="22"/>
          <w:lang w:val="sk"/>
        </w:rPr>
        <w:t>u</w:t>
      </w:r>
      <w:proofErr w:type="spellEnd"/>
      <w:r w:rsidRPr="00E86955">
        <w:rPr>
          <w:sz w:val="22"/>
          <w:szCs w:val="22"/>
          <w:lang w:val="sk"/>
        </w:rPr>
        <w:t xml:space="preserve"> s neselektívnymi ireverzibilnými inhibítormi </w:t>
      </w:r>
      <w:proofErr w:type="spellStart"/>
      <w:r w:rsidRPr="00E86955">
        <w:rPr>
          <w:sz w:val="22"/>
          <w:szCs w:val="22"/>
          <w:lang w:val="sk"/>
        </w:rPr>
        <w:t>mono</w:t>
      </w:r>
      <w:r w:rsidR="009E5803" w:rsidRPr="00E86955">
        <w:rPr>
          <w:sz w:val="22"/>
          <w:szCs w:val="22"/>
          <w:lang w:val="sk"/>
        </w:rPr>
        <w:t>aminooxidázy</w:t>
      </w:r>
      <w:proofErr w:type="spellEnd"/>
      <w:r w:rsidR="009E5803" w:rsidRPr="00E86955">
        <w:rPr>
          <w:sz w:val="22"/>
          <w:szCs w:val="22"/>
          <w:lang w:val="sk"/>
        </w:rPr>
        <w:t xml:space="preserve"> (IMAO) (pozri časť 4.5).</w:t>
      </w:r>
    </w:p>
    <w:p w14:paraId="1FCD45D4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20FCA046" w14:textId="66F1889F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>Ochorenie pečene s následkom poruchy f</w:t>
      </w:r>
      <w:r w:rsidR="009E5803" w:rsidRPr="00E86955">
        <w:rPr>
          <w:sz w:val="22"/>
          <w:szCs w:val="22"/>
          <w:lang w:val="sk"/>
        </w:rPr>
        <w:t>unkcie pečene (pozri časť 5.2).</w:t>
      </w:r>
    </w:p>
    <w:p w14:paraId="169D5CA2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2DF781B7" w14:textId="0A2FD895" w:rsidR="00C60153" w:rsidRPr="00E86955" w:rsidRDefault="008466EA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</w:t>
      </w:r>
      <w:r w:rsidR="00315726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sa nemá používať v kombinácii s </w:t>
      </w:r>
      <w:proofErr w:type="spellStart"/>
      <w:r w:rsidRPr="00E86955">
        <w:rPr>
          <w:sz w:val="22"/>
          <w:szCs w:val="22"/>
          <w:lang w:val="sk"/>
        </w:rPr>
        <w:t>fluvoxamínom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ciprofloxacínom</w:t>
      </w:r>
      <w:proofErr w:type="spellEnd"/>
      <w:r w:rsidRPr="00E86955">
        <w:rPr>
          <w:sz w:val="22"/>
          <w:szCs w:val="22"/>
          <w:lang w:val="sk"/>
        </w:rPr>
        <w:t xml:space="preserve"> či </w:t>
      </w:r>
      <w:proofErr w:type="spellStart"/>
      <w:r w:rsidRPr="00E86955">
        <w:rPr>
          <w:sz w:val="22"/>
          <w:szCs w:val="22"/>
          <w:lang w:val="sk"/>
        </w:rPr>
        <w:t>enoxacínom</w:t>
      </w:r>
      <w:proofErr w:type="spellEnd"/>
      <w:r w:rsidRPr="00E86955">
        <w:rPr>
          <w:sz w:val="22"/>
          <w:szCs w:val="22"/>
          <w:lang w:val="sk"/>
        </w:rPr>
        <w:t xml:space="preserve"> (</w:t>
      </w:r>
      <w:proofErr w:type="spellStart"/>
      <w:r w:rsidRPr="00E86955">
        <w:rPr>
          <w:sz w:val="22"/>
          <w:szCs w:val="22"/>
          <w:lang w:val="sk"/>
        </w:rPr>
        <w:t>t.j</w:t>
      </w:r>
      <w:proofErr w:type="spellEnd"/>
      <w:r w:rsidRPr="00E86955">
        <w:rPr>
          <w:sz w:val="22"/>
          <w:szCs w:val="22"/>
          <w:lang w:val="sk"/>
        </w:rPr>
        <w:t>.</w:t>
      </w:r>
      <w:r w:rsidR="009E5803" w:rsidRPr="00E86955">
        <w:rPr>
          <w:sz w:val="22"/>
          <w:szCs w:val="22"/>
          <w:lang w:val="sk"/>
        </w:rPr>
        <w:t> </w:t>
      </w:r>
      <w:r w:rsidRPr="00E86955">
        <w:rPr>
          <w:sz w:val="22"/>
          <w:szCs w:val="22"/>
          <w:lang w:val="sk"/>
        </w:rPr>
        <w:t xml:space="preserve">silnými inhibítormi CYP1A2), pretože táto kombinácia vedie k zvýšenej plazmatickej koncentrácii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(pozri časť 4.5). </w:t>
      </w:r>
    </w:p>
    <w:p w14:paraId="0B3816EC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01D417DE" w14:textId="0EF7F1AB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>Závažné poškoden</w:t>
      </w:r>
      <w:r w:rsidR="009E5803" w:rsidRPr="00E86955">
        <w:rPr>
          <w:sz w:val="22"/>
          <w:szCs w:val="22"/>
          <w:lang w:val="sk"/>
        </w:rPr>
        <w:t>ie obličiek (</w:t>
      </w:r>
      <w:proofErr w:type="spellStart"/>
      <w:r w:rsidR="009E5803" w:rsidRPr="00E86955">
        <w:rPr>
          <w:sz w:val="22"/>
          <w:szCs w:val="22"/>
          <w:lang w:val="sk"/>
        </w:rPr>
        <w:t>klírens</w:t>
      </w:r>
      <w:proofErr w:type="spellEnd"/>
      <w:r w:rsidR="009E5803" w:rsidRPr="00E86955">
        <w:rPr>
          <w:sz w:val="22"/>
          <w:szCs w:val="22"/>
          <w:lang w:val="sk"/>
        </w:rPr>
        <w:t xml:space="preserve"> </w:t>
      </w:r>
      <w:proofErr w:type="spellStart"/>
      <w:r w:rsidR="009E5803" w:rsidRPr="00E86955">
        <w:rPr>
          <w:sz w:val="22"/>
          <w:szCs w:val="22"/>
          <w:lang w:val="sk"/>
        </w:rPr>
        <w:t>kreatinínu</w:t>
      </w:r>
      <w:proofErr w:type="spellEnd"/>
      <w:r w:rsidR="009E5803" w:rsidRPr="00E86955">
        <w:rPr>
          <w:sz w:val="22"/>
          <w:szCs w:val="22"/>
          <w:lang w:val="sk"/>
        </w:rPr>
        <w:t> &lt;30 </w:t>
      </w:r>
      <w:r w:rsidRPr="00E86955">
        <w:rPr>
          <w:sz w:val="22"/>
          <w:szCs w:val="22"/>
          <w:lang w:val="sk"/>
        </w:rPr>
        <w:t xml:space="preserve">ml/min) (pozri časť 4.4). </w:t>
      </w:r>
    </w:p>
    <w:p w14:paraId="40A45D5A" w14:textId="77777777" w:rsidR="00C60153" w:rsidRPr="00E86955" w:rsidRDefault="00C60153" w:rsidP="002011F9">
      <w:pPr>
        <w:pStyle w:val="Default"/>
        <w:rPr>
          <w:color w:val="auto"/>
          <w:sz w:val="22"/>
          <w:szCs w:val="22"/>
        </w:rPr>
      </w:pPr>
    </w:p>
    <w:p w14:paraId="7C9E22A5" w14:textId="28F51FBE" w:rsidR="00003978" w:rsidRPr="00E86955" w:rsidRDefault="00C60153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Začatie liečby </w:t>
      </w:r>
      <w:proofErr w:type="spellStart"/>
      <w:r w:rsidR="00315726" w:rsidRPr="00E86955">
        <w:rPr>
          <w:color w:val="auto"/>
          <w:sz w:val="22"/>
          <w:szCs w:val="22"/>
          <w:lang w:val="sk"/>
        </w:rPr>
        <w:t>d</w:t>
      </w:r>
      <w:r w:rsidRPr="00E86955">
        <w:rPr>
          <w:color w:val="auto"/>
          <w:sz w:val="22"/>
          <w:szCs w:val="22"/>
          <w:lang w:val="sk"/>
        </w:rPr>
        <w:t>uloxet</w:t>
      </w:r>
      <w:r w:rsidR="00315726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</w:t>
      </w:r>
      <w:r w:rsidR="00315726" w:rsidRPr="00E86955">
        <w:rPr>
          <w:color w:val="auto"/>
          <w:sz w:val="22"/>
          <w:szCs w:val="22"/>
          <w:lang w:val="sk"/>
        </w:rPr>
        <w:t>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je kontraindikované u pacientov s nekontrolovanou hypertenziou, pretože by mohlo vystaviť pacientov potenciálnemu riziku vzniku </w:t>
      </w:r>
      <w:proofErr w:type="spellStart"/>
      <w:r w:rsidRPr="00E86955">
        <w:rPr>
          <w:color w:val="auto"/>
          <w:sz w:val="22"/>
          <w:szCs w:val="22"/>
          <w:lang w:val="sk"/>
        </w:rPr>
        <w:t>hypertenznej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krízy (pozri časti 4.4 a 4.8). </w:t>
      </w:r>
    </w:p>
    <w:p w14:paraId="59A3FE0A" w14:textId="77777777" w:rsidR="00C60153" w:rsidRPr="00E86955" w:rsidRDefault="00C60153" w:rsidP="002011F9">
      <w:pPr>
        <w:pStyle w:val="Default"/>
        <w:rPr>
          <w:b/>
          <w:bCs/>
          <w:color w:val="auto"/>
          <w:sz w:val="22"/>
          <w:szCs w:val="22"/>
        </w:rPr>
      </w:pPr>
    </w:p>
    <w:p w14:paraId="0355A745" w14:textId="05A11713" w:rsidR="00003978" w:rsidRPr="00E86955" w:rsidRDefault="00003978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Osobitné upozornenia a opatrenia pri používaní </w:t>
      </w:r>
    </w:p>
    <w:p w14:paraId="07FEA92F" w14:textId="5ECF9290" w:rsidR="00003978" w:rsidRPr="00E86955" w:rsidRDefault="00003978" w:rsidP="002011F9">
      <w:pPr>
        <w:pStyle w:val="Default"/>
        <w:rPr>
          <w:b/>
          <w:bCs/>
          <w:color w:val="auto"/>
          <w:sz w:val="22"/>
          <w:szCs w:val="22"/>
        </w:rPr>
      </w:pPr>
    </w:p>
    <w:p w14:paraId="4FAD1C82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Mánia a záchvaty </w:t>
      </w:r>
    </w:p>
    <w:p w14:paraId="3F2B760D" w14:textId="353E2D35" w:rsidR="00C60153" w:rsidRPr="00E86955" w:rsidRDefault="001433FD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</w:t>
      </w:r>
      <w:r w:rsidR="00783FCC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sa má s opatrnosťou používať u pacientov, ktorí majú v anamnéze mániu alebo diagnózu bipolárnej poruchy a/alebo záchvaty. </w:t>
      </w:r>
    </w:p>
    <w:p w14:paraId="015CADDD" w14:textId="77777777" w:rsidR="00C60153" w:rsidRPr="00E86955" w:rsidRDefault="00C60153" w:rsidP="002011F9">
      <w:pPr>
        <w:pStyle w:val="Default"/>
        <w:rPr>
          <w:i/>
          <w:iCs/>
          <w:sz w:val="22"/>
          <w:szCs w:val="22"/>
        </w:rPr>
      </w:pPr>
    </w:p>
    <w:p w14:paraId="5B86A24B" w14:textId="77777777" w:rsidR="00C60153" w:rsidRPr="00E86955" w:rsidRDefault="00C60153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i/>
          <w:iCs/>
          <w:sz w:val="22"/>
          <w:szCs w:val="22"/>
          <w:lang w:val="sk"/>
        </w:rPr>
        <w:t>Mydriáza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</w:t>
      </w:r>
    </w:p>
    <w:p w14:paraId="570CFB20" w14:textId="77777777" w:rsidR="00C60153" w:rsidRPr="00E86955" w:rsidRDefault="00C60153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Mydriáza</w:t>
      </w:r>
      <w:proofErr w:type="spellEnd"/>
      <w:r w:rsidRPr="00E86955">
        <w:rPr>
          <w:sz w:val="22"/>
          <w:szCs w:val="22"/>
          <w:lang w:val="sk"/>
        </w:rPr>
        <w:t xml:space="preserve"> sa udáva v spojitosti s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, preto je potrebné postupovať opatrne pri predpisovaní </w:t>
      </w:r>
      <w:proofErr w:type="spellStart"/>
      <w:r w:rsidRPr="00E86955">
        <w:rPr>
          <w:sz w:val="22"/>
          <w:szCs w:val="22"/>
          <w:lang w:val="sk"/>
        </w:rPr>
        <w:t>Duloxetine</w:t>
      </w:r>
      <w:proofErr w:type="spellEnd"/>
      <w:r w:rsidRPr="00E86955">
        <w:rPr>
          <w:sz w:val="22"/>
          <w:szCs w:val="22"/>
          <w:lang w:val="sk"/>
        </w:rPr>
        <w:t xml:space="preserve"> pacientom so zvýšeným </w:t>
      </w:r>
      <w:proofErr w:type="spellStart"/>
      <w:r w:rsidRPr="00E86955">
        <w:rPr>
          <w:sz w:val="22"/>
          <w:szCs w:val="22"/>
          <w:lang w:val="sk"/>
        </w:rPr>
        <w:t>vnútroočným</w:t>
      </w:r>
      <w:proofErr w:type="spellEnd"/>
      <w:r w:rsidRPr="00E86955">
        <w:rPr>
          <w:sz w:val="22"/>
          <w:szCs w:val="22"/>
          <w:lang w:val="sk"/>
        </w:rPr>
        <w:t xml:space="preserve"> tlakom alebo pacientom, u ktorých je riziko vzniku akútneho </w:t>
      </w:r>
      <w:proofErr w:type="spellStart"/>
      <w:r w:rsidRPr="00E86955">
        <w:rPr>
          <w:sz w:val="22"/>
          <w:szCs w:val="22"/>
          <w:lang w:val="sk"/>
        </w:rPr>
        <w:t>glaukómu</w:t>
      </w:r>
      <w:proofErr w:type="spellEnd"/>
      <w:r w:rsidRPr="00E86955">
        <w:rPr>
          <w:sz w:val="22"/>
          <w:szCs w:val="22"/>
          <w:lang w:val="sk"/>
        </w:rPr>
        <w:t xml:space="preserve"> s úzkym uhlom. </w:t>
      </w:r>
    </w:p>
    <w:p w14:paraId="280AE4CD" w14:textId="77777777" w:rsidR="00C60153" w:rsidRPr="00E86955" w:rsidRDefault="00C60153" w:rsidP="002011F9">
      <w:pPr>
        <w:pStyle w:val="Default"/>
        <w:rPr>
          <w:i/>
          <w:iCs/>
          <w:sz w:val="22"/>
          <w:szCs w:val="22"/>
        </w:rPr>
      </w:pPr>
    </w:p>
    <w:p w14:paraId="44F84EB6" w14:textId="77777777" w:rsidR="00C60153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Tlak krvi a srdcová frekvencia </w:t>
      </w:r>
    </w:p>
    <w:p w14:paraId="04F0657A" w14:textId="77777777" w:rsidR="00C60153" w:rsidRPr="00E86955" w:rsidRDefault="00C60153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U niektorých pacientov bolo užívanie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spojené so zvýšeným krvným tlakom a klinicky významnou hypertenziou. Môže to súvisieť s </w:t>
      </w:r>
      <w:proofErr w:type="spellStart"/>
      <w:r w:rsidRPr="00E86955">
        <w:rPr>
          <w:color w:val="auto"/>
          <w:sz w:val="22"/>
          <w:szCs w:val="22"/>
          <w:lang w:val="sk"/>
        </w:rPr>
        <w:t>noradrenergickým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pôsobením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. V súvislosti s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boli zaznamenané prípady </w:t>
      </w:r>
      <w:proofErr w:type="spellStart"/>
      <w:r w:rsidRPr="00E86955">
        <w:rPr>
          <w:color w:val="auto"/>
          <w:sz w:val="22"/>
          <w:szCs w:val="22"/>
          <w:lang w:val="sk"/>
        </w:rPr>
        <w:t>hypertenznej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krízy, hlavne u pacientov s </w:t>
      </w:r>
      <w:proofErr w:type="spellStart"/>
      <w:r w:rsidRPr="00E86955">
        <w:rPr>
          <w:color w:val="auto"/>
          <w:sz w:val="22"/>
          <w:szCs w:val="22"/>
          <w:lang w:val="sk"/>
        </w:rPr>
        <w:t>preexistujúcou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hypertenziou. Preto sa u pacientov so známou hypertenziou a/alebo iným ochorením srdca odporúča monitorovanie krvného tlaku, najmä počas prvého mesiaca liečby. Pacientom, ktorých zdravotný stav by sa mohol zhoršiť zvýšením srdcovej frekvencie alebo zvýšením krvného tlaku, sa má </w:t>
      </w:r>
      <w:proofErr w:type="spellStart"/>
      <w:r w:rsidRPr="00E86955">
        <w:rPr>
          <w:color w:val="auto"/>
          <w:sz w:val="22"/>
          <w:szCs w:val="22"/>
          <w:lang w:val="sk"/>
        </w:rPr>
        <w:t>duloxetín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podávať opatrne. Opatrnosť je tiež potrebná, keď sa </w:t>
      </w:r>
      <w:proofErr w:type="spellStart"/>
      <w:r w:rsidRPr="00E86955">
        <w:rPr>
          <w:color w:val="auto"/>
          <w:sz w:val="22"/>
          <w:szCs w:val="22"/>
          <w:lang w:val="sk"/>
        </w:rPr>
        <w:t>duloxetín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podáva s liekmi, ktoré môžu narušiť jeho metabolizmus (pozri časť 4.5). U pacientov, u ktorých sa vyskytlo trvalé zvýšenie krvného tlaku počas užívania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, je potrebné zvážiť buď zníženie dávky alebo postupné vysadenie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(pozri časť 4.8). U pacientov s nekontrolovanou hypertenziou sa nemá začať liečba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(pozri časť 4.3).</w:t>
      </w:r>
    </w:p>
    <w:p w14:paraId="1571A621" w14:textId="77777777" w:rsidR="00C60153" w:rsidRPr="00E86955" w:rsidRDefault="00C60153" w:rsidP="002011F9">
      <w:pPr>
        <w:pStyle w:val="Default"/>
        <w:rPr>
          <w:color w:val="auto"/>
          <w:sz w:val="22"/>
          <w:szCs w:val="22"/>
        </w:rPr>
      </w:pPr>
    </w:p>
    <w:p w14:paraId="43FF0B4B" w14:textId="77777777" w:rsidR="00C60153" w:rsidRPr="00E86955" w:rsidRDefault="00C60153" w:rsidP="002011F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lastRenderedPageBreak/>
        <w:t xml:space="preserve">Porucha funkcie obličiek </w:t>
      </w:r>
    </w:p>
    <w:p w14:paraId="2A6104C7" w14:textId="77777777" w:rsidR="00C60153" w:rsidRPr="00E86955" w:rsidRDefault="00C60153" w:rsidP="002011F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>U pacientov so závažným poškodením obličiek na hemodialýze (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klírens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kreatinínu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&lt;30 ml/min) dochádza k zvýšenej plazmatickej koncentrácii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. Informácie o pacientoch so závažným poškodením obličiek pozri v časti 4.3. Informácie o pacientoch s miernym alebo stredne závažným poškodením obličiek pozri v časti 4.2. </w:t>
      </w:r>
    </w:p>
    <w:p w14:paraId="67011989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303D9568" w14:textId="77777777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E86955">
        <w:rPr>
          <w:rFonts w:ascii="Times New Roman" w:hAnsi="Times New Roman"/>
          <w:i/>
          <w:iCs/>
          <w:color w:val="000000"/>
          <w:lang w:val="sk"/>
        </w:rPr>
        <w:t>Sérotonínový</w:t>
      </w:r>
      <w:proofErr w:type="spellEnd"/>
      <w:r w:rsidRPr="00E86955">
        <w:rPr>
          <w:rFonts w:ascii="Times New Roman" w:hAnsi="Times New Roman"/>
          <w:i/>
          <w:iCs/>
          <w:color w:val="000000"/>
          <w:lang w:val="sk"/>
        </w:rPr>
        <w:t xml:space="preserve"> syndróm </w:t>
      </w:r>
    </w:p>
    <w:p w14:paraId="45997B31" w14:textId="4409AA1E" w:rsidR="00C60153" w:rsidRPr="00E86955" w:rsidRDefault="00C60153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Tak ako pri ostatných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sérotonergických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látkach, môže sa pri liečbe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vyskytnúť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sérotonínový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syndróm. ktorý je potenciálne život ohrozujúcim stavom, najmä pri súčasnom podávaní iných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sérotonínových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látok (vrátane SSRI, SNRI,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tricyklických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antidepresív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alebo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triptánov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), látok, ktoré upravujú metabolizmus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sérotonínu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ako napr. IMAO alebo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antipsychotiká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či ďalšie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dopamínové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antagonisty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, ktoré môžu mať vplyv na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sérotonergický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neurotransmiterový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</w:t>
      </w:r>
      <w:r w:rsidR="009E5803" w:rsidRPr="00E86955">
        <w:rPr>
          <w:rFonts w:ascii="Times New Roman" w:hAnsi="Times New Roman"/>
          <w:color w:val="000000"/>
          <w:lang w:val="sk"/>
        </w:rPr>
        <w:t>systém (pozri časti 4.3 a 4.5).</w:t>
      </w:r>
    </w:p>
    <w:p w14:paraId="2C17DA6C" w14:textId="77777777" w:rsidR="00C60153" w:rsidRPr="00E86955" w:rsidRDefault="00C60153" w:rsidP="002011F9">
      <w:pPr>
        <w:pStyle w:val="Default"/>
        <w:rPr>
          <w:sz w:val="22"/>
          <w:szCs w:val="22"/>
        </w:rPr>
      </w:pPr>
    </w:p>
    <w:p w14:paraId="2A232FFC" w14:textId="77777777" w:rsidR="002C4B91" w:rsidRPr="00E86955" w:rsidRDefault="00C60153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Symptómy </w:t>
      </w:r>
      <w:proofErr w:type="spellStart"/>
      <w:r w:rsidRPr="00E86955">
        <w:rPr>
          <w:sz w:val="22"/>
          <w:szCs w:val="22"/>
          <w:lang w:val="sk"/>
        </w:rPr>
        <w:t>sérotonínového</w:t>
      </w:r>
      <w:proofErr w:type="spellEnd"/>
      <w:r w:rsidRPr="00E86955">
        <w:rPr>
          <w:sz w:val="22"/>
          <w:szCs w:val="22"/>
          <w:lang w:val="sk"/>
        </w:rPr>
        <w:t xml:space="preserve"> syndrómu môžu zahŕňať zmeny psychického stavu (napr. agitáciu, halucinácie, kómu), autonómnu nestabilitu (napr. </w:t>
      </w:r>
      <w:proofErr w:type="spellStart"/>
      <w:r w:rsidRPr="00E86955">
        <w:rPr>
          <w:sz w:val="22"/>
          <w:szCs w:val="22"/>
          <w:lang w:val="sk"/>
        </w:rPr>
        <w:t>tachykardiu</w:t>
      </w:r>
      <w:proofErr w:type="spellEnd"/>
      <w:r w:rsidRPr="00E86955">
        <w:rPr>
          <w:sz w:val="22"/>
          <w:szCs w:val="22"/>
          <w:lang w:val="sk"/>
        </w:rPr>
        <w:t xml:space="preserve">, labilný krvný tlak, </w:t>
      </w:r>
      <w:proofErr w:type="spellStart"/>
      <w:r w:rsidRPr="00E86955">
        <w:rPr>
          <w:sz w:val="22"/>
          <w:szCs w:val="22"/>
          <w:lang w:val="sk"/>
        </w:rPr>
        <w:t>hypertermiu</w:t>
      </w:r>
      <w:proofErr w:type="spellEnd"/>
      <w:r w:rsidRPr="00E86955">
        <w:rPr>
          <w:sz w:val="22"/>
          <w:szCs w:val="22"/>
          <w:lang w:val="sk"/>
        </w:rPr>
        <w:t xml:space="preserve">), </w:t>
      </w:r>
      <w:proofErr w:type="spellStart"/>
      <w:r w:rsidRPr="00E86955">
        <w:rPr>
          <w:sz w:val="22"/>
          <w:szCs w:val="22"/>
          <w:lang w:val="sk"/>
        </w:rPr>
        <w:t>neuromuskulárne</w:t>
      </w:r>
      <w:proofErr w:type="spellEnd"/>
      <w:r w:rsidRPr="00E86955">
        <w:rPr>
          <w:sz w:val="22"/>
          <w:szCs w:val="22"/>
          <w:lang w:val="sk"/>
        </w:rPr>
        <w:t xml:space="preserve"> aberácie (napr. </w:t>
      </w:r>
      <w:proofErr w:type="spellStart"/>
      <w:r w:rsidRPr="00E86955">
        <w:rPr>
          <w:sz w:val="22"/>
          <w:szCs w:val="22"/>
          <w:lang w:val="sk"/>
        </w:rPr>
        <w:t>hyperreflexiu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nekoordináciu</w:t>
      </w:r>
      <w:proofErr w:type="spellEnd"/>
      <w:r w:rsidRPr="00E86955">
        <w:rPr>
          <w:sz w:val="22"/>
          <w:szCs w:val="22"/>
          <w:lang w:val="sk"/>
        </w:rPr>
        <w:t xml:space="preserve">) a/alebo </w:t>
      </w:r>
      <w:proofErr w:type="spellStart"/>
      <w:r w:rsidRPr="00E86955">
        <w:rPr>
          <w:sz w:val="22"/>
          <w:szCs w:val="22"/>
          <w:lang w:val="sk"/>
        </w:rPr>
        <w:t>gastrointestinálne</w:t>
      </w:r>
      <w:proofErr w:type="spellEnd"/>
      <w:r w:rsidRPr="00E86955">
        <w:rPr>
          <w:sz w:val="22"/>
          <w:szCs w:val="22"/>
          <w:lang w:val="sk"/>
        </w:rPr>
        <w:t xml:space="preserve"> symptómy (napr. nauzea, vracanie, hnačka). </w:t>
      </w:r>
    </w:p>
    <w:p w14:paraId="22F4ACB7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1F92BDFA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Ak je súčasné podávanie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a iných </w:t>
      </w:r>
      <w:proofErr w:type="spellStart"/>
      <w:r w:rsidRPr="00E86955">
        <w:rPr>
          <w:sz w:val="22"/>
          <w:szCs w:val="22"/>
          <w:lang w:val="sk"/>
        </w:rPr>
        <w:t>sérotonergických</w:t>
      </w:r>
      <w:proofErr w:type="spellEnd"/>
      <w:r w:rsidRPr="00E86955">
        <w:rPr>
          <w:sz w:val="22"/>
          <w:szCs w:val="22"/>
          <w:lang w:val="sk"/>
        </w:rPr>
        <w:t xml:space="preserve"> látok, ktoré môžu ovplyvniť </w:t>
      </w:r>
      <w:proofErr w:type="spellStart"/>
      <w:r w:rsidRPr="00E86955">
        <w:rPr>
          <w:sz w:val="22"/>
          <w:szCs w:val="22"/>
          <w:lang w:val="sk"/>
        </w:rPr>
        <w:t>sérotonergické</w:t>
      </w:r>
      <w:proofErr w:type="spellEnd"/>
      <w:r w:rsidRPr="00E86955">
        <w:rPr>
          <w:sz w:val="22"/>
          <w:szCs w:val="22"/>
          <w:lang w:val="sk"/>
        </w:rPr>
        <w:t xml:space="preserve"> a/alebo </w:t>
      </w:r>
      <w:proofErr w:type="spellStart"/>
      <w:r w:rsidRPr="00E86955">
        <w:rPr>
          <w:sz w:val="22"/>
          <w:szCs w:val="22"/>
          <w:lang w:val="sk"/>
        </w:rPr>
        <w:t>dopaminergické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neurotransmiterové</w:t>
      </w:r>
      <w:proofErr w:type="spellEnd"/>
      <w:r w:rsidRPr="00E86955">
        <w:rPr>
          <w:sz w:val="22"/>
          <w:szCs w:val="22"/>
          <w:lang w:val="sk"/>
        </w:rPr>
        <w:t xml:space="preserve"> systémy, klinicky opodstatnené, odporúča sa dôkladné sledovanie pacienta, najmä na začiatku liečby a pri zvyšovaní dávok. </w:t>
      </w:r>
    </w:p>
    <w:p w14:paraId="5B8EDCF6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12BFAB9A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Ľubovník bodkovaný </w:t>
      </w:r>
    </w:p>
    <w:p w14:paraId="5E26EB71" w14:textId="681C3408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Nežiaduce reakcie sa môžu častejšie vyskytovať v priebehu súčasného užívania </w:t>
      </w:r>
      <w:proofErr w:type="spellStart"/>
      <w:r w:rsidR="00DC0E22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DC0E22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r w:rsidR="00DC0E22" w:rsidRPr="00E86955">
        <w:rPr>
          <w:sz w:val="22"/>
          <w:szCs w:val="22"/>
          <w:lang w:val="sk"/>
        </w:rPr>
        <w:t>u</w:t>
      </w:r>
      <w:proofErr w:type="spellEnd"/>
      <w:r w:rsidRPr="00E86955">
        <w:rPr>
          <w:sz w:val="22"/>
          <w:szCs w:val="22"/>
          <w:lang w:val="sk"/>
        </w:rPr>
        <w:t xml:space="preserve"> a </w:t>
      </w:r>
      <w:r w:rsidR="00783FCC" w:rsidRPr="00E86955">
        <w:rPr>
          <w:sz w:val="22"/>
          <w:szCs w:val="22"/>
          <w:lang w:val="sk"/>
        </w:rPr>
        <w:t>rastlinných</w:t>
      </w:r>
      <w:r w:rsidRPr="00E86955">
        <w:rPr>
          <w:sz w:val="22"/>
          <w:szCs w:val="22"/>
          <w:lang w:val="sk"/>
        </w:rPr>
        <w:t xml:space="preserve"> prípravkov obsahujúcich ľubovník bodkovaný (</w:t>
      </w:r>
      <w:proofErr w:type="spellStart"/>
      <w:r w:rsidRPr="00E86955">
        <w:rPr>
          <w:sz w:val="22"/>
          <w:szCs w:val="22"/>
          <w:lang w:val="sk"/>
        </w:rPr>
        <w:t>Hypericum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perforatum</w:t>
      </w:r>
      <w:proofErr w:type="spellEnd"/>
      <w:r w:rsidRPr="00E86955">
        <w:rPr>
          <w:sz w:val="22"/>
          <w:szCs w:val="22"/>
          <w:lang w:val="sk"/>
        </w:rPr>
        <w:t xml:space="preserve">). </w:t>
      </w:r>
    </w:p>
    <w:p w14:paraId="1623263F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68F1194B" w14:textId="1D04F2EC" w:rsidR="00EA238B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Samovražda </w:t>
      </w:r>
    </w:p>
    <w:p w14:paraId="04643E99" w14:textId="77777777" w:rsidR="00EA238B" w:rsidRPr="00E86955" w:rsidRDefault="002C4B91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Veľká depresívna porucha a generalizovaná úzkostná porucha </w:t>
      </w:r>
    </w:p>
    <w:p w14:paraId="14C219B9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Depresiu sprevádza vyššie riziko </w:t>
      </w:r>
      <w:proofErr w:type="spellStart"/>
      <w:r w:rsidRPr="00E86955">
        <w:rPr>
          <w:sz w:val="22"/>
          <w:szCs w:val="22"/>
          <w:lang w:val="sk"/>
        </w:rPr>
        <w:t>suicidálnych</w:t>
      </w:r>
      <w:proofErr w:type="spellEnd"/>
      <w:r w:rsidRPr="00E86955">
        <w:rPr>
          <w:sz w:val="22"/>
          <w:szCs w:val="22"/>
          <w:lang w:val="sk"/>
        </w:rPr>
        <w:t xml:space="preserve"> myšlienok, </w:t>
      </w:r>
      <w:proofErr w:type="spellStart"/>
      <w:r w:rsidRPr="00E86955">
        <w:rPr>
          <w:sz w:val="22"/>
          <w:szCs w:val="22"/>
          <w:lang w:val="sk"/>
        </w:rPr>
        <w:t>sebapoškodzovania</w:t>
      </w:r>
      <w:proofErr w:type="spellEnd"/>
      <w:r w:rsidRPr="00E86955">
        <w:rPr>
          <w:sz w:val="22"/>
          <w:szCs w:val="22"/>
          <w:lang w:val="sk"/>
        </w:rPr>
        <w:t xml:space="preserve"> a samovraždy (udalosti spojené so samovraždou). Toto riziko pretrváva, až kým sa nedostaví signifikantná </w:t>
      </w:r>
      <w:proofErr w:type="spellStart"/>
      <w:r w:rsidRPr="00E86955">
        <w:rPr>
          <w:sz w:val="22"/>
          <w:szCs w:val="22"/>
          <w:lang w:val="sk"/>
        </w:rPr>
        <w:t>remisia</w:t>
      </w:r>
      <w:proofErr w:type="spellEnd"/>
      <w:r w:rsidRPr="00E86955">
        <w:rPr>
          <w:sz w:val="22"/>
          <w:szCs w:val="22"/>
          <w:lang w:val="sk"/>
        </w:rPr>
        <w:t>. Keďže zlepšenie nemusí nastať v priebehu prvých niekoľkých alebo viacerých týždňov liečby, pacient má byť starostlivo sledovaný, až kým sa toto zlepšenie nedostaví. Je všeobecná klinická skúsenosť, že</w:t>
      </w:r>
      <w:r w:rsidR="00FB4725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v skorých fázach zotavovania môže riziko samovraždy vzrásť. </w:t>
      </w:r>
    </w:p>
    <w:p w14:paraId="75619323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3B56AA1D" w14:textId="046D3D3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Aj ostatné psychické poruchy, na liečbu ktorých sa </w:t>
      </w:r>
      <w:proofErr w:type="spellStart"/>
      <w:r w:rsidR="00DC0E22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DC0E22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predpisuje, môžu byť spojené so zvýšeným rizikom udalostí spojených so samovraždou. Navyše tieto poruchy môžu byť </w:t>
      </w:r>
      <w:proofErr w:type="spellStart"/>
      <w:r w:rsidRPr="00E86955">
        <w:rPr>
          <w:sz w:val="22"/>
          <w:szCs w:val="22"/>
          <w:lang w:val="sk"/>
        </w:rPr>
        <w:t>komorbidné</w:t>
      </w:r>
      <w:proofErr w:type="spellEnd"/>
      <w:r w:rsidRPr="00E86955">
        <w:rPr>
          <w:sz w:val="22"/>
          <w:szCs w:val="22"/>
          <w:lang w:val="sk"/>
        </w:rPr>
        <w:t xml:space="preserve"> s veľkou depresívnou poruchou. Pri liečbe pacientov s ostatnými psychickými poruchami sa majú preto sledovať rovnaké opatrenia ako pri liečbe pacientov s veľkou depresívnou poruchou. </w:t>
      </w:r>
    </w:p>
    <w:p w14:paraId="06C8F2E1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661A5B22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Pacienti s anamnézou udalostí spojených so samovraždou alebo tí, ktorí vykazovali významnú mieru </w:t>
      </w:r>
      <w:proofErr w:type="spellStart"/>
      <w:r w:rsidRPr="00E86955">
        <w:rPr>
          <w:sz w:val="22"/>
          <w:szCs w:val="22"/>
          <w:lang w:val="sk"/>
        </w:rPr>
        <w:t>suicidálnych</w:t>
      </w:r>
      <w:proofErr w:type="spellEnd"/>
      <w:r w:rsidRPr="00E86955">
        <w:rPr>
          <w:sz w:val="22"/>
          <w:szCs w:val="22"/>
          <w:lang w:val="sk"/>
        </w:rPr>
        <w:t xml:space="preserve"> myšlienok pred začatím liečby majú vyššie riziko výskytu </w:t>
      </w:r>
      <w:proofErr w:type="spellStart"/>
      <w:r w:rsidRPr="00E86955">
        <w:rPr>
          <w:sz w:val="22"/>
          <w:szCs w:val="22"/>
          <w:lang w:val="sk"/>
        </w:rPr>
        <w:t>suicidálnych</w:t>
      </w:r>
      <w:proofErr w:type="spellEnd"/>
      <w:r w:rsidRPr="00E86955">
        <w:rPr>
          <w:sz w:val="22"/>
          <w:szCs w:val="22"/>
          <w:lang w:val="sk"/>
        </w:rPr>
        <w:t xml:space="preserve"> myšlienok alebo </w:t>
      </w:r>
      <w:proofErr w:type="spellStart"/>
      <w:r w:rsidRPr="00E86955">
        <w:rPr>
          <w:sz w:val="22"/>
          <w:szCs w:val="22"/>
          <w:lang w:val="sk"/>
        </w:rPr>
        <w:t>suicidálneho</w:t>
      </w:r>
      <w:proofErr w:type="spellEnd"/>
      <w:r w:rsidRPr="00E86955">
        <w:rPr>
          <w:sz w:val="22"/>
          <w:szCs w:val="22"/>
          <w:lang w:val="sk"/>
        </w:rPr>
        <w:t xml:space="preserve"> správania a majú byť počas liečby starostlivo sledovaní. </w:t>
      </w:r>
      <w:proofErr w:type="spellStart"/>
      <w:r w:rsidRPr="00E86955">
        <w:rPr>
          <w:sz w:val="22"/>
          <w:szCs w:val="22"/>
          <w:lang w:val="sk"/>
        </w:rPr>
        <w:t>Metaanalýza</w:t>
      </w:r>
      <w:proofErr w:type="spellEnd"/>
      <w:r w:rsidRPr="00E86955">
        <w:rPr>
          <w:sz w:val="22"/>
          <w:szCs w:val="22"/>
          <w:lang w:val="sk"/>
        </w:rPr>
        <w:t xml:space="preserve"> placebom kontrolovaných klinických štúdií s </w:t>
      </w:r>
      <w:proofErr w:type="spellStart"/>
      <w:r w:rsidRPr="00E86955">
        <w:rPr>
          <w:sz w:val="22"/>
          <w:szCs w:val="22"/>
          <w:lang w:val="sk"/>
        </w:rPr>
        <w:t>antidepresívami</w:t>
      </w:r>
      <w:proofErr w:type="spellEnd"/>
      <w:r w:rsidRPr="00E86955">
        <w:rPr>
          <w:sz w:val="22"/>
          <w:szCs w:val="22"/>
          <w:lang w:val="sk"/>
        </w:rPr>
        <w:t xml:space="preserve"> u psychiatrických ochorení ukázala zvýšené riziko </w:t>
      </w:r>
      <w:proofErr w:type="spellStart"/>
      <w:r w:rsidRPr="00E86955">
        <w:rPr>
          <w:sz w:val="22"/>
          <w:szCs w:val="22"/>
          <w:lang w:val="sk"/>
        </w:rPr>
        <w:t>suicidálneho</w:t>
      </w:r>
      <w:proofErr w:type="spellEnd"/>
      <w:r w:rsidRPr="00E86955">
        <w:rPr>
          <w:sz w:val="22"/>
          <w:szCs w:val="22"/>
          <w:lang w:val="sk"/>
        </w:rPr>
        <w:t xml:space="preserve"> správania u </w:t>
      </w:r>
      <w:proofErr w:type="spellStart"/>
      <w:r w:rsidRPr="00E86955">
        <w:rPr>
          <w:sz w:val="22"/>
          <w:szCs w:val="22"/>
          <w:lang w:val="sk"/>
        </w:rPr>
        <w:t>antidepresív</w:t>
      </w:r>
      <w:proofErr w:type="spellEnd"/>
      <w:r w:rsidRPr="00E86955">
        <w:rPr>
          <w:sz w:val="22"/>
          <w:szCs w:val="22"/>
          <w:lang w:val="sk"/>
        </w:rPr>
        <w:t xml:space="preserve"> v porovnaní s placebom u pacientov mladších ako 25 rokov. </w:t>
      </w:r>
    </w:p>
    <w:p w14:paraId="1C270670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202EBD6C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priebehu liečby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alebo krátko po ukončení tejto liečby boli zaznamenané prípady výskytu </w:t>
      </w:r>
      <w:proofErr w:type="spellStart"/>
      <w:r w:rsidRPr="00E86955">
        <w:rPr>
          <w:sz w:val="22"/>
          <w:szCs w:val="22"/>
          <w:lang w:val="sk"/>
        </w:rPr>
        <w:t>suicidálnych</w:t>
      </w:r>
      <w:proofErr w:type="spellEnd"/>
      <w:r w:rsidRPr="00E86955">
        <w:rPr>
          <w:sz w:val="22"/>
          <w:szCs w:val="22"/>
          <w:lang w:val="sk"/>
        </w:rPr>
        <w:t xml:space="preserve"> myšlienok a </w:t>
      </w:r>
      <w:proofErr w:type="spellStart"/>
      <w:r w:rsidRPr="00E86955">
        <w:rPr>
          <w:sz w:val="22"/>
          <w:szCs w:val="22"/>
          <w:lang w:val="sk"/>
        </w:rPr>
        <w:t>suicidálneho</w:t>
      </w:r>
      <w:proofErr w:type="spellEnd"/>
      <w:r w:rsidRPr="00E86955">
        <w:rPr>
          <w:sz w:val="22"/>
          <w:szCs w:val="22"/>
          <w:lang w:val="sk"/>
        </w:rPr>
        <w:t xml:space="preserve"> správania (pozri časť 4.8). </w:t>
      </w:r>
    </w:p>
    <w:p w14:paraId="3C259DB2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0A1F77C1" w14:textId="3022AE1E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>U pacientov a najmä u tých s vysokým rizikom, m</w:t>
      </w:r>
      <w:r w:rsidR="00FB4725" w:rsidRPr="00E86955">
        <w:rPr>
          <w:sz w:val="22"/>
          <w:szCs w:val="22"/>
          <w:lang w:val="sk"/>
        </w:rPr>
        <w:t>á</w:t>
      </w:r>
      <w:r w:rsidRPr="00E86955">
        <w:rPr>
          <w:sz w:val="22"/>
          <w:szCs w:val="22"/>
          <w:lang w:val="sk"/>
        </w:rPr>
        <w:t xml:space="preserve"> liekovú terapiu sprevádzať starostlivý dohľad, hlavne počas počiatočnej liečby a po zmenách dávky. Pacienti (a opatrovníci pacientov) majú byť upozornení na potrebu sledovať akékoľvek klinické zhoršenie, </w:t>
      </w:r>
      <w:proofErr w:type="spellStart"/>
      <w:r w:rsidRPr="00E86955">
        <w:rPr>
          <w:sz w:val="22"/>
          <w:szCs w:val="22"/>
          <w:lang w:val="sk"/>
        </w:rPr>
        <w:t>suicidálne</w:t>
      </w:r>
      <w:proofErr w:type="spellEnd"/>
      <w:r w:rsidRPr="00E86955">
        <w:rPr>
          <w:sz w:val="22"/>
          <w:szCs w:val="22"/>
          <w:lang w:val="sk"/>
        </w:rPr>
        <w:t xml:space="preserve"> správanie alebo myšlienky a nezvyčajné zmeny správania a na potrebu okamžitého vyhľadania lekárskej pomoci, ak sú tieto príznaky prítomné. </w:t>
      </w:r>
    </w:p>
    <w:p w14:paraId="7441E287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1E9C56D2" w14:textId="77777777" w:rsidR="00EA238B" w:rsidRPr="00E86955" w:rsidRDefault="002C4B91" w:rsidP="002011F9">
      <w:pPr>
        <w:pStyle w:val="Default"/>
        <w:keepNext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Diabetická periférna </w:t>
      </w:r>
      <w:proofErr w:type="spellStart"/>
      <w:r w:rsidRPr="00E86955">
        <w:rPr>
          <w:i/>
          <w:iCs/>
          <w:sz w:val="22"/>
          <w:szCs w:val="22"/>
          <w:lang w:val="sk"/>
        </w:rPr>
        <w:t>neuropatická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bolesť:</w:t>
      </w:r>
    </w:p>
    <w:p w14:paraId="6EBB80D7" w14:textId="77777777" w:rsidR="002C4B91" w:rsidRPr="00E86955" w:rsidRDefault="002C4B91" w:rsidP="002011F9">
      <w:pPr>
        <w:pStyle w:val="Default"/>
        <w:keepNext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>Rovnako ako u iných liekov s podobným farmakologickým účinkom (</w:t>
      </w:r>
      <w:proofErr w:type="spellStart"/>
      <w:r w:rsidRPr="00E86955">
        <w:rPr>
          <w:sz w:val="22"/>
          <w:szCs w:val="22"/>
          <w:lang w:val="sk"/>
        </w:rPr>
        <w:t>antidepresíva</w:t>
      </w:r>
      <w:proofErr w:type="spellEnd"/>
      <w:r w:rsidRPr="00E86955">
        <w:rPr>
          <w:sz w:val="22"/>
          <w:szCs w:val="22"/>
          <w:lang w:val="sk"/>
        </w:rPr>
        <w:t xml:space="preserve">) boli v priebehu liečby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alebo krátko po ukončení tejto liečby zaznamenané prípady výskytu </w:t>
      </w:r>
      <w:proofErr w:type="spellStart"/>
      <w:r w:rsidRPr="00E86955">
        <w:rPr>
          <w:sz w:val="22"/>
          <w:szCs w:val="22"/>
          <w:lang w:val="sk"/>
        </w:rPr>
        <w:t>suicidálnych</w:t>
      </w:r>
      <w:proofErr w:type="spellEnd"/>
      <w:r w:rsidRPr="00E86955">
        <w:rPr>
          <w:sz w:val="22"/>
          <w:szCs w:val="22"/>
          <w:lang w:val="sk"/>
        </w:rPr>
        <w:t xml:space="preserve"> predstáv a </w:t>
      </w:r>
      <w:proofErr w:type="spellStart"/>
      <w:r w:rsidRPr="00E86955">
        <w:rPr>
          <w:sz w:val="22"/>
          <w:szCs w:val="22"/>
          <w:lang w:val="sk"/>
        </w:rPr>
        <w:t>suicidálneho</w:t>
      </w:r>
      <w:proofErr w:type="spellEnd"/>
      <w:r w:rsidRPr="00E86955">
        <w:rPr>
          <w:sz w:val="22"/>
          <w:szCs w:val="22"/>
          <w:lang w:val="sk"/>
        </w:rPr>
        <w:t xml:space="preserve"> správania. Čo sa týka rizikových faktorov pre </w:t>
      </w:r>
      <w:proofErr w:type="spellStart"/>
      <w:r w:rsidRPr="00E86955">
        <w:rPr>
          <w:sz w:val="22"/>
          <w:szCs w:val="22"/>
          <w:lang w:val="sk"/>
        </w:rPr>
        <w:t>suicidalitu</w:t>
      </w:r>
      <w:proofErr w:type="spellEnd"/>
      <w:r w:rsidRPr="00E86955">
        <w:rPr>
          <w:sz w:val="22"/>
          <w:szCs w:val="22"/>
          <w:lang w:val="sk"/>
        </w:rPr>
        <w:t xml:space="preserve"> pri depresii, pozri </w:t>
      </w:r>
      <w:r w:rsidRPr="00E86955">
        <w:rPr>
          <w:sz w:val="22"/>
          <w:szCs w:val="22"/>
          <w:lang w:val="sk"/>
        </w:rPr>
        <w:lastRenderedPageBreak/>
        <w:t xml:space="preserve">vyššie. Lekári majú povzbudiť svojich pacientov, aby kedykoľvek uviedli akékoľvek rušivé myšlienky alebo pocity, ktoré sa u nich vyskytnú. </w:t>
      </w:r>
    </w:p>
    <w:p w14:paraId="2A4AAE0B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0E03B23E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Podávanie deťom a dospievajúcim mladším ako 18 rokov: </w:t>
      </w:r>
    </w:p>
    <w:p w14:paraId="3ED9AA9F" w14:textId="77777777" w:rsidR="002C4B91" w:rsidRPr="00E86955" w:rsidRDefault="001433FD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Duloxetine</w:t>
      </w:r>
      <w:proofErr w:type="spellEnd"/>
      <w:r w:rsidRPr="00E86955">
        <w:rPr>
          <w:sz w:val="22"/>
          <w:szCs w:val="22"/>
          <w:lang w:val="sk"/>
        </w:rPr>
        <w:t xml:space="preserve"> sa nemá užívať na liečbu detí a dospievajúcich mladších ako 18 rokov. V klinických štúdiách bolo u detí a dospievajúcich liečených </w:t>
      </w:r>
      <w:proofErr w:type="spellStart"/>
      <w:r w:rsidRPr="00E86955">
        <w:rPr>
          <w:sz w:val="22"/>
          <w:szCs w:val="22"/>
          <w:lang w:val="sk"/>
        </w:rPr>
        <w:t>antidepresívami</w:t>
      </w:r>
      <w:proofErr w:type="spellEnd"/>
      <w:r w:rsidRPr="00E86955">
        <w:rPr>
          <w:sz w:val="22"/>
          <w:szCs w:val="22"/>
          <w:lang w:val="sk"/>
        </w:rPr>
        <w:t xml:space="preserve"> častejšie pozorované </w:t>
      </w:r>
      <w:proofErr w:type="spellStart"/>
      <w:r w:rsidRPr="00E86955">
        <w:rPr>
          <w:sz w:val="22"/>
          <w:szCs w:val="22"/>
          <w:lang w:val="sk"/>
        </w:rPr>
        <w:t>suicidálne</w:t>
      </w:r>
      <w:proofErr w:type="spellEnd"/>
      <w:r w:rsidRPr="00E86955">
        <w:rPr>
          <w:sz w:val="22"/>
          <w:szCs w:val="22"/>
          <w:lang w:val="sk"/>
        </w:rPr>
        <w:t xml:space="preserve"> správanie (</w:t>
      </w:r>
      <w:proofErr w:type="spellStart"/>
      <w:r w:rsidRPr="00E86955">
        <w:rPr>
          <w:sz w:val="22"/>
          <w:szCs w:val="22"/>
          <w:lang w:val="sk"/>
        </w:rPr>
        <w:t>suicidálne</w:t>
      </w:r>
      <w:proofErr w:type="spellEnd"/>
      <w:r w:rsidRPr="00E86955">
        <w:rPr>
          <w:sz w:val="22"/>
          <w:szCs w:val="22"/>
          <w:lang w:val="sk"/>
        </w:rPr>
        <w:t xml:space="preserve"> pokusy a </w:t>
      </w:r>
      <w:proofErr w:type="spellStart"/>
      <w:r w:rsidRPr="00E86955">
        <w:rPr>
          <w:sz w:val="22"/>
          <w:szCs w:val="22"/>
          <w:lang w:val="sk"/>
        </w:rPr>
        <w:t>suicidálne</w:t>
      </w:r>
      <w:proofErr w:type="spellEnd"/>
      <w:r w:rsidRPr="00E86955">
        <w:rPr>
          <w:sz w:val="22"/>
          <w:szCs w:val="22"/>
          <w:lang w:val="sk"/>
        </w:rPr>
        <w:t xml:space="preserve"> myšlienky) a </w:t>
      </w:r>
      <w:proofErr w:type="spellStart"/>
      <w:r w:rsidRPr="00E86955">
        <w:rPr>
          <w:sz w:val="22"/>
          <w:szCs w:val="22"/>
          <w:lang w:val="sk"/>
        </w:rPr>
        <w:t>hostilita</w:t>
      </w:r>
      <w:proofErr w:type="spellEnd"/>
      <w:r w:rsidRPr="00E86955">
        <w:rPr>
          <w:sz w:val="22"/>
          <w:szCs w:val="22"/>
          <w:lang w:val="sk"/>
        </w:rPr>
        <w:t xml:space="preserve"> (prevažne agresia, protichodné správanie a zlosť) v porovnaní s tými, ktorým bolo podávané placebo. Ak sa rozhodnutie o liečbe založené na objektívnej potrebe predsa len urobí, musí byť pacient starostlivo sledovaný kvôli výskytu samovražedných symptómov (pozri časť 5.1). Navyše chýbajú údaje o bezpečnosti dlhodobého podávania u detí a dospievajúcich týkajúce sa rastu, dospievania a kognitívneho a </w:t>
      </w:r>
      <w:proofErr w:type="spellStart"/>
      <w:r w:rsidRPr="00E86955">
        <w:rPr>
          <w:sz w:val="22"/>
          <w:szCs w:val="22"/>
          <w:lang w:val="sk"/>
        </w:rPr>
        <w:t>behaviorálneho</w:t>
      </w:r>
      <w:proofErr w:type="spellEnd"/>
      <w:r w:rsidRPr="00E86955">
        <w:rPr>
          <w:sz w:val="22"/>
          <w:szCs w:val="22"/>
          <w:lang w:val="sk"/>
        </w:rPr>
        <w:t xml:space="preserve"> vývoja (pozri časť 4.8). </w:t>
      </w:r>
    </w:p>
    <w:p w14:paraId="3F737525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4B61EF0C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Krvácanie </w:t>
      </w:r>
    </w:p>
    <w:p w14:paraId="071C7AB3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súvislosti s inhibítormi spätného vychytávania </w:t>
      </w:r>
      <w:proofErr w:type="spellStart"/>
      <w:r w:rsidRPr="00E86955">
        <w:rPr>
          <w:sz w:val="22"/>
          <w:szCs w:val="22"/>
          <w:lang w:val="sk"/>
        </w:rPr>
        <w:t>sérotonínu</w:t>
      </w:r>
      <w:proofErr w:type="spellEnd"/>
      <w:r w:rsidRPr="00E86955">
        <w:rPr>
          <w:sz w:val="22"/>
          <w:szCs w:val="22"/>
          <w:lang w:val="sk"/>
        </w:rPr>
        <w:t xml:space="preserve"> (SSRI) a selektívnymi inhibítormi spätného vychytávania </w:t>
      </w:r>
      <w:proofErr w:type="spellStart"/>
      <w:r w:rsidRPr="00E86955">
        <w:rPr>
          <w:sz w:val="22"/>
          <w:szCs w:val="22"/>
          <w:lang w:val="sk"/>
        </w:rPr>
        <w:t>sérotonínu</w:t>
      </w:r>
      <w:proofErr w:type="spellEnd"/>
      <w:r w:rsidRPr="00E86955">
        <w:rPr>
          <w:sz w:val="22"/>
          <w:szCs w:val="22"/>
          <w:lang w:val="sk"/>
        </w:rPr>
        <w:t>/</w:t>
      </w:r>
      <w:proofErr w:type="spellStart"/>
      <w:r w:rsidRPr="00E86955">
        <w:rPr>
          <w:sz w:val="22"/>
          <w:szCs w:val="22"/>
          <w:lang w:val="sk"/>
        </w:rPr>
        <w:t>noradrenalínu</w:t>
      </w:r>
      <w:proofErr w:type="spellEnd"/>
      <w:r w:rsidRPr="00E86955">
        <w:rPr>
          <w:sz w:val="22"/>
          <w:szCs w:val="22"/>
          <w:lang w:val="sk"/>
        </w:rPr>
        <w:t xml:space="preserve"> (SNRI), vrátane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, boli zaznamenané prípady abnormalít spojených s krvácaním, ako sú </w:t>
      </w:r>
      <w:proofErr w:type="spellStart"/>
      <w:r w:rsidRPr="00E86955">
        <w:rPr>
          <w:sz w:val="22"/>
          <w:szCs w:val="22"/>
          <w:lang w:val="sk"/>
        </w:rPr>
        <w:t>ekchymóza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purpura</w:t>
      </w:r>
      <w:proofErr w:type="spellEnd"/>
      <w:r w:rsidRPr="00E86955">
        <w:rPr>
          <w:sz w:val="22"/>
          <w:szCs w:val="22"/>
          <w:lang w:val="sk"/>
        </w:rPr>
        <w:t xml:space="preserve"> a </w:t>
      </w:r>
      <w:proofErr w:type="spellStart"/>
      <w:r w:rsidRPr="00E86955">
        <w:rPr>
          <w:sz w:val="22"/>
          <w:szCs w:val="22"/>
          <w:lang w:val="sk"/>
        </w:rPr>
        <w:t>gastrointestinálne</w:t>
      </w:r>
      <w:proofErr w:type="spellEnd"/>
      <w:r w:rsidRPr="00E86955">
        <w:rPr>
          <w:sz w:val="22"/>
          <w:szCs w:val="22"/>
          <w:lang w:val="sk"/>
        </w:rPr>
        <w:t xml:space="preserve"> krvácanie. U pacientov užívajúcich </w:t>
      </w:r>
      <w:proofErr w:type="spellStart"/>
      <w:r w:rsidRPr="00E86955">
        <w:rPr>
          <w:sz w:val="22"/>
          <w:szCs w:val="22"/>
          <w:lang w:val="sk"/>
        </w:rPr>
        <w:t>antikoagulanciá</w:t>
      </w:r>
      <w:proofErr w:type="spellEnd"/>
      <w:r w:rsidRPr="00E86955">
        <w:rPr>
          <w:sz w:val="22"/>
          <w:szCs w:val="22"/>
          <w:lang w:val="sk"/>
        </w:rPr>
        <w:t xml:space="preserve"> a/alebo lieky, o ktorých je známe, že ovplyvňujú funkciu krvných doštičiek (napr.: </w:t>
      </w:r>
      <w:proofErr w:type="spellStart"/>
      <w:r w:rsidRPr="00E86955">
        <w:rPr>
          <w:sz w:val="22"/>
          <w:szCs w:val="22"/>
          <w:lang w:val="sk"/>
        </w:rPr>
        <w:t>nesteroidné</w:t>
      </w:r>
      <w:proofErr w:type="spellEnd"/>
      <w:r w:rsidRPr="00E86955">
        <w:rPr>
          <w:sz w:val="22"/>
          <w:szCs w:val="22"/>
          <w:lang w:val="sk"/>
        </w:rPr>
        <w:t xml:space="preserve"> protizápalové lieky (NSAID) alebo kyselina </w:t>
      </w:r>
      <w:proofErr w:type="spellStart"/>
      <w:r w:rsidRPr="00E86955">
        <w:rPr>
          <w:sz w:val="22"/>
          <w:szCs w:val="22"/>
          <w:lang w:val="sk"/>
        </w:rPr>
        <w:t>acetylsalicylová</w:t>
      </w:r>
      <w:proofErr w:type="spellEnd"/>
      <w:r w:rsidRPr="00E86955">
        <w:rPr>
          <w:sz w:val="22"/>
          <w:szCs w:val="22"/>
          <w:lang w:val="sk"/>
        </w:rPr>
        <w:t xml:space="preserve"> (ASA)) a u pacientov náchylných na krvácanie sa odporúča postupovať s opatrnosťou. </w:t>
      </w:r>
    </w:p>
    <w:p w14:paraId="6A9BE89C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7A37A2BA" w14:textId="77777777" w:rsidR="002C4B91" w:rsidRPr="00E86955" w:rsidRDefault="002C4B91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i/>
          <w:iCs/>
          <w:sz w:val="22"/>
          <w:szCs w:val="22"/>
          <w:lang w:val="sk"/>
        </w:rPr>
        <w:t>Hyponatriémia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</w:t>
      </w:r>
    </w:p>
    <w:p w14:paraId="436AB5A7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Pri podávaní </w:t>
      </w:r>
      <w:proofErr w:type="spellStart"/>
      <w:r w:rsidRPr="00E86955">
        <w:rPr>
          <w:sz w:val="22"/>
          <w:szCs w:val="22"/>
          <w:lang w:val="sk"/>
        </w:rPr>
        <w:t>Duloxetine</w:t>
      </w:r>
      <w:proofErr w:type="spellEnd"/>
      <w:r w:rsidRPr="00E86955">
        <w:rPr>
          <w:sz w:val="22"/>
          <w:szCs w:val="22"/>
          <w:lang w:val="sk"/>
        </w:rPr>
        <w:t xml:space="preserve"> bola hlásená </w:t>
      </w:r>
      <w:proofErr w:type="spellStart"/>
      <w:r w:rsidRPr="00E86955">
        <w:rPr>
          <w:sz w:val="22"/>
          <w:szCs w:val="22"/>
          <w:lang w:val="sk"/>
        </w:rPr>
        <w:t>hyponatriémia</w:t>
      </w:r>
      <w:proofErr w:type="spellEnd"/>
      <w:r w:rsidRPr="00E86955">
        <w:rPr>
          <w:sz w:val="22"/>
          <w:szCs w:val="22"/>
          <w:lang w:val="sk"/>
        </w:rPr>
        <w:t xml:space="preserve">, vrátane prípadov, kedy sérová koncentrácia sodíka bola nižšia ako 110 mmol/l. </w:t>
      </w:r>
      <w:proofErr w:type="spellStart"/>
      <w:r w:rsidRPr="00E86955">
        <w:rPr>
          <w:sz w:val="22"/>
          <w:szCs w:val="22"/>
          <w:lang w:val="sk"/>
        </w:rPr>
        <w:t>Hyponatriémia</w:t>
      </w:r>
      <w:proofErr w:type="spellEnd"/>
      <w:r w:rsidRPr="00E86955">
        <w:rPr>
          <w:sz w:val="22"/>
          <w:szCs w:val="22"/>
          <w:lang w:val="sk"/>
        </w:rPr>
        <w:t xml:space="preserve"> môže byť spôsobená syndrómom neadekvátnej sekrécie </w:t>
      </w:r>
      <w:proofErr w:type="spellStart"/>
      <w:r w:rsidRPr="00E86955">
        <w:rPr>
          <w:sz w:val="22"/>
          <w:szCs w:val="22"/>
          <w:lang w:val="sk"/>
        </w:rPr>
        <w:t>antidiuretického</w:t>
      </w:r>
      <w:proofErr w:type="spellEnd"/>
      <w:r w:rsidRPr="00E86955">
        <w:rPr>
          <w:sz w:val="22"/>
          <w:szCs w:val="22"/>
          <w:lang w:val="sk"/>
        </w:rPr>
        <w:t xml:space="preserve"> hormónu (</w:t>
      </w:r>
      <w:proofErr w:type="spellStart"/>
      <w:r w:rsidRPr="00E86955">
        <w:rPr>
          <w:sz w:val="22"/>
          <w:szCs w:val="22"/>
          <w:lang w:val="sk"/>
        </w:rPr>
        <w:t>syndrome</w:t>
      </w:r>
      <w:proofErr w:type="spellEnd"/>
      <w:r w:rsidRPr="00E86955">
        <w:rPr>
          <w:sz w:val="22"/>
          <w:szCs w:val="22"/>
          <w:lang w:val="sk"/>
        </w:rPr>
        <w:t xml:space="preserve"> of </w:t>
      </w:r>
      <w:proofErr w:type="spellStart"/>
      <w:r w:rsidRPr="00E86955">
        <w:rPr>
          <w:sz w:val="22"/>
          <w:szCs w:val="22"/>
          <w:lang w:val="sk"/>
        </w:rPr>
        <w:t>inappropriate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anti-diuretic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hormone</w:t>
      </w:r>
      <w:proofErr w:type="spellEnd"/>
      <w:r w:rsidRPr="00E86955">
        <w:rPr>
          <w:sz w:val="22"/>
          <w:szCs w:val="22"/>
          <w:lang w:val="sk"/>
        </w:rPr>
        <w:t xml:space="preserve">, SIADH). Najviac prípadov </w:t>
      </w:r>
      <w:proofErr w:type="spellStart"/>
      <w:r w:rsidRPr="00E86955">
        <w:rPr>
          <w:sz w:val="22"/>
          <w:szCs w:val="22"/>
          <w:lang w:val="sk"/>
        </w:rPr>
        <w:t>hyponatriémie</w:t>
      </w:r>
      <w:proofErr w:type="spellEnd"/>
      <w:r w:rsidRPr="00E86955">
        <w:rPr>
          <w:sz w:val="22"/>
          <w:szCs w:val="22"/>
          <w:lang w:val="sk"/>
        </w:rPr>
        <w:t xml:space="preserve"> bolo hlásených u starších pacientov, najmä ak boli spojené s nedávnou anamnézou alebo s </w:t>
      </w:r>
      <w:proofErr w:type="spellStart"/>
      <w:r w:rsidRPr="00E86955">
        <w:rPr>
          <w:sz w:val="22"/>
          <w:szCs w:val="22"/>
          <w:lang w:val="sk"/>
        </w:rPr>
        <w:t>predispozičnými</w:t>
      </w:r>
      <w:proofErr w:type="spellEnd"/>
      <w:r w:rsidRPr="00E86955">
        <w:rPr>
          <w:sz w:val="22"/>
          <w:szCs w:val="22"/>
          <w:lang w:val="sk"/>
        </w:rPr>
        <w:t xml:space="preserve"> podmienkami k poruche rovnováhy tekutín. U pacientov so zvýšeným rizikom vzniku </w:t>
      </w:r>
      <w:proofErr w:type="spellStart"/>
      <w:r w:rsidRPr="00E86955">
        <w:rPr>
          <w:sz w:val="22"/>
          <w:szCs w:val="22"/>
          <w:lang w:val="sk"/>
        </w:rPr>
        <w:t>hyponatriémie</w:t>
      </w:r>
      <w:proofErr w:type="spellEnd"/>
      <w:r w:rsidRPr="00E86955">
        <w:rPr>
          <w:sz w:val="22"/>
          <w:szCs w:val="22"/>
          <w:lang w:val="sk"/>
        </w:rPr>
        <w:t xml:space="preserve"> ako sú starší pacienti, pacienti s cirhózou alebo dehydratovaní pacienti alebo pacienti liečení diuretikami je potrebná opatrnosť. </w:t>
      </w:r>
    </w:p>
    <w:p w14:paraId="6FC799B6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5760D759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Ukončenie liečby </w:t>
      </w:r>
    </w:p>
    <w:p w14:paraId="39325177" w14:textId="4A20C3ED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Pri prerušení liečby je výskyt príznakov z vysadenia častý, hlavne ak je vysadenie náhle (pozri časť 4.8). V klinických štúdiách sa nežiaduce účinky pri náhlom vysadení liečby vyskytovali približne u 45 % pacientov liečených </w:t>
      </w:r>
      <w:proofErr w:type="spellStart"/>
      <w:r w:rsidR="008943A1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8943A1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nom</w:t>
      </w:r>
      <w:proofErr w:type="spellEnd"/>
      <w:r w:rsidRPr="00E86955">
        <w:rPr>
          <w:sz w:val="22"/>
          <w:szCs w:val="22"/>
          <w:lang w:val="sk"/>
        </w:rPr>
        <w:t xml:space="preserve"> a u 23% pacientov užívajúcich placebo. Riziko príznakov z vysadenia pozorovaných u SSRI a SRNI môže závisieť od niekoľkých faktorov, vrátane dĺžky liečby, dávky a rýchlosti znižovania dávky. Najčastejšie hlásené reakcie sú uvedené v časti 4.8. Zvyčajne sú symptómy slabé alebo mierne, avšak u niektorých pacientov môžu mať závažnejší charakter. Obyčajne sa objavia v priebehu prvých </w:t>
      </w:r>
      <w:r w:rsidR="00CB146D" w:rsidRPr="00E86955">
        <w:rPr>
          <w:sz w:val="22"/>
          <w:szCs w:val="22"/>
          <w:lang w:val="sk"/>
        </w:rPr>
        <w:t>pár</w:t>
      </w:r>
      <w:r w:rsidRPr="00E86955">
        <w:rPr>
          <w:sz w:val="22"/>
          <w:szCs w:val="22"/>
          <w:lang w:val="sk"/>
        </w:rPr>
        <w:t xml:space="preserve"> dní vysadzovania liečby, ale</w:t>
      </w:r>
      <w:r w:rsidR="00CB146D" w:rsidRPr="00E86955">
        <w:rPr>
          <w:sz w:val="22"/>
          <w:szCs w:val="22"/>
          <w:lang w:val="sk"/>
        </w:rPr>
        <w:t xml:space="preserve"> veľmi zriedkavo</w:t>
      </w:r>
      <w:r w:rsidRPr="00E86955">
        <w:rPr>
          <w:sz w:val="22"/>
          <w:szCs w:val="22"/>
          <w:lang w:val="sk"/>
        </w:rPr>
        <w:t xml:space="preserve"> boli hlásené takéto príznaky u pacientov, ktorí nedopatrením vynechali dávku. Zvyčajne tieto príznaky vymiznú bez liečby, obyčajne v priebehu 2 týždňov, hoci u niektorých osôb to môže trvať dlhšie (2 – 3 mesiace alebo viac). Preto sa pri vysadzovaní liečby odporúča postupné znižovanie dávky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počas minimálne 2 týždňov, podľa potreby pacienta (pozri časť 4.2). </w:t>
      </w:r>
    </w:p>
    <w:p w14:paraId="5A6C1DCB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00BFCD3E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Starší pacienti </w:t>
      </w:r>
    </w:p>
    <w:p w14:paraId="5931647E" w14:textId="0C519511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Údaje o použití 120 mg </w:t>
      </w:r>
      <w:proofErr w:type="spellStart"/>
      <w:r w:rsidR="008943A1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8943A1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nu</w:t>
      </w:r>
      <w:proofErr w:type="spellEnd"/>
      <w:r w:rsidRPr="00E86955">
        <w:rPr>
          <w:sz w:val="22"/>
          <w:szCs w:val="22"/>
          <w:lang w:val="sk"/>
        </w:rPr>
        <w:t xml:space="preserve"> u starších pacientov s veľkou depresívnou poruchou a generalizovanou úzkostnou poruchou sú obmedzené. Preto je pri liečbe starších pacientov s maximálnou dávkou potrebná zvýšená opatrnosť (pozri časti 4.2 a 5.2). </w:t>
      </w:r>
    </w:p>
    <w:p w14:paraId="56E90C9E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4595DC58" w14:textId="77777777" w:rsidR="002C4B91" w:rsidRPr="00E86955" w:rsidRDefault="002C4B91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i/>
          <w:iCs/>
          <w:sz w:val="22"/>
          <w:szCs w:val="22"/>
          <w:lang w:val="sk"/>
        </w:rPr>
        <w:t>Akatízia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/psychomotorický nepokoj </w:t>
      </w:r>
    </w:p>
    <w:p w14:paraId="2132F8BB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Užívanie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je spájané so vznikom </w:t>
      </w:r>
      <w:proofErr w:type="spellStart"/>
      <w:r w:rsidRPr="00E86955">
        <w:rPr>
          <w:sz w:val="22"/>
          <w:szCs w:val="22"/>
          <w:lang w:val="sk"/>
        </w:rPr>
        <w:t>akatízie</w:t>
      </w:r>
      <w:proofErr w:type="spellEnd"/>
      <w:r w:rsidRPr="00E86955">
        <w:rPr>
          <w:sz w:val="22"/>
          <w:szCs w:val="22"/>
          <w:lang w:val="sk"/>
        </w:rPr>
        <w:t xml:space="preserve">, ktorá sa prejavuje subjektívne nepríjemným alebo trýznivým nepokojom a potrebou pohybovať sa, často sprevádzané neschopnosťou pokojne sedieť alebo stáť. Najväčšia pravdepodobnosť jej výskytu je v priebehu prvých týždňov liečby. Na pacientov, u ktorých sa vyskytnú tieto príznaky, by mohlo mať zvýšenie dávky negatívny dopad. </w:t>
      </w:r>
    </w:p>
    <w:p w14:paraId="3B7CF2D4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437C8123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Lieky obsahujúce </w:t>
      </w:r>
      <w:proofErr w:type="spellStart"/>
      <w:r w:rsidRPr="00E86955">
        <w:rPr>
          <w:i/>
          <w:iCs/>
          <w:sz w:val="22"/>
          <w:szCs w:val="22"/>
          <w:lang w:val="sk"/>
        </w:rPr>
        <w:t>duloxetín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</w:t>
      </w:r>
    </w:p>
    <w:p w14:paraId="1A72F88E" w14:textId="77777777" w:rsidR="002C4B91" w:rsidRPr="00E86955" w:rsidRDefault="002C4B91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sa používa pod rôznymi obchodnými názvami vo viacerých indikáciách (liečba diabetickej </w:t>
      </w:r>
      <w:proofErr w:type="spellStart"/>
      <w:r w:rsidRPr="00E86955">
        <w:rPr>
          <w:sz w:val="22"/>
          <w:szCs w:val="22"/>
          <w:lang w:val="sk"/>
        </w:rPr>
        <w:t>neuropatickej</w:t>
      </w:r>
      <w:proofErr w:type="spellEnd"/>
      <w:r w:rsidRPr="00E86955">
        <w:rPr>
          <w:sz w:val="22"/>
          <w:szCs w:val="22"/>
          <w:lang w:val="sk"/>
        </w:rPr>
        <w:t xml:space="preserve"> bolesti, veľkej depresívnej poruchy, generalizovanej úzkostnej poruchy a stresovej inkontinencie moču). Je nutné vyvarovať sa používania viac ako jedného z týchto produktov súčasne. </w:t>
      </w:r>
    </w:p>
    <w:p w14:paraId="47B61516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2F53BAFE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lastRenderedPageBreak/>
        <w:t xml:space="preserve">Hepatitída/zvýšené </w:t>
      </w:r>
      <w:proofErr w:type="spellStart"/>
      <w:r w:rsidRPr="00E86955">
        <w:rPr>
          <w:i/>
          <w:iCs/>
          <w:sz w:val="22"/>
          <w:szCs w:val="22"/>
          <w:lang w:val="sk"/>
        </w:rPr>
        <w:t>hepatálne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enzýmy </w:t>
      </w:r>
    </w:p>
    <w:p w14:paraId="3A397F7C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Pri podávaní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boli hlásené prípady poškodenia pečene, vrátane závažných nárastov hladín </w:t>
      </w:r>
      <w:proofErr w:type="spellStart"/>
      <w:r w:rsidRPr="00E86955">
        <w:rPr>
          <w:sz w:val="22"/>
          <w:szCs w:val="22"/>
          <w:lang w:val="sk"/>
        </w:rPr>
        <w:t>hepatálnych</w:t>
      </w:r>
      <w:proofErr w:type="spellEnd"/>
      <w:r w:rsidRPr="00E86955">
        <w:rPr>
          <w:sz w:val="22"/>
          <w:szCs w:val="22"/>
          <w:lang w:val="sk"/>
        </w:rPr>
        <w:t xml:space="preserve"> enzýmov (&gt;10 násobok hornej hranice normy), hepatitídy a žltačky (pozri časť 4.8). Väčšina z nich sa objavila počas prvých mesiacov liečby. Charakter poškodenia pečene bol prevažne </w:t>
      </w:r>
      <w:proofErr w:type="spellStart"/>
      <w:r w:rsidRPr="00E86955">
        <w:rPr>
          <w:sz w:val="22"/>
          <w:szCs w:val="22"/>
          <w:lang w:val="sk"/>
        </w:rPr>
        <w:t>hepatocelulárny</w:t>
      </w:r>
      <w:proofErr w:type="spellEnd"/>
      <w:r w:rsidRPr="00E86955">
        <w:rPr>
          <w:sz w:val="22"/>
          <w:szCs w:val="22"/>
          <w:lang w:val="sk"/>
        </w:rPr>
        <w:t xml:space="preserve">.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sa má užívať s opatrnosťou u pacientov liečených inými liekmi, ktoré sú spájané s poškodením pečene. </w:t>
      </w:r>
    </w:p>
    <w:p w14:paraId="4ADC9063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2B9CB2BF" w14:textId="77777777" w:rsidR="00E86955" w:rsidRPr="00E86955" w:rsidRDefault="00E86955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</w:rPr>
        <w:t>Sexuálna dysfunkcia</w:t>
      </w:r>
    </w:p>
    <w:p w14:paraId="3582076E" w14:textId="77777777" w:rsidR="00E86955" w:rsidRPr="00E86955" w:rsidRDefault="00E86955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</w:rPr>
        <w:t>Selektívne inhibítory spätného vychytávania sérotonínu (selective serotonin reuptake inhibitors, 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14:paraId="37EE3369" w14:textId="77777777" w:rsidR="00E86955" w:rsidRPr="00E86955" w:rsidRDefault="00E86955" w:rsidP="002011F9">
      <w:pPr>
        <w:pStyle w:val="Default"/>
        <w:rPr>
          <w:sz w:val="22"/>
          <w:szCs w:val="22"/>
        </w:rPr>
      </w:pPr>
    </w:p>
    <w:p w14:paraId="0A9C05BA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Sacharóza </w:t>
      </w:r>
    </w:p>
    <w:p w14:paraId="1E94694B" w14:textId="6789F4B5" w:rsidR="00003978" w:rsidRPr="00E86955" w:rsidRDefault="0044604D" w:rsidP="002011F9">
      <w:pPr>
        <w:pStyle w:val="Default"/>
        <w:rPr>
          <w:color w:val="auto"/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Tvrdé </w:t>
      </w:r>
      <w:proofErr w:type="spellStart"/>
      <w:r w:rsidRPr="00E86955">
        <w:rPr>
          <w:sz w:val="22"/>
          <w:szCs w:val="22"/>
          <w:lang w:val="sk"/>
        </w:rPr>
        <w:t>gastrorezistentné</w:t>
      </w:r>
      <w:proofErr w:type="spellEnd"/>
      <w:r w:rsidRPr="00E86955">
        <w:rPr>
          <w:sz w:val="22"/>
          <w:szCs w:val="22"/>
          <w:lang w:val="sk"/>
        </w:rPr>
        <w:t xml:space="preserve"> kapsuly </w:t>
      </w:r>
      <w:proofErr w:type="spellStart"/>
      <w:r w:rsidR="001A3B94" w:rsidRPr="00E86955">
        <w:rPr>
          <w:sz w:val="22"/>
          <w:szCs w:val="22"/>
          <w:lang w:val="sk"/>
        </w:rPr>
        <w:t>Dulxetenon</w:t>
      </w:r>
      <w:proofErr w:type="spellEnd"/>
      <w:r w:rsidR="008943A1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>obsahujú sacharózu. Pacienti so zriedkav</w:t>
      </w:r>
      <w:r w:rsidR="00C20B97" w:rsidRPr="00E86955">
        <w:rPr>
          <w:sz w:val="22"/>
          <w:szCs w:val="22"/>
          <w:lang w:val="sk"/>
        </w:rPr>
        <w:t>ými</w:t>
      </w:r>
      <w:r w:rsidRPr="00E86955">
        <w:rPr>
          <w:sz w:val="22"/>
          <w:szCs w:val="22"/>
          <w:lang w:val="sk"/>
        </w:rPr>
        <w:t xml:space="preserve"> </w:t>
      </w:r>
      <w:r w:rsidR="00C20B97" w:rsidRPr="00E86955">
        <w:rPr>
          <w:sz w:val="22"/>
          <w:szCs w:val="22"/>
          <w:lang w:val="sk"/>
        </w:rPr>
        <w:t>dedičnými problémami</w:t>
      </w:r>
      <w:r w:rsidRPr="00E86955">
        <w:rPr>
          <w:sz w:val="22"/>
          <w:szCs w:val="22"/>
          <w:lang w:val="sk"/>
        </w:rPr>
        <w:t xml:space="preserve"> intoleranci</w:t>
      </w:r>
      <w:r w:rsidR="00C20B97" w:rsidRPr="00E86955">
        <w:rPr>
          <w:sz w:val="22"/>
          <w:szCs w:val="22"/>
          <w:lang w:val="sk"/>
        </w:rPr>
        <w:t>e</w:t>
      </w:r>
      <w:r w:rsidRPr="00E86955">
        <w:rPr>
          <w:sz w:val="22"/>
          <w:szCs w:val="22"/>
          <w:lang w:val="sk"/>
        </w:rPr>
        <w:t xml:space="preserve"> fruktózy,</w:t>
      </w:r>
      <w:r w:rsidR="00C20B97"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glukóz</w:t>
      </w:r>
      <w:r w:rsidR="00C20B97" w:rsidRPr="00E86955">
        <w:rPr>
          <w:sz w:val="22"/>
          <w:szCs w:val="22"/>
          <w:lang w:val="sk"/>
        </w:rPr>
        <w:t>o</w:t>
      </w:r>
      <w:r w:rsidRPr="00E86955">
        <w:rPr>
          <w:sz w:val="22"/>
          <w:szCs w:val="22"/>
          <w:lang w:val="sk"/>
        </w:rPr>
        <w:t>-galaktóz</w:t>
      </w:r>
      <w:r w:rsidR="00C20B97" w:rsidRPr="00E86955">
        <w:rPr>
          <w:sz w:val="22"/>
          <w:szCs w:val="22"/>
          <w:lang w:val="sk"/>
        </w:rPr>
        <w:t>ovej</w:t>
      </w:r>
      <w:proofErr w:type="spellEnd"/>
      <w:r w:rsidR="00C20B97" w:rsidRPr="00E86955">
        <w:rPr>
          <w:sz w:val="22"/>
          <w:szCs w:val="22"/>
          <w:lang w:val="sk"/>
        </w:rPr>
        <w:t xml:space="preserve"> </w:t>
      </w:r>
      <w:proofErr w:type="spellStart"/>
      <w:r w:rsidR="00C20B97" w:rsidRPr="00E86955">
        <w:rPr>
          <w:sz w:val="22"/>
          <w:szCs w:val="22"/>
          <w:lang w:val="sk"/>
        </w:rPr>
        <w:t>malabsorpcie</w:t>
      </w:r>
      <w:proofErr w:type="spellEnd"/>
      <w:r w:rsidRPr="00E86955">
        <w:rPr>
          <w:sz w:val="22"/>
          <w:szCs w:val="22"/>
          <w:lang w:val="sk"/>
        </w:rPr>
        <w:t xml:space="preserve"> </w:t>
      </w:r>
      <w:r w:rsidR="00C20B97" w:rsidRPr="00E86955">
        <w:rPr>
          <w:sz w:val="22"/>
          <w:szCs w:val="22"/>
          <w:lang w:val="sk"/>
        </w:rPr>
        <w:t>alebo</w:t>
      </w:r>
      <w:r w:rsidRPr="00E86955">
        <w:rPr>
          <w:sz w:val="22"/>
          <w:szCs w:val="22"/>
          <w:lang w:val="sk"/>
        </w:rPr>
        <w:t xml:space="preserve"> </w:t>
      </w:r>
      <w:r w:rsidR="00C20B97" w:rsidRPr="00E86955">
        <w:rPr>
          <w:sz w:val="22"/>
          <w:szCs w:val="22"/>
          <w:lang w:val="sk"/>
        </w:rPr>
        <w:t>deficitu</w:t>
      </w:r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sacharázy</w:t>
      </w:r>
      <w:proofErr w:type="spellEnd"/>
      <w:r w:rsidR="00C20B97" w:rsidRPr="00E86955">
        <w:rPr>
          <w:sz w:val="22"/>
          <w:szCs w:val="22"/>
          <w:lang w:val="sk"/>
        </w:rPr>
        <w:t xml:space="preserve"> a </w:t>
      </w:r>
      <w:proofErr w:type="spellStart"/>
      <w:r w:rsidRPr="00E86955">
        <w:rPr>
          <w:sz w:val="22"/>
          <w:szCs w:val="22"/>
          <w:lang w:val="sk"/>
        </w:rPr>
        <w:t>izomaltázy</w:t>
      </w:r>
      <w:proofErr w:type="spellEnd"/>
      <w:r w:rsidRPr="00E86955">
        <w:rPr>
          <w:sz w:val="22"/>
          <w:szCs w:val="22"/>
          <w:lang w:val="sk"/>
        </w:rPr>
        <w:t xml:space="preserve"> </w:t>
      </w:r>
      <w:r w:rsidR="00C20B97" w:rsidRPr="00E86955">
        <w:rPr>
          <w:sz w:val="22"/>
          <w:szCs w:val="22"/>
          <w:lang w:val="sk"/>
        </w:rPr>
        <w:t>nesmú</w:t>
      </w:r>
      <w:r w:rsidRPr="00E86955">
        <w:rPr>
          <w:sz w:val="22"/>
          <w:szCs w:val="22"/>
          <w:lang w:val="sk"/>
        </w:rPr>
        <w:t xml:space="preserve"> </w:t>
      </w:r>
      <w:r w:rsidR="00C20B97" w:rsidRPr="00E86955">
        <w:rPr>
          <w:sz w:val="22"/>
          <w:szCs w:val="22"/>
          <w:lang w:val="sk"/>
        </w:rPr>
        <w:t xml:space="preserve">užívať </w:t>
      </w:r>
      <w:r w:rsidRPr="00E86955">
        <w:rPr>
          <w:sz w:val="22"/>
          <w:szCs w:val="22"/>
          <w:lang w:val="sk"/>
        </w:rPr>
        <w:t>tento liek.</w:t>
      </w:r>
      <w:r w:rsidRPr="00E86955">
        <w:rPr>
          <w:color w:val="auto"/>
          <w:sz w:val="22"/>
          <w:szCs w:val="22"/>
          <w:lang w:val="sk"/>
        </w:rPr>
        <w:t xml:space="preserve"> </w:t>
      </w:r>
    </w:p>
    <w:p w14:paraId="3E9828FB" w14:textId="77777777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</w:p>
    <w:p w14:paraId="6E68EAA4" w14:textId="0FFEF83D" w:rsidR="002C4B91" w:rsidRPr="00E86955" w:rsidRDefault="002C4B91" w:rsidP="002011F9">
      <w:pPr>
        <w:pStyle w:val="Default"/>
        <w:numPr>
          <w:ilvl w:val="1"/>
          <w:numId w:val="2"/>
        </w:numPr>
        <w:ind w:left="567" w:hanging="567"/>
        <w:rPr>
          <w:sz w:val="22"/>
          <w:szCs w:val="22"/>
        </w:rPr>
      </w:pPr>
      <w:r w:rsidRPr="00E86955">
        <w:rPr>
          <w:b/>
          <w:bCs/>
          <w:sz w:val="22"/>
          <w:szCs w:val="22"/>
          <w:lang w:val="sk"/>
        </w:rPr>
        <w:t xml:space="preserve">Liekové a iné interakcie </w:t>
      </w:r>
    </w:p>
    <w:p w14:paraId="49FE7E07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4335B479" w14:textId="50848536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Inhibítory </w:t>
      </w:r>
      <w:proofErr w:type="spellStart"/>
      <w:r w:rsidRPr="00E86955">
        <w:rPr>
          <w:i/>
          <w:iCs/>
          <w:sz w:val="22"/>
          <w:szCs w:val="22"/>
          <w:lang w:val="sk"/>
        </w:rPr>
        <w:t>monoaminooxidázy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(IMAO)</w:t>
      </w:r>
      <w:r w:rsidRPr="00E86955">
        <w:rPr>
          <w:sz w:val="22"/>
          <w:szCs w:val="22"/>
          <w:lang w:val="sk"/>
        </w:rPr>
        <w:t>:</w:t>
      </w:r>
      <w:r w:rsidRPr="00E86955">
        <w:rPr>
          <w:i/>
          <w:iCs/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z dôvodu rizika vzniku </w:t>
      </w:r>
      <w:proofErr w:type="spellStart"/>
      <w:r w:rsidRPr="00E86955">
        <w:rPr>
          <w:sz w:val="22"/>
          <w:szCs w:val="22"/>
          <w:lang w:val="sk"/>
        </w:rPr>
        <w:t>sérotonínového</w:t>
      </w:r>
      <w:proofErr w:type="spellEnd"/>
      <w:r w:rsidRPr="00E86955">
        <w:rPr>
          <w:sz w:val="22"/>
          <w:szCs w:val="22"/>
          <w:lang w:val="sk"/>
        </w:rPr>
        <w:t xml:space="preserve"> syndrómu sa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nemá používať v kombinácii s neselektívnymi ireverzibilnými inhibítormi </w:t>
      </w:r>
      <w:proofErr w:type="spellStart"/>
      <w:r w:rsidRPr="00E86955">
        <w:rPr>
          <w:sz w:val="22"/>
          <w:szCs w:val="22"/>
          <w:lang w:val="sk"/>
        </w:rPr>
        <w:t>monoaminooxidázy</w:t>
      </w:r>
      <w:proofErr w:type="spellEnd"/>
      <w:r w:rsidRPr="00E86955">
        <w:rPr>
          <w:sz w:val="22"/>
          <w:szCs w:val="22"/>
          <w:lang w:val="sk"/>
        </w:rPr>
        <w:t xml:space="preserve"> (IMAO) alebo minimálne 14 dní od ukončenia liečby IMAO. Vychádzajúc z biologického polčasu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, liečbu s IMAO je možné začať najskôr 5 dní po vysadení </w:t>
      </w:r>
      <w:proofErr w:type="spellStart"/>
      <w:r w:rsidR="0060652F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60652F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nu</w:t>
      </w:r>
      <w:proofErr w:type="spellEnd"/>
      <w:r w:rsidRPr="00E86955">
        <w:rPr>
          <w:sz w:val="22"/>
          <w:szCs w:val="22"/>
          <w:lang w:val="sk"/>
        </w:rPr>
        <w:t xml:space="preserve"> (pozri časť 4.3). </w:t>
      </w:r>
    </w:p>
    <w:p w14:paraId="7E596F4D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480FEC03" w14:textId="270CC49D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Súčasné užívanie </w:t>
      </w:r>
      <w:proofErr w:type="spellStart"/>
      <w:r w:rsidR="0060652F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60652F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nu</w:t>
      </w:r>
      <w:proofErr w:type="spellEnd"/>
      <w:r w:rsidRPr="00E86955">
        <w:rPr>
          <w:sz w:val="22"/>
          <w:szCs w:val="22"/>
          <w:lang w:val="sk"/>
        </w:rPr>
        <w:t xml:space="preserve"> so selektívnymi reverzibilnými IMAO, ako je </w:t>
      </w:r>
      <w:proofErr w:type="spellStart"/>
      <w:r w:rsidRPr="00E86955">
        <w:rPr>
          <w:sz w:val="22"/>
          <w:szCs w:val="22"/>
          <w:lang w:val="sk"/>
        </w:rPr>
        <w:t>moklobemid</w:t>
      </w:r>
      <w:proofErr w:type="spellEnd"/>
      <w:r w:rsidRPr="00E86955">
        <w:rPr>
          <w:sz w:val="22"/>
          <w:szCs w:val="22"/>
          <w:lang w:val="sk"/>
        </w:rPr>
        <w:t xml:space="preserve">, sa neodporúča (pozri časť 4.4). Antibiotikum </w:t>
      </w:r>
      <w:proofErr w:type="spellStart"/>
      <w:r w:rsidRPr="00E86955">
        <w:rPr>
          <w:sz w:val="22"/>
          <w:szCs w:val="22"/>
          <w:lang w:val="sk"/>
        </w:rPr>
        <w:t>linezolid</w:t>
      </w:r>
      <w:proofErr w:type="spellEnd"/>
      <w:r w:rsidRPr="00E86955">
        <w:rPr>
          <w:sz w:val="22"/>
          <w:szCs w:val="22"/>
          <w:lang w:val="sk"/>
        </w:rPr>
        <w:t xml:space="preserve"> je reverzibilným neselektívnym IMAO a nemá sa podávať pacientom užívajúcim </w:t>
      </w:r>
      <w:proofErr w:type="spellStart"/>
      <w:r w:rsidR="0060652F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60652F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(pozri časť 4.4). </w:t>
      </w:r>
    </w:p>
    <w:p w14:paraId="25DDFF7D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509F346D" w14:textId="2B123895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>Inhibítory CYP1A2</w:t>
      </w:r>
      <w:r w:rsidRPr="00E86955">
        <w:rPr>
          <w:sz w:val="22"/>
          <w:szCs w:val="22"/>
          <w:lang w:val="sk"/>
        </w:rPr>
        <w:t>:</w:t>
      </w:r>
      <w:r w:rsidRPr="00E86955">
        <w:rPr>
          <w:i/>
          <w:iCs/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keďže CYP1A2 sa zúčastňuje na metabolizme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, súčasné užívanie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spolu so silnými inhibítormi CYP1A2 pravdepodobne vedie k zvýšenej koncentrácii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. </w:t>
      </w:r>
      <w:proofErr w:type="spellStart"/>
      <w:r w:rsidRPr="00E86955">
        <w:rPr>
          <w:sz w:val="22"/>
          <w:szCs w:val="22"/>
          <w:lang w:val="sk"/>
        </w:rPr>
        <w:t>Fluvoxamín</w:t>
      </w:r>
      <w:proofErr w:type="spellEnd"/>
      <w:r w:rsidRPr="00E86955">
        <w:rPr>
          <w:sz w:val="22"/>
          <w:szCs w:val="22"/>
          <w:lang w:val="sk"/>
        </w:rPr>
        <w:t xml:space="preserve"> (100 mg raz denne) ako silný inhibítor CYP1A2, znížil zdanlivý plazmatický </w:t>
      </w:r>
      <w:proofErr w:type="spellStart"/>
      <w:r w:rsidRPr="00E86955">
        <w:rPr>
          <w:sz w:val="22"/>
          <w:szCs w:val="22"/>
          <w:lang w:val="sk"/>
        </w:rPr>
        <w:t>klírens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o približne 77 %, pričom 6-násobne vzrástla </w:t>
      </w:r>
      <w:proofErr w:type="spellStart"/>
      <w:r w:rsidRPr="00E86955">
        <w:rPr>
          <w:sz w:val="22"/>
          <w:szCs w:val="22"/>
          <w:lang w:val="sk"/>
        </w:rPr>
        <w:t>AUC</w:t>
      </w:r>
      <w:r w:rsidRPr="00E86955">
        <w:rPr>
          <w:sz w:val="22"/>
          <w:szCs w:val="22"/>
          <w:vertAlign w:val="subscript"/>
          <w:lang w:val="sk"/>
        </w:rPr>
        <w:t>o</w:t>
      </w:r>
      <w:proofErr w:type="spellEnd"/>
      <w:r w:rsidRPr="00E86955">
        <w:rPr>
          <w:sz w:val="22"/>
          <w:szCs w:val="22"/>
          <w:vertAlign w:val="subscript"/>
          <w:lang w:val="sk"/>
        </w:rPr>
        <w:t>-t</w:t>
      </w:r>
      <w:r w:rsidRPr="00E86955">
        <w:rPr>
          <w:sz w:val="22"/>
          <w:szCs w:val="22"/>
          <w:lang w:val="sk"/>
        </w:rPr>
        <w:t xml:space="preserve">. </w:t>
      </w:r>
      <w:proofErr w:type="spellStart"/>
      <w:r w:rsidRPr="00E86955">
        <w:rPr>
          <w:sz w:val="22"/>
          <w:szCs w:val="22"/>
          <w:lang w:val="sk"/>
        </w:rPr>
        <w:t>Duloxet</w:t>
      </w:r>
      <w:r w:rsidR="0060652F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sa preto nemá podávať v kombinácii so silnými inhibítormi CYP1A2 typu </w:t>
      </w:r>
      <w:proofErr w:type="spellStart"/>
      <w:r w:rsidRPr="00E86955">
        <w:rPr>
          <w:sz w:val="22"/>
          <w:szCs w:val="22"/>
          <w:lang w:val="sk"/>
        </w:rPr>
        <w:t>fluvoxamínu</w:t>
      </w:r>
      <w:proofErr w:type="spellEnd"/>
      <w:r w:rsidRPr="00E86955">
        <w:rPr>
          <w:sz w:val="22"/>
          <w:szCs w:val="22"/>
          <w:lang w:val="sk"/>
        </w:rPr>
        <w:t xml:space="preserve"> (pozri časť 4.3). </w:t>
      </w:r>
    </w:p>
    <w:p w14:paraId="06AB2785" w14:textId="77777777" w:rsidR="002C4B91" w:rsidRPr="00E86955" w:rsidRDefault="002C4B91" w:rsidP="002011F9">
      <w:pPr>
        <w:pStyle w:val="Default"/>
        <w:rPr>
          <w:i/>
          <w:iCs/>
          <w:color w:val="auto"/>
          <w:sz w:val="22"/>
          <w:szCs w:val="22"/>
        </w:rPr>
      </w:pPr>
    </w:p>
    <w:p w14:paraId="6F17DEB3" w14:textId="374E2651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  <w:r w:rsidRPr="00E86955">
        <w:rPr>
          <w:i/>
          <w:iCs/>
          <w:color w:val="auto"/>
          <w:sz w:val="22"/>
          <w:szCs w:val="22"/>
          <w:lang w:val="sk"/>
        </w:rPr>
        <w:t>Liečivá pre centrálny nervový systém</w:t>
      </w:r>
      <w:r w:rsidRPr="00E86955">
        <w:rPr>
          <w:color w:val="auto"/>
          <w:sz w:val="22"/>
          <w:szCs w:val="22"/>
          <w:lang w:val="sk"/>
        </w:rPr>
        <w:t xml:space="preserve">: riziko užívania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v kombinácii s inými liekmi s vplyvom na CNS nebolo systematicky hodnotené, okrem prípadov opísaných v tejto časti. V dôsledku toho sa pri užívaní </w:t>
      </w:r>
      <w:proofErr w:type="spellStart"/>
      <w:r w:rsidR="0060652F" w:rsidRPr="00E86955">
        <w:rPr>
          <w:color w:val="auto"/>
          <w:sz w:val="22"/>
          <w:szCs w:val="22"/>
          <w:lang w:val="sk"/>
        </w:rPr>
        <w:t>d</w:t>
      </w:r>
      <w:r w:rsidRPr="00E86955">
        <w:rPr>
          <w:color w:val="auto"/>
          <w:sz w:val="22"/>
          <w:szCs w:val="22"/>
          <w:lang w:val="sk"/>
        </w:rPr>
        <w:t>uloxet</w:t>
      </w:r>
      <w:r w:rsidR="0060652F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v kombinácii s inými centrálne pôsobiacimi liekmi alebo látkami, vrátane alkoholu a liekov so sedatívnym účinkom (napr. </w:t>
      </w:r>
      <w:proofErr w:type="spellStart"/>
      <w:r w:rsidRPr="00E86955">
        <w:rPr>
          <w:color w:val="auto"/>
          <w:sz w:val="22"/>
          <w:szCs w:val="22"/>
          <w:lang w:val="sk"/>
        </w:rPr>
        <w:t>benzodiazepíny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, </w:t>
      </w:r>
      <w:proofErr w:type="spellStart"/>
      <w:r w:rsidRPr="00E86955">
        <w:rPr>
          <w:color w:val="auto"/>
          <w:sz w:val="22"/>
          <w:szCs w:val="22"/>
          <w:lang w:val="sk"/>
        </w:rPr>
        <w:t>morfínomimetiká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, </w:t>
      </w:r>
      <w:proofErr w:type="spellStart"/>
      <w:r w:rsidRPr="00E86955">
        <w:rPr>
          <w:color w:val="auto"/>
          <w:sz w:val="22"/>
          <w:szCs w:val="22"/>
          <w:lang w:val="sk"/>
        </w:rPr>
        <w:t>antipsychotiká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, </w:t>
      </w:r>
      <w:proofErr w:type="spellStart"/>
      <w:r w:rsidRPr="00E86955">
        <w:rPr>
          <w:color w:val="auto"/>
          <w:sz w:val="22"/>
          <w:szCs w:val="22"/>
          <w:lang w:val="sk"/>
        </w:rPr>
        <w:t>fenobarbital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, sedatívne </w:t>
      </w:r>
      <w:proofErr w:type="spellStart"/>
      <w:r w:rsidRPr="00E86955">
        <w:rPr>
          <w:color w:val="auto"/>
          <w:sz w:val="22"/>
          <w:szCs w:val="22"/>
          <w:lang w:val="sk"/>
        </w:rPr>
        <w:t>antihistaminiká</w:t>
      </w:r>
      <w:proofErr w:type="spellEnd"/>
      <w:r w:rsidRPr="00E86955">
        <w:rPr>
          <w:color w:val="auto"/>
          <w:sz w:val="22"/>
          <w:szCs w:val="22"/>
          <w:lang w:val="sk"/>
        </w:rPr>
        <w:t>) odporúča postupovať s opatrnosťou.</w:t>
      </w:r>
    </w:p>
    <w:p w14:paraId="01C75A83" w14:textId="77777777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</w:p>
    <w:p w14:paraId="57E81334" w14:textId="243980DB" w:rsidR="002C4B91" w:rsidRPr="00E86955" w:rsidRDefault="002C4B91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i/>
          <w:iCs/>
          <w:sz w:val="22"/>
          <w:szCs w:val="22"/>
          <w:lang w:val="sk"/>
        </w:rPr>
        <w:t>Sérotonínové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látky</w:t>
      </w:r>
      <w:r w:rsidRPr="00E86955">
        <w:rPr>
          <w:sz w:val="22"/>
          <w:szCs w:val="22"/>
          <w:lang w:val="sk"/>
        </w:rPr>
        <w:t>:</w:t>
      </w:r>
      <w:r w:rsidRPr="00E86955">
        <w:rPr>
          <w:i/>
          <w:iCs/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sérotonínový</w:t>
      </w:r>
      <w:proofErr w:type="spellEnd"/>
      <w:r w:rsidRPr="00E86955">
        <w:rPr>
          <w:sz w:val="22"/>
          <w:szCs w:val="22"/>
          <w:lang w:val="sk"/>
        </w:rPr>
        <w:t xml:space="preserve"> syndróm bol v zriedkavých prípadoch zaznamenaný u pacientov, ktorí užívali selektívne inhibítory spätného vychytávania </w:t>
      </w:r>
      <w:proofErr w:type="spellStart"/>
      <w:r w:rsidRPr="00E86955">
        <w:rPr>
          <w:sz w:val="22"/>
          <w:szCs w:val="22"/>
          <w:lang w:val="sk"/>
        </w:rPr>
        <w:t>sérotonínu</w:t>
      </w:r>
      <w:proofErr w:type="spellEnd"/>
      <w:r w:rsidRPr="00E86955">
        <w:rPr>
          <w:sz w:val="22"/>
          <w:szCs w:val="22"/>
          <w:lang w:val="sk"/>
        </w:rPr>
        <w:t xml:space="preserve"> (SSRI/SNRI) spolu s látkami, ktoré majú </w:t>
      </w:r>
      <w:proofErr w:type="spellStart"/>
      <w:r w:rsidRPr="00E86955">
        <w:rPr>
          <w:sz w:val="22"/>
          <w:szCs w:val="22"/>
          <w:lang w:val="sk"/>
        </w:rPr>
        <w:t>sérotonergické</w:t>
      </w:r>
      <w:proofErr w:type="spellEnd"/>
      <w:r w:rsidRPr="00E86955">
        <w:rPr>
          <w:sz w:val="22"/>
          <w:szCs w:val="22"/>
          <w:lang w:val="sk"/>
        </w:rPr>
        <w:t xml:space="preserve"> účinky. Opatrnosť sa odporúča v prípade, ak sa </w:t>
      </w:r>
      <w:proofErr w:type="spellStart"/>
      <w:r w:rsidR="0060652F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60652F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užíva súčasne so </w:t>
      </w:r>
      <w:proofErr w:type="spellStart"/>
      <w:r w:rsidRPr="00E86955">
        <w:rPr>
          <w:sz w:val="22"/>
          <w:szCs w:val="22"/>
          <w:lang w:val="sk"/>
        </w:rPr>
        <w:t>sérotonergickými</w:t>
      </w:r>
      <w:proofErr w:type="spellEnd"/>
      <w:r w:rsidRPr="00E86955">
        <w:rPr>
          <w:sz w:val="22"/>
          <w:szCs w:val="22"/>
          <w:lang w:val="sk"/>
        </w:rPr>
        <w:t xml:space="preserve"> látkami akými sú SSRI, SNRI a </w:t>
      </w:r>
      <w:proofErr w:type="spellStart"/>
      <w:r w:rsidRPr="00E86955">
        <w:rPr>
          <w:sz w:val="22"/>
          <w:szCs w:val="22"/>
          <w:lang w:val="sk"/>
        </w:rPr>
        <w:t>tricyklické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antidepresíva</w:t>
      </w:r>
      <w:proofErr w:type="spellEnd"/>
      <w:r w:rsidRPr="00E86955">
        <w:rPr>
          <w:sz w:val="22"/>
          <w:szCs w:val="22"/>
          <w:lang w:val="sk"/>
        </w:rPr>
        <w:t xml:space="preserve"> ako </w:t>
      </w:r>
      <w:proofErr w:type="spellStart"/>
      <w:r w:rsidRPr="00E86955">
        <w:rPr>
          <w:sz w:val="22"/>
          <w:szCs w:val="22"/>
          <w:lang w:val="sk"/>
        </w:rPr>
        <w:t>klomipramín</w:t>
      </w:r>
      <w:proofErr w:type="spellEnd"/>
      <w:r w:rsidRPr="00E86955">
        <w:rPr>
          <w:sz w:val="22"/>
          <w:szCs w:val="22"/>
          <w:lang w:val="sk"/>
        </w:rPr>
        <w:t xml:space="preserve"> alebo </w:t>
      </w:r>
      <w:proofErr w:type="spellStart"/>
      <w:r w:rsidRPr="00E86955">
        <w:rPr>
          <w:sz w:val="22"/>
          <w:szCs w:val="22"/>
          <w:lang w:val="sk"/>
        </w:rPr>
        <w:t>amitriptylín</w:t>
      </w:r>
      <w:proofErr w:type="spellEnd"/>
      <w:r w:rsidRPr="00E86955">
        <w:rPr>
          <w:sz w:val="22"/>
          <w:szCs w:val="22"/>
          <w:lang w:val="sk"/>
        </w:rPr>
        <w:t xml:space="preserve">, IMAO, akými sú </w:t>
      </w:r>
      <w:proofErr w:type="spellStart"/>
      <w:r w:rsidRPr="00E86955">
        <w:rPr>
          <w:sz w:val="22"/>
          <w:szCs w:val="22"/>
          <w:lang w:val="sk"/>
        </w:rPr>
        <w:t>moklobemid</w:t>
      </w:r>
      <w:proofErr w:type="spellEnd"/>
      <w:r w:rsidRPr="00E86955">
        <w:rPr>
          <w:sz w:val="22"/>
          <w:szCs w:val="22"/>
          <w:lang w:val="sk"/>
        </w:rPr>
        <w:t xml:space="preserve"> alebo </w:t>
      </w:r>
      <w:proofErr w:type="spellStart"/>
      <w:r w:rsidRPr="00E86955">
        <w:rPr>
          <w:sz w:val="22"/>
          <w:szCs w:val="22"/>
          <w:lang w:val="sk"/>
        </w:rPr>
        <w:t>linezolid</w:t>
      </w:r>
      <w:proofErr w:type="spellEnd"/>
      <w:r w:rsidRPr="00E86955">
        <w:rPr>
          <w:sz w:val="22"/>
          <w:szCs w:val="22"/>
          <w:lang w:val="sk"/>
        </w:rPr>
        <w:t>, s ľubovníkom bodkovaným (</w:t>
      </w:r>
      <w:proofErr w:type="spellStart"/>
      <w:r w:rsidRPr="00E86955">
        <w:rPr>
          <w:sz w:val="22"/>
          <w:szCs w:val="22"/>
          <w:lang w:val="sk"/>
        </w:rPr>
        <w:t>Hypericum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perforatum</w:t>
      </w:r>
      <w:proofErr w:type="spellEnd"/>
      <w:r w:rsidRPr="00E86955">
        <w:rPr>
          <w:sz w:val="22"/>
          <w:szCs w:val="22"/>
          <w:lang w:val="sk"/>
        </w:rPr>
        <w:t xml:space="preserve">) či </w:t>
      </w:r>
      <w:proofErr w:type="spellStart"/>
      <w:r w:rsidRPr="00E86955">
        <w:rPr>
          <w:sz w:val="22"/>
          <w:szCs w:val="22"/>
          <w:lang w:val="sk"/>
        </w:rPr>
        <w:t>triptánmi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tramadolom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petidínom</w:t>
      </w:r>
      <w:proofErr w:type="spellEnd"/>
      <w:r w:rsidRPr="00E86955">
        <w:rPr>
          <w:sz w:val="22"/>
          <w:szCs w:val="22"/>
          <w:lang w:val="sk"/>
        </w:rPr>
        <w:t xml:space="preserve"> a </w:t>
      </w:r>
      <w:proofErr w:type="spellStart"/>
      <w:r w:rsidRPr="00E86955">
        <w:rPr>
          <w:sz w:val="22"/>
          <w:szCs w:val="22"/>
          <w:lang w:val="sk"/>
        </w:rPr>
        <w:t>tryptofánom</w:t>
      </w:r>
      <w:proofErr w:type="spellEnd"/>
      <w:r w:rsidRPr="00E86955">
        <w:rPr>
          <w:sz w:val="22"/>
          <w:szCs w:val="22"/>
          <w:lang w:val="sk"/>
        </w:rPr>
        <w:t xml:space="preserve"> (pozri časť 4.4). </w:t>
      </w:r>
    </w:p>
    <w:p w14:paraId="7D3593E5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0B77BF84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Účinok </w:t>
      </w:r>
      <w:proofErr w:type="spellStart"/>
      <w:r w:rsidRPr="00E86955">
        <w:rPr>
          <w:i/>
          <w:iCs/>
          <w:sz w:val="22"/>
          <w:szCs w:val="22"/>
          <w:lang w:val="sk"/>
        </w:rPr>
        <w:t>duloxetínu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na iné lieky </w:t>
      </w:r>
    </w:p>
    <w:p w14:paraId="0BFAE03B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>Lieky metabolizované CYP1A2</w:t>
      </w:r>
      <w:r w:rsidRPr="00E86955">
        <w:rPr>
          <w:sz w:val="22"/>
          <w:szCs w:val="22"/>
          <w:lang w:val="sk"/>
        </w:rPr>
        <w:t>:</w:t>
      </w:r>
      <w:r w:rsidRPr="00E86955">
        <w:rPr>
          <w:i/>
          <w:iCs/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súčasné podávanie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(60 mg dvakrát denne) nemalo významný vplyv na </w:t>
      </w:r>
      <w:proofErr w:type="spellStart"/>
      <w:r w:rsidRPr="00E86955">
        <w:rPr>
          <w:sz w:val="22"/>
          <w:szCs w:val="22"/>
          <w:lang w:val="sk"/>
        </w:rPr>
        <w:t>farmakokinetiku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teofylínu</w:t>
      </w:r>
      <w:proofErr w:type="spellEnd"/>
      <w:r w:rsidRPr="00E86955">
        <w:rPr>
          <w:sz w:val="22"/>
          <w:szCs w:val="22"/>
          <w:lang w:val="sk"/>
        </w:rPr>
        <w:t xml:space="preserve">, ktorý je substrátom CYP1A2. </w:t>
      </w:r>
    </w:p>
    <w:p w14:paraId="3278F088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64B0549D" w14:textId="77777777" w:rsidR="002B113E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>Lieky metabolizované CYP2D6</w:t>
      </w:r>
      <w:r w:rsidRPr="00E86955">
        <w:rPr>
          <w:sz w:val="22"/>
          <w:szCs w:val="22"/>
          <w:lang w:val="sk"/>
        </w:rPr>
        <w:t>:</w:t>
      </w:r>
      <w:r w:rsidRPr="00E86955">
        <w:rPr>
          <w:i/>
          <w:iCs/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je mierny inhibítor CYP2D6. Keď sa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v dávke 60 mg dvakrát denne podal súčasne s jednorazovou dávkou </w:t>
      </w:r>
      <w:proofErr w:type="spellStart"/>
      <w:r w:rsidRPr="00E86955">
        <w:rPr>
          <w:sz w:val="22"/>
          <w:szCs w:val="22"/>
          <w:lang w:val="sk"/>
        </w:rPr>
        <w:t>dezipramínu</w:t>
      </w:r>
      <w:proofErr w:type="spellEnd"/>
      <w:r w:rsidRPr="00E86955">
        <w:rPr>
          <w:sz w:val="22"/>
          <w:szCs w:val="22"/>
          <w:lang w:val="sk"/>
        </w:rPr>
        <w:t xml:space="preserve"> (substrát CYP2D6), AUC </w:t>
      </w:r>
      <w:proofErr w:type="spellStart"/>
      <w:r w:rsidRPr="00E86955">
        <w:rPr>
          <w:sz w:val="22"/>
          <w:szCs w:val="22"/>
          <w:lang w:val="sk"/>
        </w:rPr>
        <w:t>dezipramínu</w:t>
      </w:r>
      <w:proofErr w:type="spellEnd"/>
      <w:r w:rsidRPr="00E86955">
        <w:rPr>
          <w:sz w:val="22"/>
          <w:szCs w:val="22"/>
          <w:lang w:val="sk"/>
        </w:rPr>
        <w:t xml:space="preserve"> sa trojnásobne zvýšila. Súčasné podávanie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(40 mg dvakrát denne) zvyšuje AUC </w:t>
      </w:r>
      <w:proofErr w:type="spellStart"/>
      <w:r w:rsidRPr="00E86955">
        <w:rPr>
          <w:sz w:val="22"/>
          <w:szCs w:val="22"/>
          <w:lang w:val="sk"/>
        </w:rPr>
        <w:t>tolterodínu</w:t>
      </w:r>
      <w:proofErr w:type="spellEnd"/>
      <w:r w:rsidRPr="00E86955">
        <w:rPr>
          <w:sz w:val="22"/>
          <w:szCs w:val="22"/>
          <w:lang w:val="sk"/>
        </w:rPr>
        <w:t xml:space="preserve"> (2 mg dvakrát denne) v rovnovážnom stave o 71%, nijako však neovplyvnilo </w:t>
      </w:r>
      <w:proofErr w:type="spellStart"/>
      <w:r w:rsidRPr="00E86955">
        <w:rPr>
          <w:sz w:val="22"/>
          <w:szCs w:val="22"/>
          <w:lang w:val="sk"/>
        </w:rPr>
        <w:t>farmakokinetiku</w:t>
      </w:r>
      <w:proofErr w:type="spellEnd"/>
      <w:r w:rsidRPr="00E86955">
        <w:rPr>
          <w:sz w:val="22"/>
          <w:szCs w:val="22"/>
          <w:lang w:val="sk"/>
        </w:rPr>
        <w:t xml:space="preserve"> jeho aktívneho 5-hydroxy </w:t>
      </w:r>
      <w:proofErr w:type="spellStart"/>
      <w:r w:rsidRPr="00E86955">
        <w:rPr>
          <w:sz w:val="22"/>
          <w:szCs w:val="22"/>
          <w:lang w:val="sk"/>
        </w:rPr>
        <w:t>metabolitu</w:t>
      </w:r>
      <w:proofErr w:type="spellEnd"/>
      <w:r w:rsidRPr="00E86955">
        <w:rPr>
          <w:sz w:val="22"/>
          <w:szCs w:val="22"/>
          <w:lang w:val="sk"/>
        </w:rPr>
        <w:t>; úprava dávkovania sa neodporúča.</w:t>
      </w:r>
    </w:p>
    <w:p w14:paraId="5BAB089D" w14:textId="77777777" w:rsidR="008466EA" w:rsidRPr="00E86955" w:rsidRDefault="008466EA" w:rsidP="002011F9">
      <w:pPr>
        <w:pStyle w:val="Default"/>
        <w:rPr>
          <w:sz w:val="22"/>
          <w:szCs w:val="22"/>
        </w:rPr>
      </w:pPr>
    </w:p>
    <w:p w14:paraId="4B76595C" w14:textId="13EA9184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lastRenderedPageBreak/>
        <w:t xml:space="preserve">Opatrnosť sa odporúča v prípade, </w:t>
      </w:r>
      <w:r w:rsidR="006E4399" w:rsidRPr="00E86955">
        <w:rPr>
          <w:sz w:val="22"/>
          <w:szCs w:val="22"/>
          <w:lang w:val="sk"/>
        </w:rPr>
        <w:t xml:space="preserve">že sa </w:t>
      </w:r>
      <w:proofErr w:type="spellStart"/>
      <w:r w:rsidR="006E4399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6E4399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podáva súbežne s liekmi, ktoré sú prevažne metabolizované prostredníctvom CYP2D6 (</w:t>
      </w:r>
      <w:proofErr w:type="spellStart"/>
      <w:r w:rsidRPr="00E86955">
        <w:rPr>
          <w:sz w:val="22"/>
          <w:szCs w:val="22"/>
          <w:lang w:val="sk"/>
        </w:rPr>
        <w:t>risperidón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tricyklické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antidepresíva</w:t>
      </w:r>
      <w:proofErr w:type="spellEnd"/>
      <w:r w:rsidRPr="00E86955">
        <w:rPr>
          <w:sz w:val="22"/>
          <w:szCs w:val="22"/>
          <w:lang w:val="sk"/>
        </w:rPr>
        <w:t xml:space="preserve"> [TCA], ako sú </w:t>
      </w:r>
      <w:proofErr w:type="spellStart"/>
      <w:r w:rsidRPr="00E86955">
        <w:rPr>
          <w:sz w:val="22"/>
          <w:szCs w:val="22"/>
          <w:lang w:val="sk"/>
        </w:rPr>
        <w:t>nortriptylín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amitriptylín</w:t>
      </w:r>
      <w:proofErr w:type="spellEnd"/>
      <w:r w:rsidRPr="00E86955">
        <w:rPr>
          <w:sz w:val="22"/>
          <w:szCs w:val="22"/>
          <w:lang w:val="sk"/>
        </w:rPr>
        <w:t xml:space="preserve"> a </w:t>
      </w:r>
      <w:proofErr w:type="spellStart"/>
      <w:r w:rsidRPr="00E86955">
        <w:rPr>
          <w:sz w:val="22"/>
          <w:szCs w:val="22"/>
          <w:lang w:val="sk"/>
        </w:rPr>
        <w:t>imipramín</w:t>
      </w:r>
      <w:proofErr w:type="spellEnd"/>
      <w:r w:rsidRPr="00E86955">
        <w:rPr>
          <w:sz w:val="22"/>
          <w:szCs w:val="22"/>
          <w:lang w:val="sk"/>
        </w:rPr>
        <w:t xml:space="preserve">), najmä ak majú úzky terapeutický index (ako je </w:t>
      </w:r>
      <w:proofErr w:type="spellStart"/>
      <w:r w:rsidRPr="00E86955">
        <w:rPr>
          <w:sz w:val="22"/>
          <w:szCs w:val="22"/>
          <w:lang w:val="sk"/>
        </w:rPr>
        <w:t>flekainid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propafenón</w:t>
      </w:r>
      <w:proofErr w:type="spellEnd"/>
      <w:r w:rsidRPr="00E86955">
        <w:rPr>
          <w:sz w:val="22"/>
          <w:szCs w:val="22"/>
          <w:lang w:val="sk"/>
        </w:rPr>
        <w:t xml:space="preserve"> a </w:t>
      </w:r>
      <w:proofErr w:type="spellStart"/>
      <w:r w:rsidRPr="00E86955">
        <w:rPr>
          <w:sz w:val="22"/>
          <w:szCs w:val="22"/>
          <w:lang w:val="sk"/>
        </w:rPr>
        <w:t>metoprolol</w:t>
      </w:r>
      <w:proofErr w:type="spellEnd"/>
      <w:r w:rsidRPr="00E86955">
        <w:rPr>
          <w:sz w:val="22"/>
          <w:szCs w:val="22"/>
          <w:lang w:val="sk"/>
        </w:rPr>
        <w:t xml:space="preserve">). </w:t>
      </w:r>
    </w:p>
    <w:p w14:paraId="164EEE99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6D2424B1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Perorálne </w:t>
      </w:r>
      <w:proofErr w:type="spellStart"/>
      <w:r w:rsidRPr="00E86955">
        <w:rPr>
          <w:i/>
          <w:iCs/>
          <w:sz w:val="22"/>
          <w:szCs w:val="22"/>
          <w:lang w:val="sk"/>
        </w:rPr>
        <w:t>kontraceptíva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a iné </w:t>
      </w:r>
      <w:proofErr w:type="spellStart"/>
      <w:r w:rsidRPr="00E86955">
        <w:rPr>
          <w:i/>
          <w:iCs/>
          <w:sz w:val="22"/>
          <w:szCs w:val="22"/>
          <w:lang w:val="sk"/>
        </w:rPr>
        <w:t>steroidové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látky</w:t>
      </w:r>
      <w:r w:rsidRPr="00E86955">
        <w:rPr>
          <w:sz w:val="22"/>
          <w:szCs w:val="22"/>
          <w:lang w:val="sk"/>
        </w:rPr>
        <w:t>:</w:t>
      </w:r>
      <w:r w:rsidRPr="00E86955">
        <w:rPr>
          <w:i/>
          <w:iCs/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výsledky štúdií </w:t>
      </w:r>
      <w:r w:rsidRPr="00E86955">
        <w:rPr>
          <w:i/>
          <w:iCs/>
          <w:sz w:val="22"/>
          <w:szCs w:val="22"/>
          <w:lang w:val="sk"/>
        </w:rPr>
        <w:t xml:space="preserve">in vitro </w:t>
      </w:r>
      <w:r w:rsidRPr="00E86955">
        <w:rPr>
          <w:sz w:val="22"/>
          <w:szCs w:val="22"/>
          <w:lang w:val="sk"/>
        </w:rPr>
        <w:t xml:space="preserve">preukázali, že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neindukuje katalytickú aktivitu </w:t>
      </w:r>
      <w:proofErr w:type="spellStart"/>
      <w:r w:rsidRPr="00E86955">
        <w:rPr>
          <w:sz w:val="22"/>
          <w:szCs w:val="22"/>
          <w:lang w:val="sk"/>
        </w:rPr>
        <w:t>izoenzýmov</w:t>
      </w:r>
      <w:proofErr w:type="spellEnd"/>
      <w:r w:rsidRPr="00E86955">
        <w:rPr>
          <w:sz w:val="22"/>
          <w:szCs w:val="22"/>
          <w:lang w:val="sk"/>
        </w:rPr>
        <w:t xml:space="preserve"> CYP3A. Špecifické </w:t>
      </w:r>
      <w:r w:rsidRPr="00E86955">
        <w:rPr>
          <w:i/>
          <w:iCs/>
          <w:sz w:val="22"/>
          <w:szCs w:val="22"/>
          <w:lang w:val="sk"/>
        </w:rPr>
        <w:t xml:space="preserve">in </w:t>
      </w:r>
      <w:proofErr w:type="spellStart"/>
      <w:r w:rsidRPr="00E86955">
        <w:rPr>
          <w:i/>
          <w:iCs/>
          <w:sz w:val="22"/>
          <w:szCs w:val="22"/>
          <w:lang w:val="sk"/>
        </w:rPr>
        <w:t>vivo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liekové interakčné štúdie zrealizované neboli. </w:t>
      </w:r>
    </w:p>
    <w:p w14:paraId="1EA09496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117102C1" w14:textId="77777777" w:rsidR="002C4B91" w:rsidRPr="00E86955" w:rsidRDefault="002C4B91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i/>
          <w:iCs/>
          <w:sz w:val="22"/>
          <w:szCs w:val="22"/>
          <w:lang w:val="sk"/>
        </w:rPr>
        <w:t>Antikoagulanciá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a </w:t>
      </w:r>
      <w:proofErr w:type="spellStart"/>
      <w:r w:rsidRPr="00E86955">
        <w:rPr>
          <w:i/>
          <w:iCs/>
          <w:sz w:val="22"/>
          <w:szCs w:val="22"/>
          <w:lang w:val="sk"/>
        </w:rPr>
        <w:t>antiagreganciá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: </w:t>
      </w:r>
      <w:r w:rsidRPr="00E86955">
        <w:rPr>
          <w:sz w:val="22"/>
          <w:szCs w:val="22"/>
          <w:lang w:val="sk"/>
        </w:rPr>
        <w:t xml:space="preserve">Opatrnosť je potrebná, keď sa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kombinuje s perorálnymi </w:t>
      </w:r>
      <w:proofErr w:type="spellStart"/>
      <w:r w:rsidRPr="00E86955">
        <w:rPr>
          <w:sz w:val="22"/>
          <w:szCs w:val="22"/>
          <w:lang w:val="sk"/>
        </w:rPr>
        <w:t>antikoagulanciami</w:t>
      </w:r>
      <w:proofErr w:type="spellEnd"/>
      <w:r w:rsidRPr="00E86955">
        <w:rPr>
          <w:sz w:val="22"/>
          <w:szCs w:val="22"/>
          <w:lang w:val="sk"/>
        </w:rPr>
        <w:t xml:space="preserve"> alebo </w:t>
      </w:r>
      <w:proofErr w:type="spellStart"/>
      <w:r w:rsidRPr="00E86955">
        <w:rPr>
          <w:sz w:val="22"/>
          <w:szCs w:val="22"/>
          <w:lang w:val="sk"/>
        </w:rPr>
        <w:t>antiagreganciami</w:t>
      </w:r>
      <w:proofErr w:type="spellEnd"/>
      <w:r w:rsidRPr="00E86955">
        <w:rPr>
          <w:sz w:val="22"/>
          <w:szCs w:val="22"/>
          <w:lang w:val="sk"/>
        </w:rPr>
        <w:t xml:space="preserve"> kvôli možnému zvýšeniu rizika krvácania, ktoré sa pripisuje </w:t>
      </w:r>
      <w:proofErr w:type="spellStart"/>
      <w:r w:rsidRPr="00E86955">
        <w:rPr>
          <w:sz w:val="22"/>
          <w:szCs w:val="22"/>
          <w:lang w:val="sk"/>
        </w:rPr>
        <w:t>farmakodynamickej</w:t>
      </w:r>
      <w:proofErr w:type="spellEnd"/>
      <w:r w:rsidRPr="00E86955">
        <w:rPr>
          <w:sz w:val="22"/>
          <w:szCs w:val="22"/>
          <w:lang w:val="sk"/>
        </w:rPr>
        <w:t xml:space="preserve"> interakcii. Okrem toho sa zaznamenali zvýšené hodnoty INR u pacientov liečených </w:t>
      </w:r>
      <w:proofErr w:type="spellStart"/>
      <w:r w:rsidRPr="00E86955">
        <w:rPr>
          <w:sz w:val="22"/>
          <w:szCs w:val="22"/>
          <w:lang w:val="sk"/>
        </w:rPr>
        <w:t>warfarínom</w:t>
      </w:r>
      <w:proofErr w:type="spellEnd"/>
      <w:r w:rsidRPr="00E86955">
        <w:rPr>
          <w:sz w:val="22"/>
          <w:szCs w:val="22"/>
          <w:lang w:val="sk"/>
        </w:rPr>
        <w:t xml:space="preserve">, ktorým sa súčasne podával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. Avšak súčasné podávanie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s </w:t>
      </w:r>
      <w:proofErr w:type="spellStart"/>
      <w:r w:rsidRPr="00E86955">
        <w:rPr>
          <w:sz w:val="22"/>
          <w:szCs w:val="22"/>
          <w:lang w:val="sk"/>
        </w:rPr>
        <w:t>warfarínom</w:t>
      </w:r>
      <w:proofErr w:type="spellEnd"/>
      <w:r w:rsidRPr="00E86955">
        <w:rPr>
          <w:sz w:val="22"/>
          <w:szCs w:val="22"/>
          <w:lang w:val="sk"/>
        </w:rPr>
        <w:t xml:space="preserve"> zdravým dobrovoľníkom v ustálenom stave v rámci farmakologického klinického skúšania nemalo za následok klinicky významné zmeny INR oproti počiatočným hodnotám ani zmeny </w:t>
      </w:r>
      <w:proofErr w:type="spellStart"/>
      <w:r w:rsidRPr="00E86955">
        <w:rPr>
          <w:sz w:val="22"/>
          <w:szCs w:val="22"/>
          <w:lang w:val="sk"/>
        </w:rPr>
        <w:t>farmakokinetiky</w:t>
      </w:r>
      <w:proofErr w:type="spellEnd"/>
      <w:r w:rsidRPr="00E86955">
        <w:rPr>
          <w:sz w:val="22"/>
          <w:szCs w:val="22"/>
          <w:lang w:val="sk"/>
        </w:rPr>
        <w:t xml:space="preserve"> R- alebo S- </w:t>
      </w:r>
      <w:proofErr w:type="spellStart"/>
      <w:r w:rsidRPr="00E86955">
        <w:rPr>
          <w:sz w:val="22"/>
          <w:szCs w:val="22"/>
          <w:lang w:val="sk"/>
        </w:rPr>
        <w:t>warfarínu</w:t>
      </w:r>
      <w:proofErr w:type="spellEnd"/>
      <w:r w:rsidRPr="00E86955">
        <w:rPr>
          <w:sz w:val="22"/>
          <w:szCs w:val="22"/>
          <w:lang w:val="sk"/>
        </w:rPr>
        <w:t xml:space="preserve">. </w:t>
      </w:r>
    </w:p>
    <w:p w14:paraId="37836BCC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47CB481A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Účinok iných liekov na </w:t>
      </w:r>
      <w:proofErr w:type="spellStart"/>
      <w:r w:rsidRPr="00E86955">
        <w:rPr>
          <w:i/>
          <w:iCs/>
          <w:sz w:val="22"/>
          <w:szCs w:val="22"/>
          <w:lang w:val="sk"/>
        </w:rPr>
        <w:t>duloxetín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</w:t>
      </w:r>
    </w:p>
    <w:p w14:paraId="5C99E2DD" w14:textId="77777777" w:rsidR="002B113E" w:rsidRPr="00E86955" w:rsidRDefault="002B113E" w:rsidP="002011F9">
      <w:pPr>
        <w:pStyle w:val="Default"/>
        <w:rPr>
          <w:sz w:val="22"/>
          <w:szCs w:val="22"/>
        </w:rPr>
      </w:pPr>
    </w:p>
    <w:p w14:paraId="16A114D3" w14:textId="77777777" w:rsidR="002C4B91" w:rsidRPr="00E86955" w:rsidRDefault="002C4B91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i/>
          <w:iCs/>
          <w:color w:val="auto"/>
          <w:sz w:val="22"/>
          <w:szCs w:val="22"/>
          <w:lang w:val="sk"/>
        </w:rPr>
        <w:t>Antacidá</w:t>
      </w:r>
      <w:proofErr w:type="spellEnd"/>
      <w:r w:rsidRPr="00E86955">
        <w:rPr>
          <w:i/>
          <w:iCs/>
          <w:color w:val="auto"/>
          <w:sz w:val="22"/>
          <w:szCs w:val="22"/>
          <w:lang w:val="sk"/>
        </w:rPr>
        <w:t xml:space="preserve"> a </w:t>
      </w:r>
      <w:proofErr w:type="spellStart"/>
      <w:r w:rsidRPr="00E86955">
        <w:rPr>
          <w:i/>
          <w:iCs/>
          <w:color w:val="auto"/>
          <w:sz w:val="22"/>
          <w:szCs w:val="22"/>
          <w:lang w:val="sk"/>
        </w:rPr>
        <w:t>antagonisty</w:t>
      </w:r>
      <w:proofErr w:type="spellEnd"/>
      <w:r w:rsidRPr="00E86955">
        <w:rPr>
          <w:i/>
          <w:iCs/>
          <w:color w:val="auto"/>
          <w:sz w:val="22"/>
          <w:szCs w:val="22"/>
          <w:lang w:val="sk"/>
        </w:rPr>
        <w:t xml:space="preserve"> H2: </w:t>
      </w:r>
      <w:r w:rsidRPr="00E86955">
        <w:rPr>
          <w:color w:val="auto"/>
          <w:sz w:val="22"/>
          <w:szCs w:val="22"/>
          <w:lang w:val="sk"/>
        </w:rPr>
        <w:t xml:space="preserve">súčasné podávanie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a </w:t>
      </w:r>
      <w:proofErr w:type="spellStart"/>
      <w:r w:rsidRPr="00E86955">
        <w:rPr>
          <w:color w:val="auto"/>
          <w:sz w:val="22"/>
          <w:szCs w:val="22"/>
          <w:lang w:val="sk"/>
        </w:rPr>
        <w:t>antacíd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obsahujúcich hliník a horčík </w:t>
      </w:r>
      <w:r w:rsidRPr="00E86955">
        <w:rPr>
          <w:sz w:val="22"/>
          <w:szCs w:val="22"/>
          <w:lang w:val="sk"/>
        </w:rPr>
        <w:t xml:space="preserve">alebo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s </w:t>
      </w:r>
      <w:proofErr w:type="spellStart"/>
      <w:r w:rsidRPr="00E86955">
        <w:rPr>
          <w:sz w:val="22"/>
          <w:szCs w:val="22"/>
          <w:lang w:val="sk"/>
        </w:rPr>
        <w:t>famotidínom</w:t>
      </w:r>
      <w:proofErr w:type="spellEnd"/>
      <w:r w:rsidRPr="00E86955">
        <w:rPr>
          <w:sz w:val="22"/>
          <w:szCs w:val="22"/>
          <w:lang w:val="sk"/>
        </w:rPr>
        <w:t xml:space="preserve"> nijako významne neovplyvnilo rýchlosť či rozsah absorpcie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po podaní dávky 40 mg perorálne. </w:t>
      </w:r>
    </w:p>
    <w:p w14:paraId="3CA8A2A4" w14:textId="77777777" w:rsidR="002C4B91" w:rsidRPr="00E86955" w:rsidRDefault="002C4B91" w:rsidP="002011F9">
      <w:pPr>
        <w:pStyle w:val="Default"/>
        <w:rPr>
          <w:i/>
          <w:iCs/>
          <w:color w:val="auto"/>
          <w:sz w:val="22"/>
          <w:szCs w:val="22"/>
        </w:rPr>
      </w:pPr>
    </w:p>
    <w:p w14:paraId="2C744C10" w14:textId="77777777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  <w:r w:rsidRPr="00E86955">
        <w:rPr>
          <w:i/>
          <w:iCs/>
          <w:color w:val="auto"/>
          <w:sz w:val="22"/>
          <w:szCs w:val="22"/>
          <w:lang w:val="sk"/>
        </w:rPr>
        <w:t xml:space="preserve">Induktory CYP1A2: </w:t>
      </w:r>
      <w:r w:rsidRPr="00E86955">
        <w:rPr>
          <w:color w:val="auto"/>
          <w:sz w:val="22"/>
          <w:szCs w:val="22"/>
          <w:lang w:val="sk"/>
        </w:rPr>
        <w:t xml:space="preserve">populačné </w:t>
      </w:r>
      <w:proofErr w:type="spellStart"/>
      <w:r w:rsidRPr="00E86955">
        <w:rPr>
          <w:color w:val="auto"/>
          <w:sz w:val="22"/>
          <w:szCs w:val="22"/>
          <w:lang w:val="sk"/>
        </w:rPr>
        <w:t>farmakokinetické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analýzy preukázali, že fajčiari majú takmer o 50% nižšie plazmatické koncentrácie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než nefajčiari.</w:t>
      </w:r>
    </w:p>
    <w:p w14:paraId="0496DD87" w14:textId="77777777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</w:p>
    <w:p w14:paraId="2ABD441C" w14:textId="438608D0" w:rsidR="002C4B91" w:rsidRPr="00E86955" w:rsidRDefault="002C4B91" w:rsidP="002011F9">
      <w:pPr>
        <w:pStyle w:val="Default"/>
        <w:numPr>
          <w:ilvl w:val="1"/>
          <w:numId w:val="2"/>
        </w:numPr>
        <w:ind w:left="567" w:hanging="567"/>
        <w:rPr>
          <w:sz w:val="22"/>
          <w:szCs w:val="22"/>
        </w:rPr>
      </w:pPr>
      <w:proofErr w:type="spellStart"/>
      <w:r w:rsidRPr="00E86955">
        <w:rPr>
          <w:b/>
          <w:bCs/>
          <w:sz w:val="22"/>
          <w:szCs w:val="22"/>
          <w:lang w:val="sk"/>
        </w:rPr>
        <w:t>Fertilita</w:t>
      </w:r>
      <w:proofErr w:type="spellEnd"/>
      <w:r w:rsidRPr="00E86955">
        <w:rPr>
          <w:b/>
          <w:bCs/>
          <w:sz w:val="22"/>
          <w:szCs w:val="22"/>
          <w:lang w:val="sk"/>
        </w:rPr>
        <w:t xml:space="preserve">, gravidita a laktácia </w:t>
      </w:r>
    </w:p>
    <w:p w14:paraId="39EAA543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79D2D2EE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  <w:proofErr w:type="spellStart"/>
      <w:r w:rsidRPr="00E86955">
        <w:rPr>
          <w:i/>
          <w:iCs/>
          <w:sz w:val="22"/>
          <w:szCs w:val="22"/>
          <w:lang w:val="sk"/>
        </w:rPr>
        <w:t>Fertilita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</w:t>
      </w:r>
    </w:p>
    <w:p w14:paraId="27F2DB44" w14:textId="77777777" w:rsidR="008466EA" w:rsidRPr="00E86955" w:rsidRDefault="008466EA" w:rsidP="002011F9">
      <w:pPr>
        <w:pStyle w:val="Default"/>
        <w:rPr>
          <w:sz w:val="22"/>
          <w:szCs w:val="22"/>
        </w:rPr>
      </w:pPr>
    </w:p>
    <w:p w14:paraId="2AD27B46" w14:textId="77777777" w:rsidR="002C4B91" w:rsidRPr="00E86955" w:rsidRDefault="008466EA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štúdiách so zvieratami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nemal vplyv na samčiu </w:t>
      </w:r>
      <w:proofErr w:type="spellStart"/>
      <w:r w:rsidRPr="00E86955">
        <w:rPr>
          <w:sz w:val="22"/>
          <w:szCs w:val="22"/>
          <w:lang w:val="sk"/>
        </w:rPr>
        <w:t>fertilitu</w:t>
      </w:r>
      <w:proofErr w:type="spellEnd"/>
      <w:r w:rsidRPr="00E86955">
        <w:rPr>
          <w:sz w:val="22"/>
          <w:szCs w:val="22"/>
          <w:lang w:val="sk"/>
        </w:rPr>
        <w:t xml:space="preserve"> a u samičiek bol vplyv evidentný iba pri dávkach spôsobujúcich materskú toxicitu. </w:t>
      </w:r>
    </w:p>
    <w:p w14:paraId="67CFEF6A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2F209E2F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Gravidita </w:t>
      </w:r>
    </w:p>
    <w:p w14:paraId="11614167" w14:textId="77777777" w:rsidR="008466EA" w:rsidRPr="00E86955" w:rsidRDefault="008466EA" w:rsidP="002011F9">
      <w:pPr>
        <w:pStyle w:val="Default"/>
        <w:rPr>
          <w:sz w:val="22"/>
          <w:szCs w:val="22"/>
        </w:rPr>
      </w:pPr>
    </w:p>
    <w:p w14:paraId="5B16B51A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Nie sú k dispozícii dostatočné údaje o použití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u gravidných žien. Štúdie na zvieratách preukázali reprodukčnú toxicitu pri hladinách systémovej expozície (AUC)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nižších než je maximálna klinická expozícia (pozri časť 5.3). </w:t>
      </w:r>
    </w:p>
    <w:p w14:paraId="112E987D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439CB86B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Nie je známe potenciálne riziko u ľudí. </w:t>
      </w:r>
    </w:p>
    <w:p w14:paraId="6E5BC5DF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51C2F685" w14:textId="77777777" w:rsidR="008466EA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Epidemiologické údaje naznačujú, že používanie SSRI počas tehotenstva, zvlášť v pokročilom štádiu tehotenstva, môže zvýšiť riziko </w:t>
      </w:r>
      <w:proofErr w:type="spellStart"/>
      <w:r w:rsidRPr="00E86955">
        <w:rPr>
          <w:sz w:val="22"/>
          <w:szCs w:val="22"/>
          <w:lang w:val="sk"/>
        </w:rPr>
        <w:t>perzistentnej</w:t>
      </w:r>
      <w:proofErr w:type="spellEnd"/>
      <w:r w:rsidRPr="00E86955">
        <w:rPr>
          <w:sz w:val="22"/>
          <w:szCs w:val="22"/>
          <w:lang w:val="sk"/>
        </w:rPr>
        <w:t xml:space="preserve"> pľúcnej hypertenzie u novorodencov (PPHN). </w:t>
      </w:r>
    </w:p>
    <w:p w14:paraId="3F78258E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Hoci žiadna štúdia nesledovala súvislosť medzi PPHN a liečbou SNRI, toto potenciálne riziko sa nedá vylúčiť pri </w:t>
      </w:r>
      <w:proofErr w:type="spellStart"/>
      <w:r w:rsidRPr="00E86955">
        <w:rPr>
          <w:sz w:val="22"/>
          <w:szCs w:val="22"/>
          <w:lang w:val="sk"/>
        </w:rPr>
        <w:t>duloxetíne</w:t>
      </w:r>
      <w:proofErr w:type="spellEnd"/>
      <w:r w:rsidRPr="00E86955">
        <w:rPr>
          <w:sz w:val="22"/>
          <w:szCs w:val="22"/>
          <w:lang w:val="sk"/>
        </w:rPr>
        <w:t xml:space="preserve">, berúc do úvahy podobný mechanizmus účinku (inhibícia spätného vychytávania </w:t>
      </w:r>
      <w:proofErr w:type="spellStart"/>
      <w:r w:rsidRPr="00E86955">
        <w:rPr>
          <w:sz w:val="22"/>
          <w:szCs w:val="22"/>
          <w:lang w:val="sk"/>
        </w:rPr>
        <w:t>sérotonínu</w:t>
      </w:r>
      <w:proofErr w:type="spellEnd"/>
      <w:r w:rsidRPr="00E86955">
        <w:rPr>
          <w:sz w:val="22"/>
          <w:szCs w:val="22"/>
          <w:lang w:val="sk"/>
        </w:rPr>
        <w:t xml:space="preserve">). </w:t>
      </w:r>
    </w:p>
    <w:p w14:paraId="7F459F3C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2CFABB28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Ako aj u iných </w:t>
      </w:r>
      <w:proofErr w:type="spellStart"/>
      <w:r w:rsidRPr="00E86955">
        <w:rPr>
          <w:sz w:val="22"/>
          <w:szCs w:val="22"/>
          <w:lang w:val="sk"/>
        </w:rPr>
        <w:t>sérotonergických</w:t>
      </w:r>
      <w:proofErr w:type="spellEnd"/>
      <w:r w:rsidRPr="00E86955">
        <w:rPr>
          <w:sz w:val="22"/>
          <w:szCs w:val="22"/>
          <w:lang w:val="sk"/>
        </w:rPr>
        <w:t xml:space="preserve"> liekov, ak matka užívala krátko pred pôrodom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, u novorodenca sa môžu vyskytnúť príznaky z vysadenia. Symptómy z vysadenia pozorované pri </w:t>
      </w:r>
      <w:proofErr w:type="spellStart"/>
      <w:r w:rsidRPr="00E86955">
        <w:rPr>
          <w:sz w:val="22"/>
          <w:szCs w:val="22"/>
          <w:lang w:val="sk"/>
        </w:rPr>
        <w:t>duloxetíne</w:t>
      </w:r>
      <w:proofErr w:type="spellEnd"/>
      <w:r w:rsidRPr="00E86955">
        <w:rPr>
          <w:sz w:val="22"/>
          <w:szCs w:val="22"/>
          <w:lang w:val="sk"/>
        </w:rPr>
        <w:t xml:space="preserve"> môžu zahŕňať hypotóniu, tras, nepokoj, problémy s príjmom potravy, ťažkosti s dýchaním a kŕče. Väčšina prípadov sa vyskytla buď pri pôrode alebo niekoľko dní po pôrode. </w:t>
      </w:r>
    </w:p>
    <w:p w14:paraId="29EAB8D6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2CC1B246" w14:textId="4CBB4A7C" w:rsidR="002C4B91" w:rsidRPr="00E86955" w:rsidRDefault="001433FD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</w:t>
      </w:r>
      <w:r w:rsidR="00315726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sa má užívať v priebehu gravidity len vtedy, ak je</w:t>
      </w:r>
      <w:r w:rsidR="00315726" w:rsidRPr="00E86955">
        <w:rPr>
          <w:sz w:val="22"/>
          <w:szCs w:val="22"/>
          <w:lang w:val="sk"/>
        </w:rPr>
        <w:t>ho</w:t>
      </w:r>
      <w:r w:rsidRPr="00E86955">
        <w:rPr>
          <w:sz w:val="22"/>
          <w:szCs w:val="22"/>
          <w:lang w:val="sk"/>
        </w:rPr>
        <w:t xml:space="preserve"> potenciálny prínos prevýši možné riziko pre plod. Ženy, ktoré otehotnejú alebo zamýšľajú otehotnieť v priebehu liečby, je potrebné informovať, aby na to upozornili svojho lekára. </w:t>
      </w:r>
    </w:p>
    <w:p w14:paraId="1DE0FAAD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5AFD911E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Dojčenie </w:t>
      </w:r>
    </w:p>
    <w:p w14:paraId="4CB516AC" w14:textId="77777777" w:rsidR="008466EA" w:rsidRPr="00E86955" w:rsidRDefault="008466EA" w:rsidP="002011F9">
      <w:pPr>
        <w:pStyle w:val="Default"/>
        <w:rPr>
          <w:sz w:val="22"/>
          <w:szCs w:val="22"/>
        </w:rPr>
      </w:pPr>
    </w:p>
    <w:p w14:paraId="5A33981A" w14:textId="659DE73C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Duloxetín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je veľmi málo vylučovaný do materského mlieka vychádzajúc zo štúdie so 6 dojčiacimi </w:t>
      </w:r>
      <w:r w:rsidRPr="00E86955">
        <w:rPr>
          <w:color w:val="auto"/>
          <w:sz w:val="22"/>
          <w:szCs w:val="22"/>
          <w:lang w:val="sk"/>
        </w:rPr>
        <w:lastRenderedPageBreak/>
        <w:t xml:space="preserve">ženami, ktoré nedojčili svoje deti. Odhadovaná denná dávka u dojčaťa v mg/kg je približne 0,14% dávky podanej matke (pozri časť 5.2). Keďže nie je známa bezpečnosť podávania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u dojčiat, užívanie </w:t>
      </w:r>
      <w:proofErr w:type="spellStart"/>
      <w:r w:rsidR="007D4DC9" w:rsidRPr="00E86955">
        <w:rPr>
          <w:color w:val="auto"/>
          <w:sz w:val="22"/>
          <w:szCs w:val="22"/>
          <w:lang w:val="sk"/>
        </w:rPr>
        <w:t>d</w:t>
      </w:r>
      <w:r w:rsidRPr="00E86955">
        <w:rPr>
          <w:color w:val="auto"/>
          <w:sz w:val="22"/>
          <w:szCs w:val="22"/>
          <w:lang w:val="sk"/>
        </w:rPr>
        <w:t>uloxet</w:t>
      </w:r>
      <w:r w:rsidR="007D4DC9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</w:t>
      </w:r>
      <w:r w:rsidR="007D4DC9" w:rsidRPr="00E86955">
        <w:rPr>
          <w:color w:val="auto"/>
          <w:sz w:val="22"/>
          <w:szCs w:val="22"/>
          <w:lang w:val="sk"/>
        </w:rPr>
        <w:t>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sa počas dojčenia neodporúča.</w:t>
      </w:r>
    </w:p>
    <w:p w14:paraId="085F1290" w14:textId="77777777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</w:p>
    <w:p w14:paraId="4257CE1E" w14:textId="080CE670" w:rsidR="002C4B91" w:rsidRPr="00E86955" w:rsidRDefault="002C4B91" w:rsidP="002011F9">
      <w:pPr>
        <w:pStyle w:val="Default"/>
        <w:numPr>
          <w:ilvl w:val="1"/>
          <w:numId w:val="2"/>
        </w:numPr>
        <w:ind w:left="567" w:hanging="567"/>
        <w:rPr>
          <w:sz w:val="22"/>
          <w:szCs w:val="22"/>
        </w:rPr>
      </w:pPr>
      <w:r w:rsidRPr="00E86955">
        <w:rPr>
          <w:b/>
          <w:bCs/>
          <w:sz w:val="22"/>
          <w:szCs w:val="22"/>
          <w:lang w:val="sk"/>
        </w:rPr>
        <w:t xml:space="preserve">Ovplyvnenie schopnosti viesť vozidlá a obsluhovať stroje </w:t>
      </w:r>
    </w:p>
    <w:p w14:paraId="3D8B2A64" w14:textId="77777777" w:rsidR="002C4B91" w:rsidRPr="00E86955" w:rsidRDefault="002C4B91" w:rsidP="002011F9">
      <w:pPr>
        <w:pStyle w:val="Default"/>
        <w:rPr>
          <w:sz w:val="22"/>
          <w:szCs w:val="22"/>
        </w:rPr>
      </w:pPr>
    </w:p>
    <w:p w14:paraId="1EE621D6" w14:textId="65A91734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Neuskutočnili sa žiadne štúdie o účinkoch na schopnosť viesť vozidlá a obsluhovať stroje. </w:t>
      </w:r>
      <w:proofErr w:type="spellStart"/>
      <w:r w:rsidRPr="00E86955">
        <w:rPr>
          <w:sz w:val="22"/>
          <w:szCs w:val="22"/>
          <w:lang w:val="sk"/>
        </w:rPr>
        <w:t>Duloxet</w:t>
      </w:r>
      <w:r w:rsidR="00315726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môže súvisieť s útlmom a závratom. Pacienti sa majú poučiť, že v prípade, ak sa u nich objaví útlm</w:t>
      </w:r>
      <w:r w:rsidR="007D4DC9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alebo závrat, majú sa vyvarovať potenciálne nebezpečných úloh, akými sú vedenie vozidiel alebo obsluha strojov. </w:t>
      </w:r>
    </w:p>
    <w:p w14:paraId="7DACCA9B" w14:textId="77777777" w:rsidR="002C4B91" w:rsidRPr="00E86955" w:rsidRDefault="002C4B91" w:rsidP="002011F9">
      <w:pPr>
        <w:pStyle w:val="Default"/>
        <w:rPr>
          <w:b/>
          <w:bCs/>
          <w:sz w:val="22"/>
          <w:szCs w:val="22"/>
        </w:rPr>
      </w:pPr>
    </w:p>
    <w:p w14:paraId="68E5A187" w14:textId="71F1061D" w:rsidR="002C4B91" w:rsidRPr="00E86955" w:rsidRDefault="002C4B91" w:rsidP="002011F9">
      <w:pPr>
        <w:pStyle w:val="Default"/>
        <w:numPr>
          <w:ilvl w:val="1"/>
          <w:numId w:val="2"/>
        </w:numPr>
        <w:ind w:left="567" w:hanging="567"/>
        <w:rPr>
          <w:sz w:val="22"/>
          <w:szCs w:val="22"/>
        </w:rPr>
      </w:pPr>
      <w:r w:rsidRPr="00E86955">
        <w:rPr>
          <w:b/>
          <w:bCs/>
          <w:sz w:val="22"/>
          <w:szCs w:val="22"/>
          <w:lang w:val="sk"/>
        </w:rPr>
        <w:t xml:space="preserve">Nežiaduce účinky </w:t>
      </w:r>
    </w:p>
    <w:p w14:paraId="4C72B6BF" w14:textId="77777777" w:rsidR="002C4B91" w:rsidRPr="00E86955" w:rsidRDefault="002C4B91" w:rsidP="002011F9">
      <w:pPr>
        <w:pStyle w:val="Default"/>
        <w:rPr>
          <w:i/>
          <w:iCs/>
          <w:sz w:val="22"/>
          <w:szCs w:val="22"/>
        </w:rPr>
      </w:pPr>
    </w:p>
    <w:p w14:paraId="67D99D25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a. Zhrnutie bezpečnostného profilu </w:t>
      </w:r>
    </w:p>
    <w:p w14:paraId="226E7387" w14:textId="64102475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Najčastejšie uvádzané nežiaduce reakcie u pacientov liečených </w:t>
      </w:r>
      <w:proofErr w:type="spellStart"/>
      <w:r w:rsidR="007D4DC9" w:rsidRPr="00E86955">
        <w:rPr>
          <w:color w:val="auto"/>
          <w:sz w:val="22"/>
          <w:szCs w:val="22"/>
          <w:lang w:val="sk"/>
        </w:rPr>
        <w:t>d</w:t>
      </w:r>
      <w:r w:rsidRPr="00E86955">
        <w:rPr>
          <w:color w:val="auto"/>
          <w:sz w:val="22"/>
          <w:szCs w:val="22"/>
          <w:lang w:val="sk"/>
        </w:rPr>
        <w:t>uloxet</w:t>
      </w:r>
      <w:r w:rsidR="007D4DC9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boli nauzea, bolesť hlavy, sucho v ústach, </w:t>
      </w:r>
      <w:proofErr w:type="spellStart"/>
      <w:r w:rsidRPr="00E86955">
        <w:rPr>
          <w:color w:val="auto"/>
          <w:sz w:val="22"/>
          <w:szCs w:val="22"/>
          <w:lang w:val="sk"/>
        </w:rPr>
        <w:t>somnolencia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a závrat. Väčšinou však boli tieto časté nežiaduce reakcie len mierne či stredne závažné, objavili sa krátko po začiatku terapie a väčšinou mali tendenciu odznieť aj keď liečba pokračovala.</w:t>
      </w:r>
    </w:p>
    <w:p w14:paraId="0252C8C8" w14:textId="77777777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</w:p>
    <w:p w14:paraId="3CED3FC1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b. Tabuľkové zhrnutie nežiaducich reakcií </w:t>
      </w:r>
    </w:p>
    <w:p w14:paraId="74B39133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Tabuľka 1 uvádza výskyt nežiaducich reakcií zaznamenaný zo spontánnych hlásení a v placebom kontrolovaných klinických štúdiách. </w:t>
      </w:r>
    </w:p>
    <w:p w14:paraId="53BBD486" w14:textId="77777777" w:rsidR="0023054E" w:rsidRPr="00E86955" w:rsidRDefault="0023054E" w:rsidP="002011F9">
      <w:pPr>
        <w:pStyle w:val="Default"/>
        <w:rPr>
          <w:i/>
          <w:iCs/>
          <w:sz w:val="22"/>
          <w:szCs w:val="22"/>
        </w:rPr>
      </w:pPr>
    </w:p>
    <w:p w14:paraId="67D4E82D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Tabuľka 1: Nežiaduce reakcie </w:t>
      </w:r>
    </w:p>
    <w:p w14:paraId="6DDBFBD5" w14:textId="77777777" w:rsidR="002C4B91" w:rsidRPr="00E86955" w:rsidRDefault="002C4B91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Frekvencia je definovaná nasledovne: Veľmi časté (≥1/10), časté (≥1/100 až &lt;1/10), menej časté (≥1/1 000 až &lt;1/100), zriedkavé (≥1/10 000 až &lt;1/1 000), veľmi zriedkavé (&lt;1/10 000). </w:t>
      </w:r>
    </w:p>
    <w:p w14:paraId="2B591364" w14:textId="77777777" w:rsidR="002C4B91" w:rsidRPr="00E86955" w:rsidRDefault="002C4B91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V rámci jednotlivých skupín frekvencií sú nežiaduce účinky usporiadané v poradí klesajúcej závažnosti.</w:t>
      </w:r>
    </w:p>
    <w:p w14:paraId="1349A44B" w14:textId="77777777" w:rsidR="000E6643" w:rsidRPr="00E86955" w:rsidRDefault="000E6643" w:rsidP="00E86955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3"/>
        <w:gridCol w:w="1759"/>
        <w:gridCol w:w="1862"/>
        <w:gridCol w:w="2041"/>
        <w:gridCol w:w="1785"/>
      </w:tblGrid>
      <w:tr w:rsidR="000E6643" w:rsidRPr="00E86955" w14:paraId="642A1E09" w14:textId="77777777" w:rsidTr="00E85B56">
        <w:tc>
          <w:tcPr>
            <w:tcW w:w="2014" w:type="dxa"/>
          </w:tcPr>
          <w:p w14:paraId="0B30973C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b/>
                <w:bCs/>
                <w:sz w:val="22"/>
                <w:szCs w:val="22"/>
                <w:lang w:val="sk"/>
              </w:rPr>
              <w:t xml:space="preserve">Veľmi časté </w:t>
            </w:r>
          </w:p>
        </w:tc>
        <w:tc>
          <w:tcPr>
            <w:tcW w:w="2017" w:type="dxa"/>
          </w:tcPr>
          <w:p w14:paraId="62267EEF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b/>
                <w:bCs/>
                <w:sz w:val="22"/>
                <w:szCs w:val="22"/>
                <w:lang w:val="sk"/>
              </w:rPr>
              <w:t xml:space="preserve">Časté </w:t>
            </w:r>
          </w:p>
        </w:tc>
        <w:tc>
          <w:tcPr>
            <w:tcW w:w="1889" w:type="dxa"/>
          </w:tcPr>
          <w:p w14:paraId="79E0821E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b/>
                <w:bCs/>
                <w:sz w:val="22"/>
                <w:szCs w:val="22"/>
                <w:lang w:val="sk"/>
              </w:rPr>
              <w:t xml:space="preserve">Menej časté </w:t>
            </w:r>
          </w:p>
        </w:tc>
        <w:tc>
          <w:tcPr>
            <w:tcW w:w="2212" w:type="dxa"/>
          </w:tcPr>
          <w:p w14:paraId="34ECBD4C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b/>
                <w:bCs/>
                <w:sz w:val="22"/>
                <w:szCs w:val="22"/>
                <w:lang w:val="sk"/>
              </w:rPr>
              <w:t xml:space="preserve">Zriedkavé </w:t>
            </w:r>
          </w:p>
        </w:tc>
        <w:tc>
          <w:tcPr>
            <w:tcW w:w="2148" w:type="dxa"/>
          </w:tcPr>
          <w:p w14:paraId="7926E4F2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b/>
                <w:bCs/>
                <w:sz w:val="22"/>
                <w:szCs w:val="22"/>
                <w:lang w:val="sk"/>
              </w:rPr>
              <w:t xml:space="preserve">Veľmi zriedkavé </w:t>
            </w:r>
          </w:p>
        </w:tc>
      </w:tr>
      <w:tr w:rsidR="000E6643" w:rsidRPr="00E86955" w14:paraId="57AAB7FC" w14:textId="77777777" w:rsidTr="001433FD">
        <w:tc>
          <w:tcPr>
            <w:tcW w:w="10280" w:type="dxa"/>
            <w:gridSpan w:val="5"/>
          </w:tcPr>
          <w:p w14:paraId="3ECF1E81" w14:textId="77777777" w:rsidR="008466EA" w:rsidRPr="00E86955" w:rsidRDefault="000E6643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Infekcie a nákazy</w:t>
            </w:r>
          </w:p>
          <w:p w14:paraId="2AD20F89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0E6643" w:rsidRPr="00E86955" w14:paraId="2455D07B" w14:textId="77777777" w:rsidTr="00E85B56">
        <w:tc>
          <w:tcPr>
            <w:tcW w:w="2014" w:type="dxa"/>
          </w:tcPr>
          <w:p w14:paraId="4B6127BF" w14:textId="77777777" w:rsidR="000E6643" w:rsidRPr="00E86955" w:rsidRDefault="000E6643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693EA51F" w14:textId="77777777" w:rsidR="000E6643" w:rsidRPr="00E86955" w:rsidRDefault="000E6643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</w:tcPr>
          <w:p w14:paraId="23519531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Laryngitída </w:t>
            </w:r>
          </w:p>
        </w:tc>
        <w:tc>
          <w:tcPr>
            <w:tcW w:w="2212" w:type="dxa"/>
          </w:tcPr>
          <w:p w14:paraId="0BD5471B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48" w:type="dxa"/>
          </w:tcPr>
          <w:p w14:paraId="1015832B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E6643" w:rsidRPr="00E86955" w14:paraId="3C7DA73E" w14:textId="77777777" w:rsidTr="001433FD">
        <w:tc>
          <w:tcPr>
            <w:tcW w:w="10280" w:type="dxa"/>
            <w:gridSpan w:val="5"/>
          </w:tcPr>
          <w:p w14:paraId="0B2BB995" w14:textId="77777777" w:rsidR="000E6643" w:rsidRPr="00E86955" w:rsidRDefault="000E6643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Poruchy imunitného systému </w:t>
            </w:r>
          </w:p>
          <w:p w14:paraId="277B33C4" w14:textId="77777777" w:rsidR="008466EA" w:rsidRPr="00E86955" w:rsidRDefault="008466EA">
            <w:pPr>
              <w:pStyle w:val="Default"/>
              <w:rPr>
                <w:sz w:val="22"/>
                <w:szCs w:val="22"/>
              </w:rPr>
            </w:pPr>
          </w:p>
        </w:tc>
      </w:tr>
      <w:tr w:rsidR="000E6643" w:rsidRPr="00E86955" w14:paraId="59BFBDE9" w14:textId="77777777" w:rsidTr="00E85B56">
        <w:tc>
          <w:tcPr>
            <w:tcW w:w="2014" w:type="dxa"/>
          </w:tcPr>
          <w:p w14:paraId="3B85C27A" w14:textId="77777777" w:rsidR="000E6643" w:rsidRPr="00E86955" w:rsidRDefault="000E6643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15828AB4" w14:textId="77777777" w:rsidR="000E6643" w:rsidRPr="00E86955" w:rsidRDefault="000E6643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</w:tcPr>
          <w:p w14:paraId="4C0FE0B3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</w:tcPr>
          <w:p w14:paraId="182C0D8B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Anafylaktická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reakcia </w:t>
            </w:r>
          </w:p>
          <w:p w14:paraId="6D105127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Hypersenzitivita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148" w:type="dxa"/>
          </w:tcPr>
          <w:p w14:paraId="26064632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E6643" w:rsidRPr="00E86955" w14:paraId="443E0BB9" w14:textId="77777777" w:rsidTr="001433FD">
        <w:tc>
          <w:tcPr>
            <w:tcW w:w="10280" w:type="dxa"/>
            <w:gridSpan w:val="5"/>
          </w:tcPr>
          <w:p w14:paraId="2BE57401" w14:textId="77777777" w:rsidR="008466EA" w:rsidRPr="00E86955" w:rsidRDefault="000E6643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Poruchy endokrinného systému</w:t>
            </w:r>
          </w:p>
          <w:p w14:paraId="1CA01478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0E6643" w:rsidRPr="00E86955" w14:paraId="796357D1" w14:textId="77777777" w:rsidTr="00E85B56">
        <w:tc>
          <w:tcPr>
            <w:tcW w:w="2014" w:type="dxa"/>
          </w:tcPr>
          <w:p w14:paraId="1B5480AA" w14:textId="77777777" w:rsidR="000E6643" w:rsidRPr="00E86955" w:rsidRDefault="000E6643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13D8C60A" w14:textId="77777777" w:rsidR="000E6643" w:rsidRPr="00E86955" w:rsidRDefault="000E6643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</w:tcPr>
          <w:p w14:paraId="7E321DA9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</w:tcPr>
          <w:p w14:paraId="63A8C6CA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Hypotyreóza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148" w:type="dxa"/>
          </w:tcPr>
          <w:p w14:paraId="5CDF30E3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E6643" w:rsidRPr="00E86955" w14:paraId="1F735CD3" w14:textId="77777777" w:rsidTr="001433FD">
        <w:tc>
          <w:tcPr>
            <w:tcW w:w="10280" w:type="dxa"/>
            <w:gridSpan w:val="5"/>
          </w:tcPr>
          <w:p w14:paraId="732CE795" w14:textId="77777777" w:rsidR="008466EA" w:rsidRPr="00E86955" w:rsidRDefault="000E6643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Poruchy metabolizmu a výživy</w:t>
            </w:r>
          </w:p>
          <w:p w14:paraId="1CBD264F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0E6643" w:rsidRPr="00E86955" w14:paraId="091FD858" w14:textId="77777777" w:rsidTr="00E85B56">
        <w:tc>
          <w:tcPr>
            <w:tcW w:w="2014" w:type="dxa"/>
          </w:tcPr>
          <w:p w14:paraId="27BCC001" w14:textId="77777777" w:rsidR="000E6643" w:rsidRPr="00E86955" w:rsidRDefault="000E6643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0F1EA66E" w14:textId="77777777" w:rsidR="000E6643" w:rsidRPr="00E86955" w:rsidRDefault="000E6643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Pokles chuti do jedla </w:t>
            </w:r>
          </w:p>
        </w:tc>
        <w:tc>
          <w:tcPr>
            <w:tcW w:w="1889" w:type="dxa"/>
          </w:tcPr>
          <w:p w14:paraId="25E3890D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Hyperglykémia (hlásená hlavne u pacientov s diabetom) </w:t>
            </w:r>
          </w:p>
        </w:tc>
        <w:tc>
          <w:tcPr>
            <w:tcW w:w="2212" w:type="dxa"/>
          </w:tcPr>
          <w:p w14:paraId="250D8F51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Dehydratácia </w:t>
            </w:r>
          </w:p>
          <w:p w14:paraId="143FD6DE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Hyponatriémia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7022BE37" w14:textId="5A538FE4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SIADH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 xml:space="preserve"> </w:t>
            </w:r>
            <w:r w:rsidR="005F4A1E" w:rsidRPr="00E86955">
              <w:rPr>
                <w:sz w:val="22"/>
                <w:szCs w:val="22"/>
                <w:vertAlign w:val="superscript"/>
                <w:lang w:val="sk"/>
              </w:rPr>
              <w:t>6</w:t>
            </w:r>
          </w:p>
        </w:tc>
        <w:tc>
          <w:tcPr>
            <w:tcW w:w="2148" w:type="dxa"/>
          </w:tcPr>
          <w:p w14:paraId="7FE82D53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E6643" w:rsidRPr="00E86955" w14:paraId="150154D3" w14:textId="77777777" w:rsidTr="001433FD">
        <w:tc>
          <w:tcPr>
            <w:tcW w:w="10280" w:type="dxa"/>
            <w:gridSpan w:val="5"/>
          </w:tcPr>
          <w:p w14:paraId="25BB5FF1" w14:textId="77777777" w:rsidR="000E6643" w:rsidRPr="00E86955" w:rsidRDefault="000E6643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Psychické poruchy</w:t>
            </w:r>
          </w:p>
          <w:p w14:paraId="205C6E54" w14:textId="77777777" w:rsidR="008466EA" w:rsidRPr="00E86955" w:rsidRDefault="008466EA">
            <w:pPr>
              <w:pStyle w:val="Default"/>
              <w:rPr>
                <w:sz w:val="22"/>
                <w:szCs w:val="22"/>
              </w:rPr>
            </w:pPr>
          </w:p>
        </w:tc>
      </w:tr>
      <w:tr w:rsidR="000E6643" w:rsidRPr="00E86955" w14:paraId="07499A2C" w14:textId="77777777" w:rsidTr="00E85B56">
        <w:tc>
          <w:tcPr>
            <w:tcW w:w="2014" w:type="dxa"/>
          </w:tcPr>
          <w:p w14:paraId="6F1FE0FD" w14:textId="77777777" w:rsidR="000E6643" w:rsidRPr="00E86955" w:rsidRDefault="000E6643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35074EE9" w14:textId="77777777" w:rsidR="002B113E" w:rsidRPr="00E86955" w:rsidRDefault="000E6643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Nespavosť </w:t>
            </w:r>
          </w:p>
          <w:p w14:paraId="746B0401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Agitácia </w:t>
            </w:r>
          </w:p>
          <w:p w14:paraId="48857F84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Pokles libida </w:t>
            </w:r>
          </w:p>
          <w:p w14:paraId="4479CD2F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Úzkosť </w:t>
            </w:r>
          </w:p>
          <w:p w14:paraId="0FC162F0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Abnormálny orgazmus </w:t>
            </w:r>
          </w:p>
          <w:p w14:paraId="08FD4305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Abnormálne sny </w:t>
            </w:r>
          </w:p>
        </w:tc>
        <w:tc>
          <w:tcPr>
            <w:tcW w:w="1889" w:type="dxa"/>
          </w:tcPr>
          <w:p w14:paraId="7700C246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Suicidálne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myšlienky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 xml:space="preserve">5,7 </w:t>
            </w:r>
          </w:p>
          <w:p w14:paraId="7329DEC1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Porucha spánku </w:t>
            </w:r>
          </w:p>
          <w:p w14:paraId="28537E89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Škrípanie zubami </w:t>
            </w:r>
          </w:p>
          <w:p w14:paraId="262A2151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Dezorientácia </w:t>
            </w:r>
          </w:p>
          <w:p w14:paraId="394CE835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Apatia </w:t>
            </w:r>
          </w:p>
        </w:tc>
        <w:tc>
          <w:tcPr>
            <w:tcW w:w="2212" w:type="dxa"/>
          </w:tcPr>
          <w:p w14:paraId="5675138B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Suicidálne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647B909D" w14:textId="77777777" w:rsidR="000E6643" w:rsidRPr="00E86955" w:rsidRDefault="0082334F">
            <w:pPr>
              <w:pStyle w:val="Default"/>
              <w:rPr>
                <w:sz w:val="22"/>
                <w:szCs w:val="22"/>
                <w:vertAlign w:val="superscript"/>
              </w:rPr>
            </w:pPr>
            <w:r w:rsidRPr="00E86955">
              <w:rPr>
                <w:sz w:val="22"/>
                <w:szCs w:val="22"/>
                <w:lang w:val="sk"/>
              </w:rPr>
              <w:t>správanie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 xml:space="preserve">5,7 </w:t>
            </w:r>
          </w:p>
          <w:p w14:paraId="7367BE0F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Mánia </w:t>
            </w:r>
          </w:p>
          <w:p w14:paraId="6DF33C48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Halucinácie </w:t>
            </w:r>
          </w:p>
          <w:p w14:paraId="275C99A8" w14:textId="77777777" w:rsidR="000E6643" w:rsidRPr="00E86955" w:rsidRDefault="000E6643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Agresia a hnev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>4</w:t>
            </w:r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148" w:type="dxa"/>
          </w:tcPr>
          <w:p w14:paraId="267F937B" w14:textId="77777777" w:rsidR="000E6643" w:rsidRPr="00E86955" w:rsidRDefault="000E664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533B0F6E" w14:textId="77777777" w:rsidTr="001433FD">
        <w:tc>
          <w:tcPr>
            <w:tcW w:w="10280" w:type="dxa"/>
            <w:gridSpan w:val="5"/>
          </w:tcPr>
          <w:p w14:paraId="2DAC3E36" w14:textId="77777777" w:rsidR="008466EA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Poruchy nervového systému</w:t>
            </w:r>
          </w:p>
          <w:p w14:paraId="43DB683F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82334F" w:rsidRPr="00E86955" w14:paraId="702C5A82" w14:textId="77777777" w:rsidTr="00E85B56">
        <w:tc>
          <w:tcPr>
            <w:tcW w:w="2014" w:type="dxa"/>
          </w:tcPr>
          <w:p w14:paraId="1BCBC0EF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lastRenderedPageBreak/>
              <w:t xml:space="preserve">Bolesť hlavy </w:t>
            </w:r>
          </w:p>
          <w:p w14:paraId="72B55FB9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Spavosť </w:t>
            </w:r>
          </w:p>
        </w:tc>
        <w:tc>
          <w:tcPr>
            <w:tcW w:w="2017" w:type="dxa"/>
          </w:tcPr>
          <w:p w14:paraId="33262050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Závrat </w:t>
            </w:r>
          </w:p>
          <w:p w14:paraId="58B26A50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Letargia </w:t>
            </w:r>
          </w:p>
          <w:p w14:paraId="4FA56351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Tras </w:t>
            </w:r>
          </w:p>
          <w:p w14:paraId="16DFF59E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Parestézia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1889" w:type="dxa"/>
          </w:tcPr>
          <w:p w14:paraId="28DE640D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Myoklónia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76B0FC4B" w14:textId="52C4138A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Akat</w:t>
            </w:r>
            <w:r w:rsidR="00AA7647" w:rsidRPr="00E86955">
              <w:rPr>
                <w:sz w:val="22"/>
                <w:szCs w:val="22"/>
                <w:lang w:val="sk"/>
              </w:rPr>
              <w:t>ízia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>7</w:t>
            </w:r>
          </w:p>
          <w:p w14:paraId="7ECBC493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Nervozita </w:t>
            </w:r>
          </w:p>
          <w:p w14:paraId="6A413B01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Porucha pozornosti </w:t>
            </w:r>
          </w:p>
          <w:p w14:paraId="63817C17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Porucha chuti </w:t>
            </w:r>
          </w:p>
          <w:p w14:paraId="79825951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Dyskinéza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18A965E6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Syndróm nepokojných nôh </w:t>
            </w:r>
          </w:p>
          <w:p w14:paraId="35B6EA91" w14:textId="472E7CAF" w:rsidR="005F4A1E" w:rsidRPr="00E86955" w:rsidRDefault="005F4A1E">
            <w:pPr>
              <w:pStyle w:val="Default"/>
              <w:rPr>
                <w:sz w:val="22"/>
                <w:szCs w:val="22"/>
                <w:lang w:val="sk"/>
              </w:rPr>
            </w:pPr>
          </w:p>
          <w:p w14:paraId="4551977D" w14:textId="77777777" w:rsidR="0082334F" w:rsidRPr="00E86955" w:rsidRDefault="005F4A1E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Znížená kvalita spánku</w:t>
            </w:r>
            <w:r w:rsidR="0082334F"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212" w:type="dxa"/>
          </w:tcPr>
          <w:p w14:paraId="662D75F1" w14:textId="77777777" w:rsidR="005F4A1E" w:rsidRPr="00E86955" w:rsidRDefault="005F4A1E">
            <w:pPr>
              <w:pStyle w:val="Default"/>
              <w:rPr>
                <w:sz w:val="22"/>
                <w:szCs w:val="22"/>
                <w:lang w:val="sk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Sérotonínový</w:t>
            </w:r>
            <w:proofErr w:type="spellEnd"/>
          </w:p>
          <w:p w14:paraId="79128F17" w14:textId="7E54355E" w:rsidR="0082334F" w:rsidRPr="00E86955" w:rsidRDefault="005F4A1E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syndróm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>6</w:t>
            </w:r>
            <w:r w:rsidR="0082334F" w:rsidRPr="00E86955">
              <w:rPr>
                <w:sz w:val="22"/>
                <w:szCs w:val="22"/>
                <w:vertAlign w:val="superscript"/>
                <w:lang w:val="sk"/>
              </w:rPr>
              <w:t xml:space="preserve"> </w:t>
            </w:r>
          </w:p>
          <w:p w14:paraId="58085ED0" w14:textId="7F904391" w:rsidR="0082334F" w:rsidRPr="00E86955" w:rsidRDefault="005F4A1E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Kŕč</w:t>
            </w:r>
            <w:r w:rsidR="0082334F" w:rsidRPr="00E86955">
              <w:rPr>
                <w:sz w:val="22"/>
                <w:szCs w:val="22"/>
                <w:vertAlign w:val="superscript"/>
                <w:lang w:val="sk"/>
              </w:rPr>
              <w:t>1</w:t>
            </w:r>
          </w:p>
          <w:p w14:paraId="542A3C56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Psychomotorický nepokoj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>6</w:t>
            </w:r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735982DC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Extrapyramídové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symptómy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 xml:space="preserve">6 </w:t>
            </w:r>
          </w:p>
        </w:tc>
        <w:tc>
          <w:tcPr>
            <w:tcW w:w="2148" w:type="dxa"/>
          </w:tcPr>
          <w:p w14:paraId="4BFE2709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735BA83A" w14:textId="77777777" w:rsidTr="001433FD">
        <w:tc>
          <w:tcPr>
            <w:tcW w:w="10280" w:type="dxa"/>
            <w:gridSpan w:val="5"/>
          </w:tcPr>
          <w:p w14:paraId="7099300C" w14:textId="77777777" w:rsidR="008466EA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Poruchy oka</w:t>
            </w:r>
          </w:p>
          <w:p w14:paraId="3FD54242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82334F" w:rsidRPr="00E86955" w14:paraId="13BFC65C" w14:textId="77777777" w:rsidTr="00E85B56">
        <w:tc>
          <w:tcPr>
            <w:tcW w:w="2014" w:type="dxa"/>
          </w:tcPr>
          <w:p w14:paraId="1E51B980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404623DD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Neostré videnie </w:t>
            </w:r>
          </w:p>
        </w:tc>
        <w:tc>
          <w:tcPr>
            <w:tcW w:w="1889" w:type="dxa"/>
          </w:tcPr>
          <w:p w14:paraId="5DDAB03F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Mydriáza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29A84E5C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Zhoršenie zraku </w:t>
            </w:r>
          </w:p>
        </w:tc>
        <w:tc>
          <w:tcPr>
            <w:tcW w:w="2212" w:type="dxa"/>
          </w:tcPr>
          <w:p w14:paraId="38D2E15C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Glaukóm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148" w:type="dxa"/>
          </w:tcPr>
          <w:p w14:paraId="0D1C5A45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1ED68CE1" w14:textId="77777777" w:rsidTr="001433FD">
        <w:tc>
          <w:tcPr>
            <w:tcW w:w="10280" w:type="dxa"/>
            <w:gridSpan w:val="5"/>
          </w:tcPr>
          <w:p w14:paraId="3F29813A" w14:textId="77777777" w:rsidR="008466EA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Poruchy ucha a labyrintu</w:t>
            </w:r>
          </w:p>
          <w:p w14:paraId="364F64B0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82334F" w:rsidRPr="00E86955" w14:paraId="550E1CBA" w14:textId="77777777" w:rsidTr="00E85B56">
        <w:tc>
          <w:tcPr>
            <w:tcW w:w="2014" w:type="dxa"/>
          </w:tcPr>
          <w:p w14:paraId="27E75E85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7221D26E" w14:textId="5C7D0B95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Tinitus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 xml:space="preserve">1 </w:t>
            </w:r>
          </w:p>
        </w:tc>
        <w:tc>
          <w:tcPr>
            <w:tcW w:w="1889" w:type="dxa"/>
          </w:tcPr>
          <w:p w14:paraId="1692B60E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Vertigo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155F06BD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Bolesť ucha </w:t>
            </w:r>
          </w:p>
        </w:tc>
        <w:tc>
          <w:tcPr>
            <w:tcW w:w="2212" w:type="dxa"/>
          </w:tcPr>
          <w:p w14:paraId="7992375B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48" w:type="dxa"/>
          </w:tcPr>
          <w:p w14:paraId="79628ED3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3589E47A" w14:textId="77777777" w:rsidTr="001433FD">
        <w:tc>
          <w:tcPr>
            <w:tcW w:w="10280" w:type="dxa"/>
            <w:gridSpan w:val="5"/>
          </w:tcPr>
          <w:p w14:paraId="1970F0F3" w14:textId="77777777" w:rsidR="0082334F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Poruchy srdca a srdcovej činnosti </w:t>
            </w:r>
          </w:p>
          <w:p w14:paraId="1CD86AE7" w14:textId="77777777" w:rsidR="008466EA" w:rsidRPr="00E86955" w:rsidRDefault="008466EA" w:rsidP="00E86955">
            <w:pPr>
              <w:pStyle w:val="Default"/>
              <w:rPr>
                <w:sz w:val="22"/>
                <w:szCs w:val="22"/>
              </w:rPr>
            </w:pPr>
          </w:p>
        </w:tc>
      </w:tr>
      <w:tr w:rsidR="0082334F" w:rsidRPr="00E86955" w14:paraId="5341A8CB" w14:textId="77777777" w:rsidTr="00E85B56">
        <w:tc>
          <w:tcPr>
            <w:tcW w:w="2014" w:type="dxa"/>
          </w:tcPr>
          <w:p w14:paraId="060EFDE1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082E6740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Palpitácie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1889" w:type="dxa"/>
          </w:tcPr>
          <w:p w14:paraId="773BB2CD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Tachykardia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48475749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Supraventriku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- </w:t>
            </w:r>
            <w:proofErr w:type="spellStart"/>
            <w:r w:rsidRPr="00E86955">
              <w:rPr>
                <w:sz w:val="22"/>
                <w:szCs w:val="22"/>
                <w:lang w:val="sk"/>
              </w:rPr>
              <w:t>lárna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  <w:proofErr w:type="spellStart"/>
            <w:r w:rsidRPr="00E86955">
              <w:rPr>
                <w:sz w:val="22"/>
                <w:szCs w:val="22"/>
                <w:lang w:val="sk"/>
              </w:rPr>
              <w:t>arytmia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, hlavne </w:t>
            </w:r>
            <w:proofErr w:type="spellStart"/>
            <w:r w:rsidRPr="00E86955">
              <w:rPr>
                <w:sz w:val="22"/>
                <w:szCs w:val="22"/>
                <w:lang w:val="sk"/>
              </w:rPr>
              <w:t>atriálna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73EC6C40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fibrilácia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212" w:type="dxa"/>
          </w:tcPr>
          <w:p w14:paraId="5001C032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48" w:type="dxa"/>
          </w:tcPr>
          <w:p w14:paraId="6E371C32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403BA" w:rsidRPr="00E86955" w14:paraId="2E533EF6" w14:textId="77777777" w:rsidTr="001433FD">
        <w:tc>
          <w:tcPr>
            <w:tcW w:w="10280" w:type="dxa"/>
            <w:gridSpan w:val="5"/>
          </w:tcPr>
          <w:p w14:paraId="18F54CB0" w14:textId="77777777" w:rsidR="00B403BA" w:rsidRPr="00E86955" w:rsidRDefault="00B403BA" w:rsidP="00E86955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  <w:r w:rsidRPr="00E86955">
              <w:rPr>
                <w:i/>
                <w:iCs/>
                <w:color w:val="auto"/>
                <w:sz w:val="22"/>
                <w:szCs w:val="22"/>
                <w:lang w:val="sk"/>
              </w:rPr>
              <w:t>Poruchy ciev</w:t>
            </w:r>
          </w:p>
          <w:p w14:paraId="158BC6B8" w14:textId="77777777" w:rsidR="008466EA" w:rsidRPr="00E86955" w:rsidRDefault="008466EA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403BA" w:rsidRPr="00E86955" w14:paraId="688D7464" w14:textId="77777777" w:rsidTr="00E85B56">
        <w:tc>
          <w:tcPr>
            <w:tcW w:w="2014" w:type="dxa"/>
          </w:tcPr>
          <w:p w14:paraId="4AA32D19" w14:textId="77777777" w:rsidR="00B403BA" w:rsidRPr="00E86955" w:rsidRDefault="00B403BA" w:rsidP="00E86955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2017" w:type="dxa"/>
          </w:tcPr>
          <w:p w14:paraId="7105E7BA" w14:textId="77777777" w:rsidR="00B403BA" w:rsidRPr="00E86955" w:rsidRDefault="00B403BA" w:rsidP="00E86955">
            <w:pPr>
              <w:pStyle w:val="Default"/>
              <w:rPr>
                <w:color w:val="auto"/>
                <w:sz w:val="22"/>
                <w:szCs w:val="22"/>
              </w:rPr>
            </w:pPr>
            <w:r w:rsidRPr="00E86955">
              <w:rPr>
                <w:color w:val="auto"/>
                <w:sz w:val="22"/>
                <w:szCs w:val="22"/>
                <w:lang w:val="sk"/>
              </w:rPr>
              <w:t>Zvýšenie krvného tlaku</w:t>
            </w:r>
            <w:r w:rsidRPr="00E86955">
              <w:rPr>
                <w:color w:val="auto"/>
                <w:sz w:val="22"/>
                <w:szCs w:val="22"/>
                <w:vertAlign w:val="superscript"/>
                <w:lang w:val="sk"/>
              </w:rPr>
              <w:t xml:space="preserve">3 </w:t>
            </w:r>
          </w:p>
          <w:p w14:paraId="0A97CE00" w14:textId="77777777" w:rsidR="00B403BA" w:rsidRPr="00E86955" w:rsidRDefault="00B403BA">
            <w:pPr>
              <w:pStyle w:val="Default"/>
              <w:rPr>
                <w:color w:val="auto"/>
                <w:sz w:val="22"/>
                <w:szCs w:val="22"/>
              </w:rPr>
            </w:pPr>
            <w:r w:rsidRPr="00E86955">
              <w:rPr>
                <w:color w:val="auto"/>
                <w:sz w:val="22"/>
                <w:szCs w:val="22"/>
                <w:lang w:val="sk"/>
              </w:rPr>
              <w:t xml:space="preserve">Sčervenanie </w:t>
            </w:r>
          </w:p>
        </w:tc>
        <w:tc>
          <w:tcPr>
            <w:tcW w:w="1889" w:type="dxa"/>
          </w:tcPr>
          <w:p w14:paraId="7CC67A30" w14:textId="5701D496" w:rsidR="00B403BA" w:rsidRPr="00E86955" w:rsidRDefault="00B403BA">
            <w:pPr>
              <w:pStyle w:val="Default"/>
              <w:rPr>
                <w:color w:val="auto"/>
                <w:sz w:val="22"/>
                <w:szCs w:val="22"/>
              </w:rPr>
            </w:pPr>
            <w:r w:rsidRPr="00E86955">
              <w:rPr>
                <w:color w:val="auto"/>
                <w:sz w:val="22"/>
                <w:szCs w:val="22"/>
                <w:lang w:val="sk"/>
              </w:rPr>
              <w:t>Syn</w:t>
            </w:r>
            <w:r w:rsidR="00AA7647" w:rsidRPr="00E86955">
              <w:rPr>
                <w:color w:val="auto"/>
                <w:sz w:val="22"/>
                <w:szCs w:val="22"/>
                <w:lang w:val="sk"/>
              </w:rPr>
              <w:t>k</w:t>
            </w:r>
            <w:r w:rsidRPr="00E86955">
              <w:rPr>
                <w:color w:val="auto"/>
                <w:sz w:val="22"/>
                <w:szCs w:val="22"/>
                <w:lang w:val="sk"/>
              </w:rPr>
              <w:t>op</w:t>
            </w:r>
            <w:r w:rsidR="00AA7647" w:rsidRPr="00E86955">
              <w:rPr>
                <w:color w:val="auto"/>
                <w:sz w:val="22"/>
                <w:szCs w:val="22"/>
                <w:lang w:val="sk"/>
              </w:rPr>
              <w:t>a</w:t>
            </w:r>
            <w:r w:rsidRPr="00E86955">
              <w:rPr>
                <w:color w:val="auto"/>
                <w:sz w:val="22"/>
                <w:szCs w:val="22"/>
                <w:vertAlign w:val="superscript"/>
                <w:lang w:val="sk"/>
              </w:rPr>
              <w:t xml:space="preserve">2 </w:t>
            </w:r>
          </w:p>
          <w:p w14:paraId="654A795F" w14:textId="7C4575D9" w:rsidR="00B403BA" w:rsidRPr="00E86955" w:rsidRDefault="00B403BA">
            <w:pPr>
              <w:pStyle w:val="Default"/>
              <w:rPr>
                <w:color w:val="auto"/>
                <w:sz w:val="22"/>
                <w:szCs w:val="22"/>
                <w:vertAlign w:val="superscript"/>
              </w:rPr>
            </w:pPr>
            <w:r w:rsidRPr="00E86955">
              <w:rPr>
                <w:color w:val="auto"/>
                <w:sz w:val="22"/>
                <w:szCs w:val="22"/>
                <w:lang w:val="sk"/>
              </w:rPr>
              <w:t>Hyperten</w:t>
            </w:r>
            <w:r w:rsidR="00AA7647" w:rsidRPr="00E86955">
              <w:rPr>
                <w:color w:val="auto"/>
                <w:sz w:val="22"/>
                <w:szCs w:val="22"/>
                <w:lang w:val="sk"/>
              </w:rPr>
              <w:t>zia</w:t>
            </w:r>
            <w:r w:rsidRPr="00E86955">
              <w:rPr>
                <w:color w:val="auto"/>
                <w:sz w:val="22"/>
                <w:szCs w:val="22"/>
                <w:vertAlign w:val="superscript"/>
                <w:lang w:val="sk"/>
              </w:rPr>
              <w:t xml:space="preserve">3,7 </w:t>
            </w:r>
          </w:p>
          <w:p w14:paraId="751F2E1D" w14:textId="77777777" w:rsidR="00B403BA" w:rsidRPr="00E86955" w:rsidRDefault="00B403BA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E86955">
              <w:rPr>
                <w:color w:val="auto"/>
                <w:sz w:val="22"/>
                <w:szCs w:val="22"/>
                <w:lang w:val="sk"/>
              </w:rPr>
              <w:t>Ortostatická</w:t>
            </w:r>
            <w:proofErr w:type="spellEnd"/>
            <w:r w:rsidRPr="00E86955">
              <w:rPr>
                <w:color w:val="auto"/>
                <w:sz w:val="22"/>
                <w:szCs w:val="22"/>
                <w:lang w:val="sk"/>
              </w:rPr>
              <w:t xml:space="preserve"> hypotenzia</w:t>
            </w:r>
            <w:r w:rsidRPr="00E86955">
              <w:rPr>
                <w:color w:val="auto"/>
                <w:sz w:val="22"/>
                <w:szCs w:val="22"/>
                <w:vertAlign w:val="superscript"/>
                <w:lang w:val="sk"/>
              </w:rPr>
              <w:t>2</w:t>
            </w:r>
            <w:r w:rsidRPr="00E86955">
              <w:rPr>
                <w:color w:val="auto"/>
                <w:sz w:val="22"/>
                <w:szCs w:val="22"/>
                <w:lang w:val="sk"/>
              </w:rPr>
              <w:t xml:space="preserve"> </w:t>
            </w:r>
          </w:p>
          <w:p w14:paraId="4839115C" w14:textId="77777777" w:rsidR="00B403BA" w:rsidRPr="00E86955" w:rsidRDefault="00B403BA">
            <w:pPr>
              <w:pStyle w:val="Default"/>
              <w:rPr>
                <w:color w:val="auto"/>
                <w:sz w:val="22"/>
                <w:szCs w:val="22"/>
              </w:rPr>
            </w:pPr>
            <w:r w:rsidRPr="00E86955">
              <w:rPr>
                <w:color w:val="auto"/>
                <w:sz w:val="22"/>
                <w:szCs w:val="22"/>
                <w:lang w:val="sk"/>
              </w:rPr>
              <w:t xml:space="preserve">Chlad periférnej časti končatín </w:t>
            </w:r>
          </w:p>
        </w:tc>
        <w:tc>
          <w:tcPr>
            <w:tcW w:w="2212" w:type="dxa"/>
          </w:tcPr>
          <w:p w14:paraId="505BD5F4" w14:textId="77777777" w:rsidR="00B403BA" w:rsidRPr="00E86955" w:rsidRDefault="00B403BA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E86955">
              <w:rPr>
                <w:color w:val="auto"/>
                <w:sz w:val="22"/>
                <w:szCs w:val="22"/>
                <w:lang w:val="sk"/>
              </w:rPr>
              <w:t>Hypertenzná</w:t>
            </w:r>
            <w:proofErr w:type="spellEnd"/>
            <w:r w:rsidRPr="00E86955">
              <w:rPr>
                <w:color w:val="auto"/>
                <w:sz w:val="22"/>
                <w:szCs w:val="22"/>
                <w:lang w:val="sk"/>
              </w:rPr>
              <w:t xml:space="preserve"> kríza</w:t>
            </w:r>
            <w:r w:rsidRPr="00E86955">
              <w:rPr>
                <w:color w:val="auto"/>
                <w:sz w:val="22"/>
                <w:szCs w:val="22"/>
                <w:vertAlign w:val="superscript"/>
                <w:lang w:val="sk"/>
              </w:rPr>
              <w:t xml:space="preserve">3,6 </w:t>
            </w:r>
          </w:p>
          <w:p w14:paraId="6E2BE22E" w14:textId="77777777" w:rsidR="00B403BA" w:rsidRPr="00E86955" w:rsidRDefault="00B403B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48" w:type="dxa"/>
          </w:tcPr>
          <w:p w14:paraId="2490F82C" w14:textId="77777777" w:rsidR="00B403BA" w:rsidRPr="00E86955" w:rsidRDefault="00B403B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42452ABB" w14:textId="77777777" w:rsidTr="001433FD">
        <w:tc>
          <w:tcPr>
            <w:tcW w:w="10280" w:type="dxa"/>
            <w:gridSpan w:val="5"/>
          </w:tcPr>
          <w:p w14:paraId="15B71A50" w14:textId="77777777" w:rsidR="00D61A73" w:rsidRPr="00E86955" w:rsidRDefault="00B403BA" w:rsidP="00E86955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  <w:r w:rsidRPr="00E86955">
              <w:rPr>
                <w:i/>
                <w:iCs/>
                <w:color w:val="auto"/>
                <w:sz w:val="22"/>
                <w:szCs w:val="22"/>
                <w:lang w:val="sk"/>
              </w:rPr>
              <w:t xml:space="preserve">Poruchy dýchacej sústavy, hrudníka a </w:t>
            </w:r>
            <w:proofErr w:type="spellStart"/>
            <w:r w:rsidRPr="00E86955">
              <w:rPr>
                <w:i/>
                <w:iCs/>
                <w:color w:val="auto"/>
                <w:sz w:val="22"/>
                <w:szCs w:val="22"/>
                <w:lang w:val="sk"/>
              </w:rPr>
              <w:t>mediastína</w:t>
            </w:r>
            <w:proofErr w:type="spellEnd"/>
          </w:p>
          <w:p w14:paraId="2C793DD0" w14:textId="77777777" w:rsidR="0082334F" w:rsidRPr="00E86955" w:rsidRDefault="00B403BA">
            <w:pPr>
              <w:pStyle w:val="Default"/>
              <w:rPr>
                <w:color w:val="auto"/>
                <w:sz w:val="22"/>
                <w:szCs w:val="22"/>
              </w:rPr>
            </w:pPr>
            <w:r w:rsidRPr="00E86955">
              <w:rPr>
                <w:i/>
                <w:iCs/>
                <w:color w:val="auto"/>
                <w:sz w:val="22"/>
                <w:szCs w:val="22"/>
                <w:lang w:val="sk"/>
              </w:rPr>
              <w:t xml:space="preserve"> </w:t>
            </w:r>
          </w:p>
        </w:tc>
      </w:tr>
      <w:tr w:rsidR="0082334F" w:rsidRPr="00E86955" w14:paraId="7AC0BB90" w14:textId="77777777" w:rsidTr="00E85B56">
        <w:tc>
          <w:tcPr>
            <w:tcW w:w="2014" w:type="dxa"/>
          </w:tcPr>
          <w:p w14:paraId="72851D6D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77C6C219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Zívanie </w:t>
            </w:r>
          </w:p>
        </w:tc>
        <w:tc>
          <w:tcPr>
            <w:tcW w:w="1889" w:type="dxa"/>
          </w:tcPr>
          <w:p w14:paraId="1F1141AE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Zvieranie hrdla </w:t>
            </w:r>
          </w:p>
          <w:p w14:paraId="741168C7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Epistaxa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212" w:type="dxa"/>
          </w:tcPr>
          <w:p w14:paraId="5AED9FD0" w14:textId="4E0CCD26" w:rsidR="0082334F" w:rsidRPr="00E86955" w:rsidRDefault="00831137">
            <w:pPr>
              <w:spacing w:after="0" w:line="240" w:lineRule="auto"/>
              <w:rPr>
                <w:rFonts w:ascii="Times New Roman" w:hAnsi="Times New Roman"/>
              </w:rPr>
            </w:pPr>
            <w:r w:rsidRPr="00E86955">
              <w:rPr>
                <w:rFonts w:ascii="Times New Roman" w:hAnsi="Times New Roman"/>
              </w:rPr>
              <w:t>I</w:t>
            </w:r>
            <w:r w:rsidR="00B753C9" w:rsidRPr="00E86955">
              <w:rPr>
                <w:rFonts w:ascii="Times New Roman" w:hAnsi="Times New Roman"/>
              </w:rPr>
              <w:t xml:space="preserve">ntersticiálna choroba pľúc </w:t>
            </w:r>
            <w:r w:rsidR="00B753C9" w:rsidRPr="00E86955">
              <w:rPr>
                <w:rFonts w:ascii="Times New Roman" w:hAnsi="Times New Roman"/>
                <w:vertAlign w:val="superscript"/>
              </w:rPr>
              <w:t>x</w:t>
            </w:r>
            <w:r w:rsidRPr="00E86955">
              <w:rPr>
                <w:rFonts w:ascii="Times New Roman" w:hAnsi="Times New Roman"/>
              </w:rPr>
              <w:t>E</w:t>
            </w:r>
            <w:r w:rsidR="00B753C9" w:rsidRPr="00E86955">
              <w:rPr>
                <w:rFonts w:ascii="Times New Roman" w:hAnsi="Times New Roman"/>
              </w:rPr>
              <w:t xml:space="preserve">ozinofilná pneumónia </w:t>
            </w:r>
            <w:r w:rsidR="00B753C9" w:rsidRPr="00E86955">
              <w:rPr>
                <w:rFonts w:ascii="Times New Roman" w:hAnsi="Times New Roman"/>
                <w:vertAlign w:val="superscript"/>
              </w:rPr>
              <w:t>y</w:t>
            </w:r>
          </w:p>
        </w:tc>
        <w:tc>
          <w:tcPr>
            <w:tcW w:w="2148" w:type="dxa"/>
          </w:tcPr>
          <w:p w14:paraId="6918E2C6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6BBC5D8B" w14:textId="77777777" w:rsidTr="00B403BA">
        <w:tc>
          <w:tcPr>
            <w:tcW w:w="10280" w:type="dxa"/>
            <w:gridSpan w:val="5"/>
          </w:tcPr>
          <w:p w14:paraId="4EE88A42" w14:textId="77777777" w:rsidR="00D61A73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Poruchy </w:t>
            </w:r>
            <w:proofErr w:type="spellStart"/>
            <w:r w:rsidRPr="00E86955">
              <w:rPr>
                <w:i/>
                <w:iCs/>
                <w:sz w:val="22"/>
                <w:szCs w:val="22"/>
                <w:lang w:val="sk"/>
              </w:rPr>
              <w:t>gastrointestinálneho</w:t>
            </w:r>
            <w:proofErr w:type="spellEnd"/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traktu</w:t>
            </w:r>
          </w:p>
          <w:p w14:paraId="4A0CE50F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82334F" w:rsidRPr="00E86955" w14:paraId="18A692A4" w14:textId="77777777" w:rsidTr="00E85B56">
        <w:tc>
          <w:tcPr>
            <w:tcW w:w="2014" w:type="dxa"/>
          </w:tcPr>
          <w:p w14:paraId="345D8952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Nauzea </w:t>
            </w:r>
          </w:p>
          <w:p w14:paraId="0369D0F4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Suchosť v ústach </w:t>
            </w:r>
          </w:p>
        </w:tc>
        <w:tc>
          <w:tcPr>
            <w:tcW w:w="2017" w:type="dxa"/>
          </w:tcPr>
          <w:p w14:paraId="0D81E308" w14:textId="77777777" w:rsidR="00AA7647" w:rsidRPr="00E86955" w:rsidRDefault="0082334F">
            <w:pPr>
              <w:pStyle w:val="Default"/>
              <w:rPr>
                <w:sz w:val="22"/>
                <w:szCs w:val="22"/>
                <w:lang w:val="sk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Zápcha </w:t>
            </w:r>
          </w:p>
          <w:p w14:paraId="4AEF5AD6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Hnačka </w:t>
            </w:r>
          </w:p>
          <w:p w14:paraId="5B7C8EAB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Bolesť brucha </w:t>
            </w:r>
          </w:p>
          <w:p w14:paraId="547A2889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Vracanie </w:t>
            </w:r>
          </w:p>
          <w:p w14:paraId="6D71F79E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Dyspepsia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48355F29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Plynatosť </w:t>
            </w:r>
          </w:p>
        </w:tc>
        <w:tc>
          <w:tcPr>
            <w:tcW w:w="1889" w:type="dxa"/>
          </w:tcPr>
          <w:p w14:paraId="42907DFD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Gastrointestinálne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krvácanie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 xml:space="preserve">7 </w:t>
            </w:r>
          </w:p>
          <w:p w14:paraId="3C3E2170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Gastroenteritída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369586F3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Grganie </w:t>
            </w:r>
          </w:p>
          <w:p w14:paraId="2166FA23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Gastritída </w:t>
            </w:r>
          </w:p>
          <w:p w14:paraId="0696CCBC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Dysfágia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212" w:type="dxa"/>
          </w:tcPr>
          <w:p w14:paraId="62390EBA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Stomatitída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41F6EBE2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Hematochézia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38C40FAC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Zápach z úst </w:t>
            </w:r>
          </w:p>
          <w:p w14:paraId="549A19C4" w14:textId="77777777" w:rsidR="002B113E" w:rsidRPr="00E86955" w:rsidRDefault="00D61A73">
            <w:pPr>
              <w:pStyle w:val="Default"/>
              <w:rPr>
                <w:sz w:val="22"/>
                <w:szCs w:val="22"/>
                <w:vertAlign w:val="superscript"/>
              </w:rPr>
            </w:pPr>
            <w:r w:rsidRPr="00E86955">
              <w:rPr>
                <w:sz w:val="22"/>
                <w:szCs w:val="22"/>
                <w:lang w:val="sk"/>
              </w:rPr>
              <w:t>Mikroskopická kolitída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>9</w:t>
            </w:r>
          </w:p>
        </w:tc>
        <w:tc>
          <w:tcPr>
            <w:tcW w:w="2148" w:type="dxa"/>
          </w:tcPr>
          <w:p w14:paraId="36DB5DB4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5DF546CC" w14:textId="77777777" w:rsidTr="00B403BA">
        <w:tc>
          <w:tcPr>
            <w:tcW w:w="10280" w:type="dxa"/>
            <w:gridSpan w:val="5"/>
          </w:tcPr>
          <w:p w14:paraId="495465A9" w14:textId="77777777" w:rsidR="0082334F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Poruchy pečene a žlčových ciest </w:t>
            </w:r>
          </w:p>
          <w:p w14:paraId="45CCD431" w14:textId="77777777" w:rsidR="00D61A73" w:rsidRPr="00E86955" w:rsidRDefault="00D61A73" w:rsidP="00E86955">
            <w:pPr>
              <w:pStyle w:val="Default"/>
              <w:rPr>
                <w:sz w:val="22"/>
                <w:szCs w:val="22"/>
              </w:rPr>
            </w:pPr>
          </w:p>
        </w:tc>
      </w:tr>
      <w:tr w:rsidR="0082334F" w:rsidRPr="00E86955" w14:paraId="3A3F14E8" w14:textId="77777777" w:rsidTr="00E85B56">
        <w:tc>
          <w:tcPr>
            <w:tcW w:w="2014" w:type="dxa"/>
          </w:tcPr>
          <w:p w14:paraId="25A9E8A3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024E779B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</w:tcPr>
          <w:p w14:paraId="174F263D" w14:textId="5C27167A" w:rsidR="0082334F" w:rsidRPr="00E86955" w:rsidRDefault="005F4A1E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Hepatitída</w:t>
            </w:r>
            <w:r w:rsidR="0082334F" w:rsidRPr="00E86955">
              <w:rPr>
                <w:sz w:val="22"/>
                <w:szCs w:val="22"/>
                <w:vertAlign w:val="superscript"/>
                <w:lang w:val="sk"/>
              </w:rPr>
              <w:t xml:space="preserve">3 </w:t>
            </w:r>
          </w:p>
          <w:p w14:paraId="527ABD17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Zvýšené hladiny pečeňových enzýmov (ALT, AST, alkalická </w:t>
            </w:r>
            <w:proofErr w:type="spellStart"/>
            <w:r w:rsidRPr="00E86955">
              <w:rPr>
                <w:sz w:val="22"/>
                <w:szCs w:val="22"/>
                <w:lang w:val="sk"/>
              </w:rPr>
              <w:t>fosfatáza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) </w:t>
            </w:r>
          </w:p>
          <w:p w14:paraId="49B4FE69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Akútne </w:t>
            </w:r>
            <w:r w:rsidRPr="00E86955">
              <w:rPr>
                <w:sz w:val="22"/>
                <w:szCs w:val="22"/>
                <w:lang w:val="sk"/>
              </w:rPr>
              <w:lastRenderedPageBreak/>
              <w:t xml:space="preserve">poškodenie pečene </w:t>
            </w:r>
          </w:p>
        </w:tc>
        <w:tc>
          <w:tcPr>
            <w:tcW w:w="2212" w:type="dxa"/>
          </w:tcPr>
          <w:p w14:paraId="3F90E0EE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lastRenderedPageBreak/>
              <w:t>Zlyhanie pečene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 xml:space="preserve">6 </w:t>
            </w:r>
          </w:p>
          <w:p w14:paraId="3411DBAF" w14:textId="629620D5" w:rsidR="0082334F" w:rsidRPr="00E86955" w:rsidRDefault="005F4A1E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Žltačka</w:t>
            </w:r>
            <w:r w:rsidR="0082334F" w:rsidRPr="00E86955">
              <w:rPr>
                <w:sz w:val="22"/>
                <w:szCs w:val="22"/>
                <w:vertAlign w:val="superscript"/>
                <w:lang w:val="sk"/>
              </w:rPr>
              <w:t>6</w:t>
            </w:r>
            <w:r w:rsidR="0082334F"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148" w:type="dxa"/>
          </w:tcPr>
          <w:p w14:paraId="2C259E85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68FACE0C" w14:textId="77777777" w:rsidTr="00B403BA">
        <w:tc>
          <w:tcPr>
            <w:tcW w:w="10280" w:type="dxa"/>
            <w:gridSpan w:val="5"/>
          </w:tcPr>
          <w:p w14:paraId="2111D1CA" w14:textId="77777777" w:rsidR="0082334F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Poruchy kože a podkožného tkaniva </w:t>
            </w:r>
          </w:p>
          <w:p w14:paraId="43A9ED20" w14:textId="77777777" w:rsidR="00D61A73" w:rsidRPr="00E86955" w:rsidRDefault="00D61A73" w:rsidP="00E86955">
            <w:pPr>
              <w:pStyle w:val="Default"/>
              <w:rPr>
                <w:sz w:val="22"/>
                <w:szCs w:val="22"/>
              </w:rPr>
            </w:pPr>
          </w:p>
        </w:tc>
      </w:tr>
      <w:tr w:rsidR="0082334F" w:rsidRPr="00E86955" w14:paraId="2ED29EEE" w14:textId="77777777" w:rsidTr="00E85B56">
        <w:tc>
          <w:tcPr>
            <w:tcW w:w="2014" w:type="dxa"/>
          </w:tcPr>
          <w:p w14:paraId="78BF9200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6850FC90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Zvýšené potenie </w:t>
            </w:r>
          </w:p>
          <w:p w14:paraId="05F6162E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Vyrážka </w:t>
            </w:r>
          </w:p>
        </w:tc>
        <w:tc>
          <w:tcPr>
            <w:tcW w:w="1889" w:type="dxa"/>
          </w:tcPr>
          <w:p w14:paraId="4CBD8B79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Nočné potenie </w:t>
            </w:r>
          </w:p>
          <w:p w14:paraId="1E9C739B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Urtikária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730BC232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Kontaktná dermatitída </w:t>
            </w:r>
          </w:p>
          <w:p w14:paraId="2525DD8B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Studený pot </w:t>
            </w:r>
          </w:p>
          <w:p w14:paraId="38B0EE32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Fotosenzitívne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reakcie </w:t>
            </w:r>
          </w:p>
          <w:p w14:paraId="76AEBFB0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Zvýšený sklon k tvorbe modrín </w:t>
            </w:r>
          </w:p>
        </w:tc>
        <w:tc>
          <w:tcPr>
            <w:tcW w:w="2212" w:type="dxa"/>
          </w:tcPr>
          <w:p w14:paraId="28FCC6BD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Stevensov-Johnsonov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syndróm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>6</w:t>
            </w:r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0461079F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Angioneurotický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edém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>6</w:t>
            </w:r>
          </w:p>
        </w:tc>
        <w:tc>
          <w:tcPr>
            <w:tcW w:w="2148" w:type="dxa"/>
          </w:tcPr>
          <w:p w14:paraId="196E12C4" w14:textId="77777777" w:rsidR="0082334F" w:rsidRPr="00E86955" w:rsidRDefault="0044604D">
            <w:pPr>
              <w:pStyle w:val="Default"/>
              <w:rPr>
                <w:color w:val="auto"/>
                <w:sz w:val="22"/>
                <w:szCs w:val="22"/>
              </w:rPr>
            </w:pPr>
            <w:r w:rsidRPr="00E86955">
              <w:rPr>
                <w:color w:val="auto"/>
                <w:sz w:val="22"/>
                <w:szCs w:val="22"/>
                <w:lang w:val="sk"/>
              </w:rPr>
              <w:t xml:space="preserve">Kožná </w:t>
            </w:r>
            <w:proofErr w:type="spellStart"/>
            <w:r w:rsidRPr="00E86955">
              <w:rPr>
                <w:color w:val="auto"/>
                <w:sz w:val="22"/>
                <w:szCs w:val="22"/>
                <w:lang w:val="sk"/>
              </w:rPr>
              <w:t>vaskulitída</w:t>
            </w:r>
            <w:proofErr w:type="spellEnd"/>
            <w:r w:rsidRPr="00E86955">
              <w:rPr>
                <w:color w:val="auto"/>
                <w:sz w:val="22"/>
                <w:szCs w:val="22"/>
                <w:lang w:val="sk"/>
              </w:rPr>
              <w:t xml:space="preserve"> </w:t>
            </w:r>
          </w:p>
        </w:tc>
      </w:tr>
      <w:tr w:rsidR="0082334F" w:rsidRPr="00E86955" w14:paraId="790DA114" w14:textId="77777777" w:rsidTr="00B403BA">
        <w:tc>
          <w:tcPr>
            <w:tcW w:w="10280" w:type="dxa"/>
            <w:gridSpan w:val="5"/>
          </w:tcPr>
          <w:p w14:paraId="6127CD00" w14:textId="77777777" w:rsidR="0082334F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Poruchy kostrovej a svalovej sústavy a spojivového tkaniva </w:t>
            </w:r>
          </w:p>
          <w:p w14:paraId="4EF07036" w14:textId="77777777" w:rsidR="00D61A73" w:rsidRPr="00E86955" w:rsidRDefault="00D61A73">
            <w:pPr>
              <w:pStyle w:val="Default"/>
              <w:rPr>
                <w:sz w:val="22"/>
                <w:szCs w:val="22"/>
              </w:rPr>
            </w:pPr>
          </w:p>
        </w:tc>
      </w:tr>
      <w:tr w:rsidR="0082334F" w:rsidRPr="00E86955" w14:paraId="5DCC2A0A" w14:textId="77777777" w:rsidTr="00E85B56">
        <w:tc>
          <w:tcPr>
            <w:tcW w:w="2014" w:type="dxa"/>
          </w:tcPr>
          <w:p w14:paraId="1AE977D3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09A6A15D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Bolesť svalov a kostí </w:t>
            </w:r>
          </w:p>
          <w:p w14:paraId="588919BE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Svalový kŕč </w:t>
            </w:r>
          </w:p>
        </w:tc>
        <w:tc>
          <w:tcPr>
            <w:tcW w:w="1889" w:type="dxa"/>
          </w:tcPr>
          <w:p w14:paraId="1EAD6744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Napätie svalov </w:t>
            </w:r>
          </w:p>
          <w:p w14:paraId="7D5F5BFD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Zášklby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svalov </w:t>
            </w:r>
          </w:p>
        </w:tc>
        <w:tc>
          <w:tcPr>
            <w:tcW w:w="2212" w:type="dxa"/>
          </w:tcPr>
          <w:p w14:paraId="4E58F344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Trizmus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148" w:type="dxa"/>
          </w:tcPr>
          <w:p w14:paraId="4579695F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62DA55AB" w14:textId="77777777" w:rsidTr="00B403BA">
        <w:tc>
          <w:tcPr>
            <w:tcW w:w="10280" w:type="dxa"/>
            <w:gridSpan w:val="5"/>
          </w:tcPr>
          <w:p w14:paraId="7C75BB3D" w14:textId="77777777" w:rsidR="00AC79E2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Poruchy obličiek a močových ciest</w:t>
            </w:r>
          </w:p>
          <w:p w14:paraId="4B9D0BCB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82334F" w:rsidRPr="00E86955" w14:paraId="6C442CC6" w14:textId="77777777" w:rsidTr="00E85B56">
        <w:tc>
          <w:tcPr>
            <w:tcW w:w="2014" w:type="dxa"/>
          </w:tcPr>
          <w:p w14:paraId="6D1562AD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687773B7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Dyzúria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499F30D6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Polakizúria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1889" w:type="dxa"/>
          </w:tcPr>
          <w:p w14:paraId="7B215728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Zadržiavanie moču </w:t>
            </w:r>
          </w:p>
          <w:p w14:paraId="49199C6E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Močenie s oneskoreným štartom </w:t>
            </w:r>
          </w:p>
          <w:p w14:paraId="76930E63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Noktúria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029BD16C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Polyúria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2EBDCD9D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Slabý prúd moču </w:t>
            </w:r>
          </w:p>
        </w:tc>
        <w:tc>
          <w:tcPr>
            <w:tcW w:w="2212" w:type="dxa"/>
          </w:tcPr>
          <w:p w14:paraId="4285CE6A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Abnormálny zápach moču </w:t>
            </w:r>
          </w:p>
        </w:tc>
        <w:tc>
          <w:tcPr>
            <w:tcW w:w="2148" w:type="dxa"/>
          </w:tcPr>
          <w:p w14:paraId="224C82D7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635132B7" w14:textId="77777777" w:rsidTr="00B403BA">
        <w:tc>
          <w:tcPr>
            <w:tcW w:w="10280" w:type="dxa"/>
            <w:gridSpan w:val="5"/>
          </w:tcPr>
          <w:p w14:paraId="0E768A64" w14:textId="77777777" w:rsidR="00AC79E2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Poruchy reprodukčného systému a prsníkov</w:t>
            </w:r>
          </w:p>
          <w:p w14:paraId="74A7C583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82334F" w:rsidRPr="00E86955" w14:paraId="4CE7C38E" w14:textId="77777777" w:rsidTr="00E85B56">
        <w:tc>
          <w:tcPr>
            <w:tcW w:w="2014" w:type="dxa"/>
          </w:tcPr>
          <w:p w14:paraId="3D1387B3" w14:textId="77777777" w:rsidR="0082334F" w:rsidRPr="00E86955" w:rsidRDefault="0082334F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3149A31D" w14:textId="77777777" w:rsidR="0082334F" w:rsidRPr="00E86955" w:rsidRDefault="0082334F" w:rsidP="00E869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Erektilná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dysfunkcia </w:t>
            </w:r>
          </w:p>
          <w:p w14:paraId="71035524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Porucha ejakulácie </w:t>
            </w:r>
          </w:p>
          <w:p w14:paraId="27E63C77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Oneskorená ejakulácia </w:t>
            </w:r>
          </w:p>
        </w:tc>
        <w:tc>
          <w:tcPr>
            <w:tcW w:w="1889" w:type="dxa"/>
          </w:tcPr>
          <w:p w14:paraId="46AA7AC5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Gynekologické krvácanie </w:t>
            </w:r>
          </w:p>
          <w:p w14:paraId="1534B3BB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Poruchy menštruácie </w:t>
            </w:r>
          </w:p>
          <w:p w14:paraId="21DFD072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Sexuálna dysfunkcia </w:t>
            </w:r>
          </w:p>
          <w:p w14:paraId="224C7225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Testikulárna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bolesť </w:t>
            </w:r>
          </w:p>
        </w:tc>
        <w:tc>
          <w:tcPr>
            <w:tcW w:w="2212" w:type="dxa"/>
          </w:tcPr>
          <w:p w14:paraId="69C3A8EA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Menopauzálne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symptómy </w:t>
            </w:r>
          </w:p>
          <w:p w14:paraId="1234110C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Galaktorea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  <w:p w14:paraId="727EAC62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86955">
              <w:rPr>
                <w:sz w:val="22"/>
                <w:szCs w:val="22"/>
                <w:lang w:val="sk"/>
              </w:rPr>
              <w:t>Hyperpro-laktinémia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</w:t>
            </w:r>
          </w:p>
        </w:tc>
        <w:tc>
          <w:tcPr>
            <w:tcW w:w="2148" w:type="dxa"/>
          </w:tcPr>
          <w:p w14:paraId="00A82032" w14:textId="77777777" w:rsidR="0082334F" w:rsidRPr="00E86955" w:rsidRDefault="008233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2334F" w:rsidRPr="00E86955" w14:paraId="02555A0D" w14:textId="77777777" w:rsidTr="00B403BA">
        <w:tc>
          <w:tcPr>
            <w:tcW w:w="10280" w:type="dxa"/>
            <w:gridSpan w:val="5"/>
          </w:tcPr>
          <w:p w14:paraId="7245EA90" w14:textId="77777777" w:rsidR="00AC79E2" w:rsidRPr="00E86955" w:rsidRDefault="0082334F" w:rsidP="00E8695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>Celkové poruchy a reakcie v mieste podania</w:t>
            </w:r>
          </w:p>
          <w:p w14:paraId="7F4482A8" w14:textId="77777777" w:rsidR="0082334F" w:rsidRPr="00E86955" w:rsidRDefault="0082334F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 </w:t>
            </w:r>
          </w:p>
        </w:tc>
      </w:tr>
      <w:tr w:rsidR="00486E90" w:rsidRPr="00E86955" w14:paraId="49C0054C" w14:textId="77777777" w:rsidTr="00E85B56">
        <w:tc>
          <w:tcPr>
            <w:tcW w:w="2014" w:type="dxa"/>
          </w:tcPr>
          <w:p w14:paraId="1F6C514F" w14:textId="77777777" w:rsidR="00486E90" w:rsidRPr="00E86955" w:rsidRDefault="00486E90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1977FA1A" w14:textId="34767567" w:rsidR="00486E90" w:rsidRPr="00E86955" w:rsidRDefault="005F4A1E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Pády</w:t>
            </w:r>
            <w:r w:rsidR="00486E90" w:rsidRPr="00E86955">
              <w:rPr>
                <w:sz w:val="22"/>
                <w:szCs w:val="22"/>
                <w:vertAlign w:val="superscript"/>
                <w:lang w:val="sk"/>
              </w:rPr>
              <w:t xml:space="preserve">8 </w:t>
            </w:r>
          </w:p>
          <w:p w14:paraId="2AC27CFB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Únava </w:t>
            </w:r>
          </w:p>
          <w:p w14:paraId="0241723E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14:paraId="23C86BD3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>Bolesť v hrudi</w:t>
            </w:r>
            <w:r w:rsidRPr="00E86955">
              <w:rPr>
                <w:sz w:val="22"/>
                <w:szCs w:val="22"/>
                <w:vertAlign w:val="superscript"/>
                <w:lang w:val="sk"/>
              </w:rPr>
              <w:t>7</w:t>
            </w:r>
          </w:p>
          <w:p w14:paraId="5ADD3314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Neobvyklé pocity </w:t>
            </w:r>
          </w:p>
          <w:p w14:paraId="72FD644C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Pocit chladu </w:t>
            </w:r>
          </w:p>
          <w:p w14:paraId="7DFDB63C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Smäd </w:t>
            </w:r>
          </w:p>
          <w:p w14:paraId="09451B1B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Zimnica </w:t>
            </w:r>
          </w:p>
          <w:p w14:paraId="3B2D7F4D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Malátnosť </w:t>
            </w:r>
          </w:p>
          <w:p w14:paraId="5B79720E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Pocit tepla </w:t>
            </w:r>
          </w:p>
          <w:p w14:paraId="5D196F0E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Porucha chôdze </w:t>
            </w:r>
          </w:p>
        </w:tc>
        <w:tc>
          <w:tcPr>
            <w:tcW w:w="2212" w:type="dxa"/>
          </w:tcPr>
          <w:p w14:paraId="33C66279" w14:textId="77777777" w:rsidR="00486E90" w:rsidRPr="00E86955" w:rsidRDefault="00486E9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48" w:type="dxa"/>
          </w:tcPr>
          <w:p w14:paraId="5CBC957F" w14:textId="77777777" w:rsidR="00486E90" w:rsidRPr="00E86955" w:rsidRDefault="00486E9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86E90" w:rsidRPr="00E86955" w14:paraId="74D647C5" w14:textId="77777777" w:rsidTr="00B403BA">
        <w:tc>
          <w:tcPr>
            <w:tcW w:w="10280" w:type="dxa"/>
            <w:gridSpan w:val="5"/>
          </w:tcPr>
          <w:p w14:paraId="66981E7B" w14:textId="77777777" w:rsidR="00486E90" w:rsidRPr="00E86955" w:rsidRDefault="00486E90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i/>
                <w:iCs/>
                <w:sz w:val="22"/>
                <w:szCs w:val="22"/>
                <w:lang w:val="sk"/>
              </w:rPr>
              <w:t xml:space="preserve">Laboratórne a funkčné vyšetrenia </w:t>
            </w:r>
          </w:p>
        </w:tc>
      </w:tr>
      <w:tr w:rsidR="00486E90" w:rsidRPr="00E86955" w14:paraId="13F458B9" w14:textId="77777777" w:rsidTr="00E85B56">
        <w:tc>
          <w:tcPr>
            <w:tcW w:w="2014" w:type="dxa"/>
          </w:tcPr>
          <w:p w14:paraId="5B8C50C4" w14:textId="77777777" w:rsidR="00486E90" w:rsidRPr="00E86955" w:rsidRDefault="00486E90" w:rsidP="00E869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</w:tcPr>
          <w:p w14:paraId="31036750" w14:textId="77777777" w:rsidR="00486E90" w:rsidRPr="00E86955" w:rsidRDefault="00486E90" w:rsidP="00E86955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Pokles hmotnosti </w:t>
            </w:r>
          </w:p>
        </w:tc>
        <w:tc>
          <w:tcPr>
            <w:tcW w:w="1889" w:type="dxa"/>
          </w:tcPr>
          <w:p w14:paraId="6A9F486B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Nárast hmotnosti </w:t>
            </w:r>
          </w:p>
          <w:p w14:paraId="7BAA2156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Zvýšená hladina </w:t>
            </w:r>
            <w:proofErr w:type="spellStart"/>
            <w:r w:rsidRPr="00E86955">
              <w:rPr>
                <w:sz w:val="22"/>
                <w:szCs w:val="22"/>
                <w:lang w:val="sk"/>
              </w:rPr>
              <w:t>kreatinínfosfoki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- </w:t>
            </w:r>
            <w:proofErr w:type="spellStart"/>
            <w:r w:rsidRPr="00E86955">
              <w:rPr>
                <w:sz w:val="22"/>
                <w:szCs w:val="22"/>
                <w:lang w:val="sk"/>
              </w:rPr>
              <w:t>názy</w:t>
            </w:r>
            <w:proofErr w:type="spellEnd"/>
            <w:r w:rsidRPr="00E86955">
              <w:rPr>
                <w:sz w:val="22"/>
                <w:szCs w:val="22"/>
                <w:lang w:val="sk"/>
              </w:rPr>
              <w:t xml:space="preserve"> v krvi </w:t>
            </w:r>
          </w:p>
          <w:p w14:paraId="48CDD2BB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Zvýšená hladina draslíka v krvi </w:t>
            </w:r>
          </w:p>
        </w:tc>
        <w:tc>
          <w:tcPr>
            <w:tcW w:w="2212" w:type="dxa"/>
          </w:tcPr>
          <w:p w14:paraId="1B1A3EC1" w14:textId="77777777" w:rsidR="00486E90" w:rsidRPr="00E86955" w:rsidRDefault="00486E90">
            <w:pPr>
              <w:pStyle w:val="Default"/>
              <w:rPr>
                <w:sz w:val="22"/>
                <w:szCs w:val="22"/>
              </w:rPr>
            </w:pPr>
            <w:r w:rsidRPr="00E86955">
              <w:rPr>
                <w:sz w:val="22"/>
                <w:szCs w:val="22"/>
                <w:lang w:val="sk"/>
              </w:rPr>
              <w:t xml:space="preserve">Zvýšená hladina cholesterolu v krvi </w:t>
            </w:r>
          </w:p>
        </w:tc>
        <w:tc>
          <w:tcPr>
            <w:tcW w:w="2148" w:type="dxa"/>
          </w:tcPr>
          <w:p w14:paraId="58E63E64" w14:textId="77777777" w:rsidR="00486E90" w:rsidRPr="00E86955" w:rsidRDefault="00486E9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1FFC753F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vertAlign w:val="superscript"/>
          <w:lang w:val="sk"/>
        </w:rPr>
        <w:t xml:space="preserve">1 </w:t>
      </w:r>
      <w:r w:rsidRPr="00E86955">
        <w:rPr>
          <w:sz w:val="22"/>
          <w:szCs w:val="22"/>
          <w:lang w:val="sk"/>
        </w:rPr>
        <w:t xml:space="preserve">Boli hlásené tiež prípady kŕčov a </w:t>
      </w:r>
      <w:proofErr w:type="spellStart"/>
      <w:r w:rsidRPr="00E86955">
        <w:rPr>
          <w:sz w:val="22"/>
          <w:szCs w:val="22"/>
          <w:lang w:val="sk"/>
        </w:rPr>
        <w:t>tinitu</w:t>
      </w:r>
      <w:proofErr w:type="spellEnd"/>
      <w:r w:rsidRPr="00E86955">
        <w:rPr>
          <w:sz w:val="22"/>
          <w:szCs w:val="22"/>
          <w:lang w:val="sk"/>
        </w:rPr>
        <w:t xml:space="preserve"> po skončení liečby. </w:t>
      </w:r>
    </w:p>
    <w:p w14:paraId="332AA2AB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vertAlign w:val="superscript"/>
          <w:lang w:val="sk"/>
        </w:rPr>
        <w:t xml:space="preserve">2 </w:t>
      </w:r>
      <w:r w:rsidRPr="00E86955">
        <w:rPr>
          <w:sz w:val="22"/>
          <w:szCs w:val="22"/>
          <w:lang w:val="sk"/>
        </w:rPr>
        <w:t xml:space="preserve">Hlavne na začiatku liečby boli hlásené prípady </w:t>
      </w:r>
      <w:proofErr w:type="spellStart"/>
      <w:r w:rsidRPr="00E86955">
        <w:rPr>
          <w:sz w:val="22"/>
          <w:szCs w:val="22"/>
          <w:lang w:val="sk"/>
        </w:rPr>
        <w:t>ortostatickej</w:t>
      </w:r>
      <w:proofErr w:type="spellEnd"/>
      <w:r w:rsidRPr="00E86955">
        <w:rPr>
          <w:sz w:val="22"/>
          <w:szCs w:val="22"/>
          <w:lang w:val="sk"/>
        </w:rPr>
        <w:t xml:space="preserve"> hypotenzie a synkopy. </w:t>
      </w:r>
    </w:p>
    <w:p w14:paraId="05AF371E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vertAlign w:val="superscript"/>
          <w:lang w:val="sk"/>
        </w:rPr>
        <w:t xml:space="preserve">3 </w:t>
      </w:r>
      <w:r w:rsidRPr="00E86955">
        <w:rPr>
          <w:sz w:val="22"/>
          <w:szCs w:val="22"/>
          <w:lang w:val="sk"/>
        </w:rPr>
        <w:t xml:space="preserve">Pozri časť 4.4. </w:t>
      </w:r>
    </w:p>
    <w:p w14:paraId="2DE227D5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vertAlign w:val="superscript"/>
          <w:lang w:val="sk"/>
        </w:rPr>
        <w:t xml:space="preserve">4 </w:t>
      </w:r>
      <w:r w:rsidRPr="00E86955">
        <w:rPr>
          <w:sz w:val="22"/>
          <w:szCs w:val="22"/>
          <w:lang w:val="sk"/>
        </w:rPr>
        <w:t xml:space="preserve">Boli hlásené prípady agresie a hnevu hlavne na začiatku liečby alebo po skončení liečby. </w:t>
      </w:r>
    </w:p>
    <w:p w14:paraId="581ED71E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vertAlign w:val="superscript"/>
          <w:lang w:val="sk"/>
        </w:rPr>
        <w:lastRenderedPageBreak/>
        <w:t xml:space="preserve">5 </w:t>
      </w:r>
      <w:r w:rsidRPr="00E86955">
        <w:rPr>
          <w:sz w:val="22"/>
          <w:szCs w:val="22"/>
          <w:lang w:val="sk"/>
        </w:rPr>
        <w:t xml:space="preserve">Boli hlásené prípady samovražedných myšlienok a samovražedného správania počas liečby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alebo v krátkom čase po skončení liečby (pozri časť 4.4). </w:t>
      </w:r>
    </w:p>
    <w:p w14:paraId="322F7157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vertAlign w:val="superscript"/>
          <w:lang w:val="sk"/>
        </w:rPr>
        <w:t>6</w:t>
      </w:r>
      <w:r w:rsidRPr="00E86955">
        <w:rPr>
          <w:sz w:val="22"/>
          <w:szCs w:val="22"/>
          <w:lang w:val="sk"/>
        </w:rPr>
        <w:t xml:space="preserve"> Odhadovaná frekvencia na základe post-marketingového sledovania nežiaducich reakcií: nepozorované v placebom kontrolovaných klinických skúšaniach. </w:t>
      </w:r>
    </w:p>
    <w:p w14:paraId="611BEF78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vertAlign w:val="superscript"/>
          <w:lang w:val="sk"/>
        </w:rPr>
        <w:t xml:space="preserve">7 </w:t>
      </w:r>
      <w:r w:rsidRPr="00E86955">
        <w:rPr>
          <w:sz w:val="22"/>
          <w:szCs w:val="22"/>
          <w:lang w:val="sk"/>
        </w:rPr>
        <w:t xml:space="preserve">Nie je štatisticky významný rozdiel oproti placebu. </w:t>
      </w:r>
    </w:p>
    <w:p w14:paraId="07BEB8C5" w14:textId="3F82CB15" w:rsidR="000E6643" w:rsidRPr="00E86955" w:rsidRDefault="00486E90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vertAlign w:val="superscript"/>
          <w:lang w:val="sk"/>
        </w:rPr>
        <w:t xml:space="preserve">8 </w:t>
      </w:r>
      <w:r w:rsidRPr="00E86955">
        <w:rPr>
          <w:color w:val="auto"/>
          <w:sz w:val="22"/>
          <w:szCs w:val="22"/>
          <w:lang w:val="sk"/>
        </w:rPr>
        <w:t>Pády boli častejšie u starších pacientov (</w:t>
      </w:r>
      <w:r w:rsidR="007D4DC9" w:rsidRPr="00E86955">
        <w:rPr>
          <w:color w:val="auto"/>
          <w:sz w:val="22"/>
          <w:szCs w:val="22"/>
          <w:lang w:val="sk"/>
        </w:rPr>
        <w:t>≥</w:t>
      </w:r>
      <w:r w:rsidR="007D4DC9" w:rsidRPr="00E86955" w:rsidDel="007D4DC9">
        <w:rPr>
          <w:color w:val="auto"/>
          <w:sz w:val="22"/>
          <w:szCs w:val="22"/>
          <w:lang w:val="sk"/>
        </w:rPr>
        <w:t xml:space="preserve"> </w:t>
      </w:r>
      <w:r w:rsidRPr="00E86955">
        <w:rPr>
          <w:color w:val="auto"/>
          <w:sz w:val="22"/>
          <w:szCs w:val="22"/>
          <w:lang w:val="sk"/>
        </w:rPr>
        <w:t>65 rokov).</w:t>
      </w:r>
    </w:p>
    <w:p w14:paraId="3AC31FCE" w14:textId="77777777" w:rsidR="00EF127F" w:rsidRPr="00E86955" w:rsidRDefault="00EF127F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vertAlign w:val="superscript"/>
          <w:lang w:val="sk"/>
        </w:rPr>
        <w:t xml:space="preserve">9 </w:t>
      </w:r>
      <w:r w:rsidRPr="00E86955">
        <w:rPr>
          <w:color w:val="auto"/>
          <w:sz w:val="22"/>
          <w:szCs w:val="22"/>
          <w:lang w:val="sk"/>
        </w:rPr>
        <w:t>Odhadovaná frekvencia na základe údajov zo všetkých klinických skúšaní.</w:t>
      </w:r>
    </w:p>
    <w:p w14:paraId="27881D1B" w14:textId="77777777" w:rsidR="00B753C9" w:rsidRPr="00E86955" w:rsidRDefault="00B753C9" w:rsidP="00E86955">
      <w:pPr>
        <w:spacing w:after="0" w:line="240" w:lineRule="auto"/>
        <w:rPr>
          <w:rFonts w:ascii="Times New Roman" w:hAnsi="Times New Roman"/>
        </w:rPr>
      </w:pPr>
      <w:r w:rsidRPr="00E86955">
        <w:rPr>
          <w:rFonts w:ascii="Times New Roman" w:hAnsi="Times New Roman"/>
          <w:vertAlign w:val="superscript"/>
        </w:rPr>
        <w:t>X</w:t>
      </w:r>
      <w:r w:rsidRPr="00E86955">
        <w:rPr>
          <w:rFonts w:ascii="Times New Roman" w:hAnsi="Times New Roman"/>
        </w:rPr>
        <w:t xml:space="preserve"> Odhadovaná frekvencia na základe klinických skúšaní kontrolovaných placebom.</w:t>
      </w:r>
      <w:r w:rsidRPr="00E86955">
        <w:rPr>
          <w:rFonts w:ascii="Times New Roman" w:hAnsi="Times New Roman"/>
        </w:rPr>
        <w:br/>
      </w:r>
      <w:r w:rsidRPr="00E86955">
        <w:rPr>
          <w:rFonts w:ascii="Times New Roman" w:hAnsi="Times New Roman"/>
          <w:vertAlign w:val="superscript"/>
        </w:rPr>
        <w:t>Y</w:t>
      </w:r>
      <w:r w:rsidRPr="00E86955">
        <w:rPr>
          <w:rFonts w:ascii="Times New Roman" w:hAnsi="Times New Roman"/>
        </w:rPr>
        <w:t xml:space="preserve"> Odhadovaná frekvencia nežiaducich reakcií zo sledovaní po uvedení lieku na trh; ktoré neboli pozorované v klinických skúšaniach kontrolovaných placebom.</w:t>
      </w:r>
    </w:p>
    <w:p w14:paraId="6AA7EB30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46F689F9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c. Opis vybraných nežiaducich reakcií </w:t>
      </w:r>
    </w:p>
    <w:p w14:paraId="7B17E0C2" w14:textId="77777777" w:rsidR="00AC79E2" w:rsidRPr="00E86955" w:rsidRDefault="00AC79E2" w:rsidP="002011F9">
      <w:pPr>
        <w:pStyle w:val="Default"/>
        <w:rPr>
          <w:sz w:val="22"/>
          <w:szCs w:val="22"/>
        </w:rPr>
      </w:pPr>
    </w:p>
    <w:p w14:paraId="5E16615E" w14:textId="17B5B63B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Vysadenie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(hlavne náhle) vedie často k vzniku príznakov z vysadenia. Najčastejšie sú hlásené tieto príznaky: závrat, senzorické poruchy (vrátane </w:t>
      </w:r>
      <w:proofErr w:type="spellStart"/>
      <w:r w:rsidRPr="00E86955">
        <w:rPr>
          <w:sz w:val="22"/>
          <w:szCs w:val="22"/>
          <w:lang w:val="sk"/>
        </w:rPr>
        <w:t>parestézie</w:t>
      </w:r>
      <w:proofErr w:type="spellEnd"/>
      <w:r w:rsidRPr="00E86955">
        <w:rPr>
          <w:sz w:val="22"/>
          <w:szCs w:val="22"/>
          <w:lang w:val="sk"/>
        </w:rPr>
        <w:t xml:space="preserve"> alebo vnemov ako pri elektrickom šoku, najmä v hlave), poruchy spánku (vrátane </w:t>
      </w:r>
      <w:proofErr w:type="spellStart"/>
      <w:r w:rsidRPr="00E86955">
        <w:rPr>
          <w:sz w:val="22"/>
          <w:szCs w:val="22"/>
          <w:lang w:val="sk"/>
        </w:rPr>
        <w:t>insomnie</w:t>
      </w:r>
      <w:proofErr w:type="spellEnd"/>
      <w:r w:rsidRPr="00E86955">
        <w:rPr>
          <w:sz w:val="22"/>
          <w:szCs w:val="22"/>
          <w:lang w:val="sk"/>
        </w:rPr>
        <w:t xml:space="preserve"> a intenzívnych snov), únava, ospalosť, </w:t>
      </w:r>
      <w:proofErr w:type="spellStart"/>
      <w:r w:rsidRPr="00E86955">
        <w:rPr>
          <w:sz w:val="22"/>
          <w:szCs w:val="22"/>
          <w:lang w:val="sk"/>
        </w:rPr>
        <w:t>agitovanosť</w:t>
      </w:r>
      <w:proofErr w:type="spellEnd"/>
      <w:r w:rsidRPr="00E86955">
        <w:rPr>
          <w:sz w:val="22"/>
          <w:szCs w:val="22"/>
          <w:lang w:val="sk"/>
        </w:rPr>
        <w:t xml:space="preserve"> alebo úzkosť, nauzea a/alebo vracanie, tras, bolesť hlavy, </w:t>
      </w:r>
      <w:proofErr w:type="spellStart"/>
      <w:r w:rsidRPr="00E86955">
        <w:rPr>
          <w:sz w:val="22"/>
          <w:szCs w:val="22"/>
          <w:lang w:val="sk"/>
        </w:rPr>
        <w:t>myalgia</w:t>
      </w:r>
      <w:proofErr w:type="spellEnd"/>
      <w:r w:rsidRPr="00E86955">
        <w:rPr>
          <w:sz w:val="22"/>
          <w:szCs w:val="22"/>
          <w:lang w:val="sk"/>
        </w:rPr>
        <w:t>, podráždenosť, hnačka</w:t>
      </w:r>
      <w:r w:rsidR="00AB3E0F" w:rsidRPr="00E86955">
        <w:rPr>
          <w:sz w:val="22"/>
          <w:szCs w:val="22"/>
          <w:lang w:val="sk"/>
        </w:rPr>
        <w:t>,</w:t>
      </w:r>
      <w:r w:rsidRPr="00E86955">
        <w:rPr>
          <w:sz w:val="22"/>
          <w:szCs w:val="22"/>
          <w:lang w:val="sk"/>
        </w:rPr>
        <w:t xml:space="preserve"> zvýšené potenie</w:t>
      </w:r>
      <w:r w:rsidR="00AB3E0F" w:rsidRPr="00E86955">
        <w:rPr>
          <w:rFonts w:eastAsia="Calibri"/>
          <w:sz w:val="22"/>
          <w:szCs w:val="22"/>
          <w:lang w:val="sk-SK" w:eastAsia="en-US"/>
        </w:rPr>
        <w:t xml:space="preserve"> </w:t>
      </w:r>
      <w:r w:rsidR="00AB3E0F" w:rsidRPr="00E86955">
        <w:rPr>
          <w:sz w:val="22"/>
          <w:szCs w:val="22"/>
          <w:lang w:val="sk-SK"/>
        </w:rPr>
        <w:t xml:space="preserve">a </w:t>
      </w:r>
      <w:proofErr w:type="spellStart"/>
      <w:r w:rsidR="00AB3E0F" w:rsidRPr="00E86955">
        <w:rPr>
          <w:sz w:val="22"/>
          <w:szCs w:val="22"/>
          <w:lang w:val="sk-SK"/>
        </w:rPr>
        <w:t>vertigo</w:t>
      </w:r>
      <w:proofErr w:type="spellEnd"/>
      <w:r w:rsidRPr="00E86955">
        <w:rPr>
          <w:sz w:val="22"/>
          <w:szCs w:val="22"/>
          <w:lang w:val="sk"/>
        </w:rPr>
        <w:t xml:space="preserve">. </w:t>
      </w:r>
    </w:p>
    <w:p w14:paraId="1BA24CC2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3C6780C0" w14:textId="16CCF058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Zvyčajne sú tieto reakcie, v prípade SSRI a SNRI, slabé až mierne a samé odznejú, avšak u niektorých pacientov môžu byť vážne a/alebo dlhšieho trvania. Preto sa odporúča, ak nie je liečba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ďalej potrebná, postupné vysadenie liečby znižovaním dávky (pozri časti 4.2 a 4.4). </w:t>
      </w:r>
    </w:p>
    <w:p w14:paraId="69C30A28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7A699A83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V 12-týždňovej akútnej fáze troch klinických štúdií s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u pacientov trpiacich diabetickou </w:t>
      </w:r>
      <w:proofErr w:type="spellStart"/>
      <w:r w:rsidRPr="00E86955">
        <w:rPr>
          <w:color w:val="auto"/>
          <w:sz w:val="22"/>
          <w:szCs w:val="22"/>
          <w:lang w:val="sk"/>
        </w:rPr>
        <w:t>neuropatickou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bolesťou došlo u pacientov liečených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k miernemu, avšak štatisticky významnému zvýšeniu hladiny glukózy v krvi nalačno. Hodnoty HbA</w:t>
      </w:r>
      <w:r w:rsidRPr="00E86955">
        <w:rPr>
          <w:color w:val="auto"/>
          <w:sz w:val="22"/>
          <w:szCs w:val="22"/>
          <w:vertAlign w:val="subscript"/>
          <w:lang w:val="sk"/>
        </w:rPr>
        <w:t>1c</w:t>
      </w:r>
      <w:r w:rsidRPr="00E86955">
        <w:rPr>
          <w:color w:val="auto"/>
          <w:sz w:val="22"/>
          <w:szCs w:val="22"/>
          <w:lang w:val="sk"/>
        </w:rPr>
        <w:t xml:space="preserve"> boli stabilné aj u pacientov liečených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aj u pacientov s placebom. V následnej fáze týchto štúdií, ktorá trvala až 52 týždňov, sa objavilo v oboch skupinách pacientov zvýšenie hodnoty HbA</w:t>
      </w:r>
      <w:r w:rsidRPr="00E86955">
        <w:rPr>
          <w:color w:val="auto"/>
          <w:sz w:val="22"/>
          <w:szCs w:val="22"/>
          <w:vertAlign w:val="subscript"/>
          <w:lang w:val="sk"/>
        </w:rPr>
        <w:t>1c</w:t>
      </w:r>
      <w:r w:rsidRPr="00E86955">
        <w:rPr>
          <w:color w:val="auto"/>
          <w:sz w:val="22"/>
          <w:szCs w:val="22"/>
          <w:lang w:val="sk"/>
        </w:rPr>
        <w:t xml:space="preserve">, pričom priemerné zvýšenie bolo o 0,3% vyššie v skupine pacientov liečených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. Zaznamenalo sa tiež mierne zvýšenie glukózy v krvi nalačno a celkového cholesterolu u pacientov liečených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>, pričom tieto laboratórne testy v kontrolnej skupine ukázali mierny pokles.</w:t>
      </w:r>
    </w:p>
    <w:p w14:paraId="405988B4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45DE37A2" w14:textId="77777777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QT interval korigovaný podľa srdcovej frekvencie sa u pacientov liečených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nelíšil od toho zisteného u placebom liečených pacientov. V rámci porovnania pacientov liečených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a pacientov liečených placebom pri meraniach QT, PR, QRS, 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QTcB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žiadne klinicky významné rozdiely zistené neboli. </w:t>
      </w:r>
    </w:p>
    <w:p w14:paraId="79091E4F" w14:textId="77777777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6DDCC272" w14:textId="77777777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d. Pediatrická populácia </w:t>
      </w:r>
    </w:p>
    <w:p w14:paraId="491C7218" w14:textId="77777777" w:rsidR="00AC79E2" w:rsidRPr="00E86955" w:rsidRDefault="00AC79E2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351E519" w14:textId="1509F498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klinických štúdiách bolo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liečených celkovo 509 pediatrických pacie</w:t>
      </w:r>
      <w:r w:rsidR="007D4DC9" w:rsidRPr="00E86955">
        <w:rPr>
          <w:sz w:val="22"/>
          <w:szCs w:val="22"/>
          <w:lang w:val="sk"/>
        </w:rPr>
        <w:t>n</w:t>
      </w:r>
      <w:r w:rsidRPr="00E86955">
        <w:rPr>
          <w:sz w:val="22"/>
          <w:szCs w:val="22"/>
          <w:lang w:val="sk"/>
        </w:rPr>
        <w:t xml:space="preserve">tov s veľkou depresívnou poruchou vo veku 7 až 17 rokov a 241 pediatrických pacientov s generalizovanou úzkostnou poruchou vo veku 7 až 17 rokov. Vo všeobecnosti bol profil nežiaducich reakcií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u detí a dospievajúcich podobný tomu u dospelých. </w:t>
      </w:r>
    </w:p>
    <w:p w14:paraId="57CEDCE0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35FC73B0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Celkom 467 pediatrických pacientov pôvodne </w:t>
      </w:r>
      <w:proofErr w:type="spellStart"/>
      <w:r w:rsidRPr="00E86955">
        <w:rPr>
          <w:sz w:val="22"/>
          <w:szCs w:val="22"/>
          <w:lang w:val="sk"/>
        </w:rPr>
        <w:t>randomizovaných</w:t>
      </w:r>
      <w:proofErr w:type="spellEnd"/>
      <w:r w:rsidRPr="00E86955">
        <w:rPr>
          <w:sz w:val="22"/>
          <w:szCs w:val="22"/>
          <w:lang w:val="sk"/>
        </w:rPr>
        <w:t xml:space="preserve"> na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v klinických štúdiách zakúsilo zníženie hmotnosti v priemere o 0,1 kg počas 10 týždňov v porovnaní s nárastom v priemere o 0,9 kg u 353 pacientov užívajúcich placebo. Následne počas 4- až 6-mesačnej predĺženej fázy mali pacienti v priemere tendenciu k návratu k svojmu pôvodnému </w:t>
      </w:r>
      <w:proofErr w:type="spellStart"/>
      <w:r w:rsidRPr="00E86955">
        <w:rPr>
          <w:sz w:val="22"/>
          <w:szCs w:val="22"/>
          <w:lang w:val="sk"/>
        </w:rPr>
        <w:t>percentilu</w:t>
      </w:r>
      <w:proofErr w:type="spellEnd"/>
      <w:r w:rsidRPr="00E86955">
        <w:rPr>
          <w:sz w:val="22"/>
          <w:szCs w:val="22"/>
          <w:lang w:val="sk"/>
        </w:rPr>
        <w:t xml:space="preserve"> hmotnosti očakávanému na základe populačných údajov o veku a pohlaví rovesníkov.</w:t>
      </w:r>
    </w:p>
    <w:p w14:paraId="30EEF982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klinických štúdiách v trvaní najviac 9 mesiacov bol u pediatrických pacientov liečených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v </w:t>
      </w:r>
      <w:proofErr w:type="spellStart"/>
      <w:r w:rsidRPr="00E86955">
        <w:rPr>
          <w:sz w:val="22"/>
          <w:szCs w:val="22"/>
          <w:lang w:val="sk"/>
        </w:rPr>
        <w:t>percentilovom</w:t>
      </w:r>
      <w:proofErr w:type="spellEnd"/>
      <w:r w:rsidRPr="00E86955">
        <w:rPr>
          <w:sz w:val="22"/>
          <w:szCs w:val="22"/>
          <w:lang w:val="sk"/>
        </w:rPr>
        <w:t xml:space="preserve"> grafe telesnej výšky pozorovaný celkový priemerný pokles o 1 % (pokles o 2 % u detí (7-11 rokov) a nárast o 0,3 % u dospievajúcich (12-17 rokov)) (pozri časť 4.4). </w:t>
      </w:r>
    </w:p>
    <w:p w14:paraId="5AE6D082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63D9F4B9" w14:textId="77777777" w:rsidR="00486E90" w:rsidRPr="00E86955" w:rsidRDefault="00486E90" w:rsidP="002011F9">
      <w:pPr>
        <w:pStyle w:val="Default"/>
        <w:rPr>
          <w:sz w:val="22"/>
          <w:szCs w:val="22"/>
          <w:u w:val="single"/>
        </w:rPr>
      </w:pPr>
      <w:r w:rsidRPr="00E86955">
        <w:rPr>
          <w:i/>
          <w:iCs/>
          <w:sz w:val="22"/>
          <w:szCs w:val="22"/>
          <w:u w:val="single"/>
          <w:lang w:val="sk"/>
        </w:rPr>
        <w:t xml:space="preserve">Hlásenie podozrení na nežiaduce reakcie </w:t>
      </w:r>
    </w:p>
    <w:p w14:paraId="3B8E53D2" w14:textId="58C470D8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</w:t>
      </w:r>
      <w:r w:rsidR="007D4DC9" w:rsidRPr="00E86955">
        <w:rPr>
          <w:color w:val="auto"/>
          <w:sz w:val="22"/>
          <w:szCs w:val="22"/>
          <w:lang w:val="sk"/>
        </w:rPr>
        <w:t xml:space="preserve"> na</w:t>
      </w:r>
      <w:r w:rsidRPr="00E86955">
        <w:rPr>
          <w:color w:val="auto"/>
          <w:sz w:val="22"/>
          <w:szCs w:val="22"/>
          <w:highlight w:val="lightGray"/>
          <w:lang w:val="sk"/>
        </w:rPr>
        <w:t xml:space="preserve"> národné </w:t>
      </w:r>
      <w:r w:rsidR="007D4DC9" w:rsidRPr="00E86955">
        <w:rPr>
          <w:color w:val="auto"/>
          <w:sz w:val="22"/>
          <w:szCs w:val="22"/>
          <w:highlight w:val="lightGray"/>
          <w:lang w:val="sk"/>
        </w:rPr>
        <w:t>centrum</w:t>
      </w:r>
      <w:r w:rsidRPr="00E86955">
        <w:rPr>
          <w:color w:val="auto"/>
          <w:sz w:val="22"/>
          <w:szCs w:val="22"/>
          <w:highlight w:val="lightGray"/>
          <w:lang w:val="sk"/>
        </w:rPr>
        <w:t xml:space="preserve"> hlásenia uvedené v </w:t>
      </w:r>
      <w:hyperlink r:id="rId7" w:history="1">
        <w:r w:rsidR="00864CC8" w:rsidRPr="00E86955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86955">
        <w:rPr>
          <w:color w:val="auto"/>
          <w:sz w:val="22"/>
          <w:szCs w:val="22"/>
          <w:highlight w:val="lightGray"/>
          <w:lang w:val="sk"/>
        </w:rPr>
        <w:t>.</w:t>
      </w:r>
    </w:p>
    <w:p w14:paraId="5E32675E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4EB4774F" w14:textId="468485EA" w:rsidR="00486E90" w:rsidRPr="00E86955" w:rsidRDefault="00486E90" w:rsidP="002011F9">
      <w:pPr>
        <w:pStyle w:val="Default"/>
        <w:keepNext/>
        <w:numPr>
          <w:ilvl w:val="1"/>
          <w:numId w:val="2"/>
        </w:numPr>
        <w:ind w:left="567" w:hanging="567"/>
        <w:rPr>
          <w:sz w:val="22"/>
          <w:szCs w:val="22"/>
        </w:rPr>
      </w:pPr>
      <w:r w:rsidRPr="00E86955">
        <w:rPr>
          <w:b/>
          <w:bCs/>
          <w:sz w:val="22"/>
          <w:szCs w:val="22"/>
          <w:lang w:val="sk"/>
        </w:rPr>
        <w:lastRenderedPageBreak/>
        <w:t xml:space="preserve">Predávkovanie </w:t>
      </w:r>
    </w:p>
    <w:p w14:paraId="7C51FCB2" w14:textId="77777777" w:rsidR="00486E90" w:rsidRPr="00E86955" w:rsidRDefault="00486E90" w:rsidP="002011F9">
      <w:pPr>
        <w:pStyle w:val="Default"/>
        <w:keepNext/>
        <w:rPr>
          <w:sz w:val="22"/>
          <w:szCs w:val="22"/>
        </w:rPr>
      </w:pPr>
    </w:p>
    <w:p w14:paraId="70582130" w14:textId="0329F19A" w:rsidR="00486E90" w:rsidRPr="00E86955" w:rsidRDefault="00486E90" w:rsidP="002011F9">
      <w:pPr>
        <w:pStyle w:val="Default"/>
        <w:keepNext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Zaznamenali sa prípady predávkovania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samotným alebo v kombinácii s inými liekmi, v dávke 5 400 mg. Vyskytlo sa i niekoľko prípadov úmrtia, najmä pri predávkovaní kombináciou liekov, ale aj pri predávkovaní samotným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v dávke približne 1000 mg. </w:t>
      </w:r>
      <w:r w:rsidR="00820144" w:rsidRPr="00E86955">
        <w:rPr>
          <w:sz w:val="22"/>
          <w:szCs w:val="22"/>
          <w:lang w:val="sk"/>
        </w:rPr>
        <w:t xml:space="preserve">Prejavy </w:t>
      </w:r>
      <w:r w:rsidRPr="00E86955">
        <w:rPr>
          <w:sz w:val="22"/>
          <w:szCs w:val="22"/>
          <w:lang w:val="sk"/>
        </w:rPr>
        <w:t xml:space="preserve">a symptómy predávkovania (samotným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alebo v kombinácii s inými liekmi) zahŕňajú </w:t>
      </w:r>
      <w:proofErr w:type="spellStart"/>
      <w:r w:rsidRPr="00E86955">
        <w:rPr>
          <w:sz w:val="22"/>
          <w:szCs w:val="22"/>
          <w:lang w:val="sk"/>
        </w:rPr>
        <w:t>somnolenciu</w:t>
      </w:r>
      <w:proofErr w:type="spellEnd"/>
      <w:r w:rsidRPr="00E86955">
        <w:rPr>
          <w:sz w:val="22"/>
          <w:szCs w:val="22"/>
          <w:lang w:val="sk"/>
        </w:rPr>
        <w:t xml:space="preserve">, kómu, </w:t>
      </w:r>
      <w:proofErr w:type="spellStart"/>
      <w:r w:rsidRPr="00E86955">
        <w:rPr>
          <w:sz w:val="22"/>
          <w:szCs w:val="22"/>
          <w:lang w:val="sk"/>
        </w:rPr>
        <w:t>sérotonínový</w:t>
      </w:r>
      <w:proofErr w:type="spellEnd"/>
      <w:r w:rsidRPr="00E86955">
        <w:rPr>
          <w:sz w:val="22"/>
          <w:szCs w:val="22"/>
          <w:lang w:val="sk"/>
        </w:rPr>
        <w:t xml:space="preserve"> syndróm, záchvaty, vracanie a </w:t>
      </w:r>
      <w:proofErr w:type="spellStart"/>
      <w:r w:rsidRPr="00E86955">
        <w:rPr>
          <w:sz w:val="22"/>
          <w:szCs w:val="22"/>
          <w:lang w:val="sk"/>
        </w:rPr>
        <w:t>tachykardiu</w:t>
      </w:r>
      <w:proofErr w:type="spellEnd"/>
      <w:r w:rsidRPr="00E86955">
        <w:rPr>
          <w:sz w:val="22"/>
          <w:szCs w:val="22"/>
          <w:lang w:val="sk"/>
        </w:rPr>
        <w:t xml:space="preserve">. </w:t>
      </w:r>
    </w:p>
    <w:p w14:paraId="7FFE1742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51CF43AC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Nie je známe žiadne špecifické </w:t>
      </w:r>
      <w:proofErr w:type="spellStart"/>
      <w:r w:rsidRPr="00E86955">
        <w:rPr>
          <w:color w:val="auto"/>
          <w:sz w:val="22"/>
          <w:szCs w:val="22"/>
          <w:lang w:val="sk"/>
        </w:rPr>
        <w:t>antidotum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, ale ak sa vyskytne </w:t>
      </w:r>
      <w:proofErr w:type="spellStart"/>
      <w:r w:rsidRPr="00E86955">
        <w:rPr>
          <w:color w:val="auto"/>
          <w:sz w:val="22"/>
          <w:szCs w:val="22"/>
          <w:lang w:val="sk"/>
        </w:rPr>
        <w:t>sérotonínový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syndróm, má sa zvážiť špecifická liečba (ako je </w:t>
      </w:r>
      <w:proofErr w:type="spellStart"/>
      <w:r w:rsidRPr="00E86955">
        <w:rPr>
          <w:color w:val="auto"/>
          <w:sz w:val="22"/>
          <w:szCs w:val="22"/>
          <w:lang w:val="sk"/>
        </w:rPr>
        <w:t>cyproheptadín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a/alebo kontrola teploty). Je potrebné zabezpečiť priechodnosť dýchacích ciest. Zároveň sa odporúča monitorovať funkciu srdca ako aj všetky vitálne funkcie, spolu s náležitými symptomatickými a podpornými opatreniami. Výplach žalúdka sa môže indikovať, ak je prevedený ihneď po požití alebo u symptomatických pacientov. Aktívne uhlie môže byť prospešné na obmedzenie absorpcie. </w:t>
      </w:r>
      <w:proofErr w:type="spellStart"/>
      <w:r w:rsidRPr="00E86955">
        <w:rPr>
          <w:color w:val="auto"/>
          <w:sz w:val="22"/>
          <w:szCs w:val="22"/>
          <w:lang w:val="sk"/>
        </w:rPr>
        <w:t>Duloxetín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má rozsiahly objem distribúcie a je málo pravdepodobné, že by forsírovaná </w:t>
      </w:r>
      <w:proofErr w:type="spellStart"/>
      <w:r w:rsidRPr="00E86955">
        <w:rPr>
          <w:color w:val="auto"/>
          <w:sz w:val="22"/>
          <w:szCs w:val="22"/>
          <w:lang w:val="sk"/>
        </w:rPr>
        <w:t>diuréza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, </w:t>
      </w:r>
      <w:proofErr w:type="spellStart"/>
      <w:r w:rsidRPr="00E86955">
        <w:rPr>
          <w:color w:val="auto"/>
          <w:sz w:val="22"/>
          <w:szCs w:val="22"/>
          <w:lang w:val="sk"/>
        </w:rPr>
        <w:t>hemoperfúzia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či výmenná </w:t>
      </w:r>
      <w:proofErr w:type="spellStart"/>
      <w:r w:rsidRPr="00E86955">
        <w:rPr>
          <w:color w:val="auto"/>
          <w:sz w:val="22"/>
          <w:szCs w:val="22"/>
          <w:lang w:val="sk"/>
        </w:rPr>
        <w:t>perfúzia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mohli byť v tomto prípade prospešné.</w:t>
      </w:r>
    </w:p>
    <w:p w14:paraId="176411B3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7507CF4C" w14:textId="77777777" w:rsidR="00C051FD" w:rsidRPr="00E86955" w:rsidRDefault="00C051FD" w:rsidP="002011F9">
      <w:pPr>
        <w:pStyle w:val="Default"/>
        <w:rPr>
          <w:color w:val="auto"/>
          <w:sz w:val="22"/>
          <w:szCs w:val="22"/>
        </w:rPr>
      </w:pPr>
    </w:p>
    <w:p w14:paraId="47A89D8E" w14:textId="651233C1" w:rsidR="00486E90" w:rsidRPr="00E86955" w:rsidRDefault="00486E90" w:rsidP="002011F9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E86955">
        <w:rPr>
          <w:b/>
          <w:bCs/>
          <w:sz w:val="22"/>
          <w:szCs w:val="22"/>
          <w:lang w:val="sk"/>
        </w:rPr>
        <w:t xml:space="preserve">FARMAKOLOGICKÉ VLASTNOSTI </w:t>
      </w:r>
    </w:p>
    <w:p w14:paraId="2AB12FAC" w14:textId="77777777" w:rsidR="00486E90" w:rsidRPr="00E86955" w:rsidRDefault="00486E90" w:rsidP="002011F9">
      <w:pPr>
        <w:pStyle w:val="Default"/>
        <w:rPr>
          <w:b/>
          <w:bCs/>
          <w:sz w:val="22"/>
          <w:szCs w:val="22"/>
        </w:rPr>
      </w:pPr>
    </w:p>
    <w:p w14:paraId="6A7EA037" w14:textId="0658537A" w:rsidR="00486E90" w:rsidRPr="00E86955" w:rsidRDefault="00486E90" w:rsidP="002011F9">
      <w:pPr>
        <w:pStyle w:val="Default"/>
        <w:numPr>
          <w:ilvl w:val="1"/>
          <w:numId w:val="2"/>
        </w:numPr>
        <w:ind w:left="567" w:hanging="567"/>
        <w:rPr>
          <w:sz w:val="22"/>
          <w:szCs w:val="22"/>
        </w:rPr>
      </w:pPr>
      <w:proofErr w:type="spellStart"/>
      <w:r w:rsidRPr="00E86955">
        <w:rPr>
          <w:b/>
          <w:bCs/>
          <w:sz w:val="22"/>
          <w:szCs w:val="22"/>
          <w:lang w:val="sk"/>
        </w:rPr>
        <w:t>Farmakodynamické</w:t>
      </w:r>
      <w:proofErr w:type="spellEnd"/>
      <w:r w:rsidRPr="00E86955">
        <w:rPr>
          <w:b/>
          <w:bCs/>
          <w:sz w:val="22"/>
          <w:szCs w:val="22"/>
          <w:lang w:val="sk"/>
        </w:rPr>
        <w:t xml:space="preserve"> vlastnosti </w:t>
      </w:r>
    </w:p>
    <w:p w14:paraId="16D549CE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0F7D25ED" w14:textId="7B266055" w:rsidR="00486E90" w:rsidRPr="00E86955" w:rsidRDefault="00486E90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Farmakoterapeutická</w:t>
      </w:r>
      <w:proofErr w:type="spellEnd"/>
      <w:r w:rsidRPr="00E86955">
        <w:rPr>
          <w:sz w:val="22"/>
          <w:szCs w:val="22"/>
          <w:lang w:val="sk"/>
        </w:rPr>
        <w:t xml:space="preserve"> skupina: </w:t>
      </w:r>
      <w:r w:rsidR="00F46D29" w:rsidRPr="00E86955">
        <w:rPr>
          <w:sz w:val="22"/>
          <w:szCs w:val="22"/>
        </w:rPr>
        <w:t xml:space="preserve">Psychoanaleptiká, </w:t>
      </w:r>
      <w:r w:rsidR="00F46D29" w:rsidRPr="00E86955">
        <w:rPr>
          <w:sz w:val="22"/>
          <w:szCs w:val="22"/>
          <w:lang w:val="sk"/>
        </w:rPr>
        <w:t>i</w:t>
      </w:r>
      <w:r w:rsidRPr="00E86955">
        <w:rPr>
          <w:sz w:val="22"/>
          <w:szCs w:val="22"/>
          <w:lang w:val="sk"/>
        </w:rPr>
        <w:t xml:space="preserve">né </w:t>
      </w:r>
      <w:proofErr w:type="spellStart"/>
      <w:r w:rsidRPr="00E86955">
        <w:rPr>
          <w:sz w:val="22"/>
          <w:szCs w:val="22"/>
          <w:lang w:val="sk"/>
        </w:rPr>
        <w:t>antidepresíva</w:t>
      </w:r>
      <w:proofErr w:type="spellEnd"/>
      <w:r w:rsidRPr="00E86955">
        <w:rPr>
          <w:sz w:val="22"/>
          <w:szCs w:val="22"/>
          <w:lang w:val="sk"/>
        </w:rPr>
        <w:t xml:space="preserve">. ATC kód: N06AX21. </w:t>
      </w:r>
    </w:p>
    <w:p w14:paraId="4F24B084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4D94935D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Mechanizmus účinku </w:t>
      </w:r>
    </w:p>
    <w:p w14:paraId="57E647B3" w14:textId="77777777" w:rsidR="00486E90" w:rsidRPr="00E86955" w:rsidRDefault="00486E90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je kombinovaný inhibítor spätného vychytávania </w:t>
      </w:r>
      <w:proofErr w:type="spellStart"/>
      <w:r w:rsidRPr="00E86955">
        <w:rPr>
          <w:sz w:val="22"/>
          <w:szCs w:val="22"/>
          <w:lang w:val="sk"/>
        </w:rPr>
        <w:t>sérotonínu</w:t>
      </w:r>
      <w:proofErr w:type="spellEnd"/>
      <w:r w:rsidRPr="00E86955">
        <w:rPr>
          <w:sz w:val="22"/>
          <w:szCs w:val="22"/>
          <w:lang w:val="sk"/>
        </w:rPr>
        <w:t xml:space="preserve"> (5-HT) a </w:t>
      </w:r>
      <w:proofErr w:type="spellStart"/>
      <w:r w:rsidRPr="00E86955">
        <w:rPr>
          <w:sz w:val="22"/>
          <w:szCs w:val="22"/>
          <w:lang w:val="sk"/>
        </w:rPr>
        <w:t>noradrenalínu</w:t>
      </w:r>
      <w:proofErr w:type="spellEnd"/>
      <w:r w:rsidRPr="00E86955">
        <w:rPr>
          <w:sz w:val="22"/>
          <w:szCs w:val="22"/>
          <w:lang w:val="sk"/>
        </w:rPr>
        <w:t xml:space="preserve"> (NA). Slabo </w:t>
      </w:r>
      <w:proofErr w:type="spellStart"/>
      <w:r w:rsidRPr="00E86955">
        <w:rPr>
          <w:sz w:val="22"/>
          <w:szCs w:val="22"/>
          <w:lang w:val="sk"/>
        </w:rPr>
        <w:t>inhibuje</w:t>
      </w:r>
      <w:proofErr w:type="spellEnd"/>
      <w:r w:rsidRPr="00E86955">
        <w:rPr>
          <w:sz w:val="22"/>
          <w:szCs w:val="22"/>
          <w:lang w:val="sk"/>
        </w:rPr>
        <w:t xml:space="preserve"> spätné vychytávanie </w:t>
      </w:r>
      <w:proofErr w:type="spellStart"/>
      <w:r w:rsidRPr="00E86955">
        <w:rPr>
          <w:sz w:val="22"/>
          <w:szCs w:val="22"/>
          <w:lang w:val="sk"/>
        </w:rPr>
        <w:t>dopamínu</w:t>
      </w:r>
      <w:proofErr w:type="spellEnd"/>
      <w:r w:rsidRPr="00E86955">
        <w:rPr>
          <w:sz w:val="22"/>
          <w:szCs w:val="22"/>
          <w:lang w:val="sk"/>
        </w:rPr>
        <w:t xml:space="preserve">, bez významnej afinity k histamínovým, </w:t>
      </w:r>
      <w:proofErr w:type="spellStart"/>
      <w:r w:rsidRPr="00E86955">
        <w:rPr>
          <w:sz w:val="22"/>
          <w:szCs w:val="22"/>
          <w:lang w:val="sk"/>
        </w:rPr>
        <w:t>dopaminergickým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cholinergickým</w:t>
      </w:r>
      <w:proofErr w:type="spellEnd"/>
      <w:r w:rsidRPr="00E86955">
        <w:rPr>
          <w:sz w:val="22"/>
          <w:szCs w:val="22"/>
          <w:lang w:val="sk"/>
        </w:rPr>
        <w:t xml:space="preserve"> a </w:t>
      </w:r>
      <w:proofErr w:type="spellStart"/>
      <w:r w:rsidRPr="00E86955">
        <w:rPr>
          <w:sz w:val="22"/>
          <w:szCs w:val="22"/>
          <w:lang w:val="sk"/>
        </w:rPr>
        <w:t>adrenergickým</w:t>
      </w:r>
      <w:proofErr w:type="spellEnd"/>
      <w:r w:rsidRPr="00E86955">
        <w:rPr>
          <w:sz w:val="22"/>
          <w:szCs w:val="22"/>
          <w:lang w:val="sk"/>
        </w:rPr>
        <w:t xml:space="preserve"> receptorom. V závislosti od dávky zvyšuje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extracelulárne</w:t>
      </w:r>
      <w:proofErr w:type="spellEnd"/>
      <w:r w:rsidRPr="00E86955">
        <w:rPr>
          <w:sz w:val="22"/>
          <w:szCs w:val="22"/>
          <w:lang w:val="sk"/>
        </w:rPr>
        <w:t xml:space="preserve"> hladiny </w:t>
      </w:r>
      <w:proofErr w:type="spellStart"/>
      <w:r w:rsidRPr="00E86955">
        <w:rPr>
          <w:sz w:val="22"/>
          <w:szCs w:val="22"/>
          <w:lang w:val="sk"/>
        </w:rPr>
        <w:t>sérotonínu</w:t>
      </w:r>
      <w:proofErr w:type="spellEnd"/>
      <w:r w:rsidRPr="00E86955">
        <w:rPr>
          <w:sz w:val="22"/>
          <w:szCs w:val="22"/>
          <w:lang w:val="sk"/>
        </w:rPr>
        <w:t xml:space="preserve"> a </w:t>
      </w:r>
      <w:proofErr w:type="spellStart"/>
      <w:r w:rsidRPr="00E86955">
        <w:rPr>
          <w:sz w:val="22"/>
          <w:szCs w:val="22"/>
          <w:lang w:val="sk"/>
        </w:rPr>
        <w:t>noradrenalínu</w:t>
      </w:r>
      <w:proofErr w:type="spellEnd"/>
      <w:r w:rsidRPr="00E86955">
        <w:rPr>
          <w:sz w:val="22"/>
          <w:szCs w:val="22"/>
          <w:lang w:val="sk"/>
        </w:rPr>
        <w:t xml:space="preserve"> v rozličných častiach mozgu zvierat. </w:t>
      </w:r>
    </w:p>
    <w:p w14:paraId="385993F7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5F8E40D2" w14:textId="77777777" w:rsidR="00486E90" w:rsidRPr="00E86955" w:rsidRDefault="00486E90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i/>
          <w:iCs/>
          <w:sz w:val="22"/>
          <w:szCs w:val="22"/>
          <w:lang w:val="sk"/>
        </w:rPr>
        <w:t>Farmakodynamické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účinky </w:t>
      </w:r>
    </w:p>
    <w:p w14:paraId="272C7A15" w14:textId="77777777" w:rsidR="003B5781" w:rsidRPr="00E86955" w:rsidRDefault="00486E90" w:rsidP="00E86955">
      <w:pPr>
        <w:pStyle w:val="Default"/>
        <w:rPr>
          <w:sz w:val="22"/>
          <w:szCs w:val="22"/>
          <w:lang w:val="sk-SK" w:eastAsia="sk-SK"/>
        </w:rPr>
      </w:pPr>
      <w:r w:rsidRPr="00E86955">
        <w:rPr>
          <w:sz w:val="22"/>
          <w:szCs w:val="22"/>
          <w:lang w:val="sk"/>
        </w:rPr>
        <w:t xml:space="preserve">V predklinických modeloch </w:t>
      </w:r>
      <w:proofErr w:type="spellStart"/>
      <w:r w:rsidRPr="00E86955">
        <w:rPr>
          <w:sz w:val="22"/>
          <w:szCs w:val="22"/>
          <w:lang w:val="sk"/>
        </w:rPr>
        <w:t>neuropatickej</w:t>
      </w:r>
      <w:proofErr w:type="spellEnd"/>
      <w:r w:rsidRPr="00E86955">
        <w:rPr>
          <w:sz w:val="22"/>
          <w:szCs w:val="22"/>
          <w:lang w:val="sk"/>
        </w:rPr>
        <w:t xml:space="preserve"> a zápalovej bolesti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normalizoval prah bolesti</w:t>
      </w:r>
      <w:r w:rsidR="00ED768D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a v rámci modelu perzistujúcej bolesti zmierňoval bolestivé reagovanie. </w:t>
      </w:r>
      <w:r w:rsidR="003B5781" w:rsidRPr="00E86955">
        <w:rPr>
          <w:sz w:val="22"/>
          <w:szCs w:val="22"/>
        </w:rPr>
        <w:t xml:space="preserve">Predpokladá sa, že inhibičný účinok duloxetínu na bolesť je dôsledkom potenciácie zostupných bolesť inhibujúcich dráh v centrálnom nervovom systéme. </w:t>
      </w:r>
    </w:p>
    <w:p w14:paraId="5E557EF9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10F4F864" w14:textId="3B281C01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>K</w:t>
      </w:r>
      <w:r w:rsidR="009E5803" w:rsidRPr="00E86955">
        <w:rPr>
          <w:i/>
          <w:iCs/>
          <w:sz w:val="22"/>
          <w:szCs w:val="22"/>
          <w:lang w:val="sk"/>
        </w:rPr>
        <w:t>linická účinnosť a bezpečnosť</w:t>
      </w:r>
    </w:p>
    <w:p w14:paraId="20E9D751" w14:textId="77777777" w:rsidR="00AC79E2" w:rsidRPr="00E86955" w:rsidRDefault="00AC79E2" w:rsidP="002011F9">
      <w:pPr>
        <w:pStyle w:val="Default"/>
        <w:rPr>
          <w:sz w:val="22"/>
          <w:szCs w:val="22"/>
        </w:rPr>
      </w:pPr>
    </w:p>
    <w:p w14:paraId="45F600BD" w14:textId="0ABC76FA" w:rsidR="00DD1248" w:rsidRPr="00E86955" w:rsidRDefault="00486E90" w:rsidP="002011F9">
      <w:pPr>
        <w:pStyle w:val="Default"/>
        <w:rPr>
          <w:i/>
          <w:iCs/>
          <w:color w:val="auto"/>
          <w:sz w:val="22"/>
          <w:szCs w:val="22"/>
        </w:rPr>
      </w:pPr>
      <w:r w:rsidRPr="00E86955">
        <w:rPr>
          <w:i/>
          <w:iCs/>
          <w:color w:val="auto"/>
          <w:sz w:val="22"/>
          <w:szCs w:val="22"/>
          <w:lang w:val="sk"/>
        </w:rPr>
        <w:t>Veľká depresívna porucha:</w:t>
      </w:r>
    </w:p>
    <w:p w14:paraId="098722FD" w14:textId="77777777" w:rsidR="00AC79E2" w:rsidRPr="00E86955" w:rsidRDefault="00AC79E2" w:rsidP="002011F9">
      <w:pPr>
        <w:pStyle w:val="Default"/>
        <w:rPr>
          <w:i/>
          <w:iCs/>
          <w:color w:val="auto"/>
          <w:sz w:val="22"/>
          <w:szCs w:val="22"/>
        </w:rPr>
      </w:pPr>
    </w:p>
    <w:p w14:paraId="2055EC99" w14:textId="25EA4B0C" w:rsidR="00486E90" w:rsidRPr="00E86955" w:rsidRDefault="001433FD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Duloxet</w:t>
      </w:r>
      <w:r w:rsidR="00052E37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bol skúmaný v klinickom programe, do ktorého bolo zaradených 3.158 pacientov (1.285 pacientskych rokov expozície), ktorí spĺňali kritériá DSM-IV pre veľkú depresívnu poruchu. Účinnosť </w:t>
      </w:r>
      <w:proofErr w:type="spellStart"/>
      <w:r w:rsidR="00052E37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nu</w:t>
      </w:r>
      <w:proofErr w:type="spellEnd"/>
      <w:r w:rsidRPr="00E86955">
        <w:rPr>
          <w:sz w:val="22"/>
          <w:szCs w:val="22"/>
          <w:lang w:val="sk"/>
        </w:rPr>
        <w:t xml:space="preserve"> pri odporúčanej dávke 60 mg jedenkrát denne bola preukázaná v troch z troch </w:t>
      </w:r>
      <w:proofErr w:type="spellStart"/>
      <w:r w:rsidRPr="00E86955">
        <w:rPr>
          <w:sz w:val="22"/>
          <w:szCs w:val="22"/>
          <w:lang w:val="sk"/>
        </w:rPr>
        <w:t>randomizovaných</w:t>
      </w:r>
      <w:proofErr w:type="spellEnd"/>
      <w:r w:rsidRPr="00E86955">
        <w:rPr>
          <w:sz w:val="22"/>
          <w:szCs w:val="22"/>
          <w:lang w:val="sk"/>
        </w:rPr>
        <w:t xml:space="preserve">, dvojito zaslepených, placebom kontrolovaných akútnych (krátkodobých) štúdií s pevne stanovenou dávkou u dospelých ambulantných pacientov s veľkou depresívnou poruchou. Celkovo sa účinnosť </w:t>
      </w:r>
      <w:proofErr w:type="spellStart"/>
      <w:r w:rsidR="00052E37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nu</w:t>
      </w:r>
      <w:proofErr w:type="spellEnd"/>
      <w:r w:rsidRPr="00E86955">
        <w:rPr>
          <w:sz w:val="22"/>
          <w:szCs w:val="22"/>
          <w:lang w:val="sk"/>
        </w:rPr>
        <w:t xml:space="preserve"> preukázala pri denných dávkach v rozmedzí od 60 do 120 mg v celkovo piatich zo siedmich </w:t>
      </w:r>
      <w:proofErr w:type="spellStart"/>
      <w:r w:rsidRPr="00E86955">
        <w:rPr>
          <w:sz w:val="22"/>
          <w:szCs w:val="22"/>
          <w:lang w:val="sk"/>
        </w:rPr>
        <w:t>randomizovaných</w:t>
      </w:r>
      <w:proofErr w:type="spellEnd"/>
      <w:r w:rsidRPr="00E86955">
        <w:rPr>
          <w:sz w:val="22"/>
          <w:szCs w:val="22"/>
          <w:lang w:val="sk"/>
        </w:rPr>
        <w:t xml:space="preserve">, dvojito zaslepených, placebom kontrolovaných akútnych (krátkodobých) štúdií s pevne stanovenou dávkou u dospelých ambulantných pacientov s veľkou depresívnou poruchou. </w:t>
      </w:r>
    </w:p>
    <w:p w14:paraId="1B627543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2B39505A" w14:textId="5CDCBFC0" w:rsidR="00486E90" w:rsidRPr="00E86955" w:rsidRDefault="001433FD" w:rsidP="002011F9">
      <w:pPr>
        <w:pStyle w:val="Default"/>
        <w:rPr>
          <w:color w:val="auto"/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Duloxet</w:t>
      </w:r>
      <w:r w:rsidR="00052E37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preukázal štatistickú prevahu nad placebom pri meraní zlepšenia celkového skóre 17- bodovej </w:t>
      </w:r>
      <w:proofErr w:type="spellStart"/>
      <w:r w:rsidRPr="00E86955">
        <w:rPr>
          <w:color w:val="auto"/>
          <w:sz w:val="22"/>
          <w:szCs w:val="22"/>
          <w:lang w:val="sk"/>
        </w:rPr>
        <w:t>Hamiltonovej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škály na posudzovanie depresie (HAM-D) (vrátane emočných aj somatických symptómov depresie). Miera odpovede na liečbu a </w:t>
      </w:r>
      <w:proofErr w:type="spellStart"/>
      <w:r w:rsidRPr="00E86955">
        <w:rPr>
          <w:color w:val="auto"/>
          <w:sz w:val="22"/>
          <w:szCs w:val="22"/>
          <w:lang w:val="sk"/>
        </w:rPr>
        <w:t>remisie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bola taktiež štatisticky významne vyššia pri </w:t>
      </w:r>
      <w:proofErr w:type="spellStart"/>
      <w:r w:rsidR="00052E37" w:rsidRPr="00E86955">
        <w:rPr>
          <w:color w:val="auto"/>
          <w:sz w:val="22"/>
          <w:szCs w:val="22"/>
          <w:lang w:val="sk"/>
        </w:rPr>
        <w:t>d</w:t>
      </w:r>
      <w:r w:rsidRPr="00E86955">
        <w:rPr>
          <w:color w:val="auto"/>
          <w:sz w:val="22"/>
          <w:szCs w:val="22"/>
          <w:lang w:val="sk"/>
        </w:rPr>
        <w:t>uloxet</w:t>
      </w:r>
      <w:r w:rsidR="00052E37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ne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ako pri placebe. Iba malá časť pacientov zahrnutých do pilotných klinických štúdií mala depresiu (vstupné skóre HAM-D&gt;25).</w:t>
      </w:r>
    </w:p>
    <w:p w14:paraId="50CC4B56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4872F663" w14:textId="3D6D9831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štúdii zameranej na prevenciu </w:t>
      </w:r>
      <w:proofErr w:type="spellStart"/>
      <w:r w:rsidRPr="00E86955">
        <w:rPr>
          <w:sz w:val="22"/>
          <w:szCs w:val="22"/>
          <w:lang w:val="sk"/>
        </w:rPr>
        <w:t>relapsu</w:t>
      </w:r>
      <w:proofErr w:type="spellEnd"/>
      <w:r w:rsidRPr="00E86955">
        <w:rPr>
          <w:sz w:val="22"/>
          <w:szCs w:val="22"/>
          <w:lang w:val="sk"/>
        </w:rPr>
        <w:t xml:space="preserve"> boli pacienti reagujúci na 12-týždňovú otvorenú akútnu liečbu </w:t>
      </w:r>
      <w:proofErr w:type="spellStart"/>
      <w:r w:rsidR="00052E37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nom</w:t>
      </w:r>
      <w:proofErr w:type="spellEnd"/>
      <w:r w:rsidRPr="00E86955">
        <w:rPr>
          <w:sz w:val="22"/>
          <w:szCs w:val="22"/>
          <w:lang w:val="sk"/>
        </w:rPr>
        <w:t xml:space="preserve"> v dávke 60 mg jedenkrát denne </w:t>
      </w:r>
      <w:proofErr w:type="spellStart"/>
      <w:r w:rsidRPr="00E86955">
        <w:rPr>
          <w:sz w:val="22"/>
          <w:szCs w:val="22"/>
          <w:lang w:val="sk"/>
        </w:rPr>
        <w:t>randomizovaní</w:t>
      </w:r>
      <w:proofErr w:type="spellEnd"/>
      <w:r w:rsidRPr="00E86955">
        <w:rPr>
          <w:sz w:val="22"/>
          <w:szCs w:val="22"/>
          <w:lang w:val="sk"/>
        </w:rPr>
        <w:t xml:space="preserve"> k užívaniu </w:t>
      </w:r>
      <w:proofErr w:type="spellStart"/>
      <w:r w:rsidR="00052E37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nu</w:t>
      </w:r>
      <w:proofErr w:type="spellEnd"/>
      <w:r w:rsidRPr="00E86955">
        <w:rPr>
          <w:sz w:val="22"/>
          <w:szCs w:val="22"/>
          <w:lang w:val="sk"/>
        </w:rPr>
        <w:t xml:space="preserve"> 60 mg jedenkrát denne alebo užívaniu placeba po ďalších 6-mesiacov. </w:t>
      </w:r>
      <w:proofErr w:type="spellStart"/>
      <w:r w:rsidRPr="00E86955">
        <w:rPr>
          <w:sz w:val="22"/>
          <w:szCs w:val="22"/>
          <w:lang w:val="sk"/>
        </w:rPr>
        <w:t>Duloxet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v dávke 60 mg jedenkrát </w:t>
      </w:r>
      <w:r w:rsidRPr="00E86955">
        <w:rPr>
          <w:sz w:val="22"/>
          <w:szCs w:val="22"/>
          <w:lang w:val="sk"/>
        </w:rPr>
        <w:lastRenderedPageBreak/>
        <w:t xml:space="preserve">denne preukázal štatisticky signifikantnú prevahu nad placebom (p=0,004) v hodnotení hlavného cieľa štúdie, prevencie </w:t>
      </w:r>
      <w:proofErr w:type="spellStart"/>
      <w:r w:rsidRPr="00E86955">
        <w:rPr>
          <w:sz w:val="22"/>
          <w:szCs w:val="22"/>
          <w:lang w:val="sk"/>
        </w:rPr>
        <w:t>relapsu</w:t>
      </w:r>
      <w:proofErr w:type="spellEnd"/>
      <w:r w:rsidRPr="00E86955">
        <w:rPr>
          <w:sz w:val="22"/>
          <w:szCs w:val="22"/>
          <w:lang w:val="sk"/>
        </w:rPr>
        <w:t xml:space="preserve"> depresie, hodnoteného časom do </w:t>
      </w:r>
      <w:proofErr w:type="spellStart"/>
      <w:r w:rsidRPr="00E86955">
        <w:rPr>
          <w:sz w:val="22"/>
          <w:szCs w:val="22"/>
          <w:lang w:val="sk"/>
        </w:rPr>
        <w:t>relapsu</w:t>
      </w:r>
      <w:proofErr w:type="spellEnd"/>
      <w:r w:rsidRPr="00E86955">
        <w:rPr>
          <w:sz w:val="22"/>
          <w:szCs w:val="22"/>
          <w:lang w:val="sk"/>
        </w:rPr>
        <w:t xml:space="preserve">. </w:t>
      </w:r>
      <w:proofErr w:type="spellStart"/>
      <w:r w:rsidRPr="00E86955">
        <w:rPr>
          <w:sz w:val="22"/>
          <w:szCs w:val="22"/>
          <w:lang w:val="sk"/>
        </w:rPr>
        <w:t>Incidencia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relapsu</w:t>
      </w:r>
      <w:proofErr w:type="spellEnd"/>
      <w:r w:rsidRPr="00E86955">
        <w:rPr>
          <w:sz w:val="22"/>
          <w:szCs w:val="22"/>
          <w:lang w:val="sk"/>
        </w:rPr>
        <w:t xml:space="preserve"> počas nasledovného 6-mesačného dvojito zaslepeného obdobia bola 17% a 29% v prípade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, resp. placeba. </w:t>
      </w:r>
    </w:p>
    <w:p w14:paraId="7D630D20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5BFB8AAC" w14:textId="7DDD208C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Počas 52 týždennej placebom kontrolovanej dvojito zaslepenej štúdie mali pacienti s </w:t>
      </w:r>
      <w:proofErr w:type="spellStart"/>
      <w:r w:rsidRPr="00E86955">
        <w:rPr>
          <w:sz w:val="22"/>
          <w:szCs w:val="22"/>
          <w:lang w:val="sk"/>
        </w:rPr>
        <w:t>rekurentnou</w:t>
      </w:r>
      <w:proofErr w:type="spellEnd"/>
      <w:r w:rsidRPr="00E86955">
        <w:rPr>
          <w:sz w:val="22"/>
          <w:szCs w:val="22"/>
          <w:lang w:val="sk"/>
        </w:rPr>
        <w:t xml:space="preserve"> veľkou depresívnou poruchou liečení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v porovnaní s pacientmi </w:t>
      </w:r>
      <w:r w:rsidR="00052E37" w:rsidRPr="00E86955">
        <w:rPr>
          <w:sz w:val="22"/>
          <w:szCs w:val="22"/>
          <w:lang w:val="sk"/>
        </w:rPr>
        <w:t>užívajúcimi</w:t>
      </w:r>
      <w:r w:rsidRPr="00E86955">
        <w:rPr>
          <w:sz w:val="22"/>
          <w:szCs w:val="22"/>
          <w:lang w:val="sk"/>
        </w:rPr>
        <w:t xml:space="preserve"> placebo podstatne dlhšie (p&lt;0,001) obdobie bez príznakov. Všetci pacienti odpovedali na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počas predošlej otvorenej (</w:t>
      </w:r>
      <w:proofErr w:type="spellStart"/>
      <w:r w:rsidRPr="00E86955">
        <w:rPr>
          <w:sz w:val="22"/>
          <w:szCs w:val="22"/>
          <w:lang w:val="sk"/>
        </w:rPr>
        <w:t>open-label</w:t>
      </w:r>
      <w:proofErr w:type="spellEnd"/>
      <w:r w:rsidRPr="00E86955">
        <w:rPr>
          <w:sz w:val="22"/>
          <w:szCs w:val="22"/>
          <w:lang w:val="sk"/>
        </w:rPr>
        <w:t xml:space="preserve">) liečby s dávkou 60 až 120 mg/deň počas 28 až 34 týždňov. V priebehu 52 týždennej placebom kontrolovanej dvojito zaslepenej liečby sa vrátili príznaky depresie 14,4 % pacientov liečených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a 33,1 % pacientov liečených placebom (p&lt;0,001). </w:t>
      </w:r>
    </w:p>
    <w:p w14:paraId="5C03C0AC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17037EAC" w14:textId="5E23CBF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Účinok </w:t>
      </w:r>
      <w:proofErr w:type="spellStart"/>
      <w:r w:rsidR="00052E37" w:rsidRPr="00E86955">
        <w:rPr>
          <w:color w:val="auto"/>
          <w:sz w:val="22"/>
          <w:szCs w:val="22"/>
          <w:lang w:val="sk"/>
        </w:rPr>
        <w:t>d</w:t>
      </w:r>
      <w:r w:rsidRPr="00E86955">
        <w:rPr>
          <w:color w:val="auto"/>
          <w:sz w:val="22"/>
          <w:szCs w:val="22"/>
          <w:lang w:val="sk"/>
        </w:rPr>
        <w:t>uloxet</w:t>
      </w:r>
      <w:r w:rsidR="00052E37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60 mg raz denne u starších depresívnych pacientov (≥65 rokov) bol konkrétne hodnotený v štúdii, ktorá preukázala štatisticky významný rozdiel v redukcii HAMD17 skóre u pacientov liečených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v porovnaní s placebom. </w:t>
      </w:r>
      <w:proofErr w:type="spellStart"/>
      <w:r w:rsidRPr="00E86955">
        <w:rPr>
          <w:color w:val="auto"/>
          <w:sz w:val="22"/>
          <w:szCs w:val="22"/>
          <w:lang w:val="sk"/>
        </w:rPr>
        <w:t>Tolerabilita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</w:t>
      </w:r>
      <w:proofErr w:type="spellStart"/>
      <w:r w:rsidR="00052E37" w:rsidRPr="00E86955">
        <w:rPr>
          <w:color w:val="auto"/>
          <w:sz w:val="22"/>
          <w:szCs w:val="22"/>
          <w:lang w:val="sk"/>
        </w:rPr>
        <w:t>d</w:t>
      </w:r>
      <w:r w:rsidRPr="00E86955">
        <w:rPr>
          <w:color w:val="auto"/>
          <w:sz w:val="22"/>
          <w:szCs w:val="22"/>
          <w:lang w:val="sk"/>
        </w:rPr>
        <w:t>uloxet</w:t>
      </w:r>
      <w:r w:rsidR="00052E37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60 mg raz denne u starších pacientov bola porovnateľná s tou pozorovanou u mladších pacientov. Avšak, údaje</w:t>
      </w:r>
      <w:r w:rsidR="00052E37" w:rsidRPr="00E86955">
        <w:rPr>
          <w:color w:val="auto"/>
          <w:sz w:val="22"/>
          <w:szCs w:val="22"/>
          <w:lang w:val="sk"/>
        </w:rPr>
        <w:t xml:space="preserve"> </w:t>
      </w:r>
      <w:r w:rsidRPr="00E86955">
        <w:rPr>
          <w:color w:val="auto"/>
          <w:sz w:val="22"/>
          <w:szCs w:val="22"/>
          <w:lang w:val="sk"/>
        </w:rPr>
        <w:t>o starších pacientoch vystavených maximálnej dávke (120 mg denne) sú obmedzené a preto sa pri liečbe tejto populácie odporúča opatrnosť.</w:t>
      </w:r>
    </w:p>
    <w:p w14:paraId="7C1F4D72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57EAFAC2" w14:textId="77777777" w:rsidR="00AC79E2" w:rsidRPr="00E86955" w:rsidRDefault="00486E90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>Generalizovaná úzkostná porucha:</w:t>
      </w:r>
    </w:p>
    <w:p w14:paraId="6CA2D77D" w14:textId="77777777" w:rsidR="00AC79E2" w:rsidRPr="00E86955" w:rsidRDefault="00AC79E2" w:rsidP="002011F9">
      <w:pPr>
        <w:pStyle w:val="Default"/>
        <w:rPr>
          <w:i/>
          <w:iCs/>
          <w:sz w:val="22"/>
          <w:szCs w:val="22"/>
        </w:rPr>
      </w:pPr>
    </w:p>
    <w:p w14:paraId="3E31CFA5" w14:textId="4D61E026" w:rsidR="00486E90" w:rsidRPr="00E86955" w:rsidRDefault="00486E90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preukázal štatisticky významnú prevahu nad placebom v piatich z piatich štúdií vrátane štyroch </w:t>
      </w:r>
      <w:proofErr w:type="spellStart"/>
      <w:r w:rsidRPr="00E86955">
        <w:rPr>
          <w:sz w:val="22"/>
          <w:szCs w:val="22"/>
          <w:lang w:val="sk"/>
        </w:rPr>
        <w:t>randomizovaných</w:t>
      </w:r>
      <w:proofErr w:type="spellEnd"/>
      <w:r w:rsidRPr="00E86955">
        <w:rPr>
          <w:sz w:val="22"/>
          <w:szCs w:val="22"/>
          <w:lang w:val="sk"/>
        </w:rPr>
        <w:t xml:space="preserve">, dvojito zaslepených, placebom kontrolovaných akútnych štúdií a štúdie na prevenciu </w:t>
      </w:r>
      <w:proofErr w:type="spellStart"/>
      <w:r w:rsidRPr="00E86955">
        <w:rPr>
          <w:sz w:val="22"/>
          <w:szCs w:val="22"/>
          <w:lang w:val="sk"/>
        </w:rPr>
        <w:t>relapsu</w:t>
      </w:r>
      <w:proofErr w:type="spellEnd"/>
      <w:r w:rsidRPr="00E86955">
        <w:rPr>
          <w:sz w:val="22"/>
          <w:szCs w:val="22"/>
          <w:lang w:val="sk"/>
        </w:rPr>
        <w:t xml:space="preserve"> u dospelých pacientov s generalizovanou úzkostnou poruchou. </w:t>
      </w:r>
    </w:p>
    <w:p w14:paraId="17F7C2E3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16FC3F0E" w14:textId="5891A48B" w:rsidR="00486E90" w:rsidRPr="00E86955" w:rsidRDefault="001433FD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preukázal štatisticky významnú prevahu nad placebom meranú zlepšením celkového skóre na </w:t>
      </w:r>
      <w:proofErr w:type="spellStart"/>
      <w:r w:rsidRPr="00E86955">
        <w:rPr>
          <w:sz w:val="22"/>
          <w:szCs w:val="22"/>
          <w:lang w:val="sk"/>
        </w:rPr>
        <w:t>Hamiltonovej</w:t>
      </w:r>
      <w:proofErr w:type="spellEnd"/>
      <w:r w:rsidRPr="00E86955">
        <w:rPr>
          <w:sz w:val="22"/>
          <w:szCs w:val="22"/>
          <w:lang w:val="sk"/>
        </w:rPr>
        <w:t xml:space="preserve"> škále na posudzovanie úzkosti (Hamilton </w:t>
      </w:r>
      <w:proofErr w:type="spellStart"/>
      <w:r w:rsidRPr="00E86955">
        <w:rPr>
          <w:sz w:val="22"/>
          <w:szCs w:val="22"/>
          <w:lang w:val="sk"/>
        </w:rPr>
        <w:t>Anxiety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Scale</w:t>
      </w:r>
      <w:proofErr w:type="spellEnd"/>
      <w:r w:rsidRPr="00E86955">
        <w:rPr>
          <w:sz w:val="22"/>
          <w:szCs w:val="22"/>
          <w:lang w:val="sk"/>
        </w:rPr>
        <w:t xml:space="preserve">, HAM-A) a celkového skóre funkčného poškodenia na </w:t>
      </w:r>
      <w:proofErr w:type="spellStart"/>
      <w:r w:rsidRPr="00E86955">
        <w:rPr>
          <w:sz w:val="22"/>
          <w:szCs w:val="22"/>
          <w:lang w:val="sk"/>
        </w:rPr>
        <w:t>Sheehanovej</w:t>
      </w:r>
      <w:proofErr w:type="spellEnd"/>
      <w:r w:rsidRPr="00E86955">
        <w:rPr>
          <w:sz w:val="22"/>
          <w:szCs w:val="22"/>
          <w:lang w:val="sk"/>
        </w:rPr>
        <w:t xml:space="preserve"> škále (</w:t>
      </w:r>
      <w:proofErr w:type="spellStart"/>
      <w:r w:rsidRPr="00E86955">
        <w:rPr>
          <w:sz w:val="22"/>
          <w:szCs w:val="22"/>
          <w:lang w:val="sk"/>
        </w:rPr>
        <w:t>Sheehan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Disability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Scale</w:t>
      </w:r>
      <w:proofErr w:type="spellEnd"/>
      <w:r w:rsidRPr="00E86955">
        <w:rPr>
          <w:sz w:val="22"/>
          <w:szCs w:val="22"/>
          <w:lang w:val="sk"/>
        </w:rPr>
        <w:t xml:space="preserve">, SDS). Miera odpovede na liečbu a </w:t>
      </w:r>
      <w:proofErr w:type="spellStart"/>
      <w:r w:rsidRPr="00E86955">
        <w:rPr>
          <w:sz w:val="22"/>
          <w:szCs w:val="22"/>
          <w:lang w:val="sk"/>
        </w:rPr>
        <w:t>remisie</w:t>
      </w:r>
      <w:proofErr w:type="spellEnd"/>
      <w:r w:rsidRPr="00E86955">
        <w:rPr>
          <w:sz w:val="22"/>
          <w:szCs w:val="22"/>
          <w:lang w:val="sk"/>
        </w:rPr>
        <w:t xml:space="preserve"> bola taktiež vyššia pri </w:t>
      </w:r>
      <w:proofErr w:type="spellStart"/>
      <w:r w:rsidR="00052E37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ne</w:t>
      </w:r>
      <w:proofErr w:type="spellEnd"/>
      <w:r w:rsidRPr="00E86955">
        <w:rPr>
          <w:sz w:val="22"/>
          <w:szCs w:val="22"/>
          <w:lang w:val="sk"/>
        </w:rPr>
        <w:t xml:space="preserve"> ako pri placebe. </w:t>
      </w:r>
      <w:proofErr w:type="spellStart"/>
      <w:r w:rsidRPr="00E86955">
        <w:rPr>
          <w:sz w:val="22"/>
          <w:szCs w:val="22"/>
          <w:lang w:val="sk"/>
        </w:rPr>
        <w:t>Duloxet</w:t>
      </w:r>
      <w:r w:rsidR="00052E37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preukázal porovnateľnú účinnosť s </w:t>
      </w:r>
      <w:proofErr w:type="spellStart"/>
      <w:r w:rsidRPr="00E86955">
        <w:rPr>
          <w:sz w:val="22"/>
          <w:szCs w:val="22"/>
          <w:lang w:val="sk"/>
        </w:rPr>
        <w:t>venlafaxínom</w:t>
      </w:r>
      <w:proofErr w:type="spellEnd"/>
      <w:r w:rsidRPr="00E86955">
        <w:rPr>
          <w:sz w:val="22"/>
          <w:szCs w:val="22"/>
          <w:lang w:val="sk"/>
        </w:rPr>
        <w:t xml:space="preserve">, čo sa týka zlepšení celkového skóre HAM-A. </w:t>
      </w:r>
    </w:p>
    <w:p w14:paraId="660BC597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6CA812F6" w14:textId="644C9B41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V štúdii zameranej na prevenciu </w:t>
      </w:r>
      <w:proofErr w:type="spellStart"/>
      <w:r w:rsidRPr="00E86955">
        <w:rPr>
          <w:color w:val="auto"/>
          <w:sz w:val="22"/>
          <w:szCs w:val="22"/>
          <w:lang w:val="sk"/>
        </w:rPr>
        <w:t>relapsu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boli pacienti s odpoveďou na 6-mesačnú otvorenú akútnu liečbu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</w:t>
      </w:r>
      <w:proofErr w:type="spellStart"/>
      <w:r w:rsidRPr="00E86955">
        <w:rPr>
          <w:color w:val="auto"/>
          <w:sz w:val="22"/>
          <w:szCs w:val="22"/>
          <w:lang w:val="sk"/>
        </w:rPr>
        <w:t>randomizovaní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k užívaniu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alebo placeba počas ďalších 6 mesiacov. </w:t>
      </w:r>
      <w:proofErr w:type="spellStart"/>
      <w:r w:rsidRPr="00E86955">
        <w:rPr>
          <w:color w:val="auto"/>
          <w:sz w:val="22"/>
          <w:szCs w:val="22"/>
          <w:lang w:val="sk"/>
        </w:rPr>
        <w:t>Duloxet</w:t>
      </w:r>
      <w:r w:rsidR="00052E37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v dávke 60 mg až 120 mg jedenkrát denne preukázal štatisticky významnú prevahu nad placebom (p&lt;0,001) v prevencii </w:t>
      </w:r>
      <w:proofErr w:type="spellStart"/>
      <w:r w:rsidRPr="00E86955">
        <w:rPr>
          <w:color w:val="auto"/>
          <w:sz w:val="22"/>
          <w:szCs w:val="22"/>
          <w:lang w:val="sk"/>
        </w:rPr>
        <w:t>relapsu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, ktorá bola hodnotená časom do </w:t>
      </w:r>
      <w:proofErr w:type="spellStart"/>
      <w:r w:rsidRPr="00E86955">
        <w:rPr>
          <w:color w:val="auto"/>
          <w:sz w:val="22"/>
          <w:szCs w:val="22"/>
          <w:lang w:val="sk"/>
        </w:rPr>
        <w:t>relapsu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. </w:t>
      </w:r>
      <w:proofErr w:type="spellStart"/>
      <w:r w:rsidRPr="00E86955">
        <w:rPr>
          <w:color w:val="auto"/>
          <w:sz w:val="22"/>
          <w:szCs w:val="22"/>
          <w:lang w:val="sk"/>
        </w:rPr>
        <w:t>Incidencia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</w:t>
      </w:r>
      <w:proofErr w:type="spellStart"/>
      <w:r w:rsidRPr="00E86955">
        <w:rPr>
          <w:color w:val="auto"/>
          <w:sz w:val="22"/>
          <w:szCs w:val="22"/>
          <w:lang w:val="sk"/>
        </w:rPr>
        <w:t>relapsu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počas nasledujúceho 6-mesačného dvojito zaslepeného obdobia bola 14% pre </w:t>
      </w:r>
      <w:proofErr w:type="spellStart"/>
      <w:r w:rsidRPr="00E86955">
        <w:rPr>
          <w:color w:val="auto"/>
          <w:sz w:val="22"/>
          <w:szCs w:val="22"/>
          <w:lang w:val="sk"/>
        </w:rPr>
        <w:t>duloxetín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a 42% pre placebo.</w:t>
      </w:r>
    </w:p>
    <w:p w14:paraId="06EC50CC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32E4451A" w14:textId="14517A20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Účinnosť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30-120 mg (flexibilné dávkovanie) raz denne u starších pacientov (&gt; 65 rokov) s generalizovan</w:t>
      </w:r>
      <w:r w:rsidR="00052E37" w:rsidRPr="00E86955">
        <w:rPr>
          <w:color w:val="auto"/>
          <w:sz w:val="22"/>
          <w:szCs w:val="22"/>
          <w:lang w:val="sk"/>
        </w:rPr>
        <w:t>ou</w:t>
      </w:r>
      <w:r w:rsidRPr="00E86955">
        <w:rPr>
          <w:color w:val="auto"/>
          <w:sz w:val="22"/>
          <w:szCs w:val="22"/>
          <w:lang w:val="sk"/>
        </w:rPr>
        <w:t xml:space="preserve"> úzkostn</w:t>
      </w:r>
      <w:r w:rsidR="00052E37" w:rsidRPr="00E86955">
        <w:rPr>
          <w:color w:val="auto"/>
          <w:sz w:val="22"/>
          <w:szCs w:val="22"/>
          <w:lang w:val="sk"/>
        </w:rPr>
        <w:t>ou</w:t>
      </w:r>
      <w:r w:rsidRPr="00E86955">
        <w:rPr>
          <w:color w:val="auto"/>
          <w:sz w:val="22"/>
          <w:szCs w:val="22"/>
          <w:lang w:val="sk"/>
        </w:rPr>
        <w:t xml:space="preserve"> poruch</w:t>
      </w:r>
      <w:r w:rsidR="00052E37" w:rsidRPr="00E86955">
        <w:rPr>
          <w:color w:val="auto"/>
          <w:sz w:val="22"/>
          <w:szCs w:val="22"/>
          <w:lang w:val="sk"/>
        </w:rPr>
        <w:t>ou</w:t>
      </w:r>
      <w:r w:rsidRPr="00E86955">
        <w:rPr>
          <w:color w:val="auto"/>
          <w:sz w:val="22"/>
          <w:szCs w:val="22"/>
          <w:lang w:val="sk"/>
        </w:rPr>
        <w:t xml:space="preserve"> sa hodnotila v štúdii, ktorá preukázala štatisticky významné zlepšenie v HAM-A celkového skóre u pacientov liečených </w:t>
      </w:r>
      <w:proofErr w:type="spellStart"/>
      <w:r w:rsidRPr="00E86955">
        <w:rPr>
          <w:color w:val="auto"/>
          <w:sz w:val="22"/>
          <w:szCs w:val="22"/>
          <w:lang w:val="sk"/>
        </w:rPr>
        <w:t>duloxetínom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v porovnaní s placebom liečených pacientov. Účinnosť a bezpečnosť </w:t>
      </w:r>
      <w:proofErr w:type="spellStart"/>
      <w:r w:rsidRPr="00E86955">
        <w:rPr>
          <w:color w:val="auto"/>
          <w:sz w:val="22"/>
          <w:szCs w:val="22"/>
          <w:lang w:val="sk"/>
        </w:rPr>
        <w:t>duloxetínu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30-120 mg raz denne u starších pacientov s generalizovanou úzkostnou poruchou boli podobné ako v štúdiách s mladšími dospelými pacientmi. Avšak údaje o starších pacientoch vystavených maximálnej dávke (120 mg denne) sú obmedzené, a preto sa odporúča </w:t>
      </w:r>
      <w:r w:rsidR="00052E37" w:rsidRPr="00E86955">
        <w:rPr>
          <w:color w:val="auto"/>
          <w:sz w:val="22"/>
          <w:szCs w:val="22"/>
          <w:lang w:val="sk"/>
        </w:rPr>
        <w:t>k</w:t>
      </w:r>
      <w:r w:rsidRPr="00E86955">
        <w:rPr>
          <w:color w:val="auto"/>
          <w:sz w:val="22"/>
          <w:szCs w:val="22"/>
          <w:lang w:val="sk"/>
        </w:rPr>
        <w:t xml:space="preserve"> liečb</w:t>
      </w:r>
      <w:r w:rsidR="00052E37" w:rsidRPr="00E86955">
        <w:rPr>
          <w:color w:val="auto"/>
          <w:sz w:val="22"/>
          <w:szCs w:val="22"/>
          <w:lang w:val="sk"/>
        </w:rPr>
        <w:t>e</w:t>
      </w:r>
      <w:r w:rsidRPr="00E86955">
        <w:rPr>
          <w:color w:val="auto"/>
          <w:sz w:val="22"/>
          <w:szCs w:val="22"/>
          <w:lang w:val="sk"/>
        </w:rPr>
        <w:t xml:space="preserve"> starších pacientov touto dávkou pristupovať s opatrnosťou.</w:t>
      </w:r>
    </w:p>
    <w:p w14:paraId="7A3BC99D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62B27DB3" w14:textId="77777777" w:rsidR="00DD1248" w:rsidRPr="00E86955" w:rsidRDefault="00486E90" w:rsidP="002011F9">
      <w:pPr>
        <w:pStyle w:val="Default"/>
        <w:rPr>
          <w:i/>
          <w:iCs/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Diabetická periférna </w:t>
      </w:r>
      <w:proofErr w:type="spellStart"/>
      <w:r w:rsidRPr="00E86955">
        <w:rPr>
          <w:i/>
          <w:iCs/>
          <w:sz w:val="22"/>
          <w:szCs w:val="22"/>
          <w:lang w:val="sk"/>
        </w:rPr>
        <w:t>neuropatická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 bolesť:</w:t>
      </w:r>
    </w:p>
    <w:p w14:paraId="748D2AFE" w14:textId="77777777" w:rsidR="00AC79E2" w:rsidRPr="00E86955" w:rsidRDefault="00AC79E2" w:rsidP="002011F9">
      <w:pPr>
        <w:pStyle w:val="Default"/>
        <w:rPr>
          <w:i/>
          <w:iCs/>
          <w:sz w:val="22"/>
          <w:szCs w:val="22"/>
        </w:rPr>
      </w:pPr>
    </w:p>
    <w:p w14:paraId="66B752D9" w14:textId="0E2F30EF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Účinnosť </w:t>
      </w:r>
      <w:proofErr w:type="spellStart"/>
      <w:r w:rsidR="00132B2C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132B2C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nu</w:t>
      </w:r>
      <w:proofErr w:type="spellEnd"/>
      <w:r w:rsidRPr="00E86955">
        <w:rPr>
          <w:sz w:val="22"/>
          <w:szCs w:val="22"/>
          <w:lang w:val="sk"/>
        </w:rPr>
        <w:t xml:space="preserve"> v liečbe diabetickej </w:t>
      </w:r>
      <w:proofErr w:type="spellStart"/>
      <w:r w:rsidRPr="00E86955">
        <w:rPr>
          <w:sz w:val="22"/>
          <w:szCs w:val="22"/>
          <w:lang w:val="sk"/>
        </w:rPr>
        <w:t>neuropatickej</w:t>
      </w:r>
      <w:proofErr w:type="spellEnd"/>
      <w:r w:rsidRPr="00E86955">
        <w:rPr>
          <w:sz w:val="22"/>
          <w:szCs w:val="22"/>
          <w:lang w:val="sk"/>
        </w:rPr>
        <w:t xml:space="preserve"> bolesti bola preukázaná v dvoch </w:t>
      </w:r>
      <w:proofErr w:type="spellStart"/>
      <w:r w:rsidRPr="00E86955">
        <w:rPr>
          <w:sz w:val="22"/>
          <w:szCs w:val="22"/>
          <w:lang w:val="sk"/>
        </w:rPr>
        <w:t>randomizovaných</w:t>
      </w:r>
      <w:proofErr w:type="spellEnd"/>
      <w:r w:rsidRPr="00E86955">
        <w:rPr>
          <w:sz w:val="22"/>
          <w:szCs w:val="22"/>
          <w:lang w:val="sk"/>
        </w:rPr>
        <w:t xml:space="preserve">, 12 týždňov trvajúcich, dvojito zaslepených, placebom kontrolovaných štúdiách s pevne stanovenou dávkou u dospelých (22 až 88 rokov), ktorí minimálne 6 mesiacov trpia diabetickou </w:t>
      </w:r>
      <w:proofErr w:type="spellStart"/>
      <w:r w:rsidRPr="00E86955">
        <w:rPr>
          <w:sz w:val="22"/>
          <w:szCs w:val="22"/>
          <w:lang w:val="sk"/>
        </w:rPr>
        <w:t>neuropatickou</w:t>
      </w:r>
      <w:proofErr w:type="spellEnd"/>
      <w:r w:rsidRPr="00E86955">
        <w:rPr>
          <w:sz w:val="22"/>
          <w:szCs w:val="22"/>
          <w:lang w:val="sk"/>
        </w:rPr>
        <w:t xml:space="preserve"> bolesťou. Pacienti, ktorí spĺňali diagnostické kritériá pre veľkú depresívnu poruchu boli z týchto výskumných štúdií vylúčení. Primárnym parametrom bola týždenná stredná hodnota 24-hodinovej priemernej bolesti, ktorú pacienti hodnotili na 11 bodovej </w:t>
      </w:r>
      <w:proofErr w:type="spellStart"/>
      <w:r w:rsidRPr="00E86955">
        <w:rPr>
          <w:sz w:val="22"/>
          <w:szCs w:val="22"/>
          <w:lang w:val="sk"/>
        </w:rPr>
        <w:t>Likertovej</w:t>
      </w:r>
      <w:proofErr w:type="spellEnd"/>
      <w:r w:rsidRPr="00E86955">
        <w:rPr>
          <w:sz w:val="22"/>
          <w:szCs w:val="22"/>
          <w:lang w:val="sk"/>
        </w:rPr>
        <w:t xml:space="preserve"> škále pričom si záznamy zapisovali do denníka. </w:t>
      </w:r>
    </w:p>
    <w:p w14:paraId="21F24359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660E721D" w14:textId="378315D9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oboch štúdiách </w:t>
      </w:r>
      <w:proofErr w:type="spellStart"/>
      <w:r w:rsidR="00132B2C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132B2C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v dávke 60 mg raz denne a 60 mg dvakrát denne viedol, v porovnaní s placebom, k signifikantnému zmierneniu bolesti. U niektorých pacientov bol tento efekt zjavný už v priebehu prvého týždňa liečby. Rozdiel priemerného zlepšenia pri porovnaní oboch uvedených </w:t>
      </w:r>
      <w:r w:rsidRPr="00E86955">
        <w:rPr>
          <w:sz w:val="22"/>
          <w:szCs w:val="22"/>
          <w:lang w:val="sk"/>
        </w:rPr>
        <w:lastRenderedPageBreak/>
        <w:t xml:space="preserve">aktívnych ramien liečby nebol významný. Redukciu bolesti o minimálne 30% uviedlo približne 65% pacientov liečených </w:t>
      </w:r>
      <w:proofErr w:type="spellStart"/>
      <w:r w:rsidRPr="00E86955">
        <w:rPr>
          <w:sz w:val="22"/>
          <w:szCs w:val="22"/>
          <w:lang w:val="sk"/>
        </w:rPr>
        <w:t>duloxetínom</w:t>
      </w:r>
      <w:proofErr w:type="spellEnd"/>
      <w:r w:rsidRPr="00E86955">
        <w:rPr>
          <w:sz w:val="22"/>
          <w:szCs w:val="22"/>
          <w:lang w:val="sk"/>
        </w:rPr>
        <w:t xml:space="preserve"> v porovnaní so 40% pacientov liečených placebom. Počty zodpovedajúce aspoň 50% redukcii bolesti boli 50% a 26%. Hodnoty klinickej odpovede (zmiernenie bolesti o 50% a viac) boli analyzované s ohľadom na to, či pacient v priebehu liečby trpel spavosťou alebo nie. Z pacientov, ktorí netrpeli spavosťou bola klinická odpoveď zaznamenaná u 47% pacientov užívajúcich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a u 27% pacientov užívajúcich placebo. Podiel klinickej odpovede u pacientov, ktorí zaznamenali problémy so spavosťou bol 60% pri </w:t>
      </w:r>
      <w:proofErr w:type="spellStart"/>
      <w:r w:rsidRPr="00E86955">
        <w:rPr>
          <w:sz w:val="22"/>
          <w:szCs w:val="22"/>
          <w:lang w:val="sk"/>
        </w:rPr>
        <w:t>duloxetíne</w:t>
      </w:r>
      <w:proofErr w:type="spellEnd"/>
      <w:r w:rsidRPr="00E86955">
        <w:rPr>
          <w:sz w:val="22"/>
          <w:szCs w:val="22"/>
          <w:lang w:val="sk"/>
        </w:rPr>
        <w:t xml:space="preserve"> a 30% pri placebe. U pacientov, ktorí v priebehu 60 dní nezaznamenali zmiernenie bolesti ani o 30% bolo takéto zlepšenie v priebehu</w:t>
      </w:r>
      <w:r w:rsidR="009E5803" w:rsidRPr="00E86955">
        <w:rPr>
          <w:sz w:val="22"/>
          <w:szCs w:val="22"/>
          <w:lang w:val="sk"/>
        </w:rPr>
        <w:t xml:space="preserve"> ďalšej liečby nepravdepodobné.</w:t>
      </w:r>
    </w:p>
    <w:p w14:paraId="533CB8FF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5B91EF25" w14:textId="7DC953A3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V dlhodobej otvorenej nekontrolovanej štúdii pretrvávalo zmenšenie bolesti u pacientov odpovedajúcich na 8-týždennú liečbu </w:t>
      </w:r>
      <w:proofErr w:type="spellStart"/>
      <w:r w:rsidR="00132B2C" w:rsidRPr="00E86955">
        <w:rPr>
          <w:color w:val="auto"/>
          <w:sz w:val="22"/>
          <w:szCs w:val="22"/>
          <w:lang w:val="sk"/>
        </w:rPr>
        <w:t>d</w:t>
      </w:r>
      <w:r w:rsidRPr="00E86955">
        <w:rPr>
          <w:color w:val="auto"/>
          <w:sz w:val="22"/>
          <w:szCs w:val="22"/>
          <w:lang w:val="sk"/>
        </w:rPr>
        <w:t>uloxet</w:t>
      </w:r>
      <w:r w:rsidR="00132B2C" w:rsidRPr="00E86955">
        <w:rPr>
          <w:color w:val="auto"/>
          <w:sz w:val="22"/>
          <w:szCs w:val="22"/>
          <w:lang w:val="sk"/>
        </w:rPr>
        <w:t>í</w:t>
      </w:r>
      <w:r w:rsidRPr="00E86955">
        <w:rPr>
          <w:color w:val="auto"/>
          <w:sz w:val="22"/>
          <w:szCs w:val="22"/>
          <w:lang w:val="sk"/>
        </w:rPr>
        <w:t>nom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60 mg raz denne počas nasledujúcich 6 mesiacov, podľa merania zmeny skóre položky „24-hodinová priemerná bolesť“ na škále </w:t>
      </w:r>
      <w:proofErr w:type="spellStart"/>
      <w:r w:rsidRPr="00E86955">
        <w:rPr>
          <w:color w:val="auto"/>
          <w:sz w:val="22"/>
          <w:szCs w:val="22"/>
          <w:lang w:val="sk"/>
        </w:rPr>
        <w:t>Brief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</w:t>
      </w:r>
      <w:proofErr w:type="spellStart"/>
      <w:r w:rsidRPr="00E86955">
        <w:rPr>
          <w:color w:val="auto"/>
          <w:sz w:val="22"/>
          <w:szCs w:val="22"/>
          <w:lang w:val="sk"/>
        </w:rPr>
        <w:t>Pain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</w:t>
      </w:r>
      <w:proofErr w:type="spellStart"/>
      <w:r w:rsidRPr="00E86955">
        <w:rPr>
          <w:color w:val="auto"/>
          <w:sz w:val="22"/>
          <w:szCs w:val="22"/>
          <w:lang w:val="sk"/>
        </w:rPr>
        <w:t>Inventory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(BPI).</w:t>
      </w:r>
    </w:p>
    <w:p w14:paraId="0890367C" w14:textId="77777777" w:rsidR="00486E90" w:rsidRPr="00E86955" w:rsidRDefault="00486E90" w:rsidP="002011F9">
      <w:pPr>
        <w:pStyle w:val="Default"/>
        <w:rPr>
          <w:color w:val="auto"/>
          <w:sz w:val="22"/>
          <w:szCs w:val="22"/>
        </w:rPr>
      </w:pPr>
    </w:p>
    <w:p w14:paraId="1F86F6EF" w14:textId="77777777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i/>
          <w:iCs/>
          <w:color w:val="000000"/>
          <w:lang w:val="sk"/>
        </w:rPr>
        <w:t xml:space="preserve">Pediatrická populácia </w:t>
      </w:r>
    </w:p>
    <w:p w14:paraId="17BBF808" w14:textId="1B8E94F8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Neboli vykonané štúdie s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u pac</w:t>
      </w:r>
      <w:r w:rsidR="009E5803" w:rsidRPr="00E86955">
        <w:rPr>
          <w:rFonts w:ascii="Times New Roman" w:hAnsi="Times New Roman"/>
          <w:color w:val="000000"/>
          <w:lang w:val="sk"/>
        </w:rPr>
        <w:t>ientov mladších ako 7 rokov.</w:t>
      </w:r>
    </w:p>
    <w:p w14:paraId="21271024" w14:textId="77777777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2A3089F" w14:textId="44EE1815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6955">
        <w:rPr>
          <w:rFonts w:ascii="Times New Roman" w:hAnsi="Times New Roman"/>
          <w:color w:val="000000"/>
          <w:lang w:val="sk"/>
        </w:rPr>
        <w:t xml:space="preserve">Boli vykonané dve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randomizované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dvojito zaslepené paralelné klinické štúdie s 800 pediatrickými pacientmi s</w:t>
      </w:r>
      <w:r w:rsidR="00132B2C" w:rsidRPr="00E86955">
        <w:rPr>
          <w:rFonts w:ascii="Times New Roman" w:hAnsi="Times New Roman"/>
          <w:color w:val="000000"/>
          <w:lang w:val="sk"/>
        </w:rPr>
        <w:t> </w:t>
      </w:r>
      <w:r w:rsidRPr="00E86955">
        <w:rPr>
          <w:rFonts w:ascii="Times New Roman" w:hAnsi="Times New Roman"/>
          <w:color w:val="000000"/>
          <w:lang w:val="sk"/>
        </w:rPr>
        <w:t>veľkou</w:t>
      </w:r>
      <w:r w:rsidR="00132B2C" w:rsidRPr="00E86955">
        <w:rPr>
          <w:rFonts w:ascii="Times New Roman" w:hAnsi="Times New Roman"/>
          <w:color w:val="000000"/>
          <w:lang w:val="sk"/>
        </w:rPr>
        <w:t xml:space="preserve"> </w:t>
      </w:r>
      <w:r w:rsidRPr="00E86955">
        <w:rPr>
          <w:rFonts w:ascii="Times New Roman" w:hAnsi="Times New Roman"/>
          <w:color w:val="000000"/>
          <w:lang w:val="sk"/>
        </w:rPr>
        <w:t>depresívnou poruchou vo veku 7-17 rokov (pozri časť 4.2). Tieto dve štúdie zahŕňali 10-týždňovú placebom a aktívnou látkou (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fluoxetínom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) kontrolovanú fázu, po ktorej nasledovala 6-mesačná fáza aktívne kontrolovanej pokračovacej liečby. Ani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(30 – 120 mg) ani aktívne kontrolované rameno (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fluoxetín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20 - 40 mg) sa štatisticky neodlíšili od placeba v zmene celkového skóre CDRS-R (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Children´s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Depression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Rating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Scale-Revised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) od začiatku až do konca. Ukončenie skúšania z dôvodu nežiaducich účinkov, najmä kvôli nauzei, bol vyšší u pacientov užívajúcich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ako u tých, čo užívali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fluoxetín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. Počas 10-týždňovej liečebnej časti akútnej liečby bolo hlásené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suicidálne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správanie (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0/333 [0 %],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fluoxetín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2/225 [0.9 %], placebo 1/220 [0,5 %]). Počas celého 36-týždňového trvania štúdie, 6 z 333 pacientov pôvodne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randomizovaných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na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a 3 z 225 pôvodne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randomizovaných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na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fluoxetín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zaznamenali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suicidálne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správanie (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incidencia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upravená podľa expozície 0,039 udalostí na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pacientský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rok u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a 0,026 u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fluoxetínu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). Navyše jeden pacient, ktorý prešiel z placeba na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zakúsil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suicidálne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správanie v</w:t>
      </w:r>
      <w:r w:rsidR="009E5803" w:rsidRPr="00E86955">
        <w:rPr>
          <w:rFonts w:ascii="Times New Roman" w:hAnsi="Times New Roman"/>
          <w:color w:val="000000"/>
          <w:lang w:val="sk"/>
        </w:rPr>
        <w:t xml:space="preserve"> čase, keď užíval </w:t>
      </w:r>
      <w:proofErr w:type="spellStart"/>
      <w:r w:rsidR="009E5803" w:rsidRPr="00E86955">
        <w:rPr>
          <w:rFonts w:ascii="Times New Roman" w:hAnsi="Times New Roman"/>
          <w:color w:val="000000"/>
          <w:lang w:val="sk"/>
        </w:rPr>
        <w:t>duloxetín</w:t>
      </w:r>
      <w:proofErr w:type="spellEnd"/>
      <w:r w:rsidR="009E5803" w:rsidRPr="00E86955">
        <w:rPr>
          <w:rFonts w:ascii="Times New Roman" w:hAnsi="Times New Roman"/>
          <w:color w:val="000000"/>
          <w:lang w:val="sk"/>
        </w:rPr>
        <w:t>.</w:t>
      </w:r>
    </w:p>
    <w:p w14:paraId="738EA9E7" w14:textId="77777777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31903B8" w14:textId="2E1F4AF1" w:rsidR="00486E90" w:rsidRPr="00E86955" w:rsidRDefault="00486E90" w:rsidP="0020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E86955">
        <w:rPr>
          <w:rFonts w:ascii="Times New Roman" w:hAnsi="Times New Roman"/>
          <w:color w:val="000000"/>
          <w:lang w:val="sk"/>
        </w:rPr>
        <w:t>Randomizovaného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, dvojito zaslepeného, placebom kontrolovaného klinického skúšania sa zúčastnilo 272 pacientov vo veku 7-17 rokov s generalizovanou úzkostnou poruchou (GAD). Klinické skúšanie zahŕňalo 10-týždňovú placebom kontrolovanú akútnu fázu, po ktorej nasledovala 18-týždňová predĺžená fáza. V tomto klinickom skúšaní bol použitý flexibilný dávkovací režim, aby bolo umožnené pomalé zvyšovanie dávky z 30 mg jedenkrát denne na vyššie dávky (najviac 120 mg jedenkrát denne). Liečba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ukázala po 10 týždňoch liečby štatisticky výrazne vyššie zlepšenie príznakov GAD, pri meraní pomocou skóre závažnosti PARS pre GAD (priemerný rozdiel medzi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a placebom bol 2,7 bodov [95 % CI 1,3-4,0]) po 10 týždňoch liečby. Pretrvanie účinku nebolo hodnotené. Počas 10-týždňovej fázy akútnej liečby sa neukázal žiaden štatisticky významný rozdiel v prerušení liečby z dôvodu nežiaducich reakcií medzi skupinami s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duloxetínom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a placebom. U dvoch pacientov, ktorí prešli po akútnej liečbe z placeba na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, sa počas užívania </w:t>
      </w:r>
      <w:proofErr w:type="spellStart"/>
      <w:r w:rsidRPr="00E86955">
        <w:rPr>
          <w:rFonts w:ascii="Times New Roman" w:hAnsi="Times New Roman"/>
          <w:color w:val="000000"/>
          <w:lang w:val="sk"/>
        </w:rPr>
        <w:t>duloxetínu</w:t>
      </w:r>
      <w:proofErr w:type="spellEnd"/>
      <w:r w:rsidRPr="00E86955">
        <w:rPr>
          <w:rFonts w:ascii="Times New Roman" w:hAnsi="Times New Roman"/>
          <w:color w:val="000000"/>
          <w:lang w:val="sk"/>
        </w:rPr>
        <w:t xml:space="preserve"> v predĺženej fáze vyskytlo samovražedné správanie. Závery vzhľadom na celkový pomer prínosu a rizika neboli pre túto vekovú skupinu stanoven</w:t>
      </w:r>
      <w:r w:rsidR="009E5803" w:rsidRPr="00E86955">
        <w:rPr>
          <w:rFonts w:ascii="Times New Roman" w:hAnsi="Times New Roman"/>
          <w:color w:val="000000"/>
          <w:lang w:val="sk"/>
        </w:rPr>
        <w:t>é (pozri tiež časti 4.2 a 4.8).</w:t>
      </w:r>
    </w:p>
    <w:p w14:paraId="31B08CFA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5D1D1235" w14:textId="11D3D774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Európska lieková agentúra udelila výnimku z povinnosti predložiť výsledky štúdií pre </w:t>
      </w:r>
      <w:proofErr w:type="spellStart"/>
      <w:r w:rsidR="00132B2C" w:rsidRPr="00E86955">
        <w:rPr>
          <w:sz w:val="22"/>
          <w:szCs w:val="22"/>
          <w:lang w:val="sk"/>
        </w:rPr>
        <w:t>d</w:t>
      </w:r>
      <w:r w:rsidRPr="00E86955">
        <w:rPr>
          <w:sz w:val="22"/>
          <w:szCs w:val="22"/>
          <w:lang w:val="sk"/>
        </w:rPr>
        <w:t>uloxet</w:t>
      </w:r>
      <w:r w:rsidR="00132B2C" w:rsidRPr="00E86955">
        <w:rPr>
          <w:sz w:val="22"/>
          <w:szCs w:val="22"/>
          <w:lang w:val="sk"/>
        </w:rPr>
        <w:t>í</w:t>
      </w:r>
      <w:r w:rsidRPr="00E86955">
        <w:rPr>
          <w:sz w:val="22"/>
          <w:szCs w:val="22"/>
          <w:lang w:val="sk"/>
        </w:rPr>
        <w:t>n</w:t>
      </w:r>
      <w:proofErr w:type="spellEnd"/>
      <w:r w:rsidRPr="00E86955">
        <w:rPr>
          <w:sz w:val="22"/>
          <w:szCs w:val="22"/>
          <w:lang w:val="sk"/>
        </w:rPr>
        <w:t xml:space="preserve"> ohľadom na všetky vekové podskupiny detí a dospievajúcich v liečbe veľkej depresívnej poruchy, diabetickej </w:t>
      </w:r>
      <w:proofErr w:type="spellStart"/>
      <w:r w:rsidRPr="00E86955">
        <w:rPr>
          <w:sz w:val="22"/>
          <w:szCs w:val="22"/>
          <w:lang w:val="sk"/>
        </w:rPr>
        <w:t>neuropatickej</w:t>
      </w:r>
      <w:proofErr w:type="spellEnd"/>
      <w:r w:rsidRPr="00E86955">
        <w:rPr>
          <w:sz w:val="22"/>
          <w:szCs w:val="22"/>
          <w:lang w:val="sk"/>
        </w:rPr>
        <w:t xml:space="preserve"> bolesti a generalizovanej úzkostnej poruchy. Pozri časť 4.2 pre informáciu o pediatrickom použití.</w:t>
      </w:r>
    </w:p>
    <w:p w14:paraId="3F506EB8" w14:textId="77777777" w:rsidR="00486E90" w:rsidRPr="00E86955" w:rsidRDefault="00486E90" w:rsidP="002011F9">
      <w:pPr>
        <w:pStyle w:val="Default"/>
        <w:rPr>
          <w:b/>
          <w:bCs/>
          <w:sz w:val="22"/>
          <w:szCs w:val="22"/>
        </w:rPr>
      </w:pPr>
    </w:p>
    <w:p w14:paraId="0BB45F2A" w14:textId="05871311" w:rsidR="00486E90" w:rsidRPr="00E86955" w:rsidRDefault="00486E90" w:rsidP="002011F9">
      <w:pPr>
        <w:pStyle w:val="Default"/>
        <w:numPr>
          <w:ilvl w:val="1"/>
          <w:numId w:val="2"/>
        </w:numPr>
        <w:ind w:left="567" w:hanging="567"/>
        <w:rPr>
          <w:sz w:val="22"/>
          <w:szCs w:val="22"/>
        </w:rPr>
      </w:pPr>
      <w:proofErr w:type="spellStart"/>
      <w:r w:rsidRPr="00E86955">
        <w:rPr>
          <w:b/>
          <w:bCs/>
          <w:sz w:val="22"/>
          <w:szCs w:val="22"/>
          <w:lang w:val="sk"/>
        </w:rPr>
        <w:t>Farmakokinetické</w:t>
      </w:r>
      <w:proofErr w:type="spellEnd"/>
      <w:r w:rsidRPr="00E86955">
        <w:rPr>
          <w:b/>
          <w:bCs/>
          <w:sz w:val="22"/>
          <w:szCs w:val="22"/>
          <w:lang w:val="sk"/>
        </w:rPr>
        <w:t xml:space="preserve"> vlastnosti </w:t>
      </w:r>
    </w:p>
    <w:p w14:paraId="21B38B54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7FF4CA69" w14:textId="0F0ECADE" w:rsidR="00486E90" w:rsidRPr="00E86955" w:rsidRDefault="00AC79E2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sa podáva ako samostatný </w:t>
      </w:r>
      <w:proofErr w:type="spellStart"/>
      <w:r w:rsidRPr="00E86955">
        <w:rPr>
          <w:sz w:val="22"/>
          <w:szCs w:val="22"/>
          <w:lang w:val="sk"/>
        </w:rPr>
        <w:t>enantiomér</w:t>
      </w:r>
      <w:proofErr w:type="spellEnd"/>
      <w:r w:rsidRPr="00E86955">
        <w:rPr>
          <w:sz w:val="22"/>
          <w:szCs w:val="22"/>
          <w:lang w:val="sk"/>
        </w:rPr>
        <w:t xml:space="preserve">.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sa extenzívne metabolizuje prostredníctvom oxidatívnych enzýmov (CYP1A2 a polymorfný CYP2D6) s následnou konjugáciou. </w:t>
      </w:r>
      <w:proofErr w:type="spellStart"/>
      <w:r w:rsidRPr="00E86955">
        <w:rPr>
          <w:sz w:val="22"/>
          <w:szCs w:val="22"/>
          <w:lang w:val="sk"/>
        </w:rPr>
        <w:t>Farmakokinetika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preukazuje veľkú </w:t>
      </w:r>
      <w:proofErr w:type="spellStart"/>
      <w:r w:rsidRPr="00E86955">
        <w:rPr>
          <w:sz w:val="22"/>
          <w:szCs w:val="22"/>
          <w:lang w:val="sk"/>
        </w:rPr>
        <w:t>interindividuálnu</w:t>
      </w:r>
      <w:proofErr w:type="spellEnd"/>
      <w:r w:rsidRPr="00E86955">
        <w:rPr>
          <w:sz w:val="22"/>
          <w:szCs w:val="22"/>
          <w:lang w:val="sk"/>
        </w:rPr>
        <w:t xml:space="preserve"> variabilitu (všeobecne 50–60%), čiastočne v súvislosti s pohlavím, vekom, fajčiarskymi návykmi </w:t>
      </w:r>
      <w:r w:rsidR="009E5803" w:rsidRPr="00E86955">
        <w:rPr>
          <w:sz w:val="22"/>
          <w:szCs w:val="22"/>
          <w:lang w:val="sk"/>
        </w:rPr>
        <w:t xml:space="preserve">a statusom </w:t>
      </w:r>
      <w:proofErr w:type="spellStart"/>
      <w:r w:rsidR="009E5803" w:rsidRPr="00E86955">
        <w:rPr>
          <w:sz w:val="22"/>
          <w:szCs w:val="22"/>
          <w:lang w:val="sk"/>
        </w:rPr>
        <w:t>metabolizéra</w:t>
      </w:r>
      <w:proofErr w:type="spellEnd"/>
      <w:r w:rsidR="009E5803" w:rsidRPr="00E86955">
        <w:rPr>
          <w:sz w:val="22"/>
          <w:szCs w:val="22"/>
          <w:lang w:val="sk"/>
        </w:rPr>
        <w:t xml:space="preserve"> CYP2D6.</w:t>
      </w:r>
    </w:p>
    <w:p w14:paraId="6D06277C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2025BE4E" w14:textId="41B7EAC5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lastRenderedPageBreak/>
        <w:t xml:space="preserve">Absorpcia: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sa po perorálnom podaní dobre vstrebáva, pričom k </w:t>
      </w:r>
      <w:proofErr w:type="spellStart"/>
      <w:r w:rsidRPr="00E86955">
        <w:rPr>
          <w:sz w:val="22"/>
          <w:szCs w:val="22"/>
          <w:lang w:val="sk"/>
        </w:rPr>
        <w:t>C</w:t>
      </w:r>
      <w:r w:rsidRPr="00E86955">
        <w:rPr>
          <w:sz w:val="22"/>
          <w:szCs w:val="22"/>
          <w:vertAlign w:val="subscript"/>
          <w:lang w:val="sk"/>
        </w:rPr>
        <w:t>max</w:t>
      </w:r>
      <w:proofErr w:type="spellEnd"/>
      <w:r w:rsidRPr="00E86955">
        <w:rPr>
          <w:sz w:val="22"/>
          <w:szCs w:val="22"/>
          <w:lang w:val="sk"/>
        </w:rPr>
        <w:t xml:space="preserve"> dochádza 6 hodín po podaní dávky. Absolútna perorálna biologická dostupnosť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je 32% až 80% (priemer 50%). Potrava predlžuje čas potrebný na dosiahnutie najvyššej koncentrácie zo 6 na 10 hodín a okrajovo zmenšuje rozsah absorpcie (približne 11%). Tieto zmeny nem</w:t>
      </w:r>
      <w:r w:rsidR="009E5803" w:rsidRPr="00E86955">
        <w:rPr>
          <w:sz w:val="22"/>
          <w:szCs w:val="22"/>
          <w:lang w:val="sk"/>
        </w:rPr>
        <w:t>ajú žiadnu klinickú významnosť.</w:t>
      </w:r>
    </w:p>
    <w:p w14:paraId="63026C5C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6F03DDD6" w14:textId="3C13F553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Distribúcia: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sa priemerne v 96% viaže na proteíny v ľudskej plazme.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sa viaže tak na albumín ako aj na alfa-l-kyslý </w:t>
      </w:r>
      <w:proofErr w:type="spellStart"/>
      <w:r w:rsidRPr="00E86955">
        <w:rPr>
          <w:sz w:val="22"/>
          <w:szCs w:val="22"/>
          <w:lang w:val="sk"/>
        </w:rPr>
        <w:t>glykoproteín</w:t>
      </w:r>
      <w:proofErr w:type="spellEnd"/>
      <w:r w:rsidRPr="00E86955">
        <w:rPr>
          <w:sz w:val="22"/>
          <w:szCs w:val="22"/>
          <w:lang w:val="sk"/>
        </w:rPr>
        <w:t>. Väzba na proteíny nie je ovplyvnená po</w:t>
      </w:r>
      <w:r w:rsidR="00A8357C" w:rsidRPr="00E86955">
        <w:rPr>
          <w:sz w:val="22"/>
          <w:szCs w:val="22"/>
          <w:lang w:val="sk"/>
        </w:rPr>
        <w:t>ruchou</w:t>
      </w:r>
      <w:r w:rsidRPr="00E86955">
        <w:rPr>
          <w:sz w:val="22"/>
          <w:szCs w:val="22"/>
          <w:lang w:val="sk"/>
        </w:rPr>
        <w:t xml:space="preserve"> funkcie obličiek či</w:t>
      </w:r>
      <w:r w:rsidR="009E5803" w:rsidRPr="00E86955">
        <w:rPr>
          <w:sz w:val="22"/>
          <w:szCs w:val="22"/>
          <w:lang w:val="sk"/>
        </w:rPr>
        <w:t xml:space="preserve"> pečene.</w:t>
      </w:r>
    </w:p>
    <w:p w14:paraId="02624179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0E7673A3" w14:textId="636F0A5A" w:rsidR="00486E90" w:rsidRPr="00E86955" w:rsidRDefault="00486E90" w:rsidP="002011F9">
      <w:pPr>
        <w:pStyle w:val="Default"/>
        <w:rPr>
          <w:sz w:val="22"/>
          <w:szCs w:val="22"/>
        </w:rPr>
      </w:pPr>
      <w:proofErr w:type="spellStart"/>
      <w:r w:rsidRPr="00E86955">
        <w:rPr>
          <w:i/>
          <w:iCs/>
          <w:sz w:val="22"/>
          <w:szCs w:val="22"/>
          <w:lang w:val="sk"/>
        </w:rPr>
        <w:t>Biotransformácia</w:t>
      </w:r>
      <w:proofErr w:type="spellEnd"/>
      <w:r w:rsidRPr="00E86955">
        <w:rPr>
          <w:i/>
          <w:iCs/>
          <w:sz w:val="22"/>
          <w:szCs w:val="22"/>
          <w:lang w:val="sk"/>
        </w:rPr>
        <w:t xml:space="preserve">: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sa extenzívne metabolizuje a jeho </w:t>
      </w:r>
      <w:proofErr w:type="spellStart"/>
      <w:r w:rsidRPr="00E86955">
        <w:rPr>
          <w:sz w:val="22"/>
          <w:szCs w:val="22"/>
          <w:lang w:val="sk"/>
        </w:rPr>
        <w:t>metabolity</w:t>
      </w:r>
      <w:proofErr w:type="spellEnd"/>
      <w:r w:rsidRPr="00E86955">
        <w:rPr>
          <w:sz w:val="22"/>
          <w:szCs w:val="22"/>
          <w:lang w:val="sk"/>
        </w:rPr>
        <w:t xml:space="preserve"> sa vylučujú predovšetkým močom. Obidva </w:t>
      </w:r>
      <w:proofErr w:type="spellStart"/>
      <w:r w:rsidRPr="00E86955">
        <w:rPr>
          <w:sz w:val="22"/>
          <w:szCs w:val="22"/>
          <w:lang w:val="sk"/>
        </w:rPr>
        <w:t>cytochrómy</w:t>
      </w:r>
      <w:proofErr w:type="spellEnd"/>
      <w:r w:rsidRPr="00E86955">
        <w:rPr>
          <w:sz w:val="22"/>
          <w:szCs w:val="22"/>
          <w:lang w:val="sk"/>
        </w:rPr>
        <w:t xml:space="preserve"> P450–2D6 ako aj 1A2 </w:t>
      </w:r>
      <w:proofErr w:type="spellStart"/>
      <w:r w:rsidRPr="00E86955">
        <w:rPr>
          <w:sz w:val="22"/>
          <w:szCs w:val="22"/>
          <w:lang w:val="sk"/>
        </w:rPr>
        <w:t>katalyzujú</w:t>
      </w:r>
      <w:proofErr w:type="spellEnd"/>
      <w:r w:rsidRPr="00E86955">
        <w:rPr>
          <w:sz w:val="22"/>
          <w:szCs w:val="22"/>
          <w:lang w:val="sk"/>
        </w:rPr>
        <w:t xml:space="preserve"> tvorbu dvoch hlavných </w:t>
      </w:r>
      <w:proofErr w:type="spellStart"/>
      <w:r w:rsidRPr="00E86955">
        <w:rPr>
          <w:sz w:val="22"/>
          <w:szCs w:val="22"/>
          <w:lang w:val="sk"/>
        </w:rPr>
        <w:t>metabolitov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glukuronidového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konjugátu</w:t>
      </w:r>
      <w:proofErr w:type="spellEnd"/>
      <w:r w:rsidRPr="00E86955">
        <w:rPr>
          <w:sz w:val="22"/>
          <w:szCs w:val="22"/>
          <w:lang w:val="sk"/>
        </w:rPr>
        <w:t xml:space="preserve"> 4-hydroxyduloxetínu a sulfátového </w:t>
      </w:r>
      <w:proofErr w:type="spellStart"/>
      <w:r w:rsidRPr="00E86955">
        <w:rPr>
          <w:sz w:val="22"/>
          <w:szCs w:val="22"/>
          <w:lang w:val="sk"/>
        </w:rPr>
        <w:t>konjugátu</w:t>
      </w:r>
      <w:proofErr w:type="spellEnd"/>
      <w:r w:rsidRPr="00E86955">
        <w:rPr>
          <w:sz w:val="22"/>
          <w:szCs w:val="22"/>
          <w:lang w:val="sk"/>
        </w:rPr>
        <w:t xml:space="preserve"> 5-hydroxy 6- </w:t>
      </w:r>
      <w:proofErr w:type="spellStart"/>
      <w:r w:rsidRPr="00E86955">
        <w:rPr>
          <w:sz w:val="22"/>
          <w:szCs w:val="22"/>
          <w:lang w:val="sk"/>
        </w:rPr>
        <w:t>metoxyduloxetínu</w:t>
      </w:r>
      <w:proofErr w:type="spellEnd"/>
      <w:r w:rsidRPr="00E86955">
        <w:rPr>
          <w:sz w:val="22"/>
          <w:szCs w:val="22"/>
          <w:lang w:val="sk"/>
        </w:rPr>
        <w:t xml:space="preserve">. Vychádzajúc zo štúdií </w:t>
      </w:r>
      <w:r w:rsidRPr="00E86955">
        <w:rPr>
          <w:i/>
          <w:iCs/>
          <w:sz w:val="22"/>
          <w:szCs w:val="22"/>
          <w:lang w:val="sk"/>
        </w:rPr>
        <w:t>in vitro</w:t>
      </w:r>
      <w:r w:rsidRPr="00E86955">
        <w:rPr>
          <w:sz w:val="22"/>
          <w:szCs w:val="22"/>
          <w:lang w:val="sk"/>
        </w:rPr>
        <w:t xml:space="preserve">, cirkulujúce </w:t>
      </w:r>
      <w:proofErr w:type="spellStart"/>
      <w:r w:rsidRPr="00E86955">
        <w:rPr>
          <w:sz w:val="22"/>
          <w:szCs w:val="22"/>
          <w:lang w:val="sk"/>
        </w:rPr>
        <w:t>metabolity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sú považované za farmakologicky neaktívne. </w:t>
      </w:r>
      <w:proofErr w:type="spellStart"/>
      <w:r w:rsidRPr="00E86955">
        <w:rPr>
          <w:sz w:val="22"/>
          <w:szCs w:val="22"/>
          <w:lang w:val="sk"/>
        </w:rPr>
        <w:t>Farmakokinetika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u pacientov, ktorí sú slabými </w:t>
      </w:r>
      <w:proofErr w:type="spellStart"/>
      <w:r w:rsidRPr="00E86955">
        <w:rPr>
          <w:sz w:val="22"/>
          <w:szCs w:val="22"/>
          <w:lang w:val="sk"/>
        </w:rPr>
        <w:t>metabolizérmi</w:t>
      </w:r>
      <w:proofErr w:type="spellEnd"/>
      <w:r w:rsidRPr="00E86955">
        <w:rPr>
          <w:sz w:val="22"/>
          <w:szCs w:val="22"/>
          <w:lang w:val="sk"/>
        </w:rPr>
        <w:t xml:space="preserve"> CYP2D6, nebola špecificky sledovaná. Obmedzené údaje naznačujú, že plazmatické hladiny </w:t>
      </w:r>
      <w:proofErr w:type="spellStart"/>
      <w:r w:rsidRPr="00E86955">
        <w:rPr>
          <w:sz w:val="22"/>
          <w:szCs w:val="22"/>
          <w:lang w:val="sk"/>
        </w:rPr>
        <w:t>duloxetín</w:t>
      </w:r>
      <w:r w:rsidR="009E5803" w:rsidRPr="00E86955">
        <w:rPr>
          <w:sz w:val="22"/>
          <w:szCs w:val="22"/>
          <w:lang w:val="sk"/>
        </w:rPr>
        <w:t>u</w:t>
      </w:r>
      <w:proofErr w:type="spellEnd"/>
      <w:r w:rsidR="009E5803" w:rsidRPr="00E86955">
        <w:rPr>
          <w:sz w:val="22"/>
          <w:szCs w:val="22"/>
          <w:lang w:val="sk"/>
        </w:rPr>
        <w:t xml:space="preserve"> sú u týchto pacientov vyššie.</w:t>
      </w:r>
    </w:p>
    <w:p w14:paraId="713EDBED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13880E48" w14:textId="64291656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Eliminácia: </w:t>
      </w:r>
      <w:r w:rsidRPr="00E86955">
        <w:rPr>
          <w:sz w:val="22"/>
          <w:szCs w:val="22"/>
          <w:lang w:val="sk"/>
        </w:rPr>
        <w:t xml:space="preserve">Polčas eliminácie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sa pohybuje v rozmedzí od 8 do 17 hodín (priemerne 12 hodín). Plazmatický </w:t>
      </w:r>
      <w:proofErr w:type="spellStart"/>
      <w:r w:rsidRPr="00E86955">
        <w:rPr>
          <w:sz w:val="22"/>
          <w:szCs w:val="22"/>
          <w:lang w:val="sk"/>
        </w:rPr>
        <w:t>klírens</w:t>
      </w:r>
      <w:proofErr w:type="spellEnd"/>
      <w:r w:rsidRPr="00E86955">
        <w:rPr>
          <w:sz w:val="22"/>
          <w:szCs w:val="22"/>
          <w:lang w:val="sk"/>
        </w:rPr>
        <w:t xml:space="preserve"> po intravenóznej aplikácii dávky sa pohybuje v rozpätí 22 l/h až 46 l/h (priemerne 36 l/h). Zdanlivý plazmatický </w:t>
      </w:r>
      <w:proofErr w:type="spellStart"/>
      <w:r w:rsidRPr="00E86955">
        <w:rPr>
          <w:sz w:val="22"/>
          <w:szCs w:val="22"/>
          <w:lang w:val="sk"/>
        </w:rPr>
        <w:t>klírens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po perorálnom podaní sa pohybuje od 3</w:t>
      </w:r>
      <w:r w:rsidR="009E5803" w:rsidRPr="00E86955">
        <w:rPr>
          <w:sz w:val="22"/>
          <w:szCs w:val="22"/>
          <w:lang w:val="sk"/>
        </w:rPr>
        <w:t>3 to 261 l/h (priemer 101 l/h).</w:t>
      </w:r>
    </w:p>
    <w:p w14:paraId="6598AB4F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2CF0D6A8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Osobitné skupiny </w:t>
      </w:r>
    </w:p>
    <w:p w14:paraId="2E67C685" w14:textId="4E418656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Pohlavie: </w:t>
      </w:r>
      <w:r w:rsidRPr="00E86955">
        <w:rPr>
          <w:sz w:val="22"/>
          <w:szCs w:val="22"/>
          <w:lang w:val="sk"/>
        </w:rPr>
        <w:t xml:space="preserve">medzi mužmi a ženami boli zistené </w:t>
      </w:r>
      <w:proofErr w:type="spellStart"/>
      <w:r w:rsidRPr="00E86955">
        <w:rPr>
          <w:sz w:val="22"/>
          <w:szCs w:val="22"/>
          <w:lang w:val="sk"/>
        </w:rPr>
        <w:t>farmakokinetické</w:t>
      </w:r>
      <w:proofErr w:type="spellEnd"/>
      <w:r w:rsidRPr="00E86955">
        <w:rPr>
          <w:sz w:val="22"/>
          <w:szCs w:val="22"/>
          <w:lang w:val="sk"/>
        </w:rPr>
        <w:t xml:space="preserve"> rozdiely (zdanlivý plazmatický </w:t>
      </w:r>
      <w:proofErr w:type="spellStart"/>
      <w:r w:rsidRPr="00E86955">
        <w:rPr>
          <w:sz w:val="22"/>
          <w:szCs w:val="22"/>
          <w:lang w:val="sk"/>
        </w:rPr>
        <w:t>klírens</w:t>
      </w:r>
      <w:proofErr w:type="spellEnd"/>
      <w:r w:rsidRPr="00E86955">
        <w:rPr>
          <w:sz w:val="22"/>
          <w:szCs w:val="22"/>
          <w:lang w:val="sk"/>
        </w:rPr>
        <w:t xml:space="preserve"> je u žien asi o 50% nižší). Vychádzajúc z prekrývania sa rozmedzia </w:t>
      </w:r>
      <w:proofErr w:type="spellStart"/>
      <w:r w:rsidRPr="00E86955">
        <w:rPr>
          <w:sz w:val="22"/>
          <w:szCs w:val="22"/>
          <w:lang w:val="sk"/>
        </w:rPr>
        <w:t>klírensu</w:t>
      </w:r>
      <w:proofErr w:type="spellEnd"/>
      <w:r w:rsidRPr="00E86955">
        <w:rPr>
          <w:sz w:val="22"/>
          <w:szCs w:val="22"/>
          <w:lang w:val="sk"/>
        </w:rPr>
        <w:t xml:space="preserve">, </w:t>
      </w:r>
      <w:proofErr w:type="spellStart"/>
      <w:r w:rsidRPr="00E86955">
        <w:rPr>
          <w:sz w:val="22"/>
          <w:szCs w:val="22"/>
          <w:lang w:val="sk"/>
        </w:rPr>
        <w:t>farmakokinetické</w:t>
      </w:r>
      <w:proofErr w:type="spellEnd"/>
      <w:r w:rsidRPr="00E86955">
        <w:rPr>
          <w:sz w:val="22"/>
          <w:szCs w:val="22"/>
          <w:lang w:val="sk"/>
        </w:rPr>
        <w:t xml:space="preserve"> rozdiely na základe pohlavia </w:t>
      </w:r>
      <w:proofErr w:type="spellStart"/>
      <w:r w:rsidR="00A8357C" w:rsidRPr="00E86955">
        <w:rPr>
          <w:sz w:val="22"/>
          <w:szCs w:val="22"/>
          <w:lang w:val="sk"/>
        </w:rPr>
        <w:t>neodvôvodňujú</w:t>
      </w:r>
      <w:proofErr w:type="spellEnd"/>
      <w:r w:rsidRPr="00E86955">
        <w:rPr>
          <w:sz w:val="22"/>
          <w:szCs w:val="22"/>
          <w:lang w:val="sk"/>
        </w:rPr>
        <w:t xml:space="preserve"> k odporúčaniu užív</w:t>
      </w:r>
      <w:r w:rsidR="009E5803" w:rsidRPr="00E86955">
        <w:rPr>
          <w:sz w:val="22"/>
          <w:szCs w:val="22"/>
          <w:lang w:val="sk"/>
        </w:rPr>
        <w:t xml:space="preserve">ania nižších dávok u </w:t>
      </w:r>
      <w:proofErr w:type="spellStart"/>
      <w:r w:rsidR="009E5803" w:rsidRPr="00E86955">
        <w:rPr>
          <w:sz w:val="22"/>
          <w:szCs w:val="22"/>
          <w:lang w:val="sk"/>
        </w:rPr>
        <w:t>pacientok</w:t>
      </w:r>
      <w:proofErr w:type="spellEnd"/>
      <w:r w:rsidR="009E5803" w:rsidRPr="00E86955">
        <w:rPr>
          <w:sz w:val="22"/>
          <w:szCs w:val="22"/>
          <w:lang w:val="sk"/>
        </w:rPr>
        <w:t>.</w:t>
      </w:r>
    </w:p>
    <w:p w14:paraId="5E37ADD6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1914DC90" w14:textId="7777777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Vek: </w:t>
      </w:r>
      <w:r w:rsidRPr="00E86955">
        <w:rPr>
          <w:sz w:val="22"/>
          <w:szCs w:val="22"/>
          <w:lang w:val="sk"/>
        </w:rPr>
        <w:t xml:space="preserve">Vek: </w:t>
      </w:r>
      <w:proofErr w:type="spellStart"/>
      <w:r w:rsidRPr="00E86955">
        <w:rPr>
          <w:sz w:val="22"/>
          <w:szCs w:val="22"/>
          <w:lang w:val="sk"/>
        </w:rPr>
        <w:t>farmakokinetické</w:t>
      </w:r>
      <w:proofErr w:type="spellEnd"/>
      <w:r w:rsidRPr="00E86955">
        <w:rPr>
          <w:sz w:val="22"/>
          <w:szCs w:val="22"/>
          <w:lang w:val="sk"/>
        </w:rPr>
        <w:t xml:space="preserve"> rozdiely boli zistené medzi mladšími a staršími ženami (≥65 rokov) (u starších </w:t>
      </w:r>
      <w:proofErr w:type="spellStart"/>
      <w:r w:rsidRPr="00E86955">
        <w:rPr>
          <w:sz w:val="22"/>
          <w:szCs w:val="22"/>
          <w:lang w:val="sk"/>
        </w:rPr>
        <w:t>pacientok</w:t>
      </w:r>
      <w:proofErr w:type="spellEnd"/>
      <w:r w:rsidRPr="00E86955">
        <w:rPr>
          <w:sz w:val="22"/>
          <w:szCs w:val="22"/>
          <w:lang w:val="sk"/>
        </w:rPr>
        <w:t xml:space="preserve"> sa zvyšuje AUC asi o 25% a polčas vylučovania je asi o 25% dlhší), </w:t>
      </w:r>
      <w:proofErr w:type="spellStart"/>
      <w:r w:rsidRPr="00E86955">
        <w:rPr>
          <w:sz w:val="22"/>
          <w:szCs w:val="22"/>
          <w:lang w:val="sk"/>
        </w:rPr>
        <w:t>magnitúda</w:t>
      </w:r>
      <w:proofErr w:type="spellEnd"/>
      <w:r w:rsidRPr="00E86955">
        <w:rPr>
          <w:sz w:val="22"/>
          <w:szCs w:val="22"/>
          <w:lang w:val="sk"/>
        </w:rPr>
        <w:t xml:space="preserve"> týchto zmien však nie je dostatočná na to, aby oprávňovala úpravu dávkovania. Všeobecne sa odporúča opatrnosť pri liečbe starších (pozri časti 4.2 a 4.4).</w:t>
      </w:r>
    </w:p>
    <w:p w14:paraId="505E306A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487443E0" w14:textId="784F08D3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Porucha funkcie obličiek: </w:t>
      </w:r>
      <w:r w:rsidRPr="00E86955">
        <w:rPr>
          <w:sz w:val="22"/>
          <w:szCs w:val="22"/>
          <w:lang w:val="sk"/>
        </w:rPr>
        <w:t xml:space="preserve">Pacienti s obličkovým ochorením v konečnej fáze (End </w:t>
      </w:r>
      <w:proofErr w:type="spellStart"/>
      <w:r w:rsidRPr="00E86955">
        <w:rPr>
          <w:sz w:val="22"/>
          <w:szCs w:val="22"/>
          <w:lang w:val="sk"/>
        </w:rPr>
        <w:t>Stage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Renal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Disease</w:t>
      </w:r>
      <w:proofErr w:type="spellEnd"/>
      <w:r w:rsidRPr="00E86955">
        <w:rPr>
          <w:sz w:val="22"/>
          <w:szCs w:val="22"/>
          <w:lang w:val="sk"/>
        </w:rPr>
        <w:t xml:space="preserve"> - ESRD) podrobujúci sa dialýze mali oproti zdravým jedincom dvakrát vyššie hodnoty </w:t>
      </w:r>
      <w:proofErr w:type="spellStart"/>
      <w:r w:rsidRPr="00E86955">
        <w:rPr>
          <w:sz w:val="22"/>
          <w:szCs w:val="22"/>
          <w:lang w:val="sk"/>
        </w:rPr>
        <w:t>C</w:t>
      </w:r>
      <w:r w:rsidRPr="00E86955">
        <w:rPr>
          <w:sz w:val="22"/>
          <w:szCs w:val="22"/>
          <w:vertAlign w:val="subscript"/>
          <w:lang w:val="sk"/>
        </w:rPr>
        <w:t>max</w:t>
      </w:r>
      <w:proofErr w:type="spellEnd"/>
      <w:r w:rsidRPr="00E86955">
        <w:rPr>
          <w:sz w:val="22"/>
          <w:szCs w:val="22"/>
          <w:lang w:val="sk"/>
        </w:rPr>
        <w:t xml:space="preserve"> a AUC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. </w:t>
      </w:r>
      <w:proofErr w:type="spellStart"/>
      <w:r w:rsidRPr="00E86955">
        <w:rPr>
          <w:sz w:val="22"/>
          <w:szCs w:val="22"/>
          <w:lang w:val="sk"/>
        </w:rPr>
        <w:t>Farmakokinetické</w:t>
      </w:r>
      <w:proofErr w:type="spellEnd"/>
      <w:r w:rsidRPr="00E86955">
        <w:rPr>
          <w:sz w:val="22"/>
          <w:szCs w:val="22"/>
          <w:lang w:val="sk"/>
        </w:rPr>
        <w:t xml:space="preserve"> údaje o </w:t>
      </w:r>
      <w:proofErr w:type="spellStart"/>
      <w:r w:rsidRPr="00E86955">
        <w:rPr>
          <w:sz w:val="22"/>
          <w:szCs w:val="22"/>
          <w:lang w:val="sk"/>
        </w:rPr>
        <w:t>duloxetíne</w:t>
      </w:r>
      <w:proofErr w:type="spellEnd"/>
      <w:r w:rsidRPr="00E86955">
        <w:rPr>
          <w:sz w:val="22"/>
          <w:szCs w:val="22"/>
          <w:lang w:val="sk"/>
        </w:rPr>
        <w:t xml:space="preserve"> u pacientov s miern</w:t>
      </w:r>
      <w:r w:rsidR="00A8357C" w:rsidRPr="00E86955">
        <w:rPr>
          <w:sz w:val="22"/>
          <w:szCs w:val="22"/>
          <w:lang w:val="sk"/>
        </w:rPr>
        <w:t>ou</w:t>
      </w:r>
      <w:r w:rsidRPr="00E86955">
        <w:rPr>
          <w:sz w:val="22"/>
          <w:szCs w:val="22"/>
          <w:lang w:val="sk"/>
        </w:rPr>
        <w:t xml:space="preserve"> alebo stredne závažn</w:t>
      </w:r>
      <w:r w:rsidR="00A8357C" w:rsidRPr="00E86955">
        <w:rPr>
          <w:sz w:val="22"/>
          <w:szCs w:val="22"/>
          <w:lang w:val="sk"/>
        </w:rPr>
        <w:t>ou</w:t>
      </w:r>
      <w:r w:rsidRPr="00E86955">
        <w:rPr>
          <w:sz w:val="22"/>
          <w:szCs w:val="22"/>
          <w:lang w:val="sk"/>
        </w:rPr>
        <w:t xml:space="preserve"> po</w:t>
      </w:r>
      <w:r w:rsidR="00A8357C" w:rsidRPr="00E86955">
        <w:rPr>
          <w:sz w:val="22"/>
          <w:szCs w:val="22"/>
          <w:lang w:val="sk"/>
        </w:rPr>
        <w:t>ruchou</w:t>
      </w:r>
      <w:r w:rsidRPr="00E86955">
        <w:rPr>
          <w:sz w:val="22"/>
          <w:szCs w:val="22"/>
          <w:lang w:val="sk"/>
        </w:rPr>
        <w:t xml:space="preserve"> funkcie obličiek sú obmedzené. </w:t>
      </w:r>
    </w:p>
    <w:p w14:paraId="2F5CBB66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138DF56D" w14:textId="25E745D5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>Porucha funkcie pečene</w:t>
      </w:r>
      <w:r w:rsidRPr="00E86955">
        <w:rPr>
          <w:sz w:val="22"/>
          <w:szCs w:val="22"/>
          <w:lang w:val="sk"/>
        </w:rPr>
        <w:t>:</w:t>
      </w:r>
      <w:r w:rsidRPr="00E86955">
        <w:rPr>
          <w:i/>
          <w:iCs/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>stredne závažné poškodenie pečene (</w:t>
      </w:r>
      <w:proofErr w:type="spellStart"/>
      <w:r w:rsidRPr="00E86955">
        <w:rPr>
          <w:sz w:val="22"/>
          <w:szCs w:val="22"/>
          <w:lang w:val="sk"/>
        </w:rPr>
        <w:t>Child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Pugh</w:t>
      </w:r>
      <w:proofErr w:type="spellEnd"/>
      <w:r w:rsidRPr="00E86955">
        <w:rPr>
          <w:sz w:val="22"/>
          <w:szCs w:val="22"/>
          <w:lang w:val="sk"/>
        </w:rPr>
        <w:t xml:space="preserve"> trieda B) malo vplyv na </w:t>
      </w:r>
      <w:proofErr w:type="spellStart"/>
      <w:r w:rsidRPr="00E86955">
        <w:rPr>
          <w:sz w:val="22"/>
          <w:szCs w:val="22"/>
          <w:lang w:val="sk"/>
        </w:rPr>
        <w:t>farmakokinetiku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. V porovnaní so zdravými jedincami, u pacientov so stredne závažným poškodením pečene bol zdanlivý plazmatický </w:t>
      </w:r>
      <w:proofErr w:type="spellStart"/>
      <w:r w:rsidRPr="00E86955">
        <w:rPr>
          <w:sz w:val="22"/>
          <w:szCs w:val="22"/>
          <w:lang w:val="sk"/>
        </w:rPr>
        <w:t>klírens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o 79% nižší, zdanlivý terminálny polčas 2,3 krát dlhší a AUC 3,7 krát vyššie. </w:t>
      </w:r>
      <w:proofErr w:type="spellStart"/>
      <w:r w:rsidRPr="00E86955">
        <w:rPr>
          <w:sz w:val="22"/>
          <w:szCs w:val="22"/>
          <w:lang w:val="sk"/>
        </w:rPr>
        <w:t>Farmakokinetika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a jeho </w:t>
      </w:r>
      <w:proofErr w:type="spellStart"/>
      <w:r w:rsidRPr="00E86955">
        <w:rPr>
          <w:sz w:val="22"/>
          <w:szCs w:val="22"/>
          <w:lang w:val="sk"/>
        </w:rPr>
        <w:t>metabolitov</w:t>
      </w:r>
      <w:proofErr w:type="spellEnd"/>
      <w:r w:rsidR="00A8357C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u pacientov s miernou alebo závažnou nedostatočnosťou pečene nebola sledovaná. </w:t>
      </w:r>
    </w:p>
    <w:p w14:paraId="480D0102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35EC7C39" w14:textId="771BDE82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Dojčiace matky: </w:t>
      </w:r>
      <w:r w:rsidRPr="00E86955">
        <w:rPr>
          <w:sz w:val="22"/>
          <w:szCs w:val="22"/>
          <w:lang w:val="sk"/>
        </w:rPr>
        <w:t xml:space="preserve">Dispozícia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bola skúmaná u 6 dojčiacich žien, ktoré boli minimálne 12 týždňov po pôrode.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je detekovateľný v materskom mlieku a rovnovážne koncentrácie</w:t>
      </w:r>
      <w:r w:rsidR="00A8357C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v materskom mlieku tvoria asi jednu štvrtinu plazmatickej koncentrácie. Množstvo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="00A8357C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v materskom mlieku je približne 7 µg/deň pri dávkovaní 40 mg 2x denne. Laktácia neovplyvňovala </w:t>
      </w:r>
      <w:proofErr w:type="spellStart"/>
      <w:r w:rsidRPr="00E86955">
        <w:rPr>
          <w:sz w:val="22"/>
          <w:szCs w:val="22"/>
          <w:lang w:val="sk"/>
        </w:rPr>
        <w:t>farmakokinetiku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. </w:t>
      </w:r>
    </w:p>
    <w:p w14:paraId="4C667005" w14:textId="77777777" w:rsidR="00486E90" w:rsidRPr="00E86955" w:rsidRDefault="00486E90" w:rsidP="002011F9">
      <w:pPr>
        <w:pStyle w:val="Default"/>
        <w:rPr>
          <w:i/>
          <w:iCs/>
          <w:sz w:val="22"/>
          <w:szCs w:val="22"/>
        </w:rPr>
      </w:pPr>
    </w:p>
    <w:p w14:paraId="10E45D71" w14:textId="03341F1C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i/>
          <w:iCs/>
          <w:sz w:val="22"/>
          <w:szCs w:val="22"/>
          <w:lang w:val="sk"/>
        </w:rPr>
        <w:t xml:space="preserve">Pediatrická populácia: </w:t>
      </w:r>
      <w:proofErr w:type="spellStart"/>
      <w:r w:rsidRPr="00E86955">
        <w:rPr>
          <w:sz w:val="22"/>
          <w:szCs w:val="22"/>
          <w:lang w:val="sk"/>
        </w:rPr>
        <w:t>Farmakokinetika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u pediatrických pacientov vo veku 7 až 17 rokov s veľkou depresívnou poruchou po perorálnom podaní dávok 20 až 120 mg raz denne bola charakterizovaná pomocou analýz modelovania populácie založených na údajoch z 3 štúdií. Model naznačujúci ustálenú plazmatickú koncentráciu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u pediatrických pacientov sa pohyboval</w:t>
      </w:r>
      <w:r w:rsidR="00A8357C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>v rozmedzí koncentrácie pozorovanom u dospelých pacientov.</w:t>
      </w:r>
    </w:p>
    <w:p w14:paraId="23E16190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18689CEB" w14:textId="29F318F1" w:rsidR="00486E90" w:rsidRPr="00E86955" w:rsidRDefault="00486E90" w:rsidP="002011F9">
      <w:pPr>
        <w:pStyle w:val="Default"/>
        <w:numPr>
          <w:ilvl w:val="1"/>
          <w:numId w:val="2"/>
        </w:numPr>
        <w:ind w:left="567" w:hanging="567"/>
        <w:rPr>
          <w:sz w:val="22"/>
          <w:szCs w:val="22"/>
        </w:rPr>
      </w:pPr>
      <w:r w:rsidRPr="00E86955">
        <w:rPr>
          <w:b/>
          <w:bCs/>
          <w:sz w:val="22"/>
          <w:szCs w:val="22"/>
          <w:lang w:val="sk"/>
        </w:rPr>
        <w:t xml:space="preserve">Predklinické údaje o bezpečnosti </w:t>
      </w:r>
    </w:p>
    <w:p w14:paraId="0058A16A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63352244" w14:textId="77777777" w:rsidR="0027543C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štandardnej sérii testov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nebol </w:t>
      </w:r>
      <w:proofErr w:type="spellStart"/>
      <w:r w:rsidRPr="00E86955">
        <w:rPr>
          <w:sz w:val="22"/>
          <w:szCs w:val="22"/>
          <w:lang w:val="sk"/>
        </w:rPr>
        <w:t>genotoxický</w:t>
      </w:r>
      <w:proofErr w:type="spellEnd"/>
      <w:r w:rsidRPr="00E86955">
        <w:rPr>
          <w:sz w:val="22"/>
          <w:szCs w:val="22"/>
          <w:lang w:val="sk"/>
        </w:rPr>
        <w:t xml:space="preserve"> a u potkanov nebol karcinogénny.</w:t>
      </w:r>
    </w:p>
    <w:p w14:paraId="087084D7" w14:textId="098ED1AA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V štúdii karcinogenity na potkanoch boli v pečeni spozorované </w:t>
      </w:r>
      <w:proofErr w:type="spellStart"/>
      <w:r w:rsidRPr="00E86955">
        <w:rPr>
          <w:sz w:val="22"/>
          <w:szCs w:val="22"/>
          <w:lang w:val="sk"/>
        </w:rPr>
        <w:t>multijadrové</w:t>
      </w:r>
      <w:proofErr w:type="spellEnd"/>
      <w:r w:rsidRPr="00E86955">
        <w:rPr>
          <w:sz w:val="22"/>
          <w:szCs w:val="22"/>
          <w:lang w:val="sk"/>
        </w:rPr>
        <w:t xml:space="preserve"> bunky bez prítomnosti </w:t>
      </w:r>
      <w:r w:rsidRPr="00E86955">
        <w:rPr>
          <w:sz w:val="22"/>
          <w:szCs w:val="22"/>
          <w:lang w:val="sk"/>
        </w:rPr>
        <w:lastRenderedPageBreak/>
        <w:t xml:space="preserve">iných </w:t>
      </w:r>
      <w:proofErr w:type="spellStart"/>
      <w:r w:rsidRPr="00E86955">
        <w:rPr>
          <w:sz w:val="22"/>
          <w:szCs w:val="22"/>
          <w:lang w:val="sk"/>
        </w:rPr>
        <w:t>histopatologických</w:t>
      </w:r>
      <w:proofErr w:type="spellEnd"/>
      <w:r w:rsidRPr="00E86955">
        <w:rPr>
          <w:sz w:val="22"/>
          <w:szCs w:val="22"/>
          <w:lang w:val="sk"/>
        </w:rPr>
        <w:t xml:space="preserve"> zmien. Mechanizmus, ktorý to spôsobuje, ani klinická závažnosť, nie sú známe. U samičiek myší, ktoré dostávali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počas 2 rokov, bola iba pri vysokej dávke</w:t>
      </w:r>
      <w:r w:rsidR="0090550D" w:rsidRPr="00E86955">
        <w:rPr>
          <w:sz w:val="22"/>
          <w:szCs w:val="22"/>
          <w:lang w:val="sk"/>
        </w:rPr>
        <w:t xml:space="preserve"> (144 mg/kg/deň)</w:t>
      </w:r>
      <w:r w:rsidRPr="00E86955">
        <w:rPr>
          <w:sz w:val="22"/>
          <w:szCs w:val="22"/>
          <w:lang w:val="sk"/>
        </w:rPr>
        <w:t xml:space="preserve"> zvýšená </w:t>
      </w:r>
      <w:proofErr w:type="spellStart"/>
      <w:r w:rsidRPr="00E86955">
        <w:rPr>
          <w:sz w:val="22"/>
          <w:szCs w:val="22"/>
          <w:lang w:val="sk"/>
        </w:rPr>
        <w:t>incidencia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hepatocelulárnych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adenómov</w:t>
      </w:r>
      <w:proofErr w:type="spellEnd"/>
      <w:r w:rsidRPr="00E86955">
        <w:rPr>
          <w:sz w:val="22"/>
          <w:szCs w:val="22"/>
          <w:lang w:val="sk"/>
        </w:rPr>
        <w:t xml:space="preserve"> a karcinómov, tieto však boli považované za sekundárne následky indukcie </w:t>
      </w:r>
      <w:proofErr w:type="spellStart"/>
      <w:r w:rsidRPr="00E86955">
        <w:rPr>
          <w:sz w:val="22"/>
          <w:szCs w:val="22"/>
          <w:lang w:val="sk"/>
        </w:rPr>
        <w:t>mikrozomálnych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hepatálnych</w:t>
      </w:r>
      <w:proofErr w:type="spellEnd"/>
      <w:r w:rsidRPr="00E86955">
        <w:rPr>
          <w:sz w:val="22"/>
          <w:szCs w:val="22"/>
          <w:lang w:val="sk"/>
        </w:rPr>
        <w:t xml:space="preserve"> enzýmov. Nie je známe, či sú tieto údaje získané pozorovaním myší, relevantné pre ľudí. Samičky potkanov, ktoré dostávali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(45 mg/kg/deň) pred a počas párenia a na počiatku gravidity, mali pokles príjmu materskej potravy a telesnej hmotnosti, poruchy </w:t>
      </w:r>
      <w:proofErr w:type="spellStart"/>
      <w:r w:rsidRPr="00E86955">
        <w:rPr>
          <w:sz w:val="22"/>
          <w:szCs w:val="22"/>
          <w:lang w:val="sk"/>
        </w:rPr>
        <w:t>estrálneho</w:t>
      </w:r>
      <w:proofErr w:type="spellEnd"/>
      <w:r w:rsidRPr="00E86955">
        <w:rPr>
          <w:sz w:val="22"/>
          <w:szCs w:val="22"/>
          <w:lang w:val="sk"/>
        </w:rPr>
        <w:t xml:space="preserve"> cyklu, pokles indexu živonarodeného a žijúceho potomstva a retardáciu rastu potomstva pri úrovniach systémovej expozície, ktoré podľa odhadu dosahovali väčšinou úroveň maximálnej klinickej expozície (AUC). V štúdii </w:t>
      </w:r>
      <w:proofErr w:type="spellStart"/>
      <w:r w:rsidRPr="00E86955">
        <w:rPr>
          <w:sz w:val="22"/>
          <w:szCs w:val="22"/>
          <w:lang w:val="sk"/>
        </w:rPr>
        <w:t>embryotoxicity</w:t>
      </w:r>
      <w:proofErr w:type="spellEnd"/>
      <w:r w:rsidRPr="00E86955">
        <w:rPr>
          <w:sz w:val="22"/>
          <w:szCs w:val="22"/>
          <w:lang w:val="sk"/>
        </w:rPr>
        <w:t xml:space="preserve"> u králikov bola pri úrovniach systémovej expozície pod maximálnou klinickou expozíciou (AUC) pozorovaná vyššia </w:t>
      </w:r>
      <w:proofErr w:type="spellStart"/>
      <w:r w:rsidRPr="00E86955">
        <w:rPr>
          <w:sz w:val="22"/>
          <w:szCs w:val="22"/>
          <w:lang w:val="sk"/>
        </w:rPr>
        <w:t>incidencia</w:t>
      </w:r>
      <w:proofErr w:type="spellEnd"/>
      <w:r w:rsidRPr="00E86955">
        <w:rPr>
          <w:sz w:val="22"/>
          <w:szCs w:val="22"/>
          <w:lang w:val="sk"/>
        </w:rPr>
        <w:t xml:space="preserve"> kardiovaskulárnych a </w:t>
      </w:r>
      <w:proofErr w:type="spellStart"/>
      <w:r w:rsidRPr="00E86955">
        <w:rPr>
          <w:sz w:val="22"/>
          <w:szCs w:val="22"/>
          <w:lang w:val="sk"/>
        </w:rPr>
        <w:t>skeletálnych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malformácií</w:t>
      </w:r>
      <w:proofErr w:type="spellEnd"/>
      <w:r w:rsidRPr="00E86955">
        <w:rPr>
          <w:sz w:val="22"/>
          <w:szCs w:val="22"/>
          <w:lang w:val="sk"/>
        </w:rPr>
        <w:t xml:space="preserve">. V inej štúdii, ktorá skúmala vyššiu dávku inej soli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, žiadne </w:t>
      </w:r>
      <w:proofErr w:type="spellStart"/>
      <w:r w:rsidRPr="00E86955">
        <w:rPr>
          <w:sz w:val="22"/>
          <w:szCs w:val="22"/>
          <w:lang w:val="sk"/>
        </w:rPr>
        <w:t>malformácie</w:t>
      </w:r>
      <w:proofErr w:type="spellEnd"/>
      <w:r w:rsidRPr="00E86955">
        <w:rPr>
          <w:sz w:val="22"/>
          <w:szCs w:val="22"/>
          <w:lang w:val="sk"/>
        </w:rPr>
        <w:t xml:space="preserve"> pozorované neboli. V rámci štúdií prenatálnej/</w:t>
      </w:r>
      <w:proofErr w:type="spellStart"/>
      <w:r w:rsidRPr="00E86955">
        <w:rPr>
          <w:sz w:val="22"/>
          <w:szCs w:val="22"/>
          <w:lang w:val="sk"/>
        </w:rPr>
        <w:t>postnatálnej</w:t>
      </w:r>
      <w:proofErr w:type="spellEnd"/>
      <w:r w:rsidRPr="00E86955">
        <w:rPr>
          <w:sz w:val="22"/>
          <w:szCs w:val="22"/>
          <w:lang w:val="sk"/>
        </w:rPr>
        <w:t xml:space="preserve"> toxicity na potkanoch </w:t>
      </w:r>
      <w:proofErr w:type="spellStart"/>
      <w:r w:rsidRPr="00E86955">
        <w:rPr>
          <w:sz w:val="22"/>
          <w:szCs w:val="22"/>
          <w:lang w:val="sk"/>
        </w:rPr>
        <w:t>duloxetín</w:t>
      </w:r>
      <w:proofErr w:type="spellEnd"/>
      <w:r w:rsidRPr="00E86955">
        <w:rPr>
          <w:sz w:val="22"/>
          <w:szCs w:val="22"/>
          <w:lang w:val="sk"/>
        </w:rPr>
        <w:t xml:space="preserve"> indukoval nežiaduce účinky v správaní mláďat pri expozíciách nižších ako je maximálna klinická expozícia (AUC). </w:t>
      </w:r>
    </w:p>
    <w:p w14:paraId="5FA4F0D0" w14:textId="77777777" w:rsidR="00486E90" w:rsidRPr="00E86955" w:rsidRDefault="00486E90" w:rsidP="002011F9">
      <w:pPr>
        <w:pStyle w:val="Default"/>
        <w:rPr>
          <w:sz w:val="22"/>
          <w:szCs w:val="22"/>
        </w:rPr>
      </w:pPr>
    </w:p>
    <w:p w14:paraId="55B74B0E" w14:textId="7938C027" w:rsidR="00486E90" w:rsidRPr="00E86955" w:rsidRDefault="00486E90" w:rsidP="002011F9">
      <w:pPr>
        <w:pStyle w:val="Default"/>
        <w:rPr>
          <w:sz w:val="22"/>
          <w:szCs w:val="22"/>
        </w:rPr>
      </w:pPr>
      <w:r w:rsidRPr="00E86955">
        <w:rPr>
          <w:sz w:val="22"/>
          <w:szCs w:val="22"/>
          <w:lang w:val="sk"/>
        </w:rPr>
        <w:t xml:space="preserve">Štúdie s mláďatami potkanov ukázali prechodné účinky v </w:t>
      </w:r>
      <w:proofErr w:type="spellStart"/>
      <w:r w:rsidRPr="00E86955">
        <w:rPr>
          <w:sz w:val="22"/>
          <w:szCs w:val="22"/>
          <w:lang w:val="sk"/>
        </w:rPr>
        <w:t>neurobehaviorálnej</w:t>
      </w:r>
      <w:proofErr w:type="spellEnd"/>
      <w:r w:rsidRPr="00E86955">
        <w:rPr>
          <w:sz w:val="22"/>
          <w:szCs w:val="22"/>
          <w:lang w:val="sk"/>
        </w:rPr>
        <w:t xml:space="preserve"> oblasti, taktiež signifikantné zníženie telesnej hmotnosti a príjmu potravy, indukciu </w:t>
      </w:r>
      <w:proofErr w:type="spellStart"/>
      <w:r w:rsidRPr="00E86955">
        <w:rPr>
          <w:sz w:val="22"/>
          <w:szCs w:val="22"/>
          <w:lang w:val="sk"/>
        </w:rPr>
        <w:t>hepatálnych</w:t>
      </w:r>
      <w:proofErr w:type="spellEnd"/>
      <w:r w:rsidRPr="00E86955">
        <w:rPr>
          <w:sz w:val="22"/>
          <w:szCs w:val="22"/>
          <w:lang w:val="sk"/>
        </w:rPr>
        <w:t xml:space="preserve"> enzýmov</w:t>
      </w:r>
      <w:r w:rsidR="0090550D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a </w:t>
      </w:r>
      <w:proofErr w:type="spellStart"/>
      <w:r w:rsidRPr="00E86955">
        <w:rPr>
          <w:sz w:val="22"/>
          <w:szCs w:val="22"/>
          <w:lang w:val="sk"/>
        </w:rPr>
        <w:t>hepatocelulárnu</w:t>
      </w:r>
      <w:proofErr w:type="spellEnd"/>
      <w:r w:rsidRPr="00E86955">
        <w:rPr>
          <w:sz w:val="22"/>
          <w:szCs w:val="22"/>
          <w:lang w:val="sk"/>
        </w:rPr>
        <w:t xml:space="preserve"> </w:t>
      </w:r>
      <w:proofErr w:type="spellStart"/>
      <w:r w:rsidRPr="00E86955">
        <w:rPr>
          <w:sz w:val="22"/>
          <w:szCs w:val="22"/>
          <w:lang w:val="sk"/>
        </w:rPr>
        <w:t>vakuolizáciu</w:t>
      </w:r>
      <w:proofErr w:type="spellEnd"/>
      <w:r w:rsidRPr="00E86955">
        <w:rPr>
          <w:sz w:val="22"/>
          <w:szCs w:val="22"/>
          <w:lang w:val="sk"/>
        </w:rPr>
        <w:t xml:space="preserve"> pri dávkach 45</w:t>
      </w:r>
      <w:r w:rsidR="0090550D" w:rsidRPr="00E86955">
        <w:rPr>
          <w:sz w:val="22"/>
          <w:szCs w:val="22"/>
          <w:lang w:val="sk"/>
        </w:rPr>
        <w:t xml:space="preserve"> </w:t>
      </w:r>
      <w:r w:rsidRPr="00E86955">
        <w:rPr>
          <w:sz w:val="22"/>
          <w:szCs w:val="22"/>
          <w:lang w:val="sk"/>
        </w:rPr>
        <w:t xml:space="preserve">mg/kg/deň. Všeobecný profil toxicity </w:t>
      </w:r>
      <w:proofErr w:type="spellStart"/>
      <w:r w:rsidRPr="00E86955">
        <w:rPr>
          <w:sz w:val="22"/>
          <w:szCs w:val="22"/>
          <w:lang w:val="sk"/>
        </w:rPr>
        <w:t>duloxetínu</w:t>
      </w:r>
      <w:proofErr w:type="spellEnd"/>
      <w:r w:rsidRPr="00E86955">
        <w:rPr>
          <w:sz w:val="22"/>
          <w:szCs w:val="22"/>
          <w:lang w:val="sk"/>
        </w:rPr>
        <w:t xml:space="preserve"> u mláďat potkanov bol podobný s tým u dospelých potkanov. Výška dávky, ktorá nevyvoláva nežiaduce účinky, bola stanovená na 20 mg/kg/deň.</w:t>
      </w:r>
    </w:p>
    <w:p w14:paraId="73C73CB6" w14:textId="77777777" w:rsidR="00030952" w:rsidRPr="00E86955" w:rsidRDefault="00030952" w:rsidP="002011F9">
      <w:pPr>
        <w:pStyle w:val="Default"/>
        <w:rPr>
          <w:sz w:val="22"/>
          <w:szCs w:val="22"/>
        </w:rPr>
      </w:pPr>
    </w:p>
    <w:p w14:paraId="3D711026" w14:textId="77777777" w:rsidR="00C051FD" w:rsidRPr="00E86955" w:rsidRDefault="00C051FD" w:rsidP="002011F9">
      <w:pPr>
        <w:pStyle w:val="Default"/>
        <w:rPr>
          <w:sz w:val="22"/>
          <w:szCs w:val="22"/>
        </w:rPr>
      </w:pPr>
    </w:p>
    <w:p w14:paraId="3585495D" w14:textId="6CBE89FD" w:rsidR="00030952" w:rsidRPr="00E86955" w:rsidRDefault="009E5803" w:rsidP="002011F9">
      <w:pPr>
        <w:pStyle w:val="Default"/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>FARMACEUTICKÉ INFORMÁCIE</w:t>
      </w:r>
    </w:p>
    <w:p w14:paraId="555C3A2B" w14:textId="0B128150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4E30651A" w14:textId="0E8A7F02" w:rsidR="00030952" w:rsidRPr="00E86955" w:rsidRDefault="00030952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Zoznam pomocných látok </w:t>
      </w:r>
    </w:p>
    <w:p w14:paraId="31A37C59" w14:textId="5FF79AE0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67E63D5E" w14:textId="77777777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Obsah kapsuly: </w:t>
      </w:r>
    </w:p>
    <w:p w14:paraId="06CD3397" w14:textId="7639AB01" w:rsidR="00030952" w:rsidRPr="00E86955" w:rsidRDefault="00756B9D" w:rsidP="002011F9">
      <w:pPr>
        <w:pStyle w:val="Default"/>
        <w:rPr>
          <w:color w:val="auto"/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Hypromelóza</w:t>
      </w:r>
      <w:proofErr w:type="spellEnd"/>
    </w:p>
    <w:p w14:paraId="0940E5AD" w14:textId="77777777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Cukrové guľôčky (sacharóza a kukuričný škrob)</w:t>
      </w:r>
    </w:p>
    <w:p w14:paraId="19B7CBB5" w14:textId="5E9AB76B" w:rsidR="00030952" w:rsidRPr="00E86955" w:rsidRDefault="00756B9D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Mastenec</w:t>
      </w:r>
    </w:p>
    <w:p w14:paraId="3B0E9886" w14:textId="77777777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Sacharóza</w:t>
      </w:r>
    </w:p>
    <w:p w14:paraId="39FE283E" w14:textId="49846CBE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Hypromelóza</w:t>
      </w:r>
      <w:proofErr w:type="spellEnd"/>
      <w:r w:rsidR="00EE6FA5" w:rsidRPr="00E86955">
        <w:rPr>
          <w:color w:val="auto"/>
          <w:sz w:val="22"/>
          <w:szCs w:val="22"/>
          <w:lang w:val="sk"/>
        </w:rPr>
        <w:t>,</w:t>
      </w:r>
      <w:r w:rsidR="00756B9D" w:rsidRPr="00E86955">
        <w:rPr>
          <w:color w:val="auto"/>
          <w:sz w:val="22"/>
          <w:szCs w:val="22"/>
          <w:lang w:val="sk"/>
        </w:rPr>
        <w:t xml:space="preserve"> </w:t>
      </w:r>
      <w:proofErr w:type="spellStart"/>
      <w:r w:rsidR="00756B9D" w:rsidRPr="00E86955">
        <w:rPr>
          <w:color w:val="auto"/>
          <w:sz w:val="22"/>
          <w:szCs w:val="22"/>
          <w:lang w:val="sk"/>
        </w:rPr>
        <w:t>ftalát</w:t>
      </w:r>
      <w:proofErr w:type="spellEnd"/>
    </w:p>
    <w:p w14:paraId="665AAB03" w14:textId="2E05AF75" w:rsidR="00030952" w:rsidRPr="00E86955" w:rsidRDefault="00756B9D" w:rsidP="002011F9">
      <w:pPr>
        <w:pStyle w:val="Default"/>
        <w:rPr>
          <w:color w:val="auto"/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Trietylcitrát</w:t>
      </w:r>
      <w:proofErr w:type="spellEnd"/>
    </w:p>
    <w:p w14:paraId="3F5F7FC9" w14:textId="4390C6B0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4DB618DC" w14:textId="77777777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Obal kapsuly: </w:t>
      </w:r>
    </w:p>
    <w:p w14:paraId="5DE49DC4" w14:textId="77777777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Želatína </w:t>
      </w:r>
    </w:p>
    <w:p w14:paraId="26854CFC" w14:textId="1C4C26B5" w:rsidR="00030952" w:rsidRPr="00E86955" w:rsidRDefault="00756B9D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Oxid </w:t>
      </w:r>
      <w:proofErr w:type="spellStart"/>
      <w:r w:rsidRPr="00E86955">
        <w:rPr>
          <w:color w:val="auto"/>
          <w:sz w:val="22"/>
          <w:szCs w:val="22"/>
          <w:lang w:val="sk"/>
        </w:rPr>
        <w:t>titaničitý</w:t>
      </w:r>
      <w:proofErr w:type="spellEnd"/>
      <w:r w:rsidRPr="00E86955">
        <w:rPr>
          <w:color w:val="auto"/>
          <w:sz w:val="22"/>
          <w:szCs w:val="22"/>
          <w:lang w:val="sk"/>
        </w:rPr>
        <w:t xml:space="preserve"> (E 171)</w:t>
      </w:r>
    </w:p>
    <w:p w14:paraId="62E71EC9" w14:textId="27C23E55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 xml:space="preserve">Žltý oxid železitý (E 172) </w:t>
      </w:r>
      <w:r w:rsidR="003D47FC" w:rsidRPr="00E86955">
        <w:rPr>
          <w:color w:val="auto"/>
          <w:sz w:val="22"/>
          <w:szCs w:val="22"/>
          <w:lang w:val="sk"/>
        </w:rPr>
        <w:t>(len pre silu</w:t>
      </w:r>
      <w:r w:rsidR="003B5781" w:rsidRPr="00E86955">
        <w:rPr>
          <w:color w:val="auto"/>
          <w:sz w:val="22"/>
          <w:szCs w:val="22"/>
          <w:lang w:val="sk"/>
        </w:rPr>
        <w:t xml:space="preserve"> </w:t>
      </w:r>
      <w:r w:rsidRPr="00E86955">
        <w:rPr>
          <w:color w:val="auto"/>
          <w:sz w:val="22"/>
          <w:szCs w:val="22"/>
          <w:lang w:val="sk"/>
        </w:rPr>
        <w:t>60 mg</w:t>
      </w:r>
      <w:r w:rsidR="003D47FC" w:rsidRPr="00E86955">
        <w:rPr>
          <w:color w:val="auto"/>
          <w:sz w:val="22"/>
          <w:szCs w:val="22"/>
          <w:lang w:val="sk"/>
        </w:rPr>
        <w:t>)</w:t>
      </w:r>
    </w:p>
    <w:p w14:paraId="5794EA8C" w14:textId="594E3132" w:rsidR="00030952" w:rsidRPr="00E86955" w:rsidRDefault="00756B9D" w:rsidP="002011F9">
      <w:pPr>
        <w:pStyle w:val="Default"/>
        <w:rPr>
          <w:color w:val="auto"/>
          <w:sz w:val="22"/>
          <w:szCs w:val="22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Indigotín</w:t>
      </w:r>
      <w:proofErr w:type="spellEnd"/>
    </w:p>
    <w:p w14:paraId="06F6DB6C" w14:textId="77777777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474C7A8D" w14:textId="72371FE7" w:rsidR="00030952" w:rsidRPr="00E86955" w:rsidRDefault="00030952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Inkompatibility </w:t>
      </w:r>
    </w:p>
    <w:p w14:paraId="5C065587" w14:textId="6B9D30C3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7A0C01DE" w14:textId="2BB4463C" w:rsidR="00030952" w:rsidRPr="00E86955" w:rsidRDefault="00756B9D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Neaplikovateľné.</w:t>
      </w:r>
    </w:p>
    <w:p w14:paraId="39B09C15" w14:textId="08649364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4760A3FA" w14:textId="52C4298D" w:rsidR="00030952" w:rsidRPr="00E86955" w:rsidRDefault="00030952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>Čas použiteľ</w:t>
      </w:r>
      <w:r w:rsidR="00756B9D" w:rsidRPr="00E86955">
        <w:rPr>
          <w:b/>
          <w:bCs/>
          <w:color w:val="auto"/>
          <w:sz w:val="22"/>
          <w:szCs w:val="22"/>
          <w:lang w:val="sk"/>
        </w:rPr>
        <w:t>nosti</w:t>
      </w:r>
    </w:p>
    <w:p w14:paraId="617F7932" w14:textId="15772232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72596906" w14:textId="65C7EF52" w:rsidR="00030952" w:rsidRPr="00E86955" w:rsidRDefault="00756B9D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36 mesiacov</w:t>
      </w:r>
    </w:p>
    <w:p w14:paraId="6B1F00AA" w14:textId="16679ADA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1F6972C5" w14:textId="08364A03" w:rsidR="00030952" w:rsidRPr="00E86955" w:rsidRDefault="00030952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>Špeci</w:t>
      </w:r>
      <w:r w:rsidR="00756B9D" w:rsidRPr="00E86955">
        <w:rPr>
          <w:b/>
          <w:bCs/>
          <w:color w:val="auto"/>
          <w:sz w:val="22"/>
          <w:szCs w:val="22"/>
          <w:lang w:val="sk"/>
        </w:rPr>
        <w:t>álne upozornenia na uchovávanie</w:t>
      </w:r>
    </w:p>
    <w:p w14:paraId="2B64B088" w14:textId="1FAC6A00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50D51763" w14:textId="33528829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Uchovávajte v pôvodnom obale. Uchovávajte pr</w:t>
      </w:r>
      <w:r w:rsidR="00FB0547" w:rsidRPr="00E86955">
        <w:rPr>
          <w:color w:val="auto"/>
          <w:sz w:val="22"/>
          <w:szCs w:val="22"/>
          <w:lang w:val="sk"/>
        </w:rPr>
        <w:t>i teplote neprevyšujúcej 30 </w:t>
      </w:r>
      <w:r w:rsidR="00756B9D" w:rsidRPr="00E86955">
        <w:rPr>
          <w:color w:val="auto"/>
          <w:sz w:val="22"/>
          <w:szCs w:val="22"/>
          <w:lang w:val="sk"/>
        </w:rPr>
        <w:t>°C.</w:t>
      </w:r>
    </w:p>
    <w:p w14:paraId="19EF23D5" w14:textId="346B3C72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063E6751" w14:textId="07858270" w:rsidR="00030952" w:rsidRPr="00E86955" w:rsidRDefault="00030952" w:rsidP="002011F9">
      <w:pPr>
        <w:pStyle w:val="Default"/>
        <w:keepNext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Druh obalu a obsah balenia </w:t>
      </w:r>
    </w:p>
    <w:p w14:paraId="230E4619" w14:textId="10FAAEF8" w:rsidR="00030952" w:rsidRPr="00E86955" w:rsidRDefault="00030952" w:rsidP="002011F9">
      <w:pPr>
        <w:pStyle w:val="Default"/>
        <w:keepNext/>
        <w:rPr>
          <w:color w:val="auto"/>
          <w:sz w:val="22"/>
          <w:szCs w:val="22"/>
        </w:rPr>
      </w:pPr>
    </w:p>
    <w:p w14:paraId="75A40558" w14:textId="38C37A9E" w:rsidR="00030952" w:rsidRPr="00E86955" w:rsidRDefault="00030952" w:rsidP="002011F9">
      <w:pPr>
        <w:keepNext/>
        <w:spacing w:after="0" w:line="240" w:lineRule="auto"/>
        <w:rPr>
          <w:rFonts w:ascii="Times New Roman" w:hAnsi="Times New Roman"/>
        </w:rPr>
      </w:pPr>
      <w:proofErr w:type="spellStart"/>
      <w:r w:rsidRPr="00E86955">
        <w:rPr>
          <w:rFonts w:ascii="Times New Roman" w:hAnsi="Times New Roman"/>
          <w:lang w:val="sk"/>
        </w:rPr>
        <w:t>Blistre</w:t>
      </w:r>
      <w:proofErr w:type="spellEnd"/>
      <w:r w:rsidRPr="00E86955">
        <w:rPr>
          <w:rFonts w:ascii="Times New Roman" w:hAnsi="Times New Roman"/>
          <w:lang w:val="sk"/>
        </w:rPr>
        <w:t xml:space="preserve"> z polyamidu/hlin</w:t>
      </w:r>
      <w:r w:rsidR="00756B9D" w:rsidRPr="00E86955">
        <w:rPr>
          <w:rFonts w:ascii="Times New Roman" w:hAnsi="Times New Roman"/>
          <w:lang w:val="sk"/>
        </w:rPr>
        <w:t>íka/polyvinylchloridu</w:t>
      </w:r>
      <w:r w:rsidR="00756B9D" w:rsidRPr="00E86955">
        <w:rPr>
          <w:rFonts w:ascii="Times New Roman" w:hAnsi="Times New Roman"/>
          <w:lang w:val="sk"/>
        </w:rPr>
        <w:noBreakHyphen/>
        <w:t>hliníka</w:t>
      </w:r>
    </w:p>
    <w:p w14:paraId="306E0020" w14:textId="77777777" w:rsidR="00030952" w:rsidRPr="00E86955" w:rsidRDefault="00030952" w:rsidP="002011F9">
      <w:pPr>
        <w:spacing w:after="0" w:line="240" w:lineRule="auto"/>
        <w:rPr>
          <w:rFonts w:ascii="Times New Roman" w:hAnsi="Times New Roman"/>
        </w:rPr>
      </w:pPr>
    </w:p>
    <w:p w14:paraId="0707888C" w14:textId="327DB293" w:rsidR="00030952" w:rsidRPr="00E86955" w:rsidRDefault="001A3B94" w:rsidP="002011F9">
      <w:pPr>
        <w:spacing w:after="0" w:line="240" w:lineRule="auto"/>
        <w:rPr>
          <w:rFonts w:ascii="Times New Roman" w:hAnsi="Times New Roman"/>
        </w:rPr>
      </w:pPr>
      <w:proofErr w:type="spellStart"/>
      <w:r w:rsidRPr="00E86955">
        <w:rPr>
          <w:rFonts w:ascii="Times New Roman" w:hAnsi="Times New Roman"/>
          <w:lang w:val="sk"/>
        </w:rPr>
        <w:t>Dulxetenon</w:t>
      </w:r>
      <w:proofErr w:type="spellEnd"/>
      <w:r w:rsidR="00AF0C32" w:rsidRPr="00E86955">
        <w:rPr>
          <w:rFonts w:ascii="Times New Roman" w:hAnsi="Times New Roman"/>
          <w:lang w:val="sk"/>
        </w:rPr>
        <w:t xml:space="preserve"> </w:t>
      </w:r>
      <w:r w:rsidR="00CC0069" w:rsidRPr="00E86955">
        <w:rPr>
          <w:rFonts w:ascii="Times New Roman" w:hAnsi="Times New Roman"/>
          <w:lang w:val="sk"/>
        </w:rPr>
        <w:t>30 mg je dostupný v balení po 7 a 28 kapsúl.</w:t>
      </w:r>
    </w:p>
    <w:p w14:paraId="470E09D2" w14:textId="1B387DAF" w:rsidR="00030952" w:rsidRPr="00E86955" w:rsidRDefault="001A3B94" w:rsidP="002011F9">
      <w:pPr>
        <w:spacing w:after="0" w:line="240" w:lineRule="auto"/>
        <w:rPr>
          <w:rFonts w:ascii="Times New Roman" w:hAnsi="Times New Roman"/>
        </w:rPr>
      </w:pPr>
      <w:proofErr w:type="spellStart"/>
      <w:r w:rsidRPr="00E86955">
        <w:rPr>
          <w:rFonts w:ascii="Times New Roman" w:hAnsi="Times New Roman"/>
          <w:lang w:val="sk"/>
        </w:rPr>
        <w:t>Dulxetenon</w:t>
      </w:r>
      <w:proofErr w:type="spellEnd"/>
      <w:r w:rsidR="00AF0C32" w:rsidRPr="00E86955">
        <w:rPr>
          <w:rFonts w:ascii="Times New Roman" w:hAnsi="Times New Roman"/>
          <w:lang w:val="sk"/>
        </w:rPr>
        <w:t xml:space="preserve"> </w:t>
      </w:r>
      <w:r w:rsidR="00CC0069" w:rsidRPr="00E86955">
        <w:rPr>
          <w:rFonts w:ascii="Times New Roman" w:hAnsi="Times New Roman"/>
          <w:lang w:val="sk"/>
        </w:rPr>
        <w:t xml:space="preserve">60 mg je </w:t>
      </w:r>
      <w:r w:rsidR="009E5803" w:rsidRPr="00E86955">
        <w:rPr>
          <w:rFonts w:ascii="Times New Roman" w:hAnsi="Times New Roman"/>
          <w:lang w:val="sk"/>
        </w:rPr>
        <w:t>dostupný v balení po 28 kapsúl.</w:t>
      </w:r>
    </w:p>
    <w:p w14:paraId="009BA884" w14:textId="77777777" w:rsidR="00030952" w:rsidRPr="00E86955" w:rsidRDefault="00030952" w:rsidP="002011F9">
      <w:pPr>
        <w:spacing w:after="0" w:line="240" w:lineRule="auto"/>
        <w:rPr>
          <w:rFonts w:ascii="Times New Roman" w:hAnsi="Times New Roman"/>
        </w:rPr>
      </w:pPr>
    </w:p>
    <w:p w14:paraId="6E9C80A7" w14:textId="4CEBDF95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lastRenderedPageBreak/>
        <w:t>Na trh nemusia byť u</w:t>
      </w:r>
      <w:r w:rsidR="00756B9D" w:rsidRPr="00E86955">
        <w:rPr>
          <w:color w:val="auto"/>
          <w:sz w:val="22"/>
          <w:szCs w:val="22"/>
          <w:lang w:val="sk"/>
        </w:rPr>
        <w:t>vedené všetky veľkosti balenia.</w:t>
      </w:r>
    </w:p>
    <w:p w14:paraId="0500896C" w14:textId="27E9C7B3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00A4B1E8" w14:textId="14EB9B57" w:rsidR="00030952" w:rsidRPr="00E86955" w:rsidRDefault="00030952" w:rsidP="002011F9">
      <w:pPr>
        <w:pStyle w:val="Default"/>
        <w:numPr>
          <w:ilvl w:val="1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>Špe</w:t>
      </w:r>
      <w:r w:rsidR="00756B9D" w:rsidRPr="00E86955">
        <w:rPr>
          <w:b/>
          <w:bCs/>
          <w:color w:val="auto"/>
          <w:sz w:val="22"/>
          <w:szCs w:val="22"/>
          <w:lang w:val="sk"/>
        </w:rPr>
        <w:t>ciálne opatrenia na likvidáciu</w:t>
      </w:r>
    </w:p>
    <w:p w14:paraId="4949B133" w14:textId="1C53B9D8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2B1FD9E8" w14:textId="4B5EA239" w:rsidR="00030952" w:rsidRPr="00E86955" w:rsidRDefault="00756B9D" w:rsidP="002011F9">
      <w:pPr>
        <w:pStyle w:val="Default"/>
        <w:rPr>
          <w:color w:val="auto"/>
          <w:sz w:val="22"/>
          <w:szCs w:val="22"/>
        </w:rPr>
      </w:pPr>
      <w:r w:rsidRPr="00E86955">
        <w:rPr>
          <w:color w:val="auto"/>
          <w:sz w:val="22"/>
          <w:szCs w:val="22"/>
          <w:lang w:val="sk"/>
        </w:rPr>
        <w:t>Žiadne zvláštne požiadavky.</w:t>
      </w:r>
    </w:p>
    <w:p w14:paraId="7FF75931" w14:textId="530D4AB1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4F25AAAE" w14:textId="77777777" w:rsidR="001411E6" w:rsidRPr="00E86955" w:rsidRDefault="001411E6" w:rsidP="002011F9">
      <w:pPr>
        <w:pStyle w:val="Default"/>
        <w:rPr>
          <w:color w:val="auto"/>
          <w:sz w:val="22"/>
          <w:szCs w:val="22"/>
        </w:rPr>
      </w:pPr>
    </w:p>
    <w:p w14:paraId="7311B50B" w14:textId="05859B01" w:rsidR="00030952" w:rsidRPr="00E86955" w:rsidRDefault="00030952" w:rsidP="002011F9">
      <w:pPr>
        <w:pStyle w:val="Default"/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>DRŽITEĽ ROZHODNUTIA O</w:t>
      </w:r>
      <w:r w:rsidR="00756B9D" w:rsidRPr="00E86955">
        <w:rPr>
          <w:b/>
          <w:bCs/>
          <w:color w:val="auto"/>
          <w:sz w:val="22"/>
          <w:szCs w:val="22"/>
          <w:lang w:val="sk"/>
        </w:rPr>
        <w:t xml:space="preserve"> REGISTRÁCII</w:t>
      </w:r>
    </w:p>
    <w:p w14:paraId="095B4D0D" w14:textId="3FF73D1F" w:rsidR="00030952" w:rsidRPr="00E86955" w:rsidRDefault="00030952" w:rsidP="002011F9">
      <w:pPr>
        <w:pStyle w:val="Default"/>
        <w:rPr>
          <w:bCs/>
          <w:color w:val="auto"/>
          <w:sz w:val="22"/>
          <w:szCs w:val="22"/>
          <w:lang w:val="sk"/>
        </w:rPr>
      </w:pPr>
    </w:p>
    <w:p w14:paraId="1C7AD570" w14:textId="77777777" w:rsidR="00756B9D" w:rsidRPr="00E86955" w:rsidRDefault="00756B9D" w:rsidP="002011F9">
      <w:pPr>
        <w:pStyle w:val="Default"/>
        <w:rPr>
          <w:bCs/>
          <w:color w:val="auto"/>
          <w:sz w:val="22"/>
          <w:szCs w:val="22"/>
          <w:lang w:val="pt"/>
        </w:rPr>
      </w:pPr>
      <w:r w:rsidRPr="00E86955">
        <w:rPr>
          <w:bCs/>
          <w:color w:val="auto"/>
          <w:sz w:val="22"/>
          <w:szCs w:val="22"/>
          <w:lang w:val="pt"/>
        </w:rPr>
        <w:t>Neuraxpharm Bohemia s.r.o.</w:t>
      </w:r>
    </w:p>
    <w:p w14:paraId="2F5AFB23" w14:textId="77777777" w:rsidR="00756B9D" w:rsidRPr="00E86955" w:rsidRDefault="00756B9D" w:rsidP="002011F9">
      <w:pPr>
        <w:pStyle w:val="Default"/>
        <w:rPr>
          <w:bCs/>
          <w:color w:val="auto"/>
          <w:sz w:val="22"/>
          <w:szCs w:val="22"/>
          <w:lang w:val="pt"/>
        </w:rPr>
      </w:pPr>
      <w:r w:rsidRPr="00E86955">
        <w:rPr>
          <w:bCs/>
          <w:color w:val="auto"/>
          <w:sz w:val="22"/>
          <w:szCs w:val="22"/>
          <w:lang w:val="pt"/>
        </w:rPr>
        <w:t>náměstí Republiky 1078/1</w:t>
      </w:r>
    </w:p>
    <w:p w14:paraId="50613233" w14:textId="4584C2F0" w:rsidR="00756B9D" w:rsidRPr="00E86955" w:rsidRDefault="008F0B29" w:rsidP="002011F9">
      <w:pPr>
        <w:pStyle w:val="Default"/>
        <w:rPr>
          <w:bCs/>
          <w:color w:val="auto"/>
          <w:sz w:val="22"/>
          <w:szCs w:val="22"/>
          <w:lang w:val="pt"/>
        </w:rPr>
      </w:pPr>
      <w:r w:rsidRPr="00E86955">
        <w:rPr>
          <w:bCs/>
          <w:color w:val="auto"/>
          <w:sz w:val="22"/>
          <w:szCs w:val="22"/>
          <w:lang w:val="pt"/>
        </w:rPr>
        <w:t>110 00 Praha 1</w:t>
      </w:r>
      <w:r w:rsidRPr="00E86955">
        <w:rPr>
          <w:bCs/>
          <w:color w:val="auto"/>
          <w:sz w:val="22"/>
          <w:szCs w:val="22"/>
          <w:lang w:val="pt"/>
        </w:rPr>
        <w:noBreakHyphen/>
      </w:r>
      <w:r w:rsidR="00756B9D" w:rsidRPr="00E86955">
        <w:rPr>
          <w:bCs/>
          <w:color w:val="auto"/>
          <w:sz w:val="22"/>
          <w:szCs w:val="22"/>
          <w:lang w:val="pt"/>
        </w:rPr>
        <w:t>Nové Město</w:t>
      </w:r>
    </w:p>
    <w:p w14:paraId="3BCFA91E" w14:textId="77777777" w:rsidR="00756B9D" w:rsidRPr="00E86955" w:rsidRDefault="00756B9D" w:rsidP="002011F9">
      <w:pPr>
        <w:pStyle w:val="Default"/>
        <w:rPr>
          <w:color w:val="auto"/>
          <w:sz w:val="22"/>
          <w:szCs w:val="22"/>
        </w:rPr>
      </w:pPr>
      <w:r w:rsidRPr="00E86955">
        <w:rPr>
          <w:bCs/>
          <w:color w:val="auto"/>
          <w:sz w:val="22"/>
          <w:szCs w:val="22"/>
          <w:lang w:val="pt"/>
        </w:rPr>
        <w:t>Česká republika</w:t>
      </w:r>
    </w:p>
    <w:p w14:paraId="18466B9D" w14:textId="77777777" w:rsidR="00AF0C32" w:rsidRPr="00E86955" w:rsidRDefault="00AF0C32" w:rsidP="00E86955">
      <w:pPr>
        <w:tabs>
          <w:tab w:val="left" w:pos="46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329772" w14:textId="77777777" w:rsidR="00831137" w:rsidRPr="00E86955" w:rsidRDefault="00831137" w:rsidP="002011F9">
      <w:pPr>
        <w:pStyle w:val="Default"/>
        <w:rPr>
          <w:color w:val="auto"/>
          <w:sz w:val="22"/>
          <w:szCs w:val="22"/>
        </w:rPr>
      </w:pPr>
    </w:p>
    <w:p w14:paraId="609B1C22" w14:textId="693DD187" w:rsidR="00030952" w:rsidRPr="00E86955" w:rsidRDefault="00030952" w:rsidP="002011F9">
      <w:pPr>
        <w:pStyle w:val="Default"/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>REGISTRAČNÉ ČÍSLO (ČÍSLA)</w:t>
      </w:r>
    </w:p>
    <w:p w14:paraId="2BE8CB4E" w14:textId="77777777" w:rsidR="00831137" w:rsidRPr="00E86955" w:rsidRDefault="00831137" w:rsidP="002011F9">
      <w:pPr>
        <w:pStyle w:val="Default"/>
        <w:rPr>
          <w:bCs/>
          <w:color w:val="auto"/>
          <w:sz w:val="22"/>
          <w:szCs w:val="22"/>
          <w:lang w:val="sk"/>
        </w:rPr>
      </w:pPr>
    </w:p>
    <w:p w14:paraId="7BEE386C" w14:textId="613A529A" w:rsidR="00C24791" w:rsidRPr="00E86955" w:rsidRDefault="001A3B94" w:rsidP="002011F9">
      <w:pPr>
        <w:pStyle w:val="Default"/>
        <w:rPr>
          <w:bCs/>
          <w:color w:val="auto"/>
          <w:sz w:val="22"/>
          <w:szCs w:val="22"/>
          <w:lang w:val="sk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Dulxetenon</w:t>
      </w:r>
      <w:proofErr w:type="spellEnd"/>
      <w:r w:rsidR="00C24791" w:rsidRPr="00E86955">
        <w:rPr>
          <w:color w:val="auto"/>
          <w:sz w:val="22"/>
          <w:szCs w:val="22"/>
          <w:lang w:val="sk"/>
        </w:rPr>
        <w:t xml:space="preserve"> 30 mg: </w:t>
      </w:r>
      <w:r w:rsidR="00C24791" w:rsidRPr="00E86955">
        <w:rPr>
          <w:bCs/>
          <w:color w:val="auto"/>
          <w:sz w:val="22"/>
          <w:szCs w:val="22"/>
          <w:lang w:val="sk"/>
        </w:rPr>
        <w:t>30/0114/19-S</w:t>
      </w:r>
    </w:p>
    <w:p w14:paraId="565C4208" w14:textId="157FC859" w:rsidR="00C24791" w:rsidRPr="00E86955" w:rsidRDefault="001A3B94" w:rsidP="002011F9">
      <w:pPr>
        <w:pStyle w:val="Default"/>
        <w:rPr>
          <w:bCs/>
          <w:color w:val="auto"/>
          <w:sz w:val="22"/>
          <w:szCs w:val="22"/>
          <w:lang w:val="sk"/>
        </w:rPr>
      </w:pPr>
      <w:proofErr w:type="spellStart"/>
      <w:r w:rsidRPr="00E86955">
        <w:rPr>
          <w:color w:val="auto"/>
          <w:sz w:val="22"/>
          <w:szCs w:val="22"/>
          <w:lang w:val="sk"/>
        </w:rPr>
        <w:t>Dulxetenon</w:t>
      </w:r>
      <w:proofErr w:type="spellEnd"/>
      <w:r w:rsidR="00C24791" w:rsidRPr="00E86955">
        <w:rPr>
          <w:color w:val="auto"/>
          <w:sz w:val="22"/>
          <w:szCs w:val="22"/>
          <w:lang w:val="sk"/>
        </w:rPr>
        <w:t xml:space="preserve"> 60 mg: </w:t>
      </w:r>
      <w:r w:rsidR="00C24791" w:rsidRPr="00E86955">
        <w:rPr>
          <w:bCs/>
          <w:color w:val="auto"/>
          <w:sz w:val="22"/>
          <w:szCs w:val="22"/>
          <w:lang w:val="sk"/>
        </w:rPr>
        <w:t>30/0115/19-S</w:t>
      </w:r>
    </w:p>
    <w:p w14:paraId="561C71AA" w14:textId="77777777" w:rsidR="00C24791" w:rsidRPr="00E86955" w:rsidRDefault="00C24791" w:rsidP="002011F9">
      <w:pPr>
        <w:pStyle w:val="Default"/>
        <w:rPr>
          <w:bCs/>
          <w:color w:val="auto"/>
          <w:sz w:val="22"/>
          <w:szCs w:val="22"/>
          <w:lang w:val="sk"/>
        </w:rPr>
      </w:pPr>
    </w:p>
    <w:p w14:paraId="399323BC" w14:textId="1860A8B8" w:rsidR="00030952" w:rsidRPr="00E86955" w:rsidRDefault="00030952" w:rsidP="002011F9">
      <w:pPr>
        <w:pStyle w:val="Default"/>
        <w:rPr>
          <w:color w:val="auto"/>
          <w:sz w:val="22"/>
          <w:szCs w:val="22"/>
        </w:rPr>
      </w:pPr>
    </w:p>
    <w:p w14:paraId="5CCEC5E7" w14:textId="76D940F6" w:rsidR="00030952" w:rsidRPr="00E86955" w:rsidRDefault="00030952" w:rsidP="002011F9">
      <w:pPr>
        <w:pStyle w:val="Default"/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>DÁTUM PRVEJ REG</w:t>
      </w:r>
      <w:r w:rsidR="00756B9D" w:rsidRPr="00E86955">
        <w:rPr>
          <w:b/>
          <w:bCs/>
          <w:color w:val="auto"/>
          <w:sz w:val="22"/>
          <w:szCs w:val="22"/>
          <w:lang w:val="sk"/>
        </w:rPr>
        <w:t>ISTRÁCIE/PREDĹŽENIA REGISTRÁCIE</w:t>
      </w:r>
    </w:p>
    <w:p w14:paraId="1CCC2F7A" w14:textId="77777777" w:rsidR="00831137" w:rsidRPr="00E86955" w:rsidRDefault="00831137" w:rsidP="002011F9">
      <w:pPr>
        <w:pStyle w:val="Default"/>
        <w:rPr>
          <w:bCs/>
          <w:color w:val="auto"/>
          <w:sz w:val="22"/>
          <w:szCs w:val="22"/>
          <w:lang w:val="sk"/>
        </w:rPr>
      </w:pPr>
    </w:p>
    <w:p w14:paraId="60462160" w14:textId="677784EE" w:rsidR="00831137" w:rsidRPr="00E86955" w:rsidRDefault="00831137" w:rsidP="002011F9">
      <w:pPr>
        <w:pStyle w:val="Default"/>
        <w:rPr>
          <w:bCs/>
          <w:color w:val="auto"/>
          <w:sz w:val="22"/>
          <w:szCs w:val="22"/>
          <w:lang w:val="sk"/>
        </w:rPr>
      </w:pPr>
      <w:r w:rsidRPr="00E86955">
        <w:rPr>
          <w:bCs/>
          <w:color w:val="auto"/>
          <w:sz w:val="22"/>
          <w:szCs w:val="22"/>
          <w:lang w:val="sk"/>
        </w:rPr>
        <w:t>Dátum prvej registrácie:</w:t>
      </w:r>
      <w:r w:rsidR="009E5803" w:rsidRPr="00E86955">
        <w:rPr>
          <w:bCs/>
          <w:color w:val="auto"/>
          <w:sz w:val="22"/>
          <w:szCs w:val="22"/>
          <w:lang w:val="sk"/>
        </w:rPr>
        <w:t xml:space="preserve"> 29. apríla 2019</w:t>
      </w:r>
    </w:p>
    <w:p w14:paraId="002D5BEF" w14:textId="77777777" w:rsidR="00831137" w:rsidRPr="00E86955" w:rsidRDefault="00831137" w:rsidP="002011F9">
      <w:pPr>
        <w:pStyle w:val="Default"/>
        <w:rPr>
          <w:bCs/>
          <w:color w:val="auto"/>
          <w:sz w:val="22"/>
          <w:szCs w:val="22"/>
          <w:lang w:val="sk"/>
        </w:rPr>
      </w:pPr>
    </w:p>
    <w:p w14:paraId="038B0A42" w14:textId="4F356C5D" w:rsidR="00CC0069" w:rsidRPr="00E86955" w:rsidRDefault="00CC0069" w:rsidP="002011F9">
      <w:pPr>
        <w:pStyle w:val="Default"/>
        <w:rPr>
          <w:color w:val="auto"/>
          <w:sz w:val="22"/>
          <w:szCs w:val="22"/>
        </w:rPr>
      </w:pPr>
    </w:p>
    <w:p w14:paraId="08154991" w14:textId="491F79A9" w:rsidR="00030952" w:rsidRPr="00E86955" w:rsidRDefault="00030952" w:rsidP="002011F9">
      <w:pPr>
        <w:pStyle w:val="Default"/>
        <w:numPr>
          <w:ilvl w:val="0"/>
          <w:numId w:val="2"/>
        </w:numPr>
        <w:ind w:left="567" w:hanging="567"/>
        <w:rPr>
          <w:b/>
          <w:bCs/>
          <w:color w:val="auto"/>
          <w:sz w:val="22"/>
          <w:szCs w:val="22"/>
        </w:rPr>
      </w:pPr>
      <w:r w:rsidRPr="00E86955">
        <w:rPr>
          <w:b/>
          <w:bCs/>
          <w:color w:val="auto"/>
          <w:sz w:val="22"/>
          <w:szCs w:val="22"/>
          <w:lang w:val="sk"/>
        </w:rPr>
        <w:t xml:space="preserve">DÁTUM REVÍZIE TEXTU </w:t>
      </w:r>
    </w:p>
    <w:p w14:paraId="5D14C0F0" w14:textId="77777777" w:rsidR="00831137" w:rsidRPr="00E86955" w:rsidRDefault="00831137" w:rsidP="002011F9">
      <w:pPr>
        <w:pStyle w:val="Default"/>
        <w:rPr>
          <w:sz w:val="22"/>
          <w:szCs w:val="22"/>
        </w:rPr>
      </w:pPr>
    </w:p>
    <w:p w14:paraId="04FCD1D0" w14:textId="37614D56" w:rsidR="00C24791" w:rsidRPr="00E86955" w:rsidRDefault="00E86955" w:rsidP="002011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10/2020</w:t>
      </w:r>
    </w:p>
    <w:sectPr w:rsidR="00C24791" w:rsidRPr="00E86955" w:rsidSect="008F0B29">
      <w:headerReference w:type="default" r:id="rId8"/>
      <w:footerReference w:type="default" r:id="rId9"/>
      <w:type w:val="continuous"/>
      <w:pgSz w:w="11906" w:h="17340"/>
      <w:pgMar w:top="1134" w:right="1418" w:bottom="1134" w:left="1418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7E994" w14:textId="77777777" w:rsidR="008C6B01" w:rsidRDefault="008C6B01" w:rsidP="00AA7647">
      <w:pPr>
        <w:spacing w:after="0" w:line="240" w:lineRule="auto"/>
      </w:pPr>
      <w:r>
        <w:separator/>
      </w:r>
    </w:p>
  </w:endnote>
  <w:endnote w:type="continuationSeparator" w:id="0">
    <w:p w14:paraId="625ACA7F" w14:textId="77777777" w:rsidR="008C6B01" w:rsidRDefault="008C6B01" w:rsidP="00AA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03841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2E3B750" w14:textId="3292B985" w:rsidR="00756B9D" w:rsidRPr="00756B9D" w:rsidRDefault="00756B9D" w:rsidP="00756B9D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56B9D">
          <w:rPr>
            <w:rFonts w:ascii="Times New Roman" w:hAnsi="Times New Roman"/>
            <w:sz w:val="18"/>
            <w:szCs w:val="18"/>
          </w:rPr>
          <w:fldChar w:fldCharType="begin"/>
        </w:r>
        <w:r w:rsidRPr="00756B9D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56B9D">
          <w:rPr>
            <w:rFonts w:ascii="Times New Roman" w:hAnsi="Times New Roman"/>
            <w:sz w:val="18"/>
            <w:szCs w:val="18"/>
          </w:rPr>
          <w:fldChar w:fldCharType="separate"/>
        </w:r>
        <w:r w:rsidR="002011F9" w:rsidRPr="002011F9">
          <w:rPr>
            <w:rFonts w:ascii="Times New Roman" w:hAnsi="Times New Roman"/>
            <w:noProof/>
            <w:sz w:val="18"/>
            <w:szCs w:val="18"/>
            <w:lang w:val="sk-SK"/>
          </w:rPr>
          <w:t>17</w:t>
        </w:r>
        <w:r w:rsidRPr="00756B9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39E62" w14:textId="77777777" w:rsidR="008C6B01" w:rsidRDefault="008C6B01" w:rsidP="00AA7647">
      <w:pPr>
        <w:spacing w:after="0" w:line="240" w:lineRule="auto"/>
      </w:pPr>
      <w:r>
        <w:separator/>
      </w:r>
    </w:p>
  </w:footnote>
  <w:footnote w:type="continuationSeparator" w:id="0">
    <w:p w14:paraId="68466F82" w14:textId="77777777" w:rsidR="008C6B01" w:rsidRDefault="008C6B01" w:rsidP="00AA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C3950" w14:textId="0A850BFE" w:rsidR="00756B9D" w:rsidRPr="00756B9D" w:rsidRDefault="00B41BD4" w:rsidP="00756B9D">
    <w:pPr>
      <w:pStyle w:val="Hlavika"/>
      <w:rPr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9721A3">
      <w:rPr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t xml:space="preserve"> k notifikácii o zmene, ev.č. </w:t>
    </w:r>
    <w:r w:rsidR="009721A3" w:rsidRPr="009721A3">
      <w:rPr>
        <w:rFonts w:ascii="Times New Roman" w:hAnsi="Times New Roman"/>
        <w:sz w:val="18"/>
        <w:szCs w:val="18"/>
      </w:rPr>
      <w:t>2019/04276-Z1A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41E5"/>
    <w:multiLevelType w:val="multilevel"/>
    <w:tmpl w:val="F844E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24A5BC6"/>
    <w:multiLevelType w:val="multilevel"/>
    <w:tmpl w:val="F844E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4C6A324F"/>
    <w:multiLevelType w:val="multilevel"/>
    <w:tmpl w:val="F844E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5CB01789"/>
    <w:multiLevelType w:val="hybridMultilevel"/>
    <w:tmpl w:val="15A239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D2D5F"/>
    <w:multiLevelType w:val="multilevel"/>
    <w:tmpl w:val="F844E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78"/>
    <w:rsid w:val="000001E7"/>
    <w:rsid w:val="00003978"/>
    <w:rsid w:val="00030952"/>
    <w:rsid w:val="00052E37"/>
    <w:rsid w:val="00055788"/>
    <w:rsid w:val="000728AC"/>
    <w:rsid w:val="000E2F8B"/>
    <w:rsid w:val="000E591A"/>
    <w:rsid w:val="000E6643"/>
    <w:rsid w:val="00116EDB"/>
    <w:rsid w:val="00132B2C"/>
    <w:rsid w:val="001411E6"/>
    <w:rsid w:val="001433FD"/>
    <w:rsid w:val="00162CFF"/>
    <w:rsid w:val="00185FBD"/>
    <w:rsid w:val="001948AF"/>
    <w:rsid w:val="001A0BDF"/>
    <w:rsid w:val="001A3B94"/>
    <w:rsid w:val="001C62A9"/>
    <w:rsid w:val="002011F9"/>
    <w:rsid w:val="002127A1"/>
    <w:rsid w:val="0023054E"/>
    <w:rsid w:val="00234FDC"/>
    <w:rsid w:val="0027543C"/>
    <w:rsid w:val="00286095"/>
    <w:rsid w:val="002A461F"/>
    <w:rsid w:val="002B113E"/>
    <w:rsid w:val="002C4B91"/>
    <w:rsid w:val="00315148"/>
    <w:rsid w:val="00315726"/>
    <w:rsid w:val="003411D2"/>
    <w:rsid w:val="00346B2E"/>
    <w:rsid w:val="003B5781"/>
    <w:rsid w:val="003D47FC"/>
    <w:rsid w:val="003E12E8"/>
    <w:rsid w:val="003E2D48"/>
    <w:rsid w:val="003E701C"/>
    <w:rsid w:val="0044604D"/>
    <w:rsid w:val="00470927"/>
    <w:rsid w:val="00486E90"/>
    <w:rsid w:val="004A5CB7"/>
    <w:rsid w:val="004E5FC1"/>
    <w:rsid w:val="005231FD"/>
    <w:rsid w:val="00561075"/>
    <w:rsid w:val="00574768"/>
    <w:rsid w:val="00593E6E"/>
    <w:rsid w:val="00595100"/>
    <w:rsid w:val="005A5FC2"/>
    <w:rsid w:val="005F0373"/>
    <w:rsid w:val="005F4A1E"/>
    <w:rsid w:val="0060652F"/>
    <w:rsid w:val="006464CD"/>
    <w:rsid w:val="0065723C"/>
    <w:rsid w:val="00661217"/>
    <w:rsid w:val="00692DA0"/>
    <w:rsid w:val="006E4399"/>
    <w:rsid w:val="00701FBA"/>
    <w:rsid w:val="0070291A"/>
    <w:rsid w:val="0073423C"/>
    <w:rsid w:val="00740411"/>
    <w:rsid w:val="00756B9D"/>
    <w:rsid w:val="00783FCC"/>
    <w:rsid w:val="007C0AF0"/>
    <w:rsid w:val="007D4DC9"/>
    <w:rsid w:val="00806143"/>
    <w:rsid w:val="00820144"/>
    <w:rsid w:val="0082334F"/>
    <w:rsid w:val="00831137"/>
    <w:rsid w:val="008434B8"/>
    <w:rsid w:val="008466EA"/>
    <w:rsid w:val="00864CC8"/>
    <w:rsid w:val="008943A1"/>
    <w:rsid w:val="008C013E"/>
    <w:rsid w:val="008C6B01"/>
    <w:rsid w:val="008C73A8"/>
    <w:rsid w:val="008D3FC6"/>
    <w:rsid w:val="008F0B29"/>
    <w:rsid w:val="0090550D"/>
    <w:rsid w:val="00906F58"/>
    <w:rsid w:val="00925748"/>
    <w:rsid w:val="0094222F"/>
    <w:rsid w:val="009430B4"/>
    <w:rsid w:val="009721A3"/>
    <w:rsid w:val="009849C0"/>
    <w:rsid w:val="0098742E"/>
    <w:rsid w:val="009E5803"/>
    <w:rsid w:val="009E5EAE"/>
    <w:rsid w:val="00A2708C"/>
    <w:rsid w:val="00A32735"/>
    <w:rsid w:val="00A7163A"/>
    <w:rsid w:val="00A8357C"/>
    <w:rsid w:val="00AA7647"/>
    <w:rsid w:val="00AB3E0F"/>
    <w:rsid w:val="00AB45DA"/>
    <w:rsid w:val="00AC79E2"/>
    <w:rsid w:val="00AE73EF"/>
    <w:rsid w:val="00AF0C32"/>
    <w:rsid w:val="00AF2CC2"/>
    <w:rsid w:val="00AF66C0"/>
    <w:rsid w:val="00B26CFD"/>
    <w:rsid w:val="00B371D5"/>
    <w:rsid w:val="00B403BA"/>
    <w:rsid w:val="00B41BD4"/>
    <w:rsid w:val="00B753C9"/>
    <w:rsid w:val="00BC2C01"/>
    <w:rsid w:val="00C051FD"/>
    <w:rsid w:val="00C065B4"/>
    <w:rsid w:val="00C20B97"/>
    <w:rsid w:val="00C22B2B"/>
    <w:rsid w:val="00C24791"/>
    <w:rsid w:val="00C60153"/>
    <w:rsid w:val="00C655CA"/>
    <w:rsid w:val="00C724F6"/>
    <w:rsid w:val="00CA34E6"/>
    <w:rsid w:val="00CB146D"/>
    <w:rsid w:val="00CC0069"/>
    <w:rsid w:val="00D25D5D"/>
    <w:rsid w:val="00D34BD7"/>
    <w:rsid w:val="00D61A73"/>
    <w:rsid w:val="00D64847"/>
    <w:rsid w:val="00DB5409"/>
    <w:rsid w:val="00DC0E22"/>
    <w:rsid w:val="00DD1248"/>
    <w:rsid w:val="00E41ADC"/>
    <w:rsid w:val="00E45E87"/>
    <w:rsid w:val="00E62019"/>
    <w:rsid w:val="00E85B56"/>
    <w:rsid w:val="00E86955"/>
    <w:rsid w:val="00EA238B"/>
    <w:rsid w:val="00ED768D"/>
    <w:rsid w:val="00EE6FA5"/>
    <w:rsid w:val="00EF127F"/>
    <w:rsid w:val="00F405F0"/>
    <w:rsid w:val="00F46A64"/>
    <w:rsid w:val="00F46D29"/>
    <w:rsid w:val="00F641F0"/>
    <w:rsid w:val="00F70D90"/>
    <w:rsid w:val="00F73FB6"/>
    <w:rsid w:val="00FB0547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A6C58"/>
  <w15:docId w15:val="{C3FE3768-0906-4AEC-80CB-5E933A17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AF0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C0AF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table" w:styleId="Mriekatabuky">
    <w:name w:val="Table Grid"/>
    <w:basedOn w:val="Normlnatabuka"/>
    <w:uiPriority w:val="59"/>
    <w:rsid w:val="000E66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9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3E6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AF0C32"/>
  </w:style>
  <w:style w:type="paragraph" w:styleId="Hlavika">
    <w:name w:val="header"/>
    <w:basedOn w:val="Normlny"/>
    <w:link w:val="HlavikaChar"/>
    <w:uiPriority w:val="99"/>
    <w:unhideWhenUsed/>
    <w:rsid w:val="00AA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7647"/>
    <w:rPr>
      <w:sz w:val="22"/>
      <w:szCs w:val="22"/>
      <w:lang w:val="es-ES" w:eastAsia="es-ES"/>
    </w:rPr>
  </w:style>
  <w:style w:type="paragraph" w:styleId="Pta">
    <w:name w:val="footer"/>
    <w:basedOn w:val="Normlny"/>
    <w:link w:val="PtaChar"/>
    <w:uiPriority w:val="99"/>
    <w:unhideWhenUsed/>
    <w:rsid w:val="00AA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7647"/>
    <w:rPr>
      <w:sz w:val="22"/>
      <w:szCs w:val="22"/>
      <w:lang w:val="es-ES" w:eastAsia="es-ES"/>
    </w:rPr>
  </w:style>
  <w:style w:type="character" w:styleId="Odkaznakomentr">
    <w:name w:val="annotation reference"/>
    <w:basedOn w:val="Predvolenpsmoodseku"/>
    <w:uiPriority w:val="99"/>
    <w:semiHidden/>
    <w:unhideWhenUsed/>
    <w:rsid w:val="00C20B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0B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0B97"/>
    <w:rPr>
      <w:lang w:val="es-ES"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0B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0B97"/>
    <w:rPr>
      <w:b/>
      <w:bCs/>
      <w:lang w:val="es-ES" w:eastAsia="es-ES"/>
    </w:rPr>
  </w:style>
  <w:style w:type="character" w:styleId="Hypertextovprepojenie">
    <w:name w:val="Hyperlink"/>
    <w:rsid w:val="00864CC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5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7596</Words>
  <Characters>43298</Characters>
  <Application>Microsoft Office Word</Application>
  <DocSecurity>0</DocSecurity>
  <Lines>360</Lines>
  <Paragraphs>101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CYMBALTA, INN-duloxetine</vt:lpstr>
      <vt:lpstr>CYMBALTA, INN-duloxetine</vt:lpstr>
      <vt:lpstr>CYMBALTA, INN-duloxetine</vt:lpstr>
    </vt:vector>
  </TitlesOfParts>
  <Company>ASPHALION</Company>
  <LinksUpToDate>false</LinksUpToDate>
  <CharactersWithSpaces>50793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CYMBALTA, INN-duloxetine</dc:title>
  <dc:subject>EPAR</dc:subject>
  <dc:creator>CHMP</dc:creator>
  <cp:lastModifiedBy>zuzana molnarova</cp:lastModifiedBy>
  <cp:revision>3</cp:revision>
  <dcterms:created xsi:type="dcterms:W3CDTF">2020-10-07T06:54:00Z</dcterms:created>
  <dcterms:modified xsi:type="dcterms:W3CDTF">2020-10-07T09:19:00Z</dcterms:modified>
</cp:coreProperties>
</file>