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2CE2F" w14:textId="77777777" w:rsidR="000B2B40" w:rsidRPr="008E5498" w:rsidRDefault="000B2B40" w:rsidP="008E549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SÚHRN CHARAKTERISTICKÝCH VLASTNOSTÍ LIEKU</w:t>
      </w:r>
    </w:p>
    <w:p w14:paraId="0EFC978D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0B4EB1BA" w14:textId="77777777" w:rsidR="00472DF5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504D435" w14:textId="77777777" w:rsidR="000B2B40" w:rsidRPr="008E5498" w:rsidRDefault="000B2B40" w:rsidP="008E5498">
      <w:pPr>
        <w:pStyle w:val="Odsekzoznamu"/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NÁZOV LIEKU</w:t>
      </w:r>
    </w:p>
    <w:p w14:paraId="054DD278" w14:textId="77777777" w:rsidR="00FC42CA" w:rsidRPr="008E5498" w:rsidRDefault="00FC42C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58FF793" w14:textId="29E63FE9" w:rsidR="00547910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Fulvestrant </w:t>
      </w:r>
      <w:r w:rsidR="00C15983" w:rsidRPr="008E5498">
        <w:rPr>
          <w:rFonts w:ascii="Times New Roman" w:hAnsi="Times New Roman"/>
          <w:lang w:val="sk-SK"/>
        </w:rPr>
        <w:t>Glenmark</w:t>
      </w:r>
      <w:r w:rsidRPr="008E5498">
        <w:rPr>
          <w:rFonts w:ascii="Times New Roman" w:hAnsi="Times New Roman"/>
          <w:lang w:val="sk-SK"/>
        </w:rPr>
        <w:t xml:space="preserve"> 250 mg</w:t>
      </w:r>
    </w:p>
    <w:p w14:paraId="4F197BCC" w14:textId="26E1585E" w:rsidR="00472DF5" w:rsidRPr="008E5498" w:rsidRDefault="001536D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injekčný roztok</w:t>
      </w:r>
      <w:r w:rsidR="00016467">
        <w:rPr>
          <w:rFonts w:ascii="Times New Roman" w:hAnsi="Times New Roman"/>
          <w:lang w:val="sk-SK"/>
        </w:rPr>
        <w:t xml:space="preserve"> v naplnenej injekčnej striekačke</w:t>
      </w:r>
    </w:p>
    <w:p w14:paraId="1FAF2032" w14:textId="77777777" w:rsidR="00472DF5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C72E4E6" w14:textId="77777777" w:rsidR="00FC42CA" w:rsidRPr="008E5498" w:rsidRDefault="00FC42C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7EC41102" w14:textId="77777777" w:rsidR="000B2B40" w:rsidRPr="008E5498" w:rsidRDefault="000B2B40" w:rsidP="008E5498">
      <w:pPr>
        <w:pStyle w:val="Odsekzoznamu"/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KVALITATÍVNE A KVANTITATÍVNE ZLOŽENIE</w:t>
      </w:r>
    </w:p>
    <w:p w14:paraId="42CD888A" w14:textId="77777777" w:rsidR="00472DF5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bCs/>
          <w:lang w:val="sk-SK"/>
        </w:rPr>
      </w:pPr>
    </w:p>
    <w:p w14:paraId="61FBF810" w14:textId="735B98E2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Jedna naplnená injekčná striekačka obsahuje 250 mg fulvestrantu v 5 ml roztoku</w:t>
      </w:r>
      <w:r w:rsidR="00110365">
        <w:rPr>
          <w:rFonts w:ascii="Times New Roman" w:hAnsi="Times New Roman"/>
          <w:lang w:val="sk-SK"/>
        </w:rPr>
        <w:t xml:space="preserve"> </w:t>
      </w:r>
      <w:r w:rsidR="00110365" w:rsidRPr="006A560B">
        <w:rPr>
          <w:rFonts w:ascii="Times New Roman" w:hAnsi="Times New Roman"/>
          <w:lang w:val="sk-SK"/>
        </w:rPr>
        <w:t>(50mg/ml)</w:t>
      </w:r>
      <w:r w:rsidRPr="006A560B">
        <w:rPr>
          <w:rFonts w:ascii="Times New Roman" w:hAnsi="Times New Roman"/>
          <w:lang w:val="sk-SK"/>
        </w:rPr>
        <w:t>.</w:t>
      </w:r>
    </w:p>
    <w:p w14:paraId="324A7892" w14:textId="77777777" w:rsidR="00472DF5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E00495C" w14:textId="17A7E851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Pomocné látky so známym účinkom</w:t>
      </w:r>
      <w:r w:rsidR="001536D9" w:rsidRPr="008E5498">
        <w:rPr>
          <w:rFonts w:ascii="Times New Roman" w:hAnsi="Times New Roman"/>
          <w:u w:val="single"/>
          <w:lang w:val="sk-SK"/>
        </w:rPr>
        <w:t xml:space="preserve"> (v 5 ml)</w:t>
      </w:r>
      <w:r w:rsidRPr="008E5498">
        <w:rPr>
          <w:rFonts w:ascii="Times New Roman" w:hAnsi="Times New Roman"/>
          <w:u w:val="single"/>
          <w:lang w:val="sk-SK"/>
        </w:rPr>
        <w:t>:</w:t>
      </w:r>
    </w:p>
    <w:p w14:paraId="4F39AD1E" w14:textId="07CF3102" w:rsidR="001536D9" w:rsidRPr="008E5498" w:rsidRDefault="001536D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etanol (96 %, 500 mg)</w:t>
      </w:r>
    </w:p>
    <w:p w14:paraId="6DF01B49" w14:textId="77777777" w:rsidR="001536D9" w:rsidRPr="008E5498" w:rsidRDefault="001536D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benzylalkohol (500 mg)</w:t>
      </w:r>
    </w:p>
    <w:p w14:paraId="7736347E" w14:textId="5F2BE91A" w:rsidR="00FC42CA" w:rsidRPr="008E5498" w:rsidRDefault="001536D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lang w:val="sk-SK"/>
        </w:rPr>
        <w:t>benzyl</w:t>
      </w:r>
      <w:r w:rsidR="00E8259C">
        <w:rPr>
          <w:rFonts w:ascii="Times New Roman" w:hAnsi="Times New Roman"/>
          <w:lang w:val="sk-SK"/>
        </w:rPr>
        <w:t>-</w:t>
      </w:r>
      <w:r w:rsidRPr="008E5498">
        <w:rPr>
          <w:rFonts w:ascii="Times New Roman" w:hAnsi="Times New Roman"/>
          <w:lang w:val="sk-SK"/>
        </w:rPr>
        <w:t>benzoát (750 mg)</w:t>
      </w:r>
    </w:p>
    <w:p w14:paraId="60627DDF" w14:textId="77777777" w:rsidR="001536D9" w:rsidRPr="008E5498" w:rsidRDefault="001536D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7588B81C" w14:textId="4811DCC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Úplný zoznam pomocných látok, pozri časť 6.1.</w:t>
      </w:r>
    </w:p>
    <w:p w14:paraId="190C1192" w14:textId="77777777" w:rsidR="00472DF5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7F0ACA34" w14:textId="77777777" w:rsidR="008D5A94" w:rsidRPr="008E5498" w:rsidRDefault="008D5A9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BFC279F" w14:textId="77777777" w:rsidR="00472DF5" w:rsidRPr="008E5498" w:rsidRDefault="000B2B40" w:rsidP="008E5498">
      <w:pPr>
        <w:pStyle w:val="Odsekzoznamu"/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LIEKOVÁ FORMA</w:t>
      </w:r>
    </w:p>
    <w:p w14:paraId="7388ECFA" w14:textId="77777777" w:rsidR="008D5A94" w:rsidRPr="008E5498" w:rsidRDefault="008D5A9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6F83A70" w14:textId="7F6161A2" w:rsidR="00472DF5" w:rsidRPr="008E5498" w:rsidRDefault="008D5A9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016467">
        <w:rPr>
          <w:rFonts w:ascii="Times New Roman" w:hAnsi="Times New Roman"/>
          <w:lang w:val="sk-SK"/>
        </w:rPr>
        <w:t>I</w:t>
      </w:r>
      <w:r w:rsidR="00472DF5" w:rsidRPr="00016467">
        <w:rPr>
          <w:rFonts w:ascii="Times New Roman" w:hAnsi="Times New Roman"/>
          <w:lang w:val="sk-SK"/>
        </w:rPr>
        <w:t>njekčn</w:t>
      </w:r>
      <w:r w:rsidR="001536D9" w:rsidRPr="00016467">
        <w:rPr>
          <w:rFonts w:ascii="Times New Roman" w:hAnsi="Times New Roman"/>
          <w:lang w:val="sk-SK"/>
        </w:rPr>
        <w:t xml:space="preserve">ý </w:t>
      </w:r>
      <w:r w:rsidR="009F315F" w:rsidRPr="00016467">
        <w:rPr>
          <w:rFonts w:ascii="Times New Roman" w:hAnsi="Times New Roman"/>
          <w:lang w:val="sk-SK"/>
        </w:rPr>
        <w:t>roztok</w:t>
      </w:r>
      <w:r w:rsidR="009F315F">
        <w:rPr>
          <w:rFonts w:ascii="Times New Roman" w:hAnsi="Times New Roman"/>
          <w:lang w:val="sk-SK"/>
        </w:rPr>
        <w:t xml:space="preserve"> v</w:t>
      </w:r>
      <w:r w:rsidR="00016467">
        <w:rPr>
          <w:rFonts w:ascii="Times New Roman" w:hAnsi="Times New Roman"/>
          <w:lang w:val="sk-SK"/>
        </w:rPr>
        <w:t xml:space="preserve"> naplnenej injekčnej striekačke</w:t>
      </w:r>
    </w:p>
    <w:p w14:paraId="449A9AF9" w14:textId="77777777" w:rsidR="001536D9" w:rsidRPr="008E5498" w:rsidRDefault="001536D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BE6D232" w14:textId="68CA05E3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Číry, bez</w:t>
      </w:r>
      <w:r w:rsidR="008D5A94" w:rsidRPr="008E5498">
        <w:rPr>
          <w:rFonts w:ascii="Times New Roman" w:hAnsi="Times New Roman"/>
          <w:lang w:val="sk-SK"/>
        </w:rPr>
        <w:t>farebný až žltý viskózny roztok</w:t>
      </w:r>
      <w:r w:rsidR="001536D9" w:rsidRPr="008E5498">
        <w:rPr>
          <w:rFonts w:ascii="Times New Roman" w:hAnsi="Times New Roman"/>
          <w:lang w:val="sk-SK"/>
        </w:rPr>
        <w:t>.</w:t>
      </w:r>
    </w:p>
    <w:p w14:paraId="411ABD81" w14:textId="77777777" w:rsidR="00472DF5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9E4C293" w14:textId="77777777" w:rsidR="00472DF5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8094A89" w14:textId="77777777" w:rsidR="00472DF5" w:rsidRPr="008E5498" w:rsidRDefault="000B2B40" w:rsidP="008E5498">
      <w:pPr>
        <w:pStyle w:val="Odsekzoznamu"/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KLINICKÉ ÚDAJE</w:t>
      </w:r>
    </w:p>
    <w:p w14:paraId="377D2809" w14:textId="77777777" w:rsidR="008D5A94" w:rsidRPr="008E5498" w:rsidRDefault="008D5A94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Cs/>
          <w:lang w:val="sk-SK"/>
        </w:rPr>
      </w:pPr>
    </w:p>
    <w:p w14:paraId="5775B8EF" w14:textId="73D6A8FF" w:rsidR="000B2B40" w:rsidRPr="008E5498" w:rsidRDefault="00C15983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4.1</w:t>
      </w:r>
      <w:r w:rsidR="00B10CB1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Terapeutické indikácie</w:t>
      </w:r>
    </w:p>
    <w:p w14:paraId="5A449698" w14:textId="77777777" w:rsidR="00472DF5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lang w:val="sk-SK"/>
        </w:rPr>
      </w:pPr>
    </w:p>
    <w:p w14:paraId="14522308" w14:textId="609E0336" w:rsidR="000B2B40" w:rsidRPr="008E5498" w:rsidRDefault="001A529C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Fulvestrant </w:t>
      </w:r>
      <w:r w:rsidR="001536D9" w:rsidRPr="008E5498">
        <w:rPr>
          <w:rFonts w:ascii="Times New Roman" w:hAnsi="Times New Roman"/>
          <w:lang w:val="sk-SK"/>
        </w:rPr>
        <w:t>Glenmark</w:t>
      </w:r>
      <w:r w:rsidRPr="008E5498">
        <w:rPr>
          <w:rFonts w:ascii="Times New Roman" w:hAnsi="Times New Roman"/>
          <w:lang w:val="sk-SK"/>
        </w:rPr>
        <w:t xml:space="preserve"> je indikovaný:</w:t>
      </w:r>
    </w:p>
    <w:p w14:paraId="2E16AD45" w14:textId="77777777" w:rsidR="001A529C" w:rsidRPr="008E5498" w:rsidRDefault="001A529C" w:rsidP="008E549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v monoterapii na liečbu lokálne pokročilého alebo metastatického karcinómu prsníka s pozitivitou estrogénových receptorov u postmenopauzálnych žien:</w:t>
      </w:r>
    </w:p>
    <w:p w14:paraId="3701EEDB" w14:textId="58701CE5" w:rsidR="001A529C" w:rsidRPr="008E5498" w:rsidRDefault="001A529C" w:rsidP="008E5498">
      <w:pPr>
        <w:widowControl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-</w:t>
      </w:r>
      <w:r w:rsidR="001536D9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>bez predchádzajúcej endokrinnej liečby, alebo</w:t>
      </w:r>
    </w:p>
    <w:p w14:paraId="728B497F" w14:textId="05B559CB" w:rsidR="001A529C" w:rsidRPr="008E5498" w:rsidRDefault="001A529C" w:rsidP="008E5498">
      <w:pPr>
        <w:widowControl w:val="0"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-</w:t>
      </w:r>
      <w:r w:rsidR="001536D9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>s relapsom ochorenia počas alebo po adjuvantnej antiestrogénov</w:t>
      </w:r>
      <w:r w:rsidR="001536D9" w:rsidRPr="008E5498">
        <w:rPr>
          <w:rFonts w:ascii="Times New Roman" w:eastAsia="TimesNewRoman" w:hAnsi="Times New Roman"/>
          <w:lang w:val="sk-SK"/>
        </w:rPr>
        <w:t xml:space="preserve">ej liečbe alebo pri progresii </w:t>
      </w:r>
      <w:r w:rsidRPr="008E5498">
        <w:rPr>
          <w:rFonts w:ascii="Times New Roman" w:eastAsia="TimesNewRoman" w:hAnsi="Times New Roman"/>
          <w:lang w:val="sk-SK"/>
        </w:rPr>
        <w:t>ochorenia počas antiestrogénovej liečby.</w:t>
      </w:r>
    </w:p>
    <w:p w14:paraId="648F93EE" w14:textId="77777777" w:rsidR="001A529C" w:rsidRPr="008E5498" w:rsidRDefault="001A529C" w:rsidP="008E549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v kombinácií s palbociklibom na liečbu lokálne pokročilého alebo metastatického karcinómu</w:t>
      </w:r>
    </w:p>
    <w:p w14:paraId="732B08F8" w14:textId="77777777" w:rsidR="001A529C" w:rsidRPr="008E5498" w:rsidRDefault="001A529C" w:rsidP="008E54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prsníka s pozitivitou hormonálnych receptorov (HR) a negativitou receptora 2 pre ľudský</w:t>
      </w:r>
    </w:p>
    <w:p w14:paraId="5504076E" w14:textId="77777777" w:rsidR="001A529C" w:rsidRPr="008E5498" w:rsidRDefault="001A529C" w:rsidP="008E54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epidermálny rastový faktor (HER2) u žien, ktoré predtým podstúpili endokrinnú liečbu (pozri</w:t>
      </w:r>
    </w:p>
    <w:p w14:paraId="169DF230" w14:textId="77777777" w:rsidR="001A529C" w:rsidRPr="008E5498" w:rsidRDefault="001A529C" w:rsidP="008E549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časť 5.1).</w:t>
      </w:r>
    </w:p>
    <w:p w14:paraId="4460CC24" w14:textId="77777777" w:rsidR="001A529C" w:rsidRPr="008E5498" w:rsidRDefault="001A529C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50845D77" w14:textId="77777777" w:rsidR="001A529C" w:rsidRPr="008E5498" w:rsidRDefault="001A529C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U pre- alebo perimenopauzálnych žien sa má kombinovaná liečba palbociklibom kombinovať</w:t>
      </w:r>
    </w:p>
    <w:p w14:paraId="010276A6" w14:textId="77777777" w:rsidR="001A529C" w:rsidRPr="008E5498" w:rsidRDefault="001A529C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s agonistom hormónu uvoľňujúceho luteinizačný hormón (LHRH).</w:t>
      </w:r>
    </w:p>
    <w:p w14:paraId="568E7EAB" w14:textId="77777777" w:rsidR="00472DF5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39E4116" w14:textId="587B0823" w:rsidR="000B2B40" w:rsidRPr="008E5498" w:rsidRDefault="00C15983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4.2</w:t>
      </w:r>
      <w:r w:rsidR="00B10CB1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Dávkovanie a spôsob podávania</w:t>
      </w:r>
    </w:p>
    <w:p w14:paraId="5933BB90" w14:textId="77777777" w:rsidR="00472DF5" w:rsidRPr="008E5498" w:rsidRDefault="00472DF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lang w:val="sk-SK"/>
        </w:rPr>
      </w:pPr>
    </w:p>
    <w:p w14:paraId="30AF6399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Dávkovanie</w:t>
      </w:r>
    </w:p>
    <w:p w14:paraId="560B0E17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hAnsi="Times New Roman"/>
          <w:i/>
          <w:iCs/>
          <w:lang w:val="sk-SK"/>
        </w:rPr>
        <w:t>Dospelé ženy (vrátane starších žien)</w:t>
      </w:r>
    </w:p>
    <w:p w14:paraId="012876CE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Odporúčaná dávka je 500 mg v jednomesačných intervaloch s ďalšou 500 mg dávkou podanou dva</w:t>
      </w:r>
    </w:p>
    <w:p w14:paraId="08626646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týždne po začiatočnej dávke.</w:t>
      </w:r>
    </w:p>
    <w:p w14:paraId="41FA5011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ADE69D7" w14:textId="1FCB997D" w:rsidR="001A529C" w:rsidRPr="008E5498" w:rsidRDefault="001A529C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Pri použití </w:t>
      </w:r>
      <w:r w:rsidRPr="008E5498">
        <w:rPr>
          <w:rFonts w:ascii="Times New Roman" w:hAnsi="Times New Roman"/>
          <w:lang w:val="sk-SK"/>
        </w:rPr>
        <w:t xml:space="preserve">Fulvestrantu </w:t>
      </w:r>
      <w:r w:rsidR="002D7A1B" w:rsidRPr="008E5498">
        <w:rPr>
          <w:rFonts w:ascii="Times New Roman" w:hAnsi="Times New Roman"/>
          <w:lang w:val="sk-SK"/>
        </w:rPr>
        <w:t>Glenmark</w:t>
      </w:r>
      <w:r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 kombinácií s palbociklibom pozri tiež súhrn charakteristických vlastností</w:t>
      </w:r>
      <w:r w:rsidR="00D31DB6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palbociklibu.</w:t>
      </w:r>
    </w:p>
    <w:p w14:paraId="018F2E2F" w14:textId="77777777" w:rsidR="00D31DB6" w:rsidRPr="008E5498" w:rsidRDefault="00D31DB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6CEB62B7" w14:textId="77777777" w:rsidR="001A529C" w:rsidRPr="008E5498" w:rsidRDefault="001A529C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Pred začatím liečby kombináciou </w:t>
      </w:r>
      <w:r w:rsidR="002169C2" w:rsidRPr="008E5498">
        <w:rPr>
          <w:rFonts w:ascii="Times New Roman" w:hAnsi="Times New Roman"/>
          <w:lang w:val="sk-SK"/>
        </w:rPr>
        <w:t>f</w:t>
      </w:r>
      <w:r w:rsidR="00D31DB6" w:rsidRPr="008E5498">
        <w:rPr>
          <w:rFonts w:ascii="Times New Roman" w:hAnsi="Times New Roman"/>
          <w:lang w:val="sk-SK"/>
        </w:rPr>
        <w:t xml:space="preserve">ulvestrant </w:t>
      </w:r>
      <w:r w:rsidRPr="008E5498">
        <w:rPr>
          <w:rFonts w:ascii="Times New Roman" w:eastAsia="TimesNewRoman" w:hAnsi="Times New Roman"/>
          <w:lang w:val="sk-SK"/>
        </w:rPr>
        <w:t>plus palbociklib a počas jej trvania musia byť</w:t>
      </w:r>
      <w:r w:rsidR="00D31DB6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pre/perimenopauzálne ženy liečené agonistom LHRH podľa lokálnej klinickej praxe.</w:t>
      </w:r>
    </w:p>
    <w:p w14:paraId="1D36F5AD" w14:textId="77777777" w:rsidR="001A529C" w:rsidRPr="008E5498" w:rsidRDefault="001A529C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07BC224" w14:textId="55EB7A63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 xml:space="preserve">Osobitné </w:t>
      </w:r>
      <w:r w:rsidR="002D7A1B" w:rsidRPr="008E5498">
        <w:rPr>
          <w:rFonts w:ascii="Times New Roman" w:hAnsi="Times New Roman"/>
          <w:u w:val="single"/>
          <w:lang w:val="sk-SK"/>
        </w:rPr>
        <w:t xml:space="preserve">skupiny </w:t>
      </w:r>
    </w:p>
    <w:p w14:paraId="06D3C62F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hAnsi="Times New Roman"/>
          <w:i/>
          <w:iCs/>
          <w:lang w:val="sk-SK"/>
        </w:rPr>
        <w:t>Porucha funkcie obličiek</w:t>
      </w:r>
    </w:p>
    <w:p w14:paraId="0566AA28" w14:textId="7231B23D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U </w:t>
      </w:r>
      <w:r w:rsidR="0005057B" w:rsidRPr="008E5498">
        <w:rPr>
          <w:rFonts w:ascii="Times New Roman" w:hAnsi="Times New Roman"/>
          <w:lang w:val="sk-SK"/>
        </w:rPr>
        <w:t>pacient</w:t>
      </w:r>
      <w:r w:rsidR="0005057B">
        <w:rPr>
          <w:rFonts w:ascii="Times New Roman" w:hAnsi="Times New Roman"/>
          <w:lang w:val="sk-SK"/>
        </w:rPr>
        <w:t>o</w:t>
      </w:r>
      <w:r w:rsidR="0005057B" w:rsidRPr="008E5498">
        <w:rPr>
          <w:rFonts w:ascii="Times New Roman" w:hAnsi="Times New Roman"/>
          <w:lang w:val="sk-SK"/>
        </w:rPr>
        <w:t>k</w:t>
      </w:r>
      <w:bookmarkStart w:id="0" w:name="_GoBack"/>
      <w:bookmarkEnd w:id="0"/>
      <w:r w:rsidR="0005057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s </w:t>
      </w:r>
      <w:r w:rsidR="002D7A1B" w:rsidRPr="008E5498">
        <w:rPr>
          <w:rFonts w:ascii="Times New Roman" w:hAnsi="Times New Roman"/>
          <w:lang w:val="sk-SK"/>
        </w:rPr>
        <w:t>miernou</w:t>
      </w:r>
      <w:r w:rsidRPr="008E5498">
        <w:rPr>
          <w:rFonts w:ascii="Times New Roman" w:hAnsi="Times New Roman"/>
          <w:lang w:val="sk-SK"/>
        </w:rPr>
        <w:t xml:space="preserve"> až stredne </w:t>
      </w:r>
      <w:r w:rsidR="002D7A1B" w:rsidRPr="008E5498">
        <w:rPr>
          <w:rFonts w:ascii="Times New Roman" w:hAnsi="Times New Roman"/>
          <w:lang w:val="sk-SK"/>
        </w:rPr>
        <w:t>závažnou</w:t>
      </w:r>
      <w:r w:rsidRPr="008E5498">
        <w:rPr>
          <w:rFonts w:ascii="Times New Roman" w:hAnsi="Times New Roman"/>
          <w:lang w:val="sk-SK"/>
        </w:rPr>
        <w:t xml:space="preserve"> poruchou funkcie obličiek</w:t>
      </w:r>
      <w:r w:rsidR="006D6FC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sa neodporúča žiadna úprava</w:t>
      </w:r>
      <w:r w:rsidR="00D31DB6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dávky</w:t>
      </w:r>
      <w:r w:rsidR="002D7A1B" w:rsidRPr="008E5498">
        <w:rPr>
          <w:rFonts w:ascii="Times New Roman" w:hAnsi="Times New Roman"/>
          <w:lang w:val="sk-SK"/>
        </w:rPr>
        <w:t xml:space="preserve"> (klírens kreatinínu ≥ 30 ml/min)</w:t>
      </w:r>
      <w:r w:rsidRPr="008E5498">
        <w:rPr>
          <w:rFonts w:ascii="Times New Roman" w:hAnsi="Times New Roman"/>
          <w:lang w:val="sk-SK"/>
        </w:rPr>
        <w:t xml:space="preserve">. U </w:t>
      </w:r>
      <w:r w:rsidR="00E60CE6">
        <w:rPr>
          <w:rFonts w:ascii="Times New Roman" w:hAnsi="Times New Roman"/>
          <w:lang w:val="sk-SK"/>
        </w:rPr>
        <w:t>pacientok</w:t>
      </w:r>
      <w:r w:rsidR="0030694A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s</w:t>
      </w:r>
      <w:r w:rsidR="002D7A1B" w:rsidRPr="008E5498">
        <w:rPr>
          <w:rFonts w:ascii="Times New Roman" w:hAnsi="Times New Roman"/>
          <w:lang w:val="sk-SK"/>
        </w:rPr>
        <w:t>o závažnou</w:t>
      </w:r>
      <w:r w:rsidRPr="008E5498">
        <w:rPr>
          <w:rFonts w:ascii="Times New Roman" w:hAnsi="Times New Roman"/>
          <w:lang w:val="sk-SK"/>
        </w:rPr>
        <w:t xml:space="preserve"> poruchou funkcie obličiek</w:t>
      </w:r>
      <w:r w:rsidR="00AB6E71" w:rsidRPr="008E5498">
        <w:rPr>
          <w:rFonts w:ascii="Times New Roman" w:hAnsi="Times New Roman"/>
          <w:lang w:val="sk-SK"/>
        </w:rPr>
        <w:t xml:space="preserve"> </w:t>
      </w:r>
      <w:r w:rsidR="002D7A1B" w:rsidRPr="008E5498">
        <w:rPr>
          <w:rFonts w:ascii="Times New Roman" w:hAnsi="Times New Roman"/>
          <w:lang w:val="sk-SK"/>
        </w:rPr>
        <w:t xml:space="preserve">sa </w:t>
      </w:r>
      <w:r w:rsidRPr="008E5498">
        <w:rPr>
          <w:rFonts w:ascii="Times New Roman" w:hAnsi="Times New Roman"/>
          <w:lang w:val="sk-SK"/>
        </w:rPr>
        <w:t>bezpečnosť</w:t>
      </w:r>
      <w:r w:rsidR="00D31DB6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a účinnosť nehodnot</w:t>
      </w:r>
      <w:r w:rsidR="002D7A1B" w:rsidRPr="008E5498">
        <w:rPr>
          <w:rFonts w:ascii="Times New Roman" w:hAnsi="Times New Roman"/>
          <w:lang w:val="sk-SK"/>
        </w:rPr>
        <w:t>ili (klírens kreatinínu &lt; 30 ml/min)</w:t>
      </w:r>
      <w:r w:rsidRPr="008E5498">
        <w:rPr>
          <w:rFonts w:ascii="Times New Roman" w:hAnsi="Times New Roman"/>
          <w:lang w:val="sk-SK"/>
        </w:rPr>
        <w:t xml:space="preserve">, u týchto </w:t>
      </w:r>
      <w:r w:rsidR="00E60CE6">
        <w:rPr>
          <w:rFonts w:ascii="Times New Roman" w:hAnsi="Times New Roman"/>
          <w:lang w:val="sk-SK"/>
        </w:rPr>
        <w:t>pacientok</w:t>
      </w:r>
      <w:r w:rsidR="0030694A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je preto potrebná</w:t>
      </w:r>
      <w:r w:rsidR="00D31DB6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zvýšená opatrnosť</w:t>
      </w:r>
      <w:r w:rsidR="004D2674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(pozri časť 4.4).</w:t>
      </w:r>
    </w:p>
    <w:p w14:paraId="4E9A7308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63BE415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hAnsi="Times New Roman"/>
          <w:i/>
          <w:iCs/>
          <w:lang w:val="sk-SK"/>
        </w:rPr>
        <w:t>Porucha funkcie pečene</w:t>
      </w:r>
    </w:p>
    <w:p w14:paraId="12A9BBDE" w14:textId="778FD4CE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U </w:t>
      </w:r>
      <w:r w:rsidR="00E60CE6">
        <w:rPr>
          <w:rFonts w:ascii="Times New Roman" w:hAnsi="Times New Roman"/>
          <w:lang w:val="sk-SK"/>
        </w:rPr>
        <w:t>pacientok</w:t>
      </w:r>
      <w:r w:rsidR="002D7A1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s </w:t>
      </w:r>
      <w:r w:rsidR="00F96D4B" w:rsidRPr="008E5498">
        <w:rPr>
          <w:rFonts w:ascii="Times New Roman" w:hAnsi="Times New Roman"/>
          <w:lang w:val="sk-SK"/>
        </w:rPr>
        <w:t xml:space="preserve">miernou až stredne závažnou </w:t>
      </w:r>
      <w:r w:rsidRPr="008E5498">
        <w:rPr>
          <w:rFonts w:ascii="Times New Roman" w:hAnsi="Times New Roman"/>
          <w:lang w:val="sk-SK"/>
        </w:rPr>
        <w:t>poruchou funkcie pečene nie je potrebná úprava dávky.</w:t>
      </w:r>
    </w:p>
    <w:p w14:paraId="1498FD02" w14:textId="2ADA7DF7" w:rsidR="000B2B40" w:rsidRPr="008E5498" w:rsidRDefault="00F96D4B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Nakoľko</w:t>
      </w:r>
      <w:r w:rsidR="000B2B40" w:rsidRPr="008E5498">
        <w:rPr>
          <w:rFonts w:ascii="Times New Roman" w:hAnsi="Times New Roman"/>
          <w:lang w:val="sk-SK"/>
        </w:rPr>
        <w:t xml:space="preserve"> expozícia fulvestrantu môže byť zvýšená, </w:t>
      </w:r>
      <w:r w:rsidR="00B10CB1" w:rsidRPr="008E5498">
        <w:rPr>
          <w:rFonts w:ascii="Times New Roman" w:hAnsi="Times New Roman"/>
          <w:lang w:val="sk-SK"/>
        </w:rPr>
        <w:t>Fulvestrant</w:t>
      </w:r>
      <w:r w:rsidR="000B2B40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Glenmark</w:t>
      </w:r>
      <w:r w:rsidR="00AB6E71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 xml:space="preserve">sa má u týchto </w:t>
      </w:r>
      <w:r w:rsidR="00E60CE6">
        <w:rPr>
          <w:rFonts w:ascii="Times New Roman" w:hAnsi="Times New Roman"/>
          <w:lang w:val="sk-SK"/>
        </w:rPr>
        <w:t>pacientok</w:t>
      </w:r>
      <w:r w:rsidR="000B2B40" w:rsidRPr="008E5498">
        <w:rPr>
          <w:rFonts w:ascii="Times New Roman" w:hAnsi="Times New Roman"/>
          <w:lang w:val="sk-SK"/>
        </w:rPr>
        <w:t xml:space="preserve"> podávať</w:t>
      </w:r>
      <w:r w:rsidR="00D31DB6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 xml:space="preserve">s opatrnosťou. Nie sú údaje u </w:t>
      </w:r>
      <w:r w:rsidR="00E60CE6">
        <w:rPr>
          <w:rFonts w:ascii="Times New Roman" w:hAnsi="Times New Roman"/>
          <w:lang w:val="sk-SK"/>
        </w:rPr>
        <w:t>pacientok</w:t>
      </w:r>
      <w:r w:rsidRPr="008E5498">
        <w:rPr>
          <w:rFonts w:ascii="Times New Roman" w:hAnsi="Times New Roman"/>
          <w:lang w:val="sk-SK"/>
        </w:rPr>
        <w:t xml:space="preserve"> so závažnou </w:t>
      </w:r>
      <w:r w:rsidR="000B2B40" w:rsidRPr="008E5498">
        <w:rPr>
          <w:rFonts w:ascii="Times New Roman" w:hAnsi="Times New Roman"/>
          <w:lang w:val="sk-SK"/>
        </w:rPr>
        <w:t>poruchou funkcie pečene (pozri časti 4.3, 4.4 a 5.2).</w:t>
      </w:r>
    </w:p>
    <w:p w14:paraId="4C2EE289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DB56D13" w14:textId="77777777" w:rsidR="000B2B40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lang w:val="sk-SK"/>
        </w:rPr>
      </w:pPr>
      <w:r w:rsidRPr="008E5498">
        <w:rPr>
          <w:rFonts w:ascii="Times New Roman" w:hAnsi="Times New Roman"/>
          <w:i/>
          <w:lang w:val="sk-SK"/>
        </w:rPr>
        <w:t>Pediatrická populácia</w:t>
      </w:r>
    </w:p>
    <w:p w14:paraId="74263A6E" w14:textId="19DF33BF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Bezpečnosť a účinnosť </w:t>
      </w:r>
      <w:r w:rsidR="001B4F84">
        <w:rPr>
          <w:rFonts w:ascii="Times New Roman" w:hAnsi="Times New Roman"/>
          <w:lang w:val="sk-SK"/>
        </w:rPr>
        <w:t>fulvestrantu</w:t>
      </w:r>
      <w:r w:rsidR="00F96D4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u detí</w:t>
      </w:r>
      <w:r w:rsidR="004D2674" w:rsidRPr="008E5498">
        <w:rPr>
          <w:rFonts w:ascii="Times New Roman" w:hAnsi="Times New Roman"/>
          <w:lang w:val="sk-SK"/>
        </w:rPr>
        <w:t xml:space="preserve"> </w:t>
      </w:r>
      <w:r w:rsidR="00D31DB6" w:rsidRPr="008E5498">
        <w:rPr>
          <w:rFonts w:ascii="Times New Roman" w:hAnsi="Times New Roman"/>
          <w:lang w:val="sk-SK"/>
        </w:rPr>
        <w:t>od narodenia d</w:t>
      </w:r>
      <w:r w:rsidRPr="008E5498">
        <w:rPr>
          <w:rFonts w:ascii="Times New Roman" w:hAnsi="Times New Roman"/>
          <w:lang w:val="sk-SK"/>
        </w:rPr>
        <w:t>o veku</w:t>
      </w:r>
      <w:r w:rsidR="00D31DB6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18 rokov nebol</w:t>
      </w:r>
      <w:r w:rsidR="00F96D4B" w:rsidRPr="008E5498">
        <w:rPr>
          <w:rFonts w:ascii="Times New Roman" w:hAnsi="Times New Roman"/>
          <w:lang w:val="sk-SK"/>
        </w:rPr>
        <w:t>i</w:t>
      </w:r>
      <w:r w:rsidRPr="008E5498">
        <w:rPr>
          <w:rFonts w:ascii="Times New Roman" w:hAnsi="Times New Roman"/>
          <w:lang w:val="sk-SK"/>
        </w:rPr>
        <w:t xml:space="preserve"> </w:t>
      </w:r>
      <w:r w:rsidR="00F96D4B" w:rsidRPr="008E5498">
        <w:rPr>
          <w:rFonts w:ascii="Times New Roman" w:hAnsi="Times New Roman"/>
          <w:lang w:val="sk-SK"/>
        </w:rPr>
        <w:t>stanovené</w:t>
      </w:r>
      <w:r w:rsidRPr="008E5498">
        <w:rPr>
          <w:rFonts w:ascii="Times New Roman" w:hAnsi="Times New Roman"/>
          <w:lang w:val="sk-SK"/>
        </w:rPr>
        <w:t>. V</w:t>
      </w:r>
      <w:r w:rsidR="00F96D4B" w:rsidRPr="008E5498">
        <w:rPr>
          <w:rFonts w:ascii="Times New Roman" w:hAnsi="Times New Roman"/>
          <w:lang w:val="sk-SK"/>
        </w:rPr>
        <w:t> </w:t>
      </w:r>
      <w:r w:rsidR="00D31DB6" w:rsidRPr="008E5498">
        <w:rPr>
          <w:rFonts w:ascii="Times New Roman" w:hAnsi="Times New Roman"/>
          <w:lang w:val="sk-SK"/>
        </w:rPr>
        <w:t>s</w:t>
      </w:r>
      <w:r w:rsidRPr="008E5498">
        <w:rPr>
          <w:rFonts w:ascii="Times New Roman" w:hAnsi="Times New Roman"/>
          <w:lang w:val="sk-SK"/>
        </w:rPr>
        <w:t xml:space="preserve">účasnosti dostupné údaje </w:t>
      </w:r>
      <w:r w:rsidR="00F96D4B" w:rsidRPr="008E5498">
        <w:rPr>
          <w:rFonts w:ascii="Times New Roman" w:hAnsi="Times New Roman"/>
          <w:lang w:val="sk-SK"/>
        </w:rPr>
        <w:t xml:space="preserve">sú </w:t>
      </w:r>
      <w:r w:rsidRPr="008E5498">
        <w:rPr>
          <w:rFonts w:ascii="Times New Roman" w:hAnsi="Times New Roman"/>
          <w:lang w:val="sk-SK"/>
        </w:rPr>
        <w:t>opísané v častiach 5.1 a 5.2, ale ne</w:t>
      </w:r>
      <w:r w:rsidR="00F96D4B" w:rsidRPr="008E5498">
        <w:rPr>
          <w:rFonts w:ascii="Times New Roman" w:hAnsi="Times New Roman"/>
          <w:lang w:val="sk-SK"/>
        </w:rPr>
        <w:t xml:space="preserve">umožňujú uviesť </w:t>
      </w:r>
      <w:r w:rsidRPr="008E5498">
        <w:rPr>
          <w:rFonts w:ascii="Times New Roman" w:hAnsi="Times New Roman"/>
          <w:lang w:val="sk-SK"/>
        </w:rPr>
        <w:t xml:space="preserve">odporúčanie </w:t>
      </w:r>
      <w:r w:rsidR="00F96D4B" w:rsidRPr="008E5498">
        <w:rPr>
          <w:rFonts w:ascii="Times New Roman" w:hAnsi="Times New Roman"/>
          <w:lang w:val="sk-SK"/>
        </w:rPr>
        <w:t>na</w:t>
      </w:r>
      <w:r w:rsidRPr="008E5498">
        <w:rPr>
          <w:rFonts w:ascii="Times New Roman" w:hAnsi="Times New Roman"/>
          <w:lang w:val="sk-SK"/>
        </w:rPr>
        <w:t xml:space="preserve"> dávkovanie.</w:t>
      </w:r>
    </w:p>
    <w:p w14:paraId="799C8791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0509BE64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Spôsob podávania</w:t>
      </w:r>
    </w:p>
    <w:p w14:paraId="61D9A76A" w14:textId="45AA6C79" w:rsidR="00D31DB6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Fulvestrant</w:t>
      </w:r>
      <w:r w:rsidR="000B2B40" w:rsidRPr="008E5498">
        <w:rPr>
          <w:rFonts w:ascii="Times New Roman" w:hAnsi="Times New Roman"/>
          <w:lang w:val="sk-SK"/>
        </w:rPr>
        <w:t xml:space="preserve"> </w:t>
      </w:r>
      <w:r w:rsidR="00F96D4B" w:rsidRPr="008E5498">
        <w:rPr>
          <w:rFonts w:ascii="Times New Roman" w:hAnsi="Times New Roman"/>
          <w:lang w:val="sk-SK"/>
        </w:rPr>
        <w:t xml:space="preserve">Glenmark </w:t>
      </w:r>
      <w:r w:rsidR="000B2B40" w:rsidRPr="008E5498">
        <w:rPr>
          <w:rFonts w:ascii="Times New Roman" w:hAnsi="Times New Roman"/>
          <w:lang w:val="sk-SK"/>
        </w:rPr>
        <w:t xml:space="preserve">sa má podávať formou dvoch následných 5 ml injekcií pomalou </w:t>
      </w:r>
      <w:r w:rsidR="002D7A1B" w:rsidRPr="008E5498">
        <w:rPr>
          <w:rFonts w:ascii="Times New Roman" w:hAnsi="Times New Roman"/>
          <w:lang w:val="sk-SK"/>
        </w:rPr>
        <w:t>vnútro</w:t>
      </w:r>
      <w:r w:rsidR="00813B9F" w:rsidRPr="008E5498">
        <w:rPr>
          <w:rFonts w:ascii="Times New Roman" w:hAnsi="Times New Roman"/>
          <w:lang w:val="sk-SK"/>
        </w:rPr>
        <w:t>-</w:t>
      </w:r>
      <w:r w:rsidR="002D7A1B" w:rsidRPr="008E5498">
        <w:rPr>
          <w:rFonts w:ascii="Times New Roman" w:hAnsi="Times New Roman"/>
          <w:lang w:val="sk-SK"/>
        </w:rPr>
        <w:t>svalovou</w:t>
      </w:r>
      <w:r w:rsidR="000B2B40" w:rsidRPr="008E5498">
        <w:rPr>
          <w:rFonts w:ascii="Times New Roman" w:hAnsi="Times New Roman"/>
          <w:lang w:val="sk-SK"/>
        </w:rPr>
        <w:t xml:space="preserve"> injekciou</w:t>
      </w:r>
      <w:r w:rsidR="00D170D4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(1</w:t>
      </w:r>
      <w:r w:rsidR="00813B9F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-</w:t>
      </w:r>
      <w:r w:rsidR="00813B9F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2 minúty/injekc</w:t>
      </w:r>
      <w:r w:rsidR="00D31DB6" w:rsidRPr="008E5498">
        <w:rPr>
          <w:rFonts w:ascii="Times New Roman" w:hAnsi="Times New Roman"/>
          <w:lang w:val="sk-SK"/>
        </w:rPr>
        <w:t>ia) do každého sedacieho svalu</w:t>
      </w:r>
      <w:r w:rsidR="00D31DB6" w:rsidRPr="008E5498">
        <w:rPr>
          <w:rFonts w:ascii="Times New Roman" w:eastAsia="TimesNewRoman" w:hAnsi="Times New Roman"/>
          <w:lang w:val="sk-SK"/>
        </w:rPr>
        <w:t xml:space="preserve"> (gluteálna oblasť).</w:t>
      </w:r>
    </w:p>
    <w:p w14:paraId="75F88A56" w14:textId="77777777" w:rsidR="002169C2" w:rsidRPr="008E5498" w:rsidRDefault="002169C2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ADFF69B" w14:textId="41AA404D" w:rsidR="00D31DB6" w:rsidRPr="008E5498" w:rsidRDefault="00D31DB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Opatrnosť je potrebná pri injekčnom podávaní </w:t>
      </w:r>
      <w:r w:rsidR="001B4F84">
        <w:rPr>
          <w:rFonts w:ascii="Times New Roman" w:hAnsi="Times New Roman"/>
          <w:lang w:val="sk-SK"/>
        </w:rPr>
        <w:t>fulvestrantu</w:t>
      </w:r>
      <w:r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do dorzogluteálnej oblasti z dôvodu blízkosti sedacieho nervu.</w:t>
      </w:r>
    </w:p>
    <w:p w14:paraId="5D0491C4" w14:textId="77777777" w:rsidR="00D31DB6" w:rsidRPr="008E5498" w:rsidRDefault="00D31DB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1358F6E7" w14:textId="77777777" w:rsidR="004D2674" w:rsidRPr="008E5498" w:rsidRDefault="00D31DB6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Podrobné pokyny na podávanie, pozri časť 6.6.</w:t>
      </w:r>
    </w:p>
    <w:p w14:paraId="5704C892" w14:textId="77777777" w:rsidR="00C464FE" w:rsidRPr="008E5498" w:rsidRDefault="00C464FE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D8F5BE8" w14:textId="77777777" w:rsidR="000B2B40" w:rsidRPr="008E5498" w:rsidRDefault="000B2B40" w:rsidP="008E5498">
      <w:pPr>
        <w:pStyle w:val="Odsekzoznamu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Kontraindikácie</w:t>
      </w:r>
    </w:p>
    <w:p w14:paraId="2FC5CF70" w14:textId="77777777" w:rsidR="00D31DB6" w:rsidRPr="008E5498" w:rsidRDefault="00D31DB6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2B3D4C7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Precitlivenosť na liečivo alebo na ktorúkoľvek </w:t>
      </w:r>
      <w:r w:rsidR="00AB7935" w:rsidRPr="008E5498">
        <w:rPr>
          <w:rFonts w:ascii="Times New Roman" w:hAnsi="Times New Roman"/>
          <w:lang w:val="sk-SK"/>
        </w:rPr>
        <w:t xml:space="preserve">z </w:t>
      </w:r>
      <w:r w:rsidRPr="008E5498">
        <w:rPr>
          <w:rFonts w:ascii="Times New Roman" w:hAnsi="Times New Roman"/>
          <w:lang w:val="sk-SK"/>
        </w:rPr>
        <w:t>pomocn</w:t>
      </w:r>
      <w:r w:rsidR="00AB7935" w:rsidRPr="008E5498">
        <w:rPr>
          <w:rFonts w:ascii="Times New Roman" w:hAnsi="Times New Roman"/>
          <w:lang w:val="sk-SK"/>
        </w:rPr>
        <w:t>ých</w:t>
      </w:r>
      <w:r w:rsidRPr="008E5498">
        <w:rPr>
          <w:rFonts w:ascii="Times New Roman" w:hAnsi="Times New Roman"/>
          <w:lang w:val="sk-SK"/>
        </w:rPr>
        <w:t xml:space="preserve"> lát</w:t>
      </w:r>
      <w:r w:rsidR="00AB7935" w:rsidRPr="008E5498">
        <w:rPr>
          <w:rFonts w:ascii="Times New Roman" w:hAnsi="Times New Roman"/>
          <w:lang w:val="sk-SK"/>
        </w:rPr>
        <w:t>ok</w:t>
      </w:r>
      <w:r w:rsidRPr="008E5498">
        <w:rPr>
          <w:rFonts w:ascii="Times New Roman" w:hAnsi="Times New Roman"/>
          <w:lang w:val="sk-SK"/>
        </w:rPr>
        <w:t xml:space="preserve"> uveden</w:t>
      </w:r>
      <w:r w:rsidR="00AB7935" w:rsidRPr="008E5498">
        <w:rPr>
          <w:rFonts w:ascii="Times New Roman" w:hAnsi="Times New Roman"/>
          <w:lang w:val="sk-SK"/>
        </w:rPr>
        <w:t>ých</w:t>
      </w:r>
      <w:r w:rsidRPr="008E5498">
        <w:rPr>
          <w:rFonts w:ascii="Times New Roman" w:hAnsi="Times New Roman"/>
          <w:lang w:val="sk-SK"/>
        </w:rPr>
        <w:t xml:space="preserve"> v časti 6.1.</w:t>
      </w:r>
    </w:p>
    <w:p w14:paraId="57F6AF02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Gravidita a laktácia (pozri časť 4.6).</w:t>
      </w:r>
    </w:p>
    <w:p w14:paraId="2DA4BBF7" w14:textId="78A8759C" w:rsidR="000B2B40" w:rsidRPr="008E5498" w:rsidRDefault="00813B9F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Závažná</w:t>
      </w:r>
      <w:r w:rsidR="000B2B40" w:rsidRPr="008E5498">
        <w:rPr>
          <w:rFonts w:ascii="Times New Roman" w:hAnsi="Times New Roman"/>
          <w:lang w:val="sk-SK"/>
        </w:rPr>
        <w:t xml:space="preserve"> porucha funkcie pečene (pozri časť 4.4 a 5.2).</w:t>
      </w:r>
    </w:p>
    <w:p w14:paraId="23CBBD36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A268939" w14:textId="77777777" w:rsidR="000B2B40" w:rsidRPr="008E5498" w:rsidRDefault="000B2B40" w:rsidP="008E5498">
      <w:pPr>
        <w:pStyle w:val="Odsekzoznamu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Osobitné upozornenia a opatrenia pri používaní</w:t>
      </w:r>
    </w:p>
    <w:p w14:paraId="136B29EC" w14:textId="77777777" w:rsidR="00D31DB6" w:rsidRPr="008E5498" w:rsidRDefault="00D31DB6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13410E3" w14:textId="653C6068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U </w:t>
      </w:r>
      <w:r w:rsidR="00E60CE6">
        <w:rPr>
          <w:rFonts w:ascii="Times New Roman" w:hAnsi="Times New Roman"/>
          <w:lang w:val="sk-SK"/>
        </w:rPr>
        <w:t>pacientok</w:t>
      </w:r>
      <w:r w:rsidRPr="008E5498">
        <w:rPr>
          <w:rFonts w:ascii="Times New Roman" w:hAnsi="Times New Roman"/>
          <w:lang w:val="sk-SK"/>
        </w:rPr>
        <w:t xml:space="preserve"> s </w:t>
      </w:r>
      <w:r w:rsidR="00813B9F" w:rsidRPr="008E5498">
        <w:rPr>
          <w:rFonts w:ascii="Times New Roman" w:hAnsi="Times New Roman"/>
          <w:lang w:val="sk-SK"/>
        </w:rPr>
        <w:t>miernou</w:t>
      </w:r>
      <w:r w:rsidRPr="008E5498">
        <w:rPr>
          <w:rFonts w:ascii="Times New Roman" w:hAnsi="Times New Roman"/>
          <w:lang w:val="sk-SK"/>
        </w:rPr>
        <w:t xml:space="preserve"> až stredne </w:t>
      </w:r>
      <w:r w:rsidR="00813B9F" w:rsidRPr="008E5498">
        <w:rPr>
          <w:rFonts w:ascii="Times New Roman" w:hAnsi="Times New Roman"/>
          <w:lang w:val="sk-SK"/>
        </w:rPr>
        <w:t>závažnou</w:t>
      </w:r>
      <w:r w:rsidRPr="008E5498">
        <w:rPr>
          <w:rFonts w:ascii="Times New Roman" w:hAnsi="Times New Roman"/>
          <w:lang w:val="sk-SK"/>
        </w:rPr>
        <w:t xml:space="preserve"> poruchou funkcie pečene sa má </w:t>
      </w:r>
      <w:r w:rsidR="002169C2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 xml:space="preserve"> podávať so</w:t>
      </w:r>
      <w:r w:rsidR="00D31DB6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zvýšenou opatrnosťou (pozri časti 4.2, 4.3 a 5.2).</w:t>
      </w:r>
    </w:p>
    <w:p w14:paraId="15789940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4E9BFC59" w14:textId="0A0190C5" w:rsidR="000B2B40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Fulvestrant</w:t>
      </w:r>
      <w:r w:rsidR="000B2B40" w:rsidRPr="008E5498">
        <w:rPr>
          <w:rFonts w:ascii="Times New Roman" w:hAnsi="Times New Roman"/>
          <w:lang w:val="sk-SK"/>
        </w:rPr>
        <w:t xml:space="preserve"> sa má podávať so zvýšenou opatrnosťou u </w:t>
      </w:r>
      <w:r w:rsidR="00E60CE6">
        <w:rPr>
          <w:rFonts w:ascii="Times New Roman" w:hAnsi="Times New Roman"/>
          <w:lang w:val="sk-SK"/>
        </w:rPr>
        <w:t>pacientok</w:t>
      </w:r>
      <w:r w:rsidR="000B2B40" w:rsidRPr="008E5498">
        <w:rPr>
          <w:rFonts w:ascii="Times New Roman" w:hAnsi="Times New Roman"/>
          <w:lang w:val="sk-SK"/>
        </w:rPr>
        <w:t xml:space="preserve"> s</w:t>
      </w:r>
      <w:r w:rsidR="00813B9F" w:rsidRPr="008E5498">
        <w:rPr>
          <w:rFonts w:ascii="Times New Roman" w:hAnsi="Times New Roman"/>
          <w:lang w:val="sk-SK"/>
        </w:rPr>
        <w:t>o</w:t>
      </w:r>
      <w:r w:rsidR="000B2B40" w:rsidRPr="008E5498">
        <w:rPr>
          <w:rFonts w:ascii="Times New Roman" w:hAnsi="Times New Roman"/>
          <w:lang w:val="sk-SK"/>
        </w:rPr>
        <w:t xml:space="preserve"> </w:t>
      </w:r>
      <w:r w:rsidR="00813B9F" w:rsidRPr="008E5498">
        <w:rPr>
          <w:rFonts w:ascii="Times New Roman" w:hAnsi="Times New Roman"/>
          <w:lang w:val="sk-SK"/>
        </w:rPr>
        <w:t>závažnou</w:t>
      </w:r>
      <w:r w:rsidR="000B2B40" w:rsidRPr="008E5498">
        <w:rPr>
          <w:rFonts w:ascii="Times New Roman" w:hAnsi="Times New Roman"/>
          <w:lang w:val="sk-SK"/>
        </w:rPr>
        <w:t xml:space="preserve"> poruchou funkcie obličiek</w:t>
      </w:r>
      <w:r w:rsidR="00D170D4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(klírens kreatinínu menej ako 30 ml/min).</w:t>
      </w:r>
    </w:p>
    <w:p w14:paraId="512CC2D7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D3B8A26" w14:textId="3C89F1DA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Vzhľadom na intramuskulárny spôsob pod</w:t>
      </w:r>
      <w:r w:rsidR="001B4F84">
        <w:rPr>
          <w:rFonts w:ascii="Times New Roman" w:hAnsi="Times New Roman"/>
          <w:lang w:val="sk-SK"/>
        </w:rPr>
        <w:t>ávania</w:t>
      </w:r>
      <w:r w:rsidRPr="008E5498">
        <w:rPr>
          <w:rFonts w:ascii="Times New Roman" w:hAnsi="Times New Roman"/>
          <w:lang w:val="sk-SK"/>
        </w:rPr>
        <w:t xml:space="preserve"> sa má </w:t>
      </w:r>
      <w:r w:rsidR="002169C2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 xml:space="preserve"> používať opatrne u</w:t>
      </w:r>
      <w:r w:rsidR="00813B9F" w:rsidRPr="008E5498">
        <w:rPr>
          <w:rFonts w:ascii="Times New Roman" w:hAnsi="Times New Roman"/>
          <w:lang w:val="sk-SK"/>
        </w:rPr>
        <w:t> </w:t>
      </w:r>
      <w:r w:rsidR="00E60CE6">
        <w:rPr>
          <w:rFonts w:ascii="Times New Roman" w:hAnsi="Times New Roman"/>
          <w:lang w:val="sk-SK"/>
        </w:rPr>
        <w:t>pacientok</w:t>
      </w:r>
      <w:r w:rsidR="00813B9F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s hemoragickou diatézou, trombocytopéniou alebo u</w:t>
      </w:r>
      <w:r w:rsidR="00813B9F" w:rsidRPr="008E5498">
        <w:rPr>
          <w:rFonts w:ascii="Times New Roman" w:hAnsi="Times New Roman"/>
          <w:lang w:val="sk-SK"/>
        </w:rPr>
        <w:t> </w:t>
      </w:r>
      <w:r w:rsidR="00E60CE6">
        <w:rPr>
          <w:rFonts w:ascii="Times New Roman" w:hAnsi="Times New Roman"/>
          <w:lang w:val="sk-SK"/>
        </w:rPr>
        <w:t>pacientok</w:t>
      </w:r>
      <w:r w:rsidR="00813B9F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liečených antikoagulanciami.</w:t>
      </w:r>
    </w:p>
    <w:p w14:paraId="302F97B1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EFA8275" w14:textId="521F89F4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U žien s pokročilou rakovinou prsníka sa často vyskytli tromboembolické príhody, ktoré boli</w:t>
      </w:r>
      <w:r w:rsidR="0007590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pozorované v klinických štúdiách s </w:t>
      </w:r>
      <w:r w:rsidR="00D31DB6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>om</w:t>
      </w:r>
      <w:r w:rsidR="00AB6E71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(pozri časť 4.8). Pri predpisovaní </w:t>
      </w:r>
      <w:r w:rsidR="002169C2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>u</w:t>
      </w:r>
      <w:r w:rsidR="00D31DB6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rizikovým pacient</w:t>
      </w:r>
      <w:r w:rsidR="00D2677B" w:rsidRPr="008E5498">
        <w:rPr>
          <w:rFonts w:ascii="Times New Roman" w:hAnsi="Times New Roman"/>
          <w:lang w:val="sk-SK"/>
        </w:rPr>
        <w:t>k</w:t>
      </w:r>
      <w:r w:rsidR="003F00D4" w:rsidRPr="008E5498">
        <w:rPr>
          <w:rFonts w:ascii="Times New Roman" w:hAnsi="Times New Roman"/>
          <w:lang w:val="sk-SK"/>
        </w:rPr>
        <w:t>a</w:t>
      </w:r>
      <w:r w:rsidR="00D2677B" w:rsidRPr="008E5498">
        <w:rPr>
          <w:rFonts w:ascii="Times New Roman" w:hAnsi="Times New Roman"/>
          <w:lang w:val="sk-SK"/>
        </w:rPr>
        <w:t>m</w:t>
      </w:r>
      <w:r w:rsidRPr="008E5498">
        <w:rPr>
          <w:rFonts w:ascii="Times New Roman" w:hAnsi="Times New Roman"/>
          <w:lang w:val="sk-SK"/>
        </w:rPr>
        <w:t xml:space="preserve"> sa má na to brať ohľad.</w:t>
      </w:r>
    </w:p>
    <w:p w14:paraId="1B6BBC6A" w14:textId="77777777" w:rsidR="00D31DB6" w:rsidRPr="008E5498" w:rsidRDefault="00D31DB6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FD089FE" w14:textId="4E821327" w:rsidR="00D31DB6" w:rsidRPr="008E5498" w:rsidRDefault="00D31DB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V súvislosti s injekciou </w:t>
      </w:r>
      <w:r w:rsidR="00286944" w:rsidRPr="008E5498">
        <w:rPr>
          <w:rFonts w:ascii="Times New Roman" w:eastAsia="TimesNewRoman" w:hAnsi="Times New Roman"/>
          <w:lang w:val="sk-SK"/>
        </w:rPr>
        <w:t>fulvestrantu</w:t>
      </w:r>
      <w:r w:rsidRPr="008E5498">
        <w:rPr>
          <w:rFonts w:ascii="Times New Roman" w:eastAsia="TimesNewRoman" w:hAnsi="Times New Roman"/>
          <w:lang w:val="sk-SK"/>
        </w:rPr>
        <w:t xml:space="preserve"> sa zaznamenali udalosti súvisiace s miestom podania injekcie ako je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ischias, neuralgia, neuropatická bolesť a periférna neuropatia. Opatrnosť je potrebná pri injekčnom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="003F00D4" w:rsidRPr="008E5498">
        <w:rPr>
          <w:rFonts w:ascii="Times New Roman" w:eastAsia="TimesNewRoman" w:hAnsi="Times New Roman"/>
          <w:lang w:val="sk-SK"/>
        </w:rPr>
        <w:t>p</w:t>
      </w:r>
      <w:r w:rsidRPr="008E5498">
        <w:rPr>
          <w:rFonts w:ascii="Times New Roman" w:eastAsia="TimesNewRoman" w:hAnsi="Times New Roman"/>
          <w:lang w:val="sk-SK"/>
        </w:rPr>
        <w:t xml:space="preserve">odávaní </w:t>
      </w:r>
      <w:r w:rsidR="00565ACB" w:rsidRPr="008E5498">
        <w:rPr>
          <w:rFonts w:ascii="Times New Roman" w:hAnsi="Times New Roman"/>
          <w:lang w:val="sk-SK"/>
        </w:rPr>
        <w:t>f</w:t>
      </w:r>
      <w:r w:rsidR="00286944" w:rsidRPr="008E5498">
        <w:rPr>
          <w:rFonts w:ascii="Times New Roman" w:hAnsi="Times New Roman"/>
          <w:lang w:val="sk-SK"/>
        </w:rPr>
        <w:t xml:space="preserve">ulvestrantu </w:t>
      </w:r>
      <w:r w:rsidRPr="008E5498">
        <w:rPr>
          <w:rFonts w:ascii="Times New Roman" w:eastAsia="TimesNewRoman" w:hAnsi="Times New Roman"/>
          <w:lang w:val="sk-SK"/>
        </w:rPr>
        <w:t>do dorzogluteálnej oblasti z dôvodu blízkosti sedacieho nervu (pozri časti 4.2</w:t>
      </w:r>
      <w:r w:rsidR="0028694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a 4.8).</w:t>
      </w:r>
    </w:p>
    <w:p w14:paraId="5E4ABCAC" w14:textId="77777777" w:rsidR="00286944" w:rsidRPr="008E5498" w:rsidRDefault="0028694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312C51DB" w14:textId="7FD81E5E" w:rsidR="00D31DB6" w:rsidRPr="008E5498" w:rsidRDefault="00D31DB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Zatiaľ nie sú k dispozícii dlhodobé údaje o pôsobení fulvestrantu na kosti. Vzhľadom na mechanizmus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účinku fulvestrantu existuje potenciálne riziko vzniku osteoporózy.</w:t>
      </w:r>
    </w:p>
    <w:p w14:paraId="0C4D0405" w14:textId="77777777" w:rsidR="00286944" w:rsidRPr="008E5498" w:rsidRDefault="0028694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70A980B2" w14:textId="13101675" w:rsidR="00D31DB6" w:rsidRPr="008E5498" w:rsidRDefault="00D31DB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Účinnosť a bezpečnosť </w:t>
      </w:r>
      <w:r w:rsidR="00286944" w:rsidRPr="008E5498">
        <w:rPr>
          <w:rFonts w:ascii="Times New Roman" w:eastAsia="TimesNewRoman" w:hAnsi="Times New Roman"/>
          <w:lang w:val="sk-SK"/>
        </w:rPr>
        <w:t>fulvestrantu</w:t>
      </w:r>
      <w:r w:rsidRPr="008E5498">
        <w:rPr>
          <w:rFonts w:ascii="Times New Roman" w:eastAsia="TimesNewRoman" w:hAnsi="Times New Roman"/>
          <w:lang w:val="sk-SK"/>
        </w:rPr>
        <w:t xml:space="preserve"> (buď v monoterapii alebo v kombinácii s palbociklibom) sa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u</w:t>
      </w:r>
      <w:r w:rsidR="00813B9F" w:rsidRPr="008E5498">
        <w:rPr>
          <w:rFonts w:ascii="Times New Roman" w:eastAsia="TimesNewRoman" w:hAnsi="Times New Roman"/>
          <w:lang w:val="sk-SK"/>
        </w:rPr>
        <w:t> 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813B9F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kritickým viscerálnym ochorením neskúmala.</w:t>
      </w:r>
    </w:p>
    <w:p w14:paraId="31BB2E71" w14:textId="77777777" w:rsidR="00286944" w:rsidRPr="008E5498" w:rsidRDefault="0028694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74F17B24" w14:textId="33D60453" w:rsidR="00D31DB6" w:rsidRPr="008E5498" w:rsidRDefault="00D31DB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Pri použití </w:t>
      </w:r>
      <w:r w:rsidR="00286944" w:rsidRPr="008E5498">
        <w:rPr>
          <w:rFonts w:ascii="Times New Roman" w:hAnsi="Times New Roman"/>
          <w:lang w:val="sk-SK"/>
        </w:rPr>
        <w:t xml:space="preserve">Fulvestrantu </w:t>
      </w:r>
      <w:r w:rsidR="00813B9F" w:rsidRPr="008E5498">
        <w:rPr>
          <w:rFonts w:ascii="Times New Roman" w:hAnsi="Times New Roman"/>
          <w:lang w:val="sk-SK"/>
        </w:rPr>
        <w:t>Glenmark</w:t>
      </w:r>
      <w:r w:rsidR="0028694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 kombinácií s palbociklibom pozri tiež súhrn charakteristických vlastností</w:t>
      </w:r>
      <w:r w:rsidR="0028694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palbociklibu.</w:t>
      </w:r>
    </w:p>
    <w:p w14:paraId="6F0E08F7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087AD35C" w14:textId="77777777" w:rsidR="00286944" w:rsidRPr="008E5498" w:rsidRDefault="0028694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hAnsi="Times New Roman"/>
          <w:i/>
          <w:iCs/>
          <w:lang w:val="sk-SK"/>
        </w:rPr>
        <w:t>Interferencia s hodnotením protilátok proti estradiolu</w:t>
      </w:r>
    </w:p>
    <w:p w14:paraId="26A37243" w14:textId="26BE3992" w:rsidR="00286944" w:rsidRPr="008E5498" w:rsidRDefault="0028694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Vzhľadom na štrukturálnu podobnosť fulvestrantu a estradiolu, môže fulvestrant interferovať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hodnotením protilátok proti estradiolu a môže mať za následok falošne zvýšené hladiny estradiolu.</w:t>
      </w:r>
    </w:p>
    <w:p w14:paraId="676336CD" w14:textId="77777777" w:rsidR="00286944" w:rsidRPr="008E5498" w:rsidRDefault="0028694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2C9C8B96" w14:textId="77777777" w:rsidR="00813B9F" w:rsidRPr="008E5498" w:rsidRDefault="00813B9F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sk-SK"/>
        </w:rPr>
      </w:pPr>
      <w:r w:rsidRPr="009F315F">
        <w:rPr>
          <w:rFonts w:ascii="Times New Roman" w:hAnsi="Times New Roman"/>
          <w:i/>
          <w:lang w:val="sk-SK"/>
        </w:rPr>
        <w:t>Etanol</w:t>
      </w:r>
    </w:p>
    <w:p w14:paraId="34A9A58F" w14:textId="4C6649D1" w:rsidR="00813B9F" w:rsidRPr="008E5498" w:rsidRDefault="00813B9F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Tento liek obsahuje 500 mg alkoholu (etanolu) v každej </w:t>
      </w:r>
      <w:r w:rsidRPr="001B4F84">
        <w:rPr>
          <w:rFonts w:ascii="Times New Roman" w:hAnsi="Times New Roman"/>
          <w:lang w:val="sk-SK"/>
        </w:rPr>
        <w:t>injekcii,</w:t>
      </w:r>
      <w:r w:rsidRPr="008E5498">
        <w:rPr>
          <w:rFonts w:ascii="Times New Roman" w:hAnsi="Times New Roman"/>
          <w:lang w:val="sk-SK"/>
        </w:rPr>
        <w:t xml:space="preserve"> čo zodpovedá </w:t>
      </w:r>
      <w:r w:rsidR="00263359" w:rsidRPr="008E5498">
        <w:rPr>
          <w:rFonts w:ascii="Times New Roman" w:hAnsi="Times New Roman"/>
          <w:lang w:val="sk-SK"/>
        </w:rPr>
        <w:t>100 mg/ml (10 % w/v)</w:t>
      </w:r>
      <w:r w:rsidRPr="008E5498">
        <w:rPr>
          <w:rFonts w:ascii="Times New Roman" w:hAnsi="Times New Roman"/>
          <w:lang w:val="sk-SK"/>
        </w:rPr>
        <w:t xml:space="preserve">. </w:t>
      </w:r>
      <w:r w:rsidR="00F50C6D">
        <w:rPr>
          <w:rFonts w:ascii="Times New Roman" w:hAnsi="Times New Roman"/>
          <w:lang w:val="sk-SK"/>
        </w:rPr>
        <w:t>Množstvo v každej injekcii tohto lieku sa rovná 13 ml piva alebo 5 ml vína.</w:t>
      </w:r>
    </w:p>
    <w:p w14:paraId="3DA2D7C9" w14:textId="77777777" w:rsidR="00813B9F" w:rsidRPr="008E5498" w:rsidRDefault="00813B9F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1A72140" w14:textId="7F81643C" w:rsidR="00263359" w:rsidRPr="008E5498" w:rsidRDefault="00263359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Dávka 500 mg tohto lieku </w:t>
      </w:r>
      <w:r w:rsidRPr="001B4F84">
        <w:rPr>
          <w:rFonts w:ascii="Times New Roman" w:hAnsi="Times New Roman"/>
          <w:lang w:val="sk-SK"/>
        </w:rPr>
        <w:t>(dve injekčné liekovky</w:t>
      </w:r>
      <w:r w:rsidRPr="008E5498">
        <w:rPr>
          <w:rFonts w:ascii="Times New Roman" w:hAnsi="Times New Roman"/>
          <w:lang w:val="sk-SK"/>
        </w:rPr>
        <w:t xml:space="preserve">) podané dospelým ženám </w:t>
      </w:r>
      <w:r w:rsidRPr="001B4F84">
        <w:rPr>
          <w:rFonts w:ascii="Times New Roman" w:hAnsi="Times New Roman"/>
          <w:lang w:val="sk-SK"/>
        </w:rPr>
        <w:t>s </w:t>
      </w:r>
      <w:r w:rsidR="001B4F84">
        <w:rPr>
          <w:rFonts w:ascii="Times New Roman" w:hAnsi="Times New Roman"/>
          <w:lang w:val="sk-SK"/>
        </w:rPr>
        <w:t xml:space="preserve">hmotnosťou </w:t>
      </w:r>
      <w:r w:rsidRPr="008E5498">
        <w:rPr>
          <w:rFonts w:ascii="Times New Roman" w:hAnsi="Times New Roman"/>
          <w:lang w:val="sk-SK"/>
        </w:rPr>
        <w:t>70 kg spôsobia vystavenie 14,3 mg/kg etanolu, čo môže spôsobiť zvýšenie koncentrácie alkoholu v krvi na približne 1,25</w:t>
      </w:r>
      <w:r w:rsidR="004D2E49" w:rsidRPr="008E5498">
        <w:rPr>
          <w:rFonts w:ascii="Times New Roman" w:hAnsi="Times New Roman"/>
          <w:lang w:val="sk-SK"/>
        </w:rPr>
        <w:t> </w:t>
      </w:r>
      <w:r w:rsidRPr="008E5498">
        <w:rPr>
          <w:rFonts w:ascii="Times New Roman" w:hAnsi="Times New Roman"/>
          <w:lang w:val="sk-SK"/>
        </w:rPr>
        <w:t xml:space="preserve">mg/ml (pozri Appendix I of report EMA/CHMP/43486/2018). Na porovnanie, dospelý človek, ktorý vypije pohár vína alebo 500 ml piva má </w:t>
      </w:r>
      <w:r w:rsidR="004D2E49" w:rsidRPr="008E5498">
        <w:rPr>
          <w:rFonts w:ascii="Times New Roman" w:hAnsi="Times New Roman"/>
          <w:lang w:val="sk-SK"/>
        </w:rPr>
        <w:t xml:space="preserve">podiel </w:t>
      </w:r>
      <w:r w:rsidRPr="008E5498">
        <w:rPr>
          <w:rFonts w:ascii="Times New Roman" w:hAnsi="Times New Roman"/>
          <w:lang w:val="sk-SK"/>
        </w:rPr>
        <w:t>alkoholu v krvi približne 50 mg/ml.</w:t>
      </w:r>
    </w:p>
    <w:p w14:paraId="5C4C4A27" w14:textId="77777777" w:rsidR="00263359" w:rsidRPr="008E5498" w:rsidRDefault="00263359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EC1B336" w14:textId="1EBF10E3" w:rsidR="004D2E49" w:rsidRPr="008E5498" w:rsidRDefault="004D2E49" w:rsidP="008E5498">
      <w:pPr>
        <w:pStyle w:val="Zkladntext"/>
        <w:widowControl w:val="0"/>
        <w:ind w:right="3"/>
        <w:jc w:val="both"/>
        <w:rPr>
          <w:i w:val="0"/>
          <w:color w:val="auto"/>
          <w:szCs w:val="22"/>
          <w:lang w:val="sk-SK"/>
        </w:rPr>
      </w:pPr>
      <w:r w:rsidRPr="008E5498">
        <w:rPr>
          <w:i w:val="0"/>
          <w:color w:val="auto"/>
          <w:szCs w:val="22"/>
          <w:lang w:val="sk-SK"/>
        </w:rPr>
        <w:t>Súbežné podávanie s liekmi obsahujúcimi napr. propylénglykol alebo etanol môže viesť k akumulácii etanolu a vyvolaniu nežiaducich účinkov.</w:t>
      </w:r>
    </w:p>
    <w:p w14:paraId="2804F1CA" w14:textId="77777777" w:rsidR="004D2E49" w:rsidRPr="008E5498" w:rsidRDefault="004D2E49" w:rsidP="008E5498">
      <w:pPr>
        <w:pStyle w:val="Zkladntext"/>
        <w:widowControl w:val="0"/>
        <w:ind w:right="3"/>
        <w:jc w:val="both"/>
        <w:rPr>
          <w:i w:val="0"/>
          <w:color w:val="auto"/>
          <w:szCs w:val="22"/>
          <w:lang w:val="sk-SK"/>
        </w:rPr>
      </w:pPr>
    </w:p>
    <w:p w14:paraId="2B3D0660" w14:textId="77777777" w:rsidR="00813B9F" w:rsidRPr="008E5498" w:rsidRDefault="00813B9F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sk-SK"/>
        </w:rPr>
      </w:pPr>
      <w:r w:rsidRPr="008E5498">
        <w:rPr>
          <w:rFonts w:ascii="Times New Roman" w:hAnsi="Times New Roman"/>
          <w:i/>
          <w:lang w:val="sk-SK"/>
        </w:rPr>
        <w:t>Benzylalkohol</w:t>
      </w:r>
    </w:p>
    <w:p w14:paraId="6061570B" w14:textId="0ACD28EF" w:rsidR="00813B9F" w:rsidRPr="008E5498" w:rsidRDefault="004933A7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>
        <w:rPr>
          <w:rFonts w:ascii="Times New Roman" w:hAnsi="Times New Roman"/>
          <w:lang w:val="sk-SK"/>
        </w:rPr>
        <w:t>Tento liek</w:t>
      </w:r>
      <w:r w:rsidR="00263359" w:rsidRPr="008E5498">
        <w:rPr>
          <w:rFonts w:ascii="Times New Roman" w:eastAsia="TimesNewRoman" w:hAnsi="Times New Roman"/>
          <w:lang w:val="sk-SK"/>
        </w:rPr>
        <w:t xml:space="preserve"> </w:t>
      </w:r>
      <w:r w:rsidR="00813B9F" w:rsidRPr="008E5498">
        <w:rPr>
          <w:rFonts w:ascii="Times New Roman" w:hAnsi="Times New Roman"/>
          <w:lang w:val="sk-SK"/>
        </w:rPr>
        <w:t xml:space="preserve">obsahuje </w:t>
      </w:r>
      <w:r w:rsidR="001B4F84">
        <w:rPr>
          <w:rFonts w:ascii="Times New Roman" w:hAnsi="Times New Roman"/>
          <w:lang w:val="sk-SK"/>
        </w:rPr>
        <w:t xml:space="preserve">500 mg </w:t>
      </w:r>
      <w:r w:rsidR="00813B9F" w:rsidRPr="008E5498">
        <w:rPr>
          <w:rFonts w:ascii="Times New Roman" w:hAnsi="Times New Roman"/>
          <w:lang w:val="sk-SK"/>
        </w:rPr>
        <w:t>benzylalkohol</w:t>
      </w:r>
      <w:r w:rsidR="001B4F84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 xml:space="preserve"> v každej naplnenej injekčnej striekačke čo zodpovedá 100 mg/ml.</w:t>
      </w:r>
      <w:r w:rsidR="00813B9F" w:rsidRPr="008E5498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Benzylalkohol</w:t>
      </w:r>
      <w:r w:rsidR="00813B9F" w:rsidRPr="008E5498">
        <w:rPr>
          <w:rFonts w:ascii="Times New Roman" w:hAnsi="Times New Roman"/>
          <w:lang w:val="sk-SK"/>
        </w:rPr>
        <w:t xml:space="preserve"> môže vyvolať alergické reakcie.</w:t>
      </w:r>
    </w:p>
    <w:p w14:paraId="11553297" w14:textId="77777777" w:rsidR="00813B9F" w:rsidRPr="008E5498" w:rsidRDefault="00813B9F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165E97EA" w14:textId="77BC005E" w:rsidR="00EB74CD" w:rsidRPr="008E5498" w:rsidRDefault="00EB74C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Vysoké množstvá sa majú používať opatrne a len ak je to nevyhnutné, najmä u tehotných alebo dojčiacich žien alebo u pacientov s poruchou funkcie pečene alebo obličiek pre vysoké riziko akumulácie a toxicity (metabolická acidóza).</w:t>
      </w:r>
    </w:p>
    <w:p w14:paraId="61D4F4F7" w14:textId="77777777" w:rsidR="00EB74CD" w:rsidRPr="008E5498" w:rsidRDefault="00EB74C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643A34BB" w14:textId="77777777" w:rsidR="000B2B40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Pediatrická populácia</w:t>
      </w:r>
    </w:p>
    <w:p w14:paraId="2805D71B" w14:textId="2A87FBD6" w:rsidR="00565ACB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Fulvestrant</w:t>
      </w:r>
      <w:r w:rsidR="000B2B40" w:rsidRPr="008E5498">
        <w:rPr>
          <w:rFonts w:ascii="Times New Roman" w:hAnsi="Times New Roman"/>
          <w:lang w:val="sk-SK"/>
        </w:rPr>
        <w:t xml:space="preserve"> </w:t>
      </w:r>
      <w:r w:rsidR="00EB74CD" w:rsidRPr="008E5498">
        <w:rPr>
          <w:rFonts w:ascii="Times New Roman" w:hAnsi="Times New Roman"/>
          <w:lang w:val="sk-SK"/>
        </w:rPr>
        <w:t>Glenmark</w:t>
      </w:r>
      <w:r w:rsidR="00AB6E71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 xml:space="preserve">sa neodporúča používať u detí a </w:t>
      </w:r>
      <w:r w:rsidR="00EB74CD" w:rsidRPr="008E5498">
        <w:rPr>
          <w:rFonts w:ascii="Times New Roman" w:hAnsi="Times New Roman"/>
          <w:lang w:val="sk-SK"/>
        </w:rPr>
        <w:t>dospievajúcich</w:t>
      </w:r>
      <w:r w:rsidR="000B2B40" w:rsidRPr="008E5498">
        <w:rPr>
          <w:rFonts w:ascii="Times New Roman" w:hAnsi="Times New Roman"/>
          <w:lang w:val="sk-SK"/>
        </w:rPr>
        <w:t xml:space="preserve">, pretože bezpečnosť a účinnosť </w:t>
      </w:r>
      <w:r w:rsidR="00EB74CD" w:rsidRPr="008E5498">
        <w:rPr>
          <w:rFonts w:ascii="Times New Roman" w:hAnsi="Times New Roman"/>
          <w:lang w:val="sk-SK"/>
        </w:rPr>
        <w:t>sa</w:t>
      </w:r>
      <w:r w:rsidR="000B2B40" w:rsidRPr="008E5498">
        <w:rPr>
          <w:rFonts w:ascii="Times New Roman" w:hAnsi="Times New Roman"/>
          <w:lang w:val="sk-SK"/>
        </w:rPr>
        <w:t xml:space="preserve"> </w:t>
      </w:r>
      <w:r w:rsidR="00EB74CD" w:rsidRPr="008E5498">
        <w:rPr>
          <w:rFonts w:ascii="Times New Roman" w:hAnsi="Times New Roman"/>
          <w:lang w:val="sk-SK"/>
        </w:rPr>
        <w:t xml:space="preserve">v </w:t>
      </w:r>
      <w:r w:rsidR="000B2B40" w:rsidRPr="008E5498">
        <w:rPr>
          <w:rFonts w:ascii="Times New Roman" w:hAnsi="Times New Roman"/>
          <w:lang w:val="sk-SK"/>
        </w:rPr>
        <w:t>tejto skupin</w:t>
      </w:r>
      <w:r w:rsidR="00EB74CD" w:rsidRPr="008E5498">
        <w:rPr>
          <w:rFonts w:ascii="Times New Roman" w:hAnsi="Times New Roman"/>
          <w:lang w:val="sk-SK"/>
        </w:rPr>
        <w:t>e</w:t>
      </w:r>
      <w:r w:rsidR="00E86410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pacientov ne</w:t>
      </w:r>
      <w:r w:rsidR="00EB74CD" w:rsidRPr="008E5498">
        <w:rPr>
          <w:rFonts w:ascii="Times New Roman" w:hAnsi="Times New Roman"/>
          <w:lang w:val="sk-SK"/>
        </w:rPr>
        <w:t>stanovila</w:t>
      </w:r>
      <w:r w:rsidR="000B2B40" w:rsidRPr="008E5498">
        <w:rPr>
          <w:rFonts w:ascii="Times New Roman" w:hAnsi="Times New Roman"/>
          <w:lang w:val="sk-SK"/>
        </w:rPr>
        <w:t xml:space="preserve"> (pozri časť 5.1).</w:t>
      </w:r>
    </w:p>
    <w:p w14:paraId="0319F33D" w14:textId="77777777" w:rsidR="00565ACB" w:rsidRPr="008E5498" w:rsidRDefault="00565ACB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05A1FE6C" w14:textId="77777777" w:rsidR="00B10CB1" w:rsidRPr="008E5498" w:rsidRDefault="000B2B40" w:rsidP="008E5498">
      <w:pPr>
        <w:pStyle w:val="Odsekzoznamu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Liekové a iné interakcie</w:t>
      </w:r>
    </w:p>
    <w:p w14:paraId="32AA2783" w14:textId="77777777" w:rsidR="00E86410" w:rsidRPr="008E5498" w:rsidRDefault="00E8641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6191EFF" w14:textId="7457946D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Klinická interakčná štúdia s midazolamom (substrátom CYP3A4) preukázala, že fulvestrant</w:t>
      </w:r>
      <w:r w:rsidR="0007590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neinhibuje CYP3A4. Klinické interakčné štúdie s rifampicínom (induktor CYP3A4) a</w:t>
      </w:r>
      <w:r w:rsidR="00075903" w:rsidRPr="008E5498">
        <w:rPr>
          <w:rFonts w:ascii="Times New Roman" w:hAnsi="Times New Roman"/>
          <w:lang w:val="sk-SK"/>
        </w:rPr>
        <w:t> </w:t>
      </w:r>
      <w:r w:rsidRPr="008E5498">
        <w:rPr>
          <w:rFonts w:ascii="Times New Roman" w:hAnsi="Times New Roman"/>
          <w:lang w:val="sk-SK"/>
        </w:rPr>
        <w:t>ketokonazolom</w:t>
      </w:r>
      <w:r w:rsidR="0007590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(inhibítor CYP3A4) nepreukázali žiadne klinicky významné zmeny klírensu fulvestrantu. Pacient</w:t>
      </w:r>
      <w:r w:rsidR="00D2677B" w:rsidRPr="008E5498">
        <w:rPr>
          <w:rFonts w:ascii="Times New Roman" w:hAnsi="Times New Roman"/>
          <w:lang w:val="sk-SK"/>
        </w:rPr>
        <w:t>k</w:t>
      </w:r>
      <w:r w:rsidR="005357E4" w:rsidRPr="008E5498">
        <w:rPr>
          <w:rFonts w:ascii="Times New Roman" w:hAnsi="Times New Roman"/>
          <w:lang w:val="sk-SK"/>
        </w:rPr>
        <w:t>á</w:t>
      </w:r>
      <w:r w:rsidRPr="008E5498">
        <w:rPr>
          <w:rFonts w:ascii="Times New Roman" w:hAnsi="Times New Roman"/>
          <w:lang w:val="sk-SK"/>
        </w:rPr>
        <w:t>m,</w:t>
      </w:r>
      <w:r w:rsidR="0007590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ktorým sa podáva fulvestrant súbežne s inhibítormi alebo induktormi CYP3A4, nie je preto potrebné</w:t>
      </w:r>
      <w:r w:rsidR="0007590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upravo</w:t>
      </w:r>
      <w:r w:rsidR="00B10CB1" w:rsidRPr="008E5498">
        <w:rPr>
          <w:rFonts w:ascii="Times New Roman" w:hAnsi="Times New Roman"/>
          <w:lang w:val="sk-SK"/>
        </w:rPr>
        <w:t>vať dávku</w:t>
      </w:r>
      <w:r w:rsidRPr="008E5498">
        <w:rPr>
          <w:rFonts w:ascii="Times New Roman" w:hAnsi="Times New Roman"/>
          <w:lang w:val="sk-SK"/>
        </w:rPr>
        <w:t>.</w:t>
      </w:r>
    </w:p>
    <w:p w14:paraId="5CC6DF8C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47ADF91" w14:textId="77777777" w:rsidR="00B10CB1" w:rsidRPr="008E5498" w:rsidRDefault="000B2B40" w:rsidP="008E5498">
      <w:pPr>
        <w:pStyle w:val="Odsekzoznamu"/>
        <w:widowControl w:val="0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Fertilita, gravidita a laktácia</w:t>
      </w:r>
    </w:p>
    <w:p w14:paraId="08DF9220" w14:textId="77777777" w:rsidR="00E86410" w:rsidRPr="008E5498" w:rsidRDefault="00E8641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</w:p>
    <w:p w14:paraId="03F57DF1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Ženy vo fertilnom veku</w:t>
      </w:r>
    </w:p>
    <w:p w14:paraId="7BED2F62" w14:textId="177A975E" w:rsidR="000B2B40" w:rsidRPr="008E5498" w:rsidRDefault="00C52C3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lastRenderedPageBreak/>
        <w:t>Pacientk</w:t>
      </w:r>
      <w:r w:rsidR="005F6DFF" w:rsidRPr="008E5498">
        <w:rPr>
          <w:rFonts w:ascii="Times New Roman" w:hAnsi="Times New Roman"/>
          <w:lang w:val="sk-SK"/>
        </w:rPr>
        <w:t>y</w:t>
      </w:r>
      <w:r w:rsidR="000B2B40" w:rsidRPr="008E5498">
        <w:rPr>
          <w:rFonts w:ascii="Times New Roman" w:hAnsi="Times New Roman"/>
          <w:lang w:val="sk-SK"/>
        </w:rPr>
        <w:t xml:space="preserve"> vo fertilnom veku </w:t>
      </w:r>
      <w:r w:rsidR="005F6DFF" w:rsidRPr="008E5498">
        <w:rPr>
          <w:rFonts w:ascii="Times New Roman" w:hAnsi="Times New Roman"/>
          <w:lang w:val="sk-SK"/>
        </w:rPr>
        <w:t xml:space="preserve">majú počas liečby Fulvestrantom Glenmark používať </w:t>
      </w:r>
      <w:r w:rsidR="000B2B40" w:rsidRPr="008E5498">
        <w:rPr>
          <w:rFonts w:ascii="Times New Roman" w:hAnsi="Times New Roman"/>
          <w:lang w:val="sk-SK"/>
        </w:rPr>
        <w:t>účinn</w:t>
      </w:r>
      <w:r w:rsidR="005F6DFF" w:rsidRPr="008E5498">
        <w:rPr>
          <w:rFonts w:ascii="Times New Roman" w:hAnsi="Times New Roman"/>
          <w:lang w:val="sk-SK"/>
        </w:rPr>
        <w:t>ú</w:t>
      </w:r>
      <w:r w:rsidR="000B2B40" w:rsidRPr="008E5498">
        <w:rPr>
          <w:rFonts w:ascii="Times New Roman" w:hAnsi="Times New Roman"/>
          <w:lang w:val="sk-SK"/>
        </w:rPr>
        <w:t xml:space="preserve"> antikoncepci</w:t>
      </w:r>
      <w:r w:rsidR="005F6DFF" w:rsidRPr="008E5498">
        <w:rPr>
          <w:rFonts w:ascii="Times New Roman" w:hAnsi="Times New Roman"/>
          <w:lang w:val="sk-SK"/>
        </w:rPr>
        <w:t>u a počas 2 rokov po poslednej dávke</w:t>
      </w:r>
      <w:r w:rsidR="000B2B40" w:rsidRPr="008E5498">
        <w:rPr>
          <w:rFonts w:ascii="Times New Roman" w:hAnsi="Times New Roman"/>
          <w:lang w:val="sk-SK"/>
        </w:rPr>
        <w:t>.</w:t>
      </w:r>
    </w:p>
    <w:p w14:paraId="553FC294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0A188AE6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Gravidita</w:t>
      </w:r>
    </w:p>
    <w:p w14:paraId="6A9558F1" w14:textId="0EA29904" w:rsidR="00FC5DBD" w:rsidRPr="008E5498" w:rsidRDefault="005F6DFF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Fulvestrant Glenmark </w:t>
      </w:r>
      <w:r w:rsidR="000B2B40" w:rsidRPr="008E5498">
        <w:rPr>
          <w:rFonts w:ascii="Times New Roman" w:hAnsi="Times New Roman"/>
          <w:lang w:val="sk-SK"/>
        </w:rPr>
        <w:t xml:space="preserve">je kontraindikovaný </w:t>
      </w:r>
      <w:r w:rsidRPr="008E5498">
        <w:rPr>
          <w:rFonts w:ascii="Times New Roman" w:hAnsi="Times New Roman"/>
          <w:lang w:val="sk-SK"/>
        </w:rPr>
        <w:t>počas</w:t>
      </w:r>
      <w:r w:rsidR="000B2B40" w:rsidRPr="008E5498">
        <w:rPr>
          <w:rFonts w:ascii="Times New Roman" w:hAnsi="Times New Roman"/>
          <w:lang w:val="sk-SK"/>
        </w:rPr>
        <w:t xml:space="preserve"> gravidit</w:t>
      </w:r>
      <w:r w:rsidRPr="008E5498">
        <w:rPr>
          <w:rFonts w:ascii="Times New Roman" w:hAnsi="Times New Roman"/>
          <w:lang w:val="sk-SK"/>
        </w:rPr>
        <w:t>y</w:t>
      </w:r>
      <w:r w:rsidR="000B2B40" w:rsidRPr="008E5498">
        <w:rPr>
          <w:rFonts w:ascii="Times New Roman" w:hAnsi="Times New Roman"/>
          <w:lang w:val="sk-SK"/>
        </w:rPr>
        <w:t xml:space="preserve"> (pozri časť 4.3). Preukázalo sa, že fulvestrant prechádza</w:t>
      </w:r>
      <w:r w:rsidR="00FC5DBD" w:rsidRPr="008E5498">
        <w:rPr>
          <w:rFonts w:ascii="Times New Roman" w:hAnsi="Times New Roman"/>
          <w:lang w:val="sk-SK"/>
        </w:rPr>
        <w:t xml:space="preserve"> placentou po jednorazovej dávke u potkanov a králikov. Štúdie na zvieratách preukázali reprodukčnú toxicitu, vrátane zvýšeného výskytu abnormalít a úmrtí plodu (pozri časť 5.3). Ak </w:t>
      </w:r>
      <w:r w:rsidRPr="008E5498">
        <w:rPr>
          <w:rFonts w:ascii="Times New Roman" w:hAnsi="Times New Roman"/>
          <w:lang w:val="sk-SK"/>
        </w:rPr>
        <w:t>pacientka počas užívania Fulvestrantu Glenmark otehotnie</w:t>
      </w:r>
      <w:r w:rsidR="00FC5DBD" w:rsidRPr="008E5498">
        <w:rPr>
          <w:rFonts w:ascii="Times New Roman" w:hAnsi="Times New Roman"/>
          <w:lang w:val="sk-SK"/>
        </w:rPr>
        <w:t>, musí byť informovaná o potenciálnom riziku pre plod a</w:t>
      </w:r>
      <w:r w:rsidRPr="008E5498">
        <w:rPr>
          <w:rFonts w:ascii="Times New Roman" w:hAnsi="Times New Roman"/>
          <w:lang w:val="sk-SK"/>
        </w:rPr>
        <w:t xml:space="preserve"> o </w:t>
      </w:r>
      <w:r w:rsidR="00FC5DBD" w:rsidRPr="008E5498">
        <w:rPr>
          <w:rFonts w:ascii="Times New Roman" w:hAnsi="Times New Roman"/>
          <w:lang w:val="sk-SK"/>
        </w:rPr>
        <w:t>potenciálnom riziku potratu.</w:t>
      </w:r>
    </w:p>
    <w:p w14:paraId="7E820903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DA0B4C5" w14:textId="77777777" w:rsidR="000B2B40" w:rsidRPr="008E5498" w:rsidRDefault="00FC5DBD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Dojčenie</w:t>
      </w:r>
    </w:p>
    <w:p w14:paraId="0919B3B0" w14:textId="522D78A4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Počas liečby </w:t>
      </w:r>
      <w:r w:rsidR="005F6DFF" w:rsidRPr="008E5498">
        <w:rPr>
          <w:rFonts w:ascii="Times New Roman" w:hAnsi="Times New Roman"/>
          <w:lang w:val="sk-SK"/>
        </w:rPr>
        <w:t xml:space="preserve">Fulvestrantom Glenmark </w:t>
      </w:r>
      <w:r w:rsidRPr="008E5498">
        <w:rPr>
          <w:rFonts w:ascii="Times New Roman" w:hAnsi="Times New Roman"/>
          <w:lang w:val="sk-SK"/>
        </w:rPr>
        <w:t>sa musí dojčenie ukončiť. Fulvestrant sa u samíc potkanov vylučuje do</w:t>
      </w:r>
      <w:r w:rsidR="00D170D4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materského mlieka. Nie je známe, či sa fulvestrant vylučuje do materského mlieka aj u ľudí.</w:t>
      </w:r>
      <w:r w:rsidR="0007590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Vzhľadom k možnosti závažných nežiaducich účinkov fulvestrantu u dojčených detí je používanie</w:t>
      </w:r>
      <w:r w:rsidR="0007590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počas </w:t>
      </w:r>
      <w:r w:rsidR="005F6DFF" w:rsidRPr="008E5498">
        <w:rPr>
          <w:rFonts w:ascii="Times New Roman" w:hAnsi="Times New Roman"/>
          <w:lang w:val="sk-SK"/>
        </w:rPr>
        <w:t>dojčenia</w:t>
      </w:r>
      <w:r w:rsidRPr="008E5498">
        <w:rPr>
          <w:rFonts w:ascii="Times New Roman" w:hAnsi="Times New Roman"/>
          <w:lang w:val="sk-SK"/>
        </w:rPr>
        <w:t xml:space="preserve"> kontraindikované (pozri časť 4.3).</w:t>
      </w:r>
    </w:p>
    <w:p w14:paraId="3A0F2654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723E319D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Fertilita</w:t>
      </w:r>
    </w:p>
    <w:p w14:paraId="570250B7" w14:textId="7012C521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Účinky </w:t>
      </w:r>
      <w:r w:rsidR="005F6DFF" w:rsidRPr="008E5498">
        <w:rPr>
          <w:rFonts w:ascii="Times New Roman" w:hAnsi="Times New Roman"/>
          <w:lang w:val="sk-SK"/>
        </w:rPr>
        <w:t xml:space="preserve">Fulvestrantu Glenmark </w:t>
      </w:r>
      <w:r w:rsidRPr="008E5498">
        <w:rPr>
          <w:rFonts w:ascii="Times New Roman" w:hAnsi="Times New Roman"/>
          <w:lang w:val="sk-SK"/>
        </w:rPr>
        <w:t>na plodnosť ľudí sa nehodnotili.</w:t>
      </w:r>
    </w:p>
    <w:p w14:paraId="0EDF5FEA" w14:textId="77777777" w:rsidR="00B10CB1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2A6F48E9" w14:textId="662CBDF5" w:rsidR="000B2B40" w:rsidRPr="008E5498" w:rsidRDefault="00C15983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4.7</w:t>
      </w:r>
      <w:r w:rsidR="00B10CB1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Ovplyvnenie schopnosti viesť vozidlá a obsluhovať stroje</w:t>
      </w:r>
    </w:p>
    <w:p w14:paraId="0A4CCF44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FB81528" w14:textId="52C2A87E" w:rsidR="000B2B40" w:rsidRPr="008E5498" w:rsidRDefault="005F6DFF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Fulvestrant </w:t>
      </w:r>
      <w:r w:rsidR="000B2B40" w:rsidRPr="008E5498">
        <w:rPr>
          <w:rFonts w:ascii="Times New Roman" w:hAnsi="Times New Roman"/>
          <w:lang w:val="sk-SK"/>
        </w:rPr>
        <w:t>nemá žiadny alebo má zanedbateľný vplyv na schopnosť viesť vozidlá alebo obsluhovať</w:t>
      </w:r>
      <w:r w:rsidR="00D170D4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 xml:space="preserve">stroje. Vzhľadom na to, že sa počas užívania </w:t>
      </w:r>
      <w:r w:rsidR="00FC5DBD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="000B2B40" w:rsidRPr="008E5498">
        <w:rPr>
          <w:rFonts w:ascii="Times New Roman" w:hAnsi="Times New Roman"/>
          <w:lang w:val="sk-SK"/>
        </w:rPr>
        <w:t>u veľmi často vyskytli prípady asténie, musí sa</w:t>
      </w:r>
      <w:r w:rsidR="00D170D4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venovať zvýšená opatrnosť pacientk</w:t>
      </w:r>
      <w:r w:rsidR="00FC5DBD" w:rsidRPr="008E5498">
        <w:rPr>
          <w:rFonts w:ascii="Times New Roman" w:hAnsi="Times New Roman"/>
          <w:lang w:val="sk-SK"/>
        </w:rPr>
        <w:t>a</w:t>
      </w:r>
      <w:r w:rsidR="000B2B40" w:rsidRPr="008E5498">
        <w:rPr>
          <w:rFonts w:ascii="Times New Roman" w:hAnsi="Times New Roman"/>
          <w:lang w:val="sk-SK"/>
        </w:rPr>
        <w:t>m, u ktorých sa vyskytol tento nežiaduci účinok počas vedenia</w:t>
      </w:r>
      <w:r w:rsidR="00D170D4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motorových vozidiel alebo obsluhy strojov.</w:t>
      </w:r>
    </w:p>
    <w:p w14:paraId="141074E1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6608AF1" w14:textId="4E47916F" w:rsidR="002E18B3" w:rsidRPr="008E5498" w:rsidRDefault="00823DE2" w:rsidP="008E5498">
      <w:pPr>
        <w:pStyle w:val="Odsekzoznamu"/>
        <w:widowControl w:val="0"/>
        <w:numPr>
          <w:ilvl w:val="1"/>
          <w:numId w:val="8"/>
        </w:numPr>
        <w:spacing w:after="0" w:line="240" w:lineRule="auto"/>
        <w:ind w:left="567" w:hanging="58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Nežiaduce účinky</w:t>
      </w:r>
    </w:p>
    <w:p w14:paraId="50BF2A06" w14:textId="77777777" w:rsidR="00FC5DBD" w:rsidRPr="008E5498" w:rsidRDefault="00FC5DBD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0BC064A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u w:val="single"/>
          <w:lang w:val="sk-SK"/>
        </w:rPr>
      </w:pPr>
      <w:r w:rsidRPr="008E5498">
        <w:rPr>
          <w:rFonts w:ascii="Times New Roman" w:eastAsia="TimesNewRoman" w:hAnsi="Times New Roman"/>
          <w:u w:val="single"/>
          <w:lang w:val="sk-SK"/>
        </w:rPr>
        <w:t>Súhrn bezpečnostného profilu</w:t>
      </w:r>
    </w:p>
    <w:p w14:paraId="584A241E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i/>
          <w:iCs/>
          <w:lang w:val="sk-SK"/>
        </w:rPr>
      </w:pPr>
      <w:r w:rsidRPr="008E5498">
        <w:rPr>
          <w:rFonts w:ascii="Times New Roman" w:eastAsia="TimesNewRoman" w:hAnsi="Times New Roman"/>
          <w:i/>
          <w:iCs/>
          <w:lang w:val="sk-SK"/>
        </w:rPr>
        <w:t>Monoterapia</w:t>
      </w:r>
    </w:p>
    <w:p w14:paraId="400B138A" w14:textId="7B4CBB59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V tejto časti sa nachádzajú informácie, vychádzajúce zo všetkých nežiaducich reakcií z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klinických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štúdií, postmarketingových štúdií alebo zo spontánnych hlásení. V súhrnnom súbore údajov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z monoterapie fulvestrantom boli najčastejšie hlásenými nežiaducimi reakciami reakcie v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mieste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podania injekcie, asténia, nauzea a zvýšenie hepatálnych enzýmov (ALT, AST, ALP).</w:t>
      </w:r>
    </w:p>
    <w:p w14:paraId="03F96396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611FBC48" w14:textId="199E85DF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V tabuľke 1 boli zistené nasledujúce kategórie frekvencie nežiaducich reakcií (adverse drug reactions,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ADRs), ktoré sú založené na združených analýzach bezpečnosti v liečebnej skupine užívajúcej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fulvestrant </w:t>
      </w:r>
      <w:r w:rsidRPr="008E5498">
        <w:rPr>
          <w:rFonts w:ascii="Times New Roman" w:eastAsia="TimesNewRoman" w:hAnsi="Times New Roman"/>
          <w:lang w:val="sk-SK"/>
        </w:rPr>
        <w:t xml:space="preserve">500 mg v štúdiách porovnávajúcich </w:t>
      </w:r>
      <w:r w:rsidRPr="008E5498">
        <w:rPr>
          <w:rFonts w:ascii="Times New Roman" w:hAnsi="Times New Roman"/>
          <w:lang w:val="sk-SK"/>
        </w:rPr>
        <w:t xml:space="preserve">fulvestrant </w:t>
      </w:r>
      <w:r w:rsidRPr="008E5498">
        <w:rPr>
          <w:rFonts w:ascii="Times New Roman" w:eastAsia="TimesNewRoman" w:hAnsi="Times New Roman"/>
          <w:lang w:val="sk-SK"/>
        </w:rPr>
        <w:t xml:space="preserve">500 mg s </w:t>
      </w:r>
      <w:r w:rsidRPr="008E5498">
        <w:rPr>
          <w:rFonts w:ascii="Times New Roman" w:hAnsi="Times New Roman"/>
          <w:lang w:val="sk-SK"/>
        </w:rPr>
        <w:t xml:space="preserve">fulvestrantom </w:t>
      </w:r>
      <w:r w:rsidRPr="008E5498">
        <w:rPr>
          <w:rFonts w:ascii="Times New Roman" w:eastAsia="TimesNewRoman" w:hAnsi="Times New Roman"/>
          <w:lang w:val="sk-SK"/>
        </w:rPr>
        <w:t>250 mg [CONFIRM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(Štúdia D6997C00002), FINDER 1 (Štúdia D6997C00004), FINDER 2 (Štúdia D6997C00006)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a NEWEST (Štúdia D6997C00003)], alebo zo samotnej štúdie FALCON (Štúdia D699BC00001),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ktorá porovnávala </w:t>
      </w:r>
      <w:r w:rsidRPr="008E5498">
        <w:rPr>
          <w:rFonts w:ascii="Times New Roman" w:hAnsi="Times New Roman"/>
          <w:lang w:val="sk-SK"/>
        </w:rPr>
        <w:t xml:space="preserve">fulvestrant </w:t>
      </w:r>
      <w:r w:rsidRPr="008E5498">
        <w:rPr>
          <w:rFonts w:ascii="Times New Roman" w:eastAsia="TimesNewRoman" w:hAnsi="Times New Roman"/>
          <w:lang w:val="sk-SK"/>
        </w:rPr>
        <w:t>500 mg s anastrozolom 1 mg. Pri rozdieloch vo frekvenciách pri</w:t>
      </w:r>
      <w:r w:rsidR="00C52C3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združených analýzach bezpečnosti a štúdii FALCON sa uvádza najvyššia frekvencia. V tabuľke 1 sú</w:t>
      </w:r>
      <w:r w:rsidR="00C52C3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frekvencie založené na všetkých hlásených nežiaducich reakciách bez ohľadu na hodnotenie kauzality</w:t>
      </w:r>
      <w:r w:rsidR="00C52C3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skúšajúcim. Medián trvania liečby fulvestrantom 500 mg v združenom súbore údajov (vrátane štúdií</w:t>
      </w:r>
      <w:r w:rsidR="00C52C3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uvedených vyššie plus FALCON) bol 6,5 mesiacov.</w:t>
      </w:r>
    </w:p>
    <w:p w14:paraId="1986EFD9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68AC1B91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u w:val="single"/>
          <w:lang w:val="sk-SK"/>
        </w:rPr>
      </w:pPr>
      <w:r w:rsidRPr="008E5498">
        <w:rPr>
          <w:rFonts w:ascii="Times New Roman" w:eastAsia="TimesNewRoman" w:hAnsi="Times New Roman"/>
          <w:u w:val="single"/>
          <w:lang w:val="sk-SK"/>
        </w:rPr>
        <w:t>Tabuľkový zoznam nežiaducich reakcií</w:t>
      </w:r>
    </w:p>
    <w:p w14:paraId="650CE257" w14:textId="045F40A0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Nižšie uvedené nežiaduce reakcie sú klasifikované podľa frekvencie a triedy orgánových systémov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(System Organ Class – SOC). Skupiny frekvencií sú definované nasledovne: veľmi časté (≥ 1/10),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časté (≥ 1/100 až &lt; 1/10), menej časté (≥ 1/1 000 až &lt; 1/100). V rámci jednotlivých skupín frekvencií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sú nežiaduce reakcie usporiadané v poradí klesajúcej závažnosti.</w:t>
      </w:r>
    </w:p>
    <w:p w14:paraId="3A5407B6" w14:textId="77777777" w:rsidR="00FC5DBD" w:rsidRPr="008E5498" w:rsidRDefault="00FC5DBD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44B89E5E" w14:textId="77777777" w:rsidR="00011A32" w:rsidRPr="008E5498" w:rsidRDefault="00FC5DBD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,Bold" w:hAnsi="Times New Roman"/>
          <w:b/>
          <w:bCs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Tabuľka 1 Nežiaduce reakcie hlásené pacientkami liečenými fulvestrantom v monoterapii</w:t>
      </w:r>
    </w:p>
    <w:p w14:paraId="79A06066" w14:textId="77777777" w:rsidR="00FC5DBD" w:rsidRPr="008E5498" w:rsidRDefault="00FC5DBD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lang w:val="sk-SK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86"/>
        <w:gridCol w:w="2347"/>
        <w:gridCol w:w="3755"/>
      </w:tblGrid>
      <w:tr w:rsidR="000915FD" w:rsidRPr="008E5498" w14:paraId="2D325866" w14:textId="77777777" w:rsidTr="004D267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F2A9C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lang w:val="sk-SK"/>
              </w:rPr>
              <w:t>Nežiaduce reakcie podľa orgánových systémov a frekvencie</w:t>
            </w:r>
          </w:p>
        </w:tc>
      </w:tr>
      <w:tr w:rsidR="000915FD" w:rsidRPr="008E5498" w14:paraId="75B20ABC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5FD98" w14:textId="77777777" w:rsidR="000915FD" w:rsidRPr="008E5498" w:rsidRDefault="000915FD" w:rsidP="006A56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Infekcie a nákazy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EA76D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A0080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Infekcie močového systému</w:t>
            </w:r>
          </w:p>
        </w:tc>
      </w:tr>
      <w:tr w:rsidR="00782944" w:rsidRPr="006A560B" w14:paraId="670FDE50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2BF23" w14:textId="77777777" w:rsidR="00782944" w:rsidRPr="008E5498" w:rsidRDefault="00782944" w:rsidP="006A56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Poruchy krvi a lymfatického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B90D5" w14:textId="77777777" w:rsidR="00782944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Č</w:t>
            </w:r>
            <w:r w:rsidR="00782944" w:rsidRPr="008E5498">
              <w:rPr>
                <w:rFonts w:ascii="Times New Roman" w:hAnsi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2388" w14:textId="7357759F" w:rsidR="00782944" w:rsidRPr="008E5498" w:rsidRDefault="00782944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Zníženie počtu krvných do</w:t>
            </w:r>
            <w:r w:rsidR="00D2677B" w:rsidRPr="008E5498">
              <w:rPr>
                <w:rFonts w:ascii="Times New Roman" w:hAnsi="Times New Roman"/>
                <w:lang w:val="sk-SK"/>
              </w:rPr>
              <w:t>š</w:t>
            </w:r>
            <w:r w:rsidRPr="008E5498">
              <w:rPr>
                <w:rFonts w:ascii="Times New Roman" w:hAnsi="Times New Roman"/>
                <w:lang w:val="sk-SK"/>
              </w:rPr>
              <w:t>tičiek</w:t>
            </w:r>
            <w:r w:rsidR="00544E1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="00CF73D8" w:rsidRPr="008E5498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8E5498" w14:paraId="1B10A4FB" w14:textId="77777777" w:rsidTr="001C3EC0">
        <w:trPr>
          <w:trHeight w:val="128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6D08EF5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Poruchy imunitného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93C6C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F5FD8E4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Hypersenzitívne reakcie</w:t>
            </w:r>
            <w:r w:rsidR="00544E1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="00544E18" w:rsidRPr="008E5498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8E5498" w14:paraId="3F23D007" w14:textId="77777777" w:rsidTr="001C3EC0">
        <w:trPr>
          <w:trHeight w:val="127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5F84A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3172E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D39EB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Anafylaktické reakcie</w:t>
            </w:r>
          </w:p>
        </w:tc>
      </w:tr>
      <w:tr w:rsidR="000915FD" w:rsidRPr="008E5498" w14:paraId="6757101F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06659" w14:textId="5AFBD8F5" w:rsidR="000915FD" w:rsidRPr="008E5498" w:rsidRDefault="008E2415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Poruchy metabolizmu a výživy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33AF3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95538" w14:textId="31FAE374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Anorexia</w:t>
            </w:r>
            <w:r w:rsidR="006C26D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8E5498" w14:paraId="3D1793E7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259BE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Poruchy nervového systému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997C0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F96C3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Bolesť hlavy</w:t>
            </w:r>
          </w:p>
        </w:tc>
      </w:tr>
      <w:tr w:rsidR="000D1816" w:rsidRPr="008E5498" w14:paraId="558B9B9E" w14:textId="77777777" w:rsidTr="001C3EC0">
        <w:trPr>
          <w:trHeight w:val="383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C91CF52" w14:textId="0ABF2552" w:rsidR="000D1816" w:rsidRPr="008E5498" w:rsidRDefault="008E2415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P</w:t>
            </w:r>
            <w:r w:rsidR="000D1816" w:rsidRPr="008E5498">
              <w:rPr>
                <w:rFonts w:ascii="Times New Roman" w:hAnsi="Times New Roman"/>
                <w:lang w:val="sk-SK"/>
              </w:rPr>
              <w:t>oruchy</w:t>
            </w:r>
            <w:r w:rsidRPr="008E5498">
              <w:rPr>
                <w:rFonts w:ascii="Times New Roman" w:hAnsi="Times New Roman"/>
                <w:lang w:val="sk-SK"/>
              </w:rPr>
              <w:t xml:space="preserve"> ciev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B64CB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5E677B7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Návaly tepla</w:t>
            </w:r>
            <w:r w:rsidR="00544E1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8E5498" w14:paraId="7E6CA23A" w14:textId="77777777" w:rsidTr="001C3EC0">
        <w:trPr>
          <w:trHeight w:val="382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DEB11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FCFE1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82B29" w14:textId="13229D58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Venózna tromboembólia</w:t>
            </w:r>
            <w:r w:rsidR="00544E1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8E5498" w14:paraId="2A370741" w14:textId="77777777" w:rsidTr="004D2674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87F36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Poruchy gastrointestinálneho traktu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50312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3BC2E" w14:textId="75B746C3" w:rsidR="000915FD" w:rsidRPr="008E5498" w:rsidRDefault="006C26D8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Nauzea</w:t>
            </w:r>
          </w:p>
        </w:tc>
      </w:tr>
      <w:tr w:rsidR="000915FD" w:rsidRPr="008E5498" w14:paraId="68FDA293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E1A96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EBB64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7CF6E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Vracanie, hnačka</w:t>
            </w:r>
          </w:p>
        </w:tc>
      </w:tr>
      <w:tr w:rsidR="000915FD" w:rsidRPr="006A560B" w14:paraId="124A0E9C" w14:textId="77777777" w:rsidTr="004D2674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2C5A8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Poruchy pečene a žlčových ciest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59938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3D55B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Zvýšenie hladín pečeňových</w:t>
            </w:r>
          </w:p>
          <w:p w14:paraId="799CDFFE" w14:textId="00E951A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enzýmov (ALT, AST, ALP)</w:t>
            </w:r>
            <w:r w:rsidR="006C26D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8E5498" w14:paraId="50A63CB8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298C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9C683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16395" w14:textId="2462E49E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Zvýšený bilirubín</w:t>
            </w:r>
            <w:r w:rsidR="006C26D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915FD" w:rsidRPr="008E5498" w14:paraId="6102F523" w14:textId="77777777" w:rsidTr="004D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446C6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BCAEF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4FC62" w14:textId="6F25A238" w:rsidR="006C26D8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Zlyhanie pečene</w:t>
            </w:r>
            <w:r w:rsidR="006C26D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  <w:r w:rsidR="000D1816"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,f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, hepatitída</w:t>
            </w:r>
            <w:r w:rsidR="003F00D4" w:rsidRPr="008E5498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="000D1816"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</w:p>
          <w:p w14:paraId="643504B8" w14:textId="754648C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vertAlign w:val="superscript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zvýšené gama-GT</w:t>
            </w:r>
            <w:r w:rsidR="006C26D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="000D1816" w:rsidRPr="008E5498">
              <w:rPr>
                <w:rFonts w:ascii="Times New Roman" w:hAnsi="Times New Roman"/>
                <w:vertAlign w:val="superscript"/>
                <w:lang w:val="sk-SK"/>
              </w:rPr>
              <w:t>f</w:t>
            </w:r>
          </w:p>
        </w:tc>
      </w:tr>
      <w:tr w:rsidR="000915FD" w:rsidRPr="008E5498" w14:paraId="62F9D24E" w14:textId="77777777" w:rsidTr="004D2674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327F1" w14:textId="510724EB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 xml:space="preserve">Poruchy kože a </w:t>
            </w:r>
            <w:r w:rsidR="008E2415" w:rsidRPr="008E5498">
              <w:rPr>
                <w:rFonts w:ascii="Times New Roman" w:hAnsi="Times New Roman"/>
                <w:lang w:val="sk-SK"/>
              </w:rPr>
              <w:t>podkožného tkaniva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0156D" w14:textId="77777777" w:rsidR="000915FD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Veľmi č</w:t>
            </w:r>
            <w:r w:rsidR="000915FD" w:rsidRPr="008E5498">
              <w:rPr>
                <w:rFonts w:ascii="Times New Roman" w:hAnsi="Times New Roman"/>
                <w:lang w:val="sk-SK"/>
              </w:rPr>
              <w:t>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2DE5F" w14:textId="55EA6012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Vyrážka</w:t>
            </w:r>
            <w:r w:rsidR="006C26D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="000D1816" w:rsidRPr="008E5498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8E5498" w14:paraId="1F07E42F" w14:textId="77777777" w:rsidTr="001C3EC0">
        <w:trPr>
          <w:trHeight w:val="255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505D47A" w14:textId="60991F42" w:rsidR="000D1816" w:rsidRPr="008E5498" w:rsidRDefault="000D1816" w:rsidP="006A56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 xml:space="preserve">Poruchy </w:t>
            </w:r>
            <w:r w:rsidR="008E2415" w:rsidRPr="008E5498">
              <w:rPr>
                <w:rFonts w:ascii="Times New Roman" w:hAnsi="Times New Roman"/>
                <w:lang w:val="sk-SK"/>
              </w:rPr>
              <w:t>kostrovej a svalovej sústavy a spojivového tkaniva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51380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BD35DE4" w14:textId="77777777" w:rsidR="006C26D8" w:rsidRPr="008E5498" w:rsidRDefault="007B2DA8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B</w:t>
            </w:r>
            <w:r w:rsidR="000D1816" w:rsidRPr="008E5498">
              <w:rPr>
                <w:rFonts w:ascii="Times New Roman" w:hAnsi="Times New Roman"/>
                <w:color w:val="000000"/>
                <w:lang w:val="sk-SK"/>
              </w:rPr>
              <w:t xml:space="preserve">olesť kĺbov a </w:t>
            </w:r>
          </w:p>
          <w:p w14:paraId="211ADFC9" w14:textId="56C5EBF0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muskuloskeletálna bolesť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d</w:t>
            </w:r>
          </w:p>
        </w:tc>
      </w:tr>
      <w:tr w:rsidR="000D1816" w:rsidRPr="008E5498" w14:paraId="072498B5" w14:textId="77777777" w:rsidTr="001C3EC0">
        <w:trPr>
          <w:trHeight w:val="255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9A177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40329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A06D4" w14:textId="01F9368D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Bolesť chrbta</w:t>
            </w:r>
            <w:r w:rsidR="006C26D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</w:p>
        </w:tc>
      </w:tr>
      <w:tr w:rsidR="000D1816" w:rsidRPr="008E5498" w14:paraId="34976A44" w14:textId="77777777" w:rsidTr="001C3EC0">
        <w:trPr>
          <w:trHeight w:val="255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203193F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Poruchy reprodukčného systému a prsníkov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96313" w14:textId="5E609EFD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00AACE5" w14:textId="0AA30A13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Vagin</w:t>
            </w:r>
            <w:r w:rsidR="003F00D4" w:rsidRPr="008E5498">
              <w:rPr>
                <w:rFonts w:ascii="Times New Roman" w:hAnsi="Times New Roman"/>
                <w:lang w:val="sk-SK"/>
              </w:rPr>
              <w:t>á</w:t>
            </w:r>
            <w:r w:rsidRPr="008E5498">
              <w:rPr>
                <w:rFonts w:ascii="Times New Roman" w:hAnsi="Times New Roman"/>
                <w:lang w:val="sk-SK"/>
              </w:rPr>
              <w:t xml:space="preserve">lne krvácanie </w:t>
            </w:r>
            <w:r w:rsidRPr="008E5498">
              <w:rPr>
                <w:rFonts w:ascii="Times New Roman" w:hAnsi="Times New Roman"/>
                <w:vertAlign w:val="superscript"/>
                <w:lang w:val="sk-SK"/>
              </w:rPr>
              <w:t>e</w:t>
            </w:r>
          </w:p>
        </w:tc>
      </w:tr>
      <w:tr w:rsidR="000D1816" w:rsidRPr="008E5498" w14:paraId="78268756" w14:textId="77777777" w:rsidTr="001C3EC0">
        <w:trPr>
          <w:trHeight w:val="255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47877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E3278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CE414" w14:textId="009237A1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 xml:space="preserve">Vaginálna moniliáza </w:t>
            </w:r>
            <w:r w:rsidRPr="008E5498">
              <w:rPr>
                <w:rFonts w:ascii="Times New Roman" w:hAnsi="Times New Roman"/>
                <w:vertAlign w:val="superscript"/>
                <w:lang w:val="sk-SK"/>
              </w:rPr>
              <w:t>f</w:t>
            </w:r>
            <w:r w:rsidRPr="008E5498">
              <w:rPr>
                <w:rFonts w:ascii="Times New Roman" w:hAnsi="Times New Roman"/>
                <w:lang w:val="sk-SK"/>
              </w:rPr>
              <w:t xml:space="preserve">, leukorea </w:t>
            </w:r>
            <w:r w:rsidRPr="008E5498">
              <w:rPr>
                <w:rFonts w:ascii="Times New Roman" w:hAnsi="Times New Roman"/>
                <w:vertAlign w:val="superscript"/>
                <w:lang w:val="sk-SK"/>
              </w:rPr>
              <w:t>f</w:t>
            </w:r>
          </w:p>
        </w:tc>
      </w:tr>
      <w:tr w:rsidR="000D1816" w:rsidRPr="008E5498" w14:paraId="06FA90FB" w14:textId="77777777" w:rsidTr="001C3EC0">
        <w:trPr>
          <w:trHeight w:val="255"/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922F7A8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Celkové poruchy a reakcie v mieste podania</w:t>
            </w:r>
          </w:p>
          <w:p w14:paraId="4D83ED54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48EC0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Veľmi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055306B" w14:textId="2BC63174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Asténia</w:t>
            </w:r>
            <w:r w:rsidR="003F00D4" w:rsidRPr="008E5498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a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, </w:t>
            </w:r>
            <w:r w:rsidRPr="008E5498">
              <w:rPr>
                <w:rFonts w:ascii="Times New Roman" w:hAnsi="Times New Roman"/>
                <w:lang w:val="sk-SK"/>
              </w:rPr>
              <w:t>reakcie v mieste podania</w:t>
            </w:r>
          </w:p>
          <w:p w14:paraId="6F2F5C73" w14:textId="0E2A67AE" w:rsidR="000D1816" w:rsidRPr="008E5498" w:rsidRDefault="006C26D8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i</w:t>
            </w:r>
            <w:r w:rsidR="000D1816" w:rsidRPr="008E5498">
              <w:rPr>
                <w:rFonts w:ascii="Times New Roman" w:hAnsi="Times New Roman"/>
                <w:lang w:val="sk-SK"/>
              </w:rPr>
              <w:t>njekcie</w:t>
            </w:r>
            <w:r w:rsidRPr="008E5498">
              <w:rPr>
                <w:rFonts w:ascii="Times New Roman" w:hAnsi="Times New Roman"/>
                <w:lang w:val="sk-SK"/>
              </w:rPr>
              <w:t xml:space="preserve"> </w:t>
            </w:r>
            <w:r w:rsidR="000D1816"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b</w:t>
            </w:r>
          </w:p>
        </w:tc>
      </w:tr>
      <w:tr w:rsidR="000D1816" w:rsidRPr="006A560B" w14:paraId="7BBD9018" w14:textId="77777777" w:rsidTr="001C3EC0">
        <w:trPr>
          <w:trHeight w:val="255"/>
          <w:tblCellSpacing w:w="0" w:type="dxa"/>
        </w:trPr>
        <w:tc>
          <w:tcPr>
            <w:tcW w:w="175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98A18F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AC383" w14:textId="77777777" w:rsidR="000D1816" w:rsidRPr="008E5498" w:rsidRDefault="00544E18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2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B2956" w14:textId="5A55AE05" w:rsidR="000D1816" w:rsidRPr="008E5498" w:rsidRDefault="00544E18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Periférna neuropatia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e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, ischias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e</w:t>
            </w:r>
          </w:p>
        </w:tc>
      </w:tr>
      <w:tr w:rsidR="000D1816" w:rsidRPr="006A560B" w14:paraId="5D3F0037" w14:textId="77777777" w:rsidTr="001C3EC0">
        <w:trPr>
          <w:trHeight w:val="651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DF057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A0AC0" w14:textId="77777777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B5D16" w14:textId="0A2F7986" w:rsidR="000D1816" w:rsidRPr="008E5498" w:rsidRDefault="000D1816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lang w:val="sk-SK"/>
              </w:rPr>
              <w:t xml:space="preserve">Krvácanie v mieste </w:t>
            </w:r>
            <w:r w:rsidR="00842302" w:rsidRPr="008E5498">
              <w:rPr>
                <w:rFonts w:ascii="Times New Roman" w:hAnsi="Times New Roman"/>
                <w:lang w:val="sk-SK"/>
              </w:rPr>
              <w:t xml:space="preserve">podania injekcie </w:t>
            </w:r>
            <w:r w:rsidR="00544E18" w:rsidRPr="008E5498">
              <w:rPr>
                <w:rFonts w:ascii="Times New Roman" w:hAnsi="Times New Roman"/>
                <w:vertAlign w:val="superscript"/>
                <w:lang w:val="sk-SK"/>
              </w:rPr>
              <w:t>f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lang w:val="sk-SK"/>
              </w:rPr>
              <w:t xml:space="preserve"> hematóm v mieste </w:t>
            </w:r>
            <w:r w:rsidR="00842302" w:rsidRPr="008E5498">
              <w:rPr>
                <w:rFonts w:ascii="Times New Roman" w:hAnsi="Times New Roman"/>
                <w:lang w:val="sk-SK"/>
              </w:rPr>
              <w:t>podania injekcie</w:t>
            </w:r>
            <w:r w:rsidR="006C26D8" w:rsidRPr="008E5498">
              <w:rPr>
                <w:rFonts w:ascii="Times New Roman" w:hAnsi="Times New Roman"/>
                <w:lang w:val="sk-SK"/>
              </w:rPr>
              <w:t xml:space="preserve"> </w:t>
            </w:r>
            <w:r w:rsidR="00544E18"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  <w:r w:rsidR="00544E18" w:rsidRPr="008E5498">
              <w:rPr>
                <w:rFonts w:ascii="Times New Roman" w:hAnsi="Times New Roman"/>
                <w:color w:val="000000"/>
                <w:lang w:val="sk-SK"/>
              </w:rPr>
              <w:t xml:space="preserve">, neuralgia </w:t>
            </w:r>
            <w:r w:rsidR="00544E18"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  <w:r w:rsidR="006C26D8"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,</w:t>
            </w:r>
            <w:r w:rsidR="00544E18"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f</w:t>
            </w:r>
          </w:p>
        </w:tc>
      </w:tr>
    </w:tbl>
    <w:p w14:paraId="4C4C49BF" w14:textId="60ECBFD9" w:rsidR="000B2B40" w:rsidRPr="008E5498" w:rsidRDefault="000B2B40" w:rsidP="008E5498">
      <w:pPr>
        <w:widowControl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vertAlign w:val="superscript"/>
          <w:lang w:val="sk-SK"/>
        </w:rPr>
        <w:t>a</w:t>
      </w:r>
      <w:r w:rsidR="0075586F" w:rsidRPr="008E5498">
        <w:rPr>
          <w:rFonts w:ascii="Times New Roman" w:hAnsi="Times New Roman"/>
          <w:lang w:val="sk-SK"/>
        </w:rPr>
        <w:tab/>
      </w:r>
      <w:r w:rsidRPr="008E5498">
        <w:rPr>
          <w:rFonts w:ascii="Times New Roman" w:hAnsi="Times New Roman"/>
          <w:lang w:val="sk-SK"/>
        </w:rPr>
        <w:t>Vrátane nežiaducich reakcií, pr</w:t>
      </w:r>
      <w:r w:rsidR="00F976C4" w:rsidRPr="008E5498">
        <w:rPr>
          <w:rFonts w:ascii="Times New Roman" w:hAnsi="Times New Roman"/>
          <w:lang w:val="sk-SK"/>
        </w:rPr>
        <w:t>i</w:t>
      </w:r>
      <w:r w:rsidRPr="008E5498">
        <w:rPr>
          <w:rFonts w:ascii="Times New Roman" w:hAnsi="Times New Roman"/>
          <w:lang w:val="sk-SK"/>
        </w:rPr>
        <w:t xml:space="preserve"> ktor</w:t>
      </w:r>
      <w:r w:rsidR="00F976C4" w:rsidRPr="008E5498">
        <w:rPr>
          <w:rFonts w:ascii="Times New Roman" w:hAnsi="Times New Roman"/>
          <w:lang w:val="sk-SK"/>
        </w:rPr>
        <w:t>ých nie je možné stanoviť podiel fulvestrantu na ich vzniku vzhľadom na základné ochorenie</w:t>
      </w:r>
      <w:r w:rsidRPr="008E5498">
        <w:rPr>
          <w:rFonts w:ascii="Times New Roman" w:hAnsi="Times New Roman"/>
          <w:lang w:val="sk-SK"/>
        </w:rPr>
        <w:t>.</w:t>
      </w:r>
    </w:p>
    <w:p w14:paraId="25B5FCCE" w14:textId="39AA9A43" w:rsidR="000B2B40" w:rsidRPr="008E5498" w:rsidRDefault="000B2B40" w:rsidP="008E5498">
      <w:pPr>
        <w:widowControl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vertAlign w:val="superscript"/>
          <w:lang w:val="sk-SK"/>
        </w:rPr>
        <w:t>b</w:t>
      </w:r>
      <w:r w:rsidR="0075586F" w:rsidRPr="008E5498">
        <w:rPr>
          <w:rFonts w:ascii="Times New Roman" w:hAnsi="Times New Roman"/>
          <w:lang w:val="sk-SK"/>
        </w:rPr>
        <w:tab/>
      </w:r>
      <w:r w:rsidRPr="008E5498">
        <w:rPr>
          <w:rFonts w:ascii="Times New Roman" w:hAnsi="Times New Roman"/>
          <w:lang w:val="sk-SK"/>
        </w:rPr>
        <w:t xml:space="preserve">Termín reakcie v mieste </w:t>
      </w:r>
      <w:r w:rsidR="00CF5287" w:rsidRPr="008E5498">
        <w:rPr>
          <w:rFonts w:ascii="Times New Roman" w:hAnsi="Times New Roman"/>
          <w:lang w:val="sk-SK"/>
        </w:rPr>
        <w:t>podania</w:t>
      </w:r>
      <w:r w:rsidR="00842302" w:rsidRPr="008E5498">
        <w:rPr>
          <w:rFonts w:ascii="Times New Roman" w:hAnsi="Times New Roman"/>
          <w:lang w:val="sk-SK"/>
        </w:rPr>
        <w:t xml:space="preserve"> injekcie</w:t>
      </w:r>
      <w:r w:rsidR="00CF5287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nezahŕňa </w:t>
      </w:r>
      <w:r w:rsidR="009475F8" w:rsidRPr="008E5498">
        <w:rPr>
          <w:rFonts w:ascii="Times New Roman" w:hAnsi="Times New Roman"/>
          <w:lang w:val="sk-SK"/>
        </w:rPr>
        <w:t>termíny</w:t>
      </w:r>
      <w:r w:rsidR="00CF5287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krvácanie v mieste </w:t>
      </w:r>
      <w:r w:rsidR="00CF5287" w:rsidRPr="008E5498">
        <w:rPr>
          <w:rFonts w:ascii="Times New Roman" w:hAnsi="Times New Roman"/>
          <w:lang w:val="sk-SK"/>
        </w:rPr>
        <w:t>podania</w:t>
      </w:r>
      <w:r w:rsidR="00842302" w:rsidRPr="008E5498">
        <w:rPr>
          <w:rFonts w:ascii="Times New Roman" w:hAnsi="Times New Roman"/>
          <w:lang w:val="sk-SK"/>
        </w:rPr>
        <w:t xml:space="preserve"> injekcie,</w:t>
      </w:r>
      <w:r w:rsidR="00CF5287" w:rsidRPr="008E5498">
        <w:rPr>
          <w:rFonts w:ascii="Times New Roman" w:hAnsi="Times New Roman"/>
          <w:lang w:val="sk-SK"/>
        </w:rPr>
        <w:t> </w:t>
      </w:r>
      <w:r w:rsidRPr="008E5498">
        <w:rPr>
          <w:rFonts w:ascii="Times New Roman" w:hAnsi="Times New Roman"/>
          <w:lang w:val="sk-SK"/>
        </w:rPr>
        <w:t>hematóm</w:t>
      </w:r>
      <w:r w:rsidR="00CF5287" w:rsidRPr="008E5498">
        <w:rPr>
          <w:rFonts w:ascii="Times New Roman" w:hAnsi="Times New Roman"/>
          <w:lang w:val="sk-SK"/>
        </w:rPr>
        <w:t xml:space="preserve"> v mieste podania</w:t>
      </w:r>
      <w:r w:rsidR="00842302" w:rsidRPr="008E5498">
        <w:rPr>
          <w:rFonts w:ascii="Times New Roman" w:hAnsi="Times New Roman"/>
          <w:lang w:val="sk-SK"/>
        </w:rPr>
        <w:t xml:space="preserve"> injekcie</w:t>
      </w:r>
      <w:r w:rsidR="00CF5287" w:rsidRPr="008E5498">
        <w:rPr>
          <w:rFonts w:ascii="Times New Roman" w:hAnsi="Times New Roman"/>
          <w:lang w:val="sk-SK"/>
        </w:rPr>
        <w:t>, ischias, neuralgia a periférna neuropatia</w:t>
      </w:r>
      <w:r w:rsidRPr="008E5498">
        <w:rPr>
          <w:rFonts w:ascii="Times New Roman" w:hAnsi="Times New Roman"/>
          <w:lang w:val="sk-SK"/>
        </w:rPr>
        <w:t>.</w:t>
      </w:r>
    </w:p>
    <w:p w14:paraId="51B02B33" w14:textId="7BA81750" w:rsidR="000B2B40" w:rsidRPr="008E5498" w:rsidRDefault="000B2B40" w:rsidP="008E5498">
      <w:pPr>
        <w:widowControl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vertAlign w:val="superscript"/>
          <w:lang w:val="sk-SK"/>
        </w:rPr>
        <w:t>c</w:t>
      </w:r>
      <w:r w:rsidR="0075586F" w:rsidRPr="008E5498">
        <w:rPr>
          <w:rFonts w:ascii="Times New Roman" w:hAnsi="Times New Roman"/>
          <w:lang w:val="sk-SK"/>
        </w:rPr>
        <w:tab/>
      </w:r>
      <w:r w:rsidRPr="008E5498">
        <w:rPr>
          <w:rFonts w:ascii="Times New Roman" w:hAnsi="Times New Roman"/>
          <w:lang w:val="sk-SK"/>
        </w:rPr>
        <w:t>Udalosť sa nepozorovala vo veľkých klinických štúdiách (CONFIRM, FINDER 1</w:t>
      </w:r>
      <w:r w:rsidR="004707F4" w:rsidRPr="008E5498">
        <w:rPr>
          <w:rFonts w:ascii="Times New Roman" w:hAnsi="Times New Roman"/>
          <w:lang w:val="sk-SK"/>
        </w:rPr>
        <w:t xml:space="preserve">, FINDER 2. NEWEST). Frekvencia </w:t>
      </w:r>
      <w:r w:rsidRPr="008E5498">
        <w:rPr>
          <w:rFonts w:ascii="Times New Roman" w:hAnsi="Times New Roman"/>
          <w:lang w:val="sk-SK"/>
        </w:rPr>
        <w:t>sa vypočítala pomocou hornej hranice 95% intervalu spoľahlivosti pre odhad bodu. Počíta sa ako 3/</w:t>
      </w:r>
      <w:r w:rsidR="00CF5287" w:rsidRPr="008E5498">
        <w:rPr>
          <w:rFonts w:ascii="Times New Roman" w:hAnsi="Times New Roman"/>
          <w:lang w:val="sk-SK"/>
        </w:rPr>
        <w:t xml:space="preserve">560 </w:t>
      </w:r>
      <w:r w:rsidR="004707F4" w:rsidRPr="008E5498">
        <w:rPr>
          <w:rFonts w:ascii="Times New Roman" w:hAnsi="Times New Roman"/>
          <w:lang w:val="sk-SK"/>
        </w:rPr>
        <w:t xml:space="preserve">(kde </w:t>
      </w:r>
      <w:r w:rsidR="00CF5287" w:rsidRPr="008E5498">
        <w:rPr>
          <w:rFonts w:ascii="Times New Roman" w:hAnsi="Times New Roman"/>
          <w:lang w:val="sk-SK"/>
        </w:rPr>
        <w:t xml:space="preserve">560 </w:t>
      </w:r>
      <w:r w:rsidR="004707F4" w:rsidRPr="008E5498">
        <w:rPr>
          <w:rFonts w:ascii="Times New Roman" w:hAnsi="Times New Roman"/>
          <w:lang w:val="sk-SK"/>
        </w:rPr>
        <w:t xml:space="preserve">je </w:t>
      </w:r>
      <w:r w:rsidRPr="008E5498">
        <w:rPr>
          <w:rFonts w:ascii="Times New Roman" w:hAnsi="Times New Roman"/>
          <w:lang w:val="sk-SK"/>
        </w:rPr>
        <w:t xml:space="preserve">počet </w:t>
      </w:r>
      <w:r w:rsidR="00E60CE6">
        <w:rPr>
          <w:rFonts w:ascii="Times New Roman" w:hAnsi="Times New Roman"/>
          <w:lang w:val="sk-SK"/>
        </w:rPr>
        <w:t>pacientok</w:t>
      </w:r>
      <w:r w:rsidR="003F00D4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vo veľkých klinických štúdiách), čo zodpovedá </w:t>
      </w:r>
      <w:r w:rsidR="00842302" w:rsidRPr="008E5498">
        <w:rPr>
          <w:rFonts w:ascii="Times New Roman" w:hAnsi="Times New Roman"/>
          <w:lang w:val="sk-SK"/>
        </w:rPr>
        <w:t xml:space="preserve">kategórii </w:t>
      </w:r>
      <w:r w:rsidRPr="008E5498">
        <w:rPr>
          <w:rFonts w:ascii="Times New Roman" w:hAnsi="Times New Roman"/>
          <w:lang w:val="sk-SK"/>
        </w:rPr>
        <w:t>frekvenci</w:t>
      </w:r>
      <w:r w:rsidR="00842302" w:rsidRPr="008E5498">
        <w:rPr>
          <w:rFonts w:ascii="Times New Roman" w:hAnsi="Times New Roman"/>
          <w:lang w:val="sk-SK"/>
        </w:rPr>
        <w:t>e</w:t>
      </w:r>
      <w:r w:rsidRPr="008E5498">
        <w:rPr>
          <w:rFonts w:ascii="Times New Roman" w:hAnsi="Times New Roman"/>
          <w:lang w:val="sk-SK"/>
        </w:rPr>
        <w:t xml:space="preserve"> "menej časté“.</w:t>
      </w:r>
    </w:p>
    <w:p w14:paraId="6E761E7D" w14:textId="5075100D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vertAlign w:val="superscript"/>
          <w:lang w:val="sk-SK"/>
        </w:rPr>
        <w:t>d</w:t>
      </w:r>
      <w:r w:rsidR="00C15983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>Zahŕňa: artralgiu a menej častú muskuloskeletálnu bolesť, myalgiu a bolesť v končatinách.</w:t>
      </w:r>
    </w:p>
    <w:p w14:paraId="447C8EE1" w14:textId="35F592BF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vertAlign w:val="superscript"/>
          <w:lang w:val="sk-SK"/>
        </w:rPr>
        <w:t>e</w:t>
      </w:r>
      <w:r w:rsidR="0075586F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>Kategória frekvencie je rozdielna medzi údajmi zo združených analýz bezpečnosti a štúdiou FALCON.</w:t>
      </w:r>
    </w:p>
    <w:p w14:paraId="7982361C" w14:textId="0163D82B" w:rsidR="000B2B40" w:rsidRPr="008E5498" w:rsidRDefault="00FC5DBD" w:rsidP="008E5498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vertAlign w:val="superscript"/>
          <w:lang w:val="sk-SK"/>
        </w:rPr>
        <w:t>f</w:t>
      </w:r>
      <w:r w:rsidR="00C15983" w:rsidRPr="008E5498">
        <w:rPr>
          <w:rFonts w:ascii="Times New Roman" w:eastAsia="TimesNewRoman" w:hAnsi="Times New Roman"/>
          <w:lang w:val="sk-SK"/>
        </w:rPr>
        <w:tab/>
      </w:r>
      <w:r w:rsidR="0075586F" w:rsidRPr="008E5498">
        <w:rPr>
          <w:rFonts w:ascii="Times New Roman" w:eastAsia="TimesNewRoman" w:hAnsi="Times New Roman"/>
          <w:lang w:val="sk-SK"/>
        </w:rPr>
        <w:t xml:space="preserve">Nežiaduca reakcia </w:t>
      </w:r>
      <w:r w:rsidRPr="008E5498">
        <w:rPr>
          <w:rFonts w:ascii="Times New Roman" w:eastAsia="TimesNewRoman" w:hAnsi="Times New Roman"/>
          <w:lang w:val="sk-SK"/>
        </w:rPr>
        <w:t>sa v štúdii FALCON nepozorovala.</w:t>
      </w:r>
    </w:p>
    <w:p w14:paraId="1362D15A" w14:textId="77777777" w:rsidR="00FC5DBD" w:rsidRPr="008E5498" w:rsidRDefault="00FC5DBD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10622DD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u w:val="single"/>
          <w:lang w:val="sk-SK"/>
        </w:rPr>
      </w:pPr>
      <w:r w:rsidRPr="008E5498">
        <w:rPr>
          <w:rFonts w:ascii="Times New Roman" w:eastAsia="TimesNewRoman" w:hAnsi="Times New Roman"/>
          <w:u w:val="single"/>
          <w:lang w:val="sk-SK"/>
        </w:rPr>
        <w:t>Opis vybraných nežiaducich reakcií</w:t>
      </w:r>
    </w:p>
    <w:p w14:paraId="4801FCF2" w14:textId="2E59B3EF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lastRenderedPageBreak/>
        <w:t xml:space="preserve">Opis uvádzaný nižšie je založený na bezpečnostnej analýze súboru 228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, ktoré dostali aspoň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jednu (1) dávku fulvestrantu a 232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, ktoré dostali aspoň jednu (1) dávku anastrozolu vo fáze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3 štúdie FALCON.</w:t>
      </w:r>
    </w:p>
    <w:p w14:paraId="0F51A38A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i/>
          <w:iCs/>
          <w:lang w:val="sk-SK"/>
        </w:rPr>
      </w:pPr>
    </w:p>
    <w:p w14:paraId="49FB8D85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i/>
          <w:iCs/>
          <w:lang w:val="sk-SK"/>
        </w:rPr>
      </w:pPr>
      <w:r w:rsidRPr="008E5498">
        <w:rPr>
          <w:rFonts w:ascii="Times New Roman" w:eastAsia="TimesNewRoman" w:hAnsi="Times New Roman"/>
          <w:i/>
          <w:iCs/>
          <w:lang w:val="sk-SK"/>
        </w:rPr>
        <w:t>Bolesť kĺbov a muskuloskeletálna bolesť</w:t>
      </w:r>
    </w:p>
    <w:p w14:paraId="74A19D52" w14:textId="6AE30E3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V štúdii FALCON bol počet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, ktoré hlásili nežiaducu reakciu bolesť kĺbov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a muskuloskeletálnu bolesť 65 (31,2%) v skupine s fulvestrantom a 48 (24,1%) v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skupine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s anastrozolom. Zo 65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 xml:space="preserve"> skupine s </w:t>
      </w:r>
      <w:r w:rsidR="00372E8E" w:rsidRPr="008E5498">
        <w:rPr>
          <w:rFonts w:ascii="Times New Roman" w:eastAsia="TimesNewRoman" w:hAnsi="Times New Roman"/>
          <w:lang w:val="sk-SK"/>
        </w:rPr>
        <w:t xml:space="preserve">fulvestrantom </w:t>
      </w:r>
      <w:r w:rsidRPr="008E5498">
        <w:rPr>
          <w:rFonts w:ascii="Times New Roman" w:eastAsia="TimesNewRoman" w:hAnsi="Times New Roman"/>
          <w:lang w:val="sk-SK"/>
        </w:rPr>
        <w:t xml:space="preserve">40% (26/65)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F00D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hlásilo bolesť kĺbov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a muskuloskeletálnu bolesť počas prvého mesiaca liečby a 66,2% (43/65)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F00D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počas prvých 3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mesiacov liečby. Žiadna pacientka nehlásila udalosť stupňa ≥ 3 podľa CTCAE, alebo udalosť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vyžadujúcu zníženie dávky, prerušenie dávkovania alebo ukončenie liečby z dôvodu týchto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nežiaducich reakcií.</w:t>
      </w:r>
    </w:p>
    <w:p w14:paraId="771D583C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i/>
          <w:iCs/>
          <w:lang w:val="sk-SK"/>
        </w:rPr>
      </w:pPr>
    </w:p>
    <w:p w14:paraId="3BCEE2F8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i/>
          <w:iCs/>
          <w:lang w:val="sk-SK"/>
        </w:rPr>
      </w:pPr>
      <w:r w:rsidRPr="008E5498">
        <w:rPr>
          <w:rFonts w:ascii="Times New Roman" w:eastAsia="TimesNewRoman" w:hAnsi="Times New Roman"/>
          <w:i/>
          <w:iCs/>
          <w:lang w:val="sk-SK"/>
        </w:rPr>
        <w:t>Kombinovaná liečba s palbociklibom</w:t>
      </w:r>
    </w:p>
    <w:p w14:paraId="215B8918" w14:textId="188FE15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Celkový bezpečnostný profil fulvestrantu pri použití v kombinácii s palbociklibom je založený na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údajoch od 517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F00D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HR-pozitívnym, HER2-negatívnym pokročilým alebo metastatickým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karcinómom prsníka v randomizovanej štúdii PALOMA3 (pozri časť 5.1). Najčastejšími (≥ 20%)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nežiaducimi reakciami akéhokoľvek stupňa, hlásenými u</w:t>
      </w:r>
      <w:r w:rsidR="003F00D4" w:rsidRPr="008E5498">
        <w:rPr>
          <w:rFonts w:ascii="Times New Roman" w:eastAsia="TimesNewRoman" w:hAnsi="Times New Roman"/>
          <w:lang w:val="sk-SK"/>
        </w:rPr>
        <w:t> 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F00D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dostávajúcich fulvestrant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 kombinácii s palbociklibom, boli neutropénia, leukopénia, infekcie, únava, nauzea, anémia,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stomatitída, hnačka a trombocytopénia. Najčastejšími (≥ 2%) nežiaducimi reakciami stupňa ≥ 3 boli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neutropénia, leukopénia, anémia, infekcie, zvýšená hladina AST, trombocytopénia a únava.</w:t>
      </w:r>
    </w:p>
    <w:p w14:paraId="4FA726B3" w14:textId="77777777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3D35E96C" w14:textId="1DBB2064" w:rsidR="00FC5DBD" w:rsidRPr="008E5498" w:rsidRDefault="00FC5DB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V tabuľke 2 sú uvedené nežiaduce reakcie zo štúdie PALOMA3.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Medián trvania expozície fulvestrantu bol v skupine s fulvestrantom + palbociklibom 11,2 mesiacov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a 4,9 mesiacov v skupine s fulvestrantom + placebo. Medián trvania expozície palbociklibu v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skupine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fulvestrantom + palbociklib bol 10,8 mesiacov.</w:t>
      </w:r>
    </w:p>
    <w:p w14:paraId="58489A71" w14:textId="77777777" w:rsidR="00372E8E" w:rsidRPr="008E5498" w:rsidRDefault="00372E8E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,Bold" w:hAnsi="Times New Roman"/>
          <w:bCs/>
          <w:lang w:val="sk-SK"/>
        </w:rPr>
      </w:pPr>
    </w:p>
    <w:p w14:paraId="7459C274" w14:textId="34A9231C" w:rsidR="00FC5DBD" w:rsidRPr="008E5498" w:rsidRDefault="00FC5DBD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Tabuľka 2 Nežiaduce reakcie zo štúdie PALOMA3 (N</w:t>
      </w:r>
      <w:r w:rsidR="00FD3F2B" w:rsidRPr="008E5498">
        <w:rPr>
          <w:rFonts w:ascii="Times New Roman" w:eastAsia="TimesNewRoman,Bold" w:hAnsi="Times New Roman"/>
          <w:b/>
          <w:bCs/>
          <w:lang w:val="sk-SK"/>
        </w:rPr>
        <w:t xml:space="preserve"> </w:t>
      </w:r>
      <w:r w:rsidRPr="008E5498">
        <w:rPr>
          <w:rFonts w:ascii="Times New Roman" w:eastAsia="TimesNewRoman,Bold" w:hAnsi="Times New Roman"/>
          <w:b/>
          <w:bCs/>
          <w:lang w:val="sk-SK"/>
        </w:rPr>
        <w:t>=</w:t>
      </w:r>
      <w:r w:rsidR="00FD3F2B" w:rsidRPr="008E5498">
        <w:rPr>
          <w:rFonts w:ascii="Times New Roman" w:eastAsia="TimesNewRoman,Bold" w:hAnsi="Times New Roman"/>
          <w:b/>
          <w:bCs/>
          <w:lang w:val="sk-SK"/>
        </w:rPr>
        <w:t xml:space="preserve"> </w:t>
      </w:r>
      <w:r w:rsidRPr="008E5498">
        <w:rPr>
          <w:rFonts w:ascii="Times New Roman" w:eastAsia="TimesNewRoman,Bold" w:hAnsi="Times New Roman"/>
          <w:b/>
          <w:bCs/>
          <w:lang w:val="sk-SK"/>
        </w:rPr>
        <w:t>517)</w:t>
      </w:r>
    </w:p>
    <w:p w14:paraId="3285E170" w14:textId="77777777" w:rsidR="00372E8E" w:rsidRPr="008E5498" w:rsidRDefault="00372E8E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color w:val="000000"/>
          <w:lang w:val="sk-S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1276"/>
        <w:gridCol w:w="1559"/>
        <w:gridCol w:w="1134"/>
      </w:tblGrid>
      <w:tr w:rsidR="00372E8E" w:rsidRPr="008E5498" w14:paraId="1ABFB8FD" w14:textId="77777777" w:rsidTr="007C41B8">
        <w:trPr>
          <w:trHeight w:val="388"/>
        </w:trPr>
        <w:tc>
          <w:tcPr>
            <w:tcW w:w="4219" w:type="dxa"/>
            <w:vMerge w:val="restart"/>
            <w:shd w:val="clear" w:color="auto" w:fill="auto"/>
          </w:tcPr>
          <w:p w14:paraId="552664EC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Trieda orgánových systémov</w:t>
            </w:r>
          </w:p>
          <w:p w14:paraId="0B02917A" w14:textId="77777777" w:rsidR="00F50C6D" w:rsidRDefault="00F50C6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  <w:p w14:paraId="3CFA8667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Frekvencia</w:t>
            </w:r>
          </w:p>
          <w:p w14:paraId="7C93B861" w14:textId="77777777" w:rsidR="00F50C6D" w:rsidRDefault="00F50C6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</w:p>
          <w:p w14:paraId="720300FF" w14:textId="6EC7D193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Preferovaný termín</w:t>
            </w:r>
            <w:r w:rsidR="00FD3F2B"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bCs/>
                <w:vertAlign w:val="superscript"/>
                <w:lang w:val="sk-SK"/>
              </w:rPr>
              <w:t>a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84A1FD5" w14:textId="62C49115" w:rsidR="00372E8E" w:rsidRPr="008E5498" w:rsidRDefault="00372E8E" w:rsidP="003E7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Fulvestrant + Palboci</w:t>
            </w:r>
            <w:r w:rsidR="009F315F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k</w:t>
            </w: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lib</w:t>
            </w:r>
          </w:p>
          <w:p w14:paraId="4EB42F7B" w14:textId="4CCC9A36" w:rsidR="00372E8E" w:rsidRPr="008E5498" w:rsidRDefault="00372E8E" w:rsidP="003E7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(N</w:t>
            </w:r>
            <w:r w:rsidR="00FD3F2B"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=</w:t>
            </w:r>
            <w:r w:rsidR="00FD3F2B"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345)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18E5A52" w14:textId="4A1550E2" w:rsidR="00372E8E" w:rsidRPr="008E5498" w:rsidRDefault="00372E8E" w:rsidP="003E7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Fulvestrant + placebo</w:t>
            </w:r>
          </w:p>
          <w:p w14:paraId="7D2BF76B" w14:textId="4C1C2517" w:rsidR="00372E8E" w:rsidRPr="008E5498" w:rsidRDefault="00372E8E" w:rsidP="003E7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(N</w:t>
            </w:r>
            <w:r w:rsidR="00FD3F2B"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=</w:t>
            </w:r>
            <w:r w:rsidR="00FD3F2B"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172)</w:t>
            </w:r>
          </w:p>
        </w:tc>
      </w:tr>
      <w:tr w:rsidR="00372E8E" w:rsidRPr="008E5498" w14:paraId="56DD1732" w14:textId="77777777" w:rsidTr="007C41B8">
        <w:trPr>
          <w:trHeight w:val="401"/>
        </w:trPr>
        <w:tc>
          <w:tcPr>
            <w:tcW w:w="4219" w:type="dxa"/>
            <w:vMerge/>
            <w:shd w:val="clear" w:color="auto" w:fill="auto"/>
          </w:tcPr>
          <w:p w14:paraId="482871CA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2A22ED8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Všetky stupne</w:t>
            </w:r>
          </w:p>
          <w:p w14:paraId="32EBF3DB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  <w:tc>
          <w:tcPr>
            <w:tcW w:w="1276" w:type="dxa"/>
            <w:shd w:val="clear" w:color="auto" w:fill="auto"/>
          </w:tcPr>
          <w:p w14:paraId="20F6D4CE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Stupeň ≥ 3</w:t>
            </w:r>
          </w:p>
          <w:p w14:paraId="384E97D0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  <w:tc>
          <w:tcPr>
            <w:tcW w:w="1559" w:type="dxa"/>
            <w:shd w:val="clear" w:color="auto" w:fill="auto"/>
          </w:tcPr>
          <w:p w14:paraId="3A22CA26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Všetky stupne</w:t>
            </w:r>
          </w:p>
          <w:p w14:paraId="63B1E77F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  <w:tc>
          <w:tcPr>
            <w:tcW w:w="1134" w:type="dxa"/>
            <w:shd w:val="clear" w:color="auto" w:fill="auto"/>
          </w:tcPr>
          <w:p w14:paraId="3B0AEF38" w14:textId="1993329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Stupeň ≥</w:t>
            </w:r>
            <w:r w:rsidR="00075903"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3</w:t>
            </w:r>
          </w:p>
          <w:p w14:paraId="2D880964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n (%)</w:t>
            </w:r>
          </w:p>
        </w:tc>
      </w:tr>
      <w:tr w:rsidR="00372E8E" w:rsidRPr="008E5498" w14:paraId="0DFEB46F" w14:textId="77777777" w:rsidTr="007C41B8">
        <w:tc>
          <w:tcPr>
            <w:tcW w:w="9747" w:type="dxa"/>
            <w:gridSpan w:val="5"/>
            <w:shd w:val="clear" w:color="auto" w:fill="auto"/>
          </w:tcPr>
          <w:p w14:paraId="7ACFB925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Infekcie a nákazy</w:t>
            </w:r>
          </w:p>
        </w:tc>
      </w:tr>
      <w:tr w:rsidR="00372E8E" w:rsidRPr="008E5498" w14:paraId="40552F97" w14:textId="77777777" w:rsidTr="007C41B8">
        <w:tc>
          <w:tcPr>
            <w:tcW w:w="4219" w:type="dxa"/>
            <w:shd w:val="clear" w:color="auto" w:fill="auto"/>
          </w:tcPr>
          <w:p w14:paraId="7F5CC0B1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24593340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0D0FD5ED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338E9700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0043B3CB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712D79" w:rsidRPr="008E5498" w14:paraId="7C926DF7" w14:textId="77777777" w:rsidTr="003E7B39">
        <w:tc>
          <w:tcPr>
            <w:tcW w:w="4219" w:type="dxa"/>
            <w:shd w:val="clear" w:color="auto" w:fill="auto"/>
          </w:tcPr>
          <w:p w14:paraId="1F0F7A38" w14:textId="5BE5038C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Infekcie 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D06759" w14:textId="29FEC199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188 (54,5)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9933A" w14:textId="2D55E4CC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19 (5,5)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32065E" w14:textId="53373442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60 (34,9)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B0603" w14:textId="07DCB321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6 (3,5)</w:t>
            </w:r>
          </w:p>
        </w:tc>
      </w:tr>
      <w:tr w:rsidR="00372E8E" w:rsidRPr="008E5498" w14:paraId="219538BC" w14:textId="77777777" w:rsidTr="007C41B8">
        <w:tc>
          <w:tcPr>
            <w:tcW w:w="9747" w:type="dxa"/>
            <w:gridSpan w:val="5"/>
            <w:shd w:val="clear" w:color="auto" w:fill="auto"/>
          </w:tcPr>
          <w:p w14:paraId="18918482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krvi a lymfatického systému</w:t>
            </w:r>
          </w:p>
        </w:tc>
      </w:tr>
      <w:tr w:rsidR="00372E8E" w:rsidRPr="008E5498" w14:paraId="743AA96F" w14:textId="77777777" w:rsidTr="007C41B8">
        <w:tc>
          <w:tcPr>
            <w:tcW w:w="4219" w:type="dxa"/>
            <w:shd w:val="clear" w:color="auto" w:fill="auto"/>
          </w:tcPr>
          <w:p w14:paraId="74AE3F0A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5BB54C0E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5533A4CE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39464602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7F88607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712D79" w:rsidRPr="008E5498" w14:paraId="70DF60E2" w14:textId="77777777" w:rsidTr="003E7B39">
        <w:tc>
          <w:tcPr>
            <w:tcW w:w="4219" w:type="dxa"/>
            <w:shd w:val="clear" w:color="auto" w:fill="auto"/>
          </w:tcPr>
          <w:p w14:paraId="098300F0" w14:textId="02BFD5AA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Neutropénia 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7A32D" w14:textId="38D0A2B9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290 (84,1)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B9A5C" w14:textId="36FF73B7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240 (69,6)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EDB14A" w14:textId="01070B86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6 (3,5)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723A6" w14:textId="0651D792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</w:tr>
      <w:tr w:rsidR="00712D79" w:rsidRPr="008E5498" w14:paraId="33D61AB6" w14:textId="77777777" w:rsidTr="003E7B39">
        <w:tc>
          <w:tcPr>
            <w:tcW w:w="4219" w:type="dxa"/>
            <w:shd w:val="clear" w:color="auto" w:fill="auto"/>
          </w:tcPr>
          <w:p w14:paraId="4494A62D" w14:textId="1474858B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Leukopénia 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B7F1BB" w14:textId="0CC79EE3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207 (60,0)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13D31" w14:textId="612714D5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132 (38,3)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556BBA" w14:textId="335709F3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9 (5,2)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279C3" w14:textId="5B2B0725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1 (0,6)</w:t>
            </w:r>
          </w:p>
        </w:tc>
      </w:tr>
      <w:tr w:rsidR="00712D79" w:rsidRPr="008E5498" w14:paraId="65F3CF78" w14:textId="77777777" w:rsidTr="003E7B39">
        <w:tc>
          <w:tcPr>
            <w:tcW w:w="4219" w:type="dxa"/>
            <w:shd w:val="clear" w:color="auto" w:fill="auto"/>
          </w:tcPr>
          <w:p w14:paraId="37CB8F09" w14:textId="5533F479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Anémia 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B1AB9" w14:textId="2D2581C6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109 (31,6)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CE580" w14:textId="12F0623F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15 (4,3)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7D457A" w14:textId="2AF5D225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24 (14,0)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F3B54" w14:textId="338BA551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4 (2,3)</w:t>
            </w:r>
          </w:p>
        </w:tc>
      </w:tr>
      <w:tr w:rsidR="00712D79" w:rsidRPr="008E5498" w14:paraId="67388742" w14:textId="77777777" w:rsidTr="003E7B39">
        <w:tc>
          <w:tcPr>
            <w:tcW w:w="4219" w:type="dxa"/>
            <w:shd w:val="clear" w:color="auto" w:fill="auto"/>
          </w:tcPr>
          <w:p w14:paraId="556B1326" w14:textId="4536A1AB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Thrombocytopénia 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f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CA6982" w14:textId="0F51E008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88 (25,5)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E4563" w14:textId="530C50F2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10 (2,9)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F8EAC4" w14:textId="1A8A3D0B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32829" w14:textId="44547C67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</w:tr>
      <w:tr w:rsidR="00372E8E" w:rsidRPr="008E5498" w14:paraId="5B13F16D" w14:textId="77777777" w:rsidTr="007C41B8">
        <w:tc>
          <w:tcPr>
            <w:tcW w:w="4219" w:type="dxa"/>
            <w:shd w:val="clear" w:color="auto" w:fill="auto"/>
          </w:tcPr>
          <w:p w14:paraId="7EA9CB0F" w14:textId="77777777" w:rsidR="00372E8E" w:rsidRPr="008E5498" w:rsidRDefault="0077236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Menej časté</w:t>
            </w:r>
          </w:p>
        </w:tc>
        <w:tc>
          <w:tcPr>
            <w:tcW w:w="1559" w:type="dxa"/>
            <w:shd w:val="clear" w:color="auto" w:fill="auto"/>
          </w:tcPr>
          <w:p w14:paraId="52E007B8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7794EEB0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2795D5C4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3A36958C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372E8E" w:rsidRPr="008E5498" w14:paraId="2AC7ADEC" w14:textId="77777777" w:rsidTr="007C41B8">
        <w:tc>
          <w:tcPr>
            <w:tcW w:w="4219" w:type="dxa"/>
            <w:shd w:val="clear" w:color="auto" w:fill="auto"/>
          </w:tcPr>
          <w:p w14:paraId="2721CD13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Febril</w:t>
            </w:r>
            <w:r w:rsidR="0077236E"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ná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neutrop</w:t>
            </w:r>
            <w:r w:rsidR="0077236E"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é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nia</w:t>
            </w:r>
          </w:p>
        </w:tc>
        <w:tc>
          <w:tcPr>
            <w:tcW w:w="1559" w:type="dxa"/>
            <w:shd w:val="clear" w:color="auto" w:fill="auto"/>
          </w:tcPr>
          <w:p w14:paraId="56C509A6" w14:textId="7835581A" w:rsidR="00372E8E" w:rsidRPr="008E5498" w:rsidRDefault="00372E8E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(0</w:t>
            </w:r>
            <w:r w:rsidR="00712D79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9)</w:t>
            </w:r>
          </w:p>
        </w:tc>
        <w:tc>
          <w:tcPr>
            <w:tcW w:w="1276" w:type="dxa"/>
            <w:shd w:val="clear" w:color="auto" w:fill="auto"/>
          </w:tcPr>
          <w:p w14:paraId="60100489" w14:textId="3181D1BC" w:rsidR="00372E8E" w:rsidRPr="008E5498" w:rsidRDefault="00372E8E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3 (0</w:t>
            </w:r>
            <w:r w:rsidR="00712D79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9)</w:t>
            </w:r>
          </w:p>
        </w:tc>
        <w:tc>
          <w:tcPr>
            <w:tcW w:w="1559" w:type="dxa"/>
            <w:shd w:val="clear" w:color="auto" w:fill="auto"/>
          </w:tcPr>
          <w:p w14:paraId="618AF6CD" w14:textId="5C57EF8A" w:rsidR="00372E8E" w:rsidRPr="008E5498" w:rsidRDefault="00712D79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B2AFA0E" w14:textId="348D5D98" w:rsidR="00372E8E" w:rsidRPr="008E5498" w:rsidRDefault="00712D79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>0</w:t>
            </w:r>
          </w:p>
        </w:tc>
      </w:tr>
      <w:tr w:rsidR="00372E8E" w:rsidRPr="008E5498" w14:paraId="38732786" w14:textId="77777777" w:rsidTr="007C41B8">
        <w:tc>
          <w:tcPr>
            <w:tcW w:w="9747" w:type="dxa"/>
            <w:gridSpan w:val="5"/>
            <w:shd w:val="clear" w:color="auto" w:fill="auto"/>
          </w:tcPr>
          <w:p w14:paraId="49681179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metabolizmu a výživy</w:t>
            </w:r>
          </w:p>
        </w:tc>
      </w:tr>
      <w:tr w:rsidR="00372E8E" w:rsidRPr="008E5498" w14:paraId="55D3018A" w14:textId="77777777" w:rsidTr="007C41B8">
        <w:tc>
          <w:tcPr>
            <w:tcW w:w="4219" w:type="dxa"/>
            <w:shd w:val="clear" w:color="auto" w:fill="auto"/>
          </w:tcPr>
          <w:p w14:paraId="34C00DFB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46E528E8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605F1423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3A9463F9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69CC1874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712D79" w:rsidRPr="008E5498" w14:paraId="3EBBBEB8" w14:textId="77777777" w:rsidTr="003E7B39">
        <w:tc>
          <w:tcPr>
            <w:tcW w:w="4219" w:type="dxa"/>
            <w:shd w:val="clear" w:color="auto" w:fill="auto"/>
          </w:tcPr>
          <w:p w14:paraId="1AEEFE73" w14:textId="7777777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Znížená chuť do jedla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A44A28" w14:textId="2E4C6F9B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60 (17</w:t>
            </w:r>
            <w:r>
              <w:rPr>
                <w:rFonts w:ascii="Times New Roman" w:hAnsi="Times New Roman"/>
              </w:rPr>
              <w:t>,</w:t>
            </w:r>
            <w:r w:rsidRPr="00712D79">
              <w:rPr>
                <w:rFonts w:ascii="Times New Roman" w:hAnsi="Times New Roman"/>
              </w:rPr>
              <w:t>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DCC35" w14:textId="4562498D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4 (1</w:t>
            </w:r>
            <w:r>
              <w:rPr>
                <w:rFonts w:ascii="Times New Roman" w:hAnsi="Times New Roman"/>
              </w:rPr>
              <w:t>,</w:t>
            </w:r>
            <w:r w:rsidRPr="00712D79">
              <w:rPr>
                <w:rFonts w:ascii="Times New Roman" w:hAnsi="Times New Roman"/>
              </w:rPr>
              <w:t>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FC167" w14:textId="66AC818F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18 (10</w:t>
            </w:r>
            <w:r>
              <w:rPr>
                <w:rFonts w:ascii="Times New Roman" w:hAnsi="Times New Roman"/>
              </w:rPr>
              <w:t>,</w:t>
            </w:r>
            <w:r w:rsidRPr="00712D79">
              <w:rPr>
                <w:rFonts w:ascii="Times New Roman" w:hAnsi="Times New Roman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B7671" w14:textId="02F334E7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1 (0</w:t>
            </w:r>
            <w:r>
              <w:rPr>
                <w:rFonts w:ascii="Times New Roman" w:hAnsi="Times New Roman"/>
              </w:rPr>
              <w:t>,</w:t>
            </w:r>
            <w:r w:rsidRPr="00712D79">
              <w:rPr>
                <w:rFonts w:ascii="Times New Roman" w:hAnsi="Times New Roman"/>
              </w:rPr>
              <w:t>6)</w:t>
            </w:r>
          </w:p>
        </w:tc>
      </w:tr>
      <w:tr w:rsidR="00372E8E" w:rsidRPr="008E5498" w14:paraId="14F752FE" w14:textId="77777777" w:rsidTr="007C41B8">
        <w:tc>
          <w:tcPr>
            <w:tcW w:w="9747" w:type="dxa"/>
            <w:gridSpan w:val="5"/>
            <w:shd w:val="clear" w:color="auto" w:fill="auto"/>
          </w:tcPr>
          <w:p w14:paraId="43906173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nervového systému</w:t>
            </w:r>
          </w:p>
        </w:tc>
      </w:tr>
      <w:tr w:rsidR="00372E8E" w:rsidRPr="008E5498" w14:paraId="6D30DADA" w14:textId="77777777" w:rsidTr="007C41B8">
        <w:tc>
          <w:tcPr>
            <w:tcW w:w="4219" w:type="dxa"/>
            <w:shd w:val="clear" w:color="auto" w:fill="auto"/>
          </w:tcPr>
          <w:p w14:paraId="6F37A86C" w14:textId="77777777" w:rsidR="00372E8E" w:rsidRPr="008E5498" w:rsidRDefault="0077236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45452262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0844D9DA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4664847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72EF9B97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712D79" w:rsidRPr="008E5498" w14:paraId="3B22155F" w14:textId="77777777" w:rsidTr="00712D79">
        <w:tc>
          <w:tcPr>
            <w:tcW w:w="4219" w:type="dxa"/>
            <w:shd w:val="clear" w:color="auto" w:fill="auto"/>
          </w:tcPr>
          <w:p w14:paraId="0648C5B9" w14:textId="7777777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Dysgeúzia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60CAB" w14:textId="47412F40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27 (7</w:t>
            </w:r>
            <w:r>
              <w:rPr>
                <w:rFonts w:ascii="Times New Roman" w:hAnsi="Times New Roman"/>
              </w:rPr>
              <w:t>,</w:t>
            </w:r>
            <w:r w:rsidRPr="00712D79">
              <w:rPr>
                <w:rFonts w:ascii="Times New Roman" w:hAnsi="Times New Roman"/>
              </w:rPr>
              <w:t>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0DA62" w14:textId="2ABE7FF9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B6A86A" w14:textId="69403624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6 (3</w:t>
            </w:r>
            <w:r>
              <w:rPr>
                <w:rFonts w:ascii="Times New Roman" w:hAnsi="Times New Roman"/>
              </w:rPr>
              <w:t>,</w:t>
            </w:r>
            <w:r w:rsidRPr="00712D79">
              <w:rPr>
                <w:rFonts w:ascii="Times New Roman" w:hAnsi="Times New Roman"/>
              </w:rPr>
              <w:t>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79092" w14:textId="5F69F63E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</w:tr>
      <w:tr w:rsidR="00372E8E" w:rsidRPr="008E5498" w14:paraId="3A6A9586" w14:textId="77777777" w:rsidTr="007C41B8">
        <w:tc>
          <w:tcPr>
            <w:tcW w:w="9747" w:type="dxa"/>
            <w:gridSpan w:val="5"/>
            <w:shd w:val="clear" w:color="auto" w:fill="auto"/>
          </w:tcPr>
          <w:p w14:paraId="259AB04F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oka</w:t>
            </w:r>
          </w:p>
        </w:tc>
      </w:tr>
      <w:tr w:rsidR="00372E8E" w:rsidRPr="008E5498" w14:paraId="35747F05" w14:textId="77777777" w:rsidTr="007C41B8">
        <w:tc>
          <w:tcPr>
            <w:tcW w:w="4219" w:type="dxa"/>
            <w:shd w:val="clear" w:color="auto" w:fill="auto"/>
          </w:tcPr>
          <w:p w14:paraId="25F712D1" w14:textId="77777777" w:rsidR="00372E8E" w:rsidRPr="008E5498" w:rsidRDefault="0077236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1299AD4D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2C9A207E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2FDD3A1F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50B8184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712D79" w:rsidRPr="008E5498" w14:paraId="1FF35A5A" w14:textId="77777777" w:rsidTr="003E7B39">
        <w:tc>
          <w:tcPr>
            <w:tcW w:w="4219" w:type="dxa"/>
            <w:shd w:val="clear" w:color="auto" w:fill="auto"/>
          </w:tcPr>
          <w:p w14:paraId="5139A307" w14:textId="7777777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lastRenderedPageBreak/>
              <w:t xml:space="preserve">  Zvýšené slzenie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3036EF" w14:textId="7F188954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25 (7,2)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B83E2C" w14:textId="6B594F6D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360588" w14:textId="5C4908CC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2 (1,2)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F33CE" w14:textId="78E37237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</w:tr>
      <w:tr w:rsidR="00712D79" w:rsidRPr="008E5498" w14:paraId="50734A08" w14:textId="77777777" w:rsidTr="003E7B39">
        <w:tc>
          <w:tcPr>
            <w:tcW w:w="4219" w:type="dxa"/>
            <w:shd w:val="clear" w:color="auto" w:fill="auto"/>
          </w:tcPr>
          <w:p w14:paraId="55DDF38E" w14:textId="7777777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Rozmazané videnie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D565A7" w14:textId="48A1AEB4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24 (7,0)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9940F" w14:textId="7DB7F9A4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A1B580" w14:textId="15F10902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3 (1,7)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CD639" w14:textId="5AF35217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</w:tr>
      <w:tr w:rsidR="00712D79" w:rsidRPr="008E5498" w14:paraId="0CFBDF8A" w14:textId="77777777" w:rsidTr="003E7B39">
        <w:tc>
          <w:tcPr>
            <w:tcW w:w="4219" w:type="dxa"/>
            <w:shd w:val="clear" w:color="auto" w:fill="auto"/>
          </w:tcPr>
          <w:p w14:paraId="71EC0286" w14:textId="7777777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Suché oko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29C4EC" w14:textId="43A11752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15 (4,3)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43721" w14:textId="16086BE6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73929B" w14:textId="5C20187D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3 (1,7)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BFED3" w14:textId="56586D9E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</w:tr>
      <w:tr w:rsidR="00372E8E" w:rsidRPr="008E5498" w14:paraId="706E8D95" w14:textId="77777777" w:rsidTr="007C41B8">
        <w:tc>
          <w:tcPr>
            <w:tcW w:w="9747" w:type="dxa"/>
            <w:gridSpan w:val="5"/>
            <w:shd w:val="clear" w:color="auto" w:fill="auto"/>
          </w:tcPr>
          <w:p w14:paraId="35BB606A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dýchacej sústavy, hrudníka a mediastína</w:t>
            </w:r>
          </w:p>
        </w:tc>
      </w:tr>
      <w:tr w:rsidR="00372E8E" w:rsidRPr="008E5498" w14:paraId="7B9175BF" w14:textId="77777777" w:rsidTr="007C41B8">
        <w:tc>
          <w:tcPr>
            <w:tcW w:w="4219" w:type="dxa"/>
            <w:shd w:val="clear" w:color="auto" w:fill="auto"/>
          </w:tcPr>
          <w:p w14:paraId="5C3A8D7B" w14:textId="77777777" w:rsidR="00372E8E" w:rsidRPr="008E5498" w:rsidRDefault="0077236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4D52875E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721FF943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4FAA708E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8ACE31B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712D79" w:rsidRPr="008E5498" w14:paraId="59523F91" w14:textId="77777777" w:rsidTr="003E7B39">
        <w:tc>
          <w:tcPr>
            <w:tcW w:w="4219" w:type="dxa"/>
            <w:shd w:val="clear" w:color="auto" w:fill="auto"/>
          </w:tcPr>
          <w:p w14:paraId="165F12A8" w14:textId="7777777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Epistaxa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5B6AA8" w14:textId="19722A0E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25 (7</w:t>
            </w:r>
            <w:r>
              <w:rPr>
                <w:rFonts w:ascii="Times New Roman" w:hAnsi="Times New Roman"/>
              </w:rPr>
              <w:t>,</w:t>
            </w:r>
            <w:r w:rsidRPr="00712D79">
              <w:rPr>
                <w:rFonts w:ascii="Times New Roman" w:hAnsi="Times New Roman"/>
              </w:rPr>
              <w:t>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78EA4" w14:textId="4BC424E4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C7FABB" w14:textId="3EC81572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4 (2</w:t>
            </w:r>
            <w:r>
              <w:rPr>
                <w:rFonts w:ascii="Times New Roman" w:hAnsi="Times New Roman"/>
              </w:rPr>
              <w:t>,</w:t>
            </w:r>
            <w:r w:rsidRPr="00712D79">
              <w:rPr>
                <w:rFonts w:ascii="Times New Roman" w:hAnsi="Times New Roman"/>
              </w:rPr>
              <w:t>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A808B" w14:textId="1CEB8F5B" w:rsidR="00712D79" w:rsidRPr="00712D79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712D79">
              <w:rPr>
                <w:rFonts w:ascii="Times New Roman" w:hAnsi="Times New Roman"/>
              </w:rPr>
              <w:t>0</w:t>
            </w:r>
          </w:p>
        </w:tc>
      </w:tr>
      <w:tr w:rsidR="00372E8E" w:rsidRPr="008E5498" w14:paraId="76FD8F3F" w14:textId="77777777" w:rsidTr="007C41B8">
        <w:tc>
          <w:tcPr>
            <w:tcW w:w="9747" w:type="dxa"/>
            <w:gridSpan w:val="5"/>
            <w:shd w:val="clear" w:color="auto" w:fill="auto"/>
          </w:tcPr>
          <w:p w14:paraId="435D8D2B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gastrointestinálneho traktu</w:t>
            </w:r>
          </w:p>
        </w:tc>
      </w:tr>
      <w:tr w:rsidR="00372E8E" w:rsidRPr="008E5498" w14:paraId="6BBCECF3" w14:textId="77777777" w:rsidTr="007C41B8">
        <w:tc>
          <w:tcPr>
            <w:tcW w:w="4219" w:type="dxa"/>
            <w:shd w:val="clear" w:color="auto" w:fill="auto"/>
          </w:tcPr>
          <w:p w14:paraId="786D61EA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17523BEE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48D1DEEB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3661C5D2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5FEEEB12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712D79" w:rsidRPr="008E5498" w14:paraId="41CB431D" w14:textId="77777777" w:rsidTr="003E7B39">
        <w:tc>
          <w:tcPr>
            <w:tcW w:w="4219" w:type="dxa"/>
            <w:shd w:val="clear" w:color="auto" w:fill="auto"/>
          </w:tcPr>
          <w:p w14:paraId="49DB1732" w14:textId="7777777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Nauzea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15A8CF" w14:textId="13E760D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124 (35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A109F" w14:textId="2E7AD639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2 (0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C94AE" w14:textId="39791270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53 (30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0A6C8" w14:textId="74C52255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 (0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6)</w:t>
            </w:r>
          </w:p>
        </w:tc>
      </w:tr>
      <w:tr w:rsidR="00712D79" w:rsidRPr="008E5498" w14:paraId="587E3778" w14:textId="77777777" w:rsidTr="003E7B39">
        <w:tc>
          <w:tcPr>
            <w:tcW w:w="4219" w:type="dxa"/>
            <w:shd w:val="clear" w:color="auto" w:fill="auto"/>
          </w:tcPr>
          <w:p w14:paraId="2DDA7E10" w14:textId="7BC5F74F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Stomatitída 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22ED14" w14:textId="49C31A4E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104 (30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EDD3C3" w14:textId="5CD4ECE3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3 (0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E19BDC" w14:textId="6F90B666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24 (14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50D5A" w14:textId="1DB26383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0</w:t>
            </w:r>
          </w:p>
        </w:tc>
      </w:tr>
      <w:tr w:rsidR="00712D79" w:rsidRPr="008E5498" w14:paraId="43BB8F6E" w14:textId="77777777" w:rsidTr="003E7B39">
        <w:tc>
          <w:tcPr>
            <w:tcW w:w="4219" w:type="dxa"/>
            <w:shd w:val="clear" w:color="auto" w:fill="auto"/>
          </w:tcPr>
          <w:p w14:paraId="7D22E782" w14:textId="7777777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Hnačka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185C2A" w14:textId="5FA06730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94 (27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48D81" w14:textId="27A38B09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0543F5" w14:textId="48198FA4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35 (20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D13C0" w14:textId="17A86956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2 (1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2)</w:t>
            </w:r>
          </w:p>
        </w:tc>
      </w:tr>
      <w:tr w:rsidR="00712D79" w:rsidRPr="008E5498" w14:paraId="22816F38" w14:textId="77777777" w:rsidTr="003E7B39">
        <w:tc>
          <w:tcPr>
            <w:tcW w:w="4219" w:type="dxa"/>
            <w:shd w:val="clear" w:color="auto" w:fill="auto"/>
          </w:tcPr>
          <w:p w14:paraId="0D7A5145" w14:textId="7777777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Vracanie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8C8388" w14:textId="32DDCB27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75 (21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ECC7A" w14:textId="01C778E1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2 (0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173685" w14:textId="5C74FDD1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28 (16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3)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349C1" w14:textId="0F3A2FF8" w:rsidR="00712D79" w:rsidRPr="008E5498" w:rsidRDefault="00712D79" w:rsidP="00712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 (0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6)</w:t>
            </w:r>
          </w:p>
        </w:tc>
      </w:tr>
      <w:tr w:rsidR="00372E8E" w:rsidRPr="008E5498" w14:paraId="0EDD9D68" w14:textId="77777777" w:rsidTr="007C41B8">
        <w:tc>
          <w:tcPr>
            <w:tcW w:w="9747" w:type="dxa"/>
            <w:gridSpan w:val="5"/>
            <w:shd w:val="clear" w:color="auto" w:fill="auto"/>
          </w:tcPr>
          <w:p w14:paraId="5A9485CB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Poruchy kože a podkožného tkaniva</w:t>
            </w:r>
          </w:p>
        </w:tc>
      </w:tr>
      <w:tr w:rsidR="00372E8E" w:rsidRPr="008E5498" w14:paraId="2E1EEB07" w14:textId="77777777" w:rsidTr="007C41B8">
        <w:tc>
          <w:tcPr>
            <w:tcW w:w="4219" w:type="dxa"/>
            <w:shd w:val="clear" w:color="auto" w:fill="auto"/>
          </w:tcPr>
          <w:p w14:paraId="66EC5E65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14EE2AB3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0FE8DEFC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73BF27BC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07644E5D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A0B0B" w:rsidRPr="008E5498" w14:paraId="651482A4" w14:textId="77777777" w:rsidTr="003E7B39">
        <w:tc>
          <w:tcPr>
            <w:tcW w:w="4219" w:type="dxa"/>
            <w:shd w:val="clear" w:color="auto" w:fill="auto"/>
          </w:tcPr>
          <w:p w14:paraId="732B2995" w14:textId="77777777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Alopécia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72241" w14:textId="464EFCEF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67 (19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9EB76" w14:textId="5F4A2D5F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6ACB28" w14:textId="3BBB7977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11 (6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4)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0ADB2" w14:textId="222FAFE9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NA</w:t>
            </w:r>
          </w:p>
        </w:tc>
      </w:tr>
      <w:tr w:rsidR="004A0B0B" w:rsidRPr="008E5498" w14:paraId="7F723448" w14:textId="77777777" w:rsidTr="003E7B39">
        <w:tc>
          <w:tcPr>
            <w:tcW w:w="4219" w:type="dxa"/>
            <w:shd w:val="clear" w:color="auto" w:fill="auto"/>
          </w:tcPr>
          <w:p w14:paraId="5EE4CCE1" w14:textId="74AD8FA7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Vyrážka </w:t>
            </w:r>
            <w:r w:rsidRPr="008E5498">
              <w:rPr>
                <w:rFonts w:ascii="Times New Roman" w:eastAsia="TimesNewRoman,Bold" w:hAnsi="Times New Roman"/>
                <w:bCs/>
                <w:color w:val="000000"/>
                <w:vertAlign w:val="superscript"/>
                <w:lang w:val="sk-SK"/>
              </w:rPr>
              <w:t>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4C4E2" w14:textId="1A7C43C8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63 (18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1D039" w14:textId="2C4103BC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3 (0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DBE13" w14:textId="5538FFFD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10 (5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1AE8D" w14:textId="06C16BB3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0</w:t>
            </w:r>
          </w:p>
        </w:tc>
      </w:tr>
      <w:tr w:rsidR="00372E8E" w:rsidRPr="008E5498" w14:paraId="5643F0D1" w14:textId="77777777" w:rsidTr="007C41B8">
        <w:tc>
          <w:tcPr>
            <w:tcW w:w="4219" w:type="dxa"/>
            <w:shd w:val="clear" w:color="auto" w:fill="auto"/>
          </w:tcPr>
          <w:p w14:paraId="5B4C9EEC" w14:textId="77777777" w:rsidR="00372E8E" w:rsidRPr="008E5498" w:rsidRDefault="0077236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2579ABD0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47C10981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3966384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4B74ADFF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A0B0B" w:rsidRPr="008E5498" w14:paraId="450B37F3" w14:textId="77777777" w:rsidTr="003E7B39">
        <w:tc>
          <w:tcPr>
            <w:tcW w:w="4219" w:type="dxa"/>
            <w:shd w:val="clear" w:color="auto" w:fill="auto"/>
          </w:tcPr>
          <w:p w14:paraId="077A7252" w14:textId="77777777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Suchá koža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8078F2" w14:textId="454D5CE3" w:rsidR="004A0B0B" w:rsidRPr="004A0B0B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28 (8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ACCEDA" w14:textId="43F14668" w:rsidR="004A0B0B" w:rsidRPr="004A0B0B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88739C" w14:textId="1A26EABC" w:rsidR="004A0B0B" w:rsidRPr="004A0B0B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3 (1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80F98" w14:textId="6207F7CD" w:rsidR="004A0B0B" w:rsidRPr="004A0B0B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0</w:t>
            </w:r>
          </w:p>
        </w:tc>
      </w:tr>
      <w:tr w:rsidR="00372E8E" w:rsidRPr="008E5498" w14:paraId="514D4105" w14:textId="77777777" w:rsidTr="007C41B8">
        <w:tc>
          <w:tcPr>
            <w:tcW w:w="9747" w:type="dxa"/>
            <w:gridSpan w:val="5"/>
            <w:shd w:val="clear" w:color="auto" w:fill="auto"/>
          </w:tcPr>
          <w:p w14:paraId="5A6E3753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Celkové poruchy a reakcie v mieste podania</w:t>
            </w:r>
          </w:p>
        </w:tc>
      </w:tr>
      <w:tr w:rsidR="00372E8E" w:rsidRPr="008E5498" w14:paraId="29175CDE" w14:textId="77777777" w:rsidTr="007C41B8">
        <w:tc>
          <w:tcPr>
            <w:tcW w:w="4219" w:type="dxa"/>
            <w:shd w:val="clear" w:color="auto" w:fill="auto"/>
          </w:tcPr>
          <w:p w14:paraId="1BC43CCD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časté</w:t>
            </w:r>
          </w:p>
        </w:tc>
        <w:tc>
          <w:tcPr>
            <w:tcW w:w="1559" w:type="dxa"/>
            <w:shd w:val="clear" w:color="auto" w:fill="auto"/>
          </w:tcPr>
          <w:p w14:paraId="525D5219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612369D0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269F3D83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4607821D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A0B0B" w:rsidRPr="008E5498" w14:paraId="2259128C" w14:textId="77777777" w:rsidTr="003E7B39">
        <w:tc>
          <w:tcPr>
            <w:tcW w:w="4219" w:type="dxa"/>
            <w:shd w:val="clear" w:color="auto" w:fill="auto"/>
          </w:tcPr>
          <w:p w14:paraId="00526B52" w14:textId="77777777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Únava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EBE4E1" w14:textId="66BA5494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152 (44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87F82" w14:textId="154B9B31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9 (2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05226" w14:textId="108D7015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54 (31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4)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C774A" w14:textId="1D11A1D5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2 (1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2)</w:t>
            </w:r>
          </w:p>
        </w:tc>
      </w:tr>
      <w:tr w:rsidR="004A0B0B" w:rsidRPr="008E5498" w14:paraId="11EF696B" w14:textId="77777777" w:rsidTr="003E7B39">
        <w:tc>
          <w:tcPr>
            <w:tcW w:w="4219" w:type="dxa"/>
            <w:shd w:val="clear" w:color="auto" w:fill="auto"/>
          </w:tcPr>
          <w:p w14:paraId="4E295555" w14:textId="77777777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Pyrexia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BB7ADE" w14:textId="487A37CD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47 (13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55A16" w14:textId="13BBA1FF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 (0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3DC3C1" w14:textId="2042640B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10 (5</w:t>
            </w:r>
            <w:r>
              <w:rPr>
                <w:rFonts w:ascii="Times New Roman" w:hAnsi="Times New Roman"/>
              </w:rPr>
              <w:t>ň,</w:t>
            </w:r>
            <w:r w:rsidRPr="006F450A">
              <w:rPr>
                <w:rFonts w:ascii="Times New Roman" w:hAnsi="Times New Roman"/>
              </w:rPr>
              <w:t>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B7AB6" w14:textId="2E04BA83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0</w:t>
            </w:r>
          </w:p>
        </w:tc>
      </w:tr>
      <w:tr w:rsidR="00372E8E" w:rsidRPr="008E5498" w14:paraId="19D7A791" w14:textId="77777777" w:rsidTr="007C41B8">
        <w:tc>
          <w:tcPr>
            <w:tcW w:w="4219" w:type="dxa"/>
            <w:shd w:val="clear" w:color="auto" w:fill="auto"/>
          </w:tcPr>
          <w:p w14:paraId="28ABE46C" w14:textId="77777777" w:rsidR="00372E8E" w:rsidRPr="008E5498" w:rsidRDefault="0077236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</w:tcPr>
          <w:p w14:paraId="6566BFB3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31D52645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92A02A7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3BB4957D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A0B0B" w:rsidRPr="008E5498" w14:paraId="088D3468" w14:textId="77777777" w:rsidTr="003E7B39">
        <w:tc>
          <w:tcPr>
            <w:tcW w:w="4219" w:type="dxa"/>
            <w:shd w:val="clear" w:color="auto" w:fill="auto"/>
          </w:tcPr>
          <w:p w14:paraId="01442046" w14:textId="77777777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Asténia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96D28E" w14:textId="0673F621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27 (7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8631D" w14:textId="29B60EDB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 (0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9F0020" w14:textId="4864AA3F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13 (7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4B0BD" w14:textId="58E3FFB0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2 (1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2)</w:t>
            </w:r>
          </w:p>
        </w:tc>
      </w:tr>
      <w:tr w:rsidR="00372E8E" w:rsidRPr="008E5498" w14:paraId="67E8607E" w14:textId="77777777" w:rsidTr="007C41B8">
        <w:tc>
          <w:tcPr>
            <w:tcW w:w="9747" w:type="dxa"/>
            <w:gridSpan w:val="5"/>
            <w:shd w:val="clear" w:color="auto" w:fill="auto"/>
          </w:tcPr>
          <w:p w14:paraId="2C2022EB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color w:val="000000"/>
                <w:lang w:val="sk-SK"/>
              </w:rPr>
              <w:t>Laboratórne vyšetrenia</w:t>
            </w:r>
          </w:p>
        </w:tc>
      </w:tr>
      <w:tr w:rsidR="00372E8E" w:rsidRPr="008E5498" w14:paraId="11615432" w14:textId="77777777" w:rsidTr="007C41B8">
        <w:tc>
          <w:tcPr>
            <w:tcW w:w="4219" w:type="dxa"/>
            <w:shd w:val="clear" w:color="auto" w:fill="auto"/>
          </w:tcPr>
          <w:p w14:paraId="58CABAC8" w14:textId="3DD4E3BF" w:rsidR="00372E8E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</w:pPr>
            <w:r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Veľmi č</w:t>
            </w:r>
            <w:r w:rsidR="0077236E"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asté</w:t>
            </w:r>
          </w:p>
        </w:tc>
        <w:tc>
          <w:tcPr>
            <w:tcW w:w="1559" w:type="dxa"/>
            <w:shd w:val="clear" w:color="auto" w:fill="auto"/>
          </w:tcPr>
          <w:p w14:paraId="746C71E8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276" w:type="dxa"/>
            <w:shd w:val="clear" w:color="auto" w:fill="auto"/>
          </w:tcPr>
          <w:p w14:paraId="7F5AB6A8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61E4217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  <w:tc>
          <w:tcPr>
            <w:tcW w:w="1134" w:type="dxa"/>
            <w:shd w:val="clear" w:color="auto" w:fill="auto"/>
          </w:tcPr>
          <w:p w14:paraId="61DA5E52" w14:textId="77777777" w:rsidR="00372E8E" w:rsidRPr="008E5498" w:rsidRDefault="00372E8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</w:p>
        </w:tc>
      </w:tr>
      <w:tr w:rsidR="004A0B0B" w:rsidRPr="008E5498" w14:paraId="4138DEBF" w14:textId="77777777" w:rsidTr="00D60FDF">
        <w:tc>
          <w:tcPr>
            <w:tcW w:w="4219" w:type="dxa"/>
            <w:shd w:val="clear" w:color="auto" w:fill="auto"/>
          </w:tcPr>
          <w:p w14:paraId="5DE7C4EC" w14:textId="584A70CA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Zvýšená hladina AST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7A8BDF" w14:textId="2B31E3F0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40 (11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4A056" w14:textId="340247F4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11 (3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7D12B" w14:textId="568F2658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13 (7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6)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034DD" w14:textId="4CBEDB7B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4 (2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3)</w:t>
            </w:r>
          </w:p>
        </w:tc>
      </w:tr>
      <w:tr w:rsidR="004A0B0B" w:rsidRPr="008E5498" w14:paraId="081AF881" w14:textId="77777777" w:rsidTr="00110365">
        <w:tc>
          <w:tcPr>
            <w:tcW w:w="4219" w:type="dxa"/>
            <w:shd w:val="clear" w:color="auto" w:fill="auto"/>
          </w:tcPr>
          <w:p w14:paraId="37DD0155" w14:textId="3FDCA0F2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i/>
                <w:color w:val="000000"/>
                <w:lang w:val="sk-SK"/>
              </w:rPr>
              <w:t>Časté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8E63B" w14:textId="77777777" w:rsidR="004A0B0B" w:rsidRPr="006F450A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F542CC" w14:textId="77777777" w:rsidR="004A0B0B" w:rsidRPr="006F450A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104C07" w14:textId="77777777" w:rsidR="004A0B0B" w:rsidRPr="006F450A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4159B4" w14:textId="77777777" w:rsidR="004A0B0B" w:rsidRPr="006F450A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B0B" w:rsidRPr="008E5498" w14:paraId="5BF736AA" w14:textId="77777777" w:rsidTr="00D60FDF">
        <w:tc>
          <w:tcPr>
            <w:tcW w:w="4219" w:type="dxa"/>
            <w:shd w:val="clear" w:color="auto" w:fill="auto"/>
          </w:tcPr>
          <w:p w14:paraId="3DC624C5" w14:textId="08EF1D79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Cs/>
                <w:color w:val="000000"/>
                <w:lang w:val="sk-SK"/>
              </w:rPr>
              <w:t xml:space="preserve">  Zvýšená hladina ALT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D7C2B" w14:textId="50F6CB89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30 (8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17F52" w14:textId="26EB160C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7 (2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E56D0" w14:textId="23B98495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10 (5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8)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5443A" w14:textId="1F2000C7" w:rsidR="004A0B0B" w:rsidRPr="008E549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Cs/>
                <w:color w:val="000000"/>
                <w:lang w:val="sk-SK"/>
              </w:rPr>
            </w:pPr>
            <w:r w:rsidRPr="006F450A">
              <w:rPr>
                <w:rFonts w:ascii="Times New Roman" w:hAnsi="Times New Roman"/>
              </w:rPr>
              <w:t>1 (0</w:t>
            </w:r>
            <w:r>
              <w:rPr>
                <w:rFonts w:ascii="Times New Roman" w:hAnsi="Times New Roman"/>
              </w:rPr>
              <w:t>,</w:t>
            </w:r>
            <w:r w:rsidRPr="006F450A">
              <w:rPr>
                <w:rFonts w:ascii="Times New Roman" w:hAnsi="Times New Roman"/>
              </w:rPr>
              <w:t>6)</w:t>
            </w:r>
          </w:p>
        </w:tc>
      </w:tr>
    </w:tbl>
    <w:p w14:paraId="35F9108B" w14:textId="33FBD5F2" w:rsidR="0077236E" w:rsidRPr="006A560B" w:rsidRDefault="0077236E" w:rsidP="00D60F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sk-SK"/>
        </w:rPr>
      </w:pPr>
      <w:r w:rsidRPr="00D60FDF">
        <w:rPr>
          <w:rFonts w:ascii="Times New Roman" w:eastAsia="TimesNewRoman" w:hAnsi="Times New Roman"/>
          <w:sz w:val="20"/>
          <w:szCs w:val="20"/>
          <w:lang w:val="sk-SK"/>
        </w:rPr>
        <w:t>ALT</w:t>
      </w:r>
      <w:r w:rsidR="00FD3F2B" w:rsidRPr="00D60FDF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D60FDF">
        <w:rPr>
          <w:rFonts w:ascii="Times New Roman" w:eastAsia="TimesNewRoman" w:hAnsi="Times New Roman"/>
          <w:sz w:val="20"/>
          <w:szCs w:val="20"/>
          <w:lang w:val="sk-SK"/>
        </w:rPr>
        <w:t>=</w:t>
      </w:r>
      <w:r w:rsidR="00FD3F2B" w:rsidRPr="00D60FDF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D60FDF">
        <w:rPr>
          <w:rFonts w:ascii="Times New Roman" w:eastAsia="TimesNewRoman" w:hAnsi="Times New Roman"/>
          <w:sz w:val="20"/>
          <w:szCs w:val="20"/>
          <w:lang w:val="sk-SK"/>
        </w:rPr>
        <w:t>alanínaminotransferáza; AST</w:t>
      </w:r>
      <w:r w:rsidR="00FD3F2B" w:rsidRPr="00D60FDF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D60FDF">
        <w:rPr>
          <w:rFonts w:ascii="Times New Roman" w:eastAsia="TimesNewRoman" w:hAnsi="Times New Roman"/>
          <w:sz w:val="20"/>
          <w:szCs w:val="20"/>
          <w:lang w:val="sk-SK"/>
        </w:rPr>
        <w:t>=</w:t>
      </w:r>
      <w:r w:rsidR="00FD3F2B" w:rsidRPr="00D60FDF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D60FDF">
        <w:rPr>
          <w:rFonts w:ascii="Times New Roman" w:eastAsia="TimesNewRoman" w:hAnsi="Times New Roman"/>
          <w:sz w:val="20"/>
          <w:szCs w:val="20"/>
          <w:lang w:val="sk-SK"/>
        </w:rPr>
        <w:t>aspartátaminotransferáza; N/n</w:t>
      </w:r>
      <w:r w:rsidR="00FD3F2B" w:rsidRPr="00D60FDF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D60FDF">
        <w:rPr>
          <w:rFonts w:ascii="Times New Roman" w:eastAsia="TimesNewRoman" w:hAnsi="Times New Roman"/>
          <w:sz w:val="20"/>
          <w:szCs w:val="20"/>
          <w:lang w:val="sk-SK"/>
        </w:rPr>
        <w:t>=</w:t>
      </w:r>
      <w:r w:rsidR="00FD3F2B" w:rsidRPr="00D60FDF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D60FDF">
        <w:rPr>
          <w:rFonts w:ascii="Times New Roman" w:eastAsia="TimesNewRoman" w:hAnsi="Times New Roman"/>
          <w:sz w:val="20"/>
          <w:szCs w:val="20"/>
          <w:lang w:val="sk-SK"/>
        </w:rPr>
        <w:t>počet pacientov</w:t>
      </w:r>
      <w:r w:rsidR="00721CBB" w:rsidRPr="00D60FDF">
        <w:rPr>
          <w:rFonts w:ascii="Times New Roman" w:eastAsia="TimesNewRoman" w:hAnsi="Times New Roman"/>
          <w:sz w:val="20"/>
          <w:szCs w:val="20"/>
          <w:lang w:val="sk-SK"/>
        </w:rPr>
        <w:t>,</w:t>
      </w:r>
      <w:r w:rsidR="0095795E" w:rsidRPr="00D60FDF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="00721CBB" w:rsidRPr="006A560B">
        <w:rPr>
          <w:rFonts w:ascii="Times New Roman" w:hAnsi="Times New Roman"/>
          <w:sz w:val="20"/>
          <w:szCs w:val="20"/>
        </w:rPr>
        <w:t>NA=neaplikovateľné</w:t>
      </w:r>
    </w:p>
    <w:p w14:paraId="2EFC76D8" w14:textId="3C03F4EA" w:rsidR="0077236E" w:rsidRPr="008E5498" w:rsidRDefault="0077236E" w:rsidP="008E549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a</w:t>
      </w:r>
      <w:r w:rsidR="00C15983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>Preferované termíny (Preferred Terms, PTs) sú uvedené podľa MedDRA 17.1.</w:t>
      </w:r>
    </w:p>
    <w:p w14:paraId="266807D9" w14:textId="1845AEAB" w:rsidR="0077236E" w:rsidRPr="008E5498" w:rsidRDefault="0077236E" w:rsidP="008E549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b</w:t>
      </w:r>
      <w:r w:rsidR="00C15983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>Infekcie zahŕňajú všetky PTs, ktoré sú súčasťou triedy orgánových systémov „Infekcie a nákazy”.</w:t>
      </w:r>
    </w:p>
    <w:p w14:paraId="0001DF56" w14:textId="68A3859F" w:rsidR="0077236E" w:rsidRPr="008E5498" w:rsidRDefault="00C15983" w:rsidP="008E549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c</w:t>
      </w:r>
      <w:r w:rsidRPr="008E5498">
        <w:rPr>
          <w:rFonts w:ascii="Times New Roman" w:eastAsia="TimesNewRoman" w:hAnsi="Times New Roman"/>
          <w:lang w:val="sk-SK"/>
        </w:rPr>
        <w:tab/>
      </w:r>
      <w:r w:rsidR="0077236E" w:rsidRPr="008E5498">
        <w:rPr>
          <w:rFonts w:ascii="Times New Roman" w:eastAsia="TimesNewRoman" w:hAnsi="Times New Roman"/>
          <w:lang w:val="sk-SK"/>
        </w:rPr>
        <w:t>Neutropénia zahŕňa nasledujúce PTs: neutropénia, znížený počet neutrofilov.</w:t>
      </w:r>
    </w:p>
    <w:p w14:paraId="62E18F00" w14:textId="6BFF1B04" w:rsidR="0077236E" w:rsidRPr="008E5498" w:rsidRDefault="0077236E" w:rsidP="008E549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d</w:t>
      </w:r>
      <w:r w:rsidR="00C15983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>Leukopénia zahŕňa nasledujúce PTs: leukopénia, znížený počet bielych krviniek.</w:t>
      </w:r>
    </w:p>
    <w:p w14:paraId="0237EC04" w14:textId="682906E6" w:rsidR="0077236E" w:rsidRPr="008E5498" w:rsidRDefault="0077236E" w:rsidP="008E549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e</w:t>
      </w:r>
      <w:r w:rsidR="00C15983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>Anémia zahŕňa nasledujúce PTs: anémia, znížený hemoglobín, znížený hematokrit.</w:t>
      </w:r>
    </w:p>
    <w:p w14:paraId="3665FDD7" w14:textId="51F78FE7" w:rsidR="0077236E" w:rsidRPr="008E5498" w:rsidRDefault="0077236E" w:rsidP="008E549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f</w:t>
      </w:r>
      <w:r w:rsidR="00C15983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>Trombocytopénia zahŕňa nasledujúce PTs: trombocytopénia, znížený počet krvných doštičiek.</w:t>
      </w:r>
    </w:p>
    <w:p w14:paraId="01C7F748" w14:textId="5C24FECF" w:rsidR="00B033D4" w:rsidRPr="008E5498" w:rsidRDefault="0077236E" w:rsidP="008E549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g</w:t>
      </w:r>
      <w:r w:rsidR="00C15983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>Stomatitída zahŕňa nasledujúce PTs: aftózna stomatitída, cheilitída, glositída, glosodýnia, ulcerácia v</w:t>
      </w:r>
      <w:r w:rsidR="00B033D4" w:rsidRPr="008E5498">
        <w:rPr>
          <w:rFonts w:ascii="Times New Roman" w:eastAsia="TimesNewRoman" w:hAnsi="Times New Roman"/>
          <w:lang w:val="sk-SK"/>
        </w:rPr>
        <w:t xml:space="preserve"> </w:t>
      </w:r>
    </w:p>
    <w:p w14:paraId="3CA3728A" w14:textId="062D1343" w:rsidR="0077236E" w:rsidRPr="008E5498" w:rsidRDefault="0077236E" w:rsidP="008E5498">
      <w:pPr>
        <w:widowControl w:val="0"/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ústach,</w:t>
      </w:r>
      <w:r w:rsidR="00B033D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zápal sliznice, bolesť v ústach, orofaryngeálny diskomfort, orofaryngeálna bolesť, stomatitída.</w:t>
      </w:r>
    </w:p>
    <w:p w14:paraId="656DEBD3" w14:textId="19D391DF" w:rsidR="00B033D4" w:rsidRPr="008E5498" w:rsidRDefault="0077236E" w:rsidP="008E549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h</w:t>
      </w:r>
      <w:r w:rsidR="00C15983" w:rsidRPr="008E5498">
        <w:rPr>
          <w:rFonts w:ascii="Times New Roman" w:eastAsia="TimesNewRoman" w:hAnsi="Times New Roman"/>
          <w:lang w:val="sk-SK"/>
        </w:rPr>
        <w:tab/>
      </w:r>
      <w:r w:rsidRPr="008E5498">
        <w:rPr>
          <w:rFonts w:ascii="Times New Roman" w:eastAsia="TimesNewRoman" w:hAnsi="Times New Roman"/>
          <w:lang w:val="sk-SK"/>
        </w:rPr>
        <w:t xml:space="preserve">Vyrážka zahŕňa nasledujúce PTs: vyrážka, makulopapulárna vyrážka, svrbiaca vyrážka, erytematózna </w:t>
      </w:r>
    </w:p>
    <w:p w14:paraId="38057358" w14:textId="0A48A87E" w:rsidR="00372E8E" w:rsidRPr="008E5498" w:rsidRDefault="0077236E" w:rsidP="008E549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vyrážka,</w:t>
      </w:r>
      <w:r w:rsidR="00B033D4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papulárna vyrážka, dermatitída, akneiformná dermatitída, toxická kožná erupcia.</w:t>
      </w:r>
    </w:p>
    <w:p w14:paraId="4426CCD6" w14:textId="77777777" w:rsidR="0077236E" w:rsidRPr="008E5498" w:rsidRDefault="0077236E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lang w:val="sk-SK"/>
        </w:rPr>
      </w:pPr>
    </w:p>
    <w:p w14:paraId="1F8D0DBA" w14:textId="77777777" w:rsidR="0077236E" w:rsidRPr="008E5498" w:rsidRDefault="0077236E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u w:val="single"/>
          <w:lang w:val="sk-SK"/>
        </w:rPr>
      </w:pPr>
      <w:r w:rsidRPr="008E5498">
        <w:rPr>
          <w:rFonts w:ascii="Times New Roman" w:eastAsia="TimesNewRoman" w:hAnsi="Times New Roman"/>
          <w:u w:val="single"/>
          <w:lang w:val="sk-SK"/>
        </w:rPr>
        <w:t>Opis vybraných nežiaducich reakcií</w:t>
      </w:r>
    </w:p>
    <w:p w14:paraId="01546633" w14:textId="77777777" w:rsidR="0077236E" w:rsidRPr="008E5498" w:rsidRDefault="0077236E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i/>
          <w:iCs/>
          <w:lang w:val="sk-SK"/>
        </w:rPr>
      </w:pPr>
      <w:r w:rsidRPr="008E5498">
        <w:rPr>
          <w:rFonts w:ascii="Times New Roman" w:eastAsia="TimesNewRoman" w:hAnsi="Times New Roman"/>
          <w:i/>
          <w:iCs/>
          <w:lang w:val="sk-SK"/>
        </w:rPr>
        <w:t>Neutropénia</w:t>
      </w:r>
    </w:p>
    <w:p w14:paraId="080CC128" w14:textId="1293A45E" w:rsidR="0077236E" w:rsidRPr="008E5498" w:rsidRDefault="0077236E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U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, ktoré v štúdii PALOMA3 dostávali fulvestrant v kombinácii s palbociklibom sa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neutropénia akéhokoľvek stupňa hlásila u 287 (83,2</w:t>
      </w:r>
      <w:r w:rsidR="00D1236C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 xml:space="preserve">%)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, neutropénia stupňa 3 sa hlásila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u 191 (55,4</w:t>
      </w:r>
      <w:r w:rsidR="00D1236C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 xml:space="preserve">%)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D1236C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a neutropénia stupňa 4 sa hlásila u 37 (10,7</w:t>
      </w:r>
      <w:r w:rsidR="00D1236C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 xml:space="preserve">%)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. V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skupine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fulvestrantom + placebo (n</w:t>
      </w:r>
      <w:r w:rsidR="00D1236C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=</w:t>
      </w:r>
      <w:r w:rsidR="00D1236C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172) sa neutropénia akéhokoľvek stupňa hlásila u 7 (4,1</w:t>
      </w:r>
      <w:r w:rsidR="00D1236C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 xml:space="preserve">%)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,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neutropénia stupňa 3 u 1 (0,6</w:t>
      </w:r>
      <w:r w:rsidR="00D1236C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%) pacientky. V skupine s fulvestrantom + placebo sa nehlásila žiadna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neutropénia stupňa 4.</w:t>
      </w:r>
    </w:p>
    <w:p w14:paraId="6C5AE1E3" w14:textId="77777777" w:rsidR="0077236E" w:rsidRPr="008E5498" w:rsidRDefault="0077236E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13E4D20C" w14:textId="62F16F8D" w:rsidR="0077236E" w:rsidRPr="008E5498" w:rsidRDefault="0077236E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U</w:t>
      </w:r>
      <w:r w:rsidR="00FD3F2B" w:rsidRPr="008E5498">
        <w:rPr>
          <w:rFonts w:ascii="Times New Roman" w:eastAsia="TimesNewRoman" w:hAnsi="Times New Roman"/>
          <w:lang w:val="sk-SK"/>
        </w:rPr>
        <w:t> 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FD3F2B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dostávajúcich fulvestrant v kombinácii s palbociklibom bol medián času do prvej epizódy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neutropénie akéhokoľvek stupňa 15 dní (rozsah: 13 - 317) a medián trvania neutropénie stupňa ≥ 3 bol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7 </w:t>
      </w:r>
      <w:r w:rsidRPr="008E5498">
        <w:rPr>
          <w:rFonts w:ascii="Times New Roman" w:eastAsia="TimesNewRoman" w:hAnsi="Times New Roman"/>
          <w:lang w:val="sk-SK"/>
        </w:rPr>
        <w:lastRenderedPageBreak/>
        <w:t xml:space="preserve">dní. Febrilná neutropénia sa hlásila u 0,9%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FD3F2B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dostávajúcich fulvestrant v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kombinácii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palbociklibom.</w:t>
      </w:r>
    </w:p>
    <w:p w14:paraId="4C5AD872" w14:textId="77777777" w:rsidR="0077236E" w:rsidRPr="008E5498" w:rsidRDefault="0077236E" w:rsidP="008E5498">
      <w:pPr>
        <w:widowControl w:val="0"/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42E6F32" w14:textId="77777777" w:rsidR="00BA06E2" w:rsidRPr="008E5498" w:rsidRDefault="00BA06E2" w:rsidP="008E5498">
      <w:pPr>
        <w:widowControl w:val="0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Hlásenie podozrení na nežiaduce reakcie</w:t>
      </w:r>
    </w:p>
    <w:p w14:paraId="146CAC94" w14:textId="77777777" w:rsidR="00BA06E2" w:rsidRPr="008E5498" w:rsidRDefault="00BA06E2" w:rsidP="008E54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Style w:val="Hypertextovprepojenie"/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8E5498">
        <w:rPr>
          <w:rFonts w:ascii="Times New Roman" w:hAnsi="Times New Roman"/>
          <w:shd w:val="clear" w:color="auto" w:fill="C0C0C0"/>
          <w:lang w:val="sk-SK"/>
        </w:rPr>
        <w:t>národné centrum hlásenia uvedené v </w:t>
      </w:r>
      <w:hyperlink r:id="rId8" w:history="1">
        <w:r w:rsidRPr="008E5498">
          <w:rPr>
            <w:rStyle w:val="Hypertextovprepojenie"/>
            <w:rFonts w:ascii="Times New Roman" w:hAnsi="Times New Roman"/>
            <w:shd w:val="clear" w:color="auto" w:fill="C0C0C0"/>
            <w:lang w:val="sk-SK"/>
          </w:rPr>
          <w:t>Prílohe V</w:t>
        </w:r>
      </w:hyperlink>
      <w:r w:rsidRPr="008E5498">
        <w:rPr>
          <w:rStyle w:val="Hypertextovprepojenie"/>
          <w:rFonts w:ascii="Times New Roman" w:hAnsi="Times New Roman"/>
          <w:lang w:val="sk-SK"/>
        </w:rPr>
        <w:t>.</w:t>
      </w:r>
    </w:p>
    <w:p w14:paraId="28257452" w14:textId="77777777" w:rsidR="00FC5DBD" w:rsidRPr="008E5498" w:rsidRDefault="00FC5DBD" w:rsidP="008E5498">
      <w:pPr>
        <w:widowControl w:val="0"/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14:paraId="3FEC3D5D" w14:textId="644A154D" w:rsidR="002E18B3" w:rsidRPr="008E5498" w:rsidRDefault="000B2B40" w:rsidP="008E5498">
      <w:pPr>
        <w:pStyle w:val="Odsekzoznamu"/>
        <w:widowControl w:val="0"/>
        <w:numPr>
          <w:ilvl w:val="1"/>
          <w:numId w:val="8"/>
        </w:numPr>
        <w:spacing w:after="0" w:line="240" w:lineRule="auto"/>
        <w:ind w:left="567" w:hanging="587"/>
        <w:jc w:val="both"/>
        <w:rPr>
          <w:rFonts w:ascii="Times New Roman" w:hAnsi="Times New Roman"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Predávkovanie</w:t>
      </w:r>
    </w:p>
    <w:p w14:paraId="64FAEEE0" w14:textId="77777777" w:rsidR="00FC5DBD" w:rsidRPr="008E5498" w:rsidRDefault="00FC5DBD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168B305" w14:textId="352816AB" w:rsidR="004707F4" w:rsidRPr="008E5498" w:rsidRDefault="0077236E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Sú známe jednotlivé hlásenia predávkovania fulvestrantom u ľudí. V prípade predávkovania sa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odporúča symptomatická podporná liečba. Štúdie na zvieratách udávajú, že okrem účinkov priamo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alebo nepriamo spojených s antiestrogénnou aktivitou, sa pri vyšších dávkach fulvestrantu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nepreukázali žiadne iné účinky (pozri časť 5.3).</w:t>
      </w:r>
    </w:p>
    <w:p w14:paraId="08A8C18D" w14:textId="77777777" w:rsidR="0077236E" w:rsidRPr="008E5498" w:rsidRDefault="0077236E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lang w:val="sk-SK"/>
        </w:rPr>
      </w:pPr>
    </w:p>
    <w:p w14:paraId="4D1605EE" w14:textId="77777777" w:rsidR="0077236E" w:rsidRPr="008E5498" w:rsidRDefault="0077236E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0EE4EC8" w14:textId="77777777" w:rsidR="002E18B3" w:rsidRPr="008E5498" w:rsidRDefault="000B2B40" w:rsidP="008E5498">
      <w:pPr>
        <w:pStyle w:val="Odsekzoznamu"/>
        <w:widowControl w:val="0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FARMAKOLOGICKÉ VLASTNOSTI</w:t>
      </w:r>
    </w:p>
    <w:p w14:paraId="315127E6" w14:textId="77777777" w:rsidR="00FC5DBD" w:rsidRPr="008E5498" w:rsidRDefault="00FC5DBD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Cs/>
          <w:lang w:val="sk-SK"/>
        </w:rPr>
      </w:pPr>
    </w:p>
    <w:p w14:paraId="117462D9" w14:textId="02DB1E98" w:rsidR="000B2B40" w:rsidRPr="008E5498" w:rsidRDefault="00FD3F2B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5.1</w:t>
      </w:r>
      <w:r w:rsidR="004707F4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Farmakodynamické vlastnosti</w:t>
      </w:r>
    </w:p>
    <w:p w14:paraId="3900CC77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lang w:val="sk-SK"/>
        </w:rPr>
      </w:pPr>
    </w:p>
    <w:p w14:paraId="6EB0BC75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Farmakoterapeutická skupina: Endokrinná liečba, </w:t>
      </w:r>
      <w:r w:rsidR="0077236E" w:rsidRPr="008E5498">
        <w:rPr>
          <w:rFonts w:ascii="Times New Roman" w:hAnsi="Times New Roman"/>
          <w:lang w:val="sk-SK"/>
        </w:rPr>
        <w:t>a</w:t>
      </w:r>
      <w:r w:rsidRPr="008E5498">
        <w:rPr>
          <w:rFonts w:ascii="Times New Roman" w:hAnsi="Times New Roman"/>
          <w:lang w:val="sk-SK"/>
        </w:rPr>
        <w:t>ntiestrogény, ATC kód: L02BA03</w:t>
      </w:r>
    </w:p>
    <w:p w14:paraId="0D3ABC6F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215B9F68" w14:textId="77777777" w:rsidR="000B2B40" w:rsidRPr="008E5498" w:rsidRDefault="00AB793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Mechanizmus</w:t>
      </w:r>
      <w:r w:rsidR="000B2B40" w:rsidRPr="008E5498">
        <w:rPr>
          <w:rFonts w:ascii="Times New Roman" w:hAnsi="Times New Roman"/>
          <w:u w:val="single"/>
          <w:lang w:val="sk-SK"/>
        </w:rPr>
        <w:t xml:space="preserve"> účinku a farmakodynamické účinky</w:t>
      </w:r>
    </w:p>
    <w:p w14:paraId="0390EECA" w14:textId="7F61BFF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Fulvestrant je kompetitívny antagonista estrogénového receptora (ER) s afinitou porovnateľnou</w:t>
      </w:r>
      <w:r w:rsidR="003D0DE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s estradiolom. Fulvestrant blokuje trofický účinok estrogénov bez akejkoľvek čiastočnej agonistickej</w:t>
      </w:r>
      <w:r w:rsidR="003D0DE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(estrogénu podobnej) aktivity. Mechanizmus účinku je spojený s potlačením hladín proteínu</w:t>
      </w:r>
      <w:r w:rsidR="003D0DE3" w:rsidRPr="008E5498">
        <w:rPr>
          <w:rFonts w:ascii="Times New Roman" w:hAnsi="Times New Roman"/>
          <w:lang w:val="sk-SK"/>
        </w:rPr>
        <w:t xml:space="preserve"> </w:t>
      </w:r>
      <w:r w:rsidR="00FD3F2B" w:rsidRPr="008E5498">
        <w:rPr>
          <w:rFonts w:ascii="Times New Roman" w:hAnsi="Times New Roman"/>
          <w:lang w:val="sk-SK"/>
        </w:rPr>
        <w:t xml:space="preserve">estrogénového receptora. </w:t>
      </w:r>
      <w:r w:rsidRPr="008E5498">
        <w:rPr>
          <w:rFonts w:ascii="Times New Roman" w:hAnsi="Times New Roman"/>
          <w:lang w:val="sk-SK"/>
        </w:rPr>
        <w:t>Klinické skúšky u postmenopauzálnych žien s</w:t>
      </w:r>
      <w:r w:rsidR="009755C6" w:rsidRPr="008E5498">
        <w:rPr>
          <w:rFonts w:ascii="Times New Roman" w:hAnsi="Times New Roman"/>
          <w:lang w:val="sk-SK"/>
        </w:rPr>
        <w:t xml:space="preserve"> primárnym karcinómom </w:t>
      </w:r>
      <w:r w:rsidRPr="008E5498">
        <w:rPr>
          <w:rFonts w:ascii="Times New Roman" w:hAnsi="Times New Roman"/>
          <w:lang w:val="sk-SK"/>
        </w:rPr>
        <w:t>prsníka</w:t>
      </w:r>
      <w:r w:rsidR="00CB0CBF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preukázali, že fulvestrant významne znižuje </w:t>
      </w:r>
      <w:r w:rsidR="009755C6" w:rsidRPr="008E5498">
        <w:rPr>
          <w:rFonts w:ascii="Times New Roman" w:hAnsi="Times New Roman"/>
          <w:lang w:val="sk-SK"/>
        </w:rPr>
        <w:t xml:space="preserve">hladinu proteínu </w:t>
      </w:r>
      <w:r w:rsidRPr="008E5498">
        <w:rPr>
          <w:rFonts w:ascii="Times New Roman" w:hAnsi="Times New Roman"/>
          <w:lang w:val="sk-SK"/>
        </w:rPr>
        <w:t>ER v ER pozitívnych nádoroch v porovnaní s</w:t>
      </w:r>
      <w:r w:rsidR="00CB0CBF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placebom. Taktiež sa pozorovalo významné zníženie expresie progesterónového receptora</w:t>
      </w:r>
      <w:r w:rsidR="001D76D2" w:rsidRPr="008E5498">
        <w:rPr>
          <w:rFonts w:ascii="Times New Roman" w:hAnsi="Times New Roman"/>
          <w:lang w:val="sk-SK"/>
        </w:rPr>
        <w:t xml:space="preserve"> v </w:t>
      </w:r>
      <w:r w:rsidR="00F54043" w:rsidRPr="008E5498">
        <w:rPr>
          <w:rFonts w:ascii="Times New Roman" w:hAnsi="Times New Roman"/>
          <w:lang w:val="sk-SK"/>
        </w:rPr>
        <w:t>súlade</w:t>
      </w:r>
      <w:r w:rsidRPr="008E5498">
        <w:rPr>
          <w:rFonts w:ascii="Times New Roman" w:hAnsi="Times New Roman"/>
          <w:lang w:val="sk-SK"/>
        </w:rPr>
        <w:t xml:space="preserve"> </w:t>
      </w:r>
      <w:r w:rsidR="001D76D2" w:rsidRPr="008E5498">
        <w:rPr>
          <w:rFonts w:ascii="Times New Roman" w:hAnsi="Times New Roman"/>
          <w:lang w:val="sk-SK"/>
        </w:rPr>
        <w:t>s chýbajúcim vnútorným agonistickým estrogénovým účinkom</w:t>
      </w:r>
      <w:r w:rsidR="00D1236C" w:rsidRPr="008E5498">
        <w:rPr>
          <w:rFonts w:ascii="Times New Roman" w:hAnsi="Times New Roman"/>
          <w:lang w:val="sk-SK"/>
        </w:rPr>
        <w:t>.</w:t>
      </w:r>
      <w:r w:rsidRPr="008E5498">
        <w:rPr>
          <w:rFonts w:ascii="Times New Roman" w:hAnsi="Times New Roman"/>
          <w:lang w:val="sk-SK"/>
        </w:rPr>
        <w:t xml:space="preserve"> Tiež sa preukázalo, že fulvestrant 500 mg znižuje </w:t>
      </w:r>
      <w:r w:rsidR="009755C6" w:rsidRPr="008E5498">
        <w:rPr>
          <w:rFonts w:ascii="Times New Roman" w:hAnsi="Times New Roman"/>
          <w:lang w:val="sk-SK"/>
        </w:rPr>
        <w:t xml:space="preserve">počet </w:t>
      </w:r>
      <w:r w:rsidRPr="008E5498">
        <w:rPr>
          <w:rFonts w:ascii="Times New Roman" w:hAnsi="Times New Roman"/>
          <w:lang w:val="sk-SK"/>
        </w:rPr>
        <w:t>ER a</w:t>
      </w:r>
      <w:r w:rsidR="00CB0CBF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proliferáciu markeru Ki67, vo väčšej miere ako fulvestrant 250 mg v nádoroch prsníka v</w:t>
      </w:r>
      <w:r w:rsidR="001D76D2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postmenopauzálnej neoadjuvantnej liečbe.</w:t>
      </w:r>
    </w:p>
    <w:p w14:paraId="6A256052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6ED18AF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Klinická bezpečnosť a účinnosť pri pokročilom karcinóme prsníka</w:t>
      </w:r>
    </w:p>
    <w:p w14:paraId="40D8C4D2" w14:textId="77777777" w:rsidR="00B93804" w:rsidRPr="008E5498" w:rsidRDefault="00B9380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7037E8F" w14:textId="77777777" w:rsidR="00B93804" w:rsidRPr="008E5498" w:rsidRDefault="00B9380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lang w:val="sk-SK"/>
        </w:rPr>
      </w:pPr>
      <w:r w:rsidRPr="008E5498">
        <w:rPr>
          <w:rFonts w:ascii="Times New Roman" w:hAnsi="Times New Roman"/>
          <w:i/>
          <w:lang w:val="sk-SK"/>
        </w:rPr>
        <w:t>Monoterapia</w:t>
      </w:r>
    </w:p>
    <w:p w14:paraId="62618BC2" w14:textId="6273595A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Klinickú štúdiu fázy III ukončilo 736 postmenopauzálnych žien s pokročilým karcinómom prsníka,</w:t>
      </w:r>
      <w:r w:rsidR="003D0DE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ktoré mali rekurenciu ochorenia počas alebo po adjuvantnej endokrinnej liečbe alebo progresi</w:t>
      </w:r>
      <w:r w:rsidR="002E6769">
        <w:rPr>
          <w:rFonts w:ascii="Times New Roman" w:hAnsi="Times New Roman"/>
          <w:lang w:val="sk-SK"/>
        </w:rPr>
        <w:t>u po</w:t>
      </w:r>
      <w:r w:rsidR="003D0DE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endokrinnej liečb</w:t>
      </w:r>
      <w:r w:rsidR="002E6769">
        <w:rPr>
          <w:rFonts w:ascii="Times New Roman" w:hAnsi="Times New Roman"/>
          <w:lang w:val="sk-SK"/>
        </w:rPr>
        <w:t>e</w:t>
      </w:r>
      <w:r w:rsidRPr="008E5498">
        <w:rPr>
          <w:rFonts w:ascii="Times New Roman" w:hAnsi="Times New Roman"/>
          <w:lang w:val="sk-SK"/>
        </w:rPr>
        <w:t xml:space="preserve"> pokročilého ochorenia. Štúdia zahŕňala 423 pacientov, ktorí recidivovali</w:t>
      </w:r>
      <w:r w:rsidR="003D0DE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alebo mali progresiu počas antiestrogénnej liečby (AE podskupina) a 313 pacientov, ktorí recidivovali</w:t>
      </w:r>
      <w:r w:rsidR="003D0DE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alebo mali progresiu počas liečby inhibítorom aromatázy (AI podskupina). Táto štúdia porovnávala</w:t>
      </w:r>
      <w:r w:rsidR="003D0DE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účinnosť a bezpečnosť </w:t>
      </w:r>
      <w:r w:rsidR="00362833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 xml:space="preserve">u 500 mg (n=362) s </w:t>
      </w:r>
      <w:r w:rsidR="00362833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>om 250 mg (n=374). Prežitie</w:t>
      </w:r>
      <w:r w:rsidR="00CB0CBF" w:rsidRPr="008E5498">
        <w:rPr>
          <w:rFonts w:ascii="Times New Roman" w:hAnsi="Times New Roman"/>
          <w:lang w:val="sk-SK"/>
        </w:rPr>
        <w:t xml:space="preserve"> bez</w:t>
      </w:r>
      <w:r w:rsidRPr="008E5498">
        <w:rPr>
          <w:rFonts w:ascii="Times New Roman" w:hAnsi="Times New Roman"/>
          <w:lang w:val="sk-SK"/>
        </w:rPr>
        <w:t xml:space="preserve"> progresie</w:t>
      </w:r>
      <w:r w:rsidR="00CB0CBF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(</w:t>
      </w:r>
      <w:r w:rsidR="001D76D2" w:rsidRPr="008E5498">
        <w:rPr>
          <w:rFonts w:ascii="Times New Roman" w:hAnsi="Times New Roman"/>
          <w:lang w:val="sk-SK"/>
        </w:rPr>
        <w:t>Progression-free survival,</w:t>
      </w:r>
      <w:r w:rsidR="00D1236C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PFS) bolo primárnym cieľom, kľúčové sekundárne ciele bezpečnosti zahŕňali objektívnu mieru</w:t>
      </w:r>
      <w:r w:rsidR="00CB0EC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odpovede (objective response rate, ORR), mieru klinického úžitku (clinical benefit rate, CBR)</w:t>
      </w:r>
      <w:r w:rsidR="00CB0EC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a celkové prežívanie (overall survival, OS). Výsledky účinnosti pre CONFIRM štúdiu sú zhrnuté pre</w:t>
      </w:r>
      <w:r w:rsidR="00CB0EC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všetkých pacientov a podskupinou pacientov, ktorí mali nedostatočnú liečbu antiestrogén ver</w:t>
      </w:r>
      <w:r w:rsidR="00CB0ECB" w:rsidRPr="008E5498">
        <w:rPr>
          <w:rFonts w:ascii="Times New Roman" w:hAnsi="Times New Roman"/>
          <w:lang w:val="sk-SK"/>
        </w:rPr>
        <w:t>z</w:t>
      </w:r>
      <w:r w:rsidRPr="008E5498">
        <w:rPr>
          <w:rFonts w:ascii="Times New Roman" w:hAnsi="Times New Roman"/>
          <w:lang w:val="sk-SK"/>
        </w:rPr>
        <w:t>us</w:t>
      </w:r>
      <w:r w:rsidR="00CB0EC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inhibítor aromatázy v</w:t>
      </w:r>
      <w:r w:rsidR="00CC7036">
        <w:rPr>
          <w:rFonts w:ascii="Times New Roman" w:hAnsi="Times New Roman"/>
          <w:lang w:val="sk-SK"/>
        </w:rPr>
        <w:t> </w:t>
      </w:r>
      <w:r w:rsidR="00CC7036" w:rsidRPr="008E5498">
        <w:rPr>
          <w:rFonts w:ascii="Times New Roman" w:hAnsi="Times New Roman"/>
          <w:lang w:val="sk-SK"/>
        </w:rPr>
        <w:t>tabuľke</w:t>
      </w:r>
      <w:r w:rsidR="00CC7036">
        <w:rPr>
          <w:rFonts w:ascii="Times New Roman" w:hAnsi="Times New Roman"/>
          <w:lang w:val="sk-SK"/>
        </w:rPr>
        <w:t> </w:t>
      </w:r>
      <w:r w:rsidR="00B93804" w:rsidRPr="008E5498">
        <w:rPr>
          <w:rFonts w:ascii="Times New Roman" w:hAnsi="Times New Roman"/>
          <w:lang w:val="sk-SK"/>
        </w:rPr>
        <w:t>3</w:t>
      </w:r>
      <w:r w:rsidRPr="008E5498">
        <w:rPr>
          <w:rFonts w:ascii="Times New Roman" w:hAnsi="Times New Roman"/>
          <w:lang w:val="sk-SK"/>
        </w:rPr>
        <w:t>.</w:t>
      </w:r>
    </w:p>
    <w:p w14:paraId="533B7428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2AE404D7" w14:textId="03D97553" w:rsidR="000B2B40" w:rsidRPr="008E5498" w:rsidRDefault="000B2B40" w:rsidP="008E5498">
      <w:pPr>
        <w:widowControl w:val="0"/>
        <w:spacing w:after="0" w:line="240" w:lineRule="auto"/>
        <w:ind w:left="1701" w:hanging="1701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 xml:space="preserve">Tabuľka </w:t>
      </w:r>
      <w:r w:rsidR="00B93804" w:rsidRPr="008E5498">
        <w:rPr>
          <w:rFonts w:ascii="Times New Roman" w:hAnsi="Times New Roman"/>
          <w:b/>
          <w:bCs/>
          <w:lang w:val="sk-SK"/>
        </w:rPr>
        <w:t>3</w:t>
      </w:r>
      <w:r w:rsidR="004707F4" w:rsidRPr="008E5498">
        <w:rPr>
          <w:rFonts w:ascii="Times New Roman" w:hAnsi="Times New Roman"/>
          <w:b/>
          <w:bCs/>
          <w:lang w:val="sk-SK"/>
        </w:rPr>
        <w:tab/>
      </w:r>
      <w:r w:rsidRPr="008E5498">
        <w:rPr>
          <w:rFonts w:ascii="Times New Roman" w:hAnsi="Times New Roman"/>
          <w:b/>
          <w:bCs/>
          <w:lang w:val="sk-SK"/>
        </w:rPr>
        <w:t xml:space="preserve">Prehľad výsledkov primárneho cieľa účinnosti (PFS </w:t>
      </w:r>
      <w:r w:rsidR="008B1113" w:rsidRPr="008E5498">
        <w:rPr>
          <w:rFonts w:ascii="Times New Roman" w:hAnsi="Times New Roman"/>
          <w:b/>
          <w:bCs/>
          <w:lang w:val="sk-SK"/>
        </w:rPr>
        <w:t>–</w:t>
      </w:r>
      <w:r w:rsidRPr="008E5498">
        <w:rPr>
          <w:rFonts w:ascii="Times New Roman" w:hAnsi="Times New Roman"/>
          <w:b/>
          <w:bCs/>
          <w:lang w:val="sk-SK"/>
        </w:rPr>
        <w:t xml:space="preserve"> </w:t>
      </w:r>
      <w:r w:rsidR="008B1113" w:rsidRPr="008E5498">
        <w:rPr>
          <w:rFonts w:ascii="Times New Roman" w:hAnsi="Times New Roman"/>
          <w:b/>
          <w:bCs/>
          <w:lang w:val="sk-SK"/>
        </w:rPr>
        <w:t>progression free survival</w:t>
      </w:r>
      <w:r w:rsidRPr="008E5498">
        <w:rPr>
          <w:rFonts w:ascii="Times New Roman" w:hAnsi="Times New Roman"/>
          <w:b/>
          <w:bCs/>
          <w:lang w:val="sk-SK"/>
        </w:rPr>
        <w:t>)</w:t>
      </w:r>
    </w:p>
    <w:p w14:paraId="089A6B93" w14:textId="77777777" w:rsidR="000B2B40" w:rsidRPr="008E5498" w:rsidRDefault="000B2B40" w:rsidP="008E5498">
      <w:pPr>
        <w:widowControl w:val="0"/>
        <w:spacing w:after="0" w:line="240" w:lineRule="auto"/>
        <w:ind w:left="1701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a kľúčových sekundárnych cieľov účinnosti v štúdii CONFIRM</w:t>
      </w:r>
    </w:p>
    <w:tbl>
      <w:tblPr>
        <w:tblW w:w="519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0"/>
        <w:gridCol w:w="1482"/>
        <w:gridCol w:w="1316"/>
        <w:gridCol w:w="1316"/>
        <w:gridCol w:w="1316"/>
        <w:gridCol w:w="1316"/>
        <w:gridCol w:w="1312"/>
      </w:tblGrid>
      <w:tr w:rsidR="000915FD" w:rsidRPr="008E5498" w14:paraId="6612F5F3" w14:textId="77777777" w:rsidTr="004D2674">
        <w:trPr>
          <w:tblCellSpacing w:w="0" w:type="dxa"/>
        </w:trPr>
        <w:tc>
          <w:tcPr>
            <w:tcW w:w="879" w:type="pct"/>
            <w:vMerge w:val="restart"/>
            <w:tcBorders>
              <w:top w:val="single" w:sz="4" w:space="0" w:color="auto"/>
            </w:tcBorders>
            <w:hideMark/>
          </w:tcPr>
          <w:p w14:paraId="271D941C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</w:tcBorders>
            <w:hideMark/>
          </w:tcPr>
          <w:p w14:paraId="34C7C85F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lang w:val="sk-SK"/>
              </w:rPr>
              <w:t>Typ odhadu;</w:t>
            </w:r>
          </w:p>
          <w:p w14:paraId="6F5EA1F3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lang w:val="sk-SK"/>
              </w:rPr>
              <w:t>porovnanie</w:t>
            </w:r>
          </w:p>
          <w:p w14:paraId="1C77E562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lang w:val="sk-SK"/>
              </w:rPr>
              <w:lastRenderedPageBreak/>
              <w:t>liečby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14:paraId="3EA7AF0D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lastRenderedPageBreak/>
              <w:t>fulvestrant 500 mg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  <w:p w14:paraId="41F36661" w14:textId="77E8C833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lastRenderedPageBreak/>
              <w:t>(N</w:t>
            </w:r>
            <w:r w:rsidR="00956454"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=</w:t>
            </w:r>
            <w:r w:rsidR="00956454"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362)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</w:tcBorders>
            <w:hideMark/>
          </w:tcPr>
          <w:p w14:paraId="31AB7D38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lastRenderedPageBreak/>
              <w:t>fulvestrant 250 mg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</w:p>
          <w:p w14:paraId="1AEF88FD" w14:textId="39036F69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lastRenderedPageBreak/>
              <w:t>(N</w:t>
            </w:r>
            <w:r w:rsidR="00956454"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=</w:t>
            </w:r>
            <w:r w:rsidR="00956454"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374)</w:t>
            </w:r>
          </w:p>
        </w:tc>
        <w:tc>
          <w:tcPr>
            <w:tcW w:w="2017" w:type="pct"/>
            <w:gridSpan w:val="3"/>
            <w:tcBorders>
              <w:top w:val="single" w:sz="4" w:space="0" w:color="auto"/>
            </w:tcBorders>
            <w:hideMark/>
          </w:tcPr>
          <w:p w14:paraId="72671BDD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lang w:val="sk-SK"/>
              </w:rPr>
              <w:lastRenderedPageBreak/>
              <w:t>Porovnanie medzi skupinami</w:t>
            </w:r>
          </w:p>
          <w:p w14:paraId="78A4D1D6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(fulvestrant 500 mg/fulvestrant 250 mg)</w:t>
            </w:r>
          </w:p>
        </w:tc>
      </w:tr>
      <w:tr w:rsidR="000915FD" w:rsidRPr="008E5498" w14:paraId="6CDFF742" w14:textId="77777777" w:rsidTr="004D2674">
        <w:trPr>
          <w:trHeight w:val="497"/>
          <w:tblCellSpacing w:w="0" w:type="dxa"/>
        </w:trPr>
        <w:tc>
          <w:tcPr>
            <w:tcW w:w="879" w:type="pct"/>
            <w:vMerge/>
            <w:vAlign w:val="center"/>
            <w:hideMark/>
          </w:tcPr>
          <w:p w14:paraId="00726B2F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758" w:type="pct"/>
            <w:vMerge/>
            <w:vAlign w:val="center"/>
            <w:hideMark/>
          </w:tcPr>
          <w:p w14:paraId="40869FDF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B017E4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9137A9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2310F9DB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Hazard ratio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5D4E0785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95% CI</w:t>
            </w: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158365AA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p-hodnota</w:t>
            </w:r>
          </w:p>
        </w:tc>
      </w:tr>
      <w:tr w:rsidR="000915FD" w:rsidRPr="008E5498" w14:paraId="3286C493" w14:textId="77777777" w:rsidTr="004D2674">
        <w:trPr>
          <w:tblCellSpacing w:w="0" w:type="dxa"/>
        </w:trPr>
        <w:tc>
          <w:tcPr>
            <w:tcW w:w="879" w:type="pct"/>
            <w:tcBorders>
              <w:top w:val="single" w:sz="4" w:space="0" w:color="auto"/>
            </w:tcBorders>
            <w:hideMark/>
          </w:tcPr>
          <w:p w14:paraId="671D8A46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PFS</w:t>
            </w:r>
          </w:p>
        </w:tc>
        <w:tc>
          <w:tcPr>
            <w:tcW w:w="758" w:type="pct"/>
            <w:tcBorders>
              <w:top w:val="single" w:sz="4" w:space="0" w:color="auto"/>
            </w:tcBorders>
            <w:hideMark/>
          </w:tcPr>
          <w:p w14:paraId="734E7D76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lang w:val="sk-SK"/>
              </w:rPr>
              <w:t>KM medián v mesiacoch;</w:t>
            </w:r>
          </w:p>
          <w:p w14:paraId="2530167F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hazard ratio</w:t>
            </w: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40DBDF14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4E09CD0B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690C0379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top w:val="single" w:sz="4" w:space="0" w:color="auto"/>
            </w:tcBorders>
            <w:hideMark/>
          </w:tcPr>
          <w:p w14:paraId="0CEE290E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  <w:hideMark/>
          </w:tcPr>
          <w:p w14:paraId="27A9A760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8E5498" w14:paraId="474DBB5A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773005CE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lang w:val="sk-SK"/>
              </w:rPr>
              <w:t>Všetci pacienti</w:t>
            </w:r>
          </w:p>
        </w:tc>
        <w:tc>
          <w:tcPr>
            <w:tcW w:w="673" w:type="pct"/>
            <w:hideMark/>
          </w:tcPr>
          <w:p w14:paraId="085B97D7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3E7B39">
              <w:rPr>
                <w:rFonts w:ascii="Times New Roman" w:hAnsi="Times New Roman"/>
                <w:bCs/>
                <w:color w:val="000000"/>
                <w:lang w:val="sk-SK"/>
              </w:rPr>
              <w:t>6,5</w:t>
            </w:r>
          </w:p>
        </w:tc>
        <w:tc>
          <w:tcPr>
            <w:tcW w:w="673" w:type="pct"/>
            <w:hideMark/>
          </w:tcPr>
          <w:p w14:paraId="3CDCCB14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Cs/>
                <w:color w:val="000000"/>
                <w:lang w:val="sk-SK"/>
              </w:rPr>
              <w:t>5,5</w:t>
            </w:r>
          </w:p>
        </w:tc>
        <w:tc>
          <w:tcPr>
            <w:tcW w:w="673" w:type="pct"/>
            <w:hideMark/>
          </w:tcPr>
          <w:p w14:paraId="7D678C0A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3E7B39">
              <w:rPr>
                <w:rFonts w:ascii="Times New Roman" w:hAnsi="Times New Roman"/>
                <w:bCs/>
                <w:color w:val="000000"/>
                <w:lang w:val="sk-SK"/>
              </w:rPr>
              <w:t>0,80</w:t>
            </w:r>
          </w:p>
        </w:tc>
        <w:tc>
          <w:tcPr>
            <w:tcW w:w="673" w:type="pct"/>
            <w:hideMark/>
          </w:tcPr>
          <w:p w14:paraId="08744A4E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3E7B39">
              <w:rPr>
                <w:rFonts w:ascii="Times New Roman" w:hAnsi="Times New Roman"/>
                <w:bCs/>
                <w:color w:val="000000"/>
                <w:lang w:val="sk-SK"/>
              </w:rPr>
              <w:t>0,68; 0,94</w:t>
            </w:r>
          </w:p>
        </w:tc>
        <w:tc>
          <w:tcPr>
            <w:tcW w:w="671" w:type="pct"/>
            <w:hideMark/>
          </w:tcPr>
          <w:p w14:paraId="705350C0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3E7B39">
              <w:rPr>
                <w:rFonts w:ascii="Times New Roman" w:hAnsi="Times New Roman"/>
                <w:bCs/>
                <w:color w:val="000000"/>
                <w:lang w:val="sk-SK"/>
              </w:rPr>
              <w:t>0,006</w:t>
            </w:r>
          </w:p>
        </w:tc>
      </w:tr>
      <w:tr w:rsidR="000915FD" w:rsidRPr="008E5498" w14:paraId="2F9C3AB9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0C19513A" w14:textId="7450E0EE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-AE </w:t>
            </w:r>
            <w:r w:rsidRPr="008E5498">
              <w:rPr>
                <w:rFonts w:ascii="Times New Roman" w:hAnsi="Times New Roman"/>
                <w:b/>
                <w:bCs/>
                <w:lang w:val="sk-SK"/>
              </w:rPr>
              <w:t>podskupina</w:t>
            </w: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  (n</w:t>
            </w:r>
            <w:r w:rsidR="00956454"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=</w:t>
            </w:r>
            <w:r w:rsidR="00956454"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423)</w:t>
            </w:r>
          </w:p>
        </w:tc>
        <w:tc>
          <w:tcPr>
            <w:tcW w:w="673" w:type="pct"/>
            <w:hideMark/>
          </w:tcPr>
          <w:p w14:paraId="424DD644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3E7B39">
              <w:rPr>
                <w:rFonts w:ascii="Times New Roman" w:hAnsi="Times New Roman"/>
                <w:bCs/>
                <w:color w:val="000000"/>
                <w:lang w:val="sk-SK"/>
              </w:rPr>
              <w:t>8,6</w:t>
            </w:r>
          </w:p>
        </w:tc>
        <w:tc>
          <w:tcPr>
            <w:tcW w:w="673" w:type="pct"/>
            <w:hideMark/>
          </w:tcPr>
          <w:p w14:paraId="3F21D162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Cs/>
                <w:color w:val="000000"/>
                <w:lang w:val="sk-SK"/>
              </w:rPr>
              <w:t>5,8</w:t>
            </w:r>
          </w:p>
        </w:tc>
        <w:tc>
          <w:tcPr>
            <w:tcW w:w="673" w:type="pct"/>
            <w:hideMark/>
          </w:tcPr>
          <w:p w14:paraId="0F6A7EE9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3E7B39">
              <w:rPr>
                <w:rFonts w:ascii="Times New Roman" w:hAnsi="Times New Roman"/>
                <w:bCs/>
                <w:color w:val="000000"/>
                <w:lang w:val="sk-SK"/>
              </w:rPr>
              <w:t>0,76</w:t>
            </w:r>
          </w:p>
        </w:tc>
        <w:tc>
          <w:tcPr>
            <w:tcW w:w="673" w:type="pct"/>
            <w:hideMark/>
          </w:tcPr>
          <w:p w14:paraId="0393701D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Cs/>
                <w:color w:val="000000"/>
                <w:lang w:val="sk-SK"/>
              </w:rPr>
              <w:t>0,62; 0,94</w:t>
            </w:r>
          </w:p>
        </w:tc>
        <w:tc>
          <w:tcPr>
            <w:tcW w:w="671" w:type="pct"/>
            <w:hideMark/>
          </w:tcPr>
          <w:p w14:paraId="4A40B63E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Cs/>
                <w:color w:val="000000"/>
                <w:lang w:val="sk-SK"/>
              </w:rPr>
              <w:t>0,013</w:t>
            </w:r>
          </w:p>
        </w:tc>
      </w:tr>
      <w:tr w:rsidR="000915FD" w:rsidRPr="008E5498" w14:paraId="2C1BCC07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178588A7" w14:textId="5D7452FD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-AI </w:t>
            </w:r>
            <w:r w:rsidRPr="008E5498">
              <w:rPr>
                <w:rFonts w:ascii="Times New Roman" w:hAnsi="Times New Roman"/>
                <w:b/>
                <w:bCs/>
                <w:lang w:val="sk-SK"/>
              </w:rPr>
              <w:t>podskupina</w:t>
            </w: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   (n</w:t>
            </w:r>
            <w:r w:rsidR="00956454"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=</w:t>
            </w:r>
            <w:r w:rsidR="00956454"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b/>
                <w:bCs/>
                <w:color w:val="000000"/>
                <w:lang w:val="sk-SK"/>
              </w:rPr>
              <w:t>313)</w:t>
            </w:r>
            <w:r w:rsidRPr="008E5498">
              <w:rPr>
                <w:rFonts w:ascii="Times New Roman" w:hAnsi="Times New Roman"/>
                <w:b/>
                <w:bCs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8D8200B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3E7B39">
              <w:rPr>
                <w:rFonts w:ascii="Times New Roman" w:hAnsi="Times New Roman"/>
                <w:bCs/>
                <w:color w:val="000000"/>
                <w:lang w:val="sk-SK"/>
              </w:rPr>
              <w:t>5,4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6523ABD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3E7B39">
              <w:rPr>
                <w:rFonts w:ascii="Times New Roman" w:hAnsi="Times New Roman"/>
                <w:bCs/>
                <w:color w:val="000000"/>
                <w:lang w:val="sk-SK"/>
              </w:rPr>
              <w:t>4,1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BA41822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Cs/>
                <w:color w:val="000000"/>
                <w:lang w:val="sk-SK"/>
              </w:rPr>
              <w:t>0,85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13EC864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Cs/>
                <w:color w:val="000000"/>
                <w:lang w:val="sk-SK"/>
              </w:rPr>
              <w:t>0,67; 1,08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309A5781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Cs/>
                <w:color w:val="000000"/>
                <w:lang w:val="sk-SK"/>
              </w:rPr>
              <w:t>0,195</w:t>
            </w:r>
          </w:p>
        </w:tc>
      </w:tr>
      <w:tr w:rsidR="000915FD" w:rsidRPr="008E5498" w14:paraId="220E230B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416EEC0E" w14:textId="4E3731DF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D60FDF">
              <w:rPr>
                <w:rFonts w:ascii="Times New Roman" w:hAnsi="Times New Roman"/>
                <w:b/>
                <w:color w:val="000000"/>
                <w:lang w:val="sk-SK"/>
              </w:rPr>
              <w:t>OS</w:t>
            </w:r>
            <w:r w:rsidR="00956454"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D60FDF">
              <w:rPr>
                <w:rFonts w:ascii="Times New Roman" w:hAnsi="Times New Roman"/>
                <w:b/>
                <w:color w:val="000000"/>
                <w:vertAlign w:val="superscript"/>
                <w:lang w:val="sk-SK"/>
              </w:rPr>
              <w:t>b</w:t>
            </w:r>
          </w:p>
        </w:tc>
        <w:tc>
          <w:tcPr>
            <w:tcW w:w="758" w:type="pct"/>
            <w:hideMark/>
          </w:tcPr>
          <w:p w14:paraId="5762A1D0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sk-SK"/>
              </w:rPr>
            </w:pPr>
            <w:r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K-M </w:t>
            </w:r>
            <w:r w:rsidRPr="00D60FDF">
              <w:rPr>
                <w:rFonts w:ascii="Times New Roman" w:hAnsi="Times New Roman"/>
                <w:b/>
                <w:lang w:val="sk-SK"/>
              </w:rPr>
              <w:t>medián v</w:t>
            </w:r>
          </w:p>
          <w:p w14:paraId="7DE68266" w14:textId="526D8293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sk-SK"/>
              </w:rPr>
            </w:pPr>
            <w:r w:rsidRPr="00D60FDF">
              <w:rPr>
                <w:rFonts w:ascii="Times New Roman" w:hAnsi="Times New Roman"/>
                <w:b/>
                <w:lang w:val="sk-SK"/>
              </w:rPr>
              <w:t xml:space="preserve">mesiacoch; </w:t>
            </w:r>
            <w:r w:rsidR="00956454" w:rsidRPr="00D60FDF">
              <w:rPr>
                <w:rFonts w:ascii="Times New Roman" w:hAnsi="Times New Roman"/>
                <w:b/>
                <w:color w:val="000000"/>
                <w:lang w:val="sk-SK"/>
              </w:rPr>
              <w:t>hazard ratio</w:t>
            </w:r>
          </w:p>
        </w:tc>
        <w:tc>
          <w:tcPr>
            <w:tcW w:w="673" w:type="pct"/>
            <w:hideMark/>
          </w:tcPr>
          <w:p w14:paraId="0F257B18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2BEFFAE5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3078FF5B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2CE90992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hideMark/>
          </w:tcPr>
          <w:p w14:paraId="0320F2C5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8E5498" w14:paraId="6ACE262A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13632EAC" w14:textId="1962CE60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D60FDF">
              <w:rPr>
                <w:rFonts w:ascii="Times New Roman" w:hAnsi="Times New Roman"/>
                <w:b/>
                <w:lang w:val="sk-SK"/>
              </w:rPr>
              <w:t>Všetci pacienti</w:t>
            </w:r>
          </w:p>
        </w:tc>
        <w:tc>
          <w:tcPr>
            <w:tcW w:w="758" w:type="pct"/>
            <w:hideMark/>
          </w:tcPr>
          <w:p w14:paraId="5F024683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7557FB1C" w14:textId="31E0DBDC" w:rsidR="000915FD" w:rsidRPr="008E5498" w:rsidRDefault="00956454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26,4</w:t>
            </w:r>
          </w:p>
        </w:tc>
        <w:tc>
          <w:tcPr>
            <w:tcW w:w="673" w:type="pct"/>
            <w:hideMark/>
          </w:tcPr>
          <w:p w14:paraId="4B49541D" w14:textId="12340F1C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22,3</w:t>
            </w:r>
          </w:p>
        </w:tc>
        <w:tc>
          <w:tcPr>
            <w:tcW w:w="673" w:type="pct"/>
            <w:hideMark/>
          </w:tcPr>
          <w:p w14:paraId="572CA896" w14:textId="572576CE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0,81</w:t>
            </w:r>
          </w:p>
        </w:tc>
        <w:tc>
          <w:tcPr>
            <w:tcW w:w="673" w:type="pct"/>
            <w:hideMark/>
          </w:tcPr>
          <w:p w14:paraId="674C6A57" w14:textId="534B99AC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0,69; 0,96</w:t>
            </w:r>
          </w:p>
        </w:tc>
        <w:tc>
          <w:tcPr>
            <w:tcW w:w="671" w:type="pct"/>
            <w:hideMark/>
          </w:tcPr>
          <w:p w14:paraId="7998825D" w14:textId="238DF36D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0,016</w:t>
            </w:r>
            <w:r w:rsidR="00956454" w:rsidRPr="008E5498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</w:p>
        </w:tc>
      </w:tr>
      <w:tr w:rsidR="000915FD" w:rsidRPr="008E5498" w14:paraId="04FACE10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019B072F" w14:textId="05EF2012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-AE </w:t>
            </w:r>
            <w:r w:rsidRPr="00D60FDF">
              <w:rPr>
                <w:rFonts w:ascii="Times New Roman" w:hAnsi="Times New Roman"/>
                <w:b/>
                <w:lang w:val="sk-SK"/>
              </w:rPr>
              <w:t>podskupina</w:t>
            </w:r>
            <w:r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 (n</w:t>
            </w:r>
            <w:r w:rsidR="00956454"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D60FDF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="00956454"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 423)</w:t>
            </w:r>
          </w:p>
        </w:tc>
        <w:tc>
          <w:tcPr>
            <w:tcW w:w="673" w:type="pct"/>
            <w:hideMark/>
          </w:tcPr>
          <w:p w14:paraId="336F352C" w14:textId="1A5F5539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30,6</w:t>
            </w:r>
          </w:p>
        </w:tc>
        <w:tc>
          <w:tcPr>
            <w:tcW w:w="673" w:type="pct"/>
            <w:hideMark/>
          </w:tcPr>
          <w:p w14:paraId="4C579B12" w14:textId="50D377A8" w:rsidR="000915FD" w:rsidRPr="008E5498" w:rsidRDefault="00956454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23,9</w:t>
            </w:r>
          </w:p>
        </w:tc>
        <w:tc>
          <w:tcPr>
            <w:tcW w:w="673" w:type="pct"/>
            <w:hideMark/>
          </w:tcPr>
          <w:p w14:paraId="57E4EED2" w14:textId="7E3BCC9C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0,79</w:t>
            </w:r>
          </w:p>
        </w:tc>
        <w:tc>
          <w:tcPr>
            <w:tcW w:w="673" w:type="pct"/>
            <w:hideMark/>
          </w:tcPr>
          <w:p w14:paraId="04AAD864" w14:textId="16533759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0,63; 0,99</w:t>
            </w:r>
          </w:p>
        </w:tc>
        <w:tc>
          <w:tcPr>
            <w:tcW w:w="671" w:type="pct"/>
            <w:hideMark/>
          </w:tcPr>
          <w:p w14:paraId="293C2F99" w14:textId="77EB93B1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0,038</w:t>
            </w:r>
            <w:r w:rsidR="00956454" w:rsidRPr="008E5498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</w:p>
        </w:tc>
      </w:tr>
      <w:tr w:rsidR="000915FD" w:rsidRPr="008E5498" w14:paraId="502307E6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24BFE83F" w14:textId="41AE14C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-AI </w:t>
            </w:r>
            <w:r w:rsidRPr="00D60FDF">
              <w:rPr>
                <w:rFonts w:ascii="Times New Roman" w:hAnsi="Times New Roman"/>
                <w:b/>
                <w:lang w:val="sk-SK"/>
              </w:rPr>
              <w:t>podskupina</w:t>
            </w:r>
            <w:r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 (n</w:t>
            </w:r>
            <w:r w:rsidR="00956454"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D60FDF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="00956454"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D60FDF">
              <w:rPr>
                <w:rFonts w:ascii="Times New Roman" w:hAnsi="Times New Roman"/>
                <w:b/>
                <w:color w:val="000000"/>
                <w:lang w:val="sk-SK"/>
              </w:rPr>
              <w:t>313)</w:t>
            </w:r>
            <w:r w:rsidR="00956454" w:rsidRPr="00D60FDF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D60FDF">
              <w:rPr>
                <w:rFonts w:ascii="Times New Roman" w:hAnsi="Times New Roman"/>
                <w:b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13D87B5" w14:textId="1F48C9D2" w:rsidR="000915FD" w:rsidRPr="008E5498" w:rsidRDefault="00956454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24,1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08C2E40" w14:textId="72345EA4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20,8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7CD7450F" w14:textId="5E1F9FA1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0,86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69813B4B" w14:textId="117F1F56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0,67; 1,11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1DCCAD5A" w14:textId="54E1DD1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0,241</w:t>
            </w:r>
            <w:r w:rsidR="00956454" w:rsidRPr="008E5498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hAnsi="Times New Roman"/>
                <w:color w:val="000000"/>
                <w:vertAlign w:val="superscript"/>
                <w:lang w:val="sk-SK"/>
              </w:rPr>
              <w:t>c</w:t>
            </w:r>
          </w:p>
        </w:tc>
      </w:tr>
      <w:tr w:rsidR="000915FD" w:rsidRPr="008E5498" w14:paraId="0B1821FA" w14:textId="77777777" w:rsidTr="004D2674">
        <w:trPr>
          <w:tblCellSpacing w:w="0" w:type="dxa"/>
        </w:trPr>
        <w:tc>
          <w:tcPr>
            <w:tcW w:w="879" w:type="pct"/>
            <w:vMerge w:val="restart"/>
            <w:hideMark/>
          </w:tcPr>
          <w:p w14:paraId="6AF2D0DA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D60FDF">
              <w:rPr>
                <w:rFonts w:ascii="Times New Roman" w:hAnsi="Times New Roman"/>
                <w:b/>
                <w:lang w:val="sk-SK"/>
              </w:rPr>
              <w:t>Rôzne</w:t>
            </w:r>
          </w:p>
        </w:tc>
        <w:tc>
          <w:tcPr>
            <w:tcW w:w="758" w:type="pct"/>
            <w:vMerge w:val="restart"/>
            <w:hideMark/>
          </w:tcPr>
          <w:p w14:paraId="00433449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sk-SK"/>
              </w:rPr>
            </w:pPr>
            <w:r w:rsidRPr="00D60FDF">
              <w:rPr>
                <w:rFonts w:ascii="Times New Roman" w:hAnsi="Times New Roman"/>
                <w:b/>
                <w:lang w:val="sk-SK"/>
              </w:rPr>
              <w:t>Typ odhadu;</w:t>
            </w:r>
          </w:p>
          <w:p w14:paraId="2D397604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sk-SK"/>
              </w:rPr>
            </w:pPr>
            <w:r w:rsidRPr="00D60FDF">
              <w:rPr>
                <w:rFonts w:ascii="Times New Roman" w:hAnsi="Times New Roman"/>
                <w:b/>
                <w:lang w:val="sk-SK"/>
              </w:rPr>
              <w:t>porovnanie</w:t>
            </w:r>
          </w:p>
          <w:p w14:paraId="1071325A" w14:textId="77777777" w:rsidR="000915FD" w:rsidRPr="00D60FDF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D60FDF">
              <w:rPr>
                <w:rFonts w:ascii="Times New Roman" w:hAnsi="Times New Roman"/>
                <w:b/>
                <w:lang w:val="sk-SK"/>
              </w:rPr>
              <w:t>liečby</w:t>
            </w:r>
          </w:p>
        </w:tc>
        <w:tc>
          <w:tcPr>
            <w:tcW w:w="673" w:type="pct"/>
            <w:vMerge w:val="restart"/>
            <w:hideMark/>
          </w:tcPr>
          <w:p w14:paraId="61A55FB7" w14:textId="380525E1" w:rsidR="000915FD" w:rsidRPr="006A560B" w:rsidRDefault="000915FD" w:rsidP="006A56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fulvestrant 500 mg</w:t>
            </w:r>
          </w:p>
          <w:p w14:paraId="2055D217" w14:textId="388AE97A" w:rsidR="000915FD" w:rsidRPr="006A560B" w:rsidRDefault="000915FD" w:rsidP="006A56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(N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362)</w:t>
            </w:r>
          </w:p>
        </w:tc>
        <w:tc>
          <w:tcPr>
            <w:tcW w:w="673" w:type="pct"/>
            <w:vMerge w:val="restart"/>
            <w:hideMark/>
          </w:tcPr>
          <w:p w14:paraId="17697155" w14:textId="442BC4C3" w:rsidR="000915FD" w:rsidRPr="006A560B" w:rsidRDefault="000915FD" w:rsidP="006A56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fulvestrant 250 mg</w:t>
            </w:r>
          </w:p>
          <w:p w14:paraId="432D8D77" w14:textId="5E2845B4" w:rsidR="000915FD" w:rsidRPr="006A560B" w:rsidRDefault="000915FD" w:rsidP="006A56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(N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374)</w:t>
            </w:r>
          </w:p>
        </w:tc>
        <w:tc>
          <w:tcPr>
            <w:tcW w:w="2017" w:type="pct"/>
            <w:gridSpan w:val="3"/>
            <w:hideMark/>
          </w:tcPr>
          <w:p w14:paraId="4598E1ED" w14:textId="77777777" w:rsidR="000915FD" w:rsidRPr="006A560B" w:rsidRDefault="000915FD" w:rsidP="006A56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k-SK"/>
              </w:rPr>
            </w:pPr>
            <w:r w:rsidRPr="006A560B">
              <w:rPr>
                <w:rFonts w:ascii="Times New Roman" w:hAnsi="Times New Roman"/>
                <w:b/>
                <w:lang w:val="sk-SK"/>
              </w:rPr>
              <w:t>Porovnanie medzi skupinami</w:t>
            </w:r>
          </w:p>
          <w:p w14:paraId="152016D2" w14:textId="4A06F490" w:rsidR="000915FD" w:rsidRPr="006A560B" w:rsidRDefault="000915FD" w:rsidP="006A56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(fulvestrant 500 mg / fulvestrant 250 mg)</w:t>
            </w:r>
          </w:p>
        </w:tc>
      </w:tr>
      <w:tr w:rsidR="000915FD" w:rsidRPr="008E5498" w14:paraId="26E10DB8" w14:textId="77777777" w:rsidTr="004D2674">
        <w:trPr>
          <w:tblCellSpacing w:w="0" w:type="dxa"/>
        </w:trPr>
        <w:tc>
          <w:tcPr>
            <w:tcW w:w="8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DC2353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7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440723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3D29757" w14:textId="77777777" w:rsidR="000915FD" w:rsidRPr="006A560B" w:rsidRDefault="000915FD" w:rsidP="006A56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sk-SK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104C557" w14:textId="77777777" w:rsidR="000915FD" w:rsidRPr="006A560B" w:rsidRDefault="000915FD" w:rsidP="006A56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sk-SK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F136131" w14:textId="09B2ADAE" w:rsidR="000915FD" w:rsidRPr="006A560B" w:rsidRDefault="000915FD" w:rsidP="006A56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sk-SK"/>
              </w:rPr>
            </w:pPr>
            <w:r w:rsidRPr="006A560B">
              <w:rPr>
                <w:rFonts w:ascii="Times New Roman" w:hAnsi="Times New Roman"/>
                <w:b/>
                <w:lang w:val="sk-SK"/>
              </w:rPr>
              <w:t>Absolútny rozdiel v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> 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%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45844C53" w14:textId="1693EA33" w:rsidR="000915FD" w:rsidRPr="006A560B" w:rsidRDefault="00956454" w:rsidP="006A560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95% CI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7F70D67A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8E5498" w14:paraId="52E9A78B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22D80803" w14:textId="4F1D40BC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ORR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vertAlign w:val="superscript"/>
                <w:lang w:val="sk-SK"/>
              </w:rPr>
              <w:t>d</w:t>
            </w:r>
          </w:p>
        </w:tc>
        <w:tc>
          <w:tcPr>
            <w:tcW w:w="758" w:type="pct"/>
            <w:hideMark/>
          </w:tcPr>
          <w:p w14:paraId="54B82F75" w14:textId="77777777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% </w:t>
            </w:r>
            <w:r w:rsidRPr="006A560B">
              <w:rPr>
                <w:rFonts w:ascii="Times New Roman" w:hAnsi="Times New Roman"/>
                <w:b/>
                <w:lang w:val="sk-SK"/>
              </w:rPr>
              <w:t>pacientov s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OR; </w:t>
            </w:r>
            <w:r w:rsidRPr="006A560B">
              <w:rPr>
                <w:rFonts w:ascii="Times New Roman" w:hAnsi="Times New Roman"/>
                <w:b/>
                <w:lang w:val="sk-SK"/>
              </w:rPr>
              <w:t>absolútny</w:t>
            </w:r>
          </w:p>
          <w:p w14:paraId="39018993" w14:textId="77777777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lang w:val="sk-SK"/>
              </w:rPr>
              <w:t>rozdiel v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% </w:t>
            </w:r>
          </w:p>
        </w:tc>
        <w:tc>
          <w:tcPr>
            <w:tcW w:w="673" w:type="pct"/>
            <w:hideMark/>
          </w:tcPr>
          <w:p w14:paraId="0B079FBA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3E875572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68E5DD10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555EA92B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hideMark/>
          </w:tcPr>
          <w:p w14:paraId="2B8CC837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8E5498" w14:paraId="5477DC8C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68CD56DC" w14:textId="27908228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lang w:val="sk-SK"/>
              </w:rPr>
              <w:t>Všetci pacienti</w:t>
            </w:r>
          </w:p>
        </w:tc>
        <w:tc>
          <w:tcPr>
            <w:tcW w:w="673" w:type="pct"/>
            <w:hideMark/>
          </w:tcPr>
          <w:p w14:paraId="288A2E2F" w14:textId="43D2B1FF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13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="00956454" w:rsidRPr="008E5498">
              <w:rPr>
                <w:rFonts w:ascii="Times New Roman" w:hAnsi="Times New Roman"/>
                <w:color w:val="000000"/>
                <w:lang w:val="sk-SK"/>
              </w:rPr>
              <w:t>8</w:t>
            </w:r>
          </w:p>
        </w:tc>
        <w:tc>
          <w:tcPr>
            <w:tcW w:w="673" w:type="pct"/>
            <w:hideMark/>
          </w:tcPr>
          <w:p w14:paraId="581A8901" w14:textId="12CE36BF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14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6</w:t>
            </w:r>
          </w:p>
        </w:tc>
        <w:tc>
          <w:tcPr>
            <w:tcW w:w="673" w:type="pct"/>
            <w:hideMark/>
          </w:tcPr>
          <w:p w14:paraId="0D06D398" w14:textId="50157253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-0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="00956454" w:rsidRPr="008E5498">
              <w:rPr>
                <w:rFonts w:ascii="Times New Roman" w:hAnsi="Times New Roman"/>
                <w:color w:val="000000"/>
                <w:lang w:val="sk-SK"/>
              </w:rPr>
              <w:t>8</w:t>
            </w:r>
          </w:p>
        </w:tc>
        <w:tc>
          <w:tcPr>
            <w:tcW w:w="673" w:type="pct"/>
            <w:hideMark/>
          </w:tcPr>
          <w:p w14:paraId="59F014BB" w14:textId="35990651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-5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8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 6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="00956454" w:rsidRPr="008E5498">
              <w:rPr>
                <w:rFonts w:ascii="Times New Roman" w:hAnsi="Times New Roman"/>
                <w:color w:val="000000"/>
                <w:lang w:val="sk-SK"/>
              </w:rPr>
              <w:t>3</w:t>
            </w:r>
          </w:p>
        </w:tc>
        <w:tc>
          <w:tcPr>
            <w:tcW w:w="671" w:type="pct"/>
            <w:hideMark/>
          </w:tcPr>
          <w:p w14:paraId="6A5831B5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8E5498" w14:paraId="4E499A9F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1554C100" w14:textId="5707BFF2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-AE </w:t>
            </w:r>
            <w:r w:rsidRPr="006A560B">
              <w:rPr>
                <w:rFonts w:ascii="Times New Roman" w:hAnsi="Times New Roman"/>
                <w:b/>
                <w:lang w:val="sk-SK"/>
              </w:rPr>
              <w:t>podskupina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(n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296)</w:t>
            </w:r>
          </w:p>
        </w:tc>
        <w:tc>
          <w:tcPr>
            <w:tcW w:w="673" w:type="pct"/>
            <w:hideMark/>
          </w:tcPr>
          <w:p w14:paraId="6F7CE42E" w14:textId="050365F2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18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1</w:t>
            </w:r>
          </w:p>
        </w:tc>
        <w:tc>
          <w:tcPr>
            <w:tcW w:w="673" w:type="pct"/>
            <w:hideMark/>
          </w:tcPr>
          <w:p w14:paraId="254AA7FB" w14:textId="0C16FBCE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19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1</w:t>
            </w:r>
          </w:p>
        </w:tc>
        <w:tc>
          <w:tcPr>
            <w:tcW w:w="673" w:type="pct"/>
            <w:hideMark/>
          </w:tcPr>
          <w:p w14:paraId="3C1B17FC" w14:textId="61CFB87C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-1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673" w:type="pct"/>
            <w:hideMark/>
          </w:tcPr>
          <w:p w14:paraId="7673E32E" w14:textId="4A943096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-8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2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 9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3</w:t>
            </w:r>
          </w:p>
        </w:tc>
        <w:tc>
          <w:tcPr>
            <w:tcW w:w="671" w:type="pct"/>
            <w:hideMark/>
          </w:tcPr>
          <w:p w14:paraId="56DF443C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8E5498" w14:paraId="0F6FDEC5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78BDA405" w14:textId="5F5B8A44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-AI </w:t>
            </w:r>
            <w:r w:rsidRPr="006A560B">
              <w:rPr>
                <w:rFonts w:ascii="Times New Roman" w:hAnsi="Times New Roman"/>
                <w:b/>
                <w:lang w:val="sk-SK"/>
              </w:rPr>
              <w:t>podskupina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(n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205)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1E4A40FD" w14:textId="0E96C150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7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="00956454" w:rsidRPr="008E5498">
              <w:rPr>
                <w:rFonts w:ascii="Times New Roman" w:hAnsi="Times New Roman"/>
                <w:color w:val="000000"/>
                <w:lang w:val="sk-SK"/>
              </w:rPr>
              <w:t>3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1ABF66A" w14:textId="2DB6376E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8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="00956454" w:rsidRPr="008E5498">
              <w:rPr>
                <w:rFonts w:ascii="Times New Roman" w:hAnsi="Times New Roman"/>
                <w:color w:val="000000"/>
                <w:lang w:val="sk-SK"/>
              </w:rPr>
              <w:t>3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5D190571" w14:textId="78E5612F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-1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23F29E16" w14:textId="3218B832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-5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5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 9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8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2DA78A42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8E5498" w14:paraId="32588726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51C1E868" w14:textId="36810424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CBR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vertAlign w:val="superscript"/>
                <w:lang w:val="sk-SK"/>
              </w:rPr>
              <w:t>e</w:t>
            </w:r>
          </w:p>
        </w:tc>
        <w:tc>
          <w:tcPr>
            <w:tcW w:w="758" w:type="pct"/>
            <w:hideMark/>
          </w:tcPr>
          <w:p w14:paraId="16FDCA81" w14:textId="77777777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% </w:t>
            </w:r>
            <w:r w:rsidRPr="006A560B">
              <w:rPr>
                <w:rFonts w:ascii="Times New Roman" w:hAnsi="Times New Roman"/>
                <w:b/>
                <w:lang w:val="sk-SK"/>
              </w:rPr>
              <w:t>pacientov s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CB; </w:t>
            </w:r>
            <w:r w:rsidRPr="006A560B">
              <w:rPr>
                <w:rFonts w:ascii="Times New Roman" w:hAnsi="Times New Roman"/>
                <w:b/>
                <w:lang w:val="sk-SK"/>
              </w:rPr>
              <w:t>absolútny</w:t>
            </w:r>
          </w:p>
          <w:p w14:paraId="214E7FD8" w14:textId="77777777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lang w:val="sk-SK"/>
              </w:rPr>
              <w:t>rozdiel v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% </w:t>
            </w:r>
          </w:p>
        </w:tc>
        <w:tc>
          <w:tcPr>
            <w:tcW w:w="673" w:type="pct"/>
            <w:hideMark/>
          </w:tcPr>
          <w:p w14:paraId="5B8B5829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0BC1FCCE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2C0C317F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6AD393A0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671" w:type="pct"/>
            <w:hideMark/>
          </w:tcPr>
          <w:p w14:paraId="51D34DB2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8E5498" w14:paraId="6B245BEE" w14:textId="77777777" w:rsidTr="004D2674">
        <w:trPr>
          <w:tblCellSpacing w:w="0" w:type="dxa"/>
        </w:trPr>
        <w:tc>
          <w:tcPr>
            <w:tcW w:w="879" w:type="pct"/>
            <w:hideMark/>
          </w:tcPr>
          <w:p w14:paraId="09457C59" w14:textId="77777777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lang w:val="sk-SK"/>
              </w:rPr>
              <w:t>Všetci pacienti</w:t>
            </w:r>
          </w:p>
        </w:tc>
        <w:tc>
          <w:tcPr>
            <w:tcW w:w="758" w:type="pct"/>
            <w:hideMark/>
          </w:tcPr>
          <w:p w14:paraId="49C01702" w14:textId="77777777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</w:p>
        </w:tc>
        <w:tc>
          <w:tcPr>
            <w:tcW w:w="673" w:type="pct"/>
            <w:hideMark/>
          </w:tcPr>
          <w:p w14:paraId="693F75CD" w14:textId="159BCBD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45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6</w:t>
            </w:r>
          </w:p>
        </w:tc>
        <w:tc>
          <w:tcPr>
            <w:tcW w:w="673" w:type="pct"/>
            <w:hideMark/>
          </w:tcPr>
          <w:p w14:paraId="42971DA7" w14:textId="39C6AB06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39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6</w:t>
            </w:r>
          </w:p>
        </w:tc>
        <w:tc>
          <w:tcPr>
            <w:tcW w:w="673" w:type="pct"/>
            <w:hideMark/>
          </w:tcPr>
          <w:p w14:paraId="3A5963E3" w14:textId="01C0BD12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6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="00956454" w:rsidRPr="008E5498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673" w:type="pct"/>
            <w:hideMark/>
          </w:tcPr>
          <w:p w14:paraId="1259DB9A" w14:textId="4F13B679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-1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1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 13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="00956454" w:rsidRPr="008E5498">
              <w:rPr>
                <w:rFonts w:ascii="Times New Roman" w:hAnsi="Times New Roman"/>
                <w:color w:val="000000"/>
                <w:lang w:val="sk-SK"/>
              </w:rPr>
              <w:t>3</w:t>
            </w:r>
          </w:p>
        </w:tc>
        <w:tc>
          <w:tcPr>
            <w:tcW w:w="671" w:type="pct"/>
            <w:hideMark/>
          </w:tcPr>
          <w:p w14:paraId="1C4A5826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8E5498" w14:paraId="483BBB11" w14:textId="77777777" w:rsidTr="004D2674">
        <w:trPr>
          <w:tblCellSpacing w:w="0" w:type="dxa"/>
        </w:trPr>
        <w:tc>
          <w:tcPr>
            <w:tcW w:w="1637" w:type="pct"/>
            <w:gridSpan w:val="2"/>
            <w:hideMark/>
          </w:tcPr>
          <w:p w14:paraId="6CE7A727" w14:textId="4C00E941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-AE </w:t>
            </w:r>
            <w:r w:rsidRPr="006A560B">
              <w:rPr>
                <w:rFonts w:ascii="Times New Roman" w:hAnsi="Times New Roman"/>
                <w:b/>
                <w:lang w:val="sk-SK"/>
              </w:rPr>
              <w:t>podskupina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(n = 423)</w:t>
            </w:r>
          </w:p>
        </w:tc>
        <w:tc>
          <w:tcPr>
            <w:tcW w:w="673" w:type="pct"/>
            <w:hideMark/>
          </w:tcPr>
          <w:p w14:paraId="0E048060" w14:textId="14E7B599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52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4</w:t>
            </w:r>
          </w:p>
        </w:tc>
        <w:tc>
          <w:tcPr>
            <w:tcW w:w="673" w:type="pct"/>
            <w:hideMark/>
          </w:tcPr>
          <w:p w14:paraId="5DBDAA6E" w14:textId="715089E3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45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1</w:t>
            </w:r>
          </w:p>
        </w:tc>
        <w:tc>
          <w:tcPr>
            <w:tcW w:w="673" w:type="pct"/>
            <w:hideMark/>
          </w:tcPr>
          <w:p w14:paraId="504029B5" w14:textId="5A220739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7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3</w:t>
            </w:r>
          </w:p>
        </w:tc>
        <w:tc>
          <w:tcPr>
            <w:tcW w:w="673" w:type="pct"/>
            <w:hideMark/>
          </w:tcPr>
          <w:p w14:paraId="488CE63C" w14:textId="424C31A0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-2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2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 16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6</w:t>
            </w:r>
          </w:p>
        </w:tc>
        <w:tc>
          <w:tcPr>
            <w:tcW w:w="671" w:type="pct"/>
            <w:hideMark/>
          </w:tcPr>
          <w:p w14:paraId="606971B3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 w:rsidR="000915FD" w:rsidRPr="008E5498" w14:paraId="632CBD62" w14:textId="77777777" w:rsidTr="004D2674">
        <w:trPr>
          <w:tblCellSpacing w:w="0" w:type="dxa"/>
        </w:trPr>
        <w:tc>
          <w:tcPr>
            <w:tcW w:w="1637" w:type="pct"/>
            <w:gridSpan w:val="2"/>
            <w:tcBorders>
              <w:bottom w:val="single" w:sz="4" w:space="0" w:color="auto"/>
            </w:tcBorders>
            <w:hideMark/>
          </w:tcPr>
          <w:p w14:paraId="36844941" w14:textId="468914F3" w:rsidR="000915FD" w:rsidRPr="006A560B" w:rsidRDefault="000915FD" w:rsidP="008E54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-AI </w:t>
            </w:r>
            <w:r w:rsidRPr="006A560B">
              <w:rPr>
                <w:rFonts w:ascii="Times New Roman" w:hAnsi="Times New Roman"/>
                <w:b/>
                <w:lang w:val="sk-SK"/>
              </w:rPr>
              <w:t>podskupina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(n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lang w:val="sk-SK"/>
              </w:rPr>
              <w:t>313)</w:t>
            </w:r>
            <w:r w:rsidR="00956454" w:rsidRPr="006A560B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6A560B">
              <w:rPr>
                <w:rFonts w:ascii="Times New Roman" w:hAnsi="Times New Roman"/>
                <w:b/>
                <w:color w:val="000000"/>
                <w:vertAlign w:val="superscript"/>
                <w:lang w:val="sk-SK"/>
              </w:rPr>
              <w:t>a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BFB006F" w14:textId="182E74CB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36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2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374C502E" w14:textId="3B095D64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32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3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05ACD4D9" w14:textId="667BEB93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3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9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hideMark/>
          </w:tcPr>
          <w:p w14:paraId="526E3E08" w14:textId="00188FA9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8E5498">
              <w:rPr>
                <w:rFonts w:ascii="Times New Roman" w:hAnsi="Times New Roman"/>
                <w:color w:val="000000"/>
                <w:lang w:val="sk-SK"/>
              </w:rPr>
              <w:t>-6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1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 xml:space="preserve"> 15</w:t>
            </w:r>
            <w:r w:rsidR="009C3157" w:rsidRPr="008E5498">
              <w:rPr>
                <w:rFonts w:ascii="Times New Roman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hAnsi="Times New Roman"/>
                <w:color w:val="000000"/>
                <w:lang w:val="sk-SK"/>
              </w:rPr>
              <w:t>2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hideMark/>
          </w:tcPr>
          <w:p w14:paraId="6A4E9165" w14:textId="77777777" w:rsidR="000915FD" w:rsidRPr="008E5498" w:rsidRDefault="000915FD" w:rsidP="008E549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</w:tbl>
    <w:p w14:paraId="466A55CF" w14:textId="4E4A14CB" w:rsidR="000B2B40" w:rsidRPr="006A560B" w:rsidRDefault="00C15983" w:rsidP="008E5498">
      <w:pPr>
        <w:widowControl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val="sk-SK"/>
        </w:rPr>
      </w:pPr>
      <w:r w:rsidRPr="006A560B">
        <w:rPr>
          <w:rFonts w:ascii="Times New Roman" w:hAnsi="Times New Roman"/>
          <w:sz w:val="20"/>
          <w:szCs w:val="20"/>
          <w:lang w:val="sk-SK"/>
        </w:rPr>
        <w:t>a</w:t>
      </w:r>
      <w:r w:rsidR="004707F4" w:rsidRPr="006A560B">
        <w:rPr>
          <w:rFonts w:ascii="Times New Roman" w:hAnsi="Times New Roman"/>
          <w:sz w:val="20"/>
          <w:szCs w:val="20"/>
          <w:lang w:val="sk-SK"/>
        </w:rPr>
        <w:tab/>
      </w:r>
      <w:r w:rsidR="00B10CB1" w:rsidRPr="006A560B">
        <w:rPr>
          <w:rFonts w:ascii="Times New Roman" w:hAnsi="Times New Roman"/>
          <w:sz w:val="20"/>
          <w:szCs w:val="20"/>
          <w:lang w:val="sk-SK"/>
        </w:rPr>
        <w:t>Fulvestrant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 xml:space="preserve"> je indikovaný </w:t>
      </w:r>
      <w:r w:rsidR="00BD40B4" w:rsidRPr="006A560B">
        <w:rPr>
          <w:rFonts w:ascii="Times New Roman" w:hAnsi="Times New Roman"/>
          <w:sz w:val="20"/>
          <w:szCs w:val="20"/>
          <w:lang w:val="sk-SK"/>
        </w:rPr>
        <w:t xml:space="preserve">u </w:t>
      </w:r>
      <w:r w:rsidR="00E60CE6" w:rsidRPr="006A560B">
        <w:rPr>
          <w:rFonts w:ascii="Times New Roman" w:hAnsi="Times New Roman"/>
          <w:sz w:val="20"/>
          <w:szCs w:val="20"/>
          <w:lang w:val="sk-SK"/>
        </w:rPr>
        <w:t>pacientok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 xml:space="preserve">, </w:t>
      </w:r>
      <w:r w:rsidR="00B033D4" w:rsidRPr="006A560B">
        <w:rPr>
          <w:rFonts w:ascii="Times New Roman" w:hAnsi="Times New Roman"/>
          <w:sz w:val="20"/>
          <w:szCs w:val="20"/>
          <w:lang w:val="sk-SK"/>
        </w:rPr>
        <w:t xml:space="preserve">ktoré 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recidivovali alebo mali progresiu počas antiestrogénnej liečby.</w:t>
      </w:r>
      <w:r w:rsidR="004707F4" w:rsidRPr="006A560B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Výsledky v AI podskupine sú nepresvedčivé.</w:t>
      </w:r>
    </w:p>
    <w:p w14:paraId="786AADAD" w14:textId="3508130F" w:rsidR="000B2B40" w:rsidRPr="006A560B" w:rsidRDefault="00C15983" w:rsidP="008E5498">
      <w:pPr>
        <w:widowControl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val="sk-SK"/>
        </w:rPr>
      </w:pPr>
      <w:r w:rsidRPr="006A560B">
        <w:rPr>
          <w:rFonts w:ascii="Times New Roman" w:hAnsi="Times New Roman"/>
          <w:sz w:val="20"/>
          <w:szCs w:val="20"/>
          <w:lang w:val="sk-SK"/>
        </w:rPr>
        <w:t>b</w:t>
      </w:r>
      <w:r w:rsidR="004707F4" w:rsidRPr="006A560B">
        <w:rPr>
          <w:rFonts w:ascii="Times New Roman" w:hAnsi="Times New Roman"/>
          <w:sz w:val="20"/>
          <w:szCs w:val="20"/>
          <w:lang w:val="sk-SK"/>
        </w:rPr>
        <w:tab/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OS je uvádzané pre finálnu analýzu celkového prežitia pri 75% úplnosti dát.</w:t>
      </w:r>
    </w:p>
    <w:p w14:paraId="2F95D0FE" w14:textId="72EA3116" w:rsidR="000B2B40" w:rsidRPr="006A560B" w:rsidRDefault="00C15983" w:rsidP="008E5498">
      <w:pPr>
        <w:widowControl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val="sk-SK"/>
        </w:rPr>
      </w:pPr>
      <w:r w:rsidRPr="006A560B">
        <w:rPr>
          <w:rFonts w:ascii="Times New Roman" w:hAnsi="Times New Roman"/>
          <w:sz w:val="20"/>
          <w:szCs w:val="20"/>
          <w:lang w:val="sk-SK"/>
        </w:rPr>
        <w:t>c</w:t>
      </w:r>
      <w:r w:rsidR="004707F4" w:rsidRPr="006A560B">
        <w:rPr>
          <w:rFonts w:ascii="Times New Roman" w:hAnsi="Times New Roman"/>
          <w:sz w:val="20"/>
          <w:szCs w:val="20"/>
          <w:lang w:val="sk-SK"/>
        </w:rPr>
        <w:tab/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Nominálna hodnota p bez úpravy na opakované hodnoty medzi pôvodnou analýzou celkového prežitia pri</w:t>
      </w:r>
      <w:r w:rsidR="004707F4" w:rsidRPr="006A560B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50% úplnosti dát a aktualizovanou analýzou celkového prežitia pri 75% úplnosti dát.</w:t>
      </w:r>
    </w:p>
    <w:p w14:paraId="217F5F97" w14:textId="4897214C" w:rsidR="000B2B40" w:rsidRPr="006A560B" w:rsidRDefault="00C15983" w:rsidP="008E5498">
      <w:pPr>
        <w:widowControl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val="sk-SK"/>
        </w:rPr>
      </w:pPr>
      <w:r w:rsidRPr="006A560B">
        <w:rPr>
          <w:rFonts w:ascii="Times New Roman" w:hAnsi="Times New Roman"/>
          <w:sz w:val="20"/>
          <w:szCs w:val="20"/>
          <w:lang w:val="sk-SK"/>
        </w:rPr>
        <w:t>d</w:t>
      </w:r>
      <w:r w:rsidR="004707F4" w:rsidRPr="006A560B">
        <w:rPr>
          <w:rFonts w:ascii="Times New Roman" w:hAnsi="Times New Roman"/>
          <w:sz w:val="20"/>
          <w:szCs w:val="20"/>
          <w:lang w:val="sk-SK"/>
        </w:rPr>
        <w:tab/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ORR bol</w:t>
      </w:r>
      <w:r w:rsidR="00BD40B4" w:rsidRPr="006A560B">
        <w:rPr>
          <w:rFonts w:ascii="Times New Roman" w:hAnsi="Times New Roman"/>
          <w:sz w:val="20"/>
          <w:szCs w:val="20"/>
          <w:lang w:val="sk-SK"/>
        </w:rPr>
        <w:t>a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BD40B4" w:rsidRPr="006A560B">
        <w:rPr>
          <w:rFonts w:ascii="Times New Roman" w:hAnsi="Times New Roman"/>
          <w:sz w:val="20"/>
          <w:szCs w:val="20"/>
          <w:lang w:val="sk-SK"/>
        </w:rPr>
        <w:t xml:space="preserve">stanovená 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 xml:space="preserve">u </w:t>
      </w:r>
      <w:r w:rsidR="00B033D4" w:rsidRPr="006A560B">
        <w:rPr>
          <w:rFonts w:ascii="Times New Roman" w:hAnsi="Times New Roman"/>
          <w:sz w:val="20"/>
          <w:szCs w:val="20"/>
          <w:lang w:val="sk-SK"/>
        </w:rPr>
        <w:t>pacientok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, u ktorých bola dostupná základná odpoveď (t.</w:t>
      </w:r>
      <w:r w:rsidR="00D1236C" w:rsidRPr="006A560B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j., u ktorých bolo</w:t>
      </w:r>
    </w:p>
    <w:p w14:paraId="2E82E9FD" w14:textId="77777777" w:rsidR="000B2B40" w:rsidRPr="006A560B" w:rsidRDefault="000B2B40" w:rsidP="008E5498">
      <w:pPr>
        <w:widowControl w:val="0"/>
        <w:spacing w:after="0" w:line="240" w:lineRule="auto"/>
        <w:ind w:left="284"/>
        <w:contextualSpacing/>
        <w:jc w:val="both"/>
        <w:rPr>
          <w:rFonts w:ascii="Times New Roman" w:hAnsi="Times New Roman"/>
          <w:sz w:val="20"/>
          <w:szCs w:val="20"/>
          <w:lang w:val="sk-SK"/>
        </w:rPr>
      </w:pPr>
      <w:r w:rsidRPr="006A560B">
        <w:rPr>
          <w:rFonts w:ascii="Times New Roman" w:hAnsi="Times New Roman"/>
          <w:sz w:val="20"/>
          <w:szCs w:val="20"/>
          <w:lang w:val="sk-SK"/>
        </w:rPr>
        <w:t xml:space="preserve">merateľné základné ochorenie: skupina 240 pacientov na </w:t>
      </w:r>
      <w:r w:rsidR="00B93804" w:rsidRPr="006A560B">
        <w:rPr>
          <w:rFonts w:ascii="Times New Roman" w:hAnsi="Times New Roman"/>
          <w:sz w:val="20"/>
          <w:szCs w:val="20"/>
          <w:lang w:val="sk-SK"/>
        </w:rPr>
        <w:t>f</w:t>
      </w:r>
      <w:r w:rsidR="00B10CB1" w:rsidRPr="006A560B">
        <w:rPr>
          <w:rFonts w:ascii="Times New Roman" w:hAnsi="Times New Roman"/>
          <w:sz w:val="20"/>
          <w:szCs w:val="20"/>
          <w:lang w:val="sk-SK"/>
        </w:rPr>
        <w:t>ulvestrant</w:t>
      </w:r>
      <w:r w:rsidRPr="006A560B">
        <w:rPr>
          <w:rFonts w:ascii="Times New Roman" w:hAnsi="Times New Roman"/>
          <w:sz w:val="20"/>
          <w:szCs w:val="20"/>
          <w:lang w:val="sk-SK"/>
        </w:rPr>
        <w:t>e 500 mg a skupina 261 pacientov na</w:t>
      </w:r>
      <w:r w:rsidR="004707F4" w:rsidRPr="006A560B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B93804" w:rsidRPr="006A560B">
        <w:rPr>
          <w:rFonts w:ascii="Times New Roman" w:hAnsi="Times New Roman"/>
          <w:sz w:val="20"/>
          <w:szCs w:val="20"/>
          <w:lang w:val="sk-SK"/>
        </w:rPr>
        <w:t>f</w:t>
      </w:r>
      <w:r w:rsidR="00B10CB1" w:rsidRPr="006A560B">
        <w:rPr>
          <w:rFonts w:ascii="Times New Roman" w:hAnsi="Times New Roman"/>
          <w:sz w:val="20"/>
          <w:szCs w:val="20"/>
          <w:lang w:val="sk-SK"/>
        </w:rPr>
        <w:t>ulvestrant</w:t>
      </w:r>
      <w:r w:rsidRPr="006A560B">
        <w:rPr>
          <w:rFonts w:ascii="Times New Roman" w:hAnsi="Times New Roman"/>
          <w:sz w:val="20"/>
          <w:szCs w:val="20"/>
          <w:lang w:val="sk-SK"/>
        </w:rPr>
        <w:t>e 250 mg).</w:t>
      </w:r>
    </w:p>
    <w:p w14:paraId="6F576959" w14:textId="4882C60C" w:rsidR="000B2B40" w:rsidRPr="006A560B" w:rsidRDefault="00C15983" w:rsidP="008E5498">
      <w:pPr>
        <w:widowControl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val="sk-SK"/>
        </w:rPr>
      </w:pPr>
      <w:r w:rsidRPr="006A560B">
        <w:rPr>
          <w:rFonts w:ascii="Times New Roman" w:hAnsi="Times New Roman"/>
          <w:sz w:val="20"/>
          <w:szCs w:val="20"/>
          <w:lang w:val="sk-SK"/>
        </w:rPr>
        <w:t>e</w:t>
      </w:r>
      <w:r w:rsidR="004707F4" w:rsidRPr="006A560B">
        <w:rPr>
          <w:rFonts w:ascii="Times New Roman" w:hAnsi="Times New Roman"/>
          <w:sz w:val="20"/>
          <w:szCs w:val="20"/>
          <w:lang w:val="sk-SK"/>
        </w:rPr>
        <w:tab/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Pacient</w:t>
      </w:r>
      <w:r w:rsidR="00BD40B4" w:rsidRPr="006A560B">
        <w:rPr>
          <w:rFonts w:ascii="Times New Roman" w:hAnsi="Times New Roman"/>
          <w:sz w:val="20"/>
          <w:szCs w:val="20"/>
          <w:lang w:val="sk-SK"/>
        </w:rPr>
        <w:t>ky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 xml:space="preserve"> s najlepšou objektívnou odpoveďou kompletnej </w:t>
      </w:r>
      <w:r w:rsidR="00BD40B4" w:rsidRPr="006A560B">
        <w:rPr>
          <w:rFonts w:ascii="Times New Roman" w:hAnsi="Times New Roman"/>
          <w:sz w:val="20"/>
          <w:szCs w:val="20"/>
          <w:lang w:val="sk-SK"/>
        </w:rPr>
        <w:t>odpovede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, čiastočnou odpoveďou alebo</w:t>
      </w:r>
      <w:r w:rsidR="004707F4" w:rsidRPr="006A560B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stabilizovaným ochorením ≥</w:t>
      </w:r>
      <w:r w:rsidR="00956454" w:rsidRPr="006A560B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0B2B40" w:rsidRPr="006A560B">
        <w:rPr>
          <w:rFonts w:ascii="Times New Roman" w:hAnsi="Times New Roman"/>
          <w:sz w:val="20"/>
          <w:szCs w:val="20"/>
          <w:lang w:val="sk-SK"/>
        </w:rPr>
        <w:t>24 týždňov.</w:t>
      </w:r>
    </w:p>
    <w:p w14:paraId="07715E64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233EDAE7" w14:textId="68E53966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PFS:</w:t>
      </w:r>
      <w:r w:rsidR="006D6FCB" w:rsidRPr="008E5498">
        <w:rPr>
          <w:rFonts w:ascii="Times New Roman" w:hAnsi="Times New Roman"/>
          <w:lang w:val="sk-SK"/>
        </w:rPr>
        <w:t xml:space="preserve"> </w:t>
      </w:r>
      <w:r w:rsidR="00D02B2C" w:rsidRPr="008E5498">
        <w:rPr>
          <w:rFonts w:ascii="Times New Roman" w:hAnsi="Times New Roman"/>
          <w:lang w:val="sk-SK"/>
        </w:rPr>
        <w:t>P</w:t>
      </w:r>
      <w:r w:rsidRPr="008E5498">
        <w:rPr>
          <w:rFonts w:ascii="Times New Roman" w:hAnsi="Times New Roman"/>
          <w:lang w:val="sk-SK"/>
        </w:rPr>
        <w:t>režitie</w:t>
      </w:r>
      <w:r w:rsidR="00D02B2C" w:rsidRPr="008E5498">
        <w:rPr>
          <w:rFonts w:ascii="Times New Roman" w:hAnsi="Times New Roman"/>
          <w:lang w:val="sk-SK"/>
        </w:rPr>
        <w:t xml:space="preserve"> bez</w:t>
      </w:r>
      <w:r w:rsidRPr="008E5498">
        <w:rPr>
          <w:rFonts w:ascii="Times New Roman" w:hAnsi="Times New Roman"/>
          <w:lang w:val="sk-SK"/>
        </w:rPr>
        <w:t xml:space="preserve"> progresie</w:t>
      </w:r>
      <w:r w:rsidR="00BD40B4" w:rsidRPr="008E5498">
        <w:rPr>
          <w:rFonts w:ascii="Times New Roman" w:hAnsi="Times New Roman"/>
          <w:lang w:val="sk-SK"/>
        </w:rPr>
        <w:t xml:space="preserve"> (progresion free survival)</w:t>
      </w:r>
      <w:r w:rsidRPr="008E5498">
        <w:rPr>
          <w:rFonts w:ascii="Times New Roman" w:hAnsi="Times New Roman"/>
          <w:lang w:val="sk-SK"/>
        </w:rPr>
        <w:t>; ORR:</w:t>
      </w:r>
      <w:r w:rsidR="00302A1C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Objektívna miera odpovede</w:t>
      </w:r>
      <w:r w:rsidR="00BD40B4" w:rsidRPr="008E5498">
        <w:rPr>
          <w:rFonts w:ascii="Times New Roman" w:hAnsi="Times New Roman"/>
          <w:lang w:val="sk-SK"/>
        </w:rPr>
        <w:t xml:space="preserve"> (objective response rate)</w:t>
      </w:r>
      <w:r w:rsidRPr="008E5498">
        <w:rPr>
          <w:rFonts w:ascii="Times New Roman" w:hAnsi="Times New Roman"/>
          <w:lang w:val="sk-SK"/>
        </w:rPr>
        <w:t>; OR:</w:t>
      </w:r>
      <w:r w:rsidR="00302A1C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Objektívna odpoveď</w:t>
      </w:r>
      <w:r w:rsidR="00BD40B4" w:rsidRPr="008E5498">
        <w:rPr>
          <w:rFonts w:ascii="Times New Roman" w:hAnsi="Times New Roman"/>
          <w:lang w:val="sk-SK"/>
        </w:rPr>
        <w:t xml:space="preserve"> (objective response)</w:t>
      </w:r>
      <w:r w:rsidRPr="008E5498">
        <w:rPr>
          <w:rFonts w:ascii="Times New Roman" w:hAnsi="Times New Roman"/>
          <w:lang w:val="sk-SK"/>
        </w:rPr>
        <w:t>; CBR:</w:t>
      </w:r>
      <w:r w:rsidR="00D2677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Miera </w:t>
      </w:r>
      <w:r w:rsidR="00F71359" w:rsidRPr="008E5498">
        <w:rPr>
          <w:rFonts w:ascii="Times New Roman" w:hAnsi="Times New Roman"/>
          <w:lang w:val="sk-SK"/>
        </w:rPr>
        <w:t>klinickej prospešnosti</w:t>
      </w:r>
      <w:r w:rsidR="00BD40B4" w:rsidRPr="008E5498">
        <w:rPr>
          <w:rFonts w:ascii="Times New Roman" w:hAnsi="Times New Roman"/>
          <w:lang w:val="sk-SK"/>
        </w:rPr>
        <w:t xml:space="preserve"> (clinical benefit rate)</w:t>
      </w:r>
      <w:r w:rsidRPr="008E5498">
        <w:rPr>
          <w:rFonts w:ascii="Times New Roman" w:hAnsi="Times New Roman"/>
          <w:lang w:val="sk-SK"/>
        </w:rPr>
        <w:t>;</w:t>
      </w:r>
      <w:r w:rsidR="004707F4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CB:</w:t>
      </w:r>
      <w:r w:rsidR="00D2677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Klinick</w:t>
      </w:r>
      <w:r w:rsidR="00F71359" w:rsidRPr="008E5498">
        <w:rPr>
          <w:rFonts w:ascii="Times New Roman" w:hAnsi="Times New Roman"/>
          <w:lang w:val="sk-SK"/>
        </w:rPr>
        <w:t>á</w:t>
      </w:r>
      <w:r w:rsidRPr="008E5498">
        <w:rPr>
          <w:rFonts w:ascii="Times New Roman" w:hAnsi="Times New Roman"/>
          <w:lang w:val="sk-SK"/>
        </w:rPr>
        <w:t xml:space="preserve"> </w:t>
      </w:r>
      <w:r w:rsidR="00F71359" w:rsidRPr="008E5498">
        <w:rPr>
          <w:rFonts w:ascii="Times New Roman" w:hAnsi="Times New Roman"/>
          <w:lang w:val="sk-SK"/>
        </w:rPr>
        <w:t>prospešnosť</w:t>
      </w:r>
      <w:r w:rsidR="00BD40B4" w:rsidRPr="008E5498">
        <w:rPr>
          <w:rFonts w:ascii="Times New Roman" w:hAnsi="Times New Roman"/>
          <w:lang w:val="sk-SK"/>
        </w:rPr>
        <w:t xml:space="preserve"> (clinical benefit)</w:t>
      </w:r>
      <w:r w:rsidRPr="008E5498">
        <w:rPr>
          <w:rFonts w:ascii="Times New Roman" w:hAnsi="Times New Roman"/>
          <w:lang w:val="sk-SK"/>
        </w:rPr>
        <w:t>; OS:</w:t>
      </w:r>
      <w:r w:rsidR="00D2677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Celkové prežívanie</w:t>
      </w:r>
      <w:r w:rsidR="00BD40B4" w:rsidRPr="008E5498">
        <w:rPr>
          <w:rFonts w:ascii="Times New Roman" w:hAnsi="Times New Roman"/>
          <w:lang w:val="sk-SK"/>
        </w:rPr>
        <w:t xml:space="preserve"> (overall survival)</w:t>
      </w:r>
      <w:r w:rsidRPr="008E5498">
        <w:rPr>
          <w:rFonts w:ascii="Times New Roman" w:hAnsi="Times New Roman"/>
          <w:lang w:val="sk-SK"/>
        </w:rPr>
        <w:t>; K-M:</w:t>
      </w:r>
      <w:r w:rsidR="003D0DE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Kaplan-Meier; CI:</w:t>
      </w:r>
      <w:r w:rsidR="00D2677B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Interval spoľahlivosti</w:t>
      </w:r>
      <w:r w:rsidR="00BD40B4" w:rsidRPr="008E5498">
        <w:rPr>
          <w:rFonts w:ascii="Times New Roman" w:hAnsi="Times New Roman"/>
          <w:lang w:val="sk-SK"/>
        </w:rPr>
        <w:t xml:space="preserve"> (confidence interval)</w:t>
      </w:r>
      <w:r w:rsidRPr="008E5498">
        <w:rPr>
          <w:rFonts w:ascii="Times New Roman" w:hAnsi="Times New Roman"/>
          <w:lang w:val="sk-SK"/>
        </w:rPr>
        <w:t>; AI: inhibítor aromatázy</w:t>
      </w:r>
      <w:r w:rsidR="00BD40B4" w:rsidRPr="008E5498">
        <w:rPr>
          <w:rFonts w:ascii="Times New Roman" w:hAnsi="Times New Roman"/>
          <w:lang w:val="sk-SK"/>
        </w:rPr>
        <w:t xml:space="preserve"> (aromatese inhibitor)</w:t>
      </w:r>
      <w:r w:rsidRPr="008E5498">
        <w:rPr>
          <w:rFonts w:ascii="Times New Roman" w:hAnsi="Times New Roman"/>
          <w:lang w:val="sk-SK"/>
        </w:rPr>
        <w:t>; AE:</w:t>
      </w:r>
      <w:r w:rsidR="004707F4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antiestrogén.</w:t>
      </w:r>
    </w:p>
    <w:p w14:paraId="3D6088B7" w14:textId="77777777" w:rsidR="00B93804" w:rsidRPr="008E5498" w:rsidRDefault="00B9380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B69A22F" w14:textId="13D3A639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Randomizovaná, dvojito zaslepená „double-dummy“ multicentrická štúdia fázy III fulvestrant 500 mg</w:t>
      </w:r>
      <w:r w:rsidR="003D0DE3" w:rsidRPr="008E5498">
        <w:rPr>
          <w:rFonts w:ascii="Times New Roman" w:hAnsi="Times New Roman"/>
          <w:lang w:val="sk-SK"/>
        </w:rPr>
        <w:t xml:space="preserve"> </w:t>
      </w:r>
    </w:p>
    <w:p w14:paraId="183653DE" w14:textId="0B0C931B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lastRenderedPageBreak/>
        <w:t>oproti anastrozolu 1 mg sa uskutočnila u postmenopauzálnych žien s lokálne pokročilým alebo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metastatickým karcinómom prsníka s pozitivitou estrogénových a/alebo progesterónových receptorov,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ktoré neboli v minulosti liečené žiadnou hormonálnou liečbou. Celkovo 462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bolo postupne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randomizovaných 1:1 na podávanie fulvestrantu 500 mg alebo na užívanie anastrozolu 1 mg.</w:t>
      </w:r>
    </w:p>
    <w:p w14:paraId="773C3826" w14:textId="77777777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0FC1C47C" w14:textId="5CEA6DE5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Randomizácia bola stratifikovaná podľa typu ochorenia (lokálne pokročilé alebo metastatické),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predchádzajúcej chemoterapie pokročilého ochorenia a merateľného ochorenia.</w:t>
      </w:r>
    </w:p>
    <w:p w14:paraId="179B7AF4" w14:textId="77777777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4DED3759" w14:textId="26ED23FA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Primárnym cieľom účinnosti v štúdii bolo prežívanie bez progresie (PFS) hodnotené skúšajúcim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pomocou kritérií na hodnotenie odpovede pri solídnych nádoroch (Response Evaluation Criteria in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Solid Tumours, RECIST verzia 1.1). Kľúčové sekundárne ciele účinnosti zahŕňali celkové prežívanie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(OS) a objektívnu mieru odpovede (ORR).</w:t>
      </w:r>
    </w:p>
    <w:p w14:paraId="20712807" w14:textId="77777777" w:rsidR="00B93804" w:rsidRPr="008E5498" w:rsidRDefault="00B9380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2A33EC20" w14:textId="020FAB84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Medián veku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zaradených do tejto štúdie bol 63 rokov (rozsah 36-90). Väčšina z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týchto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(87,0%) mala metastatické ochorenie na začiatku. Päťdesiatp</w:t>
      </w:r>
      <w:r w:rsidR="003D0DE3" w:rsidRPr="008E5498">
        <w:rPr>
          <w:rFonts w:ascii="Times New Roman" w:eastAsia="TimesNewRoman" w:hAnsi="Times New Roman"/>
          <w:lang w:val="sk-SK"/>
        </w:rPr>
        <w:t xml:space="preserve">äť percent (55,0%)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malo viscerálne metastázy na začiatku. Celkovo 17,1% z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dostalo predchádzajúci režim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chemoterapie na liečbu pokročilého ochorenia; 84,2% z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malo merateľné ochorenie.</w:t>
      </w:r>
    </w:p>
    <w:p w14:paraId="24F642BF" w14:textId="77777777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07226C89" w14:textId="7C8F8BC1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Konzistentné výsledky sa pozorovali </w:t>
      </w:r>
      <w:r w:rsidR="00E35068" w:rsidRPr="008E5498">
        <w:rPr>
          <w:rFonts w:ascii="Times New Roman" w:eastAsia="TimesNewRoman" w:hAnsi="Times New Roman"/>
          <w:lang w:val="sk-SK"/>
        </w:rPr>
        <w:t>vo väčšine</w:t>
      </w:r>
      <w:r w:rsidRPr="008E5498">
        <w:rPr>
          <w:rFonts w:ascii="Times New Roman" w:eastAsia="TimesNewRoman" w:hAnsi="Times New Roman"/>
          <w:lang w:val="sk-SK"/>
        </w:rPr>
        <w:t xml:space="preserve"> vopred špecifikovaných podskupín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.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 xml:space="preserve">podskupine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len neviscerálnymi metastázami (n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=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208) bol HR 0,592 (95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CI: 0,419;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0,837) v skupine s fulvestrantom oproti skupine s anastrozolom. V podskupine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viscerálnymi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metastázami (n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=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254) bol HR 0,993 (95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CI: 0,740; 1,331) v skupine s fulvestrantom oproti skupine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anastrozolom. Výsledky účinnosti zo štúdie FALCON sú uvedené v tabuľke 4 a na obrázku 1.</w:t>
      </w:r>
    </w:p>
    <w:p w14:paraId="4EAA7D8A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7D9EF2B1" w14:textId="77777777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/>
          <w:bCs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Tabuľka 4 Súhrn výsledkov primárneho cieľa účinnosti (PFS) a kľúčových sekundárnych</w:t>
      </w:r>
    </w:p>
    <w:p w14:paraId="55D16F27" w14:textId="77777777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/>
          <w:bCs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cieľov účinnosti (hodnotené skúšajúcim v populácii podľa liečebného zámeru) ─ štúdia</w:t>
      </w:r>
    </w:p>
    <w:p w14:paraId="5EA218F0" w14:textId="77777777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/>
          <w:bCs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FALCON</w:t>
      </w:r>
    </w:p>
    <w:p w14:paraId="0BA38D00" w14:textId="77777777" w:rsidR="00B93804" w:rsidRPr="008E5498" w:rsidRDefault="00B9380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color w:val="00000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93804" w:rsidRPr="008E5498" w14:paraId="6E0FE21D" w14:textId="77777777" w:rsidTr="007C41B8">
        <w:tc>
          <w:tcPr>
            <w:tcW w:w="3070" w:type="dxa"/>
            <w:shd w:val="clear" w:color="auto" w:fill="auto"/>
          </w:tcPr>
          <w:p w14:paraId="1C64FC5D" w14:textId="7777777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3071" w:type="dxa"/>
            <w:shd w:val="clear" w:color="auto" w:fill="auto"/>
          </w:tcPr>
          <w:p w14:paraId="69323A93" w14:textId="4EBB7329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br/>
              <w:t>500 mg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br/>
              <w:t>(N</w:t>
            </w:r>
            <w:r w:rsidR="00956454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=</w:t>
            </w:r>
            <w:r w:rsidR="00956454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230)</w:t>
            </w:r>
          </w:p>
        </w:tc>
        <w:tc>
          <w:tcPr>
            <w:tcW w:w="3071" w:type="dxa"/>
            <w:shd w:val="clear" w:color="auto" w:fill="auto"/>
          </w:tcPr>
          <w:p w14:paraId="46FDFB7C" w14:textId="7777777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Anastrozol</w:t>
            </w:r>
          </w:p>
          <w:p w14:paraId="18A594F9" w14:textId="7777777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1 mg</w:t>
            </w:r>
          </w:p>
          <w:p w14:paraId="2350CE87" w14:textId="433C8176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</w:t>
            </w:r>
            <w:r w:rsidR="00956454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=</w:t>
            </w:r>
            <w:r w:rsidR="00956454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232)</w:t>
            </w:r>
          </w:p>
        </w:tc>
      </w:tr>
      <w:tr w:rsidR="00B93804" w:rsidRPr="008E5498" w14:paraId="432C6D30" w14:textId="77777777" w:rsidTr="007C41B8">
        <w:tc>
          <w:tcPr>
            <w:tcW w:w="9212" w:type="dxa"/>
            <w:gridSpan w:val="3"/>
            <w:shd w:val="clear" w:color="auto" w:fill="auto"/>
          </w:tcPr>
          <w:p w14:paraId="726260E7" w14:textId="7777777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Prežívanie bez progresie</w:t>
            </w:r>
          </w:p>
        </w:tc>
      </w:tr>
      <w:tr w:rsidR="00B93804" w:rsidRPr="008E5498" w14:paraId="4313EDD1" w14:textId="77777777" w:rsidTr="007C41B8">
        <w:tc>
          <w:tcPr>
            <w:tcW w:w="3070" w:type="dxa"/>
            <w:shd w:val="clear" w:color="auto" w:fill="auto"/>
          </w:tcPr>
          <w:p w14:paraId="1A659A3D" w14:textId="7777777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Počet PFS udalostí (%)</w:t>
            </w:r>
          </w:p>
        </w:tc>
        <w:tc>
          <w:tcPr>
            <w:tcW w:w="3071" w:type="dxa"/>
            <w:shd w:val="clear" w:color="auto" w:fill="auto"/>
          </w:tcPr>
          <w:p w14:paraId="46DADACB" w14:textId="510B3FC4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143 (62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2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%)</w:t>
            </w:r>
          </w:p>
        </w:tc>
        <w:tc>
          <w:tcPr>
            <w:tcW w:w="3071" w:type="dxa"/>
            <w:shd w:val="clear" w:color="auto" w:fill="auto"/>
          </w:tcPr>
          <w:p w14:paraId="55088645" w14:textId="2ED0BC8E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166 (71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6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%)</w:t>
            </w:r>
          </w:p>
        </w:tc>
      </w:tr>
      <w:tr w:rsidR="00B93804" w:rsidRPr="008E5498" w14:paraId="1A440C89" w14:textId="77777777" w:rsidTr="007C41B8">
        <w:tc>
          <w:tcPr>
            <w:tcW w:w="3070" w:type="dxa"/>
            <w:shd w:val="clear" w:color="auto" w:fill="auto"/>
          </w:tcPr>
          <w:p w14:paraId="6E974237" w14:textId="2CFE3399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PFS pomer rizika (95</w:t>
            </w:r>
            <w:r w:rsidR="00956454"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% CI)</w:t>
            </w:r>
          </w:p>
          <w:p w14:paraId="3BD42946" w14:textId="7777777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55402E7B" w14:textId="03F02878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HR 0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797 (0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637 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–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0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999)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0486</w:t>
            </w:r>
          </w:p>
        </w:tc>
      </w:tr>
      <w:tr w:rsidR="00B93804" w:rsidRPr="008E5498" w14:paraId="687C5619" w14:textId="77777777" w:rsidTr="007C41B8">
        <w:tc>
          <w:tcPr>
            <w:tcW w:w="3070" w:type="dxa"/>
            <w:shd w:val="clear" w:color="auto" w:fill="auto"/>
          </w:tcPr>
          <w:p w14:paraId="3FA1B42B" w14:textId="36F9136B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Medián PFS [mesiace (95</w:t>
            </w:r>
            <w:r w:rsidR="00956454"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% CI)]</w:t>
            </w:r>
          </w:p>
        </w:tc>
        <w:tc>
          <w:tcPr>
            <w:tcW w:w="3071" w:type="dxa"/>
            <w:shd w:val="clear" w:color="auto" w:fill="auto"/>
          </w:tcPr>
          <w:p w14:paraId="3989ABA4" w14:textId="4EE47235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16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6 (13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8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21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0)</w:t>
            </w:r>
          </w:p>
        </w:tc>
        <w:tc>
          <w:tcPr>
            <w:tcW w:w="3071" w:type="dxa"/>
            <w:shd w:val="clear" w:color="auto" w:fill="auto"/>
          </w:tcPr>
          <w:p w14:paraId="718A7A22" w14:textId="3EDC4F82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13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8 (12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0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16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6)</w:t>
            </w:r>
          </w:p>
        </w:tc>
      </w:tr>
      <w:tr w:rsidR="00B93804" w:rsidRPr="008E5498" w14:paraId="5A99634C" w14:textId="77777777" w:rsidTr="007C41B8">
        <w:tc>
          <w:tcPr>
            <w:tcW w:w="3070" w:type="dxa"/>
            <w:shd w:val="clear" w:color="auto" w:fill="auto"/>
          </w:tcPr>
          <w:p w14:paraId="04FFDEB8" w14:textId="7777777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Počet OS udalostí*</w:t>
            </w:r>
          </w:p>
        </w:tc>
        <w:tc>
          <w:tcPr>
            <w:tcW w:w="3071" w:type="dxa"/>
            <w:shd w:val="clear" w:color="auto" w:fill="auto"/>
          </w:tcPr>
          <w:p w14:paraId="670FDFF4" w14:textId="25D8580B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67 (29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%)</w:t>
            </w:r>
          </w:p>
        </w:tc>
        <w:tc>
          <w:tcPr>
            <w:tcW w:w="3071" w:type="dxa"/>
            <w:shd w:val="clear" w:color="auto" w:fill="auto"/>
          </w:tcPr>
          <w:p w14:paraId="670F8CCC" w14:textId="2B2660B0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75 (32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%)</w:t>
            </w:r>
          </w:p>
        </w:tc>
      </w:tr>
      <w:tr w:rsidR="00B93804" w:rsidRPr="008E5498" w14:paraId="769DE2C4" w14:textId="77777777" w:rsidTr="007C41B8">
        <w:tc>
          <w:tcPr>
            <w:tcW w:w="3070" w:type="dxa"/>
            <w:shd w:val="clear" w:color="auto" w:fill="auto"/>
          </w:tcPr>
          <w:p w14:paraId="498337BF" w14:textId="61B5CE41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OS pomer rizika (95</w:t>
            </w:r>
            <w:r w:rsidR="00956454"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% CI)</w:t>
            </w:r>
          </w:p>
          <w:p w14:paraId="49FE6BC2" w14:textId="7777777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4078D55B" w14:textId="6852F7B6" w:rsidR="00B93804" w:rsidRPr="008E5498" w:rsidRDefault="0095645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HR 0,875 (0,629 – 1,217)</w:t>
            </w:r>
            <w:r w:rsidR="00B9380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="00B9380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4277</w:t>
            </w:r>
          </w:p>
        </w:tc>
      </w:tr>
      <w:tr w:rsidR="00B93804" w:rsidRPr="008E5498" w14:paraId="585B1A58" w14:textId="77777777" w:rsidTr="007C41B8">
        <w:tc>
          <w:tcPr>
            <w:tcW w:w="3070" w:type="dxa"/>
            <w:shd w:val="clear" w:color="auto" w:fill="auto"/>
          </w:tcPr>
          <w:p w14:paraId="221169D3" w14:textId="7777777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ORR**</w:t>
            </w:r>
          </w:p>
        </w:tc>
        <w:tc>
          <w:tcPr>
            <w:tcW w:w="3071" w:type="dxa"/>
            <w:shd w:val="clear" w:color="auto" w:fill="auto"/>
          </w:tcPr>
          <w:p w14:paraId="1115776E" w14:textId="0C2F1C1F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89 (46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%)</w:t>
            </w:r>
          </w:p>
        </w:tc>
        <w:tc>
          <w:tcPr>
            <w:tcW w:w="3071" w:type="dxa"/>
            <w:shd w:val="clear" w:color="auto" w:fill="auto"/>
          </w:tcPr>
          <w:p w14:paraId="7F937E24" w14:textId="1DC29CEB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88 (44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9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%)</w:t>
            </w:r>
          </w:p>
        </w:tc>
      </w:tr>
      <w:tr w:rsidR="00B93804" w:rsidRPr="008E5498" w14:paraId="5B04F012" w14:textId="77777777" w:rsidTr="007C41B8">
        <w:tc>
          <w:tcPr>
            <w:tcW w:w="3070" w:type="dxa"/>
            <w:shd w:val="clear" w:color="auto" w:fill="auto"/>
          </w:tcPr>
          <w:p w14:paraId="3A0E9822" w14:textId="16B690D2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ORR Odds Ratio (95</w:t>
            </w:r>
            <w:r w:rsidR="00956454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% CI) 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5CEF14FC" w14:textId="31FBE568" w:rsidR="00B93804" w:rsidRPr="008E5498" w:rsidRDefault="00956454" w:rsidP="008E5498">
            <w:pPr>
              <w:widowControl w:val="0"/>
              <w:tabs>
                <w:tab w:val="left" w:pos="1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OR 1,074 (0,716 – 1,614)</w:t>
            </w:r>
            <w:r w:rsidR="00B9380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="00B9380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7290</w:t>
            </w:r>
          </w:p>
        </w:tc>
      </w:tr>
      <w:tr w:rsidR="00B93804" w:rsidRPr="008E5498" w14:paraId="1F0409D9" w14:textId="77777777" w:rsidTr="007C41B8">
        <w:tc>
          <w:tcPr>
            <w:tcW w:w="3070" w:type="dxa"/>
            <w:shd w:val="clear" w:color="auto" w:fill="auto"/>
          </w:tcPr>
          <w:p w14:paraId="677ACB49" w14:textId="77777777" w:rsidR="00B93804" w:rsidRPr="008E5498" w:rsidRDefault="009E57CE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Medián DoR (mesiace)</w:t>
            </w:r>
          </w:p>
        </w:tc>
        <w:tc>
          <w:tcPr>
            <w:tcW w:w="3071" w:type="dxa"/>
            <w:shd w:val="clear" w:color="auto" w:fill="auto"/>
          </w:tcPr>
          <w:p w14:paraId="6CD5AD2C" w14:textId="6C58EFD4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20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0</w:t>
            </w:r>
          </w:p>
        </w:tc>
        <w:tc>
          <w:tcPr>
            <w:tcW w:w="3071" w:type="dxa"/>
            <w:shd w:val="clear" w:color="auto" w:fill="auto"/>
          </w:tcPr>
          <w:p w14:paraId="5C616246" w14:textId="2B5348B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13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2</w:t>
            </w:r>
          </w:p>
        </w:tc>
      </w:tr>
      <w:tr w:rsidR="00B93804" w:rsidRPr="008E5498" w14:paraId="49D5DBEE" w14:textId="77777777" w:rsidTr="007C41B8">
        <w:tc>
          <w:tcPr>
            <w:tcW w:w="3070" w:type="dxa"/>
            <w:shd w:val="clear" w:color="auto" w:fill="auto"/>
          </w:tcPr>
          <w:p w14:paraId="78FA8B51" w14:textId="77777777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CBR</w:t>
            </w:r>
          </w:p>
        </w:tc>
        <w:tc>
          <w:tcPr>
            <w:tcW w:w="3071" w:type="dxa"/>
            <w:shd w:val="clear" w:color="auto" w:fill="auto"/>
          </w:tcPr>
          <w:p w14:paraId="3EBF9930" w14:textId="5BE6F053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180 (78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%)</w:t>
            </w:r>
          </w:p>
        </w:tc>
        <w:tc>
          <w:tcPr>
            <w:tcW w:w="3071" w:type="dxa"/>
            <w:shd w:val="clear" w:color="auto" w:fill="auto"/>
          </w:tcPr>
          <w:p w14:paraId="57649C87" w14:textId="52B71058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172 (74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%)</w:t>
            </w:r>
          </w:p>
        </w:tc>
      </w:tr>
      <w:tr w:rsidR="00B93804" w:rsidRPr="008E5498" w14:paraId="7EEDA936" w14:textId="77777777" w:rsidTr="007C41B8">
        <w:tc>
          <w:tcPr>
            <w:tcW w:w="3070" w:type="dxa"/>
            <w:shd w:val="clear" w:color="auto" w:fill="auto"/>
          </w:tcPr>
          <w:p w14:paraId="2C632117" w14:textId="3A303A75" w:rsidR="00B93804" w:rsidRPr="008E5498" w:rsidRDefault="00B93804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CBR Odds Ratio (95</w:t>
            </w:r>
            <w:r w:rsidR="00956454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% CI) </w:t>
            </w:r>
            <w:r w:rsidR="009E57CE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71F92AD9" w14:textId="4AF99524" w:rsidR="00B93804" w:rsidRPr="008E5498" w:rsidRDefault="00B93804" w:rsidP="008E5498">
            <w:pPr>
              <w:widowControl w:val="0"/>
              <w:tabs>
                <w:tab w:val="left" w:pos="2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OR 1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253 (0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815 – 1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,932)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br/>
              <w:t>p = 0</w:t>
            </w:r>
            <w:r w:rsidR="00956454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3045</w:t>
            </w:r>
          </w:p>
        </w:tc>
      </w:tr>
    </w:tbl>
    <w:p w14:paraId="7E81697C" w14:textId="63DB6B3B" w:rsidR="009E57CE" w:rsidRPr="008E5498" w:rsidRDefault="009E57CE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Cs/>
          <w:lang w:val="sk-SK"/>
        </w:rPr>
      </w:pPr>
      <w:r w:rsidRPr="008E5498">
        <w:rPr>
          <w:rFonts w:ascii="Times New Roman" w:eastAsia="TimesNewRoman,Bold" w:hAnsi="Times New Roman"/>
          <w:bCs/>
          <w:lang w:val="sk-SK"/>
        </w:rPr>
        <w:t>*</w:t>
      </w:r>
      <w:r w:rsidR="00956454" w:rsidRPr="008E5498">
        <w:rPr>
          <w:rFonts w:ascii="Times New Roman" w:eastAsia="TimesNewRoman,Bold" w:hAnsi="Times New Roman"/>
          <w:bCs/>
          <w:lang w:val="sk-SK"/>
        </w:rPr>
        <w:t xml:space="preserve"> </w:t>
      </w:r>
      <w:r w:rsidRPr="008E5498">
        <w:rPr>
          <w:rFonts w:ascii="Times New Roman" w:eastAsia="TimesNewRoman,Bold" w:hAnsi="Times New Roman"/>
          <w:bCs/>
          <w:lang w:val="sk-SK"/>
        </w:rPr>
        <w:t>(31</w:t>
      </w:r>
      <w:r w:rsidR="00956454" w:rsidRPr="008E5498">
        <w:rPr>
          <w:rFonts w:ascii="Times New Roman" w:eastAsia="TimesNewRoman,Bold" w:hAnsi="Times New Roman"/>
          <w:bCs/>
          <w:lang w:val="sk-SK"/>
        </w:rPr>
        <w:t> </w:t>
      </w:r>
      <w:r w:rsidRPr="008E5498">
        <w:rPr>
          <w:rFonts w:ascii="Times New Roman" w:eastAsia="TimesNewRoman,Bold" w:hAnsi="Times New Roman"/>
          <w:bCs/>
          <w:lang w:val="sk-SK"/>
        </w:rPr>
        <w:t>% úplnosť dát) – nie konečná analýza OS</w:t>
      </w:r>
    </w:p>
    <w:p w14:paraId="45B8B767" w14:textId="29F163AD" w:rsidR="00B93804" w:rsidRPr="008E5498" w:rsidRDefault="009E57CE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eastAsia="TimesNewRoman,Bold" w:hAnsi="Times New Roman"/>
          <w:bCs/>
          <w:lang w:val="sk-SK"/>
        </w:rPr>
        <w:t xml:space="preserve">**u </w:t>
      </w:r>
      <w:r w:rsidR="00E60CE6">
        <w:rPr>
          <w:rFonts w:ascii="Times New Roman" w:eastAsia="TimesNewRoman,Bold" w:hAnsi="Times New Roman"/>
          <w:bCs/>
          <w:lang w:val="sk-SK"/>
        </w:rPr>
        <w:t>pacientok</w:t>
      </w:r>
      <w:r w:rsidR="00956454" w:rsidRPr="008E5498">
        <w:rPr>
          <w:rFonts w:ascii="Times New Roman" w:eastAsia="TimesNewRoman,Bold" w:hAnsi="Times New Roman"/>
          <w:bCs/>
          <w:lang w:val="sk-SK"/>
        </w:rPr>
        <w:t xml:space="preserve"> </w:t>
      </w:r>
      <w:r w:rsidRPr="008E5498">
        <w:rPr>
          <w:rFonts w:ascii="Times New Roman" w:eastAsia="TimesNewRoman,Bold" w:hAnsi="Times New Roman"/>
          <w:bCs/>
          <w:lang w:val="sk-SK"/>
        </w:rPr>
        <w:t>s merateľným ochorením</w:t>
      </w:r>
    </w:p>
    <w:p w14:paraId="5A60BFE9" w14:textId="77777777" w:rsidR="009E57CE" w:rsidRPr="008E5498" w:rsidRDefault="009E57CE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</w:p>
    <w:p w14:paraId="4CAF3126" w14:textId="77777777" w:rsidR="00C33584" w:rsidRPr="008E5498" w:rsidRDefault="00C3358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/>
          <w:bCs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Obrázok 1 Kaplanova-Meierova krivka prežívania bez progresie (hodnotené skúšajúcim</w:t>
      </w:r>
    </w:p>
    <w:p w14:paraId="77FD6108" w14:textId="319478DA" w:rsidR="009E57CE" w:rsidRPr="008E5498" w:rsidRDefault="00C33584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,Bold" w:hAnsi="Times New Roman"/>
          <w:b/>
          <w:bCs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v populácii podľa liečebného zámeru) ─ štúdia FALCON</w:t>
      </w:r>
    </w:p>
    <w:p w14:paraId="311A4B54" w14:textId="27ED2102" w:rsidR="009E57CE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  <w:r w:rsidRPr="00843096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456382E" wp14:editId="7B611EDB">
            <wp:simplePos x="0" y="0"/>
            <wp:positionH relativeFrom="column">
              <wp:posOffset>146050</wp:posOffset>
            </wp:positionH>
            <wp:positionV relativeFrom="paragraph">
              <wp:posOffset>60960</wp:posOffset>
            </wp:positionV>
            <wp:extent cx="5756910" cy="2560320"/>
            <wp:effectExtent l="0" t="0" r="0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E1A39" w14:textId="47E861C9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73B0D2A6" w14:textId="20E2CB0F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  <w:r w:rsidRPr="00843096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3CA16" wp14:editId="5BD497E4">
                <wp:simplePos x="0" y="0"/>
                <wp:positionH relativeFrom="column">
                  <wp:posOffset>1270</wp:posOffset>
                </wp:positionH>
                <wp:positionV relativeFrom="paragraph">
                  <wp:posOffset>111125</wp:posOffset>
                </wp:positionV>
                <wp:extent cx="279400" cy="1651635"/>
                <wp:effectExtent l="0" t="0" r="6350" b="5715"/>
                <wp:wrapNone/>
                <wp:docPr id="2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65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A1598" w14:textId="77777777" w:rsidR="00110365" w:rsidRPr="00D60FDF" w:rsidRDefault="00110365" w:rsidP="00FF7E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60FDF">
                              <w:rPr>
                                <w:rFonts w:ascii="Times New Roman" w:hAnsi="Times New Roman"/>
                              </w:rPr>
                              <w:t>Pravdepodobnosť PFS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3CA1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.1pt;margin-top:8.75pt;width:22pt;height:1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" stroked="f">
                <v:textbox style="layout-flow:vertical;mso-layout-flow-alt:bottom-to-top" inset="0,0,0,0">
                  <w:txbxContent>
                    <w:p w14:paraId="6DFA1598" w14:textId="77777777" w:rsidR="00110365" w:rsidRPr="00D60FDF" w:rsidRDefault="00110365" w:rsidP="00FF7E18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D60FDF">
                        <w:rPr>
                          <w:rFonts w:ascii="Times New Roman" w:hAnsi="Times New Roman"/>
                        </w:rPr>
                        <w:t>Pravdepodobnosť</w:t>
                      </w:r>
                      <w:proofErr w:type="spellEnd"/>
                      <w:r w:rsidRPr="00D60FDF">
                        <w:rPr>
                          <w:rFonts w:ascii="Times New Roman" w:hAnsi="Times New Roman"/>
                        </w:rPr>
                        <w:t xml:space="preserve"> PFS</w:t>
                      </w:r>
                    </w:p>
                  </w:txbxContent>
                </v:textbox>
              </v:shape>
            </w:pict>
          </mc:Fallback>
        </mc:AlternateContent>
      </w:r>
    </w:p>
    <w:p w14:paraId="618E1141" w14:textId="4A4053FC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2238DAA2" w14:textId="35CEFC9C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7A284187" w14:textId="6080E946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7566DF96" w14:textId="7F55213D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069C6DF7" w14:textId="6BFA5AB9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3A334292" w14:textId="35E183B2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5B8DAA76" w14:textId="287895A7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64D15F62" w14:textId="77777777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4F452FBB" w14:textId="68756D3D" w:rsidR="00FF7E18" w:rsidRPr="008E549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01A62123" w14:textId="67D8E1CA" w:rsidR="002A0EBE" w:rsidRDefault="002A0EBE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lang w:val="sk-SK"/>
        </w:rPr>
      </w:pPr>
    </w:p>
    <w:p w14:paraId="092286D6" w14:textId="77777777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lang w:val="sk-SK"/>
        </w:rPr>
      </w:pPr>
    </w:p>
    <w:p w14:paraId="0C9B7F6F" w14:textId="77777777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lang w:val="sk-SK"/>
        </w:rPr>
      </w:pPr>
    </w:p>
    <w:p w14:paraId="447487EF" w14:textId="77777777" w:rsidR="00FF7E1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lang w:val="sk-SK"/>
        </w:rPr>
      </w:pPr>
    </w:p>
    <w:p w14:paraId="55218668" w14:textId="77777777" w:rsidR="00FF7E18" w:rsidRPr="00D60FDF" w:rsidRDefault="00FF7E18" w:rsidP="00FF7E18">
      <w:pPr>
        <w:jc w:val="center"/>
        <w:rPr>
          <w:rFonts w:ascii="Times New Roman" w:hAnsi="Times New Roman"/>
        </w:rPr>
      </w:pPr>
      <w:r w:rsidRPr="00D60FDF">
        <w:rPr>
          <w:rFonts w:ascii="Times New Roman" w:hAnsi="Times New Roman"/>
        </w:rPr>
        <w:t>Čas od randomizácie (mesiace)</w:t>
      </w:r>
    </w:p>
    <w:p w14:paraId="7F946455" w14:textId="16F4F0B5" w:rsidR="008B51DA" w:rsidRPr="008E5498" w:rsidRDefault="008B51DA" w:rsidP="008E5498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Liečba ——— Fulvestrant 500 mg (N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=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230) - - - - - - Anastrozol 1 mg (N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=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232)</w:t>
      </w:r>
    </w:p>
    <w:p w14:paraId="7ADA01CB" w14:textId="77777777" w:rsidR="009E57CE" w:rsidRPr="008E5498" w:rsidRDefault="009E57CE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</w:p>
    <w:p w14:paraId="1883BEC3" w14:textId="77777777" w:rsidR="008B51DA" w:rsidRPr="008E5498" w:rsidRDefault="008B51D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Počet pacientov v riziku:</w:t>
      </w:r>
    </w:p>
    <w:p w14:paraId="1139F59E" w14:textId="77777777" w:rsidR="008B51DA" w:rsidRPr="008E5498" w:rsidRDefault="008B51D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FUL500     230     187     171       150       124     110 </w:t>
      </w:r>
      <w:r w:rsidRPr="008E5498">
        <w:rPr>
          <w:rFonts w:ascii="Times New Roman" w:eastAsia="TimesNewRoman" w:hAnsi="Times New Roman"/>
          <w:lang w:val="sk-SK"/>
        </w:rPr>
        <w:tab/>
        <w:t xml:space="preserve"> 96     81      63         44       24       11      2       0</w:t>
      </w:r>
    </w:p>
    <w:p w14:paraId="77905967" w14:textId="64E34041" w:rsidR="008B51DA" w:rsidRPr="008E5498" w:rsidRDefault="008B51D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ANAS1      232     194     162       139      120      102   </w:t>
      </w:r>
      <w:r w:rsidR="008E5498">
        <w:rPr>
          <w:rFonts w:ascii="Times New Roman" w:eastAsia="TimesNewRoman" w:hAnsi="Times New Roman"/>
          <w:lang w:val="sk-SK"/>
        </w:rPr>
        <w:tab/>
        <w:t xml:space="preserve"> </w:t>
      </w:r>
      <w:r w:rsidRPr="008E5498">
        <w:rPr>
          <w:rFonts w:ascii="Times New Roman" w:eastAsia="TimesNewRoman" w:hAnsi="Times New Roman"/>
          <w:lang w:val="sk-SK"/>
        </w:rPr>
        <w:t>84     60      45          31       22      10       0       0</w:t>
      </w:r>
    </w:p>
    <w:p w14:paraId="44851E62" w14:textId="22E903C3" w:rsidR="002A0EBE" w:rsidRPr="008E5498" w:rsidRDefault="002A0EBE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</w:p>
    <w:p w14:paraId="2B145DEF" w14:textId="7F31D40B" w:rsidR="008B51DA" w:rsidRPr="008E5498" w:rsidRDefault="008B51D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Vykonali sa dve klinické štúdie fázy 3 u celkovo 851 postmenopauzálnych žien s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pokročilým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karcinómom prsníka, u ktorých došlo k návratu ochorenia počas alebo po adjuvantnej endokrinnej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liečbe, alebo k progresii ochorenia po endokrinnej liečbe pokročilého ochorenia. Sedemdesiatsedem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percent (77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%) populácie v štúdii malo karcinóm prsníka s pozitivitou estrogénových receptorov.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 týchto štúdiách sa porovnávala bezpečnosť a účinnosť podávania fulvestrantu 250 mg raz do mesiaca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každodenným podávaním 1 mg anastrozolu (inhibítora aromatázy). Celkovo bol fulvestrant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 mesačnej dávke 250 mg minimálne rovnako účinný ako anastrozol z hľadiska prežívania bez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progresie, objektívnej reakcie a doby do úmrtia. Medzi oboma liečebnými skupinami neboli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 konečných ukazovateľoch zaznamenané žiadne štatisticky významné rozdiely. Primárnym cieľom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štúdie bolo prežívanie bez progresie. Kombinovaná analýza oboch štúdií preukázala, že k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progresii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došlo u 83%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, ktorým sa podával fulvestrant oproti 85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 xml:space="preserve">%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, ktoré užívali anastrozol.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Kombinovaná analýza oboch štúdií poukázala na to, že pomer rizika fulvestrantu 250 mg a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anastrozolu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z hľadiska prežívania bez progresie predstavoval 0,95 (95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CI 0,82 až 1,10). Objektívna miera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odpovede bola pre fulvestrant 250 mg 19,2% v porovnaní so 16,5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pre anastrozol. Medián času do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úmrtia bol 27,4 mesiacov u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liečených fulvestrantom a 27,6 mesiacov u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liečených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anastrozolom. Pomer rizika pre fulvestrant 250 mg k anastrozolu v čase do úmrtia bol 1,01 (95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CI</w:t>
      </w:r>
      <w:r w:rsidR="0007590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0,86 až 1,19).</w:t>
      </w:r>
    </w:p>
    <w:p w14:paraId="47646B6C" w14:textId="77777777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7279E0A7" w14:textId="77777777" w:rsidR="008B51DA" w:rsidRPr="008E5498" w:rsidRDefault="008B51D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i/>
          <w:iCs/>
          <w:lang w:val="sk-SK"/>
        </w:rPr>
      </w:pPr>
      <w:r w:rsidRPr="008E5498">
        <w:rPr>
          <w:rFonts w:ascii="Times New Roman" w:eastAsia="TimesNewRoman" w:hAnsi="Times New Roman"/>
          <w:i/>
          <w:iCs/>
          <w:lang w:val="sk-SK"/>
        </w:rPr>
        <w:t>Kombinovaná liečba s palbociklibom</w:t>
      </w:r>
    </w:p>
    <w:p w14:paraId="3264778F" w14:textId="71BF207A" w:rsidR="008B51DA" w:rsidRPr="008E5498" w:rsidRDefault="008B51D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Medzinárodná, randomizovaná, dvojito-zaslepená, multicentrická štúdia fázy 3 s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paralelnými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skupinami porovnávajúca </w:t>
      </w:r>
      <w:r w:rsidR="008C100D" w:rsidRPr="008E5498">
        <w:rPr>
          <w:rFonts w:ascii="Times New Roman" w:eastAsia="TimesNewRoman" w:hAnsi="Times New Roman"/>
          <w:lang w:val="sk-SK"/>
        </w:rPr>
        <w:t xml:space="preserve">fulvestrant </w:t>
      </w:r>
      <w:r w:rsidRPr="008E5498">
        <w:rPr>
          <w:rFonts w:ascii="Times New Roman" w:eastAsia="TimesNewRoman" w:hAnsi="Times New Roman"/>
          <w:lang w:val="sk-SK"/>
        </w:rPr>
        <w:t xml:space="preserve">500 mg plus palbociklib 125 mg oproti </w:t>
      </w:r>
      <w:r w:rsidR="008C100D" w:rsidRPr="008E5498">
        <w:rPr>
          <w:rFonts w:ascii="Times New Roman" w:eastAsia="TimesNewRoman" w:hAnsi="Times New Roman"/>
          <w:lang w:val="sk-SK"/>
        </w:rPr>
        <w:t xml:space="preserve">fulvestrantu </w:t>
      </w:r>
      <w:r w:rsidRPr="008E5498">
        <w:rPr>
          <w:rFonts w:ascii="Times New Roman" w:eastAsia="TimesNewRoman" w:hAnsi="Times New Roman"/>
          <w:lang w:val="sk-SK"/>
        </w:rPr>
        <w:t>500 mg plus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placebo sa vykonala u žien s HR-pozitívnym, HER2-negatívnym lokálne pokročilým karcinómom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prsníka nevhodným na resekciu alebo rádioterapiu s kuratívnym zámerom alebo s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metastatickým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karcinómom prsníka, nezávisle od ich menopauzálneho stavu, s progresiou ochorenia po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predchádzajúcej endokrinnej liečbe v (neo</w:t>
      </w:r>
      <w:r w:rsidR="00D61932" w:rsidRPr="008E5498">
        <w:rPr>
          <w:rFonts w:ascii="Times New Roman" w:eastAsia="TimesNewRoman" w:hAnsi="Times New Roman"/>
          <w:lang w:val="sk-SK"/>
        </w:rPr>
        <w:t>)</w:t>
      </w:r>
      <w:r w:rsidRPr="008E5498">
        <w:rPr>
          <w:rFonts w:ascii="Times New Roman" w:eastAsia="TimesNewRoman" w:hAnsi="Times New Roman"/>
          <w:lang w:val="sk-SK"/>
        </w:rPr>
        <w:t>adjuvantnom použití alebo použití pri metastatickom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ochorení.</w:t>
      </w:r>
    </w:p>
    <w:p w14:paraId="534B826A" w14:textId="77777777" w:rsidR="008B51DA" w:rsidRPr="008E5498" w:rsidRDefault="008B51D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</w:p>
    <w:p w14:paraId="7DB0F0BB" w14:textId="4C4DD1AB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Celkovo 521 pre/peri</w:t>
      </w:r>
      <w:r w:rsidR="00D61932">
        <w:rPr>
          <w:rFonts w:ascii="Times New Roman" w:eastAsia="TimesNewRoman" w:hAnsi="Times New Roman"/>
          <w:lang w:val="sk-SK"/>
        </w:rPr>
        <w:t xml:space="preserve"> a post</w:t>
      </w:r>
      <w:r w:rsidRPr="008E5498">
        <w:rPr>
          <w:rFonts w:ascii="Times New Roman" w:eastAsia="TimesNewRoman" w:hAnsi="Times New Roman"/>
          <w:lang w:val="sk-SK"/>
        </w:rPr>
        <w:t>menopauzálnych žien, ktorých ochorenie progredovalo v priebehu 12 mesiacov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od ukončenia adjuvantnej endokrinnej liečby alebo počas nej, či v rámci 1 mesiaca po endokrinnej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liečbe pokročilého ochorenia, alebo počas nej, bolo randomizovaných v pomere 2:1 do skupín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fulvestrant plus </w:t>
      </w:r>
      <w:r w:rsidRPr="008E5498">
        <w:rPr>
          <w:rFonts w:ascii="Times New Roman" w:eastAsia="TimesNewRoman" w:hAnsi="Times New Roman"/>
          <w:lang w:val="sk-SK"/>
        </w:rPr>
        <w:lastRenderedPageBreak/>
        <w:t>palbociklib alebo fulvestrant plus placebo a stratifikovaných podľa zdokumentovanej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citlivosti na predchádzajúcu hormonálnu liečbu, menopauzálneho stavu pri vstupe do štúdie (pre/perimenopauzálne oproti postmenopauzálnym) a prítomnosti viscerálnych metastáz.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Pre/perimenopauzálne ženy dostali agonistu LHRH, goserelín. Pacientky s pokročilým,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symptomatickým, viscerálnym rozsevom metastáz, ktoré mali riziko život ohrozujúcich komplikácií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v krátkej dobe (vrátane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masívnymi nekontrolovanými výpotkami [pleurálny,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perikardiálny, peritoneálny], pľúcnou lymfangitídou a viac ako 50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postihnutím pečene), neboli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vhodné pre zaradenie do štúdie.</w:t>
      </w:r>
    </w:p>
    <w:p w14:paraId="081021D6" w14:textId="77777777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211C61D1" w14:textId="77777777" w:rsidR="00D61932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Pacientky pokračovali v užívaní priradenej liečby, kým nedošlo k objektívnej progresii ochorenia,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symptomatickému zhoršeniu, neprijateľnej toxicite, úmrtiu alebo zrušeniu súhlasu, podľa toho, čo sa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vyskytlo ako prvé. Prestup z jednej liečebnej skupiny do druhej nebol povolený.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</w:p>
    <w:p w14:paraId="7378920C" w14:textId="048109E7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Rozdelenie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podľa vstupných demografických a prognostických charakteristík do skupiny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fulvestrant </w:t>
      </w:r>
      <w:r w:rsidRPr="008E5498">
        <w:rPr>
          <w:rFonts w:ascii="Times New Roman" w:eastAsia="TimesNewRoman" w:hAnsi="Times New Roman"/>
          <w:lang w:val="sk-SK"/>
        </w:rPr>
        <w:t xml:space="preserve">plus palbociklib a skupiny </w:t>
      </w:r>
      <w:r w:rsidRPr="008E5498">
        <w:rPr>
          <w:rFonts w:ascii="Times New Roman" w:hAnsi="Times New Roman"/>
          <w:lang w:val="sk-SK"/>
        </w:rPr>
        <w:t xml:space="preserve">fulvestrant </w:t>
      </w:r>
      <w:r w:rsidRPr="008E5498">
        <w:rPr>
          <w:rFonts w:ascii="Times New Roman" w:eastAsia="TimesNewRoman" w:hAnsi="Times New Roman"/>
          <w:lang w:val="sk-SK"/>
        </w:rPr>
        <w:t xml:space="preserve">plus placebo bolo vyvážené. Medián veku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zaradených do tejto štúdie bol 57 rokov (rozsah 29 až 88). V každej liečebnej skupine bola väčšina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bielej rasy s dokumentovanou citlivosťou na predchádzajúcu hormonálnu liečbu a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po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menopauze. Približne 20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 xml:space="preserve">%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bolo pre/perimenopauzálnych. Všetky pacientky dostali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predchádzajúcu systémovú liečbu a väčšina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 každej z liečebných skupín dostala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predchádzajúcu chemoterapiu kvôli primárnej diagnóze. ECOG skóre PS = 0 mala viac ako polovica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(62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 xml:space="preserve">%)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Pr="008E5498">
        <w:rPr>
          <w:rFonts w:ascii="Times New Roman" w:eastAsia="TimesNewRoman" w:hAnsi="Times New Roman"/>
          <w:lang w:val="sk-SK"/>
        </w:rPr>
        <w:t>, 60</w:t>
      </w:r>
      <w:r w:rsidR="003D0DE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malo viscerálne metastázy a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60</w:t>
      </w:r>
      <w:r w:rsidR="00075903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dostalo viac ako 1 predchádzajúcu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hormonálnu liečbu kvôli ich primárnej diagnóze.</w:t>
      </w:r>
    </w:p>
    <w:p w14:paraId="7387BBE2" w14:textId="77777777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284EADFE" w14:textId="760B6E52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Primárnym cieľom štúdie bolo skúšajúcim lekárom hodnotené PFS podľa kritérií RECIST 1.1.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Podporné PFS analýzy boli založené na nezávislej centrálnej rádiologickej kontrole. Sekundárne ciele</w:t>
      </w:r>
      <w:r w:rsidR="003D0DE3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zahŕňali OR, CBR, OS, bezpečnosť a čas do zhoršenia bolesti (time-to-deterioration, TTD).</w:t>
      </w:r>
    </w:p>
    <w:p w14:paraId="6D75A4FD" w14:textId="77777777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55477532" w14:textId="77777777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Štúdia splnila svoj primárny cieľ, predĺženie PFS hodnotené skúšajúcim lekárom pri predbežnej</w:t>
      </w:r>
    </w:p>
    <w:p w14:paraId="3167DF99" w14:textId="77777777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analýze vykonanej pri 82% plánovaných PFS udalostí; výsledky prekročili vopred špecifikovanú</w:t>
      </w:r>
    </w:p>
    <w:p w14:paraId="78F9C1A7" w14:textId="77777777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Haybittle-Petovu hranicu účinnosti (α = 0,00135) dokazujúc tak štatisticky významné predĺženie PFS</w:t>
      </w:r>
    </w:p>
    <w:p w14:paraId="2087120A" w14:textId="77777777" w:rsidR="008B51DA" w:rsidRPr="008E5498" w:rsidRDefault="008C100D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a klinicky významný účinok liečby. Novšia aktualizácia údajov o účinnosti je uvedená v tabuľke 5.</w:t>
      </w:r>
    </w:p>
    <w:p w14:paraId="78CBD289" w14:textId="77777777" w:rsidR="008B51DA" w:rsidRPr="00D60FDF" w:rsidRDefault="008B51DA" w:rsidP="00D60FD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</w:p>
    <w:p w14:paraId="75E06619" w14:textId="77777777" w:rsidR="00D60FDF" w:rsidRPr="006A560B" w:rsidRDefault="00D60FDF" w:rsidP="00D60F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6A560B">
        <w:rPr>
          <w:rFonts w:ascii="Times New Roman" w:hAnsi="Times New Roman"/>
          <w:lang w:val="sk-SK"/>
        </w:rPr>
        <w:t>Finálna analýza OS sa uskutočnila po uplynutí mediánu doby sledovania 45 mesiacov vychádzajúc z 310 udalostí (60 % randomizovaných pacientok). V skupine palbociklibo plus fulvestrant sa pozoroval 6,9-mesačný rozdiel v mediáne OS v porovnaní so skupinou placebo plus fulvestrant; tento výsledok nebol štatisticky významný vo vopred špecifikovanej hladine významnosti 0,0235 (1-stranný). V skupine placebo plus fulvestrant 15,5 % randomizovaných pacientok dostávalo palbociklib a iné inhibítory CDK ako následnú liečbu po progresii.</w:t>
      </w:r>
    </w:p>
    <w:p w14:paraId="3E5D5700" w14:textId="77777777" w:rsidR="00D60FDF" w:rsidRPr="006A560B" w:rsidRDefault="00D60FDF" w:rsidP="00D60F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6CD6ECB" w14:textId="1DDF6A94" w:rsidR="00D60FDF" w:rsidRPr="00D60FDF" w:rsidRDefault="00D60FDF" w:rsidP="002441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val="sk-SK"/>
        </w:rPr>
      </w:pPr>
      <w:r w:rsidRPr="006A560B">
        <w:rPr>
          <w:rFonts w:ascii="Times New Roman" w:hAnsi="Times New Roman"/>
          <w:lang w:val="sk-SK"/>
        </w:rPr>
        <w:t>Výsledky PFS a finálneho OS hodnotené skúšajúcim zo štúdie PALOMA3 sú uvedené v tabuľke 5. Príslušné Kaplanove-Meierove krivky sú znázornené na obrázku 2 a 3.</w:t>
      </w:r>
    </w:p>
    <w:p w14:paraId="122022B6" w14:textId="77777777" w:rsidR="00D60FDF" w:rsidRPr="008E5498" w:rsidRDefault="00D60FDF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</w:p>
    <w:p w14:paraId="3E58C7DB" w14:textId="77777777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/>
          <w:bCs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Tabuľka 5 Výsledky účinnosti – štúdia PALOMA3 (hodnotené skúšajúcim v populácii podľa</w:t>
      </w:r>
    </w:p>
    <w:p w14:paraId="6EF80096" w14:textId="77777777" w:rsidR="008C100D" w:rsidRPr="008E5498" w:rsidRDefault="008C100D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liečebného zámeru)</w:t>
      </w:r>
    </w:p>
    <w:p w14:paraId="3B3B6724" w14:textId="77777777" w:rsidR="008C100D" w:rsidRPr="008E5498" w:rsidRDefault="008C100D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color w:val="00000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C100D" w:rsidRPr="006A560B" w14:paraId="0E23E4DC" w14:textId="77777777" w:rsidTr="006A560B">
        <w:trPr>
          <w:trHeight w:val="501"/>
        </w:trPr>
        <w:tc>
          <w:tcPr>
            <w:tcW w:w="3070" w:type="dxa"/>
            <w:vMerge w:val="restart"/>
            <w:shd w:val="clear" w:color="auto" w:fill="auto"/>
          </w:tcPr>
          <w:p w14:paraId="70F0923D" w14:textId="77777777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6142" w:type="dxa"/>
            <w:gridSpan w:val="2"/>
            <w:shd w:val="clear" w:color="auto" w:fill="auto"/>
          </w:tcPr>
          <w:p w14:paraId="582716E9" w14:textId="77777777" w:rsidR="008C100D" w:rsidRPr="00FF7E18" w:rsidRDefault="008C100D" w:rsidP="00244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bCs/>
                <w:lang w:val="sk-SK"/>
              </w:rPr>
            </w:pPr>
            <w:r w:rsidRPr="00FF7E18">
              <w:rPr>
                <w:rFonts w:ascii="Times New Roman" w:eastAsia="TimesNewRoman,Bold" w:hAnsi="Times New Roman"/>
                <w:b/>
                <w:bCs/>
                <w:lang w:val="sk-SK"/>
              </w:rPr>
              <w:t>Aktualizovaná analýza</w:t>
            </w:r>
          </w:p>
          <w:p w14:paraId="6EA6C015" w14:textId="77777777" w:rsidR="008C100D" w:rsidRPr="00FF7E18" w:rsidRDefault="008C100D" w:rsidP="00244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b/>
                <w:bCs/>
                <w:lang w:val="sk-SK"/>
              </w:rPr>
              <w:t>(ukončenie zberu údajov 23. októbra 2015)</w:t>
            </w:r>
          </w:p>
        </w:tc>
      </w:tr>
      <w:tr w:rsidR="008C100D" w:rsidRPr="008E5498" w14:paraId="1ABFB7BF" w14:textId="77777777" w:rsidTr="007C41B8">
        <w:tc>
          <w:tcPr>
            <w:tcW w:w="3070" w:type="dxa"/>
            <w:vMerge/>
            <w:shd w:val="clear" w:color="auto" w:fill="auto"/>
          </w:tcPr>
          <w:p w14:paraId="120F8FE3" w14:textId="77777777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3071" w:type="dxa"/>
            <w:shd w:val="clear" w:color="auto" w:fill="auto"/>
          </w:tcPr>
          <w:p w14:paraId="7A0FA146" w14:textId="6565A7C6" w:rsidR="008C100D" w:rsidRPr="00FF7E18" w:rsidRDefault="008C100D" w:rsidP="00244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Fulvestrant plus </w:t>
            </w:r>
            <w:r w:rsidR="00E60CE6" w:rsidRPr="00FF7E1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palbociklib</w:t>
            </w:r>
          </w:p>
          <w:p w14:paraId="44AAE1E8" w14:textId="3D77061A" w:rsidR="008C100D" w:rsidRPr="00FF7E18" w:rsidRDefault="008C100D" w:rsidP="00244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</w:t>
            </w:r>
            <w:r w:rsidR="00075903" w:rsidRPr="00FF7E1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FF7E1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=</w:t>
            </w:r>
            <w:r w:rsidR="00075903" w:rsidRPr="00FF7E1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FF7E1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347)</w:t>
            </w:r>
          </w:p>
        </w:tc>
        <w:tc>
          <w:tcPr>
            <w:tcW w:w="3071" w:type="dxa"/>
            <w:shd w:val="clear" w:color="auto" w:fill="auto"/>
          </w:tcPr>
          <w:p w14:paraId="6AA95546" w14:textId="77777777" w:rsidR="008C100D" w:rsidRPr="004A0B0B" w:rsidRDefault="008C100D" w:rsidP="00244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4A0B0B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 placebo</w:t>
            </w:r>
          </w:p>
          <w:p w14:paraId="7D395004" w14:textId="078E6506" w:rsidR="008C100D" w:rsidRPr="004A0B0B" w:rsidRDefault="008C100D" w:rsidP="00244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4A0B0B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</w:t>
            </w:r>
            <w:r w:rsidR="00075903" w:rsidRPr="004A0B0B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4A0B0B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=</w:t>
            </w:r>
            <w:r w:rsidR="00075903" w:rsidRPr="004A0B0B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4A0B0B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174)</w:t>
            </w:r>
          </w:p>
        </w:tc>
      </w:tr>
      <w:tr w:rsidR="008C100D" w:rsidRPr="008E5498" w14:paraId="3E7AE26E" w14:textId="77777777" w:rsidTr="007C41B8">
        <w:tc>
          <w:tcPr>
            <w:tcW w:w="3070" w:type="dxa"/>
            <w:shd w:val="clear" w:color="auto" w:fill="auto"/>
          </w:tcPr>
          <w:p w14:paraId="47F8CB77" w14:textId="77777777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b/>
                <w:bCs/>
                <w:lang w:val="sk-SK"/>
              </w:rPr>
              <w:t>Prežívanie bez progresie</w:t>
            </w:r>
          </w:p>
        </w:tc>
        <w:tc>
          <w:tcPr>
            <w:tcW w:w="3071" w:type="dxa"/>
            <w:shd w:val="clear" w:color="auto" w:fill="auto"/>
          </w:tcPr>
          <w:p w14:paraId="2EA26D19" w14:textId="77777777" w:rsidR="008C100D" w:rsidRPr="00FF7E18" w:rsidRDefault="008C100D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</w:p>
        </w:tc>
        <w:tc>
          <w:tcPr>
            <w:tcW w:w="3071" w:type="dxa"/>
            <w:shd w:val="clear" w:color="auto" w:fill="auto"/>
          </w:tcPr>
          <w:p w14:paraId="28401BE5" w14:textId="77777777" w:rsidR="008C100D" w:rsidRPr="004A0B0B" w:rsidRDefault="008C100D" w:rsidP="00244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</w:tr>
      <w:tr w:rsidR="008C100D" w:rsidRPr="008E5498" w14:paraId="7A6AA5FE" w14:textId="77777777" w:rsidTr="007C41B8">
        <w:tc>
          <w:tcPr>
            <w:tcW w:w="3070" w:type="dxa"/>
            <w:shd w:val="clear" w:color="auto" w:fill="auto"/>
          </w:tcPr>
          <w:p w14:paraId="0B4D5F52" w14:textId="057DCDEE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Medián [mesiace (95</w:t>
            </w:r>
            <w:r w:rsidR="004A0B0B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% CI)]</w:t>
            </w:r>
          </w:p>
        </w:tc>
        <w:tc>
          <w:tcPr>
            <w:tcW w:w="3071" w:type="dxa"/>
            <w:shd w:val="clear" w:color="auto" w:fill="auto"/>
          </w:tcPr>
          <w:p w14:paraId="324E7999" w14:textId="7F10F763" w:rsidR="008C100D" w:rsidRPr="00FF7E18" w:rsidRDefault="008C100D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11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2 (9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075903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12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9)</w:t>
            </w:r>
          </w:p>
        </w:tc>
        <w:tc>
          <w:tcPr>
            <w:tcW w:w="3071" w:type="dxa"/>
            <w:shd w:val="clear" w:color="auto" w:fill="auto"/>
          </w:tcPr>
          <w:p w14:paraId="079BADE4" w14:textId="02456A72" w:rsidR="008C100D" w:rsidRPr="004A0B0B" w:rsidRDefault="008C100D" w:rsidP="00244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4</w:t>
            </w:r>
            <w:r w:rsidR="006569FA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6 (3</w:t>
            </w:r>
            <w:r w:rsidR="006569FA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075903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5</w:t>
            </w:r>
            <w:r w:rsidR="006569FA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6)</w:t>
            </w:r>
          </w:p>
        </w:tc>
      </w:tr>
      <w:tr w:rsidR="008C100D" w:rsidRPr="008E5498" w14:paraId="55186B07" w14:textId="77777777" w:rsidTr="007C41B8">
        <w:tc>
          <w:tcPr>
            <w:tcW w:w="3070" w:type="dxa"/>
            <w:shd w:val="clear" w:color="auto" w:fill="auto"/>
          </w:tcPr>
          <w:p w14:paraId="686EFAE1" w14:textId="7916506F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Pomer rizika (95</w:t>
            </w:r>
            <w:r w:rsidR="00075903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% CI) </w:t>
            </w:r>
          </w:p>
          <w:p w14:paraId="049B8274" w14:textId="77777777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a hodnota p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5CE84127" w14:textId="46FE7086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0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497 (0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398</w:t>
            </w:r>
            <w:r w:rsidR="00075903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0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620), p &lt;</w:t>
            </w:r>
            <w:r w:rsidR="00075903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0</w:t>
            </w:r>
            <w:r w:rsidR="00075903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000001</w:t>
            </w:r>
          </w:p>
        </w:tc>
      </w:tr>
      <w:tr w:rsidR="008C100D" w:rsidRPr="008E5498" w14:paraId="2F9BC28E" w14:textId="77777777" w:rsidTr="007C41B8">
        <w:tc>
          <w:tcPr>
            <w:tcW w:w="9212" w:type="dxa"/>
            <w:gridSpan w:val="3"/>
            <w:shd w:val="clear" w:color="auto" w:fill="auto"/>
          </w:tcPr>
          <w:p w14:paraId="24CEE108" w14:textId="07E2545D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Sekundárne ciele</w:t>
            </w:r>
          </w:p>
        </w:tc>
      </w:tr>
      <w:tr w:rsidR="008C100D" w:rsidRPr="008E5498" w14:paraId="2FBF1936" w14:textId="77777777" w:rsidTr="007C41B8">
        <w:tc>
          <w:tcPr>
            <w:tcW w:w="3070" w:type="dxa"/>
            <w:shd w:val="clear" w:color="auto" w:fill="auto"/>
          </w:tcPr>
          <w:p w14:paraId="0583827A" w14:textId="27C98594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OR [% (95</w:t>
            </w:r>
            <w:r w:rsidR="00075903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% CI)]</w:t>
            </w:r>
          </w:p>
        </w:tc>
        <w:tc>
          <w:tcPr>
            <w:tcW w:w="3071" w:type="dxa"/>
            <w:shd w:val="clear" w:color="auto" w:fill="auto"/>
          </w:tcPr>
          <w:p w14:paraId="21314156" w14:textId="6204D543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26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2 (21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7</w:t>
            </w:r>
            <w:r w:rsidR="00075903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31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2)</w:t>
            </w:r>
          </w:p>
        </w:tc>
        <w:tc>
          <w:tcPr>
            <w:tcW w:w="3071" w:type="dxa"/>
            <w:shd w:val="clear" w:color="auto" w:fill="auto"/>
          </w:tcPr>
          <w:p w14:paraId="79A450DD" w14:textId="4DBB3FAE" w:rsidR="008C100D" w:rsidRPr="004A0B0B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13</w:t>
            </w:r>
            <w:r w:rsidR="006569FA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8 (9</w:t>
            </w:r>
            <w:r w:rsidR="006569FA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0</w:t>
            </w:r>
            <w:r w:rsidR="00075903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19</w:t>
            </w:r>
            <w:r w:rsidR="006569FA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8)</w:t>
            </w:r>
          </w:p>
        </w:tc>
      </w:tr>
      <w:tr w:rsidR="008C100D" w:rsidRPr="008E5498" w14:paraId="02A268AC" w14:textId="77777777" w:rsidTr="007C41B8">
        <w:tc>
          <w:tcPr>
            <w:tcW w:w="3070" w:type="dxa"/>
            <w:shd w:val="clear" w:color="auto" w:fill="auto"/>
          </w:tcPr>
          <w:p w14:paraId="5136E7E2" w14:textId="77777777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lastRenderedPageBreak/>
              <w:t xml:space="preserve">OR (merateľné ochorenie) [% </w:t>
            </w:r>
          </w:p>
          <w:p w14:paraId="426ABCF1" w14:textId="48EF84E1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(95</w:t>
            </w:r>
            <w:r w:rsidR="00075903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 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% CI)]</w:t>
            </w:r>
          </w:p>
        </w:tc>
        <w:tc>
          <w:tcPr>
            <w:tcW w:w="3071" w:type="dxa"/>
            <w:shd w:val="clear" w:color="auto" w:fill="auto"/>
          </w:tcPr>
          <w:p w14:paraId="13DF3C59" w14:textId="751AD53C" w:rsidR="008C100D" w:rsidRPr="00FF7E18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33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7 (28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1</w:t>
            </w:r>
            <w:r w:rsidR="00075903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39</w:t>
            </w:r>
            <w:r w:rsidR="006569FA"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7)</w:t>
            </w:r>
          </w:p>
        </w:tc>
        <w:tc>
          <w:tcPr>
            <w:tcW w:w="3071" w:type="dxa"/>
            <w:shd w:val="clear" w:color="auto" w:fill="auto"/>
          </w:tcPr>
          <w:p w14:paraId="761AF127" w14:textId="5F0B169D" w:rsidR="008C100D" w:rsidRPr="004A0B0B" w:rsidRDefault="008C100D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17</w:t>
            </w:r>
            <w:r w:rsidR="006569FA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4 (11</w:t>
            </w:r>
            <w:r w:rsidR="006569FA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075903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24</w:t>
            </w:r>
            <w:r w:rsidR="006569FA"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8)</w:t>
            </w:r>
          </w:p>
        </w:tc>
      </w:tr>
      <w:tr w:rsidR="004A0B0B" w:rsidRPr="008E5498" w14:paraId="4C5CE5A4" w14:textId="77777777" w:rsidTr="007C41B8">
        <w:tc>
          <w:tcPr>
            <w:tcW w:w="3070" w:type="dxa"/>
            <w:shd w:val="clear" w:color="auto" w:fill="auto"/>
          </w:tcPr>
          <w:p w14:paraId="3D2B5A87" w14:textId="40A9E7C3" w:rsidR="004A0B0B" w:rsidRPr="00FF7E1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CBR [% (95 % CI)]</w:t>
            </w:r>
          </w:p>
        </w:tc>
        <w:tc>
          <w:tcPr>
            <w:tcW w:w="3071" w:type="dxa"/>
            <w:shd w:val="clear" w:color="auto" w:fill="auto"/>
          </w:tcPr>
          <w:p w14:paraId="433CB845" w14:textId="512CFECD" w:rsidR="004A0B0B" w:rsidRPr="00FF7E18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eastAsia="TimesNewRoman,Bold" w:hAnsi="Times New Roman"/>
                <w:color w:val="000000"/>
                <w:lang w:val="sk-SK"/>
              </w:rPr>
              <w:t>68,0 (62,8; 72,9)</w:t>
            </w:r>
          </w:p>
        </w:tc>
        <w:tc>
          <w:tcPr>
            <w:tcW w:w="3071" w:type="dxa"/>
            <w:shd w:val="clear" w:color="auto" w:fill="auto"/>
          </w:tcPr>
          <w:p w14:paraId="0B7616FF" w14:textId="4637EBF1" w:rsidR="004A0B0B" w:rsidRPr="004A0B0B" w:rsidRDefault="004A0B0B" w:rsidP="004A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4A0B0B">
              <w:rPr>
                <w:rFonts w:ascii="Times New Roman" w:eastAsia="TimesNewRoman,Bold" w:hAnsi="Times New Roman"/>
                <w:color w:val="000000"/>
                <w:lang w:val="sk-SK"/>
              </w:rPr>
              <w:t>39,7 (32,3; 47,3)</w:t>
            </w:r>
          </w:p>
        </w:tc>
      </w:tr>
      <w:tr w:rsidR="004A0B0B" w:rsidRPr="008E5498" w14:paraId="73C80F0D" w14:textId="77777777" w:rsidTr="00110365">
        <w:tc>
          <w:tcPr>
            <w:tcW w:w="9212" w:type="dxa"/>
            <w:gridSpan w:val="3"/>
            <w:shd w:val="clear" w:color="auto" w:fill="auto"/>
          </w:tcPr>
          <w:p w14:paraId="56CAEDDD" w14:textId="77777777" w:rsidR="00FF7E18" w:rsidRPr="00FF7E18" w:rsidRDefault="00FF7E18" w:rsidP="00FF7E18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F7E18">
              <w:rPr>
                <w:rFonts w:ascii="Times New Roman" w:hAnsi="Times New Roman"/>
                <w:b/>
              </w:rPr>
              <w:t>Finálne celkové prežívanie (OS)</w:t>
            </w:r>
          </w:p>
          <w:p w14:paraId="27F4C220" w14:textId="421425BB" w:rsidR="004A0B0B" w:rsidRPr="00FF7E18" w:rsidRDefault="00FF7E18" w:rsidP="00244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hAnsi="Times New Roman"/>
                <w:b/>
              </w:rPr>
              <w:t>(ukončenie zberu údajov 13. apríla 2018)</w:t>
            </w:r>
          </w:p>
        </w:tc>
      </w:tr>
      <w:tr w:rsidR="00FF7E18" w:rsidRPr="008E5498" w14:paraId="11709FA3" w14:textId="77777777" w:rsidTr="007C41B8">
        <w:tc>
          <w:tcPr>
            <w:tcW w:w="3070" w:type="dxa"/>
            <w:shd w:val="clear" w:color="auto" w:fill="auto"/>
          </w:tcPr>
          <w:p w14:paraId="742AA20D" w14:textId="5552F5FF" w:rsidR="00FF7E18" w:rsidRPr="00FF7E18" w:rsidRDefault="00FF7E18" w:rsidP="00FF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244121">
              <w:rPr>
                <w:rFonts w:ascii="Times New Roman" w:hAnsi="Times New Roman"/>
              </w:rPr>
              <w:t>Počet udalostí (%)</w:t>
            </w:r>
          </w:p>
        </w:tc>
        <w:tc>
          <w:tcPr>
            <w:tcW w:w="3071" w:type="dxa"/>
            <w:shd w:val="clear" w:color="auto" w:fill="auto"/>
          </w:tcPr>
          <w:p w14:paraId="2297C4D6" w14:textId="35B617B8" w:rsidR="00FF7E18" w:rsidRPr="00FF7E18" w:rsidRDefault="00FF7E18" w:rsidP="00FF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244121">
              <w:rPr>
                <w:rFonts w:ascii="Times New Roman" w:hAnsi="Times New Roman"/>
              </w:rPr>
              <w:t>201 (57,9)</w:t>
            </w:r>
          </w:p>
        </w:tc>
        <w:tc>
          <w:tcPr>
            <w:tcW w:w="3071" w:type="dxa"/>
            <w:shd w:val="clear" w:color="auto" w:fill="auto"/>
          </w:tcPr>
          <w:p w14:paraId="3366FFD0" w14:textId="72C445C2" w:rsidR="00FF7E18" w:rsidRPr="00FF7E18" w:rsidRDefault="00FF7E18" w:rsidP="00FF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244121">
              <w:rPr>
                <w:rFonts w:ascii="Times New Roman" w:hAnsi="Times New Roman"/>
              </w:rPr>
              <w:t>109 (62,6)</w:t>
            </w:r>
          </w:p>
        </w:tc>
      </w:tr>
      <w:tr w:rsidR="00FF7E18" w:rsidRPr="008E5498" w14:paraId="3BBA31AB" w14:textId="77777777" w:rsidTr="007C41B8">
        <w:tc>
          <w:tcPr>
            <w:tcW w:w="3070" w:type="dxa"/>
            <w:shd w:val="clear" w:color="auto" w:fill="auto"/>
          </w:tcPr>
          <w:p w14:paraId="4FEA0556" w14:textId="5D12F213" w:rsidR="00FF7E18" w:rsidRPr="00FF7E18" w:rsidRDefault="00FF7E18" w:rsidP="00FF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244121">
              <w:rPr>
                <w:rFonts w:ascii="Times New Roman" w:hAnsi="Times New Roman"/>
              </w:rPr>
              <w:t>Medián [mesiace (95</w:t>
            </w:r>
            <w:r>
              <w:rPr>
                <w:rFonts w:ascii="Times New Roman" w:hAnsi="Times New Roman"/>
              </w:rPr>
              <w:t> </w:t>
            </w:r>
            <w:r w:rsidRPr="00244121">
              <w:rPr>
                <w:rFonts w:ascii="Times New Roman" w:hAnsi="Times New Roman"/>
              </w:rPr>
              <w:t>% CI)]</w:t>
            </w:r>
          </w:p>
        </w:tc>
        <w:tc>
          <w:tcPr>
            <w:tcW w:w="3071" w:type="dxa"/>
            <w:shd w:val="clear" w:color="auto" w:fill="auto"/>
          </w:tcPr>
          <w:p w14:paraId="5FDB905D" w14:textId="4AADAF05" w:rsidR="00FF7E18" w:rsidRPr="00FF7E18" w:rsidRDefault="00FF7E18" w:rsidP="00FF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244121">
              <w:rPr>
                <w:rFonts w:ascii="Times New Roman" w:hAnsi="Times New Roman"/>
              </w:rPr>
              <w:t>34,9 (28,8; 40,0)</w:t>
            </w:r>
          </w:p>
        </w:tc>
        <w:tc>
          <w:tcPr>
            <w:tcW w:w="3071" w:type="dxa"/>
            <w:shd w:val="clear" w:color="auto" w:fill="auto"/>
          </w:tcPr>
          <w:p w14:paraId="053E2265" w14:textId="06AA67FE" w:rsidR="00FF7E18" w:rsidRPr="00FF7E18" w:rsidRDefault="00FF7E18" w:rsidP="00FF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244121">
              <w:rPr>
                <w:rFonts w:ascii="Times New Roman" w:hAnsi="Times New Roman"/>
              </w:rPr>
              <w:t>28,0 (23,6; 34,6)</w:t>
            </w:r>
          </w:p>
        </w:tc>
      </w:tr>
      <w:tr w:rsidR="00FF7E18" w:rsidRPr="008E5498" w14:paraId="0879EF09" w14:textId="77777777" w:rsidTr="00110365">
        <w:tc>
          <w:tcPr>
            <w:tcW w:w="3070" w:type="dxa"/>
            <w:shd w:val="clear" w:color="auto" w:fill="auto"/>
          </w:tcPr>
          <w:p w14:paraId="13422B45" w14:textId="36D0C941" w:rsidR="00FF7E18" w:rsidRPr="00FF7E18" w:rsidRDefault="00FF7E18" w:rsidP="00FF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7E18">
              <w:rPr>
                <w:rFonts w:ascii="Times New Roman" w:hAnsi="Times New Roman"/>
              </w:rPr>
              <w:t>Pomer rizika (95 % CI)</w:t>
            </w:r>
          </w:p>
          <w:p w14:paraId="3A95AEE2" w14:textId="6C82B7A0" w:rsidR="00FF7E18" w:rsidRPr="00FF7E18" w:rsidRDefault="00FF7E18" w:rsidP="00FF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hAnsi="Times New Roman"/>
              </w:rPr>
              <w:t>a p-hodnota</w:t>
            </w:r>
            <w:r w:rsidRPr="00FF7E18">
              <w:rPr>
                <w:rFonts w:ascii="Times New Roman" w:hAnsi="Times New Roman"/>
                <w:vertAlign w:val="superscript"/>
              </w:rPr>
              <w:t>†</w:t>
            </w:r>
          </w:p>
        </w:tc>
        <w:tc>
          <w:tcPr>
            <w:tcW w:w="6142" w:type="dxa"/>
            <w:gridSpan w:val="2"/>
            <w:shd w:val="clear" w:color="auto" w:fill="auto"/>
          </w:tcPr>
          <w:p w14:paraId="6DCB72DA" w14:textId="77777777" w:rsidR="00FF7E18" w:rsidRPr="00FF7E18" w:rsidRDefault="00FF7E18" w:rsidP="00FF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E18">
              <w:rPr>
                <w:rFonts w:ascii="Times New Roman" w:hAnsi="Times New Roman"/>
              </w:rPr>
              <w:t>0,814 (0,644; 1,029)</w:t>
            </w:r>
          </w:p>
          <w:p w14:paraId="3C2F9528" w14:textId="31020D9B" w:rsidR="00FF7E18" w:rsidRPr="00FF7E18" w:rsidRDefault="00FF7E18" w:rsidP="00FF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FF7E18">
              <w:rPr>
                <w:rFonts w:ascii="Times New Roman" w:hAnsi="Times New Roman"/>
              </w:rPr>
              <w:t>p=0,0429</w:t>
            </w:r>
            <w:r w:rsidRPr="00FF7E18">
              <w:rPr>
                <w:rFonts w:ascii="Times New Roman" w:hAnsi="Times New Roman"/>
                <w:vertAlign w:val="superscript"/>
              </w:rPr>
              <w:t>†*</w:t>
            </w:r>
          </w:p>
        </w:tc>
      </w:tr>
    </w:tbl>
    <w:p w14:paraId="277D9B6C" w14:textId="34A41837" w:rsidR="00FF7E18" w:rsidRPr="00FF7E18" w:rsidRDefault="00FF7E18" w:rsidP="00FF7E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F7E18">
        <w:rPr>
          <w:rFonts w:ascii="Times New Roman" w:hAnsi="Times New Roman"/>
          <w:sz w:val="20"/>
          <w:szCs w:val="20"/>
        </w:rPr>
        <w:t>CBR = miera klinického prínosu; CI = interval spoľahlivosti; N = počet pacientok; OR = objektívna odpoveď. Výsledky sekundárnych cieľov založené na potvrdených a nepotvrdených odpovediach podľa RECIST 1.1.</w:t>
      </w:r>
    </w:p>
    <w:p w14:paraId="18C05215" w14:textId="77777777" w:rsidR="00FF7E18" w:rsidRPr="00FF7E18" w:rsidRDefault="00FF7E18" w:rsidP="00FF7E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F7E18">
        <w:rPr>
          <w:rFonts w:ascii="Times New Roman" w:hAnsi="Times New Roman"/>
          <w:sz w:val="20"/>
          <w:szCs w:val="20"/>
          <w:vertAlign w:val="superscript"/>
        </w:rPr>
        <w:t>*</w:t>
      </w:r>
      <w:r w:rsidRPr="00FF7E18">
        <w:rPr>
          <w:rFonts w:ascii="Times New Roman" w:hAnsi="Times New Roman"/>
          <w:sz w:val="20"/>
          <w:szCs w:val="20"/>
        </w:rPr>
        <w:t>Nie je štatistický významný.</w:t>
      </w:r>
    </w:p>
    <w:p w14:paraId="2519ACEC" w14:textId="77777777" w:rsidR="00FF7E18" w:rsidRPr="00FF7E18" w:rsidRDefault="00FF7E18" w:rsidP="00FF7E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F7E18">
        <w:rPr>
          <w:rFonts w:ascii="Times New Roman" w:hAnsi="Times New Roman"/>
          <w:sz w:val="20"/>
          <w:szCs w:val="20"/>
          <w:vertAlign w:val="superscript"/>
        </w:rPr>
        <w:t>†</w:t>
      </w:r>
      <w:r w:rsidRPr="00FF7E18">
        <w:rPr>
          <w:rFonts w:ascii="Times New Roman" w:hAnsi="Times New Roman"/>
          <w:sz w:val="20"/>
          <w:szCs w:val="20"/>
        </w:rPr>
        <w:t xml:space="preserve"> 1-stranná p-hodnota z log-rank testu stratifikovaného na základe prítomnosti viscerálnych metastáz a senzitivity na predchádzajúcu endokrinnú liečbu pri randomizácii.</w:t>
      </w:r>
    </w:p>
    <w:p w14:paraId="696C9768" w14:textId="77777777" w:rsidR="008C100D" w:rsidRPr="00244121" w:rsidRDefault="008C100D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Cs/>
          <w:lang w:val="sk-SK"/>
        </w:rPr>
      </w:pPr>
    </w:p>
    <w:p w14:paraId="05F96706" w14:textId="77777777" w:rsidR="006569FA" w:rsidRPr="00E60CE6" w:rsidRDefault="006569FA" w:rsidP="00E60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/>
          <w:bCs/>
          <w:lang w:val="sk-SK"/>
        </w:rPr>
      </w:pPr>
      <w:r w:rsidRPr="00E60CE6">
        <w:rPr>
          <w:rFonts w:ascii="Times New Roman" w:eastAsia="TimesNewRoman,Bold" w:hAnsi="Times New Roman"/>
          <w:b/>
          <w:bCs/>
          <w:lang w:val="sk-SK"/>
        </w:rPr>
        <w:t>Obrázok 2. Kaplanova-Meierova krivka prežívania bez progresie ochorenia (hodnotenie</w:t>
      </w:r>
    </w:p>
    <w:p w14:paraId="75CAECF0" w14:textId="4C821B24" w:rsidR="00744884" w:rsidRPr="00244121" w:rsidRDefault="006569FA" w:rsidP="00244121">
      <w:pPr>
        <w:keepNext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bCs/>
          <w:lang w:val="sk-SK"/>
        </w:rPr>
      </w:pPr>
      <w:r w:rsidRPr="00E60CE6">
        <w:rPr>
          <w:rFonts w:ascii="Times New Roman" w:eastAsia="TimesNewRoman,Bold" w:hAnsi="Times New Roman"/>
          <w:b/>
          <w:bCs/>
          <w:lang w:val="sk-SK"/>
        </w:rPr>
        <w:t>skúšajúcim lekárom v populácii podľa liečebného zámeru) – štúdia PALOMA3</w:t>
      </w:r>
      <w:r w:rsidR="00744884" w:rsidRPr="00E60CE6">
        <w:rPr>
          <w:rFonts w:ascii="Times New Roman" w:eastAsia="TimesNewRoman,Bold" w:hAnsi="Times New Roman"/>
          <w:b/>
          <w:bCs/>
          <w:lang w:val="sk-SK"/>
        </w:rPr>
        <w:t xml:space="preserve"> </w:t>
      </w:r>
      <w:r w:rsidR="00744884" w:rsidRPr="00244121">
        <w:rPr>
          <w:rFonts w:ascii="Times New Roman" w:eastAsia="Arial Unicode MS" w:hAnsi="Times New Roman"/>
          <w:b/>
          <w:bCs/>
          <w:lang w:val="sk-SK"/>
        </w:rPr>
        <w:t>(ukončenie zberu údajov 23. októbra 2015)</w:t>
      </w:r>
    </w:p>
    <w:p w14:paraId="4BF1F66B" w14:textId="77777777" w:rsidR="006569FA" w:rsidRPr="008E5498" w:rsidRDefault="006569F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</w:p>
    <w:p w14:paraId="1C874B47" w14:textId="6840E3F1" w:rsidR="006569FA" w:rsidRPr="008E5498" w:rsidRDefault="00FF7E1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43096">
        <w:rPr>
          <w:noProof/>
        </w:rPr>
        <w:drawing>
          <wp:inline distT="0" distB="0" distL="0" distR="0" wp14:anchorId="1C757FED" wp14:editId="62B965BC">
            <wp:extent cx="4657725" cy="42576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FA58F" w14:textId="77777777" w:rsidR="006569FA" w:rsidRPr="008E5498" w:rsidRDefault="006569F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</w:p>
    <w:p w14:paraId="295F0C5C" w14:textId="5D7ADB0C" w:rsidR="006569FA" w:rsidRPr="003E7B39" w:rsidRDefault="006569F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  <w:lang w:val="sk-SK"/>
        </w:rPr>
      </w:pPr>
      <w:r w:rsidRPr="003E7B39">
        <w:rPr>
          <w:rFonts w:ascii="Times New Roman" w:eastAsia="TimesNewRoman" w:hAnsi="Times New Roman"/>
          <w:sz w:val="20"/>
          <w:szCs w:val="20"/>
          <w:lang w:val="sk-SK"/>
        </w:rPr>
        <w:t>FUL</w:t>
      </w:r>
      <w:r w:rsidR="006225C9" w:rsidRPr="003E7B39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3E7B39">
        <w:rPr>
          <w:rFonts w:ascii="Times New Roman" w:eastAsia="TimesNewRoman" w:hAnsi="Times New Roman"/>
          <w:sz w:val="20"/>
          <w:szCs w:val="20"/>
          <w:lang w:val="sk-SK"/>
        </w:rPr>
        <w:t>=</w:t>
      </w:r>
      <w:r w:rsidR="006225C9" w:rsidRPr="003E7B39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3E7B39">
        <w:rPr>
          <w:rFonts w:ascii="Times New Roman" w:eastAsia="TimesNewRoman" w:hAnsi="Times New Roman"/>
          <w:sz w:val="20"/>
          <w:szCs w:val="20"/>
          <w:lang w:val="sk-SK"/>
        </w:rPr>
        <w:t>fulvestrant; PAL</w:t>
      </w:r>
      <w:r w:rsidR="006225C9" w:rsidRPr="003E7B39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3E7B39">
        <w:rPr>
          <w:rFonts w:ascii="Times New Roman" w:eastAsia="TimesNewRoman" w:hAnsi="Times New Roman"/>
          <w:sz w:val="20"/>
          <w:szCs w:val="20"/>
          <w:lang w:val="sk-SK"/>
        </w:rPr>
        <w:t>=</w:t>
      </w:r>
      <w:r w:rsidR="006225C9" w:rsidRPr="003E7B39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3E7B39">
        <w:rPr>
          <w:rFonts w:ascii="Times New Roman" w:eastAsia="TimesNewRoman" w:hAnsi="Times New Roman"/>
          <w:sz w:val="20"/>
          <w:szCs w:val="20"/>
          <w:lang w:val="sk-SK"/>
        </w:rPr>
        <w:t>palbociklib; PCB</w:t>
      </w:r>
      <w:r w:rsidR="006225C9" w:rsidRPr="003E7B39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3E7B39">
        <w:rPr>
          <w:rFonts w:ascii="Times New Roman" w:eastAsia="TimesNewRoman" w:hAnsi="Times New Roman"/>
          <w:sz w:val="20"/>
          <w:szCs w:val="20"/>
          <w:lang w:val="sk-SK"/>
        </w:rPr>
        <w:t>=</w:t>
      </w:r>
      <w:r w:rsidR="006225C9" w:rsidRPr="003E7B39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3E7B39">
        <w:rPr>
          <w:rFonts w:ascii="Times New Roman" w:eastAsia="TimesNewRoman" w:hAnsi="Times New Roman"/>
          <w:sz w:val="20"/>
          <w:szCs w:val="20"/>
          <w:lang w:val="sk-SK"/>
        </w:rPr>
        <w:t>placebo.</w:t>
      </w:r>
    </w:p>
    <w:p w14:paraId="3E69DBBF" w14:textId="77777777" w:rsidR="006569FA" w:rsidRPr="00244121" w:rsidRDefault="006569F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7E1FFC4F" w14:textId="39DCDCFD" w:rsidR="006569FA" w:rsidRPr="008E5498" w:rsidRDefault="006569F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Zníženie rizika progresie ochorenia alebo úmrtia v skupine fulvestrant plus palbociklib sa pozorovalo vo</w:t>
      </w:r>
    </w:p>
    <w:p w14:paraId="2D9727A7" w14:textId="77777777" w:rsidR="00A34607" w:rsidRDefault="006569F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všetkých podskupinách </w:t>
      </w:r>
      <w:r w:rsidR="00813B9F" w:rsidRPr="008E5498">
        <w:rPr>
          <w:rFonts w:ascii="Times New Roman" w:eastAsia="TimesNewRoman" w:hAnsi="Times New Roman"/>
          <w:lang w:val="sk-SK"/>
        </w:rPr>
        <w:t>pacientiek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definovaných stratifikačnými faktormi a vstupnými charakteristikami. Bolo to evidentné u pre/perimenopauzálnych žien (HR 0,46 [95% CI: 0,28; 0,75]) a postmenopauzálnych žien (HR 0,52 [95</w:t>
      </w:r>
      <w:r w:rsidR="006225C9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CI: 0,40; 0,66]) a</w:t>
      </w:r>
      <w:r w:rsidR="006225C9" w:rsidRPr="008E5498">
        <w:rPr>
          <w:rFonts w:ascii="Times New Roman" w:eastAsia="TimesNewRoman" w:hAnsi="Times New Roman"/>
          <w:lang w:val="sk-SK"/>
        </w:rPr>
        <w:t> </w:t>
      </w:r>
      <w:r w:rsidR="00813B9F" w:rsidRPr="008E5498">
        <w:rPr>
          <w:rFonts w:ascii="Times New Roman" w:eastAsia="TimesNewRoman" w:hAnsi="Times New Roman"/>
          <w:lang w:val="sk-SK"/>
        </w:rPr>
        <w:t>pacientiek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viscerálnymi metastatickými ložiskami (HR 0,50 [95</w:t>
      </w:r>
      <w:r w:rsidR="006225C9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 xml:space="preserve">% </w:t>
      </w:r>
      <w:r w:rsidRPr="008E5498">
        <w:rPr>
          <w:rFonts w:ascii="Times New Roman" w:eastAsia="TimesNewRoman" w:hAnsi="Times New Roman"/>
          <w:lang w:val="sk-SK"/>
        </w:rPr>
        <w:lastRenderedPageBreak/>
        <w:t>CI: 0,38; 0,65]) a</w:t>
      </w:r>
      <w:r w:rsidR="006225C9" w:rsidRPr="008E5498">
        <w:rPr>
          <w:rFonts w:ascii="Times New Roman" w:eastAsia="TimesNewRoman" w:hAnsi="Times New Roman"/>
          <w:lang w:val="sk-SK"/>
        </w:rPr>
        <w:t> </w:t>
      </w:r>
      <w:r w:rsidR="00813B9F" w:rsidRPr="008E5498">
        <w:rPr>
          <w:rFonts w:ascii="Times New Roman" w:eastAsia="TimesNewRoman" w:hAnsi="Times New Roman"/>
          <w:lang w:val="sk-SK"/>
        </w:rPr>
        <w:t>pacientiek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s neviscerálnymi metastatickými ložiskami (HR 0,48 [95</w:t>
      </w:r>
      <w:r w:rsidR="006225C9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CI: 0,33; 0,71]). Prínos bol tiež pozorovaný nezávisle od počtu línií predchádzajúcej liečby pre metastatické ochorenie, či bol počet 0 (HR 0,59 [95</w:t>
      </w:r>
      <w:r w:rsidR="006225C9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CI: 0,37; 0,93]), 1 (HR 0,46 [95</w:t>
      </w:r>
      <w:r w:rsidR="006225C9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CI: 0,32; 0,64]), 2 (HR 0,48 [95</w:t>
      </w:r>
      <w:r w:rsidR="006225C9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>% CI: 0,30; 0,76]) alebo ≥ 3 línie (HR 0,59 [95</w:t>
      </w:r>
      <w:r w:rsidR="006225C9" w:rsidRPr="008E5498">
        <w:rPr>
          <w:rFonts w:ascii="Times New Roman" w:eastAsia="TimesNewRoman" w:hAnsi="Times New Roman"/>
          <w:lang w:val="sk-SK"/>
        </w:rPr>
        <w:t> </w:t>
      </w:r>
      <w:r w:rsidRPr="008E5498">
        <w:rPr>
          <w:rFonts w:ascii="Times New Roman" w:eastAsia="TimesNewRoman" w:hAnsi="Times New Roman"/>
          <w:lang w:val="sk-SK"/>
        </w:rPr>
        <w:t xml:space="preserve">% CI: 0,28; 1,22]). </w:t>
      </w:r>
    </w:p>
    <w:p w14:paraId="36580D8B" w14:textId="1AD9066A" w:rsidR="00744884" w:rsidRDefault="00744884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7CA2F937" w14:textId="77777777" w:rsidR="003E7B39" w:rsidRDefault="003E7B39" w:rsidP="003E7B3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sk-SK"/>
        </w:rPr>
      </w:pPr>
      <w:r w:rsidRPr="006A560B">
        <w:rPr>
          <w:rFonts w:ascii="Times New Roman" w:hAnsi="Times New Roman"/>
          <w:b/>
          <w:lang w:val="sk-SK"/>
        </w:rPr>
        <w:t>Obrázok 3.</w:t>
      </w:r>
      <w:r w:rsidRPr="006A560B">
        <w:rPr>
          <w:rFonts w:ascii="Times New Roman" w:hAnsi="Times New Roman"/>
          <w:b/>
          <w:lang w:val="sk-SK"/>
        </w:rPr>
        <w:tab/>
        <w:t>Kaplanova-Meierova krivka celkového prežívania (populácia podľa liečebného zámeru) – štúdia PALOMA3 (ukončenie zberu údajov 13. apríla 2018)</w:t>
      </w:r>
    </w:p>
    <w:p w14:paraId="4724091F" w14:textId="77777777" w:rsidR="00A34607" w:rsidRPr="006A560B" w:rsidRDefault="00A34607" w:rsidP="003E7B3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sk-SK"/>
        </w:rPr>
      </w:pPr>
    </w:p>
    <w:p w14:paraId="133F9C2F" w14:textId="77777777" w:rsidR="003E7B39" w:rsidRPr="003E7B39" w:rsidRDefault="003E7B39" w:rsidP="003E7B3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E7B39">
        <w:rPr>
          <w:rFonts w:ascii="Times New Roman" w:hAnsi="Times New Roman"/>
          <w:noProof/>
        </w:rPr>
        <w:drawing>
          <wp:inline distT="0" distB="0" distL="0" distR="0" wp14:anchorId="6AEB3AC9" wp14:editId="5FB89474">
            <wp:extent cx="5604510" cy="3790588"/>
            <wp:effectExtent l="0" t="0" r="0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966" t="1252" r="1683" b="1282"/>
                    <a:stretch/>
                  </pic:blipFill>
                  <pic:spPr bwMode="auto">
                    <a:xfrm>
                      <a:off x="0" y="0"/>
                      <a:ext cx="5613882" cy="3796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76B74" w14:textId="77777777" w:rsidR="003E7B39" w:rsidRPr="006A560B" w:rsidRDefault="003E7B39" w:rsidP="003E7B39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A560B">
        <w:rPr>
          <w:rFonts w:ascii="Times New Roman" w:hAnsi="Times New Roman"/>
          <w:sz w:val="20"/>
          <w:szCs w:val="20"/>
        </w:rPr>
        <w:t>FUL=fulvestrant; PAL=palbociklib; PCB=placebo.</w:t>
      </w:r>
    </w:p>
    <w:p w14:paraId="56C1F357" w14:textId="77777777" w:rsidR="003E7B39" w:rsidRPr="003E7B39" w:rsidRDefault="003E7B39" w:rsidP="003E7B3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A14544" w14:textId="77777777" w:rsidR="003E7B39" w:rsidRPr="003E7B39" w:rsidRDefault="003E7B39" w:rsidP="003E7B3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E7B39">
        <w:rPr>
          <w:rFonts w:ascii="Times New Roman" w:hAnsi="Times New Roman"/>
        </w:rPr>
        <w:t>Ďalšie ukazovatele účinnosti (OR a TTR) hodnotené v podskupinách pacientok s viscerálnym postihnutím alebo bez neho sú zobrazené v tabuľke 6.</w:t>
      </w:r>
    </w:p>
    <w:p w14:paraId="4A980FDF" w14:textId="77777777" w:rsidR="006569FA" w:rsidRPr="008E5498" w:rsidRDefault="006569F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46A5C45D" w14:textId="77777777" w:rsidR="006569FA" w:rsidRPr="008E5498" w:rsidRDefault="006569F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b/>
          <w:bCs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Tabuľka 6 Výsledky účinnosti na viscerálne a neviscerálne ochorenie zo štúdie PALOMA3</w:t>
      </w:r>
    </w:p>
    <w:p w14:paraId="606B0245" w14:textId="77777777" w:rsidR="006569FA" w:rsidRPr="008E5498" w:rsidRDefault="006569F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eastAsia="TimesNewRoman,Bold" w:hAnsi="Times New Roman"/>
          <w:b/>
          <w:bCs/>
          <w:lang w:val="sk-SK"/>
        </w:rPr>
        <w:t>(populácia podľa liečebného zámeru)</w:t>
      </w:r>
    </w:p>
    <w:p w14:paraId="0442ECC8" w14:textId="77777777" w:rsidR="006569FA" w:rsidRPr="008E5498" w:rsidRDefault="006569F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1935"/>
        <w:gridCol w:w="1722"/>
      </w:tblGrid>
      <w:tr w:rsidR="006569FA" w:rsidRPr="008E5498" w14:paraId="3E2E7654" w14:textId="77777777" w:rsidTr="006A560B">
        <w:tc>
          <w:tcPr>
            <w:tcW w:w="2122" w:type="dxa"/>
            <w:shd w:val="clear" w:color="auto" w:fill="auto"/>
          </w:tcPr>
          <w:p w14:paraId="168274B9" w14:textId="77777777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C49C4C" w14:textId="77777777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Viscerálne ochorenie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02ACE734" w14:textId="77777777" w:rsidR="006569FA" w:rsidRPr="008E5498" w:rsidRDefault="00CD6CB6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bCs/>
                <w:lang w:val="sk-SK"/>
              </w:rPr>
              <w:t>Neviscerálne ochorenie</w:t>
            </w:r>
          </w:p>
        </w:tc>
      </w:tr>
      <w:tr w:rsidR="006569FA" w:rsidRPr="008E5498" w14:paraId="17532AC0" w14:textId="77777777" w:rsidTr="006A560B">
        <w:tc>
          <w:tcPr>
            <w:tcW w:w="2122" w:type="dxa"/>
            <w:shd w:val="clear" w:color="auto" w:fill="auto"/>
          </w:tcPr>
          <w:p w14:paraId="177E5674" w14:textId="77777777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lang w:val="sk-SK"/>
              </w:rPr>
            </w:pPr>
          </w:p>
        </w:tc>
        <w:tc>
          <w:tcPr>
            <w:tcW w:w="1842" w:type="dxa"/>
            <w:shd w:val="clear" w:color="auto" w:fill="auto"/>
          </w:tcPr>
          <w:p w14:paraId="64C753C4" w14:textId="77777777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</w:t>
            </w:r>
          </w:p>
          <w:p w14:paraId="4DE565D0" w14:textId="1938E9BD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palboci</w:t>
            </w:r>
            <w:r w:rsidR="0046372E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k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lib</w:t>
            </w:r>
          </w:p>
          <w:p w14:paraId="747FADB5" w14:textId="683CC498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</w:t>
            </w:r>
            <w:r w:rsidR="006225C9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=</w:t>
            </w:r>
            <w:r w:rsidR="006225C9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206)</w:t>
            </w:r>
          </w:p>
        </w:tc>
        <w:tc>
          <w:tcPr>
            <w:tcW w:w="1701" w:type="dxa"/>
            <w:shd w:val="clear" w:color="auto" w:fill="auto"/>
          </w:tcPr>
          <w:p w14:paraId="6137EE17" w14:textId="361BF82D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</w:t>
            </w:r>
          </w:p>
          <w:p w14:paraId="39B5D394" w14:textId="77777777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placebo</w:t>
            </w:r>
          </w:p>
          <w:p w14:paraId="0F82ABD6" w14:textId="24081498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</w:t>
            </w:r>
            <w:r w:rsidR="006225C9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=</w:t>
            </w:r>
            <w:r w:rsidR="006225C9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105)</w:t>
            </w:r>
          </w:p>
        </w:tc>
        <w:tc>
          <w:tcPr>
            <w:tcW w:w="1935" w:type="dxa"/>
            <w:shd w:val="clear" w:color="auto" w:fill="auto"/>
          </w:tcPr>
          <w:p w14:paraId="2306E6C5" w14:textId="6A0C949C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</w:t>
            </w:r>
          </w:p>
          <w:p w14:paraId="5ACFC59E" w14:textId="376BA4D8" w:rsidR="006569FA" w:rsidRPr="008E5498" w:rsidRDefault="00E60CE6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palboci</w:t>
            </w:r>
            <w:r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k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lib</w:t>
            </w:r>
          </w:p>
          <w:p w14:paraId="6FDD251F" w14:textId="148D652A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</w:t>
            </w:r>
            <w:r w:rsidR="006225C9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=</w:t>
            </w:r>
            <w:r w:rsidR="006225C9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141)</w:t>
            </w:r>
          </w:p>
        </w:tc>
        <w:tc>
          <w:tcPr>
            <w:tcW w:w="1722" w:type="dxa"/>
            <w:shd w:val="clear" w:color="auto" w:fill="auto"/>
          </w:tcPr>
          <w:p w14:paraId="11E61797" w14:textId="7FAE22B3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Fulvestrant plus</w:t>
            </w:r>
          </w:p>
          <w:p w14:paraId="4323C31D" w14:textId="77777777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placebo</w:t>
            </w:r>
          </w:p>
          <w:p w14:paraId="4E00FF68" w14:textId="5C8EB428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(N</w:t>
            </w:r>
            <w:r w:rsidR="006225C9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=</w:t>
            </w:r>
            <w:r w:rsidR="006225C9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69)</w:t>
            </w:r>
          </w:p>
        </w:tc>
      </w:tr>
      <w:tr w:rsidR="006569FA" w:rsidRPr="008E5498" w14:paraId="235DA387" w14:textId="77777777" w:rsidTr="006A560B">
        <w:tc>
          <w:tcPr>
            <w:tcW w:w="2122" w:type="dxa"/>
            <w:shd w:val="clear" w:color="auto" w:fill="auto"/>
          </w:tcPr>
          <w:p w14:paraId="6C9BC5CA" w14:textId="7E4EDCD9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OR [% (95</w:t>
            </w:r>
            <w:r w:rsidR="006225C9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 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% CI)]</w:t>
            </w:r>
          </w:p>
        </w:tc>
        <w:tc>
          <w:tcPr>
            <w:tcW w:w="1842" w:type="dxa"/>
            <w:shd w:val="clear" w:color="auto" w:fill="auto"/>
          </w:tcPr>
          <w:p w14:paraId="2EFFBF82" w14:textId="42D1ED6E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35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0</w:t>
            </w:r>
          </w:p>
          <w:p w14:paraId="2462B213" w14:textId="44716E87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(28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41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9)</w:t>
            </w:r>
          </w:p>
        </w:tc>
        <w:tc>
          <w:tcPr>
            <w:tcW w:w="1701" w:type="dxa"/>
            <w:shd w:val="clear" w:color="auto" w:fill="auto"/>
          </w:tcPr>
          <w:p w14:paraId="79564031" w14:textId="5F7F4D50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</w:p>
          <w:p w14:paraId="7CE987F7" w14:textId="6ACF8486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(7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21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4)</w:t>
            </w:r>
          </w:p>
        </w:tc>
        <w:tc>
          <w:tcPr>
            <w:tcW w:w="1935" w:type="dxa"/>
            <w:shd w:val="clear" w:color="auto" w:fill="auto"/>
          </w:tcPr>
          <w:p w14:paraId="26120BCA" w14:textId="56B3DF39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</w:p>
          <w:p w14:paraId="1D5AFE01" w14:textId="7D4C23CE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(8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20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2)</w:t>
            </w:r>
          </w:p>
        </w:tc>
        <w:tc>
          <w:tcPr>
            <w:tcW w:w="1722" w:type="dxa"/>
            <w:shd w:val="clear" w:color="auto" w:fill="auto"/>
          </w:tcPr>
          <w:p w14:paraId="46CF39FD" w14:textId="2F18E201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14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</w:p>
          <w:p w14:paraId="16F07FA5" w14:textId="5220265C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(7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2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25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0)</w:t>
            </w:r>
          </w:p>
        </w:tc>
      </w:tr>
      <w:tr w:rsidR="006569FA" w:rsidRPr="008E5498" w14:paraId="37F53407" w14:textId="77777777" w:rsidTr="006A560B">
        <w:tc>
          <w:tcPr>
            <w:tcW w:w="2122" w:type="dxa"/>
            <w:shd w:val="clear" w:color="auto" w:fill="auto"/>
          </w:tcPr>
          <w:p w14:paraId="5A572990" w14:textId="77777777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TTR*, Medi</w:t>
            </w:r>
            <w:r w:rsidR="00CD6CB6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á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n </w:t>
            </w:r>
          </w:p>
          <w:p w14:paraId="5CE26A01" w14:textId="77777777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  <w:b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[</w:t>
            </w:r>
            <w:r w:rsidR="00CD6CB6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mesiace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 xml:space="preserve"> (</w:t>
            </w:r>
            <w:r w:rsidR="00CD6CB6"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rozsah</w:t>
            </w:r>
            <w:r w:rsidRPr="008E5498">
              <w:rPr>
                <w:rFonts w:ascii="Times New Roman" w:eastAsia="TimesNewRoman,Bold" w:hAnsi="Times New Roman"/>
                <w:b/>
                <w:color w:val="000000"/>
                <w:lang w:val="sk-SK"/>
              </w:rPr>
              <w:t>)]</w:t>
            </w:r>
          </w:p>
        </w:tc>
        <w:tc>
          <w:tcPr>
            <w:tcW w:w="1842" w:type="dxa"/>
            <w:shd w:val="clear" w:color="auto" w:fill="auto"/>
          </w:tcPr>
          <w:p w14:paraId="75098964" w14:textId="43AE6647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8</w:t>
            </w:r>
          </w:p>
          <w:p w14:paraId="09E8CA27" w14:textId="435B0459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(3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16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7)</w:t>
            </w:r>
          </w:p>
        </w:tc>
        <w:tc>
          <w:tcPr>
            <w:tcW w:w="1701" w:type="dxa"/>
            <w:shd w:val="clear" w:color="auto" w:fill="auto"/>
          </w:tcPr>
          <w:p w14:paraId="429FE15B" w14:textId="5582A54D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4</w:t>
            </w:r>
          </w:p>
          <w:p w14:paraId="0A9539D4" w14:textId="7F279AC5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(3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5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16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7)</w:t>
            </w:r>
          </w:p>
        </w:tc>
        <w:tc>
          <w:tcPr>
            <w:tcW w:w="1935" w:type="dxa"/>
            <w:shd w:val="clear" w:color="auto" w:fill="auto"/>
          </w:tcPr>
          <w:p w14:paraId="19D81E5C" w14:textId="7D71506F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7</w:t>
            </w:r>
          </w:p>
          <w:p w14:paraId="13116692" w14:textId="3ED3636B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(1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9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13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7)</w:t>
            </w:r>
          </w:p>
        </w:tc>
        <w:tc>
          <w:tcPr>
            <w:tcW w:w="1722" w:type="dxa"/>
            <w:shd w:val="clear" w:color="auto" w:fill="auto"/>
          </w:tcPr>
          <w:p w14:paraId="1D98BCE4" w14:textId="77D7B94E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6</w:t>
            </w:r>
          </w:p>
          <w:p w14:paraId="0793461B" w14:textId="3A7EEF88" w:rsidR="006569FA" w:rsidRPr="008E5498" w:rsidRDefault="006569FA" w:rsidP="008E5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/>
                <w:color w:val="000000"/>
                <w:lang w:val="sk-SK"/>
              </w:rPr>
            </w:pP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(3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4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;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 xml:space="preserve"> 3</w:t>
            </w:r>
            <w:r w:rsidR="006225C9"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,</w:t>
            </w:r>
            <w:r w:rsidRPr="008E5498">
              <w:rPr>
                <w:rFonts w:ascii="Times New Roman" w:eastAsia="TimesNewRoman,Bold" w:hAnsi="Times New Roman"/>
                <w:color w:val="000000"/>
                <w:lang w:val="sk-SK"/>
              </w:rPr>
              <w:t>7)</w:t>
            </w:r>
          </w:p>
        </w:tc>
      </w:tr>
    </w:tbl>
    <w:p w14:paraId="54D9CF8D" w14:textId="77777777" w:rsidR="00CD6CB6" w:rsidRPr="006A560B" w:rsidRDefault="00CD6CB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  <w:lang w:val="sk-SK"/>
        </w:rPr>
      </w:pPr>
      <w:r w:rsidRPr="006A560B">
        <w:rPr>
          <w:rFonts w:ascii="Times New Roman" w:eastAsia="TimesNewRoman" w:hAnsi="Times New Roman"/>
          <w:sz w:val="20"/>
          <w:szCs w:val="20"/>
          <w:lang w:val="sk-SK"/>
        </w:rPr>
        <w:t>*Výsledky odpovedí založené na potvrdených a nepotvrdených odpovediach.</w:t>
      </w:r>
    </w:p>
    <w:p w14:paraId="61575846" w14:textId="25C99A41" w:rsidR="006569FA" w:rsidRPr="006A560B" w:rsidRDefault="00CD6CB6" w:rsidP="003E7B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  <w:lang w:val="sk-SK"/>
        </w:rPr>
      </w:pPr>
      <w:r w:rsidRPr="006A560B">
        <w:rPr>
          <w:rFonts w:ascii="Times New Roman" w:eastAsia="TimesNewRoman" w:hAnsi="Times New Roman"/>
          <w:sz w:val="20"/>
          <w:szCs w:val="20"/>
          <w:lang w:val="sk-SK"/>
        </w:rPr>
        <w:t xml:space="preserve">N = počet </w:t>
      </w:r>
      <w:r w:rsidR="00E60CE6" w:rsidRPr="006A560B">
        <w:rPr>
          <w:rFonts w:ascii="Times New Roman" w:eastAsia="TimesNewRoman" w:hAnsi="Times New Roman"/>
          <w:sz w:val="20"/>
          <w:szCs w:val="20"/>
          <w:lang w:val="sk-SK"/>
        </w:rPr>
        <w:t>pacientok</w:t>
      </w:r>
      <w:r w:rsidRPr="006A560B">
        <w:rPr>
          <w:rFonts w:ascii="Times New Roman" w:eastAsia="TimesNewRoman" w:hAnsi="Times New Roman"/>
          <w:sz w:val="20"/>
          <w:szCs w:val="20"/>
          <w:lang w:val="sk-SK"/>
        </w:rPr>
        <w:t>; CI = interval spoľahlivosti; OR = objektívna odpoveď; TTR = čas do prvej odpovede</w:t>
      </w:r>
      <w:r w:rsidR="003E7B39" w:rsidRPr="006A560B">
        <w:rPr>
          <w:rFonts w:ascii="Times New Roman" w:eastAsia="TimesNewRoman" w:hAnsi="Times New Roman"/>
          <w:sz w:val="20"/>
          <w:szCs w:val="20"/>
          <w:lang w:val="sk-SK"/>
        </w:rPr>
        <w:t xml:space="preserve"> </w:t>
      </w:r>
      <w:r w:rsidRPr="006A560B">
        <w:rPr>
          <w:rFonts w:ascii="Times New Roman" w:eastAsia="TimesNewRoman" w:hAnsi="Times New Roman"/>
          <w:sz w:val="20"/>
          <w:szCs w:val="20"/>
          <w:lang w:val="sk-SK"/>
        </w:rPr>
        <w:t>nádoru.</w:t>
      </w:r>
    </w:p>
    <w:p w14:paraId="6EE25D81" w14:textId="77777777" w:rsidR="00CD6CB6" w:rsidRPr="008E5498" w:rsidRDefault="00CD6CB6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lang w:val="sk-SK"/>
        </w:rPr>
      </w:pPr>
    </w:p>
    <w:p w14:paraId="6FD8093A" w14:textId="30F32444" w:rsidR="00CD6CB6" w:rsidRPr="008E5498" w:rsidRDefault="00CD6CB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Pacientkami hlásené príznaky boli hodnotené pomocou dotazníka kvality života (quality of life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lastRenderedPageBreak/>
        <w:t>questionnaire, QLQ)-C30 Európskej organizácie pre výskum a liečbu rakoviny a jeho modulu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rakoviny prsníka (EORTC QLQ BR23). Celkovo 335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 skupine fulvestrant plus palbociklib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 xml:space="preserve">a 166 </w:t>
      </w:r>
      <w:r w:rsidR="00E60CE6">
        <w:rPr>
          <w:rFonts w:ascii="Times New Roman" w:eastAsia="TimesNewRoman" w:hAnsi="Times New Roman"/>
          <w:lang w:val="sk-SK"/>
        </w:rPr>
        <w:t>pacientok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v skupine fulvestrant plus placebo vyplnilo dotazník pri vstupe do štúdie a aspoň raz na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ďalšej návšteve.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Čas do zhoršenia bol vopred špecifikovaný ako čas medzi vstupom do štúdie a prvým výskytom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≥ 10-bodového vzostupu oproti počiatočnej hodnote skóre príznakov bolesti. Pridanie palbociklibu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k fulvestrantu viedlo k prínosu, pokiaľ ide o príznaky, pretože významne predĺžilo čas do zhoršenia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príznakov bolesti v porovnaní so skupinou fulvestrant plus placebo (medián 8,0 mesiacov oproti 2,8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mesiacov; HR = 0,64 [95% CI: 0,49; 0,85]; p &lt; 0,001).</w:t>
      </w:r>
    </w:p>
    <w:p w14:paraId="4DE6D767" w14:textId="77777777" w:rsidR="00CD6CB6" w:rsidRPr="008E5498" w:rsidRDefault="00CD6CB6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lang w:val="sk-SK"/>
        </w:rPr>
      </w:pPr>
    </w:p>
    <w:p w14:paraId="2BE27963" w14:textId="77777777" w:rsidR="000B2B40" w:rsidRPr="008E5498" w:rsidRDefault="00823DE2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hAnsi="Times New Roman"/>
          <w:i/>
          <w:iCs/>
          <w:lang w:val="sk-SK"/>
        </w:rPr>
        <w:t>Účinky na endometrium po menopauze</w:t>
      </w:r>
    </w:p>
    <w:p w14:paraId="671AB189" w14:textId="1241EFA8" w:rsidR="000B2B40" w:rsidRPr="008E5498" w:rsidRDefault="00823DE2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Predklinické údaje nenaznačujú stimulačný účinok fulvestrantu na endometrium po menopauze (pozri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časť 5.3). Dvojtýždňová štúdia u zdravých postmenopauzálnych dobrovoľníčok liečených 20 </w:t>
      </w:r>
      <w:r w:rsidR="000B2B40" w:rsidRPr="008E5498">
        <w:rPr>
          <w:rFonts w:ascii="Times New Roman" w:hAnsi="Times New Roman"/>
          <w:lang w:val="sk-SK"/>
        </w:rPr>
        <w:t>μ</w:t>
      </w:r>
      <w:r w:rsidRPr="008E5498">
        <w:rPr>
          <w:rFonts w:ascii="Times New Roman" w:hAnsi="Times New Roman"/>
          <w:lang w:val="sk-SK"/>
        </w:rPr>
        <w:t>g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etinylestradiolu denne preukázala, že predliečenie fulvestrantom 250 mg malo za následok signifikantne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redukovanú stimuláciu postmenopauzálneho endometria v porovnaní s predliečením placebom,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hodnotenú na základe ultrasonografického merania hrúbky endometria.</w:t>
      </w:r>
    </w:p>
    <w:p w14:paraId="0619D1E7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3F8DEDA" w14:textId="2AF046BD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Neoadjuvantná liečba </w:t>
      </w:r>
      <w:r w:rsidR="00F06A63" w:rsidRPr="008E5498">
        <w:rPr>
          <w:rFonts w:ascii="Times New Roman" w:hAnsi="Times New Roman"/>
          <w:lang w:val="sk-SK"/>
        </w:rPr>
        <w:t xml:space="preserve">trvajúca </w:t>
      </w:r>
      <w:r w:rsidRPr="008E5498">
        <w:rPr>
          <w:rFonts w:ascii="Times New Roman" w:hAnsi="Times New Roman"/>
          <w:lang w:val="sk-SK"/>
        </w:rPr>
        <w:t xml:space="preserve">až 16 týždňov u </w:t>
      </w:r>
      <w:r w:rsidR="00E60CE6">
        <w:rPr>
          <w:rFonts w:ascii="Times New Roman" w:hAnsi="Times New Roman"/>
          <w:lang w:val="sk-SK"/>
        </w:rPr>
        <w:t>pacientok</w:t>
      </w:r>
      <w:r w:rsidRPr="008E5498">
        <w:rPr>
          <w:rFonts w:ascii="Times New Roman" w:hAnsi="Times New Roman"/>
          <w:lang w:val="sk-SK"/>
        </w:rPr>
        <w:t xml:space="preserve"> s karcinómom prsníka liečených buď </w:t>
      </w:r>
      <w:r w:rsidR="00362833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>om</w:t>
      </w:r>
      <w:r w:rsidR="00F06A6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500 mg alebo 250 mg </w:t>
      </w:r>
      <w:r w:rsidR="00362833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>om neviedla ku klinicky významným zmenám v hrúbke endometria, čo</w:t>
      </w:r>
      <w:r w:rsidR="00F06A6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ukazuje na nedostatočný agonist</w:t>
      </w:r>
      <w:r w:rsidR="00F06A63" w:rsidRPr="008E5498">
        <w:rPr>
          <w:rFonts w:ascii="Times New Roman" w:hAnsi="Times New Roman"/>
          <w:lang w:val="sk-SK"/>
        </w:rPr>
        <w:t>ický účinok</w:t>
      </w:r>
      <w:r w:rsidRPr="008E5498">
        <w:rPr>
          <w:rFonts w:ascii="Times New Roman" w:hAnsi="Times New Roman"/>
          <w:lang w:val="sk-SK"/>
        </w:rPr>
        <w:t>. Neexistujú žiadne dôk</w:t>
      </w:r>
      <w:r w:rsidR="004707F4" w:rsidRPr="008E5498">
        <w:rPr>
          <w:rFonts w:ascii="Times New Roman" w:hAnsi="Times New Roman"/>
          <w:lang w:val="sk-SK"/>
        </w:rPr>
        <w:t xml:space="preserve">azy o nepriaznivých účinkoch na </w:t>
      </w:r>
      <w:r w:rsidRPr="008E5498">
        <w:rPr>
          <w:rFonts w:ascii="Times New Roman" w:hAnsi="Times New Roman"/>
          <w:lang w:val="sk-SK"/>
        </w:rPr>
        <w:t>en</w:t>
      </w:r>
      <w:r w:rsidR="00CD6CB6" w:rsidRPr="008E5498">
        <w:rPr>
          <w:rFonts w:ascii="Times New Roman" w:hAnsi="Times New Roman"/>
          <w:lang w:val="sk-SK"/>
        </w:rPr>
        <w:t xml:space="preserve">dometrium u sledovaných </w:t>
      </w:r>
      <w:r w:rsidR="00E60CE6">
        <w:rPr>
          <w:rFonts w:ascii="Times New Roman" w:hAnsi="Times New Roman"/>
          <w:lang w:val="sk-SK"/>
        </w:rPr>
        <w:t>pacientok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s karcinómom prsníka. Nie sú k dispozícii údaje týkajúce sa</w:t>
      </w:r>
      <w:r w:rsidR="00F06A6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endometriálnej morfológie.</w:t>
      </w:r>
    </w:p>
    <w:p w14:paraId="5D8A445C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AABFF4F" w14:textId="5ED6866B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V dvoch krátkodobých štúdiách (1 a 12 týždňov) u premenopauzálnych </w:t>
      </w:r>
      <w:r w:rsidR="00E60CE6">
        <w:rPr>
          <w:rFonts w:ascii="Times New Roman" w:hAnsi="Times New Roman"/>
          <w:lang w:val="sk-SK"/>
        </w:rPr>
        <w:t>pacientok</w:t>
      </w:r>
      <w:r w:rsidRPr="008E5498">
        <w:rPr>
          <w:rFonts w:ascii="Times New Roman" w:hAnsi="Times New Roman"/>
          <w:lang w:val="sk-SK"/>
        </w:rPr>
        <w:t xml:space="preserve"> s</w:t>
      </w:r>
      <w:r w:rsidR="006225C9" w:rsidRPr="008E5498">
        <w:rPr>
          <w:rFonts w:ascii="Times New Roman" w:hAnsi="Times New Roman"/>
          <w:lang w:val="sk-SK"/>
        </w:rPr>
        <w:t> </w:t>
      </w:r>
      <w:r w:rsidRPr="008E5498">
        <w:rPr>
          <w:rFonts w:ascii="Times New Roman" w:hAnsi="Times New Roman"/>
          <w:lang w:val="sk-SK"/>
        </w:rPr>
        <w:t>benígnym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gynekologickým ochorením sa nepozorovali žiadne signifikantné zmeny v hrúbke endometria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ultrazvukovým meraním pri porovnaní skupín, ktorým sa podával fulvestrant a placebo.</w:t>
      </w:r>
    </w:p>
    <w:p w14:paraId="136E6AC5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0E02BEB8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hAnsi="Times New Roman"/>
          <w:i/>
          <w:iCs/>
          <w:lang w:val="sk-SK"/>
        </w:rPr>
        <w:t>Účinky na kosti</w:t>
      </w:r>
    </w:p>
    <w:p w14:paraId="0E07D4C1" w14:textId="66EF94D4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Nie sú k dispozícii dlhodobé údaje o účinku fulvestrantu na kosti. Neoadjuvantná liečba </w:t>
      </w:r>
      <w:r w:rsidR="00F06A63" w:rsidRPr="008E5498">
        <w:rPr>
          <w:rFonts w:ascii="Times New Roman" w:hAnsi="Times New Roman"/>
          <w:lang w:val="sk-SK"/>
        </w:rPr>
        <w:t xml:space="preserve">trvajúca </w:t>
      </w:r>
      <w:r w:rsidRPr="008E5498">
        <w:rPr>
          <w:rFonts w:ascii="Times New Roman" w:hAnsi="Times New Roman"/>
          <w:lang w:val="sk-SK"/>
        </w:rPr>
        <w:t>až 16 týždňov</w:t>
      </w:r>
      <w:r w:rsidR="00F06A6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u</w:t>
      </w:r>
      <w:r w:rsidR="006225C9" w:rsidRPr="008E5498">
        <w:rPr>
          <w:rFonts w:ascii="Times New Roman" w:hAnsi="Times New Roman"/>
          <w:lang w:val="sk-SK"/>
        </w:rPr>
        <w:t> </w:t>
      </w:r>
      <w:r w:rsidR="00E60CE6">
        <w:rPr>
          <w:rFonts w:ascii="Times New Roman" w:hAnsi="Times New Roman"/>
          <w:lang w:val="sk-SK"/>
        </w:rPr>
        <w:t>pacientok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s karcinómom prsníka buď </w:t>
      </w:r>
      <w:r w:rsidR="00362833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 xml:space="preserve">om 500 mg alebo 250 mg </w:t>
      </w:r>
      <w:r w:rsidR="00362833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>om neviedla ku</w:t>
      </w:r>
      <w:r w:rsidR="00F06A63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klinicky významným zmenám markerov kostného obratu v sére.</w:t>
      </w:r>
    </w:p>
    <w:p w14:paraId="5D79A8C2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F4C009B" w14:textId="77777777" w:rsidR="000B2B40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Pediatrická populácia</w:t>
      </w:r>
    </w:p>
    <w:p w14:paraId="41C003E3" w14:textId="3CAE49C2" w:rsidR="00CD6CB6" w:rsidRPr="008E5498" w:rsidRDefault="00B10CB1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Fulvestrant</w:t>
      </w:r>
      <w:r w:rsidR="000B2B40" w:rsidRPr="008E5498">
        <w:rPr>
          <w:rFonts w:ascii="Times New Roman" w:hAnsi="Times New Roman"/>
          <w:lang w:val="sk-SK"/>
        </w:rPr>
        <w:t xml:space="preserve"> nie je indikovaný na použitie u detí. Európska lieková agentúra udelila výnimku z povinnosti</w:t>
      </w:r>
      <w:r w:rsidR="00CD6CB6" w:rsidRPr="008E5498">
        <w:rPr>
          <w:rFonts w:ascii="Times New Roman" w:hAnsi="Times New Roman"/>
          <w:lang w:val="sk-SK"/>
        </w:rPr>
        <w:t xml:space="preserve"> predložiť výsledky štúdii </w:t>
      </w:r>
      <w:r w:rsidR="00236E77" w:rsidRPr="008E5498">
        <w:rPr>
          <w:rFonts w:ascii="Times New Roman" w:hAnsi="Times New Roman"/>
          <w:lang w:val="sk-SK"/>
        </w:rPr>
        <w:t xml:space="preserve">s </w:t>
      </w:r>
      <w:r w:rsidR="00CD6CB6" w:rsidRPr="008E5498">
        <w:rPr>
          <w:rFonts w:ascii="Times New Roman" w:hAnsi="Times New Roman"/>
          <w:lang w:val="sk-SK"/>
        </w:rPr>
        <w:t>fulvestrant</w:t>
      </w:r>
      <w:r w:rsidR="00236E77" w:rsidRPr="008E5498">
        <w:rPr>
          <w:rFonts w:ascii="Times New Roman" w:hAnsi="Times New Roman"/>
          <w:lang w:val="sk-SK"/>
        </w:rPr>
        <w:t>om</w:t>
      </w:r>
      <w:r w:rsidR="00CD6CB6" w:rsidRPr="008E5498">
        <w:rPr>
          <w:rFonts w:ascii="Times New Roman" w:hAnsi="Times New Roman"/>
          <w:lang w:val="sk-SK"/>
        </w:rPr>
        <w:t xml:space="preserve"> </w:t>
      </w:r>
      <w:r w:rsidR="00236E77" w:rsidRPr="008E5498">
        <w:rPr>
          <w:rFonts w:ascii="Times New Roman" w:hAnsi="Times New Roman"/>
          <w:lang w:val="sk-SK"/>
        </w:rPr>
        <w:t>vo všetkých podskupinách pediatrickej populácie</w:t>
      </w:r>
      <w:r w:rsidR="00CD6CB6" w:rsidRPr="008E5498">
        <w:rPr>
          <w:rFonts w:ascii="Times New Roman" w:hAnsi="Times New Roman"/>
          <w:lang w:val="sk-SK"/>
        </w:rPr>
        <w:t xml:space="preserve"> </w:t>
      </w:r>
      <w:r w:rsidR="000C712A" w:rsidRPr="008E5498">
        <w:rPr>
          <w:rFonts w:ascii="Times New Roman" w:hAnsi="Times New Roman"/>
          <w:lang w:val="sk-SK"/>
        </w:rPr>
        <w:t>pri</w:t>
      </w:r>
      <w:r w:rsidR="00CD6CB6" w:rsidRPr="008E5498">
        <w:rPr>
          <w:rFonts w:ascii="Times New Roman" w:hAnsi="Times New Roman"/>
          <w:lang w:val="sk-SK"/>
        </w:rPr>
        <w:t xml:space="preserve"> karcinóme prsníka (pozri časť 4.2 pre informáciu o pediatrickom použití).</w:t>
      </w:r>
    </w:p>
    <w:p w14:paraId="7E620389" w14:textId="77777777" w:rsidR="000C712A" w:rsidRPr="008E5498" w:rsidRDefault="000C712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4D4EB632" w14:textId="2BDFA6A4" w:rsidR="00CD6CB6" w:rsidRPr="008E5498" w:rsidRDefault="00CD6CB6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Otvorená štúdia fázy II skúmala bezpečnosť, účinnosť a farmakokinetiku fulvestrantu u 30 dievčat vo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veku od 1 do 8 rokov s progresívnou predčasnou pubertou spojenou s McCune Albrightovým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syndrómom (MAS). </w:t>
      </w:r>
      <w:r w:rsidR="00F06A63" w:rsidRPr="008E5498">
        <w:rPr>
          <w:rFonts w:ascii="Times New Roman" w:hAnsi="Times New Roman"/>
          <w:lang w:val="sk-SK"/>
        </w:rPr>
        <w:t xml:space="preserve">Detské pacientky </w:t>
      </w:r>
      <w:r w:rsidRPr="008E5498">
        <w:rPr>
          <w:rFonts w:ascii="Times New Roman" w:hAnsi="Times New Roman"/>
          <w:lang w:val="sk-SK"/>
        </w:rPr>
        <w:t>dostali intramuskulárnu dávku fulvestrantu 4 mg/kg mesačne.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Táto 12 mesačná štúdia skúmala škálu cieľov MAS a ukázala zníženie frekvencie vaginálneho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krvácania a zníženie rýchlosti vzostupu kostného veku. V tejto štúdii bol u detí rovnovážny stav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koncentrácie fulvestrantu v súlade s dospelými (pozri časť 5.2). Z tejto malej štúdie sa nezistili žiadne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nové vyplývajúce obavy týkajúce sa bezpečnosti, ale 5-ročné údaje zatiaľ nie sú k dispozícii.</w:t>
      </w:r>
    </w:p>
    <w:p w14:paraId="5FB06811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0D952E18" w14:textId="1B7BC525" w:rsidR="000B2B40" w:rsidRPr="008E5498" w:rsidRDefault="00C15983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5.2</w:t>
      </w:r>
      <w:r w:rsidR="007961D7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Farmakokinetické vlastnosti</w:t>
      </w:r>
    </w:p>
    <w:p w14:paraId="2F1600FF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lang w:val="sk-SK"/>
        </w:rPr>
      </w:pPr>
    </w:p>
    <w:p w14:paraId="7A310BE7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Absorpcia</w:t>
      </w:r>
    </w:p>
    <w:p w14:paraId="30B63C16" w14:textId="7111846A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Po podaní </w:t>
      </w:r>
      <w:r w:rsidR="00464383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>u vo forme dlhodobo pôsobiacej intramuskulárnej injekcie sa fulvestrant pomaly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vstrebáva a maximálne plazmatické koncentrácie (C</w:t>
      </w:r>
      <w:r w:rsidRPr="008E5498">
        <w:rPr>
          <w:rFonts w:ascii="Times New Roman" w:hAnsi="Times New Roman"/>
          <w:vertAlign w:val="subscript"/>
          <w:lang w:val="sk-SK"/>
        </w:rPr>
        <w:t>max</w:t>
      </w:r>
      <w:r w:rsidRPr="008E5498">
        <w:rPr>
          <w:rFonts w:ascii="Times New Roman" w:hAnsi="Times New Roman"/>
          <w:lang w:val="sk-SK"/>
        </w:rPr>
        <w:t>) sa dosiahnu približne po 5 dňoch. Podaním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="00464383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>u v režime 500 mg sa dosiahnu hladiny expozície zodpovedajúce alebo blízke rovnovážnemu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stavu počas prvého mesiaca dávkovania (priemer [CV]: AUC 475 [33,4%] ng.dní/ml, C</w:t>
      </w:r>
      <w:r w:rsidRPr="008E5498">
        <w:rPr>
          <w:rFonts w:ascii="Times New Roman" w:hAnsi="Times New Roman"/>
          <w:vertAlign w:val="subscript"/>
          <w:lang w:val="sk-SK"/>
        </w:rPr>
        <w:t>max</w:t>
      </w:r>
      <w:r w:rsidRPr="008E5498">
        <w:rPr>
          <w:rFonts w:ascii="Times New Roman" w:hAnsi="Times New Roman"/>
          <w:lang w:val="sk-SK"/>
        </w:rPr>
        <w:t xml:space="preserve"> 25,1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[35,3</w:t>
      </w:r>
      <w:r w:rsidR="006225C9" w:rsidRPr="008E5498">
        <w:rPr>
          <w:rFonts w:ascii="Times New Roman" w:hAnsi="Times New Roman"/>
          <w:lang w:val="sk-SK"/>
        </w:rPr>
        <w:t> </w:t>
      </w:r>
      <w:r w:rsidRPr="008E5498">
        <w:rPr>
          <w:rFonts w:ascii="Times New Roman" w:hAnsi="Times New Roman"/>
          <w:lang w:val="sk-SK"/>
        </w:rPr>
        <w:t>%] ng/ml, C</w:t>
      </w:r>
      <w:r w:rsidRPr="008E5498">
        <w:rPr>
          <w:rFonts w:ascii="Times New Roman" w:hAnsi="Times New Roman"/>
          <w:vertAlign w:val="subscript"/>
          <w:lang w:val="sk-SK"/>
        </w:rPr>
        <w:t>min</w:t>
      </w:r>
      <w:r w:rsidRPr="008E5498">
        <w:rPr>
          <w:rFonts w:ascii="Times New Roman" w:hAnsi="Times New Roman"/>
          <w:lang w:val="sk-SK"/>
        </w:rPr>
        <w:t xml:space="preserve"> 16,3 [25,9%] ng/ml). V rovnovážnom stave sa plazmatické koncentrácie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fulvestrantu udržiavajú </w:t>
      </w:r>
      <w:r w:rsidRPr="008E5498">
        <w:rPr>
          <w:rFonts w:ascii="Times New Roman" w:hAnsi="Times New Roman"/>
          <w:lang w:val="sk-SK"/>
        </w:rPr>
        <w:lastRenderedPageBreak/>
        <w:t>v relatívne úzkom rozmedzí s až približne 3-násobným rozdielom medzi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maximálnou a minimálnou k</w:t>
      </w:r>
      <w:r w:rsidR="007961D7" w:rsidRPr="008E5498">
        <w:rPr>
          <w:rFonts w:ascii="Times New Roman" w:hAnsi="Times New Roman"/>
          <w:lang w:val="sk-SK"/>
        </w:rPr>
        <w:t xml:space="preserve">oncentráciou. </w:t>
      </w:r>
      <w:r w:rsidRPr="008E5498">
        <w:rPr>
          <w:rFonts w:ascii="Times New Roman" w:hAnsi="Times New Roman"/>
          <w:lang w:val="sk-SK"/>
        </w:rPr>
        <w:t>Po intramuskulárnom podaní je expozícia v rozsahu dávok 50 až 500 mg približne úmerná dávke.</w:t>
      </w:r>
    </w:p>
    <w:p w14:paraId="5A2BEF95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2930DEE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Distribúcia</w:t>
      </w:r>
    </w:p>
    <w:p w14:paraId="5994F6AD" w14:textId="5BE3CF2E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Fulvestrant sa extenzívne a rýchlo distribuuje. </w:t>
      </w:r>
      <w:r w:rsidR="000C712A" w:rsidRPr="008E5498">
        <w:rPr>
          <w:rFonts w:ascii="Times New Roman" w:hAnsi="Times New Roman"/>
          <w:lang w:val="sk-SK"/>
        </w:rPr>
        <w:t>V</w:t>
      </w:r>
      <w:r w:rsidRPr="008E5498">
        <w:rPr>
          <w:rFonts w:ascii="Times New Roman" w:hAnsi="Times New Roman"/>
          <w:lang w:val="sk-SK"/>
        </w:rPr>
        <w:t xml:space="preserve">eľký </w:t>
      </w:r>
      <w:r w:rsidR="000C712A" w:rsidRPr="008E5498">
        <w:rPr>
          <w:rFonts w:ascii="Times New Roman" w:hAnsi="Times New Roman"/>
          <w:lang w:val="sk-SK"/>
        </w:rPr>
        <w:t xml:space="preserve">zdanlivý </w:t>
      </w:r>
      <w:r w:rsidRPr="008E5498">
        <w:rPr>
          <w:rFonts w:ascii="Times New Roman" w:hAnsi="Times New Roman"/>
          <w:lang w:val="sk-SK"/>
        </w:rPr>
        <w:t>distribučný objem v ustálenom stave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(</w:t>
      </w:r>
      <w:r w:rsidR="00CE2217" w:rsidRPr="008E5498">
        <w:rPr>
          <w:rFonts w:ascii="Times New Roman" w:hAnsi="Times New Roman"/>
          <w:lang w:val="sk-SK"/>
        </w:rPr>
        <w:t xml:space="preserve">volume of distribution at steady state </w:t>
      </w:r>
      <w:r w:rsidR="00F54043" w:rsidRPr="008E5498">
        <w:rPr>
          <w:rFonts w:ascii="Times New Roman" w:hAnsi="Times New Roman"/>
          <w:lang w:val="sk-SK"/>
        </w:rPr>
        <w:t>Vdss</w:t>
      </w:r>
      <w:r w:rsidRPr="008E5498">
        <w:rPr>
          <w:rFonts w:ascii="Times New Roman" w:hAnsi="Times New Roman"/>
          <w:lang w:val="sk-SK"/>
        </w:rPr>
        <w:t>) je približne 3 až 5 l/kg, čo naznačuje, že distribúcia je väčšinou extravaskulárna. Fulvestrant sa</w:t>
      </w:r>
      <w:r w:rsidR="00CE2217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vo vysokej miere (99</w:t>
      </w:r>
      <w:r w:rsidR="006225C9" w:rsidRPr="008E5498">
        <w:rPr>
          <w:rFonts w:ascii="Times New Roman" w:hAnsi="Times New Roman"/>
          <w:lang w:val="sk-SK"/>
        </w:rPr>
        <w:t> </w:t>
      </w:r>
      <w:r w:rsidRPr="008E5498">
        <w:rPr>
          <w:rFonts w:ascii="Times New Roman" w:hAnsi="Times New Roman"/>
          <w:lang w:val="sk-SK"/>
        </w:rPr>
        <w:t>%) viaže na plazmatické bielkoviny. Hlavnými zložkami väzby sú lipoproteínové</w:t>
      </w:r>
      <w:r w:rsidR="00CE2217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frakcie veľmi nízkej denzity (</w:t>
      </w:r>
      <w:r w:rsidR="00B7106C" w:rsidRPr="008E5498">
        <w:rPr>
          <w:rFonts w:ascii="Times New Roman" w:hAnsi="Times New Roman"/>
          <w:lang w:val="sk-SK"/>
        </w:rPr>
        <w:t>v</w:t>
      </w:r>
      <w:r w:rsidR="00B7106C" w:rsidRPr="008E5498">
        <w:rPr>
          <w:rFonts w:ascii="Times New Roman" w:eastAsia="TimesNewRoman,Bold" w:hAnsi="Times New Roman"/>
          <w:color w:val="000000"/>
          <w:lang w:val="sk-SK"/>
        </w:rPr>
        <w:t xml:space="preserve">ery low density lipoprotein </w:t>
      </w:r>
      <w:r w:rsidRPr="008E5498">
        <w:rPr>
          <w:rFonts w:ascii="Times New Roman" w:hAnsi="Times New Roman"/>
          <w:lang w:val="sk-SK"/>
        </w:rPr>
        <w:t>VLDL), nízkej denzity (</w:t>
      </w:r>
      <w:r w:rsidR="00B7106C" w:rsidRPr="008E5498">
        <w:rPr>
          <w:rFonts w:ascii="Times New Roman" w:eastAsia="TimesNewRoman,Bold" w:hAnsi="Times New Roman"/>
          <w:color w:val="000000"/>
          <w:lang w:val="sk-SK"/>
        </w:rPr>
        <w:t xml:space="preserve">low density lipoprotein </w:t>
      </w:r>
      <w:r w:rsidRPr="008E5498">
        <w:rPr>
          <w:rFonts w:ascii="Times New Roman" w:hAnsi="Times New Roman"/>
          <w:lang w:val="sk-SK"/>
        </w:rPr>
        <w:t>LDL) a vysokej denzity (</w:t>
      </w:r>
      <w:r w:rsidR="00B7106C" w:rsidRPr="008E5498">
        <w:rPr>
          <w:rFonts w:ascii="Times New Roman" w:eastAsia="TimesNewRoman,Bold" w:hAnsi="Times New Roman"/>
          <w:color w:val="000000"/>
          <w:lang w:val="sk-SK"/>
        </w:rPr>
        <w:t>high density lipoprotein</w:t>
      </w:r>
      <w:r w:rsidR="00B7106C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HDL). Neboli</w:t>
      </w:r>
      <w:r w:rsidR="00CE2217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uskutočnené žiadne štúdie interakcie ohľadom kompetitívnej väzby na bielkoviny. Úloha globulínu,</w:t>
      </w:r>
      <w:r w:rsidR="00CE2217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ktorý viaže </w:t>
      </w:r>
      <w:r w:rsidR="00464383" w:rsidRPr="008E5498">
        <w:rPr>
          <w:rFonts w:ascii="Times New Roman" w:hAnsi="Times New Roman"/>
          <w:lang w:val="sk-SK"/>
        </w:rPr>
        <w:t>pohlavné</w:t>
      </w:r>
      <w:r w:rsidRPr="008E5498">
        <w:rPr>
          <w:rFonts w:ascii="Times New Roman" w:hAnsi="Times New Roman"/>
          <w:lang w:val="sk-SK"/>
        </w:rPr>
        <w:t xml:space="preserve"> hormóny (</w:t>
      </w:r>
      <w:r w:rsidR="00B7106C" w:rsidRPr="008E5498">
        <w:rPr>
          <w:rFonts w:ascii="Times New Roman" w:hAnsi="Times New Roman"/>
          <w:lang w:val="sk-SK"/>
        </w:rPr>
        <w:t xml:space="preserve">sex hormone-binding globulin </w:t>
      </w:r>
      <w:r w:rsidRPr="008E5498">
        <w:rPr>
          <w:rFonts w:ascii="Times New Roman" w:hAnsi="Times New Roman"/>
          <w:lang w:val="sk-SK"/>
        </w:rPr>
        <w:t>SHBG), nebola stanovená.</w:t>
      </w:r>
    </w:p>
    <w:p w14:paraId="42C83386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56D6C01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Biotransformácia</w:t>
      </w:r>
    </w:p>
    <w:p w14:paraId="35E81315" w14:textId="162BDFF9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Metabolizmus fulvestrantu nebol plne hodnotený, ale zahŕňa kombinácie celého radu možných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biotransformačných ciest, ktoré sú analogické cestám endogénnych steroidov. Identifikované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metabolity (vrátane metabolitov typu 17-ketón, sulfón, 3-síran, 3- a 17-glukuronid) sú v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antiestrogénových modeloch buď menej účinné, alebo vykazujú podobný účinok ako fulvestrant.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Skúšky na preparátoch ľudskej pečene a rekombinantných ľudských enzýmoch udávajú, že na oxidácii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fulvestrantu sa podieľa z P-450 izoenzýmov iba CYP 3A4, </w:t>
      </w:r>
      <w:r w:rsidRPr="008E5498">
        <w:rPr>
          <w:rFonts w:ascii="Times New Roman" w:hAnsi="Times New Roman"/>
          <w:i/>
          <w:iCs/>
          <w:lang w:val="sk-SK"/>
        </w:rPr>
        <w:t xml:space="preserve">in vivo </w:t>
      </w:r>
      <w:r w:rsidRPr="008E5498">
        <w:rPr>
          <w:rFonts w:ascii="Times New Roman" w:hAnsi="Times New Roman"/>
          <w:lang w:val="sk-SK"/>
        </w:rPr>
        <w:t>sa však zdá, že prevládajú cesty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nevyužívajúce P-450. Údaje </w:t>
      </w:r>
      <w:r w:rsidRPr="008E5498">
        <w:rPr>
          <w:rFonts w:ascii="Times New Roman" w:hAnsi="Times New Roman"/>
          <w:i/>
          <w:iCs/>
          <w:lang w:val="sk-SK"/>
        </w:rPr>
        <w:t xml:space="preserve">in vitro </w:t>
      </w:r>
      <w:r w:rsidRPr="008E5498">
        <w:rPr>
          <w:rFonts w:ascii="Times New Roman" w:hAnsi="Times New Roman"/>
          <w:lang w:val="sk-SK"/>
        </w:rPr>
        <w:t>naznačujú, že fulvestrant neinhibuje izoenzýmy CYP450.</w:t>
      </w:r>
    </w:p>
    <w:p w14:paraId="2330E4BF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25C43E3E" w14:textId="77777777" w:rsidR="000B2B40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>Eliminácia</w:t>
      </w:r>
    </w:p>
    <w:p w14:paraId="77444F1F" w14:textId="5223D518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Fulvestrant sa eliminuje predovšetkým v metabolizovanej forme. Hlavnou cestou vylučovania je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stolica, močom sa vylučuje menej ako 1%. Fulvestrant má vysoký klírens, 11±1,7ml/min/kg, čo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naznačuje vysoký podiel extrakcie pečeňou. Terminálny polčas (t</w:t>
      </w:r>
      <w:r w:rsidRPr="008E5498">
        <w:rPr>
          <w:rFonts w:ascii="Times New Roman" w:hAnsi="Times New Roman"/>
          <w:vertAlign w:val="subscript"/>
          <w:lang w:val="sk-SK"/>
        </w:rPr>
        <w:t>1/2</w:t>
      </w:r>
      <w:r w:rsidRPr="008E5498">
        <w:rPr>
          <w:rFonts w:ascii="Times New Roman" w:hAnsi="Times New Roman"/>
          <w:lang w:val="sk-SK"/>
        </w:rPr>
        <w:t>) po intramuskulárnom podaní sa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riadi rýchlosťou absorpcie a odhaduje sa na 50 dní.</w:t>
      </w:r>
    </w:p>
    <w:p w14:paraId="129C474F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0685CAC" w14:textId="77777777" w:rsidR="00CB0ECB" w:rsidRPr="008E5498" w:rsidRDefault="000C712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u w:val="single"/>
          <w:lang w:val="sk-SK"/>
        </w:rPr>
      </w:pPr>
      <w:r w:rsidRPr="008E5498">
        <w:rPr>
          <w:rFonts w:ascii="Times New Roman" w:hAnsi="Times New Roman"/>
          <w:u w:val="single"/>
          <w:lang w:val="sk-SK"/>
        </w:rPr>
        <w:t xml:space="preserve">Osobitné </w:t>
      </w:r>
      <w:r w:rsidR="000B2B40" w:rsidRPr="008E5498">
        <w:rPr>
          <w:rFonts w:ascii="Times New Roman" w:hAnsi="Times New Roman"/>
          <w:u w:val="single"/>
          <w:lang w:val="sk-SK"/>
        </w:rPr>
        <w:t xml:space="preserve">skupiny </w:t>
      </w:r>
    </w:p>
    <w:p w14:paraId="44A861C1" w14:textId="3D486652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Farmakokinetická analýza populácie, podľa údajov zo štúdií fázy III, nezaznamenala pri fulvestrante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žiadne rozdiely vo farmakokinetickom profile pokiaľ ide o vek (rozsah 33 až 89 rokov), hmotnosť (40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-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127 kg) alebo rasu.</w:t>
      </w:r>
    </w:p>
    <w:p w14:paraId="0ABB1457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4607FE4F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hAnsi="Times New Roman"/>
          <w:i/>
          <w:iCs/>
          <w:lang w:val="sk-SK"/>
        </w:rPr>
        <w:t>Porucha funkcie obličiek</w:t>
      </w:r>
    </w:p>
    <w:p w14:paraId="02679969" w14:textId="7B70F293" w:rsidR="000B2B40" w:rsidRPr="008E5498" w:rsidRDefault="006F412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Mierna</w:t>
      </w:r>
      <w:r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 xml:space="preserve">až stredne </w:t>
      </w:r>
      <w:r>
        <w:rPr>
          <w:rFonts w:ascii="Times New Roman" w:hAnsi="Times New Roman"/>
          <w:lang w:val="sk-SK"/>
        </w:rPr>
        <w:t>závažná</w:t>
      </w:r>
      <w:r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porucha funkcie obličiek neovplyvnila v žiadnom klinicky významnom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rozsahu farmakokinetiku fulvestrantu.</w:t>
      </w:r>
    </w:p>
    <w:p w14:paraId="5B751182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52D8331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hAnsi="Times New Roman"/>
          <w:i/>
          <w:iCs/>
          <w:lang w:val="sk-SK"/>
        </w:rPr>
        <w:t>Porucha funkcie pečene</w:t>
      </w:r>
    </w:p>
    <w:p w14:paraId="031CA925" w14:textId="38055A6E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Farmakokinetika fulvestrantu bola hodnotená v klinickom skúšaní s podaním jednorazovej dávky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pacientom s </w:t>
      </w:r>
      <w:r w:rsidR="003E7B39">
        <w:rPr>
          <w:rFonts w:ascii="Times New Roman" w:hAnsi="Times New Roman"/>
          <w:lang w:val="sk-SK"/>
        </w:rPr>
        <w:t>miernou</w:t>
      </w:r>
      <w:r w:rsidR="003E7B3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až stredne </w:t>
      </w:r>
      <w:r w:rsidR="003E7B39">
        <w:rPr>
          <w:rFonts w:ascii="Times New Roman" w:hAnsi="Times New Roman"/>
          <w:lang w:val="sk-SK"/>
        </w:rPr>
        <w:t>závažnou</w:t>
      </w:r>
      <w:r w:rsidR="003E7B3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poruchou funkcie pečene (v štádiu A a B podľa Child-Pughovej klasifikácie. Bola použitá vysoká dávka lieku v krátkodobo pôsobiacej intramuskulárnej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injekcii. U </w:t>
      </w:r>
      <w:r w:rsidR="00EB319B" w:rsidRPr="008E5498">
        <w:rPr>
          <w:rFonts w:ascii="Times New Roman" w:hAnsi="Times New Roman"/>
          <w:lang w:val="sk-SK"/>
        </w:rPr>
        <w:t xml:space="preserve">žien </w:t>
      </w:r>
      <w:r w:rsidRPr="008E5498">
        <w:rPr>
          <w:rFonts w:ascii="Times New Roman" w:hAnsi="Times New Roman"/>
          <w:lang w:val="sk-SK"/>
        </w:rPr>
        <w:t>s poruchou funkcie pečene bolo až 2,5-násobné zvýšenie AUC v porovnaní so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zdravými subjektami. Predpokladá sa, že u </w:t>
      </w:r>
      <w:r w:rsidR="00E60CE6">
        <w:rPr>
          <w:rFonts w:ascii="Times New Roman" w:hAnsi="Times New Roman"/>
          <w:lang w:val="sk-SK"/>
        </w:rPr>
        <w:t>pacientok</w:t>
      </w:r>
      <w:r w:rsidRPr="008E5498">
        <w:rPr>
          <w:rFonts w:ascii="Times New Roman" w:hAnsi="Times New Roman"/>
          <w:lang w:val="sk-SK"/>
        </w:rPr>
        <w:t xml:space="preserve">, ktorým sa podáva </w:t>
      </w:r>
      <w:r w:rsidR="00B10CB1" w:rsidRPr="008E5498">
        <w:rPr>
          <w:rFonts w:ascii="Times New Roman" w:hAnsi="Times New Roman"/>
          <w:lang w:val="sk-SK"/>
        </w:rPr>
        <w:t>Fulvestrant</w:t>
      </w:r>
      <w:r w:rsidRPr="008E5498">
        <w:rPr>
          <w:rFonts w:ascii="Times New Roman" w:hAnsi="Times New Roman"/>
          <w:lang w:val="sk-SK"/>
        </w:rPr>
        <w:t>, bude takéto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="00B7106C" w:rsidRPr="008E5498">
        <w:rPr>
          <w:rFonts w:ascii="Times New Roman" w:hAnsi="Times New Roman"/>
          <w:lang w:val="sk-SK"/>
        </w:rPr>
        <w:t>zvýšenie</w:t>
      </w:r>
      <w:r w:rsidRPr="008E5498">
        <w:rPr>
          <w:rFonts w:ascii="Times New Roman" w:hAnsi="Times New Roman"/>
          <w:lang w:val="sk-SK"/>
        </w:rPr>
        <w:t xml:space="preserve"> expozície dobre tolerované. </w:t>
      </w:r>
      <w:r w:rsidR="00EB319B" w:rsidRPr="008E5498">
        <w:rPr>
          <w:rFonts w:ascii="Times New Roman" w:hAnsi="Times New Roman"/>
          <w:lang w:val="sk-SK"/>
        </w:rPr>
        <w:t xml:space="preserve">Ženy </w:t>
      </w:r>
      <w:r w:rsidRPr="008E5498">
        <w:rPr>
          <w:rFonts w:ascii="Times New Roman" w:hAnsi="Times New Roman"/>
          <w:lang w:val="sk-SK"/>
        </w:rPr>
        <w:t>s</w:t>
      </w:r>
      <w:r w:rsidR="003E7B39">
        <w:rPr>
          <w:rFonts w:ascii="Times New Roman" w:hAnsi="Times New Roman"/>
          <w:lang w:val="sk-SK"/>
        </w:rPr>
        <w:t>o</w:t>
      </w:r>
      <w:r w:rsidRPr="008E5498">
        <w:rPr>
          <w:rFonts w:ascii="Times New Roman" w:hAnsi="Times New Roman"/>
          <w:lang w:val="sk-SK"/>
        </w:rPr>
        <w:t xml:space="preserve"> </w:t>
      </w:r>
      <w:r w:rsidR="003E7B39">
        <w:rPr>
          <w:rFonts w:ascii="Times New Roman" w:hAnsi="Times New Roman"/>
          <w:lang w:val="sk-SK"/>
        </w:rPr>
        <w:t>závažnou</w:t>
      </w:r>
      <w:r w:rsidR="003E7B3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poruchou funkcie pečene (štádium C podľa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 xml:space="preserve">Child-Pughovej klasifikácie) neboli </w:t>
      </w:r>
      <w:r w:rsidR="00EB319B" w:rsidRPr="008E5498">
        <w:rPr>
          <w:rFonts w:ascii="Times New Roman" w:hAnsi="Times New Roman"/>
          <w:lang w:val="sk-SK"/>
        </w:rPr>
        <w:t>hodnotené</w:t>
      </w:r>
      <w:r w:rsidRPr="008E5498">
        <w:rPr>
          <w:rFonts w:ascii="Times New Roman" w:hAnsi="Times New Roman"/>
          <w:lang w:val="sk-SK"/>
        </w:rPr>
        <w:t>.</w:t>
      </w:r>
    </w:p>
    <w:p w14:paraId="7D919F6B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69DC7CE" w14:textId="77777777" w:rsidR="000B2B40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lang w:val="sk-SK"/>
        </w:rPr>
      </w:pPr>
      <w:r w:rsidRPr="008E5498">
        <w:rPr>
          <w:rFonts w:ascii="Times New Roman" w:hAnsi="Times New Roman"/>
          <w:i/>
          <w:iCs/>
          <w:lang w:val="sk-SK"/>
        </w:rPr>
        <w:t>Pediatrická populácia</w:t>
      </w:r>
    </w:p>
    <w:p w14:paraId="229A8660" w14:textId="53145886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Farmakokinetika fulvestrantu sa hodnotila v klinickom skúšaní vykonanom u 30 dievčat s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progresívnou predčasnou pubertou spojenou s McCune Albrightovým syndrómom (pozri časť 5.1).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="00EB319B" w:rsidRPr="008E5498">
        <w:rPr>
          <w:rFonts w:ascii="Times New Roman" w:hAnsi="Times New Roman"/>
          <w:lang w:val="sk-SK"/>
        </w:rPr>
        <w:t xml:space="preserve">Detské pacientky </w:t>
      </w:r>
      <w:r w:rsidRPr="008E5498">
        <w:rPr>
          <w:rFonts w:ascii="Times New Roman" w:hAnsi="Times New Roman"/>
          <w:lang w:val="sk-SK"/>
        </w:rPr>
        <w:t>boli vo veku 1 až 8 rokov a dostali intramuskulárnu dávku fulvestrantu 4 mg/kg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mesačne. Geometrický priemer (smerodajná odchýlka) rovnovážneho stavu koncentrácie (C min, ss)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a AUCss bol 4,2 (0,9) ng/ml a 3680 (1020) ng*hod/ml, v uvedenom poradí. Hoci sú zozbierané údaje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obmedzené, rovnovážny stav koncentrácie fulvestrantu u detí sa zdá byť v súlade s dospelými.</w:t>
      </w:r>
    </w:p>
    <w:p w14:paraId="1D21C720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3E0DD95" w14:textId="1A632557" w:rsidR="002E18B3" w:rsidRPr="008E5498" w:rsidRDefault="00D170D4" w:rsidP="008E5498">
      <w:pPr>
        <w:pStyle w:val="Odsekzoznamu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5.3</w:t>
      </w:r>
      <w:r w:rsidR="00C15983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Predklinické údaje o bezpečnosti</w:t>
      </w:r>
    </w:p>
    <w:p w14:paraId="54A1777E" w14:textId="77777777" w:rsidR="002344BA" w:rsidRPr="008E5498" w:rsidRDefault="002344B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171F8DC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Akútna toxicita fulvestrantu je nízka.</w:t>
      </w:r>
    </w:p>
    <w:p w14:paraId="1C64F2D4" w14:textId="77777777" w:rsidR="00CB0ECB" w:rsidRPr="008E5498" w:rsidRDefault="00CB0ECB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78A40DE9" w14:textId="77777777" w:rsidR="006F4125" w:rsidRDefault="00EB319B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</w:t>
      </w:r>
      <w:r w:rsidR="000B2B40" w:rsidRPr="008E5498">
        <w:rPr>
          <w:rFonts w:ascii="Times New Roman" w:hAnsi="Times New Roman"/>
          <w:lang w:val="sk-SK"/>
        </w:rPr>
        <w:t xml:space="preserve">ulvestrant </w:t>
      </w:r>
      <w:r w:rsidR="009F720F" w:rsidRPr="008E5498">
        <w:rPr>
          <w:rFonts w:ascii="Times New Roman" w:hAnsi="Times New Roman"/>
          <w:lang w:val="sk-SK"/>
        </w:rPr>
        <w:t>bol dobre tolerovaný</w:t>
      </w:r>
      <w:r w:rsidR="000B2B40" w:rsidRPr="008E5498">
        <w:rPr>
          <w:rFonts w:ascii="Times New Roman" w:hAnsi="Times New Roman"/>
          <w:lang w:val="sk-SK"/>
        </w:rPr>
        <w:t xml:space="preserve"> u všetkých zvieracích druhov v</w:t>
      </w:r>
      <w:r w:rsidR="009F720F" w:rsidRPr="008E5498">
        <w:rPr>
          <w:rFonts w:ascii="Times New Roman" w:hAnsi="Times New Roman"/>
          <w:lang w:val="sk-SK"/>
        </w:rPr>
        <w:t> </w:t>
      </w:r>
      <w:r w:rsidR="000B2B40" w:rsidRPr="008E5498">
        <w:rPr>
          <w:rFonts w:ascii="Times New Roman" w:hAnsi="Times New Roman"/>
          <w:lang w:val="sk-SK"/>
        </w:rPr>
        <w:t>skúškach</w:t>
      </w:r>
      <w:r w:rsidR="009F720F" w:rsidRPr="008E5498">
        <w:rPr>
          <w:rFonts w:ascii="Times New Roman" w:hAnsi="Times New Roman"/>
          <w:lang w:val="sk-SK"/>
        </w:rPr>
        <w:t xml:space="preserve"> </w:t>
      </w:r>
      <w:r w:rsidR="000B2B40" w:rsidRPr="008E5498">
        <w:rPr>
          <w:rFonts w:ascii="Times New Roman" w:hAnsi="Times New Roman"/>
          <w:lang w:val="sk-SK"/>
        </w:rPr>
        <w:t>s podávaním opakovaných dávok. Miestne reakcie vrátane myozitídy a tvorby granulómov v</w:t>
      </w:r>
      <w:r w:rsidR="009F720F" w:rsidRPr="008E5498">
        <w:rPr>
          <w:rFonts w:ascii="Times New Roman" w:hAnsi="Times New Roman"/>
          <w:lang w:val="sk-SK"/>
        </w:rPr>
        <w:t> </w:t>
      </w:r>
      <w:r w:rsidR="000B2B40" w:rsidRPr="008E5498">
        <w:rPr>
          <w:rFonts w:ascii="Times New Roman" w:hAnsi="Times New Roman"/>
          <w:lang w:val="sk-SK"/>
        </w:rPr>
        <w:t>mieste</w:t>
      </w:r>
      <w:r w:rsidR="009F720F" w:rsidRPr="008E5498">
        <w:rPr>
          <w:rFonts w:ascii="Times New Roman" w:hAnsi="Times New Roman"/>
          <w:lang w:val="sk-SK"/>
        </w:rPr>
        <w:t xml:space="preserve"> </w:t>
      </w:r>
      <w:r w:rsidR="00D2677B" w:rsidRPr="008E5498">
        <w:rPr>
          <w:rFonts w:ascii="Times New Roman" w:hAnsi="Times New Roman"/>
          <w:lang w:val="sk-SK"/>
        </w:rPr>
        <w:t>podania injekcie sa pripisovali vehikulu, avšak závažnosť myozitídy u králikov sa pri fulvestrante zvyšovala v porovnaní so skupinou, ktorej bol podávaný fyziologický roztok. V skúškach toxicity s opakovanými intramuskulárnymi dávkami fulvestrantu potkanom a psom bola antiestrogénová aktivita fulvestrantu zodpovedná za väčšinu prejavených účinkov, a to predovšetkým na ženský reprodukčný systém, ale aj na iné orgány, citlivé na hormóny u obidvoch pohlaví.</w:t>
      </w:r>
      <w:r w:rsidR="006F4125">
        <w:rPr>
          <w:rFonts w:ascii="Times New Roman" w:hAnsi="Times New Roman"/>
          <w:lang w:val="sk-SK"/>
        </w:rPr>
        <w:t xml:space="preserve"> </w:t>
      </w:r>
      <w:r w:rsidR="00D2677B" w:rsidRPr="008E5498">
        <w:rPr>
          <w:rFonts w:ascii="Times New Roman" w:hAnsi="Times New Roman"/>
          <w:lang w:val="sk-SK"/>
        </w:rPr>
        <w:t>U niektorých psov sa pozorovala arteritída v rade rôznych tkanív po chronickom (12 mesačnom) dávkovaní.</w:t>
      </w:r>
      <w:r w:rsidR="006225C9" w:rsidRPr="008E5498">
        <w:rPr>
          <w:rFonts w:ascii="Times New Roman" w:hAnsi="Times New Roman"/>
          <w:lang w:val="sk-SK"/>
        </w:rPr>
        <w:t xml:space="preserve"> </w:t>
      </w:r>
    </w:p>
    <w:p w14:paraId="29DBF74F" w14:textId="48B69F50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V skúškach na psoch pri perorálnom a intravenóznom podaní boli pozorované účinky na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kardiovaskulárny systém (mierne zvýšenie S-T segmentu EKG pri perorálnom podaní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a zastavenie sínusového uzla u jedného psa pri intravenóznom podaní). Tieto účinky sa vyskytli pri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koncentrácii fulvestrantu vyššej ako u pacientov (C</w:t>
      </w:r>
      <w:r w:rsidRPr="008E5498">
        <w:rPr>
          <w:rFonts w:ascii="Times New Roman" w:hAnsi="Times New Roman"/>
          <w:vertAlign w:val="subscript"/>
          <w:lang w:val="sk-SK"/>
        </w:rPr>
        <w:t>max</w:t>
      </w:r>
      <w:r w:rsidRPr="008E5498">
        <w:rPr>
          <w:rFonts w:ascii="Times New Roman" w:hAnsi="Times New Roman"/>
          <w:lang w:val="sk-SK"/>
        </w:rPr>
        <w:t xml:space="preserve"> &gt; 15 krát), a pre bezpečnosť u človeka majú pri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podaní klinickej dávky pravdepodobne len obmedzený význam.</w:t>
      </w:r>
    </w:p>
    <w:p w14:paraId="76AB60D2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27AE514D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Fulvestrant nepreukázal žiadny genotoxický potenciál.</w:t>
      </w:r>
    </w:p>
    <w:p w14:paraId="6571B7EF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5D440A1" w14:textId="22AE356E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Účinky fulvestrantu na reprodukciu a vývoj embrya/plodu preukázali pri dávkach podobných dávkam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klinickým jeho antiestrogénny účinok. U potkanov sa pozoroval reverzibilný pokles plodnosti samíc a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prežití embryí, dystokia a zvýšený výskyt abnormalít plodu vrátane tarzálnej flexúry. Fulvestrant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podávaný králikom mal za následok potrat. Bolo pozorovan</w:t>
      </w:r>
      <w:r w:rsidR="004707F4" w:rsidRPr="008E5498">
        <w:rPr>
          <w:rFonts w:ascii="Times New Roman" w:hAnsi="Times New Roman"/>
          <w:lang w:val="sk-SK"/>
        </w:rPr>
        <w:t xml:space="preserve">é zvýšenie hmotnosti placenty a </w:t>
      </w:r>
      <w:r w:rsidRPr="008E5498">
        <w:rPr>
          <w:rFonts w:ascii="Times New Roman" w:hAnsi="Times New Roman"/>
          <w:lang w:val="sk-SK"/>
        </w:rPr>
        <w:t>postimplantačná strata plodov. U králikov došlo k zvýšenému výskytu zmien plodu (dorzálny posun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panvového pletenca a 27. presakrálneho stavca).</w:t>
      </w:r>
    </w:p>
    <w:p w14:paraId="2AC03948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4D1CB05" w14:textId="406B0DB8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Dvojročná štúdia onkogenicity na potkanoch (intramuskulárne podanie </w:t>
      </w:r>
      <w:r w:rsidR="00876B2B" w:rsidRPr="008E5498">
        <w:rPr>
          <w:rFonts w:ascii="Times New Roman" w:hAnsi="Times New Roman"/>
          <w:lang w:val="sk-SK"/>
        </w:rPr>
        <w:t>f</w:t>
      </w:r>
      <w:r w:rsidR="00B10CB1" w:rsidRPr="008E5498">
        <w:rPr>
          <w:rFonts w:ascii="Times New Roman" w:hAnsi="Times New Roman"/>
          <w:lang w:val="sk-SK"/>
        </w:rPr>
        <w:t>ulvestrant</w:t>
      </w:r>
      <w:r w:rsidRPr="008E5498">
        <w:rPr>
          <w:rFonts w:ascii="Times New Roman" w:hAnsi="Times New Roman"/>
          <w:lang w:val="sk-SK"/>
        </w:rPr>
        <w:t>u) ukázala zvýšený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výskyt benígnych bunkových nádorov granulózy vaječníkov u potkaních samíc pri vysokých dávkach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="00E8259C" w:rsidRPr="008E5498">
        <w:rPr>
          <w:rFonts w:ascii="Times New Roman" w:hAnsi="Times New Roman"/>
          <w:lang w:val="sk-SK"/>
        </w:rPr>
        <w:t>10</w:t>
      </w:r>
      <w:r w:rsidR="00E8259C">
        <w:rPr>
          <w:rFonts w:ascii="Times New Roman" w:hAnsi="Times New Roman"/>
          <w:lang w:val="sk-SK"/>
        </w:rPr>
        <w:t> </w:t>
      </w:r>
      <w:r w:rsidRPr="008E5498">
        <w:rPr>
          <w:rFonts w:ascii="Times New Roman" w:hAnsi="Times New Roman"/>
          <w:lang w:val="sk-SK"/>
        </w:rPr>
        <w:t>mg raz za 15 dní a zvýšený výskyt testikulárnych Leydigových bunkových nádorov u samcov. V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dvojročnej štúdii onkogenicity na myšiach (perorálne podanie denne) bola zvýšená incidencia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zväzkových stromálnych nádorov vaječníkov u samíc (benígnych aj malígnych) v dávkach 150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a 500 mg/kg/deň. S ohľadom na tieto nálezy pre úroveň nulového účinku (</w:t>
      </w:r>
      <w:r w:rsidRPr="008E5498">
        <w:rPr>
          <w:rFonts w:ascii="Times New Roman" w:hAnsi="Times New Roman"/>
          <w:i/>
          <w:iCs/>
          <w:lang w:val="sk-SK"/>
        </w:rPr>
        <w:t xml:space="preserve">'the no-effect level') </w:t>
      </w:r>
      <w:r w:rsidRPr="008E5498">
        <w:rPr>
          <w:rFonts w:ascii="Times New Roman" w:hAnsi="Times New Roman"/>
          <w:lang w:val="sk-SK"/>
        </w:rPr>
        <w:t>bola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systémová expozícia (AUC) u potkanov približne 1,5-krát vyššia než očakávaná expozícia u</w:t>
      </w:r>
      <w:r w:rsidR="006225C9" w:rsidRPr="008E5498">
        <w:rPr>
          <w:rFonts w:ascii="Times New Roman" w:hAnsi="Times New Roman"/>
          <w:lang w:val="sk-SK"/>
        </w:rPr>
        <w:t> </w:t>
      </w:r>
      <w:r w:rsidRPr="008E5498">
        <w:rPr>
          <w:rFonts w:ascii="Times New Roman" w:hAnsi="Times New Roman"/>
          <w:lang w:val="sk-SK"/>
        </w:rPr>
        <w:t>žien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a 0,8-krát vyššia než expozícia u mužov a u myší približne 0,8-krát vyššia než očakávaná expozícia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u mužov či žien. Vyvolanie týchto nádorov zodpovedá farmakologicky vyvolaným endokrinným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spätne väzbovým zmenám v hladinách gonadotropínov spôsobených antiestrogénmi u</w:t>
      </w:r>
      <w:r w:rsidR="006225C9" w:rsidRPr="008E5498">
        <w:rPr>
          <w:rFonts w:ascii="Times New Roman" w:hAnsi="Times New Roman"/>
          <w:lang w:val="sk-SK"/>
        </w:rPr>
        <w:t> </w:t>
      </w:r>
      <w:r w:rsidRPr="008E5498">
        <w:rPr>
          <w:rFonts w:ascii="Times New Roman" w:hAnsi="Times New Roman"/>
          <w:lang w:val="sk-SK"/>
        </w:rPr>
        <w:t>cyklujúcich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zvierat. Preto tieto poznatky nie sú považované za dôležité pre použitie fulvestrantu</w:t>
      </w:r>
      <w:r w:rsidR="006225C9" w:rsidRPr="008E5498">
        <w:rPr>
          <w:rFonts w:ascii="Times New Roman" w:hAnsi="Times New Roman"/>
          <w:lang w:val="sk-SK"/>
        </w:rPr>
        <w:t xml:space="preserve"> </w:t>
      </w:r>
      <w:r w:rsidRPr="008E5498">
        <w:rPr>
          <w:rFonts w:ascii="Times New Roman" w:hAnsi="Times New Roman"/>
          <w:lang w:val="sk-SK"/>
        </w:rPr>
        <w:t>u postmenopauzálnych žien s pokročilým karcinómom prsníka.</w:t>
      </w:r>
    </w:p>
    <w:p w14:paraId="6F6652F5" w14:textId="77777777" w:rsidR="002344BA" w:rsidRPr="008E5498" w:rsidRDefault="002344B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43898088" w14:textId="77777777" w:rsidR="002344BA" w:rsidRPr="008E5498" w:rsidRDefault="002344B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u w:val="single"/>
          <w:lang w:val="sk-SK"/>
        </w:rPr>
      </w:pPr>
      <w:r w:rsidRPr="008E5498">
        <w:rPr>
          <w:rFonts w:ascii="Times New Roman" w:eastAsia="TimesNewRoman" w:hAnsi="Times New Roman"/>
          <w:u w:val="single"/>
          <w:lang w:val="sk-SK"/>
        </w:rPr>
        <w:t>Hodnotenie environmentálneho rizika (ERA)</w:t>
      </w:r>
    </w:p>
    <w:p w14:paraId="70462736" w14:textId="3627171D" w:rsidR="002344BA" w:rsidRPr="008E5498" w:rsidRDefault="002344BA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Štúdie hodnotenia environmentálneho rizika preukázali, že fulvestrant má potenciál nepriaznivo</w:t>
      </w:r>
      <w:r w:rsidR="006225C9" w:rsidRPr="008E5498">
        <w:rPr>
          <w:rFonts w:ascii="Times New Roman" w:eastAsia="TimesNewRoman" w:hAnsi="Times New Roman"/>
          <w:lang w:val="sk-SK"/>
        </w:rPr>
        <w:t xml:space="preserve"> </w:t>
      </w:r>
      <w:r w:rsidRPr="008E5498">
        <w:rPr>
          <w:rFonts w:ascii="Times New Roman" w:eastAsia="TimesNewRoman" w:hAnsi="Times New Roman"/>
          <w:lang w:val="sk-SK"/>
        </w:rPr>
        <w:t>ovplyvňovať vodné prostredie (pozri časť 6.6).</w:t>
      </w:r>
    </w:p>
    <w:p w14:paraId="4E5B2B97" w14:textId="77777777" w:rsidR="002344BA" w:rsidRPr="008E5498" w:rsidRDefault="002344BA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AA42C21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273DB386" w14:textId="77777777" w:rsidR="002E18B3" w:rsidRPr="008E5498" w:rsidRDefault="000B2B40" w:rsidP="008E5498">
      <w:pPr>
        <w:pStyle w:val="Odsekzoznamu"/>
        <w:widowControl w:val="0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FARMACEUTICKÉ INFORMÁCIE</w:t>
      </w:r>
    </w:p>
    <w:p w14:paraId="051CE4BD" w14:textId="77777777" w:rsidR="002344BA" w:rsidRPr="008E5498" w:rsidRDefault="002344BA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Cs/>
          <w:lang w:val="sk-SK"/>
        </w:rPr>
      </w:pPr>
    </w:p>
    <w:p w14:paraId="407FDDF5" w14:textId="4DCB48D5" w:rsidR="000B2B40" w:rsidRPr="008E5498" w:rsidRDefault="00C15983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6.1</w:t>
      </w:r>
      <w:r w:rsidR="004707F4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Zoznam pomocných látok</w:t>
      </w:r>
    </w:p>
    <w:p w14:paraId="0472DBCC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lang w:val="sk-SK"/>
        </w:rPr>
      </w:pPr>
    </w:p>
    <w:p w14:paraId="4566C1C7" w14:textId="5B05C27E" w:rsidR="000B2B40" w:rsidRPr="008E5498" w:rsidRDefault="00530F8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e</w:t>
      </w:r>
      <w:r w:rsidR="000B2B40" w:rsidRPr="008E5498">
        <w:rPr>
          <w:rFonts w:ascii="Times New Roman" w:hAnsi="Times New Roman"/>
          <w:lang w:val="sk-SK"/>
        </w:rPr>
        <w:t>tano</w:t>
      </w:r>
      <w:r w:rsidR="006225C9" w:rsidRPr="008E5498">
        <w:rPr>
          <w:rFonts w:ascii="Times New Roman" w:hAnsi="Times New Roman"/>
          <w:lang w:val="sk-SK"/>
        </w:rPr>
        <w:t>l</w:t>
      </w:r>
    </w:p>
    <w:p w14:paraId="1224D0A1" w14:textId="07034128" w:rsidR="000B2B40" w:rsidRPr="008E5498" w:rsidRDefault="00530F8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b</w:t>
      </w:r>
      <w:r w:rsidR="000B2B40" w:rsidRPr="008E5498">
        <w:rPr>
          <w:rFonts w:ascii="Times New Roman" w:hAnsi="Times New Roman"/>
          <w:lang w:val="sk-SK"/>
        </w:rPr>
        <w:t>enzylalkohol</w:t>
      </w:r>
      <w:r w:rsidR="006225C9" w:rsidRPr="008E5498">
        <w:rPr>
          <w:rFonts w:ascii="Times New Roman" w:hAnsi="Times New Roman"/>
          <w:lang w:val="sk-SK"/>
        </w:rPr>
        <w:t xml:space="preserve"> (E1519)</w:t>
      </w:r>
    </w:p>
    <w:p w14:paraId="29646218" w14:textId="125843C0" w:rsidR="007961D7" w:rsidRPr="008E5498" w:rsidRDefault="00530F8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b</w:t>
      </w:r>
      <w:r w:rsidR="003353CF" w:rsidRPr="008E5498">
        <w:rPr>
          <w:rFonts w:ascii="Times New Roman" w:hAnsi="Times New Roman"/>
          <w:lang w:val="sk-SK"/>
        </w:rPr>
        <w:t>enzyl</w:t>
      </w:r>
      <w:r w:rsidR="00E8259C">
        <w:rPr>
          <w:rFonts w:ascii="Times New Roman" w:hAnsi="Times New Roman"/>
          <w:lang w:val="sk-SK"/>
        </w:rPr>
        <w:t>-</w:t>
      </w:r>
      <w:r w:rsidR="003353CF" w:rsidRPr="008E5498">
        <w:rPr>
          <w:rFonts w:ascii="Times New Roman" w:hAnsi="Times New Roman"/>
          <w:lang w:val="sk-SK"/>
        </w:rPr>
        <w:t>benzoát</w:t>
      </w:r>
    </w:p>
    <w:p w14:paraId="0B13EFA4" w14:textId="6C20910D" w:rsidR="000B2B40" w:rsidRPr="008E5498" w:rsidRDefault="00530F8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lastRenderedPageBreak/>
        <w:t>r</w:t>
      </w:r>
      <w:r w:rsidR="000B2B40" w:rsidRPr="008E5498">
        <w:rPr>
          <w:rFonts w:ascii="Times New Roman" w:hAnsi="Times New Roman"/>
          <w:lang w:val="sk-SK"/>
        </w:rPr>
        <w:t>icínový olej</w:t>
      </w:r>
      <w:r w:rsidR="001B0C4A" w:rsidRPr="008E5498">
        <w:rPr>
          <w:rFonts w:ascii="Times New Roman" w:hAnsi="Times New Roman"/>
          <w:lang w:val="sk-SK"/>
        </w:rPr>
        <w:t>,</w:t>
      </w:r>
      <w:r w:rsidR="00F21CBB" w:rsidRPr="008E5498">
        <w:rPr>
          <w:rFonts w:ascii="Times New Roman" w:hAnsi="Times New Roman"/>
          <w:lang w:val="sk-SK"/>
        </w:rPr>
        <w:t xml:space="preserve"> </w:t>
      </w:r>
      <w:r w:rsidR="001B0C4A" w:rsidRPr="008E5498">
        <w:rPr>
          <w:rFonts w:ascii="Times New Roman" w:hAnsi="Times New Roman"/>
          <w:lang w:val="sk-SK"/>
        </w:rPr>
        <w:t>rafinovaný</w:t>
      </w:r>
    </w:p>
    <w:p w14:paraId="16DD0D8B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95D525B" w14:textId="7E99E330" w:rsidR="000B2B40" w:rsidRPr="008E5498" w:rsidRDefault="00C15983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6.2</w:t>
      </w:r>
      <w:r w:rsidR="004707F4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Inkompatibility</w:t>
      </w:r>
    </w:p>
    <w:p w14:paraId="4C2D4420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lang w:val="sk-SK"/>
        </w:rPr>
      </w:pPr>
    </w:p>
    <w:p w14:paraId="7F9B5C02" w14:textId="77777777" w:rsidR="004707F4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Nevykonali sa štúdie kompatibility, preto sa tento li</w:t>
      </w:r>
      <w:r w:rsidR="004707F4" w:rsidRPr="008E5498">
        <w:rPr>
          <w:rFonts w:ascii="Times New Roman" w:hAnsi="Times New Roman"/>
          <w:lang w:val="sk-SK"/>
        </w:rPr>
        <w:t>ek nesmie miešať s inými liekmi</w:t>
      </w:r>
      <w:r w:rsidR="00CE2947" w:rsidRPr="008E5498">
        <w:rPr>
          <w:rFonts w:ascii="Times New Roman" w:hAnsi="Times New Roman"/>
          <w:lang w:val="sk-SK"/>
        </w:rPr>
        <w:t>.</w:t>
      </w:r>
    </w:p>
    <w:p w14:paraId="0625B782" w14:textId="77777777" w:rsidR="00876B2B" w:rsidRPr="008E5498" w:rsidRDefault="00876B2B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FFDB696" w14:textId="4FB5BE23" w:rsidR="002E18B3" w:rsidRPr="008E5498" w:rsidRDefault="00D170D4" w:rsidP="008E549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6.3</w:t>
      </w:r>
      <w:r w:rsidR="00C15983" w:rsidRPr="008E5498">
        <w:rPr>
          <w:rFonts w:ascii="Times New Roman" w:hAnsi="Times New Roman"/>
          <w:b/>
          <w:bCs/>
          <w:lang w:val="sk-SK"/>
        </w:rPr>
        <w:tab/>
      </w:r>
      <w:r w:rsidR="00823DE2" w:rsidRPr="008E5498">
        <w:rPr>
          <w:rFonts w:ascii="Times New Roman" w:hAnsi="Times New Roman"/>
          <w:b/>
          <w:bCs/>
          <w:lang w:val="sk-SK"/>
        </w:rPr>
        <w:t>Čas použiteľnosti</w:t>
      </w:r>
    </w:p>
    <w:p w14:paraId="735299D1" w14:textId="77777777" w:rsidR="00F21CBB" w:rsidRPr="008E5498" w:rsidRDefault="00F21CBB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42E3D48C" w14:textId="1D6D414F" w:rsidR="000B2B40" w:rsidRPr="008E5498" w:rsidRDefault="006225C9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2</w:t>
      </w:r>
      <w:r w:rsidR="000B2B40" w:rsidRPr="008E5498">
        <w:rPr>
          <w:rFonts w:ascii="Times New Roman" w:hAnsi="Times New Roman"/>
          <w:lang w:val="sk-SK"/>
        </w:rPr>
        <w:t xml:space="preserve"> roky</w:t>
      </w:r>
    </w:p>
    <w:p w14:paraId="395DCECF" w14:textId="77777777" w:rsidR="004707F4" w:rsidRPr="008E5498" w:rsidRDefault="004707F4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ED3ADC5" w14:textId="26063635" w:rsidR="002E18B3" w:rsidRPr="008E5498" w:rsidRDefault="00D170D4" w:rsidP="008E549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6.4</w:t>
      </w:r>
      <w:r w:rsidR="00C15983" w:rsidRPr="008E5498">
        <w:rPr>
          <w:rFonts w:ascii="Times New Roman" w:hAnsi="Times New Roman"/>
          <w:b/>
          <w:bCs/>
          <w:lang w:val="sk-SK"/>
        </w:rPr>
        <w:tab/>
      </w:r>
      <w:r w:rsidR="00823DE2" w:rsidRPr="008E5498">
        <w:rPr>
          <w:rFonts w:ascii="Times New Roman" w:hAnsi="Times New Roman"/>
          <w:b/>
          <w:bCs/>
          <w:lang w:val="sk-SK"/>
        </w:rPr>
        <w:t>Špeciálne upozornenia na uchovávanie</w:t>
      </w:r>
    </w:p>
    <w:p w14:paraId="79BE3ED9" w14:textId="77777777" w:rsidR="00F21CBB" w:rsidRPr="008E5498" w:rsidRDefault="00F21CBB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27DF456" w14:textId="65FA2AED" w:rsidR="002C36F1" w:rsidRPr="008E5498" w:rsidRDefault="002C36F1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Uchovávajte a prepravu</w:t>
      </w:r>
      <w:r w:rsidR="00377462" w:rsidRPr="008E5498">
        <w:rPr>
          <w:rFonts w:ascii="Times New Roman" w:hAnsi="Times New Roman"/>
          <w:lang w:val="sk-SK"/>
        </w:rPr>
        <w:t>jte v chlade (2 °C – 8 °C).</w:t>
      </w:r>
    </w:p>
    <w:p w14:paraId="0D24484B" w14:textId="77777777" w:rsidR="00377462" w:rsidRPr="008E5498" w:rsidRDefault="00377462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485A8D56" w14:textId="494DB331" w:rsidR="002C36F1" w:rsidRPr="008E5498" w:rsidRDefault="00270B60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Z</w:t>
      </w:r>
      <w:r w:rsidR="002C36F1" w:rsidRPr="008E5498">
        <w:rPr>
          <w:rFonts w:ascii="Times New Roman" w:hAnsi="Times New Roman"/>
          <w:lang w:val="sk-SK"/>
        </w:rPr>
        <w:t>amedz</w:t>
      </w:r>
      <w:r w:rsidRPr="008E5498">
        <w:rPr>
          <w:rFonts w:ascii="Times New Roman" w:hAnsi="Times New Roman"/>
          <w:lang w:val="sk-SK"/>
        </w:rPr>
        <w:t>te</w:t>
      </w:r>
      <w:r w:rsidR="002C36F1" w:rsidRPr="008E5498">
        <w:rPr>
          <w:rFonts w:ascii="Times New Roman" w:hAnsi="Times New Roman"/>
          <w:lang w:val="sk-SK"/>
        </w:rPr>
        <w:t xml:space="preserve"> teplotným odchýlkam mimo rozsahu 2 °C – 8 °C. </w:t>
      </w:r>
      <w:r w:rsidR="001B0C4A" w:rsidRPr="008E5498">
        <w:rPr>
          <w:rFonts w:ascii="Times New Roman" w:eastAsia="Times New Roman" w:hAnsi="Times New Roman"/>
          <w:lang w:val="sk-SK" w:bidi="sk-SK"/>
        </w:rPr>
        <w:t>Vyhnite sa uchovávaniu pri teplote prevyšujúcej 30 °C a v prípade uchovávania tohto lieku</w:t>
      </w:r>
      <w:r w:rsidR="00955B2B" w:rsidRPr="008E5498">
        <w:rPr>
          <w:rFonts w:ascii="Times New Roman" w:eastAsia="Times New Roman" w:hAnsi="Times New Roman"/>
          <w:lang w:val="sk-SK" w:bidi="sk-SK"/>
        </w:rPr>
        <w:t xml:space="preserve"> pri teplote</w:t>
      </w:r>
      <w:r w:rsidR="001B0C4A" w:rsidRPr="008E5498">
        <w:rPr>
          <w:rFonts w:ascii="Times New Roman" w:eastAsia="Times New Roman" w:hAnsi="Times New Roman"/>
          <w:lang w:val="sk-SK" w:bidi="sk-SK"/>
        </w:rPr>
        <w:t xml:space="preserve"> nižš</w:t>
      </w:r>
      <w:r w:rsidR="00955B2B" w:rsidRPr="008E5498">
        <w:rPr>
          <w:rFonts w:ascii="Times New Roman" w:eastAsia="Times New Roman" w:hAnsi="Times New Roman"/>
          <w:lang w:val="sk-SK" w:bidi="sk-SK"/>
        </w:rPr>
        <w:t>ej</w:t>
      </w:r>
      <w:r w:rsidR="001B0C4A" w:rsidRPr="008E5498">
        <w:rPr>
          <w:rFonts w:ascii="Times New Roman" w:eastAsia="Times New Roman" w:hAnsi="Times New Roman"/>
          <w:lang w:val="sk-SK" w:bidi="sk-SK"/>
        </w:rPr>
        <w:t xml:space="preserve"> ako 25 °C</w:t>
      </w:r>
      <w:r w:rsidR="00955B2B" w:rsidRPr="008E5498">
        <w:rPr>
          <w:rFonts w:ascii="Times New Roman" w:eastAsia="Times New Roman" w:hAnsi="Times New Roman"/>
          <w:lang w:val="sk-SK" w:bidi="sk-SK"/>
        </w:rPr>
        <w:t xml:space="preserve"> v priemere</w:t>
      </w:r>
      <w:r w:rsidRPr="008E5498">
        <w:rPr>
          <w:rFonts w:ascii="Times New Roman" w:eastAsia="Times New Roman" w:hAnsi="Times New Roman"/>
          <w:lang w:val="sk-SK" w:bidi="sk-SK"/>
        </w:rPr>
        <w:t xml:space="preserve"> (</w:t>
      </w:r>
      <w:r w:rsidR="001B0C4A" w:rsidRPr="008E5498">
        <w:rPr>
          <w:rFonts w:ascii="Times New Roman" w:eastAsia="Times New Roman" w:hAnsi="Times New Roman"/>
          <w:lang w:val="sk-SK" w:bidi="sk-SK"/>
        </w:rPr>
        <w:t xml:space="preserve">nad rozsah 2 °C - 8 °C) </w:t>
      </w:r>
      <w:r w:rsidR="00955B2B" w:rsidRPr="008E5498">
        <w:rPr>
          <w:rFonts w:ascii="Times New Roman" w:eastAsia="Times New Roman" w:hAnsi="Times New Roman"/>
          <w:lang w:val="sk-SK" w:bidi="sk-SK"/>
        </w:rPr>
        <w:t>uchovávanie</w:t>
      </w:r>
      <w:r w:rsidR="001B0C4A" w:rsidRPr="008E5498">
        <w:rPr>
          <w:rFonts w:ascii="Times New Roman" w:eastAsia="Times New Roman" w:hAnsi="Times New Roman"/>
          <w:lang w:val="sk-SK" w:bidi="sk-SK"/>
        </w:rPr>
        <w:t xml:space="preserve"> nemá presiahnuť 28-dňové obdobie. </w:t>
      </w:r>
      <w:r w:rsidR="002C36F1" w:rsidRPr="008E5498">
        <w:rPr>
          <w:rFonts w:ascii="Times New Roman" w:hAnsi="Times New Roman"/>
          <w:lang w:val="sk-SK"/>
        </w:rPr>
        <w:t xml:space="preserve">Po teplotných odchýlkach sa má liek ihneď vrátiť do odporúčaných podmienok uchovávania (uchovávanie a preprava v chlade 2 °C – 8 °C). Teplotné odchýlky majú kumulatívny účinok na kvalitu lieku a 28-dňová lehota sa nesmie prekročiť počas </w:t>
      </w:r>
      <w:r w:rsidRPr="008E5498">
        <w:rPr>
          <w:rFonts w:ascii="Times New Roman" w:hAnsi="Times New Roman"/>
          <w:lang w:val="sk-SK"/>
        </w:rPr>
        <w:t>dvoj</w:t>
      </w:r>
      <w:r w:rsidR="002C36F1" w:rsidRPr="008E5498">
        <w:rPr>
          <w:rFonts w:ascii="Times New Roman" w:hAnsi="Times New Roman"/>
          <w:lang w:val="sk-SK"/>
        </w:rPr>
        <w:t xml:space="preserve">ročného času použiteľnosti Fulvestrantu </w:t>
      </w:r>
      <w:r w:rsidRPr="008E5498">
        <w:rPr>
          <w:rFonts w:ascii="Times New Roman" w:hAnsi="Times New Roman"/>
          <w:lang w:val="sk-SK"/>
        </w:rPr>
        <w:t>Glenmark</w:t>
      </w:r>
      <w:r w:rsidR="002C36F1" w:rsidRPr="008E5498">
        <w:rPr>
          <w:rFonts w:ascii="Times New Roman" w:hAnsi="Times New Roman"/>
          <w:lang w:val="sk-SK"/>
        </w:rPr>
        <w:t xml:space="preserve"> (pozri časť 6.3). Vystavením teplotám nižším ako 2</w:t>
      </w:r>
      <w:r w:rsidRPr="008E5498">
        <w:rPr>
          <w:rFonts w:ascii="Times New Roman" w:hAnsi="Times New Roman"/>
          <w:lang w:val="sk-SK"/>
        </w:rPr>
        <w:t> </w:t>
      </w:r>
      <w:r w:rsidR="002C36F1" w:rsidRPr="008E5498">
        <w:rPr>
          <w:rFonts w:ascii="Times New Roman" w:hAnsi="Times New Roman"/>
          <w:lang w:val="sk-SK"/>
        </w:rPr>
        <w:t>°C nedôjde k poškodeniu lieku za predpokladu, že nie je uchovávaný pod -20 °C.</w:t>
      </w:r>
    </w:p>
    <w:p w14:paraId="54ED073D" w14:textId="77777777" w:rsidR="00CB0ECB" w:rsidRPr="008E5498" w:rsidRDefault="00CB0ECB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lang w:val="sk-SK"/>
        </w:rPr>
      </w:pPr>
    </w:p>
    <w:p w14:paraId="4B0A24F3" w14:textId="77777777" w:rsidR="00270B60" w:rsidRPr="008E5498" w:rsidRDefault="00270B60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Naplnenú injekčnú striekačku uchovávajte v pôvodnom obale na ochranu pred svetlom.</w:t>
      </w:r>
    </w:p>
    <w:p w14:paraId="54A4A2E6" w14:textId="77777777" w:rsidR="00270B60" w:rsidRPr="008E5498" w:rsidRDefault="00270B60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lang w:val="sk-SK"/>
        </w:rPr>
      </w:pPr>
    </w:p>
    <w:p w14:paraId="243B97B0" w14:textId="3F70B291" w:rsidR="002E18B3" w:rsidRPr="008E5498" w:rsidRDefault="00D170D4" w:rsidP="008E5498">
      <w:pPr>
        <w:pStyle w:val="Odsekzoznamu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6.5</w:t>
      </w:r>
      <w:r w:rsidR="00C15983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Druh obalu a obsah balenia</w:t>
      </w:r>
    </w:p>
    <w:p w14:paraId="1D36FD54" w14:textId="77777777" w:rsidR="00F21CBB" w:rsidRPr="008E5498" w:rsidRDefault="00F21CBB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1A13071" w14:textId="77777777" w:rsidR="00F21CBB" w:rsidRPr="008E5498" w:rsidRDefault="00F21CBB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Balenie s naplnenou injek</w:t>
      </w:r>
      <w:r w:rsidRPr="008E5498">
        <w:rPr>
          <w:rFonts w:ascii="Times New Roman" w:eastAsia="TimesNewRoman" w:hAnsi="Times New Roman"/>
          <w:lang w:val="sk-SK"/>
        </w:rPr>
        <w:t>č</w:t>
      </w:r>
      <w:r w:rsidRPr="008E5498">
        <w:rPr>
          <w:rFonts w:ascii="Times New Roman" w:hAnsi="Times New Roman"/>
          <w:lang w:val="sk-SK"/>
        </w:rPr>
        <w:t>nou strieka</w:t>
      </w:r>
      <w:r w:rsidRPr="008E5498">
        <w:rPr>
          <w:rFonts w:ascii="Times New Roman" w:eastAsia="TimesNewRoman" w:hAnsi="Times New Roman"/>
          <w:lang w:val="sk-SK"/>
        </w:rPr>
        <w:t>č</w:t>
      </w:r>
      <w:r w:rsidRPr="008E5498">
        <w:rPr>
          <w:rFonts w:ascii="Times New Roman" w:hAnsi="Times New Roman"/>
          <w:lang w:val="sk-SK"/>
        </w:rPr>
        <w:t>kou obsahuje:</w:t>
      </w:r>
    </w:p>
    <w:p w14:paraId="4E3EA4E6" w14:textId="77777777" w:rsidR="00270B60" w:rsidRPr="008E5498" w:rsidRDefault="00270B6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7FCC5057" w14:textId="44E04A9F" w:rsidR="00462A01" w:rsidRPr="008E5498" w:rsidRDefault="00E8259C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J</w:t>
      </w:r>
      <w:r w:rsidR="00F21CBB" w:rsidRPr="008E5498">
        <w:rPr>
          <w:rFonts w:ascii="Times New Roman" w:hAnsi="Times New Roman"/>
          <w:lang w:val="sk-SK"/>
        </w:rPr>
        <w:t>ednu naplnenú injek</w:t>
      </w:r>
      <w:r w:rsidR="00F21CBB" w:rsidRPr="008E5498">
        <w:rPr>
          <w:rFonts w:ascii="Times New Roman" w:eastAsia="TimesNewRoman" w:hAnsi="Times New Roman"/>
          <w:lang w:val="sk-SK"/>
        </w:rPr>
        <w:t>č</w:t>
      </w:r>
      <w:r w:rsidR="00F21CBB" w:rsidRPr="008E5498">
        <w:rPr>
          <w:rFonts w:ascii="Times New Roman" w:hAnsi="Times New Roman"/>
          <w:lang w:val="sk-SK"/>
        </w:rPr>
        <w:t>n</w:t>
      </w:r>
      <w:r w:rsidR="00270B60" w:rsidRPr="008E5498">
        <w:rPr>
          <w:rFonts w:ascii="Times New Roman" w:hAnsi="Times New Roman"/>
          <w:lang w:val="sk-SK"/>
        </w:rPr>
        <w:t>ú</w:t>
      </w:r>
      <w:r w:rsidR="00F21CBB" w:rsidRPr="008E5498">
        <w:rPr>
          <w:rFonts w:ascii="Times New Roman" w:hAnsi="Times New Roman"/>
          <w:lang w:val="sk-SK"/>
        </w:rPr>
        <w:t xml:space="preserve"> strieka</w:t>
      </w:r>
      <w:r w:rsidR="00F21CBB" w:rsidRPr="008E5498">
        <w:rPr>
          <w:rFonts w:ascii="Times New Roman" w:eastAsia="TimesNewRoman" w:hAnsi="Times New Roman"/>
          <w:lang w:val="sk-SK"/>
        </w:rPr>
        <w:t>č</w:t>
      </w:r>
      <w:r w:rsidR="00F21CBB" w:rsidRPr="008E5498">
        <w:rPr>
          <w:rFonts w:ascii="Times New Roman" w:hAnsi="Times New Roman"/>
          <w:lang w:val="sk-SK"/>
        </w:rPr>
        <w:t xml:space="preserve">ku z </w:t>
      </w:r>
      <w:r w:rsidR="00F21CBB" w:rsidRPr="008E5498">
        <w:rPr>
          <w:rFonts w:ascii="Times New Roman" w:eastAsia="TimesNewRoman" w:hAnsi="Times New Roman"/>
          <w:lang w:val="sk-SK"/>
        </w:rPr>
        <w:t>č</w:t>
      </w:r>
      <w:r w:rsidR="00F21CBB" w:rsidRPr="008E5498">
        <w:rPr>
          <w:rFonts w:ascii="Times New Roman" w:hAnsi="Times New Roman"/>
          <w:lang w:val="sk-SK"/>
        </w:rPr>
        <w:t xml:space="preserve">íreho skla typu 1 </w:t>
      </w:r>
      <w:r w:rsidR="002C36F1" w:rsidRPr="008E5498">
        <w:rPr>
          <w:rFonts w:ascii="Times New Roman" w:hAnsi="Times New Roman"/>
          <w:lang w:val="sk-SK"/>
        </w:rPr>
        <w:t>s </w:t>
      </w:r>
      <w:r w:rsidR="00222F40" w:rsidRPr="008E5498">
        <w:rPr>
          <w:rFonts w:ascii="Times New Roman" w:hAnsi="Times New Roman"/>
          <w:lang w:val="sk-SK"/>
        </w:rPr>
        <w:t>poly</w:t>
      </w:r>
      <w:r w:rsidR="00270B60" w:rsidRPr="008E5498">
        <w:rPr>
          <w:rFonts w:ascii="Times New Roman" w:hAnsi="Times New Roman"/>
          <w:lang w:val="sk-SK"/>
        </w:rPr>
        <w:t>styrénovou</w:t>
      </w:r>
      <w:r w:rsidR="00222F40" w:rsidRPr="008E5498">
        <w:rPr>
          <w:rFonts w:ascii="Times New Roman" w:hAnsi="Times New Roman"/>
          <w:lang w:val="sk-SK"/>
        </w:rPr>
        <w:t xml:space="preserve"> </w:t>
      </w:r>
      <w:r w:rsidR="00F21CBB" w:rsidRPr="008E5498">
        <w:rPr>
          <w:rFonts w:ascii="Times New Roman" w:hAnsi="Times New Roman"/>
          <w:lang w:val="sk-SK"/>
        </w:rPr>
        <w:t>piesto</w:t>
      </w:r>
      <w:r w:rsidR="00462A01" w:rsidRPr="008E5498">
        <w:rPr>
          <w:rFonts w:ascii="Times New Roman" w:hAnsi="Times New Roman"/>
          <w:lang w:val="sk-SK"/>
        </w:rPr>
        <w:t>vou tyčinkou</w:t>
      </w:r>
      <w:r w:rsidR="00F21CBB" w:rsidRPr="008E5498">
        <w:rPr>
          <w:rFonts w:ascii="Times New Roman" w:hAnsi="Times New Roman"/>
          <w:lang w:val="sk-SK"/>
        </w:rPr>
        <w:t xml:space="preserve"> </w:t>
      </w:r>
      <w:r w:rsidR="00462A01" w:rsidRPr="008E5498">
        <w:rPr>
          <w:rFonts w:ascii="Times New Roman" w:hAnsi="Times New Roman"/>
          <w:lang w:val="sk-SK"/>
        </w:rPr>
        <w:t xml:space="preserve">a spätnou zátkou </w:t>
      </w:r>
      <w:r w:rsidR="008306CB" w:rsidRPr="008E5498">
        <w:rPr>
          <w:rFonts w:ascii="Times New Roman" w:hAnsi="Times New Roman"/>
          <w:lang w:val="sk-SK"/>
        </w:rPr>
        <w:t xml:space="preserve">z elastoméru </w:t>
      </w:r>
      <w:r w:rsidR="00462A01" w:rsidRPr="008E5498">
        <w:rPr>
          <w:rFonts w:ascii="Times New Roman" w:hAnsi="Times New Roman"/>
          <w:lang w:val="sk-SK"/>
        </w:rPr>
        <w:t xml:space="preserve">s poistným uzáverom </w:t>
      </w:r>
      <w:r w:rsidR="00F21CBB" w:rsidRPr="008E5498">
        <w:rPr>
          <w:rFonts w:ascii="Times New Roman" w:hAnsi="Times New Roman"/>
          <w:lang w:val="sk-SK"/>
        </w:rPr>
        <w:t>obsahujúc</w:t>
      </w:r>
      <w:r w:rsidR="00462A01" w:rsidRPr="008E5498">
        <w:rPr>
          <w:rFonts w:ascii="Times New Roman" w:hAnsi="Times New Roman"/>
          <w:lang w:val="sk-SK"/>
        </w:rPr>
        <w:t>u</w:t>
      </w:r>
      <w:r w:rsidR="00F21CBB" w:rsidRPr="008E5498">
        <w:rPr>
          <w:rFonts w:ascii="Times New Roman" w:hAnsi="Times New Roman"/>
          <w:lang w:val="sk-SK"/>
        </w:rPr>
        <w:t xml:space="preserve"> </w:t>
      </w:r>
      <w:r w:rsidR="00462A01" w:rsidRPr="008E5498">
        <w:rPr>
          <w:rFonts w:ascii="Times New Roman" w:hAnsi="Times New Roman"/>
          <w:lang w:val="sk-SK"/>
        </w:rPr>
        <w:t>5</w:t>
      </w:r>
      <w:r w:rsidR="00222F40" w:rsidRPr="008E5498">
        <w:rPr>
          <w:rFonts w:ascii="Times New Roman" w:hAnsi="Times New Roman"/>
          <w:lang w:val="sk-SK"/>
        </w:rPr>
        <w:t xml:space="preserve"> </w:t>
      </w:r>
      <w:r w:rsidR="00462A01" w:rsidRPr="008E5498">
        <w:rPr>
          <w:rFonts w:ascii="Times New Roman" w:hAnsi="Times New Roman"/>
          <w:lang w:val="sk-SK"/>
        </w:rPr>
        <w:t>ml injekčn</w:t>
      </w:r>
      <w:r w:rsidR="00222F40" w:rsidRPr="008E5498">
        <w:rPr>
          <w:rFonts w:ascii="Times New Roman" w:hAnsi="Times New Roman"/>
          <w:lang w:val="sk-SK"/>
        </w:rPr>
        <w:t>ého</w:t>
      </w:r>
      <w:r w:rsidR="00462A01" w:rsidRPr="008E5498">
        <w:rPr>
          <w:rFonts w:ascii="Times New Roman" w:hAnsi="Times New Roman"/>
          <w:lang w:val="sk-SK"/>
        </w:rPr>
        <w:t xml:space="preserve"> roztok</w:t>
      </w:r>
      <w:r w:rsidR="00222F40" w:rsidRPr="008E5498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 xml:space="preserve"> fulvestrantu</w:t>
      </w:r>
      <w:r w:rsidR="00222F40" w:rsidRPr="008E5498">
        <w:rPr>
          <w:rFonts w:ascii="Times New Roman" w:hAnsi="Times New Roman"/>
          <w:lang w:val="sk-SK"/>
        </w:rPr>
        <w:t>.</w:t>
      </w:r>
    </w:p>
    <w:p w14:paraId="5C330C05" w14:textId="4C115F66" w:rsidR="00222F40" w:rsidRPr="008E5498" w:rsidRDefault="00270B6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Priložená je tiež </w:t>
      </w:r>
      <w:r w:rsidR="008306CB" w:rsidRPr="008E5498">
        <w:rPr>
          <w:rFonts w:ascii="Times New Roman" w:eastAsia="TimesNewRoman" w:hAnsi="Times New Roman"/>
          <w:lang w:val="sk-SK"/>
        </w:rPr>
        <w:t xml:space="preserve">bezpečnostná </w:t>
      </w:r>
      <w:r w:rsidRPr="008E5498">
        <w:rPr>
          <w:rFonts w:ascii="Times New Roman" w:hAnsi="Times New Roman"/>
          <w:lang w:val="sk-SK"/>
        </w:rPr>
        <w:t>ihla (BD SafetyGlide) na pripevnenie k</w:t>
      </w:r>
      <w:r w:rsidR="00E8259C">
        <w:rPr>
          <w:rFonts w:ascii="Times New Roman" w:hAnsi="Times New Roman"/>
          <w:lang w:val="sk-SK"/>
        </w:rPr>
        <w:t> telu injekčnej striekačky</w:t>
      </w:r>
      <w:r w:rsidRPr="008E5498">
        <w:rPr>
          <w:rFonts w:ascii="Times New Roman" w:hAnsi="Times New Roman"/>
          <w:lang w:val="sk-SK"/>
        </w:rPr>
        <w:t>.</w:t>
      </w:r>
    </w:p>
    <w:p w14:paraId="59B5FECA" w14:textId="77777777" w:rsidR="00270B60" w:rsidRPr="008E5498" w:rsidRDefault="00270B6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70EEC9AA" w14:textId="5185A78B" w:rsidR="00270B60" w:rsidRPr="008E5498" w:rsidRDefault="00270B6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Veľkosti balenia: 1, 2 alebo 6 naplnených injekčných </w:t>
      </w:r>
      <w:r w:rsidR="00E8259C">
        <w:rPr>
          <w:rFonts w:ascii="Times New Roman" w:hAnsi="Times New Roman"/>
          <w:lang w:val="sk-SK"/>
        </w:rPr>
        <w:t>striekačiek</w:t>
      </w:r>
      <w:r w:rsidRPr="008E5498">
        <w:rPr>
          <w:rFonts w:ascii="Times New Roman" w:hAnsi="Times New Roman"/>
          <w:lang w:val="sk-SK"/>
        </w:rPr>
        <w:t>.</w:t>
      </w:r>
    </w:p>
    <w:p w14:paraId="13BB858F" w14:textId="77777777" w:rsidR="00270B60" w:rsidRPr="008E5498" w:rsidRDefault="00270B6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4E164DD6" w14:textId="77777777" w:rsidR="00435278" w:rsidRPr="008E5498" w:rsidRDefault="0043527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Na trh nemusia byť uvedené všetky veľkosti balenia.</w:t>
      </w:r>
    </w:p>
    <w:p w14:paraId="48B4F2E4" w14:textId="77777777" w:rsidR="003D0D66" w:rsidRPr="008E5498" w:rsidRDefault="003D0D66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0D70119" w14:textId="6ABED1EA" w:rsidR="004707F4" w:rsidRPr="008E5498" w:rsidRDefault="00C15983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6.6</w:t>
      </w:r>
      <w:r w:rsidR="00435278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Špeciálne opatrenia na likvidáciu a iné zaobchádzanie s liekom</w:t>
      </w:r>
    </w:p>
    <w:p w14:paraId="335207FB" w14:textId="77777777" w:rsidR="00435278" w:rsidRPr="008E5498" w:rsidRDefault="00435278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u w:val="single"/>
          <w:lang w:val="sk-SK"/>
        </w:rPr>
      </w:pPr>
    </w:p>
    <w:p w14:paraId="3B42EA3A" w14:textId="77777777" w:rsidR="00F431A6" w:rsidRPr="008E5498" w:rsidRDefault="00F431A6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u w:val="single"/>
          <w:lang w:val="sk-SK"/>
        </w:rPr>
      </w:pPr>
      <w:r w:rsidRPr="008E5498">
        <w:rPr>
          <w:rFonts w:ascii="Times New Roman" w:eastAsia="TimesNewRoman" w:hAnsi="Times New Roman"/>
          <w:u w:val="single"/>
          <w:lang w:val="sk-SK"/>
        </w:rPr>
        <w:t>Pokyny na podávanie</w:t>
      </w:r>
    </w:p>
    <w:p w14:paraId="1120880B" w14:textId="77777777" w:rsidR="00F431A6" w:rsidRPr="008E5498" w:rsidRDefault="00F431A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 xml:space="preserve">Injekciu podávajte podľa lokálnych postupov </w:t>
      </w:r>
      <w:r w:rsidR="00E8520A" w:rsidRPr="008E5498">
        <w:rPr>
          <w:rFonts w:ascii="Times New Roman" w:eastAsia="TimesNewRoman" w:hAnsi="Times New Roman"/>
          <w:lang w:val="sk-SK"/>
        </w:rPr>
        <w:t>na</w:t>
      </w:r>
      <w:r w:rsidRPr="008E5498">
        <w:rPr>
          <w:rFonts w:ascii="Times New Roman" w:eastAsia="TimesNewRoman" w:hAnsi="Times New Roman"/>
          <w:lang w:val="sk-SK"/>
        </w:rPr>
        <w:t xml:space="preserve"> podávanie intramuskulárnych injekcií s veľkým</w:t>
      </w:r>
    </w:p>
    <w:p w14:paraId="280FC0B9" w14:textId="77777777" w:rsidR="00F431A6" w:rsidRPr="008E5498" w:rsidRDefault="00F431A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objemom.</w:t>
      </w:r>
    </w:p>
    <w:p w14:paraId="7F6151EB" w14:textId="77777777" w:rsidR="00F431A6" w:rsidRPr="008E5498" w:rsidRDefault="00F431A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6F626902" w14:textId="52352E05" w:rsidR="004D2674" w:rsidRPr="008E5498" w:rsidRDefault="00F431A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POZNÁMKA: Vzhľadom na blízkosť sedacieho nervu je pri injekčnom podávaní</w:t>
      </w:r>
      <w:r w:rsidR="008306CB" w:rsidRPr="008E5498">
        <w:rPr>
          <w:rFonts w:ascii="Times New Roman" w:eastAsia="TimesNewRoman" w:hAnsi="Times New Roman"/>
          <w:lang w:val="sk-SK"/>
        </w:rPr>
        <w:t xml:space="preserve"> </w:t>
      </w:r>
      <w:r w:rsidR="008306CB" w:rsidRPr="008E5498">
        <w:rPr>
          <w:rFonts w:ascii="Times New Roman" w:hAnsi="Times New Roman"/>
          <w:lang w:val="sk-SK"/>
        </w:rPr>
        <w:t xml:space="preserve">fulvestrantu </w:t>
      </w:r>
      <w:r w:rsidR="008306CB" w:rsidRPr="008E5498">
        <w:rPr>
          <w:rFonts w:ascii="Times New Roman" w:eastAsia="TimesNewRoman" w:hAnsi="Times New Roman"/>
          <w:lang w:val="sk-SK"/>
        </w:rPr>
        <w:t xml:space="preserve">do dorzogluteálnej oblasti potrebná opatrnosť </w:t>
      </w:r>
      <w:r w:rsidRPr="008E5498">
        <w:rPr>
          <w:rFonts w:ascii="Times New Roman" w:eastAsia="TimesNewRoman" w:hAnsi="Times New Roman"/>
          <w:lang w:val="sk-SK"/>
        </w:rPr>
        <w:t>(pozri časť 4.4).</w:t>
      </w:r>
    </w:p>
    <w:p w14:paraId="2D6367AA" w14:textId="77777777" w:rsidR="00F431A6" w:rsidRPr="008E5498" w:rsidRDefault="00F431A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598CBB00" w14:textId="77777777" w:rsidR="00F431A6" w:rsidRPr="008E5498" w:rsidRDefault="00F431A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Upozornenie</w:t>
      </w:r>
      <w:r w:rsidR="000F6997" w:rsidRPr="008E5498">
        <w:rPr>
          <w:rFonts w:ascii="Times New Roman" w:eastAsia="TimesNewRoman" w:hAnsi="Times New Roman"/>
          <w:lang w:val="sk-SK"/>
        </w:rPr>
        <w:t>:</w:t>
      </w:r>
      <w:r w:rsidRPr="008E5498">
        <w:rPr>
          <w:rFonts w:ascii="Times New Roman" w:eastAsia="TimesNewRoman" w:hAnsi="Times New Roman"/>
          <w:lang w:val="sk-SK"/>
        </w:rPr>
        <w:t xml:space="preserve"> Bezpečnostnú ihlu (BD SafetyGlide </w:t>
      </w:r>
      <w:r w:rsidR="003A4FD4" w:rsidRPr="008E5498">
        <w:rPr>
          <w:rFonts w:ascii="Times New Roman" w:eastAsia="TimesNewRoman" w:hAnsi="Times New Roman"/>
          <w:lang w:val="sk-SK"/>
        </w:rPr>
        <w:t>chránená hypodermická ihla</w:t>
      </w:r>
      <w:r w:rsidRPr="008E5498">
        <w:rPr>
          <w:rFonts w:ascii="Times New Roman" w:eastAsia="TimesNewRoman" w:hAnsi="Times New Roman"/>
          <w:lang w:val="sk-SK"/>
        </w:rPr>
        <w:t>) pred použitím</w:t>
      </w:r>
    </w:p>
    <w:p w14:paraId="06EECB77" w14:textId="796EAFA3" w:rsidR="00F431A6" w:rsidRPr="008E5498" w:rsidRDefault="008306CB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neautoklávujte</w:t>
      </w:r>
      <w:r w:rsidR="00F431A6" w:rsidRPr="008E5498">
        <w:rPr>
          <w:rFonts w:ascii="Times New Roman" w:eastAsia="TimesNewRoman" w:hAnsi="Times New Roman"/>
          <w:lang w:val="sk-SK"/>
        </w:rPr>
        <w:t>. Počas použitia aj pri likvidácii musia byť ruky stále za ihlou.</w:t>
      </w:r>
    </w:p>
    <w:p w14:paraId="12004D41" w14:textId="77777777" w:rsidR="00F431A6" w:rsidRPr="008E5498" w:rsidRDefault="00F431A6" w:rsidP="008E5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lang w:val="sk-SK"/>
        </w:rPr>
      </w:pPr>
    </w:p>
    <w:p w14:paraId="30A072DB" w14:textId="77777777" w:rsidR="00F431A6" w:rsidRPr="008E5498" w:rsidRDefault="00F431A6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u w:val="single"/>
          <w:lang w:val="sk-SK"/>
        </w:rPr>
      </w:pPr>
      <w:r w:rsidRPr="008E5498">
        <w:rPr>
          <w:rFonts w:ascii="Times New Roman" w:eastAsia="TimesNewRoman" w:hAnsi="Times New Roman"/>
          <w:u w:val="single"/>
          <w:lang w:val="sk-SK"/>
        </w:rPr>
        <w:t xml:space="preserve">Pre každú </w:t>
      </w:r>
      <w:r w:rsidR="000F6997" w:rsidRPr="008E5498">
        <w:rPr>
          <w:rFonts w:ascii="Times New Roman" w:eastAsia="TimesNewRoman" w:hAnsi="Times New Roman"/>
          <w:u w:val="single"/>
          <w:lang w:val="sk-SK"/>
        </w:rPr>
        <w:t xml:space="preserve">z oboch </w:t>
      </w:r>
      <w:r w:rsidRPr="008E5498">
        <w:rPr>
          <w:rFonts w:ascii="Times New Roman" w:eastAsia="TimesNewRoman" w:hAnsi="Times New Roman"/>
          <w:u w:val="single"/>
          <w:lang w:val="sk-SK"/>
        </w:rPr>
        <w:t>injekčn</w:t>
      </w:r>
      <w:r w:rsidR="000F6997" w:rsidRPr="008E5498">
        <w:rPr>
          <w:rFonts w:ascii="Times New Roman" w:eastAsia="TimesNewRoman" w:hAnsi="Times New Roman"/>
          <w:u w:val="single"/>
          <w:lang w:val="sk-SK"/>
        </w:rPr>
        <w:t>ých</w:t>
      </w:r>
      <w:r w:rsidRPr="008E5498">
        <w:rPr>
          <w:rFonts w:ascii="Times New Roman" w:eastAsia="TimesNewRoman" w:hAnsi="Times New Roman"/>
          <w:u w:val="single"/>
          <w:lang w:val="sk-SK"/>
        </w:rPr>
        <w:t xml:space="preserve"> </w:t>
      </w:r>
      <w:r w:rsidR="008556A6" w:rsidRPr="008E5498">
        <w:rPr>
          <w:rFonts w:ascii="Times New Roman" w:eastAsia="TimesNewRoman" w:hAnsi="Times New Roman"/>
          <w:u w:val="single"/>
          <w:lang w:val="sk-SK"/>
        </w:rPr>
        <w:t>striekač</w:t>
      </w:r>
      <w:r w:rsidR="000F6997" w:rsidRPr="008E5498">
        <w:rPr>
          <w:rFonts w:ascii="Times New Roman" w:eastAsia="TimesNewRoman" w:hAnsi="Times New Roman"/>
          <w:u w:val="single"/>
          <w:lang w:val="sk-SK"/>
        </w:rPr>
        <w:t>ie</w:t>
      </w:r>
      <w:r w:rsidR="008556A6" w:rsidRPr="008E5498">
        <w:rPr>
          <w:rFonts w:ascii="Times New Roman" w:eastAsia="TimesNewRoman" w:hAnsi="Times New Roman"/>
          <w:u w:val="single"/>
          <w:lang w:val="sk-SK"/>
        </w:rPr>
        <w:t>k</w:t>
      </w:r>
      <w:r w:rsidRPr="008E5498">
        <w:rPr>
          <w:rFonts w:ascii="Times New Roman" w:eastAsia="TimesNewRoman" w:hAnsi="Times New Roman"/>
          <w:u w:val="single"/>
          <w:lang w:val="sk-SK"/>
        </w:rPr>
        <w:t>:</w:t>
      </w:r>
    </w:p>
    <w:p w14:paraId="166316E6" w14:textId="77777777" w:rsidR="000F6997" w:rsidRPr="008E5498" w:rsidRDefault="000F6997" w:rsidP="008E5498">
      <w:pPr>
        <w:widowControl w:val="0"/>
        <w:spacing w:after="0" w:line="240" w:lineRule="auto"/>
        <w:contextualSpacing/>
        <w:jc w:val="both"/>
        <w:rPr>
          <w:rFonts w:ascii="Times New Roman" w:eastAsia="TimesNewRoman" w:hAnsi="Times New Roman"/>
          <w:u w:val="single"/>
          <w:lang w:val="sk-SK"/>
        </w:rPr>
      </w:pPr>
    </w:p>
    <w:p w14:paraId="75D8118D" w14:textId="77777777" w:rsidR="008E5498" w:rsidRPr="008E5498" w:rsidRDefault="008E5498" w:rsidP="008E5498">
      <w:pPr>
        <w:pStyle w:val="Odsekzoznamu"/>
        <w:widowControl w:val="0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Vyberte sklenenú injekčnú striekačku z vaničky a skontrolujte, či nie je poškodená.</w:t>
      </w:r>
    </w:p>
    <w:p w14:paraId="7D263339" w14:textId="77777777" w:rsidR="008E5498" w:rsidRPr="008E5498" w:rsidRDefault="008E5498" w:rsidP="008E5498">
      <w:pPr>
        <w:pStyle w:val="Odsekzoznamu"/>
        <w:widowControl w:val="0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Opatrne vyberte bezpečnostnú ihlu (SafetyGlide) z vonkajšieho obalu.</w:t>
      </w:r>
    </w:p>
    <w:p w14:paraId="3D880C37" w14:textId="77777777" w:rsidR="008E5498" w:rsidRPr="008E5498" w:rsidRDefault="008E5498" w:rsidP="008E5498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TimesNewRoman" w:hAnsi="Times New Roman"/>
          <w:u w:val="single"/>
          <w:lang w:val="sk-SK"/>
        </w:rPr>
      </w:pPr>
      <w:r w:rsidRPr="008E5498">
        <w:rPr>
          <w:rFonts w:ascii="Times New Roman" w:hAnsi="Times New Roman"/>
          <w:lang w:val="sk-SK"/>
        </w:rPr>
        <w:lastRenderedPageBreak/>
        <w:t>Parenterálne roztoky sa musia pred podaním vizuálne skontrolovať, či neobsahujú častice a či nedošlo k zmene ich zafarbenia.</w:t>
      </w:r>
    </w:p>
    <w:p w14:paraId="27497339" w14:textId="77777777" w:rsidR="008E5498" w:rsidRPr="008E5498" w:rsidRDefault="008E5498" w:rsidP="008E5498">
      <w:pPr>
        <w:widowControl w:val="0"/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TimesNewRoman" w:hAnsi="Times New Roman"/>
          <w:lang w:val="sk-SK"/>
        </w:rPr>
      </w:pPr>
      <w:r w:rsidRPr="008E5498">
        <w:rPr>
          <w:rFonts w:ascii="Times New Roman" w:eastAsia="TimesNewRoman" w:hAnsi="Times New Roman"/>
          <w:lang w:val="sk-SK"/>
        </w:rPr>
        <w:t>Injekčnú striekačku držte vo zvislej polohe v časti so zárezom (obrázok C). Druhou rukou držte uzáver (A) a opatrným otáčaním proti smeru hodinových ručičiek ho odstráňte (pozri Obrázok 1).</w:t>
      </w:r>
    </w:p>
    <w:p w14:paraId="5AB9E349" w14:textId="77777777" w:rsidR="00613810" w:rsidRPr="008E5498" w:rsidRDefault="00613810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noProof/>
        </w:rPr>
        <w:drawing>
          <wp:inline distT="0" distB="0" distL="0" distR="0" wp14:anchorId="46F76064" wp14:editId="1B39B6B2">
            <wp:extent cx="2162132" cy="2073349"/>
            <wp:effectExtent l="0" t="0" r="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5973" cy="209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C527F" w14:textId="28515750" w:rsidR="002E18B3" w:rsidRPr="008E5498" w:rsidRDefault="00613810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Obrázok 1</w:t>
      </w:r>
    </w:p>
    <w:p w14:paraId="3085C29B" w14:textId="77777777" w:rsidR="000C254D" w:rsidRPr="008E5498" w:rsidRDefault="000C254D" w:rsidP="008E549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F1EA032" w14:textId="77777777" w:rsidR="008E5498" w:rsidRPr="008E5498" w:rsidRDefault="008E5498" w:rsidP="008E5498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Opatrne odstráňte uzáver (A) potiahnutím smerom nahor. </w:t>
      </w:r>
      <w:r w:rsidRPr="008E5498">
        <w:rPr>
          <w:rFonts w:ascii="Times New Roman" w:eastAsia="TimesNewRoman" w:hAnsi="Times New Roman"/>
          <w:lang w:val="sk-SK"/>
        </w:rPr>
        <w:t>Pre zachovanie sterility sa nedotýkajte hrotu injekčnej striekačky (B) (pozri Obrázok 2).</w:t>
      </w:r>
    </w:p>
    <w:p w14:paraId="5E69F172" w14:textId="77777777" w:rsidR="003F00D4" w:rsidRPr="008E5498" w:rsidRDefault="00613810" w:rsidP="008E5498">
      <w:pPr>
        <w:widowControl w:val="0"/>
        <w:tabs>
          <w:tab w:val="left" w:pos="567"/>
          <w:tab w:val="left" w:pos="2977"/>
        </w:tabs>
        <w:spacing w:after="0" w:line="240" w:lineRule="auto"/>
        <w:ind w:left="360" w:hanging="567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noProof/>
        </w:rPr>
        <w:drawing>
          <wp:inline distT="0" distB="0" distL="0" distR="0" wp14:anchorId="5A31C32D" wp14:editId="42198990">
            <wp:extent cx="2157757" cy="220027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4675" cy="222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8A24E" w14:textId="0F350826" w:rsidR="000C254D" w:rsidRPr="008E5498" w:rsidRDefault="000C254D" w:rsidP="008E5498">
      <w:pPr>
        <w:widowControl w:val="0"/>
        <w:tabs>
          <w:tab w:val="left" w:pos="567"/>
          <w:tab w:val="left" w:pos="2977"/>
        </w:tabs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Obrázok 2</w:t>
      </w:r>
    </w:p>
    <w:p w14:paraId="28776DB1" w14:textId="77777777" w:rsidR="000C254D" w:rsidRPr="008E5498" w:rsidRDefault="000C254D" w:rsidP="008E5498">
      <w:pPr>
        <w:widowControl w:val="0"/>
        <w:tabs>
          <w:tab w:val="left" w:pos="567"/>
        </w:tabs>
        <w:spacing w:after="0" w:line="240" w:lineRule="auto"/>
        <w:ind w:hanging="567"/>
        <w:jc w:val="both"/>
        <w:rPr>
          <w:rFonts w:ascii="Times New Roman" w:hAnsi="Times New Roman"/>
          <w:lang w:val="sk-SK"/>
        </w:rPr>
      </w:pPr>
    </w:p>
    <w:p w14:paraId="385C358B" w14:textId="77777777" w:rsidR="008E5498" w:rsidRPr="008E5498" w:rsidRDefault="008E5498" w:rsidP="008E5498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Pripojte bezpečnostnú ihlu k luerovej koncovke injekčnej striekačky a otáčajte ňou, kým pevne nezapadne (pozri obrázok 3).</w:t>
      </w:r>
    </w:p>
    <w:p w14:paraId="447EF2B5" w14:textId="77777777" w:rsidR="008E5498" w:rsidRPr="008E5498" w:rsidRDefault="008E5498" w:rsidP="008E54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8E5498">
        <w:rPr>
          <w:rFonts w:eastAsia="Calibri"/>
          <w:sz w:val="22"/>
          <w:szCs w:val="22"/>
          <w:lang w:val="sk-SK" w:eastAsia="en-US"/>
        </w:rPr>
        <w:t>Skontrolujte, či je ihla zafixovaná k luerovému konektoru predtým, ako ju otočíte z vertikálnej roviny.</w:t>
      </w:r>
    </w:p>
    <w:p w14:paraId="5531E218" w14:textId="77777777" w:rsidR="008E5498" w:rsidRPr="008E5498" w:rsidRDefault="008E5498" w:rsidP="008E54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8E5498">
        <w:rPr>
          <w:rFonts w:eastAsia="Calibri"/>
          <w:sz w:val="22"/>
          <w:szCs w:val="22"/>
          <w:lang w:val="sk-SK" w:eastAsia="en-US"/>
        </w:rPr>
        <w:t>Priamym pohybom stiahnite z ihly kryt tak, aby sa nepoškodil hrot ihly.</w:t>
      </w:r>
    </w:p>
    <w:p w14:paraId="75BB9279" w14:textId="77777777" w:rsidR="008E5498" w:rsidRPr="008E5498" w:rsidRDefault="008E5498" w:rsidP="008E54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8E5498">
        <w:rPr>
          <w:rFonts w:eastAsia="Calibri"/>
          <w:sz w:val="22"/>
          <w:szCs w:val="22"/>
          <w:lang w:val="sk-SK" w:eastAsia="en-US"/>
        </w:rPr>
        <w:t>Preneste naplnenú injekčnú striekačku k miestu podania.</w:t>
      </w:r>
    </w:p>
    <w:p w14:paraId="37EF3168" w14:textId="77777777" w:rsidR="008E5498" w:rsidRPr="008E5498" w:rsidRDefault="008E5498" w:rsidP="008E54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8E5498">
        <w:rPr>
          <w:rFonts w:eastAsia="Calibri"/>
          <w:sz w:val="22"/>
          <w:szCs w:val="22"/>
          <w:lang w:val="sk-SK" w:eastAsia="en-US"/>
        </w:rPr>
        <w:t>Odstráňte kryt z ihly.</w:t>
      </w:r>
    </w:p>
    <w:p w14:paraId="2B8C1707" w14:textId="6E472996" w:rsidR="008E5498" w:rsidRPr="008E5498" w:rsidRDefault="008E5498" w:rsidP="008E54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8E5498">
        <w:rPr>
          <w:rFonts w:eastAsia="Calibri"/>
          <w:sz w:val="22"/>
          <w:szCs w:val="22"/>
          <w:lang w:val="sk-SK" w:eastAsia="en-US"/>
        </w:rPr>
        <w:t>Vytlačte z injekčnej striekačky prebytočný plyn.</w:t>
      </w:r>
    </w:p>
    <w:p w14:paraId="7A61BD0C" w14:textId="4D544A8E" w:rsidR="000C254D" w:rsidRPr="008E5498" w:rsidRDefault="003F00D4" w:rsidP="008E54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8E5498"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20BDDDFE" wp14:editId="2EFA246E">
            <wp:extent cx="1828800" cy="2360951"/>
            <wp:effectExtent l="0" t="0" r="0" b="127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2390" cy="236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E6707" w14:textId="77777777" w:rsidR="000C254D" w:rsidRPr="008E5498" w:rsidRDefault="000C254D" w:rsidP="008E54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8E5498">
        <w:rPr>
          <w:sz w:val="22"/>
          <w:szCs w:val="22"/>
          <w:lang w:val="sk-SK" w:eastAsia="en-US"/>
        </w:rPr>
        <w:t>Obrázok 3</w:t>
      </w:r>
    </w:p>
    <w:p w14:paraId="25BBECDC" w14:textId="77777777" w:rsidR="003F00D4" w:rsidRPr="008E5498" w:rsidRDefault="003F00D4" w:rsidP="008E54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</w:p>
    <w:p w14:paraId="44F15931" w14:textId="3E7C8B34" w:rsidR="003F00D4" w:rsidRPr="008E5498" w:rsidRDefault="003F00D4" w:rsidP="008E5498">
      <w:pPr>
        <w:pStyle w:val="TableText"/>
        <w:widowControl w:val="0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eastAsia="Calibri"/>
          <w:sz w:val="22"/>
          <w:szCs w:val="22"/>
          <w:lang w:val="sk-SK" w:eastAsia="en-US"/>
        </w:rPr>
      </w:pPr>
      <w:r w:rsidRPr="008E5498">
        <w:rPr>
          <w:rFonts w:eastAsia="Calibri"/>
          <w:sz w:val="22"/>
          <w:szCs w:val="22"/>
          <w:lang w:val="sk-SK" w:eastAsia="en-US"/>
        </w:rPr>
        <w:t xml:space="preserve">Podávajte pomaly intramuskulárne (1 - 2 minúty/injekcia) do sedacieho svalu (gluteálna oblasť). Na uľahčenie podávania je skosená strana ihly orientovaná k ramenu páčky (pozri </w:t>
      </w:r>
      <w:r w:rsidR="008E5498" w:rsidRPr="008E5498">
        <w:rPr>
          <w:rFonts w:eastAsia="Calibri"/>
          <w:sz w:val="22"/>
          <w:szCs w:val="22"/>
          <w:lang w:val="sk-SK" w:eastAsia="en-US"/>
        </w:rPr>
        <w:t>O</w:t>
      </w:r>
      <w:r w:rsidRPr="008E5498">
        <w:rPr>
          <w:rFonts w:eastAsia="Calibri"/>
          <w:sz w:val="22"/>
          <w:szCs w:val="22"/>
          <w:lang w:val="sk-SK" w:eastAsia="en-US"/>
        </w:rPr>
        <w:t>brázok 4).</w:t>
      </w:r>
    </w:p>
    <w:p w14:paraId="5B3BCE8D" w14:textId="77777777" w:rsidR="008E5498" w:rsidRPr="008E5498" w:rsidRDefault="008E5498" w:rsidP="008E5498">
      <w:pPr>
        <w:pStyle w:val="TableText"/>
        <w:widowControl w:val="0"/>
        <w:tabs>
          <w:tab w:val="left" w:pos="567"/>
        </w:tabs>
        <w:jc w:val="both"/>
        <w:rPr>
          <w:rFonts w:eastAsia="Calibri"/>
          <w:sz w:val="22"/>
          <w:szCs w:val="22"/>
          <w:lang w:val="sk-SK" w:eastAsia="en-US"/>
        </w:rPr>
      </w:pPr>
    </w:p>
    <w:p w14:paraId="79F777CD" w14:textId="3FF84C9F" w:rsidR="003F00D4" w:rsidRPr="008E5498" w:rsidRDefault="003F00D4" w:rsidP="008E54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8E5498">
        <w:rPr>
          <w:noProof/>
          <w:sz w:val="22"/>
          <w:szCs w:val="22"/>
          <w:lang w:val="en-US" w:eastAsia="en-US"/>
        </w:rPr>
        <w:drawing>
          <wp:inline distT="0" distB="0" distL="0" distR="0" wp14:anchorId="33A058E3" wp14:editId="297ED03D">
            <wp:extent cx="1857375" cy="1230438"/>
            <wp:effectExtent l="0" t="0" r="0" b="825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83711" cy="124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B3FA" w14:textId="3BE9691A" w:rsidR="003F00D4" w:rsidRPr="008E5498" w:rsidRDefault="003F00D4" w:rsidP="008E54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8E5498">
        <w:rPr>
          <w:sz w:val="22"/>
          <w:szCs w:val="22"/>
          <w:lang w:val="sk-SK" w:eastAsia="en-US"/>
        </w:rPr>
        <w:t>Obrázok 4</w:t>
      </w:r>
    </w:p>
    <w:p w14:paraId="61E34026" w14:textId="77777777" w:rsidR="000C254D" w:rsidRPr="008E5498" w:rsidRDefault="000C254D" w:rsidP="008E54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</w:p>
    <w:p w14:paraId="6620CC04" w14:textId="331D9F4F" w:rsidR="00446DE6" w:rsidRPr="008E5498" w:rsidRDefault="00446DE6" w:rsidP="008E5498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val="sk-SK"/>
        </w:rPr>
      </w:pPr>
      <w:r w:rsidRPr="008E5498">
        <w:rPr>
          <w:rFonts w:ascii="Times New Roman" w:eastAsia="Times New Roman" w:hAnsi="Times New Roman"/>
          <w:lang w:val="sk-SK"/>
        </w:rPr>
        <w:t xml:space="preserve">Po podaní injekcie ihneď využite ťah jedného prsta na aktiváciu ramena páčky, ktorá aktivuje ochranný mechanizmus (pozri </w:t>
      </w:r>
      <w:r w:rsidR="008E5498" w:rsidRPr="008E5498">
        <w:rPr>
          <w:rFonts w:ascii="Times New Roman" w:eastAsia="Times New Roman" w:hAnsi="Times New Roman"/>
          <w:lang w:val="sk-SK"/>
        </w:rPr>
        <w:t>O</w:t>
      </w:r>
      <w:r w:rsidRPr="008E5498">
        <w:rPr>
          <w:rFonts w:ascii="Times New Roman" w:eastAsia="Times New Roman" w:hAnsi="Times New Roman"/>
          <w:lang w:val="sk-SK"/>
        </w:rPr>
        <w:t xml:space="preserve">brázok </w:t>
      </w:r>
      <w:r w:rsidR="003F00D4" w:rsidRPr="008E5498">
        <w:rPr>
          <w:rFonts w:ascii="Times New Roman" w:eastAsia="Times New Roman" w:hAnsi="Times New Roman"/>
          <w:lang w:val="sk-SK"/>
        </w:rPr>
        <w:t>5).</w:t>
      </w:r>
    </w:p>
    <w:p w14:paraId="1F4C4FCF" w14:textId="77777777" w:rsidR="003F00D4" w:rsidRPr="008E5498" w:rsidRDefault="003F00D4" w:rsidP="008E5498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val="sk-SK"/>
        </w:rPr>
      </w:pPr>
    </w:p>
    <w:p w14:paraId="133FA9F8" w14:textId="68AC0E04" w:rsidR="00446DE6" w:rsidRPr="008E5498" w:rsidRDefault="00446DE6" w:rsidP="008E549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eastAsia="Times New Roman" w:hAnsi="Times New Roman"/>
          <w:lang w:val="sk-SK"/>
        </w:rPr>
        <w:t xml:space="preserve">POZNÁMKA: </w:t>
      </w:r>
      <w:r w:rsidR="003F00D4" w:rsidRPr="008E5498">
        <w:rPr>
          <w:rFonts w:ascii="Times New Roman" w:eastAsia="Times New Roman" w:hAnsi="Times New Roman"/>
          <w:lang w:val="sk-SK"/>
        </w:rPr>
        <w:t>M</w:t>
      </w:r>
      <w:r w:rsidRPr="008E5498">
        <w:rPr>
          <w:rFonts w:ascii="Times New Roman" w:eastAsia="Times New Roman" w:hAnsi="Times New Roman"/>
          <w:lang w:val="sk-SK"/>
        </w:rPr>
        <w:t xml:space="preserve">echanizmus </w:t>
      </w:r>
      <w:r w:rsidR="003F00D4" w:rsidRPr="008E5498">
        <w:rPr>
          <w:rFonts w:ascii="Times New Roman" w:eastAsia="Times New Roman" w:hAnsi="Times New Roman"/>
          <w:lang w:val="sk-SK"/>
        </w:rPr>
        <w:t xml:space="preserve">aktivujte </w:t>
      </w:r>
      <w:r w:rsidRPr="008E5498">
        <w:rPr>
          <w:rFonts w:ascii="Times New Roman" w:eastAsia="Times New Roman" w:hAnsi="Times New Roman"/>
          <w:lang w:val="sk-SK"/>
        </w:rPr>
        <w:t>smerom od seba a</w:t>
      </w:r>
      <w:r w:rsidR="003F00D4" w:rsidRPr="008E5498">
        <w:rPr>
          <w:rFonts w:ascii="Times New Roman" w:eastAsia="Times New Roman" w:hAnsi="Times New Roman"/>
          <w:lang w:val="sk-SK"/>
        </w:rPr>
        <w:t xml:space="preserve"> od </w:t>
      </w:r>
      <w:r w:rsidRPr="008E5498">
        <w:rPr>
          <w:rFonts w:ascii="Times New Roman" w:eastAsia="Times New Roman" w:hAnsi="Times New Roman"/>
          <w:lang w:val="sk-SK"/>
        </w:rPr>
        <w:t>iných ľudí. Dávajte pozor na kliknutie a vizuálne sa presvedčte, že hrot ihly je úplne zakrytý.</w:t>
      </w:r>
    </w:p>
    <w:p w14:paraId="0C6853E2" w14:textId="77777777" w:rsidR="00446DE6" w:rsidRPr="008E5498" w:rsidRDefault="00446DE6" w:rsidP="008E5498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</w:p>
    <w:p w14:paraId="1966AED7" w14:textId="5F2F5509" w:rsidR="00446DE6" w:rsidRPr="008E5498" w:rsidRDefault="003F00D4" w:rsidP="008E5498">
      <w:pPr>
        <w:widowControl w:val="0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noProof/>
        </w:rPr>
        <w:drawing>
          <wp:inline distT="0" distB="0" distL="0" distR="0" wp14:anchorId="35DE26D7" wp14:editId="2684E784">
            <wp:extent cx="1533525" cy="2044700"/>
            <wp:effectExtent l="0" t="0" r="952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DBC21" w14:textId="7ED3D2D6" w:rsidR="000C254D" w:rsidRPr="008E5498" w:rsidRDefault="00446DE6" w:rsidP="008E5498">
      <w:pPr>
        <w:pStyle w:val="TableText"/>
        <w:widowControl w:val="0"/>
        <w:tabs>
          <w:tab w:val="left" w:pos="567"/>
        </w:tabs>
        <w:jc w:val="both"/>
        <w:rPr>
          <w:sz w:val="22"/>
          <w:szCs w:val="22"/>
          <w:lang w:val="sk-SK" w:eastAsia="en-US"/>
        </w:rPr>
      </w:pPr>
      <w:r w:rsidRPr="008E5498">
        <w:rPr>
          <w:sz w:val="22"/>
          <w:szCs w:val="22"/>
          <w:lang w:val="sk-SK" w:eastAsia="en-US"/>
        </w:rPr>
        <w:t xml:space="preserve">Obrázok </w:t>
      </w:r>
      <w:r w:rsidR="003F00D4" w:rsidRPr="008E5498">
        <w:rPr>
          <w:sz w:val="22"/>
          <w:szCs w:val="22"/>
          <w:lang w:val="sk-SK" w:eastAsia="en-US"/>
        </w:rPr>
        <w:t>5</w:t>
      </w:r>
    </w:p>
    <w:p w14:paraId="10472D8F" w14:textId="77777777" w:rsidR="000C254D" w:rsidRPr="008E5498" w:rsidRDefault="000C254D" w:rsidP="008E549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u w:val="single"/>
          <w:lang w:val="sk-SK"/>
        </w:rPr>
      </w:pPr>
    </w:p>
    <w:p w14:paraId="71309A7D" w14:textId="77777777" w:rsidR="00435278" w:rsidRPr="008E5498" w:rsidRDefault="00823DE2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u w:val="single"/>
          <w:lang w:val="sk-SK"/>
        </w:rPr>
      </w:pPr>
      <w:r w:rsidRPr="008E5498">
        <w:rPr>
          <w:rFonts w:ascii="Times New Roman" w:hAnsi="Times New Roman"/>
          <w:bCs/>
          <w:u w:val="single"/>
          <w:lang w:val="sk-SK"/>
        </w:rPr>
        <w:t>Likvidácia</w:t>
      </w:r>
    </w:p>
    <w:p w14:paraId="70A3976E" w14:textId="32C81DA4" w:rsidR="00435278" w:rsidRPr="008E5498" w:rsidRDefault="00823DE2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lang w:val="sk-SK"/>
        </w:rPr>
      </w:pPr>
      <w:r w:rsidRPr="008E5498">
        <w:rPr>
          <w:rFonts w:ascii="Times New Roman" w:hAnsi="Times New Roman"/>
          <w:bCs/>
          <w:lang w:val="sk-SK"/>
        </w:rPr>
        <w:t xml:space="preserve">Naplnené </w:t>
      </w:r>
      <w:r w:rsidR="008901B9">
        <w:rPr>
          <w:rFonts w:ascii="Times New Roman" w:hAnsi="Times New Roman"/>
          <w:bCs/>
          <w:lang w:val="sk-SK"/>
        </w:rPr>
        <w:t xml:space="preserve">injekčné </w:t>
      </w:r>
      <w:r w:rsidRPr="008E5498">
        <w:rPr>
          <w:rFonts w:ascii="Times New Roman" w:hAnsi="Times New Roman"/>
          <w:bCs/>
          <w:lang w:val="sk-SK"/>
        </w:rPr>
        <w:t xml:space="preserve">striekačky sú určené </w:t>
      </w:r>
      <w:r w:rsidRPr="008E5498">
        <w:rPr>
          <w:rFonts w:ascii="Times New Roman" w:hAnsi="Times New Roman"/>
          <w:b/>
          <w:bCs/>
          <w:lang w:val="sk-SK"/>
        </w:rPr>
        <w:t xml:space="preserve">len </w:t>
      </w:r>
      <w:r w:rsidRPr="008E5498">
        <w:rPr>
          <w:rFonts w:ascii="Times New Roman" w:hAnsi="Times New Roman"/>
          <w:bCs/>
          <w:lang w:val="sk-SK"/>
        </w:rPr>
        <w:t>na jednorazové použitie.</w:t>
      </w:r>
    </w:p>
    <w:p w14:paraId="4EF55810" w14:textId="77777777" w:rsidR="00435278" w:rsidRPr="008E5498" w:rsidRDefault="00026453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lang w:val="sk-SK"/>
        </w:rPr>
      </w:pPr>
      <w:r w:rsidRPr="008E5498">
        <w:rPr>
          <w:rFonts w:ascii="Times New Roman" w:hAnsi="Times New Roman"/>
          <w:lang w:val="sk-SK" w:eastAsia="sk-SK"/>
        </w:rPr>
        <w:lastRenderedPageBreak/>
        <w:t>Tento liek môže predstavovať riziko pre vodné prostredie.</w:t>
      </w:r>
      <w:r w:rsidRPr="008E5498">
        <w:rPr>
          <w:rFonts w:ascii="Times New Roman" w:hAnsi="Times New Roman"/>
          <w:lang w:val="sk-SK"/>
        </w:rPr>
        <w:t xml:space="preserve"> </w:t>
      </w:r>
      <w:r w:rsidR="00823DE2" w:rsidRPr="008E5498">
        <w:rPr>
          <w:rFonts w:ascii="Times New Roman" w:hAnsi="Times New Roman"/>
          <w:bCs/>
          <w:lang w:val="sk-SK"/>
        </w:rPr>
        <w:t>Všetok nepoužitý liek alebo odpad vzniknutý z lieku sa má zlikvidovať v súlade s národnými požiadavkami</w:t>
      </w:r>
      <w:r w:rsidR="00F82657" w:rsidRPr="008E5498">
        <w:rPr>
          <w:rFonts w:ascii="Times New Roman" w:hAnsi="Times New Roman"/>
          <w:bCs/>
          <w:lang w:val="sk-SK"/>
        </w:rPr>
        <w:t xml:space="preserve"> (pozri časť 5.3)</w:t>
      </w:r>
      <w:r w:rsidR="00823DE2" w:rsidRPr="008E5498">
        <w:rPr>
          <w:rFonts w:ascii="Times New Roman" w:hAnsi="Times New Roman"/>
          <w:bCs/>
          <w:lang w:val="sk-SK"/>
        </w:rPr>
        <w:t>.</w:t>
      </w:r>
    </w:p>
    <w:p w14:paraId="35403674" w14:textId="77777777" w:rsidR="003D0D66" w:rsidRPr="008E5498" w:rsidRDefault="003D0D66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lang w:val="sk-SK"/>
        </w:rPr>
      </w:pPr>
    </w:p>
    <w:p w14:paraId="7B75D568" w14:textId="77777777" w:rsidR="003D0D66" w:rsidRPr="008E5498" w:rsidRDefault="003D0D66" w:rsidP="008E5498">
      <w:pPr>
        <w:pStyle w:val="Odsekzoznamu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lang w:val="sk-SK"/>
        </w:rPr>
      </w:pPr>
    </w:p>
    <w:p w14:paraId="7288EBBE" w14:textId="789E27A6" w:rsidR="002E18B3" w:rsidRPr="008E5498" w:rsidRDefault="000B2B40" w:rsidP="008E5498">
      <w:pPr>
        <w:pStyle w:val="Odsekzoznamu"/>
        <w:widowControl w:val="0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DRŽITEĽ ROZHODNUTIA O REGISTRÁCII</w:t>
      </w:r>
    </w:p>
    <w:p w14:paraId="09C8C6B2" w14:textId="77777777" w:rsidR="00F82657" w:rsidRPr="008E5498" w:rsidRDefault="00F82657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0DE9C2F5" w14:textId="77777777" w:rsidR="00C15983" w:rsidRPr="008E5498" w:rsidRDefault="00C15983" w:rsidP="008E5498">
      <w:pPr>
        <w:widowControl w:val="0"/>
        <w:autoSpaceDE w:val="0"/>
        <w:autoSpaceDN w:val="0"/>
        <w:adjustRightInd w:val="0"/>
        <w:spacing w:after="0" w:line="240" w:lineRule="auto"/>
        <w:ind w:right="414"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>Glenmark Pharmaceuticals s.r.o., Hvězdova 1716/2b, 140 78 Praha 4, Česká republika</w:t>
      </w:r>
    </w:p>
    <w:p w14:paraId="75AD49D4" w14:textId="77777777" w:rsidR="00150B75" w:rsidRPr="008E5498" w:rsidRDefault="00150B75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3F64EB7" w14:textId="77777777" w:rsidR="00F82657" w:rsidRPr="008E5498" w:rsidRDefault="00F82657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6B369054" w14:textId="164FC0C5" w:rsidR="002E18B3" w:rsidRPr="008E5498" w:rsidRDefault="000B2B40" w:rsidP="008E5498">
      <w:pPr>
        <w:pStyle w:val="Odsekzoznamu"/>
        <w:widowControl w:val="0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REGISTRAČNÉ ČÍSL</w:t>
      </w:r>
      <w:r w:rsidR="00446DE6" w:rsidRPr="008E5498">
        <w:rPr>
          <w:rFonts w:ascii="Times New Roman" w:hAnsi="Times New Roman"/>
          <w:b/>
          <w:bCs/>
          <w:lang w:val="sk-SK"/>
        </w:rPr>
        <w:t>O</w:t>
      </w:r>
    </w:p>
    <w:p w14:paraId="274BDC28" w14:textId="77777777" w:rsidR="00F82657" w:rsidRPr="008E5498" w:rsidRDefault="00F82657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7D1E5D4E" w14:textId="77777777" w:rsidR="003F549F" w:rsidRDefault="003F549F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3F549F">
        <w:rPr>
          <w:rFonts w:ascii="Times New Roman" w:hAnsi="Times New Roman"/>
          <w:lang w:val="sk-SK"/>
        </w:rPr>
        <w:t>34/0224/20-S</w:t>
      </w:r>
    </w:p>
    <w:p w14:paraId="3847F880" w14:textId="77777777" w:rsidR="000968BE" w:rsidRPr="008E5498" w:rsidRDefault="000968BE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3C152463" w14:textId="77777777" w:rsidR="000968BE" w:rsidRPr="008E5498" w:rsidRDefault="000968BE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1221B44C" w14:textId="77777777" w:rsidR="002E18B3" w:rsidRPr="008E5498" w:rsidRDefault="000B2B40" w:rsidP="008E5498">
      <w:pPr>
        <w:pStyle w:val="Odsekzoznamu"/>
        <w:widowControl w:val="0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DÁTUM PRVEJ REGISTRÁCIE/ PREDĹŽENIA REGISTRÁCIE</w:t>
      </w:r>
    </w:p>
    <w:p w14:paraId="320E8248" w14:textId="77777777" w:rsidR="009C3157" w:rsidRPr="008E5498" w:rsidRDefault="009C3157" w:rsidP="008E5498">
      <w:pPr>
        <w:widowControl w:val="0"/>
        <w:spacing w:after="0" w:line="240" w:lineRule="auto"/>
        <w:jc w:val="both"/>
        <w:rPr>
          <w:rFonts w:ascii="Times New Roman" w:hAnsi="Times New Roman"/>
          <w:bCs/>
          <w:lang w:val="sk-SK"/>
        </w:rPr>
      </w:pPr>
    </w:p>
    <w:p w14:paraId="71A8C03F" w14:textId="77777777" w:rsidR="000B2B40" w:rsidRPr="008E5498" w:rsidRDefault="000B2B40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  <w:r w:rsidRPr="008E5498">
        <w:rPr>
          <w:rFonts w:ascii="Times New Roman" w:hAnsi="Times New Roman"/>
          <w:lang w:val="sk-SK"/>
        </w:rPr>
        <w:t xml:space="preserve">Dátum prvej registrácie: </w:t>
      </w:r>
    </w:p>
    <w:p w14:paraId="71E424A6" w14:textId="77777777" w:rsidR="009C3157" w:rsidRPr="008E5498" w:rsidRDefault="009C3157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585EE692" w14:textId="77777777" w:rsidR="00435278" w:rsidRPr="008E5498" w:rsidRDefault="00435278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lang w:val="sk-SK"/>
        </w:rPr>
      </w:pPr>
    </w:p>
    <w:p w14:paraId="4BC04907" w14:textId="450B3D0C" w:rsidR="00B816C6" w:rsidRPr="008E5498" w:rsidRDefault="00C15983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lang w:val="sk-SK"/>
        </w:rPr>
      </w:pPr>
      <w:r w:rsidRPr="008E5498">
        <w:rPr>
          <w:rFonts w:ascii="Times New Roman" w:hAnsi="Times New Roman"/>
          <w:b/>
          <w:bCs/>
          <w:lang w:val="sk-SK"/>
        </w:rPr>
        <w:t>10.</w:t>
      </w:r>
      <w:r w:rsidR="00150B75" w:rsidRPr="008E5498">
        <w:rPr>
          <w:rFonts w:ascii="Times New Roman" w:hAnsi="Times New Roman"/>
          <w:b/>
          <w:bCs/>
          <w:lang w:val="sk-SK"/>
        </w:rPr>
        <w:tab/>
      </w:r>
      <w:r w:rsidR="000B2B40" w:rsidRPr="008E5498">
        <w:rPr>
          <w:rFonts w:ascii="Times New Roman" w:hAnsi="Times New Roman"/>
          <w:b/>
          <w:bCs/>
          <w:lang w:val="sk-SK"/>
        </w:rPr>
        <w:t>DÁTUM REVÍZIE TEXTU</w:t>
      </w:r>
    </w:p>
    <w:p w14:paraId="2ABE7127" w14:textId="77777777" w:rsidR="00323A6A" w:rsidRPr="008E5498" w:rsidRDefault="00323A6A" w:rsidP="008E5498">
      <w:pPr>
        <w:widowControl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bCs/>
          <w:lang w:val="sk-SK"/>
        </w:rPr>
      </w:pPr>
    </w:p>
    <w:p w14:paraId="6707B650" w14:textId="17B24589" w:rsidR="002E18B3" w:rsidRPr="008E5498" w:rsidRDefault="00C15983" w:rsidP="008E549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lang w:val="sk-SK"/>
        </w:rPr>
      </w:pPr>
      <w:r w:rsidRPr="008E5498">
        <w:rPr>
          <w:rFonts w:ascii="Times New Roman" w:hAnsi="Times New Roman"/>
          <w:bCs/>
          <w:lang w:val="sk-SK"/>
        </w:rPr>
        <w:t>10</w:t>
      </w:r>
      <w:r w:rsidR="00273546" w:rsidRPr="008E5498">
        <w:rPr>
          <w:rFonts w:ascii="Times New Roman" w:hAnsi="Times New Roman"/>
          <w:bCs/>
          <w:lang w:val="sk-SK"/>
        </w:rPr>
        <w:t>/20</w:t>
      </w:r>
      <w:r w:rsidR="008901B9">
        <w:rPr>
          <w:rFonts w:ascii="Times New Roman" w:hAnsi="Times New Roman"/>
          <w:bCs/>
          <w:lang w:val="sk-SK"/>
        </w:rPr>
        <w:t>20</w:t>
      </w:r>
    </w:p>
    <w:sectPr w:rsidR="002E18B3" w:rsidRPr="008E5498" w:rsidSect="00FC42CA">
      <w:headerReference w:type="default" r:id="rId17"/>
      <w:footerReference w:type="default" r:id="rId18"/>
      <w:pgSz w:w="12240" w:h="15840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8ADD6" w14:textId="77777777" w:rsidR="00110365" w:rsidRDefault="00110365" w:rsidP="005E3F72">
      <w:pPr>
        <w:spacing w:after="0" w:line="240" w:lineRule="auto"/>
      </w:pPr>
      <w:r>
        <w:separator/>
      </w:r>
    </w:p>
  </w:endnote>
  <w:endnote w:type="continuationSeparator" w:id="0">
    <w:p w14:paraId="1A4938A4" w14:textId="77777777" w:rsidR="00110365" w:rsidRDefault="00110365" w:rsidP="005E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90D85" w14:textId="7141CB3A" w:rsidR="00110365" w:rsidRPr="001536D9" w:rsidRDefault="00110365" w:rsidP="00C15983">
    <w:pPr>
      <w:pStyle w:val="Pta"/>
      <w:jc w:val="center"/>
      <w:rPr>
        <w:rFonts w:ascii="Times New Roman" w:hAnsi="Times New Roman"/>
        <w:sz w:val="18"/>
        <w:szCs w:val="18"/>
      </w:rPr>
    </w:pPr>
    <w:r w:rsidRPr="00D31DB6">
      <w:rPr>
        <w:rFonts w:ascii="Times New Roman" w:hAnsi="Times New Roman"/>
        <w:sz w:val="18"/>
        <w:szCs w:val="18"/>
      </w:rPr>
      <w:fldChar w:fldCharType="begin"/>
    </w:r>
    <w:r w:rsidRPr="00D31DB6">
      <w:rPr>
        <w:rFonts w:ascii="Times New Roman" w:hAnsi="Times New Roman"/>
        <w:sz w:val="18"/>
        <w:szCs w:val="18"/>
      </w:rPr>
      <w:instrText>PAGE   \* MERGEFORMAT</w:instrText>
    </w:r>
    <w:r w:rsidRPr="00D31DB6">
      <w:rPr>
        <w:rFonts w:ascii="Times New Roman" w:hAnsi="Times New Roman"/>
        <w:sz w:val="18"/>
        <w:szCs w:val="18"/>
      </w:rPr>
      <w:fldChar w:fldCharType="separate"/>
    </w:r>
    <w:r w:rsidR="006A560B" w:rsidRPr="006A560B">
      <w:rPr>
        <w:rFonts w:ascii="Times New Roman" w:hAnsi="Times New Roman"/>
        <w:noProof/>
        <w:sz w:val="18"/>
        <w:szCs w:val="18"/>
        <w:lang w:val="sk-SK"/>
      </w:rPr>
      <w:t>3</w:t>
    </w:r>
    <w:r w:rsidRPr="00D31DB6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B8A77" w14:textId="77777777" w:rsidR="00110365" w:rsidRDefault="00110365" w:rsidP="005E3F72">
      <w:pPr>
        <w:spacing w:after="0" w:line="240" w:lineRule="auto"/>
      </w:pPr>
      <w:r>
        <w:separator/>
      </w:r>
    </w:p>
  </w:footnote>
  <w:footnote w:type="continuationSeparator" w:id="0">
    <w:p w14:paraId="1618FC05" w14:textId="77777777" w:rsidR="00110365" w:rsidRDefault="00110365" w:rsidP="005E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AF23D" w14:textId="4EB90F16" w:rsidR="00110365" w:rsidRDefault="00110365">
    <w:pPr>
      <w:pStyle w:val="Hlavika"/>
      <w:rPr>
        <w:rFonts w:ascii="Times New Roman" w:hAnsi="Times New Roman"/>
        <w:sz w:val="18"/>
        <w:szCs w:val="18"/>
        <w:lang w:val="sk-SK"/>
      </w:rPr>
    </w:pPr>
    <w:r w:rsidRPr="0023506C">
      <w:rPr>
        <w:rFonts w:ascii="Times New Roman" w:hAnsi="Times New Roman"/>
        <w:sz w:val="18"/>
        <w:szCs w:val="18"/>
        <w:lang w:val="sk-SK"/>
      </w:rPr>
      <w:t>Schválený text k rozhodnutiu o registrácii, ev.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23506C">
      <w:rPr>
        <w:rFonts w:ascii="Times New Roman" w:hAnsi="Times New Roman"/>
        <w:sz w:val="18"/>
        <w:szCs w:val="18"/>
        <w:lang w:val="sk-SK"/>
      </w:rPr>
      <w:t xml:space="preserve">č.: </w:t>
    </w:r>
    <w:r w:rsidRPr="00C15983">
      <w:rPr>
        <w:rFonts w:ascii="Times New Roman" w:hAnsi="Times New Roman"/>
        <w:sz w:val="18"/>
        <w:szCs w:val="18"/>
        <w:lang w:val="sk-SK"/>
      </w:rPr>
      <w:t>2019/06272-REG</w:t>
    </w:r>
  </w:p>
  <w:p w14:paraId="2C84A93E" w14:textId="77777777" w:rsidR="00110365" w:rsidRDefault="00110365">
    <w:pPr>
      <w:pStyle w:val="Hlavika"/>
      <w:rPr>
        <w:rFonts w:ascii="Times New Roman" w:hAnsi="Times New Roman"/>
        <w:sz w:val="18"/>
        <w:szCs w:val="18"/>
        <w:lang w:val="sk-SK"/>
      </w:rPr>
    </w:pPr>
  </w:p>
  <w:p w14:paraId="785D78BA" w14:textId="77777777" w:rsidR="00110365" w:rsidRPr="0023506C" w:rsidRDefault="00110365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7F8"/>
    <w:multiLevelType w:val="hybridMultilevel"/>
    <w:tmpl w:val="8E9C84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4B51"/>
    <w:multiLevelType w:val="hybridMultilevel"/>
    <w:tmpl w:val="C50E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5CF8"/>
    <w:multiLevelType w:val="multilevel"/>
    <w:tmpl w:val="6C1E4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1AF5C30"/>
    <w:multiLevelType w:val="hybridMultilevel"/>
    <w:tmpl w:val="B19A18E6"/>
    <w:lvl w:ilvl="0" w:tplc="B304480C"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450CC64">
      <w:numFmt w:val="bullet"/>
      <w:lvlText w:val=""/>
      <w:lvlJc w:val="left"/>
      <w:pPr>
        <w:ind w:left="99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2F031FE">
      <w:numFmt w:val="bullet"/>
      <w:lvlText w:val="•"/>
      <w:lvlJc w:val="left"/>
      <w:pPr>
        <w:ind w:left="1939" w:hanging="361"/>
      </w:pPr>
      <w:rPr>
        <w:rFonts w:hint="default"/>
      </w:rPr>
    </w:lvl>
    <w:lvl w:ilvl="3" w:tplc="44AE1618">
      <w:numFmt w:val="bullet"/>
      <w:lvlText w:val="•"/>
      <w:lvlJc w:val="left"/>
      <w:pPr>
        <w:ind w:left="2893" w:hanging="361"/>
      </w:pPr>
      <w:rPr>
        <w:rFonts w:hint="default"/>
      </w:rPr>
    </w:lvl>
    <w:lvl w:ilvl="4" w:tplc="1D4AEE90">
      <w:numFmt w:val="bullet"/>
      <w:lvlText w:val="•"/>
      <w:lvlJc w:val="left"/>
      <w:pPr>
        <w:ind w:left="3847" w:hanging="361"/>
      </w:pPr>
      <w:rPr>
        <w:rFonts w:hint="default"/>
      </w:rPr>
    </w:lvl>
    <w:lvl w:ilvl="5" w:tplc="CB1EF186">
      <w:numFmt w:val="bullet"/>
      <w:lvlText w:val="•"/>
      <w:lvlJc w:val="left"/>
      <w:pPr>
        <w:ind w:left="4801" w:hanging="361"/>
      </w:pPr>
      <w:rPr>
        <w:rFonts w:hint="default"/>
      </w:rPr>
    </w:lvl>
    <w:lvl w:ilvl="6" w:tplc="5B9E3234">
      <w:numFmt w:val="bullet"/>
      <w:lvlText w:val="•"/>
      <w:lvlJc w:val="left"/>
      <w:pPr>
        <w:ind w:left="5755" w:hanging="361"/>
      </w:pPr>
      <w:rPr>
        <w:rFonts w:hint="default"/>
      </w:rPr>
    </w:lvl>
    <w:lvl w:ilvl="7" w:tplc="48705B4E">
      <w:numFmt w:val="bullet"/>
      <w:lvlText w:val="•"/>
      <w:lvlJc w:val="left"/>
      <w:pPr>
        <w:ind w:left="6709" w:hanging="361"/>
      </w:pPr>
      <w:rPr>
        <w:rFonts w:hint="default"/>
      </w:rPr>
    </w:lvl>
    <w:lvl w:ilvl="8" w:tplc="57A48C0C">
      <w:numFmt w:val="bullet"/>
      <w:lvlText w:val="•"/>
      <w:lvlJc w:val="left"/>
      <w:pPr>
        <w:ind w:left="7663" w:hanging="361"/>
      </w:pPr>
      <w:rPr>
        <w:rFonts w:hint="default"/>
      </w:rPr>
    </w:lvl>
  </w:abstractNum>
  <w:abstractNum w:abstractNumId="4" w15:restartNumberingAfterBreak="0">
    <w:nsid w:val="263B57E2"/>
    <w:multiLevelType w:val="hybridMultilevel"/>
    <w:tmpl w:val="8FAE853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7D2652"/>
    <w:multiLevelType w:val="hybridMultilevel"/>
    <w:tmpl w:val="906E662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8764562"/>
    <w:multiLevelType w:val="hybridMultilevel"/>
    <w:tmpl w:val="5B764396"/>
    <w:lvl w:ilvl="0" w:tplc="F9EEAB6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D0CDD"/>
    <w:multiLevelType w:val="hybridMultilevel"/>
    <w:tmpl w:val="53AE8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B58F2"/>
    <w:multiLevelType w:val="hybridMultilevel"/>
    <w:tmpl w:val="3DD20752"/>
    <w:lvl w:ilvl="0" w:tplc="348893DC">
      <w:numFmt w:val="bullet"/>
      <w:lvlText w:val="•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1510C15"/>
    <w:multiLevelType w:val="hybridMultilevel"/>
    <w:tmpl w:val="86864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A4A6B"/>
    <w:multiLevelType w:val="multilevel"/>
    <w:tmpl w:val="BF5A95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</w:rPr>
    </w:lvl>
  </w:abstractNum>
  <w:abstractNum w:abstractNumId="11" w15:restartNumberingAfterBreak="0">
    <w:nsid w:val="55C11243"/>
    <w:multiLevelType w:val="multilevel"/>
    <w:tmpl w:val="9A4CFC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 w15:restartNumberingAfterBreak="0">
    <w:nsid w:val="571C1E59"/>
    <w:multiLevelType w:val="hybridMultilevel"/>
    <w:tmpl w:val="70A6F5EC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0D16AF5"/>
    <w:multiLevelType w:val="hybridMultilevel"/>
    <w:tmpl w:val="0DF27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B77A7"/>
    <w:multiLevelType w:val="hybridMultilevel"/>
    <w:tmpl w:val="CA5CAD20"/>
    <w:lvl w:ilvl="0" w:tplc="348893DC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48639AE"/>
    <w:multiLevelType w:val="hybridMultilevel"/>
    <w:tmpl w:val="77846E22"/>
    <w:lvl w:ilvl="0" w:tplc="800EF8C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32428"/>
    <w:multiLevelType w:val="hybridMultilevel"/>
    <w:tmpl w:val="2924C58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15C49"/>
    <w:multiLevelType w:val="multilevel"/>
    <w:tmpl w:val="596033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7"/>
  </w:num>
  <w:num w:numId="7">
    <w:abstractNumId w:val="11"/>
  </w:num>
  <w:num w:numId="8">
    <w:abstractNumId w:val="10"/>
  </w:num>
  <w:num w:numId="9">
    <w:abstractNumId w:val="13"/>
  </w:num>
  <w:num w:numId="10">
    <w:abstractNumId w:val="9"/>
  </w:num>
  <w:num w:numId="11">
    <w:abstractNumId w:val="15"/>
  </w:num>
  <w:num w:numId="12">
    <w:abstractNumId w:val="6"/>
  </w:num>
  <w:num w:numId="13">
    <w:abstractNumId w:val="14"/>
  </w:num>
  <w:num w:numId="14">
    <w:abstractNumId w:val="8"/>
  </w:num>
  <w:num w:numId="15">
    <w:abstractNumId w:val="12"/>
  </w:num>
  <w:num w:numId="16">
    <w:abstractNumId w:val="4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40"/>
    <w:rsid w:val="00011A32"/>
    <w:rsid w:val="00016467"/>
    <w:rsid w:val="000212FD"/>
    <w:rsid w:val="00026453"/>
    <w:rsid w:val="00031CF2"/>
    <w:rsid w:val="0004599A"/>
    <w:rsid w:val="0005057B"/>
    <w:rsid w:val="00052B76"/>
    <w:rsid w:val="00070734"/>
    <w:rsid w:val="00075903"/>
    <w:rsid w:val="000915FD"/>
    <w:rsid w:val="000968BE"/>
    <w:rsid w:val="000B2B40"/>
    <w:rsid w:val="000C254D"/>
    <w:rsid w:val="000C712A"/>
    <w:rsid w:val="000D0BE0"/>
    <w:rsid w:val="000D1816"/>
    <w:rsid w:val="000F6997"/>
    <w:rsid w:val="00102B2F"/>
    <w:rsid w:val="00110365"/>
    <w:rsid w:val="0012057A"/>
    <w:rsid w:val="00127A27"/>
    <w:rsid w:val="00130C69"/>
    <w:rsid w:val="001422C1"/>
    <w:rsid w:val="00150B75"/>
    <w:rsid w:val="001536D9"/>
    <w:rsid w:val="00165738"/>
    <w:rsid w:val="00176FA9"/>
    <w:rsid w:val="00180190"/>
    <w:rsid w:val="001A529C"/>
    <w:rsid w:val="001A5D8C"/>
    <w:rsid w:val="001B0C4A"/>
    <w:rsid w:val="001B4F84"/>
    <w:rsid w:val="001C3EC0"/>
    <w:rsid w:val="001C7883"/>
    <w:rsid w:val="001D62B7"/>
    <w:rsid w:val="001D76D2"/>
    <w:rsid w:val="001F730E"/>
    <w:rsid w:val="00201AB2"/>
    <w:rsid w:val="002169C2"/>
    <w:rsid w:val="00222F40"/>
    <w:rsid w:val="002344BA"/>
    <w:rsid w:val="0023506C"/>
    <w:rsid w:val="00236E77"/>
    <w:rsid w:val="00244121"/>
    <w:rsid w:val="00263359"/>
    <w:rsid w:val="00270B60"/>
    <w:rsid w:val="00272E12"/>
    <w:rsid w:val="002734E4"/>
    <w:rsid w:val="00273546"/>
    <w:rsid w:val="00286944"/>
    <w:rsid w:val="002A0EBE"/>
    <w:rsid w:val="002C36F1"/>
    <w:rsid w:val="002C7D8E"/>
    <w:rsid w:val="002D0EC9"/>
    <w:rsid w:val="002D520B"/>
    <w:rsid w:val="002D7A1B"/>
    <w:rsid w:val="002E18B3"/>
    <w:rsid w:val="002E5A4F"/>
    <w:rsid w:val="002E6769"/>
    <w:rsid w:val="00302A1C"/>
    <w:rsid w:val="0030694A"/>
    <w:rsid w:val="00323A6A"/>
    <w:rsid w:val="003353CF"/>
    <w:rsid w:val="00340F47"/>
    <w:rsid w:val="00354BA1"/>
    <w:rsid w:val="00362833"/>
    <w:rsid w:val="00365651"/>
    <w:rsid w:val="00372E8E"/>
    <w:rsid w:val="00377462"/>
    <w:rsid w:val="003835B6"/>
    <w:rsid w:val="0039119A"/>
    <w:rsid w:val="00391229"/>
    <w:rsid w:val="00393728"/>
    <w:rsid w:val="003A4FD4"/>
    <w:rsid w:val="003D0D66"/>
    <w:rsid w:val="003D0DE3"/>
    <w:rsid w:val="003E46F4"/>
    <w:rsid w:val="003E7B39"/>
    <w:rsid w:val="003F00D4"/>
    <w:rsid w:val="003F549F"/>
    <w:rsid w:val="00414F96"/>
    <w:rsid w:val="00421CFF"/>
    <w:rsid w:val="00435278"/>
    <w:rsid w:val="00446DE6"/>
    <w:rsid w:val="00462A01"/>
    <w:rsid w:val="0046372E"/>
    <w:rsid w:val="00464383"/>
    <w:rsid w:val="004707F4"/>
    <w:rsid w:val="00472DF5"/>
    <w:rsid w:val="00474B04"/>
    <w:rsid w:val="004933A7"/>
    <w:rsid w:val="004A0B0B"/>
    <w:rsid w:val="004C5B97"/>
    <w:rsid w:val="004D2674"/>
    <w:rsid w:val="004D2E49"/>
    <w:rsid w:val="00530F89"/>
    <w:rsid w:val="005357E4"/>
    <w:rsid w:val="00544E18"/>
    <w:rsid w:val="00545911"/>
    <w:rsid w:val="00547910"/>
    <w:rsid w:val="00565ACB"/>
    <w:rsid w:val="00595B69"/>
    <w:rsid w:val="005C5D97"/>
    <w:rsid w:val="005C65DE"/>
    <w:rsid w:val="005E3F72"/>
    <w:rsid w:val="005F03C7"/>
    <w:rsid w:val="005F6DFF"/>
    <w:rsid w:val="005F72F6"/>
    <w:rsid w:val="00613810"/>
    <w:rsid w:val="006169CF"/>
    <w:rsid w:val="006225C9"/>
    <w:rsid w:val="006253F0"/>
    <w:rsid w:val="006346A7"/>
    <w:rsid w:val="006569FA"/>
    <w:rsid w:val="00672279"/>
    <w:rsid w:val="006A560B"/>
    <w:rsid w:val="006B2F8C"/>
    <w:rsid w:val="006B464D"/>
    <w:rsid w:val="006C26D8"/>
    <w:rsid w:val="006D6FCB"/>
    <w:rsid w:val="006E054E"/>
    <w:rsid w:val="006F4125"/>
    <w:rsid w:val="00712D79"/>
    <w:rsid w:val="00713E79"/>
    <w:rsid w:val="00721CBB"/>
    <w:rsid w:val="00740B39"/>
    <w:rsid w:val="007419CC"/>
    <w:rsid w:val="00744884"/>
    <w:rsid w:val="00746CE1"/>
    <w:rsid w:val="0075586F"/>
    <w:rsid w:val="00764C97"/>
    <w:rsid w:val="0077236E"/>
    <w:rsid w:val="00776B6D"/>
    <w:rsid w:val="00782944"/>
    <w:rsid w:val="00785764"/>
    <w:rsid w:val="00792E1B"/>
    <w:rsid w:val="007961D7"/>
    <w:rsid w:val="007B2DA8"/>
    <w:rsid w:val="007C41B8"/>
    <w:rsid w:val="007F2230"/>
    <w:rsid w:val="00804EE6"/>
    <w:rsid w:val="00813B9F"/>
    <w:rsid w:val="00823DE2"/>
    <w:rsid w:val="008306CB"/>
    <w:rsid w:val="00840B6A"/>
    <w:rsid w:val="00842302"/>
    <w:rsid w:val="00850802"/>
    <w:rsid w:val="00852814"/>
    <w:rsid w:val="008556A6"/>
    <w:rsid w:val="00873BCB"/>
    <w:rsid w:val="00876B2B"/>
    <w:rsid w:val="008901B9"/>
    <w:rsid w:val="008B1113"/>
    <w:rsid w:val="008B51DA"/>
    <w:rsid w:val="008C100D"/>
    <w:rsid w:val="008D5A94"/>
    <w:rsid w:val="008D7807"/>
    <w:rsid w:val="008E2415"/>
    <w:rsid w:val="008E5498"/>
    <w:rsid w:val="00902799"/>
    <w:rsid w:val="009303E5"/>
    <w:rsid w:val="00937035"/>
    <w:rsid w:val="00942244"/>
    <w:rsid w:val="009475F8"/>
    <w:rsid w:val="00955B2B"/>
    <w:rsid w:val="00956454"/>
    <w:rsid w:val="0095795E"/>
    <w:rsid w:val="00966797"/>
    <w:rsid w:val="00967E50"/>
    <w:rsid w:val="009755C6"/>
    <w:rsid w:val="009901CA"/>
    <w:rsid w:val="009A4463"/>
    <w:rsid w:val="009C3157"/>
    <w:rsid w:val="009E57CE"/>
    <w:rsid w:val="009F315F"/>
    <w:rsid w:val="009F4656"/>
    <w:rsid w:val="009F720F"/>
    <w:rsid w:val="00A33A42"/>
    <w:rsid w:val="00A34607"/>
    <w:rsid w:val="00A500AB"/>
    <w:rsid w:val="00A823C4"/>
    <w:rsid w:val="00AB4521"/>
    <w:rsid w:val="00AB6E71"/>
    <w:rsid w:val="00AB7935"/>
    <w:rsid w:val="00AC03A0"/>
    <w:rsid w:val="00AE6DAF"/>
    <w:rsid w:val="00B033D4"/>
    <w:rsid w:val="00B10CB1"/>
    <w:rsid w:val="00B2428B"/>
    <w:rsid w:val="00B33E40"/>
    <w:rsid w:val="00B43D4B"/>
    <w:rsid w:val="00B54C35"/>
    <w:rsid w:val="00B667F3"/>
    <w:rsid w:val="00B7106C"/>
    <w:rsid w:val="00B816C6"/>
    <w:rsid w:val="00B9091F"/>
    <w:rsid w:val="00B919F8"/>
    <w:rsid w:val="00B93804"/>
    <w:rsid w:val="00B96283"/>
    <w:rsid w:val="00BA06E2"/>
    <w:rsid w:val="00BA2363"/>
    <w:rsid w:val="00BD1974"/>
    <w:rsid w:val="00BD40B4"/>
    <w:rsid w:val="00C0234F"/>
    <w:rsid w:val="00C15983"/>
    <w:rsid w:val="00C33584"/>
    <w:rsid w:val="00C4131C"/>
    <w:rsid w:val="00C464FE"/>
    <w:rsid w:val="00C52C34"/>
    <w:rsid w:val="00C633EA"/>
    <w:rsid w:val="00C81469"/>
    <w:rsid w:val="00C93CA9"/>
    <w:rsid w:val="00CB0CBF"/>
    <w:rsid w:val="00CB0ECB"/>
    <w:rsid w:val="00CC21C5"/>
    <w:rsid w:val="00CC6CF9"/>
    <w:rsid w:val="00CC7036"/>
    <w:rsid w:val="00CD21E3"/>
    <w:rsid w:val="00CD6CB6"/>
    <w:rsid w:val="00CE2217"/>
    <w:rsid w:val="00CE2947"/>
    <w:rsid w:val="00CE3647"/>
    <w:rsid w:val="00CF5287"/>
    <w:rsid w:val="00CF73D8"/>
    <w:rsid w:val="00D02B2C"/>
    <w:rsid w:val="00D06B77"/>
    <w:rsid w:val="00D1236C"/>
    <w:rsid w:val="00D170D4"/>
    <w:rsid w:val="00D2677B"/>
    <w:rsid w:val="00D31DB6"/>
    <w:rsid w:val="00D32A3C"/>
    <w:rsid w:val="00D41CE7"/>
    <w:rsid w:val="00D60FDF"/>
    <w:rsid w:val="00D61932"/>
    <w:rsid w:val="00D645F1"/>
    <w:rsid w:val="00D9170B"/>
    <w:rsid w:val="00E22CE9"/>
    <w:rsid w:val="00E35068"/>
    <w:rsid w:val="00E5427B"/>
    <w:rsid w:val="00E60CE6"/>
    <w:rsid w:val="00E8259C"/>
    <w:rsid w:val="00E8520A"/>
    <w:rsid w:val="00E86410"/>
    <w:rsid w:val="00E9564B"/>
    <w:rsid w:val="00EB319B"/>
    <w:rsid w:val="00EB74CD"/>
    <w:rsid w:val="00EC2A7E"/>
    <w:rsid w:val="00EC4CCF"/>
    <w:rsid w:val="00ED0D19"/>
    <w:rsid w:val="00F06A63"/>
    <w:rsid w:val="00F21CBB"/>
    <w:rsid w:val="00F431A6"/>
    <w:rsid w:val="00F50C6D"/>
    <w:rsid w:val="00F54043"/>
    <w:rsid w:val="00F71359"/>
    <w:rsid w:val="00F77366"/>
    <w:rsid w:val="00F82657"/>
    <w:rsid w:val="00F845D1"/>
    <w:rsid w:val="00F84E90"/>
    <w:rsid w:val="00F85F2B"/>
    <w:rsid w:val="00F93C88"/>
    <w:rsid w:val="00F96D4B"/>
    <w:rsid w:val="00F976C4"/>
    <w:rsid w:val="00FC42CA"/>
    <w:rsid w:val="00FC5DBD"/>
    <w:rsid w:val="00FD3F2B"/>
    <w:rsid w:val="00FD7416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C63C64"/>
  <w15:docId w15:val="{2EA9C840-4E85-42F3-9A49-726847D4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3DE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472DF5"/>
    <w:pPr>
      <w:ind w:left="720"/>
      <w:contextualSpacing/>
    </w:pPr>
  </w:style>
  <w:style w:type="character" w:styleId="Hypertextovprepojenie">
    <w:name w:val="Hyperlink"/>
    <w:unhideWhenUsed/>
    <w:rsid w:val="004707F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4C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F72"/>
  </w:style>
  <w:style w:type="paragraph" w:styleId="Pta">
    <w:name w:val="footer"/>
    <w:basedOn w:val="Normlny"/>
    <w:link w:val="PtaChar"/>
    <w:uiPriority w:val="99"/>
    <w:unhideWhenUsed/>
    <w:rsid w:val="005E3F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F72"/>
  </w:style>
  <w:style w:type="character" w:styleId="Odkaznakomentr">
    <w:name w:val="annotation reference"/>
    <w:uiPriority w:val="99"/>
    <w:semiHidden/>
    <w:unhideWhenUsed/>
    <w:rsid w:val="003D0D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0D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D0D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0D6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D0D6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CC6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287724709msonormal">
    <w:name w:val="yiv9287724709msonormal"/>
    <w:basedOn w:val="Normlny"/>
    <w:rsid w:val="00F82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D32A3C"/>
    <w:rPr>
      <w:sz w:val="22"/>
      <w:szCs w:val="22"/>
      <w:lang w:val="en-US" w:eastAsia="en-US"/>
    </w:rPr>
  </w:style>
  <w:style w:type="character" w:customStyle="1" w:styleId="TextChar1">
    <w:name w:val="Text Char1"/>
    <w:link w:val="Text"/>
    <w:locked/>
    <w:rsid w:val="00393728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393728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  <w:style w:type="paragraph" w:customStyle="1" w:styleId="TableText">
    <w:name w:val="Table Text"/>
    <w:basedOn w:val="Normlny"/>
    <w:uiPriority w:val="99"/>
    <w:rsid w:val="000C254D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styleId="Zkladntext">
    <w:name w:val="Body Text"/>
    <w:basedOn w:val="Normlny"/>
    <w:link w:val="ZkladntextChar"/>
    <w:uiPriority w:val="1"/>
    <w:qFormat/>
    <w:rsid w:val="00263359"/>
    <w:pPr>
      <w:spacing w:after="0" w:line="240" w:lineRule="auto"/>
    </w:pPr>
    <w:rPr>
      <w:rFonts w:ascii="Times New Roman" w:eastAsia="Times New Roman" w:hAnsi="Times New Roman"/>
      <w:i/>
      <w:color w:val="008000"/>
      <w:szCs w:val="20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1"/>
    <w:rsid w:val="00263359"/>
    <w:rPr>
      <w:rFonts w:ascii="Times New Roman" w:eastAsia="Times New Roman" w:hAnsi="Times New Roman"/>
      <w:i/>
      <w:color w:val="008000"/>
      <w:sz w:val="22"/>
      <w:lang w:val="en-GB" w:eastAsia="en-US"/>
    </w:rPr>
  </w:style>
  <w:style w:type="paragraph" w:customStyle="1" w:styleId="Default">
    <w:name w:val="Default"/>
    <w:rsid w:val="008E549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s-ES" w:eastAsia="en-US"/>
    </w:rPr>
  </w:style>
  <w:style w:type="paragraph" w:customStyle="1" w:styleId="TableParagraph">
    <w:name w:val="Table Paragraph"/>
    <w:basedOn w:val="Normlny"/>
    <w:uiPriority w:val="1"/>
    <w:qFormat/>
    <w:rsid w:val="004A0B0B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537F-0D8E-4DC8-8178-C825CC55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21</Pages>
  <Words>7493</Words>
  <Characters>42711</Characters>
  <Application>Microsoft Office Word</Application>
  <DocSecurity>0</DocSecurity>
  <Lines>355</Lines>
  <Paragraphs>100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50104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Kristína Ráczová</cp:lastModifiedBy>
  <cp:revision>6</cp:revision>
  <cp:lastPrinted>2015-09-09T10:00:00Z</cp:lastPrinted>
  <dcterms:created xsi:type="dcterms:W3CDTF">2020-10-08T14:27:00Z</dcterms:created>
  <dcterms:modified xsi:type="dcterms:W3CDTF">2020-10-09T08:34:00Z</dcterms:modified>
</cp:coreProperties>
</file>