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03" w:rsidRPr="000E1573" w:rsidRDefault="005E0603" w:rsidP="000E1573">
      <w:pPr>
        <w:pStyle w:val="Nzov"/>
        <w:numPr>
          <w:ilvl w:val="0"/>
          <w:numId w:val="0"/>
        </w:numPr>
        <w:rPr>
          <w:sz w:val="22"/>
          <w:szCs w:val="22"/>
        </w:rPr>
      </w:pPr>
      <w:bookmarkStart w:id="0" w:name="_GoBack"/>
      <w:bookmarkEnd w:id="0"/>
      <w:r w:rsidRPr="000E1573">
        <w:rPr>
          <w:sz w:val="22"/>
          <w:szCs w:val="22"/>
        </w:rPr>
        <w:t>SÚHRN CHARAKTERISTICKÝCH VLASTNOSTÍ LIEKU</w:t>
      </w:r>
    </w:p>
    <w:p w:rsidR="005E0603" w:rsidRPr="000E1573" w:rsidRDefault="005E0603" w:rsidP="000E1573">
      <w:pPr>
        <w:numPr>
          <w:ilvl w:val="0"/>
          <w:numId w:val="0"/>
        </w:numPr>
        <w:rPr>
          <w:b/>
          <w:bCs/>
          <w:sz w:val="22"/>
          <w:szCs w:val="22"/>
        </w:rPr>
      </w:pPr>
    </w:p>
    <w:p w:rsidR="005E0603" w:rsidRPr="000E1573" w:rsidRDefault="005E0603" w:rsidP="000E1573">
      <w:pPr>
        <w:numPr>
          <w:ilvl w:val="0"/>
          <w:numId w:val="0"/>
        </w:numPr>
        <w:rPr>
          <w:b/>
          <w:bCs/>
          <w:sz w:val="22"/>
          <w:szCs w:val="22"/>
        </w:rPr>
      </w:pPr>
    </w:p>
    <w:p w:rsidR="005E0603" w:rsidRPr="000E1573" w:rsidRDefault="005E0603" w:rsidP="004A5EE0">
      <w:pPr>
        <w:numPr>
          <w:ilvl w:val="0"/>
          <w:numId w:val="1"/>
        </w:numPr>
        <w:ind w:left="357" w:hanging="357"/>
        <w:outlineLvl w:val="0"/>
        <w:rPr>
          <w:b/>
          <w:bCs/>
          <w:sz w:val="22"/>
          <w:szCs w:val="22"/>
        </w:rPr>
      </w:pPr>
      <w:r w:rsidRPr="000E1573">
        <w:rPr>
          <w:b/>
          <w:bCs/>
          <w:sz w:val="22"/>
          <w:szCs w:val="22"/>
        </w:rPr>
        <w:t>NÁZOV LIEKU</w:t>
      </w:r>
    </w:p>
    <w:p w:rsidR="005E0603" w:rsidRPr="000E1573" w:rsidRDefault="005E0603" w:rsidP="000E1573">
      <w:pPr>
        <w:pStyle w:val="Nadpis1"/>
        <w:numPr>
          <w:ilvl w:val="0"/>
          <w:numId w:val="0"/>
        </w:numPr>
        <w:rPr>
          <w:b/>
          <w:bCs/>
          <w:sz w:val="22"/>
          <w:szCs w:val="22"/>
        </w:rPr>
      </w:pPr>
    </w:p>
    <w:p w:rsidR="00D52640" w:rsidRDefault="005E0603" w:rsidP="000E1573">
      <w:pPr>
        <w:numPr>
          <w:ilvl w:val="0"/>
          <w:numId w:val="0"/>
        </w:numPr>
        <w:rPr>
          <w:sz w:val="22"/>
          <w:szCs w:val="22"/>
        </w:rPr>
      </w:pPr>
      <w:r w:rsidRPr="000E1573">
        <w:rPr>
          <w:sz w:val="22"/>
          <w:szCs w:val="22"/>
        </w:rPr>
        <w:t xml:space="preserve">Metformin </w:t>
      </w:r>
      <w:r>
        <w:rPr>
          <w:sz w:val="22"/>
          <w:szCs w:val="22"/>
        </w:rPr>
        <w:t>Juta</w:t>
      </w:r>
      <w:r w:rsidRPr="000E1573">
        <w:rPr>
          <w:sz w:val="22"/>
          <w:szCs w:val="22"/>
        </w:rPr>
        <w:t xml:space="preserve"> </w:t>
      </w:r>
      <w:r>
        <w:rPr>
          <w:sz w:val="22"/>
          <w:szCs w:val="22"/>
        </w:rPr>
        <w:t>75</w:t>
      </w:r>
      <w:r w:rsidRPr="000E1573">
        <w:rPr>
          <w:sz w:val="22"/>
          <w:szCs w:val="22"/>
        </w:rPr>
        <w:t>0 mg</w:t>
      </w:r>
      <w:r>
        <w:rPr>
          <w:sz w:val="22"/>
          <w:szCs w:val="22"/>
        </w:rPr>
        <w:t xml:space="preserve"> </w:t>
      </w:r>
    </w:p>
    <w:p w:rsidR="005E0603" w:rsidRPr="004A5EE0" w:rsidRDefault="005E0603" w:rsidP="000E1573">
      <w:pPr>
        <w:numPr>
          <w:ilvl w:val="0"/>
          <w:numId w:val="0"/>
        </w:numPr>
        <w:rPr>
          <w:sz w:val="22"/>
          <w:szCs w:val="22"/>
        </w:rPr>
      </w:pPr>
      <w:r w:rsidRPr="000E1573">
        <w:rPr>
          <w:sz w:val="22"/>
          <w:szCs w:val="22"/>
        </w:rPr>
        <w:t>tablety s predĺženým uvoľňovaním</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p>
    <w:p w:rsidR="005E0603" w:rsidRPr="000E1573" w:rsidRDefault="005E0603" w:rsidP="004A5EE0">
      <w:pPr>
        <w:numPr>
          <w:ilvl w:val="0"/>
          <w:numId w:val="1"/>
        </w:numPr>
        <w:ind w:left="357" w:hanging="357"/>
        <w:outlineLvl w:val="0"/>
        <w:rPr>
          <w:b/>
          <w:bCs/>
          <w:sz w:val="22"/>
          <w:szCs w:val="22"/>
        </w:rPr>
      </w:pPr>
      <w:r w:rsidRPr="000E1573">
        <w:rPr>
          <w:b/>
          <w:bCs/>
          <w:sz w:val="22"/>
          <w:szCs w:val="22"/>
        </w:rPr>
        <w:t xml:space="preserve">KVALITATÍVNE A KVANTITATÍVNE ZLOŽENIE </w:t>
      </w:r>
    </w:p>
    <w:p w:rsidR="005E0603" w:rsidRPr="000E1573" w:rsidRDefault="005E0603" w:rsidP="00437B35">
      <w:pPr>
        <w:numPr>
          <w:ilvl w:val="0"/>
          <w:numId w:val="0"/>
        </w:numPr>
        <w:rPr>
          <w:sz w:val="22"/>
          <w:szCs w:val="22"/>
        </w:rPr>
      </w:pPr>
    </w:p>
    <w:p w:rsidR="005E0603" w:rsidRPr="00437B35" w:rsidRDefault="005E0603" w:rsidP="000E1573">
      <w:pPr>
        <w:numPr>
          <w:ilvl w:val="0"/>
          <w:numId w:val="0"/>
        </w:numPr>
        <w:rPr>
          <w:sz w:val="22"/>
          <w:szCs w:val="22"/>
        </w:rPr>
      </w:pPr>
      <w:r w:rsidRPr="000E1573">
        <w:rPr>
          <w:sz w:val="22"/>
          <w:szCs w:val="22"/>
        </w:rPr>
        <w:t xml:space="preserve">Každá tableta s predĺženým uvoľňovaním obsahuje </w:t>
      </w:r>
      <w:r>
        <w:rPr>
          <w:sz w:val="22"/>
          <w:szCs w:val="22"/>
        </w:rPr>
        <w:t>75</w:t>
      </w:r>
      <w:r w:rsidRPr="000E1573">
        <w:rPr>
          <w:sz w:val="22"/>
          <w:szCs w:val="22"/>
        </w:rPr>
        <w:t>0 mg metformínium</w:t>
      </w:r>
      <w:r w:rsidR="00384B3B">
        <w:rPr>
          <w:sz w:val="22"/>
          <w:szCs w:val="22"/>
        </w:rPr>
        <w:t>-</w:t>
      </w:r>
      <w:r w:rsidRPr="000E1573">
        <w:rPr>
          <w:sz w:val="22"/>
          <w:szCs w:val="22"/>
        </w:rPr>
        <w:t xml:space="preserve">chloridu, čo zodpovedá </w:t>
      </w:r>
      <w:r>
        <w:rPr>
          <w:sz w:val="22"/>
          <w:szCs w:val="22"/>
        </w:rPr>
        <w:t>585</w:t>
      </w:r>
      <w:r w:rsidRPr="000E1573">
        <w:rPr>
          <w:sz w:val="22"/>
          <w:szCs w:val="22"/>
        </w:rPr>
        <w:t xml:space="preserve"> mg metformínu.  </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Úplný zoznam pomocných látok, pozri časť 6.1.</w:t>
      </w:r>
    </w:p>
    <w:p w:rsidR="005E0603" w:rsidRPr="000E1573" w:rsidRDefault="005E0603" w:rsidP="000E1573">
      <w:pPr>
        <w:pStyle w:val="Zarkazkladnhotextu"/>
        <w:numPr>
          <w:ilvl w:val="0"/>
          <w:numId w:val="0"/>
        </w:numPr>
        <w:ind w:left="360" w:hanging="360"/>
        <w:rPr>
          <w:sz w:val="22"/>
          <w:szCs w:val="22"/>
        </w:rPr>
      </w:pPr>
    </w:p>
    <w:p w:rsidR="005E0603" w:rsidRPr="000E1573" w:rsidRDefault="005E0603" w:rsidP="000E1573">
      <w:pPr>
        <w:numPr>
          <w:ilvl w:val="0"/>
          <w:numId w:val="0"/>
        </w:numPr>
        <w:rPr>
          <w:sz w:val="22"/>
          <w:szCs w:val="22"/>
        </w:rPr>
      </w:pPr>
    </w:p>
    <w:p w:rsidR="005E0603" w:rsidRDefault="005E0603" w:rsidP="004A5EE0">
      <w:pPr>
        <w:numPr>
          <w:ilvl w:val="0"/>
          <w:numId w:val="1"/>
        </w:numPr>
        <w:ind w:left="357" w:hanging="357"/>
        <w:outlineLvl w:val="0"/>
        <w:rPr>
          <w:b/>
          <w:bCs/>
          <w:sz w:val="22"/>
          <w:szCs w:val="22"/>
        </w:rPr>
      </w:pPr>
      <w:r w:rsidRPr="000E1573">
        <w:rPr>
          <w:b/>
          <w:bCs/>
          <w:sz w:val="22"/>
          <w:szCs w:val="22"/>
        </w:rPr>
        <w:t>LIEKOVÁ FORMA</w:t>
      </w:r>
    </w:p>
    <w:p w:rsidR="005E0603" w:rsidRPr="000B7EA2" w:rsidRDefault="005E0603" w:rsidP="000B7EA2">
      <w:pPr>
        <w:numPr>
          <w:ilvl w:val="0"/>
          <w:numId w:val="0"/>
        </w:numPr>
        <w:ind w:left="360"/>
        <w:rPr>
          <w:b/>
          <w:bCs/>
          <w:sz w:val="22"/>
          <w:szCs w:val="22"/>
        </w:rPr>
      </w:pPr>
    </w:p>
    <w:p w:rsidR="005E0603" w:rsidRPr="00437B35" w:rsidRDefault="005E0603" w:rsidP="00437B35">
      <w:pPr>
        <w:numPr>
          <w:ilvl w:val="0"/>
          <w:numId w:val="0"/>
        </w:numPr>
        <w:rPr>
          <w:sz w:val="22"/>
          <w:szCs w:val="22"/>
        </w:rPr>
      </w:pPr>
      <w:r w:rsidRPr="00437B35">
        <w:rPr>
          <w:sz w:val="22"/>
          <w:szCs w:val="22"/>
        </w:rPr>
        <w:t>Tableta s predĺženým uvoľňovaním.</w:t>
      </w:r>
    </w:p>
    <w:p w:rsidR="005E0603" w:rsidRPr="000E1573" w:rsidRDefault="005E0603" w:rsidP="000E1573">
      <w:pPr>
        <w:numPr>
          <w:ilvl w:val="0"/>
          <w:numId w:val="0"/>
        </w:numPr>
        <w:ind w:left="1710"/>
        <w:rPr>
          <w:sz w:val="22"/>
          <w:szCs w:val="22"/>
        </w:rPr>
      </w:pPr>
    </w:p>
    <w:p w:rsidR="005E0603" w:rsidRPr="000E1573" w:rsidRDefault="005E0603" w:rsidP="000E1573">
      <w:pPr>
        <w:numPr>
          <w:ilvl w:val="0"/>
          <w:numId w:val="0"/>
        </w:numPr>
        <w:rPr>
          <w:sz w:val="22"/>
          <w:szCs w:val="22"/>
        </w:rPr>
      </w:pPr>
      <w:r>
        <w:rPr>
          <w:sz w:val="22"/>
          <w:szCs w:val="22"/>
        </w:rPr>
        <w:t>S</w:t>
      </w:r>
      <w:r w:rsidRPr="00DA77B8">
        <w:rPr>
          <w:sz w:val="22"/>
          <w:szCs w:val="22"/>
        </w:rPr>
        <w:t>ivobiele bikonvexné filmom obalené tablety</w:t>
      </w:r>
      <w:r w:rsidR="005A0D80">
        <w:rPr>
          <w:sz w:val="22"/>
          <w:szCs w:val="22"/>
        </w:rPr>
        <w:t xml:space="preserve"> tvaru kapsuly</w:t>
      </w:r>
      <w:r w:rsidRPr="00DA77B8">
        <w:rPr>
          <w:sz w:val="22"/>
          <w:szCs w:val="22"/>
        </w:rPr>
        <w:t xml:space="preserve"> hladké na oboch stranách s rozmermi približne  19,</w:t>
      </w:r>
      <w:r w:rsidR="00384B3B" w:rsidRPr="00DA77B8">
        <w:rPr>
          <w:sz w:val="22"/>
          <w:szCs w:val="22"/>
        </w:rPr>
        <w:t>1</w:t>
      </w:r>
      <w:r w:rsidR="00384B3B">
        <w:rPr>
          <w:sz w:val="22"/>
          <w:szCs w:val="22"/>
        </w:rPr>
        <w:t> </w:t>
      </w:r>
      <w:r w:rsidR="00384B3B" w:rsidRPr="00DA77B8">
        <w:rPr>
          <w:sz w:val="22"/>
          <w:szCs w:val="22"/>
        </w:rPr>
        <w:t>×</w:t>
      </w:r>
      <w:r w:rsidR="00384B3B">
        <w:rPr>
          <w:sz w:val="22"/>
          <w:szCs w:val="22"/>
        </w:rPr>
        <w:t> </w:t>
      </w:r>
      <w:r w:rsidRPr="00DA77B8">
        <w:rPr>
          <w:sz w:val="22"/>
          <w:szCs w:val="22"/>
        </w:rPr>
        <w:t>9,3 mm.</w:t>
      </w:r>
    </w:p>
    <w:p w:rsidR="005E060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p>
    <w:p w:rsidR="005E0603" w:rsidRPr="000E1573" w:rsidRDefault="005E0603" w:rsidP="004A5EE0">
      <w:pPr>
        <w:numPr>
          <w:ilvl w:val="0"/>
          <w:numId w:val="1"/>
        </w:numPr>
        <w:ind w:left="357" w:hanging="357"/>
        <w:outlineLvl w:val="0"/>
        <w:rPr>
          <w:b/>
          <w:bCs/>
          <w:sz w:val="22"/>
          <w:szCs w:val="22"/>
        </w:rPr>
      </w:pPr>
      <w:r w:rsidRPr="000E1573">
        <w:rPr>
          <w:b/>
          <w:bCs/>
          <w:sz w:val="22"/>
          <w:szCs w:val="22"/>
        </w:rPr>
        <w:t>KLINICKÉ ÚDAJE</w:t>
      </w:r>
    </w:p>
    <w:p w:rsidR="005E0603" w:rsidRPr="00437B35" w:rsidRDefault="005E0603" w:rsidP="00437B35">
      <w:pPr>
        <w:numPr>
          <w:ilvl w:val="0"/>
          <w:numId w:val="0"/>
        </w:numPr>
        <w:rPr>
          <w:sz w:val="22"/>
          <w:szCs w:val="22"/>
        </w:rPr>
      </w:pPr>
    </w:p>
    <w:p w:rsidR="005E0603" w:rsidRPr="000B7EA2" w:rsidRDefault="005E0603" w:rsidP="004A5EE0">
      <w:pPr>
        <w:numPr>
          <w:ilvl w:val="0"/>
          <w:numId w:val="0"/>
        </w:numPr>
        <w:outlineLvl w:val="1"/>
        <w:rPr>
          <w:b/>
          <w:bCs/>
          <w:sz w:val="22"/>
          <w:szCs w:val="22"/>
        </w:rPr>
      </w:pPr>
      <w:r w:rsidRPr="000B7EA2">
        <w:rPr>
          <w:b/>
          <w:bCs/>
          <w:sz w:val="22"/>
          <w:szCs w:val="22"/>
        </w:rPr>
        <w:t>4.1</w:t>
      </w:r>
      <w:r w:rsidRPr="000B7EA2">
        <w:rPr>
          <w:b/>
          <w:bCs/>
          <w:sz w:val="22"/>
          <w:szCs w:val="22"/>
        </w:rPr>
        <w:tab/>
        <w:t>Terapeutické indikácie</w:t>
      </w:r>
    </w:p>
    <w:p w:rsidR="005E0603" w:rsidRDefault="005E0603" w:rsidP="000E1573">
      <w:pPr>
        <w:numPr>
          <w:ilvl w:val="0"/>
          <w:numId w:val="0"/>
        </w:numPr>
        <w:rPr>
          <w:b/>
          <w:bCs/>
          <w:sz w:val="22"/>
          <w:szCs w:val="22"/>
        </w:rPr>
      </w:pPr>
    </w:p>
    <w:p w:rsidR="005E0603" w:rsidRPr="000B7EA2" w:rsidRDefault="005E0603" w:rsidP="000B7EA2">
      <w:pPr>
        <w:numPr>
          <w:ilvl w:val="0"/>
          <w:numId w:val="0"/>
        </w:numPr>
        <w:rPr>
          <w:sz w:val="22"/>
          <w:szCs w:val="22"/>
        </w:rPr>
      </w:pPr>
      <w:r w:rsidRPr="000B7EA2">
        <w:rPr>
          <w:sz w:val="22"/>
          <w:szCs w:val="22"/>
        </w:rPr>
        <w:t xml:space="preserve">Liečba diabetes mellitus 2. typu u dospelých, hlavne u obéznych pacientov, ak sa diétou a cvičením nedosiahne adekvátna kontrola glykémie. </w:t>
      </w:r>
    </w:p>
    <w:p w:rsidR="005E0603" w:rsidRDefault="005E0603" w:rsidP="000B7EA2">
      <w:pPr>
        <w:numPr>
          <w:ilvl w:val="0"/>
          <w:numId w:val="0"/>
        </w:numPr>
        <w:rPr>
          <w:sz w:val="22"/>
          <w:szCs w:val="22"/>
        </w:rPr>
      </w:pPr>
    </w:p>
    <w:p w:rsidR="005E0603" w:rsidRPr="000B7EA2" w:rsidRDefault="005E0603" w:rsidP="000B7EA2">
      <w:pPr>
        <w:numPr>
          <w:ilvl w:val="0"/>
          <w:numId w:val="0"/>
        </w:numPr>
        <w:rPr>
          <w:sz w:val="22"/>
          <w:szCs w:val="22"/>
        </w:rPr>
      </w:pPr>
      <w:r w:rsidRPr="000B7EA2">
        <w:rPr>
          <w:sz w:val="22"/>
          <w:szCs w:val="22"/>
        </w:rPr>
        <w:t xml:space="preserve">Metformin Juta </w:t>
      </w:r>
      <w:r>
        <w:rPr>
          <w:sz w:val="22"/>
          <w:szCs w:val="22"/>
        </w:rPr>
        <w:t>75</w:t>
      </w:r>
      <w:r w:rsidRPr="000B7EA2">
        <w:rPr>
          <w:sz w:val="22"/>
          <w:szCs w:val="22"/>
        </w:rPr>
        <w:t>0 mg môže byť indikovaný ako monoterapia alebo v kombinácii s inými perorálnymi antidiabetikami alebo s inzulínom.</w:t>
      </w:r>
    </w:p>
    <w:p w:rsidR="005E0603" w:rsidRPr="000E1573" w:rsidRDefault="005E0603" w:rsidP="000E1573">
      <w:pPr>
        <w:numPr>
          <w:ilvl w:val="0"/>
          <w:numId w:val="0"/>
        </w:numPr>
        <w:rPr>
          <w:b/>
          <w:bCs/>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4.2</w:t>
      </w:r>
      <w:r w:rsidRPr="000E1573">
        <w:rPr>
          <w:b/>
          <w:bCs/>
          <w:sz w:val="22"/>
          <w:szCs w:val="22"/>
        </w:rPr>
        <w:tab/>
        <w:t>Dávkovanie a spôsob podávania</w:t>
      </w:r>
    </w:p>
    <w:p w:rsidR="005E0603" w:rsidRPr="000E1573" w:rsidRDefault="005E0603" w:rsidP="000E1573">
      <w:pPr>
        <w:numPr>
          <w:ilvl w:val="0"/>
          <w:numId w:val="0"/>
        </w:numPr>
        <w:rPr>
          <w:b/>
          <w:bCs/>
          <w:sz w:val="22"/>
          <w:szCs w:val="22"/>
        </w:rPr>
      </w:pPr>
    </w:p>
    <w:p w:rsidR="005E0603" w:rsidRPr="000E1573" w:rsidRDefault="005E0603" w:rsidP="000E1573">
      <w:pPr>
        <w:numPr>
          <w:ilvl w:val="0"/>
          <w:numId w:val="0"/>
        </w:numPr>
        <w:rPr>
          <w:sz w:val="22"/>
          <w:szCs w:val="22"/>
          <w:u w:val="single"/>
        </w:rPr>
      </w:pPr>
      <w:r w:rsidRPr="000E1573">
        <w:rPr>
          <w:sz w:val="22"/>
          <w:szCs w:val="22"/>
          <w:u w:val="single"/>
        </w:rPr>
        <w:t>Dávkovanie</w:t>
      </w:r>
    </w:p>
    <w:p w:rsidR="005E0603" w:rsidRPr="000E1573" w:rsidRDefault="005E0603" w:rsidP="000E1573">
      <w:pPr>
        <w:numPr>
          <w:ilvl w:val="0"/>
          <w:numId w:val="0"/>
        </w:numPr>
        <w:rPr>
          <w:i/>
          <w:iCs/>
          <w:sz w:val="22"/>
          <w:szCs w:val="22"/>
        </w:rPr>
      </w:pPr>
    </w:p>
    <w:p w:rsidR="005E0603" w:rsidRPr="000E1573" w:rsidRDefault="005E0603" w:rsidP="000E1573">
      <w:pPr>
        <w:numPr>
          <w:ilvl w:val="0"/>
          <w:numId w:val="0"/>
        </w:numPr>
        <w:rPr>
          <w:i/>
          <w:iCs/>
          <w:sz w:val="22"/>
          <w:szCs w:val="22"/>
        </w:rPr>
      </w:pPr>
      <w:r w:rsidRPr="000E1573">
        <w:rPr>
          <w:i/>
          <w:iCs/>
          <w:sz w:val="22"/>
          <w:szCs w:val="22"/>
        </w:rPr>
        <w:t>Dospelí s normálnou funkciou obličiek (GFR ≥ 90 ml/min)</w:t>
      </w:r>
    </w:p>
    <w:p w:rsidR="005E0603" w:rsidRPr="000E1573" w:rsidRDefault="005E0603" w:rsidP="000E1573">
      <w:pPr>
        <w:numPr>
          <w:ilvl w:val="0"/>
          <w:numId w:val="0"/>
        </w:numPr>
        <w:rPr>
          <w:i/>
          <w:iCs/>
          <w:sz w:val="22"/>
          <w:szCs w:val="22"/>
        </w:rPr>
      </w:pPr>
    </w:p>
    <w:p w:rsidR="005E0603" w:rsidRPr="00437B35" w:rsidRDefault="005E0603" w:rsidP="00437B35">
      <w:pPr>
        <w:numPr>
          <w:ilvl w:val="0"/>
          <w:numId w:val="0"/>
        </w:numPr>
        <w:rPr>
          <w:i/>
          <w:iCs/>
          <w:sz w:val="22"/>
          <w:szCs w:val="22"/>
        </w:rPr>
      </w:pPr>
      <w:r w:rsidRPr="00437B35">
        <w:rPr>
          <w:i/>
          <w:iCs/>
          <w:sz w:val="22"/>
          <w:szCs w:val="22"/>
        </w:rPr>
        <w:t>Monoterapia pri liečbe diabetes mellitus 2. typu a kombinácia s inými perorálnymi antidiabetikami:</w:t>
      </w:r>
    </w:p>
    <w:p w:rsidR="005E0603" w:rsidRPr="007C54DD" w:rsidRDefault="005E0603" w:rsidP="000E1573">
      <w:pPr>
        <w:numPr>
          <w:ilvl w:val="0"/>
          <w:numId w:val="36"/>
        </w:numPr>
        <w:ind w:left="567" w:hanging="567"/>
        <w:rPr>
          <w:sz w:val="22"/>
          <w:szCs w:val="22"/>
        </w:rPr>
      </w:pPr>
      <w:r w:rsidRPr="000E1573">
        <w:rPr>
          <w:sz w:val="22"/>
          <w:szCs w:val="22"/>
        </w:rPr>
        <w:t xml:space="preserve">Zvyčajná </w:t>
      </w:r>
      <w:r w:rsidR="005A0D80">
        <w:rPr>
          <w:sz w:val="22"/>
          <w:szCs w:val="22"/>
        </w:rPr>
        <w:t>za</w:t>
      </w:r>
      <w:r w:rsidR="005A0D80" w:rsidRPr="000E1573">
        <w:rPr>
          <w:sz w:val="22"/>
          <w:szCs w:val="22"/>
        </w:rPr>
        <w:t xml:space="preserve">čiatočná </w:t>
      </w:r>
      <w:r w:rsidRPr="000E1573">
        <w:rPr>
          <w:sz w:val="22"/>
          <w:szCs w:val="22"/>
        </w:rPr>
        <w:t xml:space="preserve">dávka je jedna </w:t>
      </w:r>
      <w:r w:rsidR="00F0573B" w:rsidRPr="007C54DD">
        <w:rPr>
          <w:sz w:val="22"/>
          <w:szCs w:val="22"/>
        </w:rPr>
        <w:t xml:space="preserve">tableta </w:t>
      </w:r>
      <w:r w:rsidRPr="007C54DD">
        <w:rPr>
          <w:sz w:val="22"/>
          <w:szCs w:val="22"/>
        </w:rPr>
        <w:t>Metformin Juta 500 mg tablet</w:t>
      </w:r>
      <w:r w:rsidR="00F0573B">
        <w:rPr>
          <w:sz w:val="22"/>
          <w:szCs w:val="22"/>
        </w:rPr>
        <w:t>y</w:t>
      </w:r>
      <w:r w:rsidRPr="007C54DD">
        <w:rPr>
          <w:sz w:val="22"/>
          <w:szCs w:val="22"/>
        </w:rPr>
        <w:t xml:space="preserve"> s predĺženým uvoľňovaním jedenkrát denne večer s jedlom.</w:t>
      </w:r>
    </w:p>
    <w:p w:rsidR="005E0603" w:rsidRDefault="005E0603" w:rsidP="004E1C85">
      <w:pPr>
        <w:numPr>
          <w:ilvl w:val="0"/>
          <w:numId w:val="36"/>
        </w:numPr>
        <w:ind w:left="567" w:hanging="567"/>
        <w:rPr>
          <w:sz w:val="22"/>
          <w:szCs w:val="22"/>
        </w:rPr>
      </w:pPr>
      <w:r w:rsidRPr="007C54DD">
        <w:rPr>
          <w:sz w:val="22"/>
          <w:szCs w:val="22"/>
        </w:rPr>
        <w:t>Po 10 až 15 dňoch môže byť dávka upravená na základe hodnôt glykémie</w:t>
      </w:r>
      <w:r w:rsidRPr="00425186">
        <w:rPr>
          <w:sz w:val="22"/>
          <w:szCs w:val="22"/>
        </w:rPr>
        <w:t xml:space="preserve">. Postupné zvyšovanie dávky môže zlepšiť gastrointestinálnu toleranciu. </w:t>
      </w:r>
    </w:p>
    <w:p w:rsidR="005E0603" w:rsidRPr="00425186" w:rsidRDefault="005E0603" w:rsidP="004E1C85">
      <w:pPr>
        <w:numPr>
          <w:ilvl w:val="0"/>
          <w:numId w:val="36"/>
        </w:numPr>
        <w:ind w:left="567" w:hanging="567"/>
        <w:rPr>
          <w:sz w:val="22"/>
          <w:szCs w:val="22"/>
        </w:rPr>
      </w:pPr>
      <w:r w:rsidRPr="00425186">
        <w:rPr>
          <w:sz w:val="22"/>
          <w:szCs w:val="22"/>
        </w:rPr>
        <w:t xml:space="preserve">Dávka sa má zvyšovať po častiach o 500 mg každých 10 až 15 dní, </w:t>
      </w:r>
      <w:r w:rsidR="00F0573B">
        <w:rPr>
          <w:sz w:val="22"/>
          <w:szCs w:val="22"/>
        </w:rPr>
        <w:t xml:space="preserve">na </w:t>
      </w:r>
      <w:r w:rsidRPr="00425186">
        <w:rPr>
          <w:sz w:val="22"/>
          <w:szCs w:val="22"/>
        </w:rPr>
        <w:t>maximálne 2000 mg jedenkrát denne večer s jedlom. Ak sa nedosiahne kontrola glykémie pri dávke</w:t>
      </w:r>
      <w:r>
        <w:rPr>
          <w:sz w:val="22"/>
          <w:szCs w:val="22"/>
        </w:rPr>
        <w:t xml:space="preserve"> Metformin</w:t>
      </w:r>
      <w:r w:rsidR="00F0573B">
        <w:rPr>
          <w:sz w:val="22"/>
          <w:szCs w:val="22"/>
        </w:rPr>
        <w:t>u</w:t>
      </w:r>
      <w:r>
        <w:rPr>
          <w:sz w:val="22"/>
          <w:szCs w:val="22"/>
        </w:rPr>
        <w:t xml:space="preserve"> Juta</w:t>
      </w:r>
      <w:r w:rsidRPr="00425186">
        <w:rPr>
          <w:sz w:val="22"/>
          <w:szCs w:val="22"/>
        </w:rPr>
        <w:t xml:space="preserve"> </w:t>
      </w:r>
      <w:r w:rsidR="00F07974" w:rsidRPr="00425186">
        <w:rPr>
          <w:sz w:val="22"/>
          <w:szCs w:val="22"/>
        </w:rPr>
        <w:t>2000</w:t>
      </w:r>
      <w:r w:rsidR="00F07974">
        <w:rPr>
          <w:sz w:val="22"/>
          <w:szCs w:val="22"/>
        </w:rPr>
        <w:t> </w:t>
      </w:r>
      <w:r w:rsidRPr="00425186">
        <w:rPr>
          <w:sz w:val="22"/>
          <w:szCs w:val="22"/>
        </w:rPr>
        <w:t>mg jedenkrát denne, má sa zvážiť dávkovanie</w:t>
      </w:r>
      <w:r>
        <w:rPr>
          <w:sz w:val="22"/>
          <w:szCs w:val="22"/>
        </w:rPr>
        <w:t xml:space="preserve"> Metformin</w:t>
      </w:r>
      <w:r w:rsidR="001F5DC3">
        <w:rPr>
          <w:sz w:val="22"/>
          <w:szCs w:val="22"/>
        </w:rPr>
        <w:t>u</w:t>
      </w:r>
      <w:r>
        <w:rPr>
          <w:sz w:val="22"/>
          <w:szCs w:val="22"/>
        </w:rPr>
        <w:t xml:space="preserve"> Juta</w:t>
      </w:r>
      <w:r w:rsidRPr="00425186">
        <w:rPr>
          <w:sz w:val="22"/>
          <w:szCs w:val="22"/>
        </w:rPr>
        <w:t xml:space="preserve"> 1000 mg dvakrát denne, obe dávky sa majú užiť s jedlom. Ak sa aj tak nedosiahne kontrola glykémie, môže sa liečba nahradiť met</w:t>
      </w:r>
      <w:r>
        <w:rPr>
          <w:sz w:val="22"/>
          <w:szCs w:val="22"/>
        </w:rPr>
        <w:t>formínom</w:t>
      </w:r>
      <w:r w:rsidRPr="00425186">
        <w:rPr>
          <w:sz w:val="22"/>
          <w:szCs w:val="22"/>
        </w:rPr>
        <w:t xml:space="preserve"> </w:t>
      </w:r>
      <w:r w:rsidR="001F5DC3">
        <w:rPr>
          <w:sz w:val="22"/>
          <w:szCs w:val="22"/>
        </w:rPr>
        <w:t xml:space="preserve">v tabletách s okamžitým </w:t>
      </w:r>
      <w:r w:rsidR="00CE23E6">
        <w:rPr>
          <w:sz w:val="22"/>
          <w:szCs w:val="22"/>
        </w:rPr>
        <w:t>uvoľňovaním</w:t>
      </w:r>
      <w:r w:rsidR="001F5DC3">
        <w:rPr>
          <w:sz w:val="22"/>
          <w:szCs w:val="22"/>
        </w:rPr>
        <w:t xml:space="preserve"> </w:t>
      </w:r>
      <w:r w:rsidRPr="00425186">
        <w:rPr>
          <w:sz w:val="22"/>
          <w:szCs w:val="22"/>
        </w:rPr>
        <w:t>v maximálnej dennej dávke 3000 mg.</w:t>
      </w:r>
    </w:p>
    <w:p w:rsidR="005E0603" w:rsidRPr="000E1573" w:rsidRDefault="005E0603" w:rsidP="000E1573">
      <w:pPr>
        <w:numPr>
          <w:ilvl w:val="0"/>
          <w:numId w:val="36"/>
        </w:numPr>
        <w:ind w:left="567" w:hanging="567"/>
        <w:rPr>
          <w:sz w:val="22"/>
          <w:szCs w:val="22"/>
        </w:rPr>
      </w:pPr>
      <w:r w:rsidRPr="000E1573">
        <w:rPr>
          <w:sz w:val="22"/>
          <w:szCs w:val="22"/>
        </w:rPr>
        <w:t xml:space="preserve">U pacientov už liečených tabletami metformínu musí byť </w:t>
      </w:r>
      <w:r w:rsidR="005A0D80">
        <w:rPr>
          <w:sz w:val="22"/>
          <w:szCs w:val="22"/>
        </w:rPr>
        <w:t>za</w:t>
      </w:r>
      <w:r w:rsidRPr="000E1573">
        <w:rPr>
          <w:sz w:val="22"/>
          <w:szCs w:val="22"/>
        </w:rPr>
        <w:t xml:space="preserve">čiatočná dávka </w:t>
      </w:r>
      <w:r>
        <w:rPr>
          <w:sz w:val="22"/>
          <w:szCs w:val="22"/>
        </w:rPr>
        <w:t>Metformin</w:t>
      </w:r>
      <w:r w:rsidR="00F0573B">
        <w:rPr>
          <w:sz w:val="22"/>
          <w:szCs w:val="22"/>
        </w:rPr>
        <w:t>u</w:t>
      </w:r>
      <w:r>
        <w:rPr>
          <w:sz w:val="22"/>
          <w:szCs w:val="22"/>
        </w:rPr>
        <w:t xml:space="preserve"> Juta tabliet s predĺženým uvoľňovaním</w:t>
      </w:r>
      <w:r w:rsidRPr="000E1573">
        <w:rPr>
          <w:sz w:val="22"/>
          <w:szCs w:val="22"/>
        </w:rPr>
        <w:t xml:space="preserve"> ekvivalentná dennej dávke tabliet metformínu s okamžitým uvoľňovaním. Pacientom, ktorí sú liečení metformínom v dávke </w:t>
      </w:r>
      <w:r w:rsidR="005A0D80">
        <w:rPr>
          <w:sz w:val="22"/>
          <w:szCs w:val="22"/>
        </w:rPr>
        <w:t>viac ako</w:t>
      </w:r>
      <w:r w:rsidR="005A0D80" w:rsidRPr="000E1573">
        <w:rPr>
          <w:sz w:val="22"/>
          <w:szCs w:val="22"/>
        </w:rPr>
        <w:t xml:space="preserve"> </w:t>
      </w:r>
      <w:r w:rsidRPr="000E1573">
        <w:rPr>
          <w:sz w:val="22"/>
          <w:szCs w:val="22"/>
        </w:rPr>
        <w:t>2000 m</w:t>
      </w:r>
      <w:r>
        <w:rPr>
          <w:sz w:val="22"/>
          <w:szCs w:val="22"/>
        </w:rPr>
        <w:t>g denne sa neodporúča prejsť na Metformi</w:t>
      </w:r>
      <w:r w:rsidRPr="000E1573">
        <w:rPr>
          <w:sz w:val="22"/>
          <w:szCs w:val="22"/>
        </w:rPr>
        <w:t>n</w:t>
      </w:r>
      <w:r>
        <w:rPr>
          <w:sz w:val="22"/>
          <w:szCs w:val="22"/>
        </w:rPr>
        <w:t xml:space="preserve"> Juta tablety s predĺženým uvoľňovaním</w:t>
      </w:r>
      <w:r w:rsidRPr="000E1573">
        <w:rPr>
          <w:sz w:val="22"/>
          <w:szCs w:val="22"/>
        </w:rPr>
        <w:t xml:space="preserve">. </w:t>
      </w:r>
    </w:p>
    <w:p w:rsidR="005E0603" w:rsidRDefault="005E0603" w:rsidP="000E1573">
      <w:pPr>
        <w:numPr>
          <w:ilvl w:val="0"/>
          <w:numId w:val="36"/>
        </w:numPr>
        <w:ind w:left="567" w:hanging="567"/>
        <w:rPr>
          <w:sz w:val="22"/>
          <w:szCs w:val="22"/>
        </w:rPr>
      </w:pPr>
      <w:r w:rsidRPr="002C6ED5">
        <w:rPr>
          <w:sz w:val="22"/>
          <w:szCs w:val="22"/>
        </w:rPr>
        <w:lastRenderedPageBreak/>
        <w:t>V prípade náhrady iného perorálneho antidiabetika metformínom sa predchádzajúca terapia ukončí a nahradí sa Metformin</w:t>
      </w:r>
      <w:r>
        <w:rPr>
          <w:sz w:val="22"/>
          <w:szCs w:val="22"/>
        </w:rPr>
        <w:t>om</w:t>
      </w:r>
      <w:r w:rsidRPr="002C6ED5">
        <w:rPr>
          <w:sz w:val="22"/>
          <w:szCs w:val="22"/>
        </w:rPr>
        <w:t xml:space="preserve"> Juta</w:t>
      </w:r>
      <w:r>
        <w:rPr>
          <w:sz w:val="22"/>
          <w:szCs w:val="22"/>
        </w:rPr>
        <w:t xml:space="preserve"> s </w:t>
      </w:r>
      <w:r w:rsidRPr="00C24C4D">
        <w:rPr>
          <w:sz w:val="22"/>
          <w:szCs w:val="22"/>
        </w:rPr>
        <w:t>predĺženým uvoľňovaním v dávkach uvedených vyššie.</w:t>
      </w:r>
    </w:p>
    <w:p w:rsidR="005E0603" w:rsidRDefault="005E0603" w:rsidP="006A4AB9">
      <w:pPr>
        <w:numPr>
          <w:ilvl w:val="0"/>
          <w:numId w:val="0"/>
        </w:numPr>
        <w:ind w:left="567"/>
        <w:rPr>
          <w:sz w:val="22"/>
          <w:szCs w:val="22"/>
        </w:rPr>
      </w:pPr>
      <w:r>
        <w:rPr>
          <w:sz w:val="22"/>
          <w:szCs w:val="22"/>
        </w:rPr>
        <w:t xml:space="preserve">Metformin Juta </w:t>
      </w:r>
      <w:r w:rsidRPr="006A4AB9">
        <w:rPr>
          <w:sz w:val="22"/>
          <w:szCs w:val="22"/>
        </w:rPr>
        <w:t xml:space="preserve">750 mg je </w:t>
      </w:r>
      <w:r w:rsidR="00473B65" w:rsidRPr="006A4AB9">
        <w:rPr>
          <w:sz w:val="22"/>
          <w:szCs w:val="22"/>
        </w:rPr>
        <w:t>určen</w:t>
      </w:r>
      <w:r w:rsidR="00473B65">
        <w:rPr>
          <w:sz w:val="22"/>
          <w:szCs w:val="22"/>
        </w:rPr>
        <w:t>ý</w:t>
      </w:r>
      <w:r w:rsidR="00473B65" w:rsidRPr="006A4AB9">
        <w:rPr>
          <w:sz w:val="22"/>
          <w:szCs w:val="22"/>
        </w:rPr>
        <w:t xml:space="preserve"> </w:t>
      </w:r>
      <w:r w:rsidRPr="006A4AB9">
        <w:rPr>
          <w:sz w:val="22"/>
          <w:szCs w:val="22"/>
        </w:rPr>
        <w:t>pre pacientov, ktorí sú už liečení tabletami metformínu (predĺžené alebo okamžité uvoľnenie).</w:t>
      </w:r>
    </w:p>
    <w:p w:rsidR="005E0603" w:rsidRDefault="005E0603" w:rsidP="001B0C3E">
      <w:pPr>
        <w:numPr>
          <w:ilvl w:val="0"/>
          <w:numId w:val="36"/>
        </w:numPr>
        <w:ind w:left="567" w:hanging="567"/>
        <w:rPr>
          <w:sz w:val="22"/>
          <w:szCs w:val="22"/>
        </w:rPr>
      </w:pPr>
      <w:r w:rsidRPr="006A4AB9">
        <w:rPr>
          <w:sz w:val="22"/>
          <w:szCs w:val="22"/>
        </w:rPr>
        <w:t xml:space="preserve">Dávka Metforminu Juta 750 mg </w:t>
      </w:r>
      <w:r w:rsidR="00473B65">
        <w:rPr>
          <w:sz w:val="22"/>
          <w:szCs w:val="22"/>
        </w:rPr>
        <w:t>sa má</w:t>
      </w:r>
      <w:r w:rsidRPr="006A4AB9">
        <w:rPr>
          <w:sz w:val="22"/>
          <w:szCs w:val="22"/>
        </w:rPr>
        <w:t xml:space="preserve"> rovnať dennej dávke tabliet metformínu (predĺžené alebo okamžité uvoľnenie) až do maximálnej dávky 1500 mg podanej pri večernom jedle.</w:t>
      </w:r>
    </w:p>
    <w:p w:rsidR="005E0603" w:rsidRPr="006A4AB9" w:rsidRDefault="005E0603" w:rsidP="001B0C3E">
      <w:pPr>
        <w:numPr>
          <w:ilvl w:val="0"/>
          <w:numId w:val="36"/>
        </w:numPr>
        <w:tabs>
          <w:tab w:val="num" w:pos="-1800"/>
        </w:tabs>
        <w:ind w:left="567" w:hanging="567"/>
        <w:rPr>
          <w:sz w:val="22"/>
          <w:szCs w:val="22"/>
        </w:rPr>
      </w:pPr>
      <w:r w:rsidRPr="006A4AB9">
        <w:rPr>
          <w:sz w:val="22"/>
          <w:szCs w:val="22"/>
        </w:rPr>
        <w:t>Po 10 až 15 dňoch sa odporúča skontrolovať, či je dávka Metformin Juta 750 mg primeraná na základe merania hladiny glukózy v krvi.</w:t>
      </w:r>
    </w:p>
    <w:p w:rsidR="005E0603" w:rsidRPr="000E1573" w:rsidRDefault="005E0603" w:rsidP="000E1573">
      <w:pPr>
        <w:numPr>
          <w:ilvl w:val="0"/>
          <w:numId w:val="0"/>
        </w:numPr>
        <w:ind w:left="765"/>
        <w:rPr>
          <w:sz w:val="22"/>
          <w:szCs w:val="22"/>
        </w:rPr>
      </w:pPr>
    </w:p>
    <w:p w:rsidR="005E0603" w:rsidRPr="00A1608A" w:rsidRDefault="005E0603" w:rsidP="00A1608A">
      <w:pPr>
        <w:numPr>
          <w:ilvl w:val="0"/>
          <w:numId w:val="0"/>
        </w:numPr>
        <w:rPr>
          <w:i/>
          <w:iCs/>
          <w:sz w:val="22"/>
          <w:szCs w:val="22"/>
        </w:rPr>
      </w:pPr>
      <w:r w:rsidRPr="00A1608A">
        <w:rPr>
          <w:i/>
          <w:iCs/>
          <w:sz w:val="22"/>
          <w:szCs w:val="22"/>
        </w:rPr>
        <w:t>Kombinácia s inzulínom</w:t>
      </w:r>
    </w:p>
    <w:p w:rsidR="005E0603" w:rsidRPr="000E1573" w:rsidRDefault="005E0603" w:rsidP="00A1608A">
      <w:pPr>
        <w:numPr>
          <w:ilvl w:val="0"/>
          <w:numId w:val="0"/>
        </w:numPr>
      </w:pPr>
      <w:r w:rsidRPr="00A1608A">
        <w:rPr>
          <w:sz w:val="22"/>
          <w:szCs w:val="22"/>
        </w:rPr>
        <w:t>Metformínium</w:t>
      </w:r>
      <w:r w:rsidR="003745F1">
        <w:rPr>
          <w:sz w:val="22"/>
          <w:szCs w:val="22"/>
        </w:rPr>
        <w:t>-</w:t>
      </w:r>
      <w:r w:rsidRPr="00A1608A">
        <w:rPr>
          <w:sz w:val="22"/>
          <w:szCs w:val="22"/>
        </w:rPr>
        <w:t>chlorid a inzulín sa môžu používať v kombinácii, aby sa dosiahla lepšia kontrola glykémie.</w:t>
      </w:r>
    </w:p>
    <w:p w:rsidR="005E0603" w:rsidRPr="000E1573" w:rsidRDefault="005E0603" w:rsidP="000E1573">
      <w:pPr>
        <w:numPr>
          <w:ilvl w:val="0"/>
          <w:numId w:val="0"/>
        </w:numPr>
        <w:rPr>
          <w:sz w:val="22"/>
          <w:szCs w:val="22"/>
        </w:rPr>
      </w:pPr>
      <w:r w:rsidRPr="000E1573">
        <w:rPr>
          <w:sz w:val="22"/>
          <w:szCs w:val="22"/>
        </w:rPr>
        <w:t>Zvyčajná začiatočná dávka je jedna</w:t>
      </w:r>
      <w:r w:rsidR="003745F1">
        <w:rPr>
          <w:sz w:val="22"/>
          <w:szCs w:val="22"/>
        </w:rPr>
        <w:t xml:space="preserve"> tableta</w:t>
      </w:r>
      <w:r w:rsidRPr="000E1573">
        <w:rPr>
          <w:sz w:val="22"/>
          <w:szCs w:val="22"/>
        </w:rPr>
        <w:t xml:space="preserve"> </w:t>
      </w:r>
      <w:r>
        <w:rPr>
          <w:sz w:val="22"/>
          <w:szCs w:val="22"/>
        </w:rPr>
        <w:t>Metformin Juta 500 mg tablet</w:t>
      </w:r>
      <w:r w:rsidR="003745F1">
        <w:rPr>
          <w:sz w:val="22"/>
          <w:szCs w:val="22"/>
        </w:rPr>
        <w:t>y</w:t>
      </w:r>
      <w:r w:rsidRPr="000E1573">
        <w:rPr>
          <w:sz w:val="22"/>
          <w:szCs w:val="22"/>
        </w:rPr>
        <w:t xml:space="preserve"> s predĺženým uvoľňovaním jedenkrát denne</w:t>
      </w:r>
      <w:r>
        <w:rPr>
          <w:sz w:val="22"/>
          <w:szCs w:val="22"/>
        </w:rPr>
        <w:t xml:space="preserve"> večer s jedlom</w:t>
      </w:r>
      <w:r w:rsidRPr="000E1573">
        <w:rPr>
          <w:sz w:val="22"/>
          <w:szCs w:val="22"/>
        </w:rPr>
        <w:t>, pričom dávkovanie inzulínu sa upraví na základe výsledkov kontroly glykémie.</w:t>
      </w:r>
    </w:p>
    <w:p w:rsidR="005E0603" w:rsidRDefault="005E0603" w:rsidP="000E1573">
      <w:pPr>
        <w:numPr>
          <w:ilvl w:val="0"/>
          <w:numId w:val="0"/>
        </w:numPr>
        <w:rPr>
          <w:sz w:val="22"/>
          <w:szCs w:val="22"/>
        </w:rPr>
      </w:pPr>
      <w:r w:rsidRPr="001B0C3E">
        <w:rPr>
          <w:sz w:val="22"/>
          <w:szCs w:val="22"/>
        </w:rPr>
        <w:t xml:space="preserve">U pacientov, ktorí už boli liečení metformínom a inzulínom v kombinovanej terapii,  sa dávka Metforminu Juta 750 mg </w:t>
      </w:r>
      <w:r w:rsidR="003745F1">
        <w:rPr>
          <w:sz w:val="22"/>
          <w:szCs w:val="22"/>
        </w:rPr>
        <w:t>má</w:t>
      </w:r>
      <w:r w:rsidR="003745F1" w:rsidRPr="001B0C3E">
        <w:rPr>
          <w:sz w:val="22"/>
          <w:szCs w:val="22"/>
        </w:rPr>
        <w:t xml:space="preserve"> </w:t>
      </w:r>
      <w:r w:rsidRPr="001B0C3E">
        <w:rPr>
          <w:sz w:val="22"/>
          <w:szCs w:val="22"/>
        </w:rPr>
        <w:t>rovnať dennej dávke tabliet metf</w:t>
      </w:r>
      <w:r>
        <w:rPr>
          <w:sz w:val="22"/>
          <w:szCs w:val="22"/>
        </w:rPr>
        <w:t>ormínu až do maximálnej výšky 1</w:t>
      </w:r>
      <w:r w:rsidRPr="001B0C3E">
        <w:rPr>
          <w:sz w:val="22"/>
          <w:szCs w:val="22"/>
        </w:rPr>
        <w:t xml:space="preserve">500 mg podanej pri večernom jedle, zatiaľ čo dávka inzulínu je upravená na </w:t>
      </w:r>
      <w:r w:rsidR="001B3E43" w:rsidRPr="001B0C3E">
        <w:rPr>
          <w:sz w:val="22"/>
          <w:szCs w:val="22"/>
        </w:rPr>
        <w:t>základ</w:t>
      </w:r>
      <w:r w:rsidR="001B3E43">
        <w:rPr>
          <w:sz w:val="22"/>
          <w:szCs w:val="22"/>
        </w:rPr>
        <w:t>e</w:t>
      </w:r>
      <w:r w:rsidR="001B3E43" w:rsidRPr="001B0C3E">
        <w:rPr>
          <w:sz w:val="22"/>
          <w:szCs w:val="22"/>
        </w:rPr>
        <w:t xml:space="preserve"> </w:t>
      </w:r>
      <w:r w:rsidRPr="001B0C3E">
        <w:rPr>
          <w:sz w:val="22"/>
          <w:szCs w:val="22"/>
        </w:rPr>
        <w:t>merania glukózy v krvi.</w:t>
      </w:r>
    </w:p>
    <w:p w:rsidR="005E0603" w:rsidRPr="001B0C3E" w:rsidRDefault="005E0603" w:rsidP="000E1573">
      <w:pPr>
        <w:numPr>
          <w:ilvl w:val="0"/>
          <w:numId w:val="0"/>
        </w:numPr>
        <w:rPr>
          <w:sz w:val="22"/>
          <w:szCs w:val="22"/>
        </w:rPr>
      </w:pPr>
    </w:p>
    <w:p w:rsidR="005E0603" w:rsidRPr="00A1608A" w:rsidRDefault="005E0603" w:rsidP="000E1573">
      <w:pPr>
        <w:numPr>
          <w:ilvl w:val="0"/>
          <w:numId w:val="0"/>
        </w:numPr>
        <w:tabs>
          <w:tab w:val="left" w:pos="0"/>
        </w:tabs>
        <w:rPr>
          <w:i/>
          <w:iCs/>
          <w:sz w:val="22"/>
          <w:szCs w:val="22"/>
        </w:rPr>
      </w:pPr>
      <w:r w:rsidRPr="00A1608A">
        <w:rPr>
          <w:i/>
          <w:iCs/>
          <w:sz w:val="22"/>
          <w:szCs w:val="22"/>
        </w:rPr>
        <w:t>Starší ľudia</w:t>
      </w:r>
    </w:p>
    <w:p w:rsidR="005E0603" w:rsidRPr="00A1608A" w:rsidRDefault="005E0603" w:rsidP="00A1608A">
      <w:pPr>
        <w:numPr>
          <w:ilvl w:val="0"/>
          <w:numId w:val="0"/>
        </w:numPr>
        <w:rPr>
          <w:sz w:val="22"/>
          <w:szCs w:val="22"/>
        </w:rPr>
      </w:pPr>
      <w:r w:rsidRPr="00A1608A">
        <w:rPr>
          <w:sz w:val="22"/>
          <w:szCs w:val="22"/>
        </w:rPr>
        <w:t>Vzhľadom na možnosť znížen</w:t>
      </w:r>
      <w:r w:rsidR="001F5DC3">
        <w:rPr>
          <w:sz w:val="22"/>
          <w:szCs w:val="22"/>
        </w:rPr>
        <w:t>ej</w:t>
      </w:r>
      <w:r w:rsidRPr="00A1608A">
        <w:rPr>
          <w:sz w:val="22"/>
          <w:szCs w:val="22"/>
        </w:rPr>
        <w:t xml:space="preserve"> renálnej funkcie u starších osôb sa má dávkovanie metformínu</w:t>
      </w:r>
    </w:p>
    <w:p w:rsidR="005E0603" w:rsidRPr="007C54DD" w:rsidRDefault="005E0603" w:rsidP="000E1573">
      <w:pPr>
        <w:numPr>
          <w:ilvl w:val="0"/>
          <w:numId w:val="0"/>
        </w:numPr>
        <w:tabs>
          <w:tab w:val="left" w:pos="0"/>
        </w:tabs>
        <w:ind w:left="450" w:hanging="450"/>
        <w:rPr>
          <w:sz w:val="22"/>
          <w:szCs w:val="22"/>
        </w:rPr>
      </w:pPr>
      <w:r w:rsidRPr="00A1608A">
        <w:rPr>
          <w:sz w:val="22"/>
          <w:szCs w:val="22"/>
        </w:rPr>
        <w:t>upraviť na</w:t>
      </w:r>
      <w:r w:rsidRPr="007C54DD">
        <w:rPr>
          <w:sz w:val="22"/>
          <w:szCs w:val="22"/>
        </w:rPr>
        <w:t xml:space="preserve"> základe výsledkov renálnych funkcií. Pravidelné sledovanie renálnych funkcií je</w:t>
      </w:r>
    </w:p>
    <w:p w:rsidR="005E0603" w:rsidRPr="007C54DD" w:rsidRDefault="005E0603" w:rsidP="000E1573">
      <w:pPr>
        <w:numPr>
          <w:ilvl w:val="0"/>
          <w:numId w:val="0"/>
        </w:numPr>
        <w:tabs>
          <w:tab w:val="left" w:pos="0"/>
        </w:tabs>
        <w:ind w:left="450" w:hanging="450"/>
        <w:rPr>
          <w:sz w:val="22"/>
          <w:szCs w:val="22"/>
        </w:rPr>
      </w:pPr>
      <w:r w:rsidRPr="007C54DD">
        <w:rPr>
          <w:sz w:val="22"/>
          <w:szCs w:val="22"/>
        </w:rPr>
        <w:t>nevyhnutné (pozri časť 4.4).</w:t>
      </w:r>
    </w:p>
    <w:p w:rsidR="005E0603" w:rsidRPr="007C54DD" w:rsidRDefault="005E0603" w:rsidP="00426CDC">
      <w:pPr>
        <w:numPr>
          <w:ilvl w:val="0"/>
          <w:numId w:val="0"/>
        </w:numPr>
        <w:rPr>
          <w:sz w:val="22"/>
          <w:szCs w:val="22"/>
        </w:rPr>
      </w:pPr>
    </w:p>
    <w:p w:rsidR="005E0603" w:rsidRPr="007C54DD" w:rsidRDefault="005E0603" w:rsidP="00426CDC">
      <w:pPr>
        <w:numPr>
          <w:ilvl w:val="0"/>
          <w:numId w:val="0"/>
        </w:numPr>
        <w:rPr>
          <w:sz w:val="22"/>
          <w:szCs w:val="22"/>
        </w:rPr>
      </w:pPr>
      <w:r w:rsidRPr="007C54DD">
        <w:rPr>
          <w:sz w:val="22"/>
          <w:szCs w:val="22"/>
        </w:rPr>
        <w:t>Prínos pri znižovaní rizika alebo oneskorenia nástupu diabetes mellitus 2.typu nebol stanovený u pacientov vo veku 75 rokov a starších (pozri časť 5.1), a preto sa u týchto pacientov neodporúča začať liečbu metformínom (pozri časť 4.4).</w:t>
      </w:r>
    </w:p>
    <w:p w:rsidR="005E0603" w:rsidRPr="007C54DD" w:rsidRDefault="005E0603" w:rsidP="000E1573">
      <w:pPr>
        <w:numPr>
          <w:ilvl w:val="0"/>
          <w:numId w:val="0"/>
        </w:numPr>
        <w:tabs>
          <w:tab w:val="left" w:pos="0"/>
        </w:tabs>
        <w:ind w:left="450" w:hanging="450"/>
        <w:rPr>
          <w:sz w:val="22"/>
          <w:szCs w:val="22"/>
        </w:rPr>
      </w:pPr>
    </w:p>
    <w:p w:rsidR="005E0603" w:rsidRPr="00A1608A" w:rsidRDefault="005E0603" w:rsidP="00A1608A">
      <w:pPr>
        <w:numPr>
          <w:ilvl w:val="0"/>
          <w:numId w:val="0"/>
        </w:numPr>
        <w:tabs>
          <w:tab w:val="left" w:pos="0"/>
        </w:tabs>
        <w:rPr>
          <w:i/>
          <w:iCs/>
          <w:sz w:val="22"/>
          <w:szCs w:val="22"/>
        </w:rPr>
      </w:pPr>
      <w:r w:rsidRPr="00A1608A">
        <w:rPr>
          <w:i/>
          <w:iCs/>
          <w:sz w:val="22"/>
          <w:szCs w:val="22"/>
        </w:rPr>
        <w:t>Porucha funkcie obličiek</w:t>
      </w:r>
    </w:p>
    <w:p w:rsidR="005E0603" w:rsidRPr="000E1573" w:rsidRDefault="005E0603" w:rsidP="000E1573">
      <w:pPr>
        <w:numPr>
          <w:ilvl w:val="0"/>
          <w:numId w:val="0"/>
        </w:numPr>
        <w:rPr>
          <w:sz w:val="22"/>
          <w:szCs w:val="22"/>
        </w:rPr>
      </w:pPr>
      <w:r w:rsidRPr="007C54DD">
        <w:rPr>
          <w:sz w:val="22"/>
          <w:szCs w:val="22"/>
        </w:rPr>
        <w:t>Pred začatím liečby metformínom a minimálne raz ročne po jej začatí je potrebné vyhodnotiť GFR. U pacientov so zvýšeným rizikom ďalšej progresie poruchy funkcie obličiek a u starších pacientov je potrebná</w:t>
      </w:r>
      <w:r w:rsidRPr="000E1573">
        <w:rPr>
          <w:sz w:val="22"/>
          <w:szCs w:val="22"/>
        </w:rPr>
        <w:t xml:space="preserve"> častejšia kontrola funkcie obličiek, napr. každé 3-6 mesiacov. </w:t>
      </w:r>
    </w:p>
    <w:p w:rsidR="005E0603" w:rsidRPr="000E1573" w:rsidRDefault="005E0603" w:rsidP="000E1573">
      <w:pPr>
        <w:numPr>
          <w:ilvl w:val="0"/>
          <w:numId w:val="0"/>
        </w:numPr>
        <w:tabs>
          <w:tab w:val="left" w:pos="0"/>
        </w:tabs>
        <w:ind w:left="450" w:hanging="450"/>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3124"/>
        <w:gridCol w:w="4540"/>
      </w:tblGrid>
      <w:tr w:rsidR="005E0603" w:rsidRPr="000E1573">
        <w:trPr>
          <w:trHeight w:val="481"/>
        </w:trPr>
        <w:tc>
          <w:tcPr>
            <w:tcW w:w="1382" w:type="dxa"/>
          </w:tcPr>
          <w:p w:rsidR="005E0603" w:rsidRPr="000E1573" w:rsidRDefault="005E0603" w:rsidP="000E1573">
            <w:pPr>
              <w:keepNext/>
              <w:numPr>
                <w:ilvl w:val="0"/>
                <w:numId w:val="0"/>
              </w:numPr>
              <w:rPr>
                <w:rFonts w:eastAsia="Batang"/>
                <w:b/>
                <w:bCs/>
                <w:sz w:val="22"/>
                <w:szCs w:val="22"/>
              </w:rPr>
            </w:pPr>
            <w:r w:rsidRPr="000E1573">
              <w:rPr>
                <w:rFonts w:eastAsia="Batang"/>
                <w:b/>
                <w:bCs/>
                <w:sz w:val="22"/>
                <w:szCs w:val="22"/>
              </w:rPr>
              <w:t>GFR ml/min</w:t>
            </w:r>
          </w:p>
        </w:tc>
        <w:tc>
          <w:tcPr>
            <w:tcW w:w="3124" w:type="dxa"/>
          </w:tcPr>
          <w:p w:rsidR="005E0603" w:rsidRPr="000E1573" w:rsidRDefault="005E0603" w:rsidP="000E1573">
            <w:pPr>
              <w:keepNext/>
              <w:numPr>
                <w:ilvl w:val="0"/>
                <w:numId w:val="0"/>
              </w:numPr>
              <w:rPr>
                <w:rFonts w:eastAsia="Batang"/>
                <w:b/>
                <w:bCs/>
                <w:sz w:val="22"/>
                <w:szCs w:val="22"/>
              </w:rPr>
            </w:pPr>
            <w:r w:rsidRPr="000E1573">
              <w:rPr>
                <w:rFonts w:eastAsia="Batang"/>
                <w:b/>
                <w:bCs/>
                <w:sz w:val="22"/>
                <w:szCs w:val="22"/>
              </w:rPr>
              <w:t>Celková maximálna denná dávka</w:t>
            </w:r>
          </w:p>
        </w:tc>
        <w:tc>
          <w:tcPr>
            <w:tcW w:w="4540" w:type="dxa"/>
          </w:tcPr>
          <w:p w:rsidR="005E0603" w:rsidRPr="000E1573" w:rsidRDefault="005E0603" w:rsidP="000E1573">
            <w:pPr>
              <w:keepNext/>
              <w:numPr>
                <w:ilvl w:val="0"/>
                <w:numId w:val="0"/>
              </w:numPr>
              <w:rPr>
                <w:rFonts w:eastAsia="Batang"/>
                <w:b/>
                <w:bCs/>
                <w:sz w:val="22"/>
                <w:szCs w:val="22"/>
              </w:rPr>
            </w:pPr>
            <w:r w:rsidRPr="000E1573">
              <w:rPr>
                <w:rFonts w:eastAsia="Batang"/>
                <w:b/>
                <w:bCs/>
                <w:sz w:val="22"/>
                <w:szCs w:val="22"/>
              </w:rPr>
              <w:t xml:space="preserve">Ďalšie uváženie </w:t>
            </w:r>
          </w:p>
        </w:tc>
      </w:tr>
      <w:tr w:rsidR="005E0603" w:rsidRPr="000E1573">
        <w:tc>
          <w:tcPr>
            <w:tcW w:w="1382" w:type="dxa"/>
          </w:tcPr>
          <w:p w:rsidR="005E0603" w:rsidRPr="000E1573" w:rsidRDefault="005E0603" w:rsidP="000E1573">
            <w:pPr>
              <w:keepNext/>
              <w:numPr>
                <w:ilvl w:val="0"/>
                <w:numId w:val="0"/>
              </w:numPr>
              <w:rPr>
                <w:rFonts w:eastAsia="Batang"/>
                <w:sz w:val="22"/>
                <w:szCs w:val="22"/>
              </w:rPr>
            </w:pPr>
            <w:r w:rsidRPr="000E1573">
              <w:rPr>
                <w:rFonts w:eastAsia="Batang"/>
                <w:sz w:val="22"/>
                <w:szCs w:val="22"/>
              </w:rPr>
              <w:t>60-89</w:t>
            </w:r>
          </w:p>
        </w:tc>
        <w:tc>
          <w:tcPr>
            <w:tcW w:w="3124" w:type="dxa"/>
          </w:tcPr>
          <w:p w:rsidR="005E0603" w:rsidRPr="000E1573" w:rsidRDefault="005E0603" w:rsidP="000E1573">
            <w:pPr>
              <w:keepNext/>
              <w:numPr>
                <w:ilvl w:val="0"/>
                <w:numId w:val="0"/>
              </w:numPr>
              <w:rPr>
                <w:rFonts w:eastAsia="Batang"/>
                <w:sz w:val="22"/>
                <w:szCs w:val="22"/>
              </w:rPr>
            </w:pPr>
            <w:r w:rsidRPr="000E1573">
              <w:rPr>
                <w:rFonts w:eastAsia="Batang"/>
                <w:sz w:val="22"/>
                <w:szCs w:val="22"/>
              </w:rPr>
              <w:t>2 000 mg</w:t>
            </w:r>
          </w:p>
        </w:tc>
        <w:tc>
          <w:tcPr>
            <w:tcW w:w="4540" w:type="dxa"/>
          </w:tcPr>
          <w:p w:rsidR="005E0603" w:rsidRPr="000E1573" w:rsidRDefault="005E0603" w:rsidP="000E1573">
            <w:pPr>
              <w:keepNext/>
              <w:numPr>
                <w:ilvl w:val="0"/>
                <w:numId w:val="0"/>
              </w:numPr>
              <w:rPr>
                <w:rFonts w:eastAsia="Batang"/>
                <w:sz w:val="22"/>
                <w:szCs w:val="22"/>
              </w:rPr>
            </w:pPr>
            <w:r w:rsidRPr="000E1573">
              <w:rPr>
                <w:sz w:val="22"/>
                <w:szCs w:val="22"/>
              </w:rPr>
              <w:t>Je možné zvážiť zníženie dávky vzhľadom na pokles funkcie obličiek.</w:t>
            </w:r>
          </w:p>
        </w:tc>
      </w:tr>
      <w:tr w:rsidR="005E0603" w:rsidRPr="000E1573">
        <w:trPr>
          <w:trHeight w:val="1069"/>
        </w:trPr>
        <w:tc>
          <w:tcPr>
            <w:tcW w:w="1382" w:type="dxa"/>
          </w:tcPr>
          <w:p w:rsidR="005E0603" w:rsidRPr="000E1573" w:rsidRDefault="005E0603" w:rsidP="000E1573">
            <w:pPr>
              <w:keepNext/>
              <w:numPr>
                <w:ilvl w:val="0"/>
                <w:numId w:val="0"/>
              </w:numPr>
              <w:rPr>
                <w:rFonts w:eastAsia="Batang"/>
                <w:sz w:val="22"/>
                <w:szCs w:val="22"/>
              </w:rPr>
            </w:pPr>
            <w:r w:rsidRPr="000E1573">
              <w:rPr>
                <w:rFonts w:eastAsia="Batang"/>
                <w:sz w:val="22"/>
                <w:szCs w:val="22"/>
              </w:rPr>
              <w:t>45-59</w:t>
            </w:r>
          </w:p>
        </w:tc>
        <w:tc>
          <w:tcPr>
            <w:tcW w:w="3124" w:type="dxa"/>
          </w:tcPr>
          <w:p w:rsidR="005E0603" w:rsidRPr="000E1573" w:rsidRDefault="005E0603" w:rsidP="000E1573">
            <w:pPr>
              <w:keepNext/>
              <w:numPr>
                <w:ilvl w:val="0"/>
                <w:numId w:val="0"/>
              </w:numPr>
              <w:rPr>
                <w:rFonts w:eastAsia="Batang"/>
                <w:sz w:val="22"/>
                <w:szCs w:val="22"/>
              </w:rPr>
            </w:pPr>
            <w:r w:rsidRPr="000E1573">
              <w:rPr>
                <w:rFonts w:eastAsia="Batang"/>
                <w:sz w:val="22"/>
                <w:szCs w:val="22"/>
              </w:rPr>
              <w:t>2 000 mg</w:t>
            </w:r>
          </w:p>
        </w:tc>
        <w:tc>
          <w:tcPr>
            <w:tcW w:w="4540" w:type="dxa"/>
            <w:vMerge w:val="restart"/>
          </w:tcPr>
          <w:p w:rsidR="005E0603" w:rsidRPr="000E1573" w:rsidRDefault="005E0603" w:rsidP="000E1573">
            <w:pPr>
              <w:keepNext/>
              <w:numPr>
                <w:ilvl w:val="0"/>
                <w:numId w:val="0"/>
              </w:numPr>
              <w:ind w:left="30" w:hanging="30"/>
              <w:rPr>
                <w:sz w:val="22"/>
                <w:szCs w:val="22"/>
              </w:rPr>
            </w:pPr>
            <w:r w:rsidRPr="000E1573">
              <w:rPr>
                <w:sz w:val="22"/>
                <w:szCs w:val="22"/>
              </w:rPr>
              <w:t xml:space="preserve">Pred zvážením </w:t>
            </w:r>
            <w:r>
              <w:rPr>
                <w:sz w:val="22"/>
                <w:szCs w:val="22"/>
              </w:rPr>
              <w:t>začatia</w:t>
            </w:r>
            <w:r w:rsidRPr="000E1573">
              <w:rPr>
                <w:sz w:val="22"/>
                <w:szCs w:val="22"/>
              </w:rPr>
              <w:t xml:space="preserve"> liečby metformínom je potrebné posúdiť faktory, ktoré </w:t>
            </w:r>
            <w:r w:rsidR="00CE23E6">
              <w:rPr>
                <w:sz w:val="22"/>
                <w:szCs w:val="22"/>
              </w:rPr>
              <w:t>môžu</w:t>
            </w:r>
            <w:r w:rsidRPr="000E1573">
              <w:rPr>
                <w:sz w:val="22"/>
                <w:szCs w:val="22"/>
              </w:rPr>
              <w:t xml:space="preserve"> zvyšovať riziko laktátovej acidózy (pozri časť 4.4).</w:t>
            </w:r>
          </w:p>
          <w:p w:rsidR="005E0603" w:rsidRPr="000E1573" w:rsidRDefault="005E0603" w:rsidP="000E1573">
            <w:pPr>
              <w:keepNext/>
              <w:numPr>
                <w:ilvl w:val="0"/>
                <w:numId w:val="0"/>
              </w:numPr>
              <w:rPr>
                <w:rFonts w:eastAsia="Batang"/>
                <w:sz w:val="22"/>
                <w:szCs w:val="22"/>
              </w:rPr>
            </w:pPr>
            <w:r w:rsidRPr="000E1573">
              <w:rPr>
                <w:sz w:val="22"/>
                <w:szCs w:val="22"/>
              </w:rPr>
              <w:t>Úvodná dávka je nanajvýš polovica z maximálnej dávky.</w:t>
            </w:r>
          </w:p>
        </w:tc>
      </w:tr>
      <w:tr w:rsidR="005E0603" w:rsidRPr="000E1573">
        <w:tc>
          <w:tcPr>
            <w:tcW w:w="1382" w:type="dxa"/>
          </w:tcPr>
          <w:p w:rsidR="005E0603" w:rsidRPr="000E1573" w:rsidRDefault="005E0603" w:rsidP="000E1573">
            <w:pPr>
              <w:numPr>
                <w:ilvl w:val="0"/>
                <w:numId w:val="0"/>
              </w:numPr>
              <w:rPr>
                <w:rFonts w:eastAsia="Batang"/>
                <w:sz w:val="22"/>
                <w:szCs w:val="22"/>
              </w:rPr>
            </w:pPr>
            <w:r w:rsidRPr="000E1573">
              <w:rPr>
                <w:rFonts w:eastAsia="Batang"/>
                <w:sz w:val="22"/>
                <w:szCs w:val="22"/>
              </w:rPr>
              <w:t>30-44</w:t>
            </w:r>
          </w:p>
        </w:tc>
        <w:tc>
          <w:tcPr>
            <w:tcW w:w="3124" w:type="dxa"/>
          </w:tcPr>
          <w:p w:rsidR="005E0603" w:rsidRPr="000E1573" w:rsidRDefault="005E0603" w:rsidP="000E1573">
            <w:pPr>
              <w:numPr>
                <w:ilvl w:val="0"/>
                <w:numId w:val="0"/>
              </w:numPr>
              <w:rPr>
                <w:rFonts w:eastAsia="Batang"/>
                <w:sz w:val="22"/>
                <w:szCs w:val="22"/>
              </w:rPr>
            </w:pPr>
            <w:r w:rsidRPr="000E1573">
              <w:rPr>
                <w:rFonts w:eastAsia="Batang"/>
                <w:sz w:val="22"/>
                <w:szCs w:val="22"/>
              </w:rPr>
              <w:t>1 000 mg</w:t>
            </w:r>
          </w:p>
        </w:tc>
        <w:tc>
          <w:tcPr>
            <w:tcW w:w="4540" w:type="dxa"/>
            <w:vMerge/>
          </w:tcPr>
          <w:p w:rsidR="005E0603" w:rsidRPr="000E1573" w:rsidRDefault="005E0603" w:rsidP="000E1573">
            <w:pPr>
              <w:numPr>
                <w:ilvl w:val="0"/>
                <w:numId w:val="0"/>
              </w:numPr>
              <w:rPr>
                <w:rFonts w:eastAsia="Batang"/>
                <w:sz w:val="22"/>
                <w:szCs w:val="22"/>
              </w:rPr>
            </w:pPr>
          </w:p>
        </w:tc>
      </w:tr>
      <w:tr w:rsidR="005E0603" w:rsidRPr="000E1573">
        <w:tc>
          <w:tcPr>
            <w:tcW w:w="1382" w:type="dxa"/>
          </w:tcPr>
          <w:p w:rsidR="005E0603" w:rsidRPr="000E1573" w:rsidRDefault="005E0603" w:rsidP="000E1573">
            <w:pPr>
              <w:numPr>
                <w:ilvl w:val="0"/>
                <w:numId w:val="0"/>
              </w:numPr>
              <w:rPr>
                <w:rFonts w:eastAsia="Batang"/>
                <w:sz w:val="22"/>
                <w:szCs w:val="22"/>
              </w:rPr>
            </w:pPr>
            <w:r w:rsidRPr="000E1573">
              <w:rPr>
                <w:rFonts w:eastAsia="Batang"/>
                <w:sz w:val="22"/>
                <w:szCs w:val="22"/>
              </w:rPr>
              <w:t>&lt; 30</w:t>
            </w:r>
          </w:p>
        </w:tc>
        <w:tc>
          <w:tcPr>
            <w:tcW w:w="3124" w:type="dxa"/>
          </w:tcPr>
          <w:p w:rsidR="005E0603" w:rsidRPr="000E1573" w:rsidRDefault="005E0603" w:rsidP="000E1573">
            <w:pPr>
              <w:numPr>
                <w:ilvl w:val="0"/>
                <w:numId w:val="0"/>
              </w:numPr>
              <w:rPr>
                <w:rFonts w:eastAsia="Batang"/>
                <w:sz w:val="22"/>
                <w:szCs w:val="22"/>
              </w:rPr>
            </w:pPr>
            <w:r w:rsidRPr="000E1573">
              <w:rPr>
                <w:rFonts w:eastAsia="Batang"/>
                <w:sz w:val="22"/>
                <w:szCs w:val="22"/>
              </w:rPr>
              <w:t>-----</w:t>
            </w:r>
          </w:p>
        </w:tc>
        <w:tc>
          <w:tcPr>
            <w:tcW w:w="4540" w:type="dxa"/>
          </w:tcPr>
          <w:p w:rsidR="005E0603" w:rsidRPr="000E1573" w:rsidRDefault="005E0603" w:rsidP="000E1573">
            <w:pPr>
              <w:numPr>
                <w:ilvl w:val="0"/>
                <w:numId w:val="0"/>
              </w:numPr>
              <w:rPr>
                <w:rFonts w:eastAsia="Batang"/>
                <w:sz w:val="22"/>
                <w:szCs w:val="22"/>
              </w:rPr>
            </w:pPr>
            <w:r w:rsidRPr="000E1573">
              <w:rPr>
                <w:rFonts w:eastAsia="Batang"/>
                <w:sz w:val="22"/>
                <w:szCs w:val="22"/>
              </w:rPr>
              <w:t>Metformín je kontraindikovaný.</w:t>
            </w:r>
          </w:p>
        </w:tc>
      </w:tr>
    </w:tbl>
    <w:p w:rsidR="005E0603" w:rsidRPr="000E1573" w:rsidRDefault="005E0603" w:rsidP="000E1573">
      <w:pPr>
        <w:numPr>
          <w:ilvl w:val="0"/>
          <w:numId w:val="0"/>
        </w:numPr>
        <w:tabs>
          <w:tab w:val="left" w:pos="0"/>
        </w:tabs>
        <w:ind w:left="450" w:hanging="450"/>
        <w:rPr>
          <w:sz w:val="22"/>
          <w:szCs w:val="22"/>
        </w:rPr>
      </w:pPr>
    </w:p>
    <w:p w:rsidR="005E0603" w:rsidRPr="00A1608A" w:rsidRDefault="005E0603" w:rsidP="000E1573">
      <w:pPr>
        <w:numPr>
          <w:ilvl w:val="0"/>
          <w:numId w:val="0"/>
        </w:numPr>
        <w:tabs>
          <w:tab w:val="left" w:pos="0"/>
          <w:tab w:val="left" w:pos="1080"/>
        </w:tabs>
        <w:rPr>
          <w:i/>
          <w:iCs/>
          <w:sz w:val="22"/>
          <w:szCs w:val="22"/>
        </w:rPr>
      </w:pPr>
      <w:r w:rsidRPr="00A1608A">
        <w:rPr>
          <w:i/>
          <w:iCs/>
          <w:sz w:val="22"/>
          <w:szCs w:val="22"/>
        </w:rPr>
        <w:t>Pediatrická populácia</w:t>
      </w:r>
    </w:p>
    <w:p w:rsidR="005E0603" w:rsidRPr="000E1573" w:rsidRDefault="005E0603" w:rsidP="000E1573">
      <w:pPr>
        <w:numPr>
          <w:ilvl w:val="0"/>
          <w:numId w:val="0"/>
        </w:numPr>
        <w:tabs>
          <w:tab w:val="left" w:pos="0"/>
        </w:tabs>
        <w:rPr>
          <w:sz w:val="22"/>
          <w:szCs w:val="22"/>
        </w:rPr>
      </w:pPr>
      <w:r w:rsidRPr="000E1573">
        <w:rPr>
          <w:sz w:val="22"/>
          <w:szCs w:val="22"/>
        </w:rPr>
        <w:t xml:space="preserve">Pre nedostatok údajov sa Metformin </w:t>
      </w:r>
      <w:r>
        <w:rPr>
          <w:sz w:val="22"/>
          <w:szCs w:val="22"/>
        </w:rPr>
        <w:t>Juta</w:t>
      </w:r>
      <w:r w:rsidRPr="000E1573" w:rsidDel="009916C3">
        <w:rPr>
          <w:sz w:val="22"/>
          <w:szCs w:val="22"/>
        </w:rPr>
        <w:t xml:space="preserve"> </w:t>
      </w:r>
      <w:r w:rsidRPr="000E1573">
        <w:rPr>
          <w:sz w:val="22"/>
          <w:szCs w:val="22"/>
        </w:rPr>
        <w:t xml:space="preserve">nemá podávať deťom. </w:t>
      </w:r>
    </w:p>
    <w:p w:rsidR="005E0603" w:rsidRPr="000E1573" w:rsidRDefault="005E0603" w:rsidP="00A1608A">
      <w:pPr>
        <w:numPr>
          <w:ilvl w:val="0"/>
          <w:numId w:val="0"/>
        </w:numPr>
      </w:pPr>
    </w:p>
    <w:p w:rsidR="005E0603" w:rsidRPr="000E1573" w:rsidRDefault="005E0603" w:rsidP="004A5EE0">
      <w:pPr>
        <w:numPr>
          <w:ilvl w:val="0"/>
          <w:numId w:val="0"/>
        </w:numPr>
        <w:outlineLvl w:val="1"/>
        <w:rPr>
          <w:b/>
          <w:bCs/>
          <w:sz w:val="22"/>
          <w:szCs w:val="22"/>
        </w:rPr>
      </w:pPr>
      <w:r w:rsidRPr="000E1573">
        <w:rPr>
          <w:b/>
          <w:bCs/>
          <w:sz w:val="22"/>
          <w:szCs w:val="22"/>
        </w:rPr>
        <w:t>4.3</w:t>
      </w:r>
      <w:r w:rsidRPr="000E1573">
        <w:rPr>
          <w:b/>
          <w:bCs/>
          <w:sz w:val="22"/>
          <w:szCs w:val="22"/>
        </w:rPr>
        <w:tab/>
        <w:t>Kontraindikácie</w:t>
      </w:r>
    </w:p>
    <w:p w:rsidR="005E0603" w:rsidRPr="000E1573" w:rsidRDefault="005E0603" w:rsidP="000E1573">
      <w:pPr>
        <w:numPr>
          <w:ilvl w:val="0"/>
          <w:numId w:val="0"/>
        </w:numPr>
        <w:rPr>
          <w:b/>
          <w:bCs/>
          <w:sz w:val="22"/>
          <w:szCs w:val="22"/>
        </w:rPr>
      </w:pPr>
    </w:p>
    <w:p w:rsidR="005E0603" w:rsidRPr="000E1573" w:rsidRDefault="005E0603" w:rsidP="000E1573">
      <w:pPr>
        <w:numPr>
          <w:ilvl w:val="0"/>
          <w:numId w:val="28"/>
        </w:numPr>
        <w:ind w:left="567" w:hanging="567"/>
        <w:rPr>
          <w:sz w:val="22"/>
          <w:szCs w:val="22"/>
        </w:rPr>
      </w:pPr>
      <w:r w:rsidRPr="000E1573">
        <w:rPr>
          <w:sz w:val="22"/>
          <w:szCs w:val="22"/>
        </w:rPr>
        <w:t>Precitlivenosť na liečivo alebo na ktorúkoľvek z pomocných látok uvedených v časti 6.1.</w:t>
      </w:r>
    </w:p>
    <w:p w:rsidR="005E0603" w:rsidRPr="00A1608A" w:rsidRDefault="005E0603" w:rsidP="00A1608A">
      <w:pPr>
        <w:numPr>
          <w:ilvl w:val="0"/>
          <w:numId w:val="28"/>
        </w:numPr>
        <w:ind w:left="567" w:hanging="567"/>
        <w:rPr>
          <w:sz w:val="22"/>
          <w:szCs w:val="22"/>
        </w:rPr>
      </w:pPr>
      <w:r w:rsidRPr="000E1573">
        <w:rPr>
          <w:sz w:val="22"/>
          <w:szCs w:val="22"/>
        </w:rPr>
        <w:t>Akýkoľvek typ akútnej metabolickej acidózy (ako napríkla</w:t>
      </w:r>
      <w:r>
        <w:rPr>
          <w:sz w:val="22"/>
          <w:szCs w:val="22"/>
        </w:rPr>
        <w:t xml:space="preserve">d laktátová acidóza, diabetická </w:t>
      </w:r>
      <w:r w:rsidRPr="00A1608A">
        <w:rPr>
          <w:sz w:val="22"/>
          <w:szCs w:val="22"/>
        </w:rPr>
        <w:t>ketoacidóza).</w:t>
      </w:r>
    </w:p>
    <w:p w:rsidR="005E0603" w:rsidRPr="000E1573" w:rsidRDefault="005E0603" w:rsidP="000E1573">
      <w:pPr>
        <w:numPr>
          <w:ilvl w:val="0"/>
          <w:numId w:val="28"/>
        </w:numPr>
        <w:ind w:left="567" w:hanging="567"/>
        <w:rPr>
          <w:sz w:val="22"/>
          <w:szCs w:val="22"/>
        </w:rPr>
      </w:pPr>
      <w:r w:rsidRPr="000E1573">
        <w:rPr>
          <w:sz w:val="22"/>
          <w:szCs w:val="22"/>
        </w:rPr>
        <w:t xml:space="preserve">Diabetická pre-kóma. </w:t>
      </w:r>
    </w:p>
    <w:p w:rsidR="005E0603" w:rsidRPr="000E1573" w:rsidRDefault="005E0603" w:rsidP="000E1573">
      <w:pPr>
        <w:numPr>
          <w:ilvl w:val="0"/>
          <w:numId w:val="28"/>
        </w:numPr>
        <w:ind w:left="567" w:hanging="567"/>
        <w:rPr>
          <w:sz w:val="22"/>
          <w:szCs w:val="22"/>
        </w:rPr>
      </w:pPr>
      <w:r w:rsidRPr="000E1573">
        <w:rPr>
          <w:sz w:val="22"/>
          <w:szCs w:val="22"/>
        </w:rPr>
        <w:t>Závažné zlyh</w:t>
      </w:r>
      <w:r w:rsidR="006B5A05">
        <w:rPr>
          <w:sz w:val="22"/>
          <w:szCs w:val="22"/>
        </w:rPr>
        <w:t>áva</w:t>
      </w:r>
      <w:r w:rsidRPr="000E1573">
        <w:rPr>
          <w:sz w:val="22"/>
          <w:szCs w:val="22"/>
        </w:rPr>
        <w:t>nie obličiek (GFR &lt; 30 ml/min).</w:t>
      </w:r>
    </w:p>
    <w:p w:rsidR="005E0603" w:rsidRPr="000E1573" w:rsidRDefault="005E0603" w:rsidP="000E1573">
      <w:pPr>
        <w:numPr>
          <w:ilvl w:val="0"/>
          <w:numId w:val="28"/>
        </w:numPr>
        <w:ind w:left="567" w:hanging="567"/>
        <w:rPr>
          <w:sz w:val="22"/>
          <w:szCs w:val="22"/>
        </w:rPr>
      </w:pPr>
      <w:r w:rsidRPr="000E1573">
        <w:rPr>
          <w:sz w:val="22"/>
          <w:szCs w:val="22"/>
        </w:rPr>
        <w:t xml:space="preserve">Akútne ochorenia, ktoré môžu potenciálne ovplyvniť renálne funkcie ako: </w:t>
      </w:r>
    </w:p>
    <w:p w:rsidR="005E0603" w:rsidRPr="000E1573" w:rsidRDefault="005E0603" w:rsidP="000E1573">
      <w:pPr>
        <w:numPr>
          <w:ilvl w:val="1"/>
          <w:numId w:val="37"/>
        </w:numPr>
        <w:tabs>
          <w:tab w:val="left" w:pos="851"/>
        </w:tabs>
        <w:ind w:left="993"/>
        <w:rPr>
          <w:sz w:val="22"/>
          <w:szCs w:val="22"/>
        </w:rPr>
      </w:pPr>
      <w:r w:rsidRPr="000E1573">
        <w:rPr>
          <w:sz w:val="22"/>
          <w:szCs w:val="22"/>
        </w:rPr>
        <w:lastRenderedPageBreak/>
        <w:t xml:space="preserve"> dehydratácia, </w:t>
      </w:r>
    </w:p>
    <w:p w:rsidR="005E0603" w:rsidRPr="000E1573" w:rsidRDefault="005E0603" w:rsidP="000E1573">
      <w:pPr>
        <w:numPr>
          <w:ilvl w:val="1"/>
          <w:numId w:val="37"/>
        </w:numPr>
        <w:tabs>
          <w:tab w:val="left" w:pos="851"/>
        </w:tabs>
        <w:ind w:left="993"/>
        <w:rPr>
          <w:sz w:val="22"/>
          <w:szCs w:val="22"/>
        </w:rPr>
      </w:pPr>
      <w:r w:rsidRPr="000E1573">
        <w:rPr>
          <w:sz w:val="22"/>
          <w:szCs w:val="22"/>
        </w:rPr>
        <w:t xml:space="preserve"> závažná infekcia, </w:t>
      </w:r>
    </w:p>
    <w:p w:rsidR="005E0603" w:rsidRPr="000E1573" w:rsidRDefault="005E0603" w:rsidP="000E1573">
      <w:pPr>
        <w:numPr>
          <w:ilvl w:val="1"/>
          <w:numId w:val="37"/>
        </w:numPr>
        <w:tabs>
          <w:tab w:val="left" w:pos="851"/>
        </w:tabs>
        <w:ind w:left="993"/>
        <w:rPr>
          <w:sz w:val="22"/>
          <w:szCs w:val="22"/>
        </w:rPr>
      </w:pPr>
      <w:r w:rsidRPr="000E1573">
        <w:rPr>
          <w:sz w:val="22"/>
          <w:szCs w:val="22"/>
        </w:rPr>
        <w:t xml:space="preserve"> šok. </w:t>
      </w:r>
    </w:p>
    <w:p w:rsidR="005E0603" w:rsidRPr="000E1573" w:rsidRDefault="005E0603" w:rsidP="000E1573">
      <w:pPr>
        <w:numPr>
          <w:ilvl w:val="0"/>
          <w:numId w:val="38"/>
        </w:numPr>
        <w:tabs>
          <w:tab w:val="left" w:pos="567"/>
        </w:tabs>
        <w:ind w:left="567" w:hanging="567"/>
        <w:rPr>
          <w:sz w:val="22"/>
          <w:szCs w:val="22"/>
        </w:rPr>
      </w:pPr>
      <w:r w:rsidRPr="000E1573">
        <w:rPr>
          <w:sz w:val="22"/>
          <w:szCs w:val="22"/>
        </w:rPr>
        <w:t>Ochorenie, ktoré môže spôsobiť tkanivovú hypoxiu (predovšetkým akútne alebo zhoršujúce sa chronické ochorenie), napr.:</w:t>
      </w:r>
    </w:p>
    <w:p w:rsidR="005E0603" w:rsidRPr="000E1573" w:rsidRDefault="005E0603" w:rsidP="000E1573">
      <w:pPr>
        <w:numPr>
          <w:ilvl w:val="1"/>
          <w:numId w:val="44"/>
        </w:numPr>
        <w:tabs>
          <w:tab w:val="left" w:pos="993"/>
        </w:tabs>
        <w:ind w:left="1134" w:hanging="567"/>
        <w:rPr>
          <w:sz w:val="22"/>
          <w:szCs w:val="22"/>
        </w:rPr>
      </w:pPr>
      <w:r w:rsidRPr="000E1573">
        <w:rPr>
          <w:sz w:val="22"/>
          <w:szCs w:val="22"/>
        </w:rPr>
        <w:t>dekompenzované srdcové zlyh</w:t>
      </w:r>
      <w:r w:rsidR="006B5A05">
        <w:rPr>
          <w:sz w:val="22"/>
          <w:szCs w:val="22"/>
        </w:rPr>
        <w:t>áva</w:t>
      </w:r>
      <w:r w:rsidRPr="000E1573">
        <w:rPr>
          <w:sz w:val="22"/>
          <w:szCs w:val="22"/>
        </w:rPr>
        <w:t xml:space="preserve">nie, </w:t>
      </w:r>
    </w:p>
    <w:p w:rsidR="005E0603" w:rsidRPr="000E1573" w:rsidRDefault="005E0603" w:rsidP="000E1573">
      <w:pPr>
        <w:numPr>
          <w:ilvl w:val="1"/>
          <w:numId w:val="44"/>
        </w:numPr>
        <w:tabs>
          <w:tab w:val="left" w:pos="993"/>
        </w:tabs>
        <w:ind w:left="1134" w:hanging="567"/>
        <w:rPr>
          <w:sz w:val="22"/>
          <w:szCs w:val="22"/>
        </w:rPr>
      </w:pPr>
      <w:r w:rsidRPr="000E1573">
        <w:rPr>
          <w:sz w:val="22"/>
          <w:szCs w:val="22"/>
        </w:rPr>
        <w:t>respiračné zlyh</w:t>
      </w:r>
      <w:r w:rsidR="006B5A05">
        <w:rPr>
          <w:sz w:val="22"/>
          <w:szCs w:val="22"/>
        </w:rPr>
        <w:t>áva</w:t>
      </w:r>
      <w:r w:rsidRPr="000E1573">
        <w:rPr>
          <w:sz w:val="22"/>
          <w:szCs w:val="22"/>
        </w:rPr>
        <w:t xml:space="preserve">nie, </w:t>
      </w:r>
    </w:p>
    <w:p w:rsidR="005E0603" w:rsidRPr="000E1573" w:rsidRDefault="005E0603" w:rsidP="000E1573">
      <w:pPr>
        <w:numPr>
          <w:ilvl w:val="1"/>
          <w:numId w:val="44"/>
        </w:numPr>
        <w:tabs>
          <w:tab w:val="left" w:pos="993"/>
        </w:tabs>
        <w:ind w:left="1134" w:hanging="567"/>
        <w:rPr>
          <w:sz w:val="22"/>
          <w:szCs w:val="22"/>
        </w:rPr>
      </w:pPr>
      <w:r w:rsidRPr="000E1573">
        <w:rPr>
          <w:sz w:val="22"/>
          <w:szCs w:val="22"/>
        </w:rPr>
        <w:t xml:space="preserve">nedávny infarkt myokardu, </w:t>
      </w:r>
    </w:p>
    <w:p w:rsidR="005E0603" w:rsidRPr="000E1573" w:rsidRDefault="005E0603" w:rsidP="000E1573">
      <w:pPr>
        <w:numPr>
          <w:ilvl w:val="1"/>
          <w:numId w:val="44"/>
        </w:numPr>
        <w:tabs>
          <w:tab w:val="left" w:pos="993"/>
        </w:tabs>
        <w:ind w:left="993" w:hanging="426"/>
        <w:rPr>
          <w:sz w:val="22"/>
          <w:szCs w:val="22"/>
        </w:rPr>
      </w:pPr>
      <w:r w:rsidRPr="000E1573">
        <w:rPr>
          <w:sz w:val="22"/>
          <w:szCs w:val="22"/>
        </w:rPr>
        <w:t>šok.</w:t>
      </w:r>
    </w:p>
    <w:p w:rsidR="005E0603" w:rsidRPr="000E1573" w:rsidRDefault="005E0603" w:rsidP="000E1573">
      <w:pPr>
        <w:numPr>
          <w:ilvl w:val="0"/>
          <w:numId w:val="34"/>
        </w:numPr>
        <w:tabs>
          <w:tab w:val="clear" w:pos="720"/>
          <w:tab w:val="num" w:pos="0"/>
        </w:tabs>
        <w:ind w:left="567" w:hanging="567"/>
        <w:rPr>
          <w:sz w:val="22"/>
          <w:szCs w:val="22"/>
        </w:rPr>
      </w:pPr>
      <w:r w:rsidRPr="000E1573">
        <w:rPr>
          <w:sz w:val="22"/>
          <w:szCs w:val="22"/>
        </w:rPr>
        <w:t>Hepatálna insuficiencia, akútna intoxikácia alkoholom, alkoholizmus.</w:t>
      </w:r>
    </w:p>
    <w:p w:rsidR="005E0603" w:rsidRPr="000E1573" w:rsidRDefault="005E0603" w:rsidP="000E1573">
      <w:pPr>
        <w:numPr>
          <w:ilvl w:val="0"/>
          <w:numId w:val="0"/>
        </w:numPr>
        <w:ind w:left="567"/>
        <w:rPr>
          <w:sz w:val="22"/>
          <w:szCs w:val="22"/>
        </w:rPr>
      </w:pPr>
    </w:p>
    <w:p w:rsidR="005E0603" w:rsidRDefault="005E0603" w:rsidP="004A5EE0">
      <w:pPr>
        <w:numPr>
          <w:ilvl w:val="0"/>
          <w:numId w:val="0"/>
        </w:numPr>
        <w:outlineLvl w:val="1"/>
        <w:rPr>
          <w:b/>
          <w:bCs/>
          <w:sz w:val="22"/>
          <w:szCs w:val="22"/>
        </w:rPr>
      </w:pPr>
      <w:r w:rsidRPr="00A1608A">
        <w:rPr>
          <w:b/>
          <w:bCs/>
          <w:sz w:val="22"/>
          <w:szCs w:val="22"/>
        </w:rPr>
        <w:t>4.4</w:t>
      </w:r>
      <w:r w:rsidRPr="00A1608A">
        <w:rPr>
          <w:b/>
          <w:bCs/>
          <w:sz w:val="22"/>
          <w:szCs w:val="22"/>
        </w:rPr>
        <w:tab/>
        <w:t>Osobitné upozornenia a opatrenia pri používaní</w:t>
      </w:r>
    </w:p>
    <w:p w:rsidR="005E0603" w:rsidRPr="00A1608A" w:rsidRDefault="005E0603" w:rsidP="00A1608A">
      <w:pPr>
        <w:numPr>
          <w:ilvl w:val="0"/>
          <w:numId w:val="0"/>
        </w:numPr>
        <w:rPr>
          <w:b/>
          <w:bCs/>
          <w:sz w:val="22"/>
          <w:szCs w:val="22"/>
        </w:rPr>
      </w:pPr>
    </w:p>
    <w:p w:rsidR="005E0603" w:rsidRPr="000E1573" w:rsidRDefault="005E0603" w:rsidP="000E1573">
      <w:pPr>
        <w:numPr>
          <w:ilvl w:val="0"/>
          <w:numId w:val="0"/>
        </w:numPr>
        <w:rPr>
          <w:sz w:val="22"/>
          <w:szCs w:val="22"/>
          <w:u w:val="single"/>
        </w:rPr>
      </w:pPr>
      <w:r w:rsidRPr="000E1573">
        <w:rPr>
          <w:sz w:val="22"/>
          <w:szCs w:val="22"/>
          <w:u w:val="single"/>
        </w:rPr>
        <w:t>Laktátová acidóza</w:t>
      </w:r>
    </w:p>
    <w:p w:rsidR="005E0603" w:rsidRPr="000E1573" w:rsidRDefault="005E0603" w:rsidP="00437B35">
      <w:pPr>
        <w:numPr>
          <w:ilvl w:val="0"/>
          <w:numId w:val="0"/>
        </w:numPr>
        <w:rPr>
          <w:sz w:val="22"/>
          <w:szCs w:val="22"/>
        </w:rPr>
      </w:pPr>
      <w:r w:rsidRPr="000E1573">
        <w:rPr>
          <w:sz w:val="22"/>
          <w:szCs w:val="22"/>
        </w:rPr>
        <w:t xml:space="preserve">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 </w:t>
      </w:r>
    </w:p>
    <w:p w:rsidR="005E0603" w:rsidRPr="000E1573" w:rsidRDefault="005E0603" w:rsidP="00437B35">
      <w:pPr>
        <w:numPr>
          <w:ilvl w:val="0"/>
          <w:numId w:val="0"/>
        </w:numPr>
        <w:rPr>
          <w:sz w:val="22"/>
          <w:szCs w:val="22"/>
        </w:rPr>
      </w:pPr>
      <w:r w:rsidRPr="000E1573">
        <w:rPr>
          <w:sz w:val="22"/>
          <w:szCs w:val="22"/>
        </w:rPr>
        <w:t xml:space="preserve">V prípade dehydratácie (závažná hnačka alebo vracanie, horúčka alebo znížený príjem tekutín) je potrebné dočasne prerušiť podávanie metformínu a odporúča sa kontaktovať zdravotníckeho pracovníka. </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 xml:space="preserve">Lieky, ktoré môžu akútne narušiť funkciu obličiek (ako napríklad antihypertenzíva, diuretiká a NSA)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 </w:t>
      </w:r>
    </w:p>
    <w:p w:rsidR="005E0603" w:rsidRPr="000E1573" w:rsidRDefault="005E0603" w:rsidP="000E1573">
      <w:pPr>
        <w:pStyle w:val="CM5"/>
        <w:spacing w:line="240" w:lineRule="auto"/>
        <w:rPr>
          <w:rFonts w:ascii="Times New Roman" w:hAnsi="Times New Roman" w:cs="Times New Roman"/>
          <w:sz w:val="22"/>
          <w:szCs w:val="22"/>
          <w:lang w:val="sk-SK"/>
        </w:rPr>
      </w:pPr>
    </w:p>
    <w:p w:rsidR="005E0603" w:rsidRPr="000E1573" w:rsidRDefault="005E0603" w:rsidP="00437B35">
      <w:pPr>
        <w:numPr>
          <w:ilvl w:val="0"/>
          <w:numId w:val="0"/>
        </w:numPr>
        <w:rPr>
          <w:sz w:val="22"/>
          <w:szCs w:val="22"/>
        </w:rPr>
      </w:pPr>
      <w:r w:rsidRPr="000E1573">
        <w:rPr>
          <w:sz w:val="22"/>
          <w:szCs w:val="22"/>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Funkcia obličiek</w:t>
      </w:r>
    </w:p>
    <w:p w:rsidR="005E0603" w:rsidRPr="000E1573" w:rsidRDefault="005E0603" w:rsidP="00437B35">
      <w:pPr>
        <w:numPr>
          <w:ilvl w:val="0"/>
          <w:numId w:val="0"/>
        </w:numPr>
        <w:rPr>
          <w:sz w:val="22"/>
          <w:szCs w:val="22"/>
        </w:rPr>
      </w:pPr>
      <w:r w:rsidRPr="000E1573">
        <w:rPr>
          <w:sz w:val="22"/>
          <w:szCs w:val="22"/>
        </w:rPr>
        <w:t xml:space="preserve">GFR je potrebné vyhodnotiť pred začiatkom liečby a pravidelne po ňom, pozri časť 4.2. Metformín je kontraindikovaný u pacientov s GFR &lt; 30 ml/min a v prípade výskytu stavov, pri ktorých dochádza k zmene funkcie obličiek, je potrebné ho dočasne prestať podávať, pozri časť 4.3. </w:t>
      </w:r>
    </w:p>
    <w:p w:rsidR="005E0603" w:rsidRPr="000E1573" w:rsidRDefault="005E0603" w:rsidP="000E1573">
      <w:pPr>
        <w:numPr>
          <w:ilvl w:val="0"/>
          <w:numId w:val="0"/>
        </w:numPr>
        <w:tabs>
          <w:tab w:val="num" w:pos="0"/>
        </w:tabs>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Funkci</w:t>
      </w:r>
      <w:r w:rsidR="00960653">
        <w:rPr>
          <w:sz w:val="22"/>
          <w:szCs w:val="22"/>
          <w:u w:val="single"/>
        </w:rPr>
        <w:t>a</w:t>
      </w:r>
      <w:r w:rsidRPr="000E1573">
        <w:rPr>
          <w:sz w:val="22"/>
          <w:szCs w:val="22"/>
          <w:u w:val="single"/>
        </w:rPr>
        <w:t xml:space="preserve"> srdca</w:t>
      </w:r>
    </w:p>
    <w:p w:rsidR="005E0603" w:rsidRPr="000E1573" w:rsidRDefault="005E0603" w:rsidP="000E1573">
      <w:pPr>
        <w:numPr>
          <w:ilvl w:val="0"/>
          <w:numId w:val="0"/>
        </w:numPr>
        <w:rPr>
          <w:sz w:val="22"/>
          <w:szCs w:val="22"/>
        </w:rPr>
      </w:pPr>
      <w:r w:rsidRPr="000E1573">
        <w:rPr>
          <w:sz w:val="22"/>
          <w:szCs w:val="22"/>
        </w:rPr>
        <w:t>U pacientov so srdcovým zlyh</w:t>
      </w:r>
      <w:r w:rsidR="006B5A05">
        <w:rPr>
          <w:sz w:val="22"/>
          <w:szCs w:val="22"/>
        </w:rPr>
        <w:t>áva</w:t>
      </w:r>
      <w:r w:rsidRPr="000E1573">
        <w:rPr>
          <w:sz w:val="22"/>
          <w:szCs w:val="22"/>
        </w:rPr>
        <w:t>ním je väčšie riziko hypoxie a renálnej insuficiencie. Pacienti so stabilným chronickým srdcovým zlyh</w:t>
      </w:r>
      <w:r w:rsidR="006B5A05">
        <w:rPr>
          <w:sz w:val="22"/>
          <w:szCs w:val="22"/>
        </w:rPr>
        <w:t>áva</w:t>
      </w:r>
      <w:r w:rsidRPr="000E1573">
        <w:rPr>
          <w:sz w:val="22"/>
          <w:szCs w:val="22"/>
        </w:rPr>
        <w:t xml:space="preserve">ním môžu užívať metformín iba vtedy, ak sa pravidelne monitorujú ich srdcové a renálne funkcie. </w:t>
      </w:r>
    </w:p>
    <w:p w:rsidR="005E0603" w:rsidRPr="000E1573" w:rsidRDefault="005E0603" w:rsidP="000E1573">
      <w:pPr>
        <w:numPr>
          <w:ilvl w:val="0"/>
          <w:numId w:val="0"/>
        </w:numPr>
        <w:rPr>
          <w:sz w:val="22"/>
          <w:szCs w:val="22"/>
        </w:rPr>
      </w:pPr>
    </w:p>
    <w:p w:rsidR="005E0603" w:rsidRDefault="005E0603" w:rsidP="000E1573">
      <w:pPr>
        <w:numPr>
          <w:ilvl w:val="0"/>
          <w:numId w:val="0"/>
        </w:numPr>
        <w:rPr>
          <w:sz w:val="22"/>
          <w:szCs w:val="22"/>
        </w:rPr>
      </w:pPr>
      <w:r w:rsidRPr="000E1573">
        <w:rPr>
          <w:sz w:val="22"/>
          <w:szCs w:val="22"/>
        </w:rPr>
        <w:t>U pacientov s akútnym a nestabilným srdcovým zlyh</w:t>
      </w:r>
      <w:r w:rsidR="007876C6">
        <w:rPr>
          <w:sz w:val="22"/>
          <w:szCs w:val="22"/>
        </w:rPr>
        <w:t>áv</w:t>
      </w:r>
      <w:r w:rsidRPr="000E1573">
        <w:rPr>
          <w:sz w:val="22"/>
          <w:szCs w:val="22"/>
        </w:rPr>
        <w:t>aním je metformím kontraindikovaný (pozri časť 4.3).</w:t>
      </w:r>
    </w:p>
    <w:p w:rsidR="005E0603" w:rsidRDefault="005E0603" w:rsidP="000E1573">
      <w:pPr>
        <w:numPr>
          <w:ilvl w:val="0"/>
          <w:numId w:val="0"/>
        </w:numPr>
        <w:rPr>
          <w:sz w:val="22"/>
          <w:szCs w:val="22"/>
        </w:rPr>
      </w:pPr>
    </w:p>
    <w:p w:rsidR="005E0603" w:rsidRPr="007C54DD" w:rsidRDefault="005E0603" w:rsidP="00C54786">
      <w:pPr>
        <w:numPr>
          <w:ilvl w:val="0"/>
          <w:numId w:val="0"/>
        </w:numPr>
        <w:rPr>
          <w:sz w:val="22"/>
          <w:szCs w:val="22"/>
          <w:u w:val="single"/>
        </w:rPr>
      </w:pPr>
      <w:r w:rsidRPr="007C54DD">
        <w:rPr>
          <w:sz w:val="22"/>
          <w:szCs w:val="22"/>
          <w:u w:val="single"/>
        </w:rPr>
        <w:t>Starší ľudia:</w:t>
      </w:r>
    </w:p>
    <w:p w:rsidR="005E0603" w:rsidRPr="007C54DD" w:rsidRDefault="005E0603" w:rsidP="000E1573">
      <w:pPr>
        <w:numPr>
          <w:ilvl w:val="0"/>
          <w:numId w:val="0"/>
        </w:numPr>
        <w:rPr>
          <w:sz w:val="22"/>
          <w:szCs w:val="22"/>
        </w:rPr>
      </w:pPr>
      <w:r w:rsidRPr="007C54DD">
        <w:rPr>
          <w:sz w:val="22"/>
          <w:szCs w:val="22"/>
        </w:rPr>
        <w:t>Vzhľadom na obmedzené údaje o terapeutickej účinnosti pri znižovaní rizika alebo oddialení ochorenia diabetes mellitus 2 u pacientov vo veku 75 rokov a starších, sa neodporúča začať liečbu metformínom u týchto pacientov.</w:t>
      </w:r>
    </w:p>
    <w:p w:rsidR="005E0603" w:rsidRPr="007C54DD" w:rsidRDefault="005E0603" w:rsidP="000E1573">
      <w:pPr>
        <w:numPr>
          <w:ilvl w:val="0"/>
          <w:numId w:val="0"/>
        </w:numPr>
        <w:ind w:left="1560"/>
        <w:rPr>
          <w:sz w:val="22"/>
          <w:szCs w:val="22"/>
        </w:rPr>
      </w:pPr>
    </w:p>
    <w:p w:rsidR="005E0603" w:rsidRPr="000E1573" w:rsidRDefault="005E0603" w:rsidP="000E1573">
      <w:pPr>
        <w:numPr>
          <w:ilvl w:val="0"/>
          <w:numId w:val="0"/>
        </w:numPr>
        <w:rPr>
          <w:sz w:val="22"/>
          <w:szCs w:val="22"/>
          <w:u w:val="single"/>
        </w:rPr>
      </w:pPr>
      <w:r w:rsidRPr="007C54DD">
        <w:rPr>
          <w:sz w:val="22"/>
          <w:szCs w:val="22"/>
          <w:u w:val="single"/>
        </w:rPr>
        <w:t>Podanie</w:t>
      </w:r>
      <w:r w:rsidRPr="000E1573">
        <w:rPr>
          <w:sz w:val="22"/>
          <w:szCs w:val="22"/>
          <w:u w:val="single"/>
        </w:rPr>
        <w:t xml:space="preserve"> jódovej kontrastnej látky</w:t>
      </w:r>
    </w:p>
    <w:p w:rsidR="005E0603" w:rsidRPr="000E1573" w:rsidRDefault="005E0603" w:rsidP="00437B35">
      <w:pPr>
        <w:numPr>
          <w:ilvl w:val="0"/>
          <w:numId w:val="0"/>
        </w:numPr>
        <w:rPr>
          <w:sz w:val="22"/>
          <w:szCs w:val="22"/>
        </w:rPr>
      </w:pPr>
      <w:r w:rsidRPr="000E1573">
        <w:rPr>
          <w:sz w:val="22"/>
          <w:szCs w:val="22"/>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w:t>
      </w:r>
      <w:r w:rsidRPr="000E1573">
        <w:rPr>
          <w:sz w:val="22"/>
          <w:szCs w:val="22"/>
        </w:rPr>
        <w:lastRenderedPageBreak/>
        <w:t xml:space="preserve">minimálne 48 hodín, za predpokladu, že funkcia obličiek bola opätovne posúdená a považovaná za stabilnú, pozrite časti 4.2 a 4.5. </w:t>
      </w:r>
    </w:p>
    <w:p w:rsidR="005E0603" w:rsidRPr="000E1573" w:rsidRDefault="005E0603" w:rsidP="000E1573">
      <w:pPr>
        <w:numPr>
          <w:ilvl w:val="0"/>
          <w:numId w:val="0"/>
        </w:numPr>
        <w:ind w:left="336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Chirurgický zákrok</w:t>
      </w:r>
    </w:p>
    <w:p w:rsidR="005E0603" w:rsidRPr="000E1573" w:rsidRDefault="005E0603" w:rsidP="00437B35">
      <w:pPr>
        <w:numPr>
          <w:ilvl w:val="0"/>
          <w:numId w:val="0"/>
        </w:numPr>
        <w:rPr>
          <w:sz w:val="22"/>
          <w:szCs w:val="22"/>
        </w:rPr>
      </w:pPr>
      <w:r w:rsidRPr="000E1573">
        <w:rPr>
          <w:sz w:val="22"/>
          <w:szCs w:val="22"/>
        </w:rPr>
        <w:t xml:space="preserve">Metformín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 </w:t>
      </w:r>
    </w:p>
    <w:p w:rsidR="005E0603" w:rsidRPr="000E1573" w:rsidRDefault="005E0603" w:rsidP="000E1573">
      <w:pPr>
        <w:numPr>
          <w:ilvl w:val="0"/>
          <w:numId w:val="0"/>
        </w:numPr>
        <w:rPr>
          <w:b/>
          <w:bCs/>
          <w:sz w:val="22"/>
          <w:szCs w:val="22"/>
        </w:rPr>
      </w:pPr>
    </w:p>
    <w:p w:rsidR="005E0603" w:rsidRPr="000E1573" w:rsidRDefault="005E0603" w:rsidP="000E1573">
      <w:pPr>
        <w:numPr>
          <w:ilvl w:val="0"/>
          <w:numId w:val="0"/>
        </w:numPr>
        <w:rPr>
          <w:sz w:val="22"/>
          <w:szCs w:val="22"/>
          <w:u w:val="single"/>
        </w:rPr>
      </w:pPr>
      <w:r w:rsidRPr="000E1573">
        <w:rPr>
          <w:sz w:val="22"/>
          <w:szCs w:val="22"/>
          <w:u w:val="single"/>
        </w:rPr>
        <w:t>Ďalšie upozornenia</w:t>
      </w:r>
    </w:p>
    <w:p w:rsidR="005E0603" w:rsidRPr="000E1573" w:rsidRDefault="005E0603" w:rsidP="000E1573">
      <w:pPr>
        <w:numPr>
          <w:ilvl w:val="0"/>
          <w:numId w:val="0"/>
        </w:numPr>
        <w:rPr>
          <w:sz w:val="22"/>
          <w:szCs w:val="22"/>
        </w:rPr>
      </w:pPr>
      <w:r w:rsidRPr="000E1573">
        <w:rPr>
          <w:sz w:val="22"/>
          <w:szCs w:val="22"/>
        </w:rPr>
        <w:t xml:space="preserve">Všetci pacienti majú dodržiavať diétu s pravidelne rozdeleným denným príjmom cukrov počas dňa. </w:t>
      </w:r>
    </w:p>
    <w:p w:rsidR="005E0603" w:rsidRPr="000E1573" w:rsidRDefault="005E0603" w:rsidP="000E1573">
      <w:pPr>
        <w:numPr>
          <w:ilvl w:val="0"/>
          <w:numId w:val="0"/>
        </w:numPr>
        <w:rPr>
          <w:sz w:val="22"/>
          <w:szCs w:val="22"/>
        </w:rPr>
      </w:pPr>
      <w:r w:rsidRPr="000E1573">
        <w:rPr>
          <w:sz w:val="22"/>
          <w:szCs w:val="22"/>
        </w:rPr>
        <w:t>Pacienti s nadváhou majú pokračovať v redukčnej diéte.</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Zvyčajné laboratórne vyšetrenia na sledovanie diabetu je potrebné vykonávať pravidelne.</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Metformín samotný nevyvoláva hypoglykémiu, je však potrebné zvýšiť opatrnosť, ak je podávaný spolu s inzulínom alebo s inými perorálnymi antidiabetikami (napr. deriváty sulfonyl</w:t>
      </w:r>
      <w:r w:rsidR="006B5A05">
        <w:rPr>
          <w:sz w:val="22"/>
          <w:szCs w:val="22"/>
        </w:rPr>
        <w:t>močoviny</w:t>
      </w:r>
      <w:r w:rsidRPr="000E1573">
        <w:rPr>
          <w:sz w:val="22"/>
          <w:szCs w:val="22"/>
        </w:rPr>
        <w:t xml:space="preserve"> alebo meglitinidy).</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V stolici môžu byť prítomné zvyšky tabliet. Pacienti majú byť upozornení, že je to normálne.</w:t>
      </w:r>
    </w:p>
    <w:p w:rsidR="005E0603" w:rsidRPr="000E1573" w:rsidRDefault="005E0603" w:rsidP="000E1573">
      <w:pPr>
        <w:numPr>
          <w:ilvl w:val="0"/>
          <w:numId w:val="0"/>
        </w:numPr>
        <w:rPr>
          <w:b/>
          <w:bCs/>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4.5</w:t>
      </w:r>
      <w:r w:rsidRPr="000E1573">
        <w:rPr>
          <w:b/>
          <w:bCs/>
          <w:sz w:val="22"/>
          <w:szCs w:val="22"/>
        </w:rPr>
        <w:tab/>
        <w:t>Liekové a iné interakcie</w:t>
      </w:r>
    </w:p>
    <w:p w:rsidR="005E0603" w:rsidRPr="000E1573" w:rsidRDefault="005E0603" w:rsidP="000E1573">
      <w:pPr>
        <w:numPr>
          <w:ilvl w:val="0"/>
          <w:numId w:val="0"/>
        </w:numPr>
        <w:rPr>
          <w:b/>
          <w:bCs/>
          <w:sz w:val="22"/>
          <w:szCs w:val="22"/>
        </w:rPr>
      </w:pPr>
    </w:p>
    <w:p w:rsidR="005E0603" w:rsidRPr="000E1573" w:rsidRDefault="005E0603" w:rsidP="000E1573">
      <w:pPr>
        <w:numPr>
          <w:ilvl w:val="0"/>
          <w:numId w:val="0"/>
        </w:numPr>
        <w:rPr>
          <w:sz w:val="22"/>
          <w:szCs w:val="22"/>
          <w:u w:val="single"/>
        </w:rPr>
      </w:pPr>
      <w:r w:rsidRPr="000E1573">
        <w:rPr>
          <w:sz w:val="22"/>
          <w:szCs w:val="22"/>
          <w:u w:val="single"/>
        </w:rPr>
        <w:t xml:space="preserve">Súbežné používanie, ktoré sa neodporúča </w:t>
      </w:r>
    </w:p>
    <w:p w:rsidR="005E0603" w:rsidRPr="000E1573" w:rsidRDefault="005E0603" w:rsidP="000E1573">
      <w:pPr>
        <w:numPr>
          <w:ilvl w:val="0"/>
          <w:numId w:val="0"/>
        </w:numPr>
        <w:rPr>
          <w:i/>
          <w:iCs/>
          <w:sz w:val="22"/>
          <w:szCs w:val="22"/>
        </w:rPr>
      </w:pPr>
    </w:p>
    <w:p w:rsidR="005E0603" w:rsidRPr="000E1573" w:rsidRDefault="005E0603" w:rsidP="000E1573">
      <w:pPr>
        <w:numPr>
          <w:ilvl w:val="0"/>
          <w:numId w:val="0"/>
        </w:numPr>
        <w:rPr>
          <w:i/>
          <w:iCs/>
          <w:sz w:val="22"/>
          <w:szCs w:val="22"/>
        </w:rPr>
      </w:pPr>
      <w:r w:rsidRPr="000E1573">
        <w:rPr>
          <w:i/>
          <w:iCs/>
          <w:sz w:val="22"/>
          <w:szCs w:val="22"/>
        </w:rPr>
        <w:t>Alkohol</w:t>
      </w:r>
    </w:p>
    <w:p w:rsidR="005E0603" w:rsidRPr="000E1573" w:rsidRDefault="005E0603" w:rsidP="000E1573">
      <w:pPr>
        <w:numPr>
          <w:ilvl w:val="0"/>
          <w:numId w:val="0"/>
        </w:numPr>
        <w:rPr>
          <w:sz w:val="22"/>
          <w:szCs w:val="22"/>
        </w:rPr>
      </w:pPr>
      <w:r w:rsidRPr="000E1573">
        <w:rPr>
          <w:sz w:val="22"/>
          <w:szCs w:val="22"/>
        </w:rPr>
        <w:t>Intoxikácia alkoholom je spojená so zvýšeným rizikom laktátovej acidózy najmä v</w:t>
      </w:r>
      <w:r>
        <w:rPr>
          <w:sz w:val="22"/>
          <w:szCs w:val="22"/>
        </w:rPr>
        <w:t> </w:t>
      </w:r>
      <w:r w:rsidRPr="000E1573">
        <w:rPr>
          <w:sz w:val="22"/>
          <w:szCs w:val="22"/>
        </w:rPr>
        <w:t>prípadoch</w:t>
      </w:r>
      <w:r>
        <w:rPr>
          <w:sz w:val="22"/>
          <w:szCs w:val="22"/>
        </w:rPr>
        <w:t xml:space="preserve"> </w:t>
      </w:r>
      <w:r w:rsidRPr="000E1573">
        <w:rPr>
          <w:sz w:val="22"/>
          <w:szCs w:val="22"/>
        </w:rPr>
        <w:t xml:space="preserve">hladovania, nedostatočnej výživy alebo poškodenia funkcie pečene.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i/>
          <w:iCs/>
          <w:sz w:val="22"/>
          <w:szCs w:val="22"/>
        </w:rPr>
      </w:pPr>
      <w:r w:rsidRPr="000E1573">
        <w:rPr>
          <w:i/>
          <w:iCs/>
          <w:sz w:val="22"/>
          <w:szCs w:val="22"/>
        </w:rPr>
        <w:t>Jódové kontrastné látky</w:t>
      </w:r>
    </w:p>
    <w:p w:rsidR="005E0603" w:rsidRPr="00437B35" w:rsidRDefault="005E0603" w:rsidP="00437B35">
      <w:pPr>
        <w:numPr>
          <w:ilvl w:val="0"/>
          <w:numId w:val="0"/>
        </w:numPr>
        <w:rPr>
          <w:sz w:val="22"/>
          <w:szCs w:val="22"/>
        </w:rPr>
      </w:pPr>
      <w:r w:rsidRPr="00437B35">
        <w:rPr>
          <w:sz w:val="22"/>
          <w:szCs w:val="22"/>
        </w:rPr>
        <w:t>Pred zobrazovacím vyšetrením alebo v čase zobrazovacieho vyšetrenia sa metformín musí vysadiť a nesmie sa opätovne nasadiť, kým neuplynie minimálne 48 hodín ,</w:t>
      </w:r>
      <w:r w:rsidR="00BE6907" w:rsidRPr="00BE6907">
        <w:rPr>
          <w:sz w:val="22"/>
          <w:szCs w:val="22"/>
        </w:rPr>
        <w:t xml:space="preserve"> </w:t>
      </w:r>
      <w:r w:rsidR="00BE6907">
        <w:rPr>
          <w:sz w:val="22"/>
          <w:szCs w:val="22"/>
        </w:rPr>
        <w:t>v podávaní je možné pokračovať</w:t>
      </w:r>
      <w:r w:rsidRPr="00437B35">
        <w:rPr>
          <w:sz w:val="22"/>
          <w:szCs w:val="22"/>
        </w:rPr>
        <w:t xml:space="preserve"> za predpokladu, že došlo k opätovnému vyhodnoteniu funkcie obličiek a zistilo sa, že je stabilná, pozri časti 4.2 a 4.4. </w:t>
      </w:r>
    </w:p>
    <w:p w:rsidR="005E0603" w:rsidRPr="000E1573" w:rsidRDefault="005E0603" w:rsidP="000E1573">
      <w:pPr>
        <w:numPr>
          <w:ilvl w:val="0"/>
          <w:numId w:val="0"/>
        </w:numPr>
        <w:ind w:left="408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 xml:space="preserve">Kombinácia, pri ktorej sa vyžaduje opatrnosť pri používaní </w:t>
      </w:r>
    </w:p>
    <w:p w:rsidR="005E0603" w:rsidRPr="00437B35" w:rsidRDefault="005E0603" w:rsidP="00437B35">
      <w:pPr>
        <w:numPr>
          <w:ilvl w:val="0"/>
          <w:numId w:val="0"/>
        </w:numPr>
        <w:rPr>
          <w:sz w:val="22"/>
          <w:szCs w:val="22"/>
        </w:rPr>
      </w:pPr>
      <w:r w:rsidRPr="00437B35">
        <w:rPr>
          <w:sz w:val="22"/>
          <w:szCs w:val="22"/>
        </w:rPr>
        <w:t xml:space="preserve">Niektoré lieky môžu nežiaduco ovplyvňovať funkciu obličiek, čo môže zvýšiť riziko laktátovej acidózy, napr. NSA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 </w:t>
      </w:r>
    </w:p>
    <w:p w:rsidR="005E0603" w:rsidRPr="000E1573" w:rsidRDefault="005E0603" w:rsidP="000E1573">
      <w:pPr>
        <w:pStyle w:val="SPCnormal"/>
        <w:rPr>
          <w:lang w:val="sk-SK"/>
        </w:rPr>
      </w:pPr>
    </w:p>
    <w:p w:rsidR="005E0603" w:rsidRPr="00437B35" w:rsidRDefault="005E0603" w:rsidP="000E1573">
      <w:pPr>
        <w:numPr>
          <w:ilvl w:val="0"/>
          <w:numId w:val="0"/>
        </w:numPr>
        <w:rPr>
          <w:i/>
          <w:iCs/>
          <w:sz w:val="22"/>
          <w:szCs w:val="22"/>
        </w:rPr>
      </w:pPr>
      <w:r w:rsidRPr="000E1573">
        <w:rPr>
          <w:i/>
          <w:iCs/>
          <w:sz w:val="22"/>
          <w:szCs w:val="22"/>
        </w:rPr>
        <w:t xml:space="preserve">Lieky s vnútornou hyperglykemickou aktivitou (napr. glukokortikoidy </w:t>
      </w:r>
      <w:r>
        <w:rPr>
          <w:i/>
          <w:iCs/>
          <w:sz w:val="22"/>
          <w:szCs w:val="22"/>
        </w:rPr>
        <w:t xml:space="preserve">podávané systémovo </w:t>
      </w:r>
      <w:r w:rsidRPr="000E1573">
        <w:rPr>
          <w:i/>
          <w:iCs/>
          <w:sz w:val="22"/>
          <w:szCs w:val="22"/>
        </w:rPr>
        <w:t>a lokálne a sympatomimetiká)</w:t>
      </w:r>
    </w:p>
    <w:p w:rsidR="005E0603" w:rsidRPr="000E1573" w:rsidRDefault="005E0603" w:rsidP="000E1573">
      <w:pPr>
        <w:numPr>
          <w:ilvl w:val="0"/>
          <w:numId w:val="0"/>
        </w:numPr>
        <w:rPr>
          <w:sz w:val="22"/>
          <w:szCs w:val="22"/>
        </w:rPr>
      </w:pPr>
      <w:r w:rsidRPr="000E1573">
        <w:rPr>
          <w:sz w:val="22"/>
          <w:szCs w:val="22"/>
        </w:rPr>
        <w:t xml:space="preserve">Môže byť potrebné vykonávať častejšie glykemické kontroly, najmä na začiatku liečby. Ak je to potrebné, upravte dávkovanie metformínu počas liečby a po jej skončení.  </w:t>
      </w:r>
    </w:p>
    <w:p w:rsidR="005E0603" w:rsidRPr="000E1573" w:rsidRDefault="005E0603" w:rsidP="000E1573">
      <w:pPr>
        <w:pStyle w:val="SPCnormal"/>
        <w:rPr>
          <w:lang w:val="sk-SK" w:eastAsia="en-US"/>
        </w:rPr>
      </w:pPr>
    </w:p>
    <w:p w:rsidR="005E0603" w:rsidRPr="000E1573" w:rsidRDefault="005E0603" w:rsidP="000E1573">
      <w:pPr>
        <w:pStyle w:val="SPCnormal"/>
        <w:rPr>
          <w:i/>
          <w:iCs/>
          <w:lang w:val="sk-SK" w:eastAsia="en-US"/>
        </w:rPr>
      </w:pPr>
      <w:r w:rsidRPr="000E1573">
        <w:rPr>
          <w:i/>
          <w:iCs/>
          <w:lang w:val="sk-SK" w:eastAsia="en-US"/>
        </w:rPr>
        <w:t>Transportéry pre organické katióny (OCT, organic cation transporters)</w:t>
      </w:r>
    </w:p>
    <w:p w:rsidR="005E0603" w:rsidRPr="00437B35" w:rsidRDefault="005E0603" w:rsidP="00437B35">
      <w:pPr>
        <w:numPr>
          <w:ilvl w:val="0"/>
          <w:numId w:val="0"/>
        </w:numPr>
        <w:rPr>
          <w:sz w:val="22"/>
          <w:szCs w:val="22"/>
        </w:rPr>
      </w:pPr>
      <w:r w:rsidRPr="00437B35">
        <w:rPr>
          <w:sz w:val="22"/>
          <w:szCs w:val="22"/>
        </w:rPr>
        <w:t>Metformín je substrátom pre oba transportéry OCT1 a OCT2.</w:t>
      </w:r>
    </w:p>
    <w:p w:rsidR="005E0603" w:rsidRPr="000E1573" w:rsidRDefault="005E0603" w:rsidP="000E1573">
      <w:pPr>
        <w:pStyle w:val="SPCnormal"/>
        <w:rPr>
          <w:lang w:val="sk-SK" w:eastAsia="en-US"/>
        </w:rPr>
      </w:pPr>
    </w:p>
    <w:p w:rsidR="005E0603" w:rsidRPr="00437B35" w:rsidRDefault="005E0603" w:rsidP="00437B35">
      <w:pPr>
        <w:numPr>
          <w:ilvl w:val="0"/>
          <w:numId w:val="0"/>
        </w:numPr>
        <w:rPr>
          <w:sz w:val="22"/>
          <w:szCs w:val="22"/>
        </w:rPr>
      </w:pPr>
      <w:r w:rsidRPr="00437B35">
        <w:rPr>
          <w:sz w:val="22"/>
          <w:szCs w:val="22"/>
        </w:rPr>
        <w:t>Súbežné podávanie metformínu s</w:t>
      </w:r>
    </w:p>
    <w:p w:rsidR="005E0603" w:rsidRPr="00437B35" w:rsidRDefault="005E0603" w:rsidP="00437B35">
      <w:pPr>
        <w:numPr>
          <w:ilvl w:val="0"/>
          <w:numId w:val="34"/>
        </w:numPr>
        <w:tabs>
          <w:tab w:val="clear" w:pos="720"/>
          <w:tab w:val="num" w:pos="0"/>
        </w:tabs>
        <w:ind w:left="567" w:hanging="567"/>
        <w:rPr>
          <w:sz w:val="22"/>
          <w:szCs w:val="22"/>
        </w:rPr>
      </w:pPr>
      <w:r w:rsidRPr="00437B35">
        <w:rPr>
          <w:sz w:val="22"/>
          <w:szCs w:val="22"/>
        </w:rPr>
        <w:t>inhibítormi OCT1 (ako je verapamil) môže znížiť účinnosť metformínu.</w:t>
      </w:r>
    </w:p>
    <w:p w:rsidR="005E0603" w:rsidRPr="00437B35" w:rsidRDefault="005E0603" w:rsidP="00437B35">
      <w:pPr>
        <w:numPr>
          <w:ilvl w:val="0"/>
          <w:numId w:val="34"/>
        </w:numPr>
        <w:tabs>
          <w:tab w:val="clear" w:pos="720"/>
          <w:tab w:val="num" w:pos="0"/>
        </w:tabs>
        <w:ind w:left="567" w:hanging="567"/>
        <w:rPr>
          <w:sz w:val="22"/>
          <w:szCs w:val="22"/>
        </w:rPr>
      </w:pPr>
      <w:r w:rsidRPr="00437B35">
        <w:rPr>
          <w:sz w:val="22"/>
          <w:szCs w:val="22"/>
        </w:rPr>
        <w:t>induktormi OCT1 (ako je rifampicín) môže zvýšiť gastrointestinálnu absorpciu a účinnosť   metformínu.</w:t>
      </w:r>
    </w:p>
    <w:p w:rsidR="005E0603" w:rsidRPr="00437B35" w:rsidRDefault="005E0603" w:rsidP="00437B35">
      <w:pPr>
        <w:numPr>
          <w:ilvl w:val="0"/>
          <w:numId w:val="34"/>
        </w:numPr>
        <w:tabs>
          <w:tab w:val="clear" w:pos="720"/>
          <w:tab w:val="num" w:pos="0"/>
        </w:tabs>
        <w:ind w:left="567" w:hanging="567"/>
        <w:rPr>
          <w:sz w:val="22"/>
          <w:szCs w:val="22"/>
        </w:rPr>
      </w:pPr>
      <w:r w:rsidRPr="00437B35">
        <w:rPr>
          <w:sz w:val="22"/>
          <w:szCs w:val="22"/>
        </w:rPr>
        <w:t>inhibítormi OCT2 (ako je cimetidín, dolutegravir, ranolazín, trimetoprim, vandetanib, isavukonazol), môže znížiť renálne vylučovanie metformínu, čo vedie k zvýšenej koncentrácii metformínu v plazme.</w:t>
      </w:r>
    </w:p>
    <w:p w:rsidR="005E0603" w:rsidRPr="00437B35" w:rsidRDefault="005E0603" w:rsidP="00437B35">
      <w:pPr>
        <w:numPr>
          <w:ilvl w:val="0"/>
          <w:numId w:val="34"/>
        </w:numPr>
        <w:tabs>
          <w:tab w:val="clear" w:pos="720"/>
          <w:tab w:val="num" w:pos="0"/>
        </w:tabs>
        <w:ind w:left="567" w:hanging="567"/>
        <w:rPr>
          <w:sz w:val="22"/>
          <w:szCs w:val="22"/>
        </w:rPr>
      </w:pPr>
      <w:r w:rsidRPr="00437B35">
        <w:rPr>
          <w:sz w:val="22"/>
          <w:szCs w:val="22"/>
        </w:rPr>
        <w:t>inhibítormi oboch OCT1 a OCT2 (ako krizotinib, olaparib) môže ovplyvniť účinnosť a renálnu elimináciu metformínu.</w:t>
      </w:r>
    </w:p>
    <w:p w:rsidR="005E0603" w:rsidRPr="000E1573" w:rsidRDefault="005E0603" w:rsidP="000E1573">
      <w:pPr>
        <w:pStyle w:val="SPCnormal"/>
        <w:rPr>
          <w:lang w:val="sk-SK" w:eastAsia="en-US"/>
        </w:rPr>
      </w:pPr>
    </w:p>
    <w:p w:rsidR="005E0603" w:rsidRPr="00437B35" w:rsidRDefault="005E0603" w:rsidP="00437B35">
      <w:pPr>
        <w:numPr>
          <w:ilvl w:val="0"/>
          <w:numId w:val="0"/>
        </w:numPr>
        <w:rPr>
          <w:sz w:val="22"/>
          <w:szCs w:val="22"/>
        </w:rPr>
      </w:pPr>
      <w:r w:rsidRPr="00437B35">
        <w:rPr>
          <w:sz w:val="22"/>
          <w:szCs w:val="22"/>
        </w:rPr>
        <w:t>Opatrnosť sa preto odporúča, a to najmä u pacientov s poruchou funkcie obličiek, keď sa tieto lieky podávajú súbežne s metformínom, pretože koncentrácia metformínu v plazme sa môže zvýšiť. Ak je to potrebné, môže sa zvážiť úprava dávky metformínu, nakoľko inhibítory/induktory OCT môžu mať vplyv na účinnosť metformínu.</w:t>
      </w:r>
    </w:p>
    <w:p w:rsidR="005E0603" w:rsidRPr="000E1573" w:rsidRDefault="005E0603" w:rsidP="000E1573">
      <w:pPr>
        <w:pStyle w:val="Zkladntext"/>
        <w:rPr>
          <w:b/>
          <w:bCs/>
          <w:sz w:val="22"/>
          <w:szCs w:val="22"/>
        </w:rPr>
      </w:pPr>
    </w:p>
    <w:p w:rsidR="005E0603" w:rsidRPr="000E1573" w:rsidRDefault="005E0603" w:rsidP="004A5EE0">
      <w:pPr>
        <w:pStyle w:val="Zkladntext"/>
        <w:outlineLvl w:val="1"/>
        <w:rPr>
          <w:b/>
          <w:bCs/>
          <w:sz w:val="22"/>
          <w:szCs w:val="22"/>
        </w:rPr>
      </w:pPr>
      <w:r w:rsidRPr="000E1573">
        <w:rPr>
          <w:b/>
          <w:bCs/>
          <w:sz w:val="22"/>
          <w:szCs w:val="22"/>
        </w:rPr>
        <w:t>4.6</w:t>
      </w:r>
      <w:r w:rsidRPr="000E1573">
        <w:rPr>
          <w:b/>
          <w:bCs/>
          <w:sz w:val="22"/>
          <w:szCs w:val="22"/>
        </w:rPr>
        <w:tab/>
        <w:t>Fertilita, gravidita a laktácia</w:t>
      </w:r>
    </w:p>
    <w:p w:rsidR="005E0603" w:rsidRPr="000E1573" w:rsidRDefault="005E0603" w:rsidP="000E1573">
      <w:pPr>
        <w:pStyle w:val="Zkladntext"/>
        <w:rPr>
          <w:sz w:val="22"/>
          <w:szCs w:val="22"/>
        </w:rPr>
      </w:pPr>
    </w:p>
    <w:p w:rsidR="005E0603" w:rsidRPr="000E1573" w:rsidRDefault="005E0603" w:rsidP="000E1573">
      <w:pPr>
        <w:numPr>
          <w:ilvl w:val="0"/>
          <w:numId w:val="0"/>
        </w:numPr>
        <w:rPr>
          <w:noProof/>
          <w:sz w:val="22"/>
          <w:szCs w:val="22"/>
          <w:u w:val="single"/>
        </w:rPr>
      </w:pPr>
      <w:r w:rsidRPr="000E1573">
        <w:rPr>
          <w:noProof/>
          <w:sz w:val="22"/>
          <w:szCs w:val="22"/>
          <w:u w:val="single"/>
        </w:rPr>
        <w:t>Gravidita</w:t>
      </w:r>
    </w:p>
    <w:p w:rsidR="005E0603" w:rsidRPr="000E1573" w:rsidRDefault="005E0603" w:rsidP="000E1573">
      <w:pPr>
        <w:numPr>
          <w:ilvl w:val="0"/>
          <w:numId w:val="0"/>
        </w:numPr>
        <w:rPr>
          <w:sz w:val="22"/>
          <w:szCs w:val="22"/>
        </w:rPr>
      </w:pPr>
      <w:r w:rsidRPr="000E1573">
        <w:rPr>
          <w:sz w:val="22"/>
          <w:szCs w:val="22"/>
        </w:rPr>
        <w:t>Nekontrolovaný diabetes počas gravidity (gestačný alebo trvalý) je spojený so zvýšeným rizikom kongenitálnych abnormalít a perinatálnej mortality.</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Obmedzené množstvo údajov o používaní metformínu u gravidných žien nepoukazuje na zvýšené riziko kongenitálnych  abnormalít.  Štúdie na zvieratách nepreukázali škodlivý vplyv na graviditu, embryonálny alebo fetálny vývin, na pôrod alebo postnatálny vývin (pozri časť 5.3).</w:t>
      </w:r>
    </w:p>
    <w:p w:rsidR="005E0603" w:rsidRPr="000E1573" w:rsidRDefault="005E0603" w:rsidP="00437B35">
      <w:pPr>
        <w:numPr>
          <w:ilvl w:val="0"/>
          <w:numId w:val="0"/>
        </w:numPr>
        <w:rPr>
          <w:sz w:val="22"/>
          <w:szCs w:val="22"/>
        </w:rPr>
      </w:pPr>
      <w:r w:rsidRPr="000E1573">
        <w:rPr>
          <w:sz w:val="22"/>
          <w:szCs w:val="22"/>
        </w:rPr>
        <w:t>Ak pacientka plánuje otehotnieť a počas gravidity, sa neodporúča diabetes liečiť metformínom, ale na udržanie hladiny glukózy v krvi čo najbližšej k fyziologickým hodnotám sa má použiť inzulín, aby sa znížilo riziko malformácií plodu.</w:t>
      </w:r>
    </w:p>
    <w:p w:rsidR="005E0603" w:rsidRPr="000E1573" w:rsidRDefault="005E0603" w:rsidP="000E1573">
      <w:pPr>
        <w:pStyle w:val="Zkladntext"/>
        <w:rPr>
          <w:sz w:val="22"/>
          <w:szCs w:val="22"/>
        </w:rPr>
      </w:pPr>
    </w:p>
    <w:p w:rsidR="005E0603" w:rsidRPr="000E1573" w:rsidRDefault="005E0603" w:rsidP="000E1573">
      <w:pPr>
        <w:pStyle w:val="Zkladntext"/>
        <w:rPr>
          <w:sz w:val="22"/>
          <w:szCs w:val="22"/>
          <w:u w:val="single"/>
        </w:rPr>
      </w:pPr>
      <w:r w:rsidRPr="000E1573">
        <w:rPr>
          <w:sz w:val="22"/>
          <w:szCs w:val="22"/>
          <w:u w:val="single"/>
        </w:rPr>
        <w:t>Dojčenie</w:t>
      </w:r>
    </w:p>
    <w:p w:rsidR="005E0603" w:rsidRPr="000E1573" w:rsidRDefault="005E0603" w:rsidP="000E1573">
      <w:pPr>
        <w:numPr>
          <w:ilvl w:val="0"/>
          <w:numId w:val="0"/>
        </w:numPr>
        <w:rPr>
          <w:sz w:val="22"/>
          <w:szCs w:val="22"/>
        </w:rPr>
      </w:pPr>
      <w:r w:rsidRPr="000E1573">
        <w:rPr>
          <w:sz w:val="22"/>
          <w:szCs w:val="22"/>
        </w:rPr>
        <w:t>Metformín sa vylučuje do materského mlieka. Neboli pozorované žiadne nežiaduce účinky u dojčených novorodencov/detí. Keďže je dostupné limitované množstvo údajov, dojčenie sa počas liečby metformínom neodporúča. Pri rozhodovaní, či prerušiť dojčenie, je potrebné zohľadniť prínos dojčenia a možné riziko nežiaduceho účinku na dieťa.</w:t>
      </w:r>
    </w:p>
    <w:p w:rsidR="005E0603" w:rsidRPr="000E1573" w:rsidRDefault="005E0603" w:rsidP="000E1573">
      <w:pPr>
        <w:numPr>
          <w:ilvl w:val="0"/>
          <w:numId w:val="0"/>
        </w:numPr>
        <w:rPr>
          <w:sz w:val="22"/>
          <w:szCs w:val="22"/>
          <w:u w:val="single"/>
        </w:rPr>
      </w:pPr>
    </w:p>
    <w:p w:rsidR="005E0603" w:rsidRPr="000E1573" w:rsidRDefault="005E0603" w:rsidP="000E1573">
      <w:pPr>
        <w:numPr>
          <w:ilvl w:val="0"/>
          <w:numId w:val="0"/>
        </w:numPr>
        <w:rPr>
          <w:sz w:val="22"/>
          <w:szCs w:val="22"/>
          <w:u w:val="single"/>
        </w:rPr>
      </w:pPr>
      <w:r w:rsidRPr="000E1573">
        <w:rPr>
          <w:sz w:val="22"/>
          <w:szCs w:val="22"/>
          <w:u w:val="single"/>
        </w:rPr>
        <w:t>Fertilita</w:t>
      </w:r>
    </w:p>
    <w:p w:rsidR="005E0603" w:rsidRPr="000E1573" w:rsidRDefault="005E0603" w:rsidP="000E1573">
      <w:pPr>
        <w:numPr>
          <w:ilvl w:val="0"/>
          <w:numId w:val="0"/>
        </w:numPr>
        <w:rPr>
          <w:sz w:val="22"/>
          <w:szCs w:val="22"/>
        </w:rPr>
      </w:pPr>
      <w:r w:rsidRPr="000E1573">
        <w:rPr>
          <w:sz w:val="22"/>
          <w:szCs w:val="22"/>
        </w:rPr>
        <w:t xml:space="preserve">Podávanie metformínu potkanom v dávkach vyšších ako 600 mg/kg/deň, ktoré sú približne trikrát vyššie ako je maximálna odporúčaná denná dávka pre ľudí na základe plochy povrchu tela, nemalo žiaden negatívny vplyv na fertilitu. </w:t>
      </w:r>
    </w:p>
    <w:p w:rsidR="005E0603" w:rsidRPr="000E1573" w:rsidRDefault="005E0603" w:rsidP="000E1573">
      <w:pPr>
        <w:numPr>
          <w:ilvl w:val="0"/>
          <w:numId w:val="0"/>
        </w:numPr>
        <w:rPr>
          <w:sz w:val="22"/>
          <w:szCs w:val="22"/>
        </w:rPr>
      </w:pPr>
    </w:p>
    <w:p w:rsidR="005E0603" w:rsidRPr="000E1573" w:rsidRDefault="005E0603" w:rsidP="004A5EE0">
      <w:pPr>
        <w:pStyle w:val="Zkladntext"/>
        <w:outlineLvl w:val="1"/>
        <w:rPr>
          <w:b/>
          <w:bCs/>
          <w:sz w:val="22"/>
          <w:szCs w:val="22"/>
        </w:rPr>
      </w:pPr>
      <w:r w:rsidRPr="000E1573">
        <w:rPr>
          <w:b/>
          <w:bCs/>
          <w:sz w:val="22"/>
          <w:szCs w:val="22"/>
        </w:rPr>
        <w:t>4.7</w:t>
      </w:r>
      <w:r w:rsidRPr="000E1573">
        <w:rPr>
          <w:b/>
          <w:bCs/>
          <w:sz w:val="22"/>
          <w:szCs w:val="22"/>
        </w:rPr>
        <w:tab/>
        <w:t>Ovplyvnenie schopnosti viesť vozidlá a obsluhovať stroje</w:t>
      </w:r>
    </w:p>
    <w:p w:rsidR="005E0603" w:rsidRPr="000E1573" w:rsidRDefault="005E0603" w:rsidP="000E1573">
      <w:pPr>
        <w:pStyle w:val="Zkladntext"/>
        <w:rPr>
          <w:b/>
          <w:bCs/>
          <w:sz w:val="22"/>
          <w:szCs w:val="22"/>
        </w:rPr>
      </w:pPr>
    </w:p>
    <w:p w:rsidR="005E0603" w:rsidRPr="000E1573" w:rsidRDefault="005E0603" w:rsidP="000E1573">
      <w:pPr>
        <w:numPr>
          <w:ilvl w:val="0"/>
          <w:numId w:val="0"/>
        </w:numPr>
        <w:rPr>
          <w:sz w:val="22"/>
          <w:szCs w:val="22"/>
        </w:rPr>
      </w:pPr>
      <w:r w:rsidRPr="000E1573">
        <w:rPr>
          <w:sz w:val="22"/>
          <w:szCs w:val="22"/>
        </w:rPr>
        <w:t xml:space="preserve">Monoterapia metformínom nespôsobuje hypoglykémiu a teda nemá vplyv na schopnosť viesť vozidlá a obsluhovať stroje.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Pacientov je však potrebné upozorniť na riziko hypoglykémie pri užívaní metformínu v kombinácii s inými antidiabetickými liekmi (napr. </w:t>
      </w:r>
      <w:r w:rsidR="006B5A05" w:rsidRPr="000E1573">
        <w:rPr>
          <w:sz w:val="22"/>
          <w:szCs w:val="22"/>
        </w:rPr>
        <w:t>sulfonyl</w:t>
      </w:r>
      <w:r w:rsidR="006B5A05">
        <w:rPr>
          <w:sz w:val="22"/>
          <w:szCs w:val="22"/>
        </w:rPr>
        <w:t>močoviny</w:t>
      </w:r>
      <w:r w:rsidRPr="000E1573">
        <w:rPr>
          <w:sz w:val="22"/>
          <w:szCs w:val="22"/>
        </w:rPr>
        <w:t>, inzulín alebo meglitinidy).</w:t>
      </w:r>
    </w:p>
    <w:p w:rsidR="005E0603" w:rsidRPr="000E1573" w:rsidRDefault="005E0603" w:rsidP="000E1573">
      <w:pPr>
        <w:numPr>
          <w:ilvl w:val="0"/>
          <w:numId w:val="0"/>
        </w:numPr>
        <w:rPr>
          <w:sz w:val="22"/>
          <w:szCs w:val="22"/>
        </w:rPr>
      </w:pPr>
    </w:p>
    <w:p w:rsidR="005E0603" w:rsidRPr="000E1573" w:rsidRDefault="005E0603" w:rsidP="004A5EE0">
      <w:pPr>
        <w:pStyle w:val="Zkladntext"/>
        <w:outlineLvl w:val="1"/>
        <w:rPr>
          <w:b/>
          <w:bCs/>
          <w:sz w:val="22"/>
          <w:szCs w:val="22"/>
        </w:rPr>
      </w:pPr>
      <w:r w:rsidRPr="000E1573">
        <w:rPr>
          <w:b/>
          <w:bCs/>
          <w:sz w:val="22"/>
          <w:szCs w:val="22"/>
        </w:rPr>
        <w:t xml:space="preserve">4.8 </w:t>
      </w:r>
      <w:r w:rsidRPr="000E1573">
        <w:rPr>
          <w:b/>
          <w:bCs/>
          <w:sz w:val="22"/>
          <w:szCs w:val="22"/>
        </w:rPr>
        <w:tab/>
        <w:t>Nežiaduce účinky</w:t>
      </w:r>
    </w:p>
    <w:p w:rsidR="005E0603" w:rsidRPr="000E1573" w:rsidRDefault="005E0603" w:rsidP="000E1573">
      <w:pPr>
        <w:numPr>
          <w:ilvl w:val="0"/>
          <w:numId w:val="0"/>
        </w:numPr>
        <w:ind w:left="1800" w:hanging="1800"/>
        <w:rPr>
          <w:sz w:val="22"/>
          <w:szCs w:val="22"/>
        </w:rPr>
      </w:pPr>
    </w:p>
    <w:p w:rsidR="005E0603" w:rsidRPr="000E1573" w:rsidRDefault="005E0603" w:rsidP="000E1573">
      <w:pPr>
        <w:numPr>
          <w:ilvl w:val="0"/>
          <w:numId w:val="0"/>
        </w:numPr>
        <w:rPr>
          <w:sz w:val="22"/>
          <w:szCs w:val="22"/>
        </w:rPr>
      </w:pPr>
      <w:r w:rsidRPr="000E1573">
        <w:rPr>
          <w:sz w:val="22"/>
          <w:szCs w:val="22"/>
        </w:rPr>
        <w:t xml:space="preserve">Na základe skúseností po uvedení lieku na trh a údajov z kontrolovaných klinických štúdií bolo hlásenie nežiaducich účinkov u pacientov liečených </w:t>
      </w:r>
      <w:r w:rsidR="006B5A05">
        <w:rPr>
          <w:sz w:val="22"/>
          <w:szCs w:val="22"/>
        </w:rPr>
        <w:t>m</w:t>
      </w:r>
      <w:r>
        <w:rPr>
          <w:sz w:val="22"/>
          <w:szCs w:val="22"/>
        </w:rPr>
        <w:t>etform</w:t>
      </w:r>
      <w:r w:rsidR="006B5A05">
        <w:rPr>
          <w:sz w:val="22"/>
          <w:szCs w:val="22"/>
        </w:rPr>
        <w:t>í</w:t>
      </w:r>
      <w:r>
        <w:rPr>
          <w:sz w:val="22"/>
          <w:szCs w:val="22"/>
        </w:rPr>
        <w:t xml:space="preserve">nom </w:t>
      </w:r>
      <w:r w:rsidR="006B5A05">
        <w:rPr>
          <w:sz w:val="22"/>
          <w:szCs w:val="22"/>
        </w:rPr>
        <w:t xml:space="preserve">v </w:t>
      </w:r>
      <w:r w:rsidRPr="000E1573">
        <w:rPr>
          <w:sz w:val="22"/>
          <w:szCs w:val="22"/>
        </w:rPr>
        <w:t>tabl</w:t>
      </w:r>
      <w:r w:rsidR="006B5A05">
        <w:rPr>
          <w:sz w:val="22"/>
          <w:szCs w:val="22"/>
        </w:rPr>
        <w:t>etách</w:t>
      </w:r>
      <w:r w:rsidRPr="000E1573">
        <w:rPr>
          <w:sz w:val="22"/>
          <w:szCs w:val="22"/>
        </w:rPr>
        <w:t xml:space="preserve"> s predĺženým uvoľňovaním podobné, čo sa týka druhu a závažnosti ako u tabliet </w:t>
      </w:r>
      <w:r w:rsidR="006B5A05">
        <w:rPr>
          <w:sz w:val="22"/>
          <w:szCs w:val="22"/>
        </w:rPr>
        <w:t>s m</w:t>
      </w:r>
      <w:r>
        <w:rPr>
          <w:sz w:val="22"/>
          <w:szCs w:val="22"/>
        </w:rPr>
        <w:t>etform</w:t>
      </w:r>
      <w:r w:rsidR="006B5A05">
        <w:rPr>
          <w:sz w:val="22"/>
          <w:szCs w:val="22"/>
        </w:rPr>
        <w:t>í</w:t>
      </w:r>
      <w:r>
        <w:rPr>
          <w:sz w:val="22"/>
          <w:szCs w:val="22"/>
        </w:rPr>
        <w:t>n</w:t>
      </w:r>
      <w:r w:rsidR="006B5A05">
        <w:rPr>
          <w:sz w:val="22"/>
          <w:szCs w:val="22"/>
        </w:rPr>
        <w:t>om</w:t>
      </w:r>
      <w:r w:rsidRPr="000E1573">
        <w:rPr>
          <w:sz w:val="22"/>
          <w:szCs w:val="22"/>
        </w:rPr>
        <w:t xml:space="preserve"> s okamžitým uvoľňovaním.</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Na začiatku liečby sú najčastejšími nežiaducimi účinkami nauzea, vracanie, hnačka, bolesť brucha a strata chuti do jedla, ktoré vo väčšine prípadov spontánne ustúpia.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Pri liečbe tabletami </w:t>
      </w:r>
      <w:r>
        <w:rPr>
          <w:sz w:val="22"/>
          <w:szCs w:val="22"/>
        </w:rPr>
        <w:t>Metformin Juta</w:t>
      </w:r>
      <w:r w:rsidRPr="000E1573">
        <w:rPr>
          <w:sz w:val="22"/>
          <w:szCs w:val="22"/>
        </w:rPr>
        <w:t xml:space="preserve"> s predĺženým uvoľňovaním sa môžu vyskytnúť nasledujúce nežiaduce účinky.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Frekvencia výskytu je definovaná nasledovne: veľmi časté (≥ 1/10), časté (≥ 1/100 až &lt; 1/10), menej časté (≥ 1/1000 až &lt; 1/100), zriedkavé (≥1/10 000 až &lt; 1/1000), veľmi zriedkavé (&lt; 1/10 000).</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V rámci jednotlivých skupín frekvencií sú nežiaduce účinky usporiadané v poradí klesajúcej </w:t>
      </w:r>
    </w:p>
    <w:p w:rsidR="005E0603" w:rsidRPr="000E1573" w:rsidRDefault="005E0603" w:rsidP="000E1573">
      <w:pPr>
        <w:numPr>
          <w:ilvl w:val="0"/>
          <w:numId w:val="0"/>
        </w:numPr>
        <w:ind w:left="1942" w:hanging="1942"/>
        <w:rPr>
          <w:sz w:val="22"/>
          <w:szCs w:val="22"/>
        </w:rPr>
      </w:pPr>
      <w:r w:rsidRPr="000E1573">
        <w:rPr>
          <w:sz w:val="22"/>
          <w:szCs w:val="22"/>
        </w:rPr>
        <w:t>závažnosti.</w:t>
      </w:r>
    </w:p>
    <w:p w:rsidR="005E0603" w:rsidRPr="000E1573" w:rsidRDefault="005E0603" w:rsidP="000E1573">
      <w:pPr>
        <w:numPr>
          <w:ilvl w:val="0"/>
          <w:numId w:val="0"/>
        </w:numPr>
        <w:ind w:left="1942" w:hanging="1942"/>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Poruchy metabolizmu a výživy</w:t>
      </w:r>
      <w:r w:rsidRPr="000E1573">
        <w:rPr>
          <w:sz w:val="22"/>
          <w:szCs w:val="22"/>
          <w:u w:val="single"/>
        </w:rPr>
        <w:tab/>
      </w:r>
    </w:p>
    <w:p w:rsidR="005E0603" w:rsidRPr="000E1573" w:rsidRDefault="005E060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5E0603" w:rsidRPr="000E1573" w:rsidRDefault="005E0603" w:rsidP="000E1573">
      <w:pPr>
        <w:numPr>
          <w:ilvl w:val="0"/>
          <w:numId w:val="41"/>
        </w:numPr>
        <w:ind w:left="567" w:hanging="567"/>
        <w:rPr>
          <w:sz w:val="22"/>
          <w:szCs w:val="22"/>
        </w:rPr>
      </w:pPr>
      <w:r w:rsidRPr="000E1573">
        <w:rPr>
          <w:sz w:val="22"/>
          <w:szCs w:val="22"/>
        </w:rPr>
        <w:t>Laktátová acidóza (pozri časť 4.4).</w:t>
      </w:r>
    </w:p>
    <w:p w:rsidR="005E0603" w:rsidRPr="000E1573" w:rsidRDefault="005E0603" w:rsidP="000E1573">
      <w:pPr>
        <w:numPr>
          <w:ilvl w:val="0"/>
          <w:numId w:val="30"/>
        </w:numPr>
        <w:ind w:left="567" w:hanging="567"/>
        <w:rPr>
          <w:sz w:val="22"/>
          <w:szCs w:val="22"/>
        </w:rPr>
      </w:pPr>
      <w:r w:rsidRPr="000E1573">
        <w:rPr>
          <w:sz w:val="22"/>
          <w:szCs w:val="22"/>
        </w:rPr>
        <w:t>Zníženie absorpcie vitamínu B</w:t>
      </w:r>
      <w:r w:rsidRPr="000E1573">
        <w:rPr>
          <w:sz w:val="22"/>
          <w:szCs w:val="22"/>
          <w:vertAlign w:val="subscript"/>
        </w:rPr>
        <w:t>12</w:t>
      </w:r>
      <w:r w:rsidRPr="000E1573">
        <w:rPr>
          <w:sz w:val="22"/>
          <w:szCs w:val="22"/>
        </w:rPr>
        <w:t xml:space="preserve"> s poklesom sérových hladín počas dlhodobej liečby metformínom. Odporúča sa zvážiť túto etiológiu v prípade, že pacient má megaloblastickú anémiu.</w:t>
      </w:r>
    </w:p>
    <w:p w:rsidR="005E0603" w:rsidRPr="000E1573" w:rsidRDefault="005E0603" w:rsidP="000E1573">
      <w:pPr>
        <w:numPr>
          <w:ilvl w:val="0"/>
          <w:numId w:val="0"/>
        </w:numPr>
        <w:ind w:left="72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Poruchy nervového systému</w:t>
      </w:r>
    </w:p>
    <w:p w:rsidR="005E0603" w:rsidRPr="000E1573" w:rsidRDefault="005E0603" w:rsidP="000E1573">
      <w:pPr>
        <w:numPr>
          <w:ilvl w:val="0"/>
          <w:numId w:val="0"/>
        </w:numPr>
        <w:rPr>
          <w:i/>
          <w:iCs/>
          <w:sz w:val="22"/>
          <w:szCs w:val="22"/>
        </w:rPr>
      </w:pPr>
      <w:r w:rsidRPr="000E1573">
        <w:rPr>
          <w:i/>
          <w:iCs/>
          <w:sz w:val="22"/>
          <w:szCs w:val="22"/>
        </w:rPr>
        <w:t xml:space="preserve">Časté: </w:t>
      </w:r>
    </w:p>
    <w:p w:rsidR="005E0603" w:rsidRPr="000E1573" w:rsidRDefault="005E0603" w:rsidP="000E1573">
      <w:pPr>
        <w:numPr>
          <w:ilvl w:val="0"/>
          <w:numId w:val="41"/>
        </w:numPr>
        <w:ind w:left="567" w:hanging="567"/>
        <w:rPr>
          <w:sz w:val="22"/>
          <w:szCs w:val="22"/>
        </w:rPr>
      </w:pPr>
      <w:r w:rsidRPr="000E1573">
        <w:rPr>
          <w:sz w:val="22"/>
          <w:szCs w:val="22"/>
        </w:rPr>
        <w:t>Porucha chuti.</w:t>
      </w:r>
    </w:p>
    <w:p w:rsidR="005E0603" w:rsidRPr="000E1573" w:rsidRDefault="005E0603" w:rsidP="000E1573">
      <w:pPr>
        <w:numPr>
          <w:ilvl w:val="0"/>
          <w:numId w:val="0"/>
        </w:numPr>
        <w:ind w:left="72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Poruchy gastrointestinálneho traktu</w:t>
      </w:r>
    </w:p>
    <w:p w:rsidR="005E0603" w:rsidRPr="000E1573" w:rsidRDefault="005E0603" w:rsidP="000E1573">
      <w:pPr>
        <w:numPr>
          <w:ilvl w:val="0"/>
          <w:numId w:val="0"/>
        </w:numPr>
        <w:rPr>
          <w:sz w:val="22"/>
          <w:szCs w:val="22"/>
        </w:rPr>
      </w:pPr>
      <w:r w:rsidRPr="000E1573">
        <w:rPr>
          <w:i/>
          <w:iCs/>
          <w:sz w:val="22"/>
          <w:szCs w:val="22"/>
        </w:rPr>
        <w:t>Veľmi časté:</w:t>
      </w:r>
      <w:r w:rsidRPr="000E1573">
        <w:rPr>
          <w:sz w:val="22"/>
          <w:szCs w:val="22"/>
        </w:rPr>
        <w:t xml:space="preserve"> </w:t>
      </w:r>
    </w:p>
    <w:p w:rsidR="005E0603" w:rsidRPr="000E1573" w:rsidRDefault="005E0603" w:rsidP="000E1573">
      <w:pPr>
        <w:numPr>
          <w:ilvl w:val="0"/>
          <w:numId w:val="41"/>
        </w:numPr>
        <w:ind w:left="567" w:hanging="567"/>
        <w:rPr>
          <w:sz w:val="22"/>
          <w:szCs w:val="22"/>
        </w:rPr>
      </w:pPr>
      <w:r w:rsidRPr="000E1573">
        <w:rPr>
          <w:sz w:val="22"/>
          <w:szCs w:val="22"/>
        </w:rPr>
        <w:t>Gastrointestinálne ťažkosti ako nauzea, vracanie, hnačka, bolesť brucha a strata chuti do jedla. Tieto nežiaduce účinky sa vyskytujú najčastejšie na začiatku liečby a vo väčšine prípadov spontánne ustúpia. Pomalé zvyšovanie dávky môže zlepšiť gastrointestinálnu znášanlivosť lieku.</w:t>
      </w:r>
    </w:p>
    <w:p w:rsidR="005E0603" w:rsidRPr="000E1573" w:rsidRDefault="005E0603" w:rsidP="000E1573">
      <w:pPr>
        <w:numPr>
          <w:ilvl w:val="0"/>
          <w:numId w:val="0"/>
        </w:numPr>
        <w:ind w:left="72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Poruchy pečene a žlčových ciest</w:t>
      </w:r>
    </w:p>
    <w:p w:rsidR="005E0603" w:rsidRPr="000E1573" w:rsidRDefault="005E060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5E0603" w:rsidRPr="000E1573" w:rsidRDefault="005E0603" w:rsidP="000E1573">
      <w:pPr>
        <w:numPr>
          <w:ilvl w:val="0"/>
          <w:numId w:val="41"/>
        </w:numPr>
        <w:ind w:left="567" w:hanging="567"/>
        <w:rPr>
          <w:sz w:val="22"/>
          <w:szCs w:val="22"/>
        </w:rPr>
      </w:pPr>
      <w:r w:rsidRPr="000E1573">
        <w:rPr>
          <w:sz w:val="22"/>
          <w:szCs w:val="22"/>
        </w:rPr>
        <w:t>Izolované hlásenia abnormálnych výsledkov pečeňových testov alebo hepatitídy, ktoré ustúpili po prerušení liečby metformínom.</w:t>
      </w:r>
    </w:p>
    <w:p w:rsidR="005E0603" w:rsidRPr="000E1573" w:rsidRDefault="005E0603" w:rsidP="000E1573">
      <w:pPr>
        <w:numPr>
          <w:ilvl w:val="0"/>
          <w:numId w:val="0"/>
        </w:numPr>
        <w:ind w:left="720"/>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Poruchy kože a podkožného tkaniva</w:t>
      </w:r>
    </w:p>
    <w:p w:rsidR="005E0603" w:rsidRPr="000E1573" w:rsidRDefault="005E060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5E0603" w:rsidRPr="000E1573" w:rsidRDefault="005E0603" w:rsidP="000E1573">
      <w:pPr>
        <w:numPr>
          <w:ilvl w:val="0"/>
          <w:numId w:val="41"/>
        </w:numPr>
        <w:ind w:left="567" w:hanging="567"/>
        <w:rPr>
          <w:sz w:val="22"/>
          <w:szCs w:val="22"/>
        </w:rPr>
      </w:pPr>
      <w:r w:rsidRPr="000E1573">
        <w:rPr>
          <w:sz w:val="22"/>
          <w:szCs w:val="22"/>
        </w:rPr>
        <w:t>Kožné reakcie ako erytém, pruritus, urtikária.</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suppressLineNumbers/>
        <w:autoSpaceDE w:val="0"/>
        <w:autoSpaceDN w:val="0"/>
        <w:adjustRightInd w:val="0"/>
        <w:rPr>
          <w:sz w:val="22"/>
          <w:szCs w:val="22"/>
          <w:u w:val="single"/>
          <w:lang w:eastAsia="sk-SK"/>
        </w:rPr>
      </w:pPr>
      <w:r w:rsidRPr="000E1573">
        <w:rPr>
          <w:sz w:val="22"/>
          <w:szCs w:val="22"/>
          <w:u w:val="single"/>
          <w:lang w:eastAsia="sk-SK"/>
        </w:rPr>
        <w:t>Hlásenie podozrení na nežiaduce reakcie</w:t>
      </w:r>
    </w:p>
    <w:p w:rsidR="005E0603" w:rsidRPr="000E1573" w:rsidRDefault="005E0603" w:rsidP="000E1573">
      <w:pPr>
        <w:numPr>
          <w:ilvl w:val="0"/>
          <w:numId w:val="0"/>
        </w:numPr>
        <w:suppressLineNumbers/>
        <w:autoSpaceDE w:val="0"/>
        <w:rPr>
          <w:sz w:val="22"/>
          <w:szCs w:val="22"/>
        </w:rPr>
      </w:pPr>
      <w:r w:rsidRPr="000E1573">
        <w:rPr>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E1573">
        <w:rPr>
          <w:sz w:val="22"/>
          <w:szCs w:val="22"/>
        </w:rPr>
        <w:t xml:space="preserve">na </w:t>
      </w:r>
      <w:r w:rsidRPr="000E1573">
        <w:rPr>
          <w:sz w:val="22"/>
          <w:szCs w:val="22"/>
          <w:highlight w:val="lightGray"/>
        </w:rPr>
        <w:t xml:space="preserve">národné centrum hlásenia uvedené </w:t>
      </w:r>
      <w:r w:rsidRPr="000E1573">
        <w:rPr>
          <w:sz w:val="22"/>
          <w:szCs w:val="22"/>
          <w:highlight w:val="lightGray"/>
          <w:shd w:val="clear" w:color="auto" w:fill="C0C0C0"/>
        </w:rPr>
        <w:t>v </w:t>
      </w:r>
      <w:hyperlink r:id="rId7" w:history="1">
        <w:r w:rsidRPr="000E1573">
          <w:rPr>
            <w:rStyle w:val="Hypertextovprepojenie"/>
            <w:sz w:val="22"/>
            <w:szCs w:val="22"/>
            <w:highlight w:val="lightGray"/>
            <w:shd w:val="clear" w:color="auto" w:fill="C0C0C0"/>
          </w:rPr>
          <w:t>Prílohe V</w:t>
        </w:r>
      </w:hyperlink>
      <w:r w:rsidRPr="000E1573">
        <w:rPr>
          <w:sz w:val="22"/>
          <w:szCs w:val="22"/>
          <w:shd w:val="clear" w:color="auto" w:fill="C0C0C0"/>
        </w:rPr>
        <w:t>.</w:t>
      </w:r>
    </w:p>
    <w:p w:rsidR="005E0603" w:rsidRPr="000E1573" w:rsidRDefault="005E0603" w:rsidP="000E1573">
      <w:pPr>
        <w:numPr>
          <w:ilvl w:val="0"/>
          <w:numId w:val="0"/>
        </w:numPr>
        <w:suppressLineNumbers/>
        <w:autoSpaceDE w:val="0"/>
        <w:autoSpaceDN w:val="0"/>
        <w:adjustRightInd w:val="0"/>
        <w:rPr>
          <w:sz w:val="22"/>
          <w:szCs w:val="22"/>
        </w:rPr>
      </w:pPr>
    </w:p>
    <w:p w:rsidR="005E0603" w:rsidRPr="000E1573" w:rsidRDefault="005E0603" w:rsidP="004A5EE0">
      <w:pPr>
        <w:pStyle w:val="Zkladntext"/>
        <w:outlineLvl w:val="1"/>
        <w:rPr>
          <w:b/>
          <w:bCs/>
          <w:sz w:val="22"/>
          <w:szCs w:val="22"/>
        </w:rPr>
      </w:pPr>
      <w:r w:rsidRPr="000E1573">
        <w:rPr>
          <w:b/>
          <w:bCs/>
          <w:sz w:val="22"/>
          <w:szCs w:val="22"/>
        </w:rPr>
        <w:t>4.9</w:t>
      </w:r>
      <w:r w:rsidRPr="000E1573">
        <w:rPr>
          <w:b/>
          <w:bCs/>
          <w:sz w:val="22"/>
          <w:szCs w:val="22"/>
        </w:rPr>
        <w:tab/>
        <w:t>Predávkovanie</w:t>
      </w:r>
    </w:p>
    <w:p w:rsidR="005E0603" w:rsidRPr="000E1573" w:rsidRDefault="005E0603" w:rsidP="000E1573">
      <w:pPr>
        <w:pStyle w:val="Zkladntext"/>
        <w:rPr>
          <w:sz w:val="22"/>
          <w:szCs w:val="22"/>
        </w:rPr>
      </w:pPr>
    </w:p>
    <w:p w:rsidR="005E0603" w:rsidRPr="000E1573" w:rsidRDefault="005E0603" w:rsidP="000E1573">
      <w:pPr>
        <w:numPr>
          <w:ilvl w:val="0"/>
          <w:numId w:val="0"/>
        </w:numPr>
        <w:rPr>
          <w:sz w:val="22"/>
          <w:szCs w:val="22"/>
        </w:rPr>
      </w:pPr>
      <w:r w:rsidRPr="000E1573">
        <w:rPr>
          <w:sz w:val="22"/>
          <w:szCs w:val="22"/>
        </w:rPr>
        <w:t xml:space="preserve">Hypoglykémia sa nepozorovala ani pri dávkach </w:t>
      </w:r>
      <w:r w:rsidRPr="009C3D02">
        <w:rPr>
          <w:sz w:val="22"/>
          <w:szCs w:val="22"/>
        </w:rPr>
        <w:t>do 85 g metformínium</w:t>
      </w:r>
      <w:r w:rsidR="006B5A05">
        <w:rPr>
          <w:sz w:val="22"/>
          <w:szCs w:val="22"/>
        </w:rPr>
        <w:t>-</w:t>
      </w:r>
      <w:r w:rsidRPr="009C3D02">
        <w:rPr>
          <w:sz w:val="22"/>
          <w:szCs w:val="22"/>
        </w:rPr>
        <w:t>chloridu,</w:t>
      </w:r>
      <w:r w:rsidRPr="000E1573">
        <w:rPr>
          <w:sz w:val="22"/>
          <w:szCs w:val="22"/>
        </w:rPr>
        <w:t xml:space="preserve"> hoci laktátová acidóza sa za takýchto okolností vyskytla. Závažné predávkovanie metformínom alebo súbežné riziká môžu viesť k laktátovej acidóze. Laktátová acidóza je urgentný stav a pacient musí byť hospitalizovaný. Najúčinnejšou metódou odstránenia laktátu a metformínu je hemodialýza.</w:t>
      </w:r>
    </w:p>
    <w:p w:rsidR="005E0603" w:rsidRPr="000E1573" w:rsidRDefault="005E0603" w:rsidP="000E1573">
      <w:pPr>
        <w:pStyle w:val="Zkladntext"/>
        <w:rPr>
          <w:sz w:val="22"/>
          <w:szCs w:val="22"/>
        </w:rPr>
      </w:pPr>
    </w:p>
    <w:p w:rsidR="005E0603" w:rsidRPr="000E1573" w:rsidRDefault="005E0603" w:rsidP="000E1573">
      <w:pPr>
        <w:pStyle w:val="Zkladntext"/>
        <w:rPr>
          <w:sz w:val="22"/>
          <w:szCs w:val="22"/>
        </w:rPr>
      </w:pPr>
    </w:p>
    <w:p w:rsidR="005E0603" w:rsidRPr="000E1573" w:rsidRDefault="005E0603" w:rsidP="004A5EE0">
      <w:pPr>
        <w:numPr>
          <w:ilvl w:val="0"/>
          <w:numId w:val="1"/>
        </w:numPr>
        <w:ind w:left="357" w:hanging="357"/>
        <w:outlineLvl w:val="0"/>
        <w:rPr>
          <w:b/>
          <w:bCs/>
          <w:sz w:val="22"/>
          <w:szCs w:val="22"/>
        </w:rPr>
      </w:pPr>
      <w:r w:rsidRPr="000E1573">
        <w:rPr>
          <w:b/>
          <w:bCs/>
          <w:sz w:val="22"/>
          <w:szCs w:val="22"/>
        </w:rPr>
        <w:t>FARMAKOLOGICKÉ VLASTNOSTI</w:t>
      </w:r>
    </w:p>
    <w:p w:rsidR="006B5A05" w:rsidRPr="000E1573" w:rsidRDefault="006B5A05" w:rsidP="000E1573">
      <w:pPr>
        <w:pStyle w:val="Zkladntext"/>
        <w:rPr>
          <w:b/>
          <w:bCs/>
          <w:sz w:val="22"/>
          <w:szCs w:val="22"/>
        </w:rPr>
      </w:pPr>
    </w:p>
    <w:p w:rsidR="005E0603" w:rsidRPr="000E1573" w:rsidRDefault="005E0603" w:rsidP="004A5EE0">
      <w:pPr>
        <w:pStyle w:val="Zkladntext"/>
        <w:outlineLvl w:val="1"/>
        <w:rPr>
          <w:b/>
          <w:bCs/>
          <w:sz w:val="22"/>
          <w:szCs w:val="22"/>
        </w:rPr>
      </w:pPr>
      <w:r w:rsidRPr="000E1573">
        <w:rPr>
          <w:b/>
          <w:bCs/>
          <w:sz w:val="22"/>
          <w:szCs w:val="22"/>
        </w:rPr>
        <w:t>5.1</w:t>
      </w:r>
      <w:r w:rsidRPr="000E1573">
        <w:rPr>
          <w:b/>
          <w:bCs/>
          <w:sz w:val="22"/>
          <w:szCs w:val="22"/>
        </w:rPr>
        <w:tab/>
        <w:t>Farmakodynamické vlastnosti</w:t>
      </w:r>
    </w:p>
    <w:p w:rsidR="005E0603" w:rsidRPr="000E1573" w:rsidRDefault="005E0603" w:rsidP="000E1573">
      <w:pPr>
        <w:pStyle w:val="Zkladntext"/>
        <w:rPr>
          <w:b/>
          <w:bCs/>
          <w:sz w:val="22"/>
          <w:szCs w:val="22"/>
        </w:rPr>
      </w:pPr>
    </w:p>
    <w:p w:rsidR="005E0603" w:rsidRPr="000E1573" w:rsidRDefault="005E0603" w:rsidP="000E1573">
      <w:pPr>
        <w:numPr>
          <w:ilvl w:val="0"/>
          <w:numId w:val="0"/>
        </w:numPr>
        <w:rPr>
          <w:sz w:val="22"/>
          <w:szCs w:val="22"/>
        </w:rPr>
      </w:pPr>
      <w:r w:rsidRPr="000E1573">
        <w:rPr>
          <w:sz w:val="22"/>
          <w:szCs w:val="22"/>
        </w:rPr>
        <w:t>Farmakoterapeutická skupina: antidiabetiká s výnimkou inzulínov, biguanidy.</w:t>
      </w:r>
    </w:p>
    <w:p w:rsidR="005E0603" w:rsidRPr="000E1573" w:rsidRDefault="005E0603" w:rsidP="000E1573">
      <w:pPr>
        <w:numPr>
          <w:ilvl w:val="0"/>
          <w:numId w:val="0"/>
        </w:numPr>
        <w:rPr>
          <w:sz w:val="22"/>
          <w:szCs w:val="22"/>
        </w:rPr>
      </w:pPr>
      <w:r w:rsidRPr="000E1573">
        <w:rPr>
          <w:sz w:val="22"/>
          <w:szCs w:val="22"/>
        </w:rPr>
        <w:t xml:space="preserve">ATC kód: A10BA02 </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Metformín je biguanid s antihyperglykemickými účinkami, znižujúci bazálnu aj postprandiálnu glykémiu. Nestimuluje sekréciu inzulínu, preto nevyvoláva hypoglykémiu.</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Mechanizmus účinku</w:t>
      </w:r>
    </w:p>
    <w:p w:rsidR="005E0603" w:rsidRPr="000E1573" w:rsidRDefault="005E0603" w:rsidP="000E1573">
      <w:pPr>
        <w:numPr>
          <w:ilvl w:val="0"/>
          <w:numId w:val="0"/>
        </w:numPr>
        <w:rPr>
          <w:sz w:val="22"/>
          <w:szCs w:val="22"/>
        </w:rPr>
      </w:pPr>
      <w:r w:rsidRPr="000E1573">
        <w:rPr>
          <w:sz w:val="22"/>
          <w:szCs w:val="22"/>
        </w:rPr>
        <w:t>Metformín môže pôsobiť pomocou 3 mechanizmov:</w:t>
      </w:r>
    </w:p>
    <w:p w:rsidR="005E0603" w:rsidRPr="000E1573" w:rsidRDefault="005E0603" w:rsidP="000E1573">
      <w:pPr>
        <w:numPr>
          <w:ilvl w:val="0"/>
          <w:numId w:val="33"/>
        </w:numPr>
        <w:ind w:left="567" w:hanging="567"/>
        <w:rPr>
          <w:sz w:val="22"/>
          <w:szCs w:val="22"/>
        </w:rPr>
      </w:pPr>
      <w:r w:rsidRPr="000E1573">
        <w:rPr>
          <w:sz w:val="22"/>
          <w:szCs w:val="22"/>
        </w:rPr>
        <w:t>znížením produkcie glukózy v pečeni inhibíciou glukoneogenézy a glykogenolýzy,</w:t>
      </w:r>
    </w:p>
    <w:p w:rsidR="005E0603" w:rsidRPr="000E1573" w:rsidRDefault="005E0603" w:rsidP="000E1573">
      <w:pPr>
        <w:numPr>
          <w:ilvl w:val="0"/>
          <w:numId w:val="33"/>
        </w:numPr>
        <w:ind w:left="567" w:hanging="567"/>
        <w:rPr>
          <w:sz w:val="22"/>
          <w:szCs w:val="22"/>
        </w:rPr>
      </w:pPr>
      <w:r w:rsidRPr="000E1573">
        <w:rPr>
          <w:sz w:val="22"/>
          <w:szCs w:val="22"/>
        </w:rPr>
        <w:t>zvýšením citlivosti na inzulín vo svaloch, zlepšením periférneho vychytávania a utilizácie glukózy,</w:t>
      </w:r>
    </w:p>
    <w:p w:rsidR="005E0603" w:rsidRPr="000E1573" w:rsidRDefault="005E0603" w:rsidP="000E1573">
      <w:pPr>
        <w:numPr>
          <w:ilvl w:val="0"/>
          <w:numId w:val="33"/>
        </w:numPr>
        <w:ind w:left="567" w:hanging="567"/>
        <w:rPr>
          <w:sz w:val="22"/>
          <w:szCs w:val="22"/>
        </w:rPr>
      </w:pPr>
      <w:r w:rsidRPr="000E1573">
        <w:rPr>
          <w:sz w:val="22"/>
          <w:szCs w:val="22"/>
        </w:rPr>
        <w:t>spomalením vstrebávania glukózy v  črevách.</w:t>
      </w:r>
    </w:p>
    <w:p w:rsidR="005E0603" w:rsidRPr="000E1573" w:rsidRDefault="005E0603" w:rsidP="000E1573">
      <w:pPr>
        <w:numPr>
          <w:ilvl w:val="0"/>
          <w:numId w:val="0"/>
        </w:numPr>
        <w:rPr>
          <w:sz w:val="22"/>
          <w:szCs w:val="22"/>
        </w:rPr>
      </w:pPr>
      <w:r w:rsidRPr="000E1573">
        <w:rPr>
          <w:sz w:val="22"/>
          <w:szCs w:val="22"/>
        </w:rPr>
        <w:lastRenderedPageBreak/>
        <w:t>Metformín stimuluje syntézu intracelulárneho glykogénu pôsobením na glykogénsyntetázu. Metformín zvyšuje transportnú kapacitu všetkých doteraz známych typov membránových prenášačov glukózy (GLUT</w:t>
      </w:r>
      <w:r w:rsidR="006B5A05">
        <w:rPr>
          <w:sz w:val="22"/>
          <w:szCs w:val="22"/>
        </w:rPr>
        <w:t>, glucose transporters</w:t>
      </w:r>
      <w:r w:rsidRPr="000E1573">
        <w:rPr>
          <w:sz w:val="22"/>
          <w:szCs w:val="22"/>
        </w:rPr>
        <w:t>).</w:t>
      </w:r>
    </w:p>
    <w:p w:rsidR="005E0603" w:rsidRPr="000E1573" w:rsidRDefault="005E0603" w:rsidP="000E1573">
      <w:pPr>
        <w:numPr>
          <w:ilvl w:val="0"/>
          <w:numId w:val="0"/>
        </w:numPr>
        <w:rPr>
          <w:sz w:val="22"/>
          <w:szCs w:val="22"/>
        </w:rPr>
      </w:pPr>
    </w:p>
    <w:p w:rsidR="005E0603" w:rsidRDefault="005E0603" w:rsidP="00437B35">
      <w:pPr>
        <w:numPr>
          <w:ilvl w:val="0"/>
          <w:numId w:val="0"/>
        </w:numPr>
        <w:rPr>
          <w:sz w:val="22"/>
          <w:szCs w:val="22"/>
        </w:rPr>
      </w:pPr>
      <w:r w:rsidRPr="000E1573">
        <w:rPr>
          <w:sz w:val="22"/>
          <w:szCs w:val="22"/>
          <w:u w:val="single"/>
        </w:rPr>
        <w:t>Farmakodynamické účinky</w:t>
      </w:r>
    </w:p>
    <w:p w:rsidR="005E0603" w:rsidRDefault="005E0603" w:rsidP="000E1573">
      <w:pPr>
        <w:numPr>
          <w:ilvl w:val="0"/>
          <w:numId w:val="0"/>
        </w:numPr>
        <w:rPr>
          <w:sz w:val="22"/>
          <w:szCs w:val="22"/>
        </w:rPr>
      </w:pPr>
      <w:r w:rsidRPr="000E1573">
        <w:rPr>
          <w:sz w:val="22"/>
          <w:szCs w:val="22"/>
        </w:rPr>
        <w:t>V klinických skúšaniach je užívanie metformínu spojené buď s udržiavaním stabilnej váhy alebo ju mierne znižuje.</w:t>
      </w:r>
    </w:p>
    <w:p w:rsidR="005E060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Nezávisle od účinku na glykémiu má metformín v liekovej forme s okamžitým uvoľňovaním u ľudí priaznivý vplyv na lipidový metabolizmus. Tento vplyv bol preukázaný pri terapeutických dávkach v kontrolovaných strednodobých alebo dlhodobých klinických skúšaniach: metformín v liekovej forme s okamžitým uvoľňovaním znižuje hladiny celkového cholesterolu, LDL cholesterolu a triacylglycerolov. Podobné účinky neboli preukázané s liekovou formou s predĺženým uvoľňovaním pravdepodobne v dôsledku večerného podávania a možného výskytu zvýšených hladín triacylglycerolov.  </w:t>
      </w:r>
    </w:p>
    <w:p w:rsidR="005E0603" w:rsidRPr="000E1573" w:rsidRDefault="005E0603" w:rsidP="000E1573">
      <w:pPr>
        <w:numPr>
          <w:ilvl w:val="0"/>
          <w:numId w:val="0"/>
        </w:numPr>
        <w:rPr>
          <w:sz w:val="22"/>
          <w:szCs w:val="22"/>
        </w:rPr>
      </w:pPr>
    </w:p>
    <w:p w:rsidR="005E0603" w:rsidRPr="006A08FF" w:rsidRDefault="005E0603" w:rsidP="006A08FF">
      <w:pPr>
        <w:numPr>
          <w:ilvl w:val="0"/>
          <w:numId w:val="0"/>
        </w:numPr>
        <w:ind w:left="1942" w:hanging="1942"/>
        <w:rPr>
          <w:sz w:val="22"/>
          <w:szCs w:val="22"/>
          <w:u w:val="single"/>
        </w:rPr>
      </w:pPr>
      <w:r w:rsidRPr="000E1573">
        <w:rPr>
          <w:sz w:val="22"/>
          <w:szCs w:val="22"/>
          <w:u w:val="single"/>
        </w:rPr>
        <w:t>Klinická účinnosť a bezpečnosť</w:t>
      </w:r>
    </w:p>
    <w:p w:rsidR="005E0603" w:rsidRPr="000E1573" w:rsidRDefault="005E0603" w:rsidP="000E1573">
      <w:pPr>
        <w:numPr>
          <w:ilvl w:val="0"/>
          <w:numId w:val="0"/>
        </w:numPr>
        <w:ind w:left="1942" w:hanging="1942"/>
        <w:rPr>
          <w:sz w:val="22"/>
          <w:szCs w:val="22"/>
        </w:rPr>
      </w:pPr>
      <w:r w:rsidRPr="000E1573">
        <w:rPr>
          <w:sz w:val="22"/>
          <w:szCs w:val="22"/>
        </w:rPr>
        <w:t>Prospektívna randomizovaná štúdia (UKPDS) potvrdila dlhodobý priaznivý vplyv intenzívnej</w:t>
      </w:r>
    </w:p>
    <w:p w:rsidR="005E0603" w:rsidRPr="000E1573" w:rsidRDefault="005E0603" w:rsidP="000E1573">
      <w:pPr>
        <w:numPr>
          <w:ilvl w:val="0"/>
          <w:numId w:val="0"/>
        </w:numPr>
        <w:rPr>
          <w:sz w:val="22"/>
          <w:szCs w:val="22"/>
        </w:rPr>
      </w:pPr>
      <w:r w:rsidRPr="000E1573">
        <w:rPr>
          <w:sz w:val="22"/>
          <w:szCs w:val="22"/>
        </w:rPr>
        <w:t>kontroly glykémie u dospelých pacientov s diabetom 2. typu, ktorí užívali metformín v liekovej forme s okamžitým uvoľňovaním ako liečbu prvej línie po zlyhaní diéty. Analýza výsledkov pacientov s nadváhou liečených metformínom po zlyhaní diéty dokázala:</w:t>
      </w:r>
    </w:p>
    <w:p w:rsidR="005E0603" w:rsidRPr="000E1573" w:rsidRDefault="005E0603" w:rsidP="000E1573">
      <w:pPr>
        <w:numPr>
          <w:ilvl w:val="0"/>
          <w:numId w:val="42"/>
        </w:numPr>
        <w:ind w:left="567" w:hanging="567"/>
        <w:rPr>
          <w:sz w:val="22"/>
          <w:szCs w:val="22"/>
        </w:rPr>
      </w:pPr>
      <w:r w:rsidRPr="000E1573">
        <w:rPr>
          <w:sz w:val="22"/>
          <w:szCs w:val="22"/>
        </w:rPr>
        <w:t xml:space="preserve">významný pokles absolútneho rizika diabetických komplikácií v skupine liečenej metformínom (29,8 prípadov/1000 pacientorokov) oproti skupine liečenej diétou (43,3 prípadov na 1000 pacientorokov), p = 0,0023, a oproti skupinám liečených kombináciou </w:t>
      </w:r>
      <w:r w:rsidR="006B5A05" w:rsidRPr="000E1573">
        <w:rPr>
          <w:sz w:val="22"/>
          <w:szCs w:val="22"/>
        </w:rPr>
        <w:t>sulfonyl</w:t>
      </w:r>
      <w:r w:rsidR="006B5A05">
        <w:rPr>
          <w:sz w:val="22"/>
          <w:szCs w:val="22"/>
        </w:rPr>
        <w:t>močoviny</w:t>
      </w:r>
      <w:r w:rsidR="006B5A05" w:rsidRPr="000E1573">
        <w:rPr>
          <w:sz w:val="22"/>
          <w:szCs w:val="22"/>
        </w:rPr>
        <w:t xml:space="preserve"> </w:t>
      </w:r>
      <w:r w:rsidRPr="000E1573">
        <w:rPr>
          <w:sz w:val="22"/>
          <w:szCs w:val="22"/>
        </w:rPr>
        <w:t>a inzulínom v monoterapii (40,1 prípadov na 1000 pacientorokov), p = 0,0034;</w:t>
      </w:r>
    </w:p>
    <w:p w:rsidR="005E0603" w:rsidRPr="000E1573" w:rsidRDefault="005E0603" w:rsidP="000E1573">
      <w:pPr>
        <w:numPr>
          <w:ilvl w:val="0"/>
          <w:numId w:val="42"/>
        </w:numPr>
        <w:ind w:left="567" w:hanging="567"/>
        <w:rPr>
          <w:sz w:val="22"/>
          <w:szCs w:val="22"/>
        </w:rPr>
      </w:pPr>
      <w:r w:rsidRPr="000E1573">
        <w:rPr>
          <w:sz w:val="22"/>
          <w:szCs w:val="22"/>
        </w:rPr>
        <w:t>významný pokles absolútneho rizika s diabetom súvisiacej mortality: metformín 7,5 prípadov na  1000 pacientorokov, diéta samotná 12,7 prípadov na 1000 pacientorokov, p = 0,017;</w:t>
      </w:r>
    </w:p>
    <w:p w:rsidR="005E0603" w:rsidRPr="000E1573" w:rsidRDefault="005E0603" w:rsidP="000E1573">
      <w:pPr>
        <w:numPr>
          <w:ilvl w:val="0"/>
          <w:numId w:val="42"/>
        </w:numPr>
        <w:ind w:left="567" w:hanging="567"/>
        <w:rPr>
          <w:sz w:val="22"/>
          <w:szCs w:val="22"/>
        </w:rPr>
      </w:pPr>
      <w:r w:rsidRPr="000E1573">
        <w:rPr>
          <w:sz w:val="22"/>
          <w:szCs w:val="22"/>
        </w:rPr>
        <w:t xml:space="preserve">významný pokles absolútneho rizika celkovej mortality: metformín 13,5 prípadov na 1000 pacientorokov, oproti diéte samotnej 20,6 prípadov na 1000 pacientorokov (p=0,011) a oproti skupinám </w:t>
      </w:r>
      <w:r w:rsidR="006B5A05" w:rsidRPr="000E1573">
        <w:rPr>
          <w:sz w:val="22"/>
          <w:szCs w:val="22"/>
        </w:rPr>
        <w:t>liečených kombináciou sulfonyl</w:t>
      </w:r>
      <w:r w:rsidR="006B5A05">
        <w:rPr>
          <w:sz w:val="22"/>
          <w:szCs w:val="22"/>
        </w:rPr>
        <w:t>močoviny</w:t>
      </w:r>
      <w:r w:rsidR="006B5A05" w:rsidRPr="000E1573">
        <w:rPr>
          <w:sz w:val="22"/>
          <w:szCs w:val="22"/>
        </w:rPr>
        <w:t xml:space="preserve"> a inzulínom v monoterapii </w:t>
      </w:r>
      <w:r w:rsidRPr="000E1573">
        <w:rPr>
          <w:sz w:val="22"/>
          <w:szCs w:val="22"/>
        </w:rPr>
        <w:t>18,9 prípadov na 1000 pacientorokov (p=0,021);</w:t>
      </w:r>
    </w:p>
    <w:p w:rsidR="005E0603" w:rsidRPr="000E1573" w:rsidRDefault="005E0603" w:rsidP="000E1573">
      <w:pPr>
        <w:numPr>
          <w:ilvl w:val="0"/>
          <w:numId w:val="42"/>
        </w:numPr>
        <w:ind w:left="567" w:hanging="567"/>
        <w:rPr>
          <w:sz w:val="22"/>
          <w:szCs w:val="22"/>
        </w:rPr>
      </w:pPr>
      <w:r w:rsidRPr="000E1573">
        <w:rPr>
          <w:sz w:val="22"/>
          <w:szCs w:val="22"/>
        </w:rPr>
        <w:t>významný pokles absolútneho rizika infarktu myokardu: metformín 11 prípadov na 1000 pacientorokov, diéta samotná 18 prípadov na 1000 pacientorokov (p=0,01).</w:t>
      </w:r>
    </w:p>
    <w:p w:rsidR="005E0603" w:rsidRPr="000E1573" w:rsidRDefault="005E0603" w:rsidP="000E1573">
      <w:pPr>
        <w:numPr>
          <w:ilvl w:val="0"/>
          <w:numId w:val="0"/>
        </w:numPr>
        <w:ind w:left="1942" w:hanging="1800"/>
        <w:rPr>
          <w:sz w:val="22"/>
          <w:szCs w:val="22"/>
        </w:rPr>
      </w:pPr>
    </w:p>
    <w:p w:rsidR="005E0603" w:rsidRPr="000E1573" w:rsidRDefault="005E0603" w:rsidP="000E1573">
      <w:pPr>
        <w:numPr>
          <w:ilvl w:val="0"/>
          <w:numId w:val="0"/>
        </w:numPr>
        <w:rPr>
          <w:sz w:val="22"/>
          <w:szCs w:val="22"/>
        </w:rPr>
      </w:pPr>
      <w:r w:rsidRPr="000E1573">
        <w:rPr>
          <w:sz w:val="22"/>
          <w:szCs w:val="22"/>
        </w:rPr>
        <w:t>Prínos klinickej účinnosti metformínu používaného ako liek druhej voľby v kombinácii so sulfonyl</w:t>
      </w:r>
      <w:r w:rsidR="006B5A05">
        <w:rPr>
          <w:sz w:val="22"/>
          <w:szCs w:val="22"/>
        </w:rPr>
        <w:t>močovinou</w:t>
      </w:r>
      <w:r w:rsidRPr="000E1573">
        <w:rPr>
          <w:sz w:val="22"/>
          <w:szCs w:val="22"/>
        </w:rPr>
        <w:t xml:space="preserve"> nie je dokázaný.</w:t>
      </w:r>
    </w:p>
    <w:p w:rsidR="005E0603" w:rsidRPr="000E1573" w:rsidRDefault="005E0603" w:rsidP="000E1573">
      <w:pPr>
        <w:numPr>
          <w:ilvl w:val="0"/>
          <w:numId w:val="0"/>
        </w:numPr>
        <w:rPr>
          <w:sz w:val="22"/>
          <w:szCs w:val="22"/>
        </w:rPr>
      </w:pPr>
    </w:p>
    <w:p w:rsidR="005E0603" w:rsidRPr="00437B35" w:rsidRDefault="005E0603" w:rsidP="00437B35">
      <w:pPr>
        <w:numPr>
          <w:ilvl w:val="0"/>
          <w:numId w:val="0"/>
        </w:numPr>
        <w:rPr>
          <w:sz w:val="22"/>
          <w:szCs w:val="22"/>
        </w:rPr>
      </w:pPr>
      <w:r w:rsidRPr="000E1573">
        <w:rPr>
          <w:sz w:val="22"/>
          <w:szCs w:val="22"/>
        </w:rPr>
        <w:t xml:space="preserve">Kombinácia metformínu s inzulínom sa použila u vybraných pacientov s diabetom 1. typu, no klinický prínos tejto kombinácie sa formálne nepotvrdil. </w:t>
      </w:r>
    </w:p>
    <w:p w:rsidR="005E0603" w:rsidRPr="00437B35" w:rsidRDefault="005E0603" w:rsidP="000E1573">
      <w:pPr>
        <w:numPr>
          <w:ilvl w:val="0"/>
          <w:numId w:val="0"/>
        </w:numPr>
        <w:rPr>
          <w:sz w:val="22"/>
          <w:szCs w:val="22"/>
        </w:rPr>
      </w:pPr>
    </w:p>
    <w:p w:rsidR="005E0603" w:rsidRPr="000E1573" w:rsidRDefault="005E0603" w:rsidP="004A5EE0">
      <w:pPr>
        <w:numPr>
          <w:ilvl w:val="0"/>
          <w:numId w:val="0"/>
        </w:numPr>
        <w:outlineLvl w:val="1"/>
        <w:rPr>
          <w:sz w:val="22"/>
          <w:szCs w:val="22"/>
        </w:rPr>
      </w:pPr>
      <w:r w:rsidRPr="000E1573">
        <w:rPr>
          <w:b/>
          <w:bCs/>
          <w:sz w:val="22"/>
          <w:szCs w:val="22"/>
        </w:rPr>
        <w:t>5.2</w:t>
      </w:r>
      <w:r w:rsidRPr="000E1573">
        <w:rPr>
          <w:b/>
          <w:bCs/>
          <w:sz w:val="22"/>
          <w:szCs w:val="22"/>
        </w:rPr>
        <w:tab/>
        <w:t>Farmakokinetické vlastnosti</w:t>
      </w:r>
    </w:p>
    <w:p w:rsidR="005E0603" w:rsidRPr="00A1608A" w:rsidRDefault="005E0603" w:rsidP="000E1573">
      <w:pPr>
        <w:pStyle w:val="Zkladntext"/>
        <w:rPr>
          <w:sz w:val="22"/>
          <w:szCs w:val="22"/>
        </w:rPr>
      </w:pPr>
    </w:p>
    <w:p w:rsidR="005E0603" w:rsidRPr="000E1573" w:rsidRDefault="005E0603" w:rsidP="00A1608A">
      <w:pPr>
        <w:numPr>
          <w:ilvl w:val="0"/>
          <w:numId w:val="0"/>
        </w:numPr>
        <w:rPr>
          <w:sz w:val="22"/>
          <w:szCs w:val="22"/>
          <w:u w:val="single"/>
        </w:rPr>
      </w:pPr>
      <w:r w:rsidRPr="000E1573">
        <w:rPr>
          <w:sz w:val="22"/>
          <w:szCs w:val="22"/>
          <w:u w:val="single"/>
        </w:rPr>
        <w:t>Absorpcia</w:t>
      </w:r>
    </w:p>
    <w:p w:rsidR="005E0603" w:rsidRPr="000E1573" w:rsidRDefault="005E0603" w:rsidP="00437B35">
      <w:pPr>
        <w:numPr>
          <w:ilvl w:val="0"/>
          <w:numId w:val="0"/>
        </w:numPr>
        <w:rPr>
          <w:sz w:val="22"/>
          <w:szCs w:val="22"/>
        </w:rPr>
      </w:pPr>
      <w:r w:rsidRPr="000E1573">
        <w:rPr>
          <w:sz w:val="22"/>
          <w:szCs w:val="22"/>
        </w:rPr>
        <w:t>Po perorálnej dávke tablety s predĺženým uvoľňovaním je absorpcia metformínu významne</w:t>
      </w:r>
    </w:p>
    <w:p w:rsidR="005E0603" w:rsidRPr="000E1573" w:rsidRDefault="005E0603" w:rsidP="00437B35">
      <w:pPr>
        <w:numPr>
          <w:ilvl w:val="0"/>
          <w:numId w:val="0"/>
        </w:numPr>
        <w:rPr>
          <w:sz w:val="22"/>
          <w:szCs w:val="22"/>
        </w:rPr>
      </w:pPr>
      <w:r w:rsidRPr="000E1573">
        <w:rPr>
          <w:sz w:val="22"/>
          <w:szCs w:val="22"/>
        </w:rPr>
        <w:t>spomalená v porovnaní s tab</w:t>
      </w:r>
      <w:r>
        <w:rPr>
          <w:sz w:val="22"/>
          <w:szCs w:val="22"/>
        </w:rPr>
        <w:t>letou s okamžitým uvoľňovaním, t</w:t>
      </w:r>
      <w:r w:rsidRPr="00486536">
        <w:rPr>
          <w:sz w:val="22"/>
          <w:szCs w:val="22"/>
          <w:vertAlign w:val="subscript"/>
        </w:rPr>
        <w:t>max</w:t>
      </w:r>
      <w:r w:rsidRPr="000E1573">
        <w:rPr>
          <w:sz w:val="22"/>
          <w:szCs w:val="22"/>
        </w:rPr>
        <w:t xml:space="preserve"> sa dosiahne v priebehu 7 hodín (t</w:t>
      </w:r>
      <w:r w:rsidRPr="00486536">
        <w:rPr>
          <w:sz w:val="22"/>
          <w:szCs w:val="22"/>
          <w:vertAlign w:val="subscript"/>
        </w:rPr>
        <w:t>max</w:t>
      </w:r>
      <w:r w:rsidRPr="000E1573">
        <w:rPr>
          <w:sz w:val="22"/>
          <w:szCs w:val="22"/>
        </w:rPr>
        <w:t xml:space="preserve"> pre tabletu s okamžitým uvoľňovaním je 2,5 hod.).</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V rovnovážnom stave, rovnako ako u tabliet s okamžitým uvoľňovaním, C</w:t>
      </w:r>
      <w:r w:rsidRPr="00486536">
        <w:rPr>
          <w:sz w:val="22"/>
          <w:szCs w:val="22"/>
          <w:vertAlign w:val="subscript"/>
        </w:rPr>
        <w:t>max</w:t>
      </w:r>
      <w:r w:rsidRPr="00437B35">
        <w:rPr>
          <w:sz w:val="22"/>
          <w:szCs w:val="22"/>
        </w:rPr>
        <w:t xml:space="preserve"> </w:t>
      </w:r>
      <w:r w:rsidRPr="000E1573">
        <w:rPr>
          <w:sz w:val="22"/>
          <w:szCs w:val="22"/>
        </w:rPr>
        <w:t xml:space="preserve">a AUC nestúpajú  </w:t>
      </w:r>
    </w:p>
    <w:p w:rsidR="005E0603" w:rsidRPr="000E1573" w:rsidRDefault="005E0603" w:rsidP="00437B35">
      <w:pPr>
        <w:numPr>
          <w:ilvl w:val="0"/>
          <w:numId w:val="0"/>
        </w:numPr>
        <w:rPr>
          <w:sz w:val="22"/>
          <w:szCs w:val="22"/>
        </w:rPr>
      </w:pPr>
      <w:r w:rsidRPr="000E1573">
        <w:rPr>
          <w:sz w:val="22"/>
          <w:szCs w:val="22"/>
        </w:rPr>
        <w:t>proporcionálne s podanou dávkou. AUC po jednorazovom podaní 2000 mg metformínu vo forme tabliet s predĺženým uvoľňovaním je podobné AUC pozorovanému po podaní 1000 mg metformínu vo forme tabliet s okamžitým uvoľňovaním.</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Intraindividuálna variabilita C</w:t>
      </w:r>
      <w:r w:rsidRPr="00486536">
        <w:rPr>
          <w:sz w:val="22"/>
          <w:szCs w:val="22"/>
          <w:vertAlign w:val="subscript"/>
        </w:rPr>
        <w:t>max</w:t>
      </w:r>
      <w:r w:rsidRPr="000E1573">
        <w:rPr>
          <w:sz w:val="22"/>
          <w:szCs w:val="22"/>
        </w:rPr>
        <w:t xml:space="preserve"> a AUC metformínu s predĺženým uvoľňovaním je porovnateľná s C</w:t>
      </w:r>
      <w:r w:rsidRPr="00486536">
        <w:rPr>
          <w:sz w:val="22"/>
          <w:szCs w:val="22"/>
          <w:vertAlign w:val="subscript"/>
        </w:rPr>
        <w:t>max</w:t>
      </w:r>
      <w:r w:rsidRPr="00437B35">
        <w:rPr>
          <w:sz w:val="22"/>
          <w:szCs w:val="22"/>
        </w:rPr>
        <w:t xml:space="preserve"> </w:t>
      </w:r>
      <w:r w:rsidRPr="000E1573">
        <w:rPr>
          <w:sz w:val="22"/>
          <w:szCs w:val="22"/>
        </w:rPr>
        <w:t>a AUC pozorovanými pri tabletách metformínu s okamžitým uvoľňovaním.</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lastRenderedPageBreak/>
        <w:t>Ak sa tablety s predĺženým uvoľňovaním podávajú nalačno, AUC sa zníži o 30 % (C</w:t>
      </w:r>
      <w:r w:rsidRPr="00486536">
        <w:rPr>
          <w:sz w:val="22"/>
          <w:szCs w:val="22"/>
          <w:vertAlign w:val="subscript"/>
        </w:rPr>
        <w:t>max</w:t>
      </w:r>
      <w:r w:rsidRPr="000E1573">
        <w:rPr>
          <w:sz w:val="22"/>
          <w:szCs w:val="22"/>
        </w:rPr>
        <w:t xml:space="preserve"> a t</w:t>
      </w:r>
      <w:r w:rsidRPr="00486536">
        <w:rPr>
          <w:sz w:val="22"/>
          <w:szCs w:val="22"/>
          <w:vertAlign w:val="subscript"/>
        </w:rPr>
        <w:t>max</w:t>
      </w:r>
      <w:r w:rsidRPr="000E1573">
        <w:rPr>
          <w:sz w:val="22"/>
          <w:szCs w:val="22"/>
        </w:rPr>
        <w:t xml:space="preserve"> zostanú nezmenené).</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Priemerná absorpcia metformínu s predĺženým uvoľňovaním nie je takmer ovplyvnená zložením potravy.</w:t>
      </w:r>
    </w:p>
    <w:p w:rsidR="005E0603" w:rsidRPr="000E1573" w:rsidRDefault="005E0603" w:rsidP="00437B35">
      <w:pPr>
        <w:numPr>
          <w:ilvl w:val="0"/>
          <w:numId w:val="0"/>
        </w:numPr>
        <w:rPr>
          <w:sz w:val="22"/>
          <w:szCs w:val="22"/>
        </w:rPr>
      </w:pPr>
    </w:p>
    <w:p w:rsidR="005E0603" w:rsidRPr="000E1573" w:rsidRDefault="005E0603" w:rsidP="00437B35">
      <w:pPr>
        <w:numPr>
          <w:ilvl w:val="0"/>
          <w:numId w:val="0"/>
        </w:numPr>
        <w:rPr>
          <w:sz w:val="22"/>
          <w:szCs w:val="22"/>
        </w:rPr>
      </w:pPr>
      <w:r w:rsidRPr="000E1573">
        <w:rPr>
          <w:sz w:val="22"/>
          <w:szCs w:val="22"/>
        </w:rPr>
        <w:t>Po opakovanom podávaní až do 2000 mg metformínu vo forme tabliet s predĺženým uvoľňovaním sa nepozorovala jeho akumulácia.</w:t>
      </w:r>
    </w:p>
    <w:p w:rsidR="005E0603" w:rsidRDefault="005E0603" w:rsidP="00437B35">
      <w:pPr>
        <w:numPr>
          <w:ilvl w:val="0"/>
          <w:numId w:val="0"/>
        </w:numPr>
        <w:rPr>
          <w:sz w:val="22"/>
          <w:szCs w:val="22"/>
        </w:rPr>
      </w:pPr>
    </w:p>
    <w:p w:rsidR="005E0603" w:rsidRPr="007876C6" w:rsidRDefault="005E0603" w:rsidP="001B0C3E">
      <w:pPr>
        <w:numPr>
          <w:ilvl w:val="0"/>
          <w:numId w:val="0"/>
        </w:numPr>
        <w:rPr>
          <w:sz w:val="22"/>
          <w:szCs w:val="22"/>
        </w:rPr>
      </w:pPr>
      <w:r w:rsidRPr="007876C6">
        <w:rPr>
          <w:sz w:val="22"/>
          <w:szCs w:val="22"/>
        </w:rPr>
        <w:t>Po perorálnom podaní</w:t>
      </w:r>
      <w:r w:rsidR="007876C6">
        <w:rPr>
          <w:sz w:val="22"/>
          <w:szCs w:val="22"/>
        </w:rPr>
        <w:t xml:space="preserve"> jednorazovej dávky</w:t>
      </w:r>
      <w:r w:rsidRPr="007876C6">
        <w:rPr>
          <w:sz w:val="22"/>
          <w:szCs w:val="22"/>
        </w:rPr>
        <w:t xml:space="preserve"> 1500 mg  </w:t>
      </w:r>
      <w:r w:rsidR="003A3DD6">
        <w:rPr>
          <w:sz w:val="22"/>
          <w:szCs w:val="22"/>
        </w:rPr>
        <w:t>Metforminu Juta</w:t>
      </w:r>
      <w:r w:rsidR="003A3DD6" w:rsidRPr="007876C6">
        <w:rPr>
          <w:sz w:val="22"/>
          <w:szCs w:val="22"/>
        </w:rPr>
        <w:t xml:space="preserve"> </w:t>
      </w:r>
      <w:r w:rsidRPr="007876C6">
        <w:rPr>
          <w:sz w:val="22"/>
          <w:szCs w:val="22"/>
        </w:rPr>
        <w:t xml:space="preserve">750 mg </w:t>
      </w:r>
      <w:r w:rsidR="003A3DD6">
        <w:rPr>
          <w:sz w:val="22"/>
          <w:szCs w:val="22"/>
        </w:rPr>
        <w:t xml:space="preserve">tablety </w:t>
      </w:r>
      <w:r w:rsidRPr="007876C6">
        <w:rPr>
          <w:sz w:val="22"/>
          <w:szCs w:val="22"/>
        </w:rPr>
        <w:t>s predĺženým uvoľňovaním sa dosiahne priemerná maximálna plazmatická koncentrácia 1193 ng / ml so strednou hodnotou 5 hodín a rozsahom 4 až 12 hodín.</w:t>
      </w:r>
    </w:p>
    <w:p w:rsidR="005E0603" w:rsidRPr="007876C6" w:rsidRDefault="005E0603" w:rsidP="001B0C3E">
      <w:pPr>
        <w:numPr>
          <w:ilvl w:val="0"/>
          <w:numId w:val="0"/>
        </w:numPr>
        <w:rPr>
          <w:sz w:val="22"/>
          <w:szCs w:val="22"/>
        </w:rPr>
      </w:pPr>
    </w:p>
    <w:p w:rsidR="005E0603" w:rsidRDefault="005E0603" w:rsidP="001B0C3E">
      <w:pPr>
        <w:numPr>
          <w:ilvl w:val="0"/>
          <w:numId w:val="0"/>
        </w:numPr>
        <w:rPr>
          <w:sz w:val="22"/>
          <w:szCs w:val="22"/>
        </w:rPr>
      </w:pPr>
      <w:r w:rsidRPr="007876C6">
        <w:rPr>
          <w:sz w:val="22"/>
          <w:szCs w:val="22"/>
        </w:rPr>
        <w:t xml:space="preserve">Ukázalo sa, že tableta s predĺženým uvoľňovaním </w:t>
      </w:r>
      <w:r w:rsidR="003A3DD6">
        <w:rPr>
          <w:sz w:val="22"/>
          <w:szCs w:val="22"/>
        </w:rPr>
        <w:t xml:space="preserve">s obsahom 750 mg </w:t>
      </w:r>
      <w:r w:rsidRPr="007876C6">
        <w:rPr>
          <w:sz w:val="22"/>
          <w:szCs w:val="22"/>
        </w:rPr>
        <w:t xml:space="preserve">metformínu je bioekvivalentná s tabletou s predĺženým uvoľňovaním </w:t>
      </w:r>
      <w:r w:rsidR="003A3DD6">
        <w:rPr>
          <w:sz w:val="22"/>
          <w:szCs w:val="22"/>
        </w:rPr>
        <w:t xml:space="preserve">s obsahom 500 mg </w:t>
      </w:r>
      <w:r w:rsidRPr="007876C6">
        <w:rPr>
          <w:sz w:val="22"/>
          <w:szCs w:val="22"/>
        </w:rPr>
        <w:t xml:space="preserve">metformínu </w:t>
      </w:r>
      <w:r w:rsidR="003A3DD6">
        <w:rPr>
          <w:sz w:val="22"/>
          <w:szCs w:val="22"/>
        </w:rPr>
        <w:t>pri</w:t>
      </w:r>
      <w:r w:rsidR="003A3DD6" w:rsidRPr="007876C6">
        <w:rPr>
          <w:sz w:val="22"/>
          <w:szCs w:val="22"/>
        </w:rPr>
        <w:t xml:space="preserve"> </w:t>
      </w:r>
      <w:r w:rsidRPr="007876C6">
        <w:rPr>
          <w:sz w:val="22"/>
          <w:szCs w:val="22"/>
        </w:rPr>
        <w:t>dávke 1500 mg, pokiaľ ide o C</w:t>
      </w:r>
      <w:r w:rsidRPr="007876C6">
        <w:rPr>
          <w:sz w:val="22"/>
          <w:szCs w:val="22"/>
          <w:vertAlign w:val="subscript"/>
        </w:rPr>
        <w:t>max</w:t>
      </w:r>
      <w:r w:rsidRPr="007876C6">
        <w:rPr>
          <w:sz w:val="22"/>
          <w:szCs w:val="22"/>
        </w:rPr>
        <w:t xml:space="preserve"> a AUC, u zdravých </w:t>
      </w:r>
      <w:r w:rsidR="003A3DD6">
        <w:rPr>
          <w:sz w:val="22"/>
          <w:szCs w:val="22"/>
        </w:rPr>
        <w:t>jedincov po jedle a nalačno.</w:t>
      </w:r>
    </w:p>
    <w:p w:rsidR="005E0603" w:rsidRDefault="005E0603" w:rsidP="001B0C3E">
      <w:pPr>
        <w:numPr>
          <w:ilvl w:val="0"/>
          <w:numId w:val="0"/>
        </w:numPr>
        <w:rPr>
          <w:sz w:val="22"/>
          <w:szCs w:val="22"/>
        </w:rPr>
      </w:pPr>
    </w:p>
    <w:p w:rsidR="005E0603" w:rsidRPr="000E1573" w:rsidRDefault="005E0603" w:rsidP="001B0C3E">
      <w:pPr>
        <w:numPr>
          <w:ilvl w:val="0"/>
          <w:numId w:val="0"/>
        </w:numPr>
        <w:rPr>
          <w:sz w:val="22"/>
          <w:szCs w:val="22"/>
          <w:u w:val="single"/>
        </w:rPr>
      </w:pPr>
      <w:r w:rsidRPr="000E1573">
        <w:rPr>
          <w:sz w:val="22"/>
          <w:szCs w:val="22"/>
          <w:u w:val="single"/>
        </w:rPr>
        <w:t>Distribúcia</w:t>
      </w:r>
    </w:p>
    <w:p w:rsidR="005E0603" w:rsidRPr="000E1573" w:rsidRDefault="005E0603" w:rsidP="00437B35">
      <w:pPr>
        <w:numPr>
          <w:ilvl w:val="0"/>
          <w:numId w:val="0"/>
        </w:numPr>
        <w:rPr>
          <w:sz w:val="22"/>
          <w:szCs w:val="22"/>
        </w:rPr>
      </w:pPr>
      <w:r w:rsidRPr="00A1608A">
        <w:rPr>
          <w:sz w:val="22"/>
          <w:szCs w:val="22"/>
        </w:rPr>
        <w:t>Väzba na plazmatické bielkoviny je zanedbateľná. Metformín prechádza do erytrocytov. Maximálna koncentrácia v krvi je nižšia ako maximálna koncentrácia v plazme a dosahujú sa v približne rovnakom</w:t>
      </w:r>
      <w:r w:rsidRPr="000E1573">
        <w:rPr>
          <w:sz w:val="22"/>
          <w:szCs w:val="22"/>
        </w:rPr>
        <w:t xml:space="preserve"> čase. Erytrocyty predstavujú s najväčšou pravdepodobnosťou sekundárny kompartment distribúcie. Priemerný distribučný objem V</w:t>
      </w:r>
      <w:r w:rsidRPr="00437B35">
        <w:rPr>
          <w:sz w:val="22"/>
          <w:szCs w:val="22"/>
        </w:rPr>
        <w:t xml:space="preserve">d </w:t>
      </w:r>
      <w:r w:rsidRPr="000E1573">
        <w:rPr>
          <w:sz w:val="22"/>
          <w:szCs w:val="22"/>
        </w:rPr>
        <w:t>sa pohyboval od 63 do 276 l.</w:t>
      </w:r>
    </w:p>
    <w:p w:rsidR="005E0603" w:rsidRPr="000E1573" w:rsidRDefault="005E0603" w:rsidP="00437B35">
      <w:pPr>
        <w:numPr>
          <w:ilvl w:val="0"/>
          <w:numId w:val="0"/>
        </w:numPr>
        <w:rPr>
          <w:sz w:val="22"/>
          <w:szCs w:val="22"/>
        </w:rPr>
      </w:pPr>
    </w:p>
    <w:p w:rsidR="005E0603" w:rsidRPr="000E1573" w:rsidRDefault="005E0603" w:rsidP="00A1608A">
      <w:pPr>
        <w:numPr>
          <w:ilvl w:val="0"/>
          <w:numId w:val="0"/>
        </w:numPr>
        <w:rPr>
          <w:sz w:val="22"/>
          <w:szCs w:val="22"/>
          <w:u w:val="single"/>
        </w:rPr>
      </w:pPr>
      <w:r w:rsidRPr="000E1573">
        <w:rPr>
          <w:sz w:val="22"/>
          <w:szCs w:val="22"/>
          <w:u w:val="single"/>
        </w:rPr>
        <w:t>Biotransformácia</w:t>
      </w:r>
    </w:p>
    <w:p w:rsidR="005E0603" w:rsidRPr="000E1573" w:rsidRDefault="005E0603" w:rsidP="00437B35">
      <w:pPr>
        <w:numPr>
          <w:ilvl w:val="0"/>
          <w:numId w:val="0"/>
        </w:numPr>
        <w:rPr>
          <w:sz w:val="22"/>
          <w:szCs w:val="22"/>
        </w:rPr>
      </w:pPr>
      <w:r w:rsidRPr="000E1573">
        <w:rPr>
          <w:sz w:val="22"/>
          <w:szCs w:val="22"/>
        </w:rPr>
        <w:t>Metformín sa vylučuje v nezmenenej forme močom. U člove</w:t>
      </w:r>
      <w:r>
        <w:rPr>
          <w:sz w:val="22"/>
          <w:szCs w:val="22"/>
        </w:rPr>
        <w:t xml:space="preserve">ka neboli identifikované žiadne </w:t>
      </w:r>
      <w:r w:rsidRPr="000E1573">
        <w:rPr>
          <w:sz w:val="22"/>
          <w:szCs w:val="22"/>
        </w:rPr>
        <w:t>metabolity.</w:t>
      </w:r>
    </w:p>
    <w:p w:rsidR="005E0603" w:rsidRPr="000E1573" w:rsidRDefault="005E0603" w:rsidP="00437B35">
      <w:pPr>
        <w:numPr>
          <w:ilvl w:val="0"/>
          <w:numId w:val="0"/>
        </w:numPr>
        <w:rPr>
          <w:sz w:val="22"/>
          <w:szCs w:val="22"/>
        </w:rPr>
      </w:pPr>
    </w:p>
    <w:p w:rsidR="005E0603" w:rsidRPr="00A1608A" w:rsidRDefault="005E0603" w:rsidP="00A1608A">
      <w:pPr>
        <w:numPr>
          <w:ilvl w:val="0"/>
          <w:numId w:val="0"/>
        </w:numPr>
        <w:rPr>
          <w:sz w:val="22"/>
          <w:szCs w:val="22"/>
          <w:u w:val="single"/>
        </w:rPr>
      </w:pPr>
      <w:r w:rsidRPr="00A1608A">
        <w:rPr>
          <w:sz w:val="22"/>
          <w:szCs w:val="22"/>
          <w:u w:val="single"/>
        </w:rPr>
        <w:t>Eliminácia</w:t>
      </w:r>
    </w:p>
    <w:p w:rsidR="005E0603" w:rsidRPr="000E1573" w:rsidRDefault="005E0603" w:rsidP="00437B35">
      <w:pPr>
        <w:numPr>
          <w:ilvl w:val="0"/>
          <w:numId w:val="0"/>
        </w:numPr>
        <w:rPr>
          <w:sz w:val="22"/>
          <w:szCs w:val="22"/>
        </w:rPr>
      </w:pPr>
      <w:r w:rsidRPr="000E1573">
        <w:rPr>
          <w:sz w:val="22"/>
          <w:szCs w:val="22"/>
        </w:rPr>
        <w:t xml:space="preserve">Renálny klírens metformínu je </w:t>
      </w:r>
      <w:r w:rsidRPr="000E1573">
        <w:rPr>
          <w:sz w:val="22"/>
          <w:szCs w:val="22"/>
        </w:rPr>
        <w:sym w:font="Symbol" w:char="F03E"/>
      </w:r>
      <w:r w:rsidRPr="000E1573">
        <w:rPr>
          <w:sz w:val="22"/>
          <w:szCs w:val="22"/>
        </w:rPr>
        <w:t xml:space="preserve"> 400 ml/min, čo naznačuje, že metformín sa vylučuje glomerulárnou filtráciou a tubulárnou sekréciou. Ukazuje sa, že po perorálnom podaní je zdanlivý eliminačný polčas približne 6,5 hodiny. </w:t>
      </w:r>
    </w:p>
    <w:p w:rsidR="005E0603" w:rsidRPr="000E1573" w:rsidRDefault="005E0603" w:rsidP="00437B35">
      <w:pPr>
        <w:numPr>
          <w:ilvl w:val="0"/>
          <w:numId w:val="0"/>
        </w:numPr>
        <w:rPr>
          <w:sz w:val="22"/>
          <w:szCs w:val="22"/>
        </w:rPr>
      </w:pPr>
      <w:r w:rsidRPr="000E1573">
        <w:rPr>
          <w:sz w:val="22"/>
          <w:szCs w:val="22"/>
        </w:rPr>
        <w:t>Pri poruche funkcie obličiek je renálny klírens znížený v porov</w:t>
      </w:r>
      <w:r>
        <w:rPr>
          <w:sz w:val="22"/>
          <w:szCs w:val="22"/>
        </w:rPr>
        <w:t xml:space="preserve">naní s kreatinínom, a preto je </w:t>
      </w:r>
      <w:r w:rsidRPr="000E1573">
        <w:rPr>
          <w:sz w:val="22"/>
          <w:szCs w:val="22"/>
        </w:rPr>
        <w:t>eliminačný polčas predĺžený, čo vedie k zvýšeným hladinám metformínu v plazme.</w:t>
      </w:r>
    </w:p>
    <w:p w:rsidR="005E0603" w:rsidRPr="000E1573" w:rsidRDefault="005E0603" w:rsidP="00437B35">
      <w:pPr>
        <w:numPr>
          <w:ilvl w:val="0"/>
          <w:numId w:val="0"/>
        </w:numPr>
        <w:rPr>
          <w:sz w:val="22"/>
          <w:szCs w:val="22"/>
        </w:rPr>
      </w:pPr>
    </w:p>
    <w:p w:rsidR="005E0603" w:rsidRPr="000E1573" w:rsidRDefault="005E0603" w:rsidP="000E1573">
      <w:pPr>
        <w:numPr>
          <w:ilvl w:val="0"/>
          <w:numId w:val="0"/>
        </w:numPr>
        <w:rPr>
          <w:sz w:val="22"/>
          <w:szCs w:val="22"/>
          <w:u w:val="single"/>
        </w:rPr>
      </w:pPr>
      <w:r w:rsidRPr="000E1573">
        <w:rPr>
          <w:sz w:val="22"/>
          <w:szCs w:val="22"/>
          <w:u w:val="single"/>
        </w:rPr>
        <w:t>Charakteristiky v špecifických skupinách pacientov</w:t>
      </w:r>
    </w:p>
    <w:p w:rsidR="005E0603" w:rsidRPr="000E1573" w:rsidRDefault="003A3DD6" w:rsidP="000E1573">
      <w:pPr>
        <w:numPr>
          <w:ilvl w:val="0"/>
          <w:numId w:val="0"/>
        </w:numPr>
        <w:rPr>
          <w:i/>
          <w:iCs/>
          <w:sz w:val="22"/>
          <w:szCs w:val="22"/>
        </w:rPr>
      </w:pPr>
      <w:r>
        <w:rPr>
          <w:i/>
          <w:iCs/>
          <w:sz w:val="22"/>
          <w:szCs w:val="22"/>
        </w:rPr>
        <w:t xml:space="preserve">Porucha funkcie </w:t>
      </w:r>
      <w:r w:rsidR="005E0603" w:rsidRPr="000E1573">
        <w:rPr>
          <w:i/>
          <w:iCs/>
          <w:sz w:val="22"/>
          <w:szCs w:val="22"/>
        </w:rPr>
        <w:t>obličiek</w:t>
      </w:r>
    </w:p>
    <w:p w:rsidR="005E0603" w:rsidRPr="000E1573" w:rsidRDefault="005E0603" w:rsidP="000E1573">
      <w:pPr>
        <w:numPr>
          <w:ilvl w:val="0"/>
          <w:numId w:val="0"/>
        </w:numPr>
        <w:rPr>
          <w:sz w:val="22"/>
          <w:szCs w:val="22"/>
        </w:rPr>
      </w:pPr>
      <w:r w:rsidRPr="000E1573">
        <w:rPr>
          <w:sz w:val="22"/>
          <w:szCs w:val="22"/>
        </w:rPr>
        <w:t xml:space="preserve">Dostupné údaje týkajúce sa pacientov s miernou renálnou insuficienciou sú nedostatočné a v tejto podskupine sa nedá spoľahlivo určiť </w:t>
      </w:r>
      <w:r w:rsidR="006B5A05" w:rsidRPr="000E1573">
        <w:rPr>
          <w:sz w:val="22"/>
          <w:szCs w:val="22"/>
        </w:rPr>
        <w:t>systémov</w:t>
      </w:r>
      <w:r w:rsidR="006B5A05">
        <w:rPr>
          <w:sz w:val="22"/>
          <w:szCs w:val="22"/>
        </w:rPr>
        <w:t>á</w:t>
      </w:r>
      <w:r w:rsidR="006B5A05" w:rsidRPr="000E1573">
        <w:rPr>
          <w:sz w:val="22"/>
          <w:szCs w:val="22"/>
        </w:rPr>
        <w:t xml:space="preserve"> expozíci</w:t>
      </w:r>
      <w:r w:rsidR="006B5A05">
        <w:rPr>
          <w:sz w:val="22"/>
          <w:szCs w:val="22"/>
        </w:rPr>
        <w:t>a</w:t>
      </w:r>
      <w:r w:rsidR="006B5A05" w:rsidRPr="000E1573">
        <w:rPr>
          <w:sz w:val="22"/>
          <w:szCs w:val="22"/>
        </w:rPr>
        <w:t xml:space="preserve"> </w:t>
      </w:r>
      <w:r w:rsidRPr="000E1573">
        <w:rPr>
          <w:sz w:val="22"/>
          <w:szCs w:val="22"/>
        </w:rPr>
        <w:t>metformínu na rozdiel od subjektov s normálnymi renálnymi funkciami. Preto je treba prispôsobiť dávkovanie s prihliadnutím na klinickú</w:t>
      </w:r>
      <w:r w:rsidR="003A3DD6">
        <w:rPr>
          <w:sz w:val="22"/>
          <w:szCs w:val="22"/>
        </w:rPr>
        <w:t xml:space="preserve"> </w:t>
      </w:r>
      <w:r w:rsidRPr="000E1573">
        <w:rPr>
          <w:sz w:val="22"/>
          <w:szCs w:val="22"/>
        </w:rPr>
        <w:t>účinnosť/znášanlivosť (pozri časť 4.2).</w:t>
      </w:r>
    </w:p>
    <w:p w:rsidR="005E0603" w:rsidRPr="000E1573" w:rsidRDefault="005E0603" w:rsidP="000E1573">
      <w:pPr>
        <w:pStyle w:val="Zkladntext"/>
        <w:rPr>
          <w:b/>
          <w:bCs/>
          <w:sz w:val="22"/>
          <w:szCs w:val="22"/>
        </w:rPr>
      </w:pPr>
    </w:p>
    <w:p w:rsidR="005E0603" w:rsidRDefault="005E0603" w:rsidP="004A5EE0">
      <w:pPr>
        <w:numPr>
          <w:ilvl w:val="0"/>
          <w:numId w:val="0"/>
        </w:numPr>
        <w:outlineLvl w:val="1"/>
        <w:rPr>
          <w:b/>
          <w:bCs/>
          <w:sz w:val="22"/>
          <w:szCs w:val="22"/>
        </w:rPr>
      </w:pPr>
      <w:r w:rsidRPr="000E1573">
        <w:rPr>
          <w:b/>
          <w:bCs/>
          <w:sz w:val="22"/>
          <w:szCs w:val="22"/>
        </w:rPr>
        <w:t>5.3</w:t>
      </w:r>
      <w:r w:rsidRPr="000E1573">
        <w:rPr>
          <w:b/>
          <w:bCs/>
          <w:sz w:val="22"/>
          <w:szCs w:val="22"/>
        </w:rPr>
        <w:tab/>
        <w:t>Predklinické údaje o</w:t>
      </w:r>
      <w:r>
        <w:rPr>
          <w:b/>
          <w:bCs/>
          <w:sz w:val="22"/>
          <w:szCs w:val="22"/>
        </w:rPr>
        <w:t> </w:t>
      </w:r>
      <w:r w:rsidRPr="000E1573">
        <w:rPr>
          <w:b/>
          <w:bCs/>
          <w:sz w:val="22"/>
          <w:szCs w:val="22"/>
        </w:rPr>
        <w:t>bezpečnosti</w:t>
      </w:r>
    </w:p>
    <w:p w:rsidR="005E0603" w:rsidRPr="00A1608A" w:rsidRDefault="005E0603" w:rsidP="00A1608A">
      <w:pPr>
        <w:numPr>
          <w:ilvl w:val="0"/>
          <w:numId w:val="0"/>
        </w:numPr>
        <w:rPr>
          <w:b/>
          <w:bCs/>
          <w:sz w:val="22"/>
          <w:szCs w:val="22"/>
        </w:rPr>
      </w:pPr>
    </w:p>
    <w:p w:rsidR="005E0603" w:rsidRPr="000E1573" w:rsidRDefault="005E0603" w:rsidP="00437B35">
      <w:pPr>
        <w:numPr>
          <w:ilvl w:val="0"/>
          <w:numId w:val="0"/>
        </w:numPr>
        <w:rPr>
          <w:sz w:val="22"/>
          <w:szCs w:val="22"/>
        </w:rPr>
      </w:pPr>
      <w:r w:rsidRPr="000E1573">
        <w:rPr>
          <w:sz w:val="22"/>
          <w:szCs w:val="22"/>
        </w:rPr>
        <w:t>Predklinické údaje na základe obvyklých farmakologických štúdií  bezpečnosti, toxicity po opakovanom podávaní, genotoxicity, karcinogénneho potenciálu a reprodukčnej toxicity neodhalili žiadne osobitné riziko pre ľudí.</w:t>
      </w:r>
    </w:p>
    <w:p w:rsidR="005E0603" w:rsidRDefault="005E0603" w:rsidP="000E1573">
      <w:pPr>
        <w:pStyle w:val="Zkladntext"/>
        <w:rPr>
          <w:sz w:val="22"/>
          <w:szCs w:val="22"/>
        </w:rPr>
      </w:pPr>
    </w:p>
    <w:p w:rsidR="005E0603" w:rsidRPr="000E1573" w:rsidRDefault="005E0603" w:rsidP="000E1573">
      <w:pPr>
        <w:pStyle w:val="Zkladntext"/>
        <w:rPr>
          <w:sz w:val="22"/>
          <w:szCs w:val="22"/>
        </w:rPr>
      </w:pPr>
    </w:p>
    <w:p w:rsidR="005E0603" w:rsidRPr="00437B35" w:rsidRDefault="005E0603" w:rsidP="004A5EE0">
      <w:pPr>
        <w:numPr>
          <w:ilvl w:val="0"/>
          <w:numId w:val="0"/>
        </w:numPr>
        <w:outlineLvl w:val="0"/>
        <w:rPr>
          <w:b/>
          <w:bCs/>
          <w:sz w:val="22"/>
          <w:szCs w:val="22"/>
        </w:rPr>
      </w:pPr>
      <w:r w:rsidRPr="00437B35">
        <w:rPr>
          <w:b/>
          <w:bCs/>
          <w:sz w:val="22"/>
          <w:szCs w:val="22"/>
        </w:rPr>
        <w:t>6.</w:t>
      </w:r>
      <w:r w:rsidRPr="00437B35">
        <w:rPr>
          <w:b/>
          <w:bCs/>
          <w:sz w:val="22"/>
          <w:szCs w:val="22"/>
        </w:rPr>
        <w:tab/>
        <w:t xml:space="preserve">FARMACEUTICKÉ INFORMÁCIE </w:t>
      </w:r>
    </w:p>
    <w:p w:rsidR="005E0603" w:rsidRPr="000E1573" w:rsidRDefault="005E0603" w:rsidP="000E1573">
      <w:pPr>
        <w:pStyle w:val="Zkladntext"/>
        <w:rPr>
          <w:b/>
          <w:bCs/>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6.1</w:t>
      </w:r>
      <w:r w:rsidRPr="000E1573">
        <w:rPr>
          <w:b/>
          <w:bCs/>
          <w:sz w:val="22"/>
          <w:szCs w:val="22"/>
        </w:rPr>
        <w:tab/>
        <w:t>Zoznam pomocných látok</w:t>
      </w:r>
    </w:p>
    <w:p w:rsidR="005E0603" w:rsidRPr="000E1573" w:rsidRDefault="005E0603" w:rsidP="000E1573">
      <w:pPr>
        <w:pStyle w:val="Zkladntext"/>
        <w:rPr>
          <w:b/>
          <w:bCs/>
          <w:sz w:val="22"/>
          <w:szCs w:val="22"/>
        </w:rPr>
      </w:pPr>
    </w:p>
    <w:p w:rsidR="005E0603" w:rsidRPr="000E1573" w:rsidRDefault="005E0603" w:rsidP="000E1573">
      <w:pPr>
        <w:numPr>
          <w:ilvl w:val="0"/>
          <w:numId w:val="0"/>
        </w:numPr>
        <w:rPr>
          <w:sz w:val="22"/>
          <w:szCs w:val="22"/>
        </w:rPr>
      </w:pPr>
      <w:r>
        <w:rPr>
          <w:sz w:val="22"/>
          <w:szCs w:val="22"/>
        </w:rPr>
        <w:t xml:space="preserve">Obsah tablety: kyselina steárová (70), šelak (bielený), povidón (K30), </w:t>
      </w:r>
      <w:r w:rsidRPr="000E1573">
        <w:rPr>
          <w:sz w:val="22"/>
          <w:szCs w:val="22"/>
        </w:rPr>
        <w:t>oxid kremičitý, koloidný bezvodý</w:t>
      </w:r>
      <w:r w:rsidR="006B5A05">
        <w:rPr>
          <w:sz w:val="22"/>
          <w:szCs w:val="22"/>
        </w:rPr>
        <w:t>;</w:t>
      </w:r>
      <w:r>
        <w:rPr>
          <w:sz w:val="22"/>
          <w:szCs w:val="22"/>
        </w:rPr>
        <w:t xml:space="preserve"> </w:t>
      </w:r>
      <w:r w:rsidRPr="000E1573">
        <w:rPr>
          <w:sz w:val="22"/>
          <w:szCs w:val="22"/>
        </w:rPr>
        <w:t>stearát horečnatý</w:t>
      </w:r>
      <w:r>
        <w:rPr>
          <w:sz w:val="22"/>
          <w:szCs w:val="22"/>
        </w:rPr>
        <w:t>.</w:t>
      </w:r>
    </w:p>
    <w:p w:rsidR="005E0603" w:rsidRPr="000E1573" w:rsidRDefault="005E0603" w:rsidP="00437B35">
      <w:pPr>
        <w:numPr>
          <w:ilvl w:val="0"/>
          <w:numId w:val="0"/>
        </w:numPr>
        <w:rPr>
          <w:sz w:val="22"/>
          <w:szCs w:val="22"/>
        </w:rPr>
      </w:pPr>
      <w:r>
        <w:rPr>
          <w:sz w:val="22"/>
          <w:szCs w:val="22"/>
        </w:rPr>
        <w:t xml:space="preserve">Obal tablety: </w:t>
      </w:r>
      <w:r w:rsidRPr="000E1573">
        <w:rPr>
          <w:sz w:val="22"/>
          <w:szCs w:val="22"/>
        </w:rPr>
        <w:t>hypromelóza</w:t>
      </w:r>
      <w:r>
        <w:rPr>
          <w:sz w:val="22"/>
          <w:szCs w:val="22"/>
        </w:rPr>
        <w:t xml:space="preserve"> (E15), hydroxypropyl celulóza, oxid titaničitý (E171), propylén glykol, makrogol 6000 a mastenec.</w:t>
      </w:r>
    </w:p>
    <w:p w:rsidR="005E0603" w:rsidRPr="000E1573" w:rsidRDefault="005E0603" w:rsidP="00437B35">
      <w:pPr>
        <w:numPr>
          <w:ilvl w:val="0"/>
          <w:numId w:val="0"/>
        </w:numPr>
        <w:rPr>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lastRenderedPageBreak/>
        <w:t>6.2</w:t>
      </w:r>
      <w:r w:rsidRPr="000E1573">
        <w:rPr>
          <w:b/>
          <w:bCs/>
          <w:sz w:val="22"/>
          <w:szCs w:val="22"/>
        </w:rPr>
        <w:tab/>
        <w:t>Inkompatibility</w:t>
      </w:r>
    </w:p>
    <w:p w:rsidR="005E0603" w:rsidRPr="000E1573" w:rsidRDefault="005E0603" w:rsidP="000E1573">
      <w:pPr>
        <w:pStyle w:val="Zkladntext"/>
        <w:rPr>
          <w:sz w:val="22"/>
          <w:szCs w:val="22"/>
        </w:rPr>
      </w:pPr>
    </w:p>
    <w:p w:rsidR="005E0603" w:rsidRPr="000E1573" w:rsidRDefault="005E0603" w:rsidP="00437B35">
      <w:pPr>
        <w:numPr>
          <w:ilvl w:val="0"/>
          <w:numId w:val="0"/>
        </w:numPr>
        <w:rPr>
          <w:sz w:val="22"/>
          <w:szCs w:val="22"/>
        </w:rPr>
      </w:pPr>
      <w:r w:rsidRPr="000E1573">
        <w:rPr>
          <w:sz w:val="22"/>
          <w:szCs w:val="22"/>
        </w:rPr>
        <w:t>Neaplikovateľné.</w:t>
      </w:r>
    </w:p>
    <w:p w:rsidR="005E0603" w:rsidRPr="00437B35" w:rsidRDefault="005E0603" w:rsidP="00437B35">
      <w:pPr>
        <w:numPr>
          <w:ilvl w:val="0"/>
          <w:numId w:val="0"/>
        </w:numPr>
        <w:rPr>
          <w:b/>
          <w:bCs/>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6.3</w:t>
      </w:r>
      <w:r w:rsidRPr="000E1573">
        <w:rPr>
          <w:b/>
          <w:bCs/>
          <w:sz w:val="22"/>
          <w:szCs w:val="22"/>
        </w:rPr>
        <w:tab/>
        <w:t>Čas použiteľnosti</w:t>
      </w:r>
    </w:p>
    <w:p w:rsidR="005E0603" w:rsidRPr="000E1573" w:rsidRDefault="005E0603" w:rsidP="000E1573">
      <w:pPr>
        <w:pStyle w:val="Zkladntext"/>
        <w:rPr>
          <w:sz w:val="22"/>
          <w:szCs w:val="22"/>
        </w:rPr>
      </w:pPr>
    </w:p>
    <w:p w:rsidR="005E0603" w:rsidRPr="000E1573" w:rsidRDefault="005E0603" w:rsidP="00437B35">
      <w:pPr>
        <w:numPr>
          <w:ilvl w:val="0"/>
          <w:numId w:val="0"/>
        </w:numPr>
        <w:rPr>
          <w:sz w:val="22"/>
          <w:szCs w:val="22"/>
        </w:rPr>
      </w:pPr>
      <w:r w:rsidRPr="000E1573">
        <w:rPr>
          <w:sz w:val="22"/>
          <w:szCs w:val="22"/>
        </w:rPr>
        <w:t>3 roky</w:t>
      </w:r>
    </w:p>
    <w:p w:rsidR="005E0603" w:rsidRPr="000E1573" w:rsidRDefault="005E0603" w:rsidP="000E1573">
      <w:pPr>
        <w:pStyle w:val="Zkladntext"/>
        <w:rPr>
          <w:b/>
          <w:bCs/>
          <w:sz w:val="22"/>
          <w:szCs w:val="22"/>
        </w:rPr>
      </w:pPr>
    </w:p>
    <w:p w:rsidR="005E0603" w:rsidRPr="0067599F" w:rsidRDefault="005E0603" w:rsidP="004A5EE0">
      <w:pPr>
        <w:numPr>
          <w:ilvl w:val="0"/>
          <w:numId w:val="0"/>
        </w:numPr>
        <w:outlineLvl w:val="1"/>
        <w:rPr>
          <w:sz w:val="22"/>
          <w:szCs w:val="22"/>
        </w:rPr>
      </w:pPr>
      <w:r w:rsidRPr="0067599F">
        <w:rPr>
          <w:b/>
          <w:bCs/>
          <w:sz w:val="22"/>
          <w:szCs w:val="22"/>
        </w:rPr>
        <w:t>6.4</w:t>
      </w:r>
      <w:r w:rsidRPr="0067599F">
        <w:rPr>
          <w:b/>
          <w:bCs/>
          <w:sz w:val="22"/>
          <w:szCs w:val="22"/>
        </w:rPr>
        <w:tab/>
        <w:t>Špeciálne upozornenia na uchovávanie</w:t>
      </w:r>
    </w:p>
    <w:p w:rsidR="005E0603" w:rsidRPr="000E1573" w:rsidRDefault="005E0603" w:rsidP="0067599F">
      <w:pPr>
        <w:pStyle w:val="Zkladntext"/>
        <w:rPr>
          <w:b/>
          <w:bCs/>
          <w:sz w:val="22"/>
          <w:szCs w:val="22"/>
        </w:rPr>
      </w:pPr>
    </w:p>
    <w:p w:rsidR="005E0603" w:rsidRPr="000E1573" w:rsidRDefault="005E0603" w:rsidP="000E1573">
      <w:pPr>
        <w:numPr>
          <w:ilvl w:val="0"/>
          <w:numId w:val="0"/>
        </w:numPr>
        <w:rPr>
          <w:sz w:val="22"/>
          <w:szCs w:val="22"/>
        </w:rPr>
      </w:pPr>
      <w:r w:rsidRPr="000E1573">
        <w:rPr>
          <w:sz w:val="22"/>
          <w:szCs w:val="22"/>
        </w:rPr>
        <w:t xml:space="preserve">Tento liek nevyžaduje žiadne zvláštne podmienky na uchovávanie. </w:t>
      </w:r>
    </w:p>
    <w:p w:rsidR="005E0603" w:rsidRPr="000E1573" w:rsidRDefault="005E0603" w:rsidP="000E1573">
      <w:pPr>
        <w:pStyle w:val="Zkladntext"/>
        <w:rPr>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6.5</w:t>
      </w:r>
      <w:r w:rsidRPr="000E1573">
        <w:rPr>
          <w:b/>
          <w:bCs/>
          <w:sz w:val="22"/>
          <w:szCs w:val="22"/>
        </w:rPr>
        <w:tab/>
        <w:t>Druh obalu a obsah balenia</w:t>
      </w:r>
    </w:p>
    <w:p w:rsidR="005E0603" w:rsidRPr="000E1573" w:rsidRDefault="005E0603" w:rsidP="000E1573">
      <w:pPr>
        <w:numPr>
          <w:ilvl w:val="0"/>
          <w:numId w:val="0"/>
        </w:numPr>
        <w:rPr>
          <w:sz w:val="22"/>
          <w:szCs w:val="22"/>
        </w:rPr>
      </w:pPr>
    </w:p>
    <w:p w:rsidR="005E0603" w:rsidRPr="000E1573" w:rsidRDefault="006B5A05" w:rsidP="000E1573">
      <w:pPr>
        <w:numPr>
          <w:ilvl w:val="0"/>
          <w:numId w:val="0"/>
        </w:numPr>
        <w:rPr>
          <w:sz w:val="22"/>
          <w:szCs w:val="22"/>
        </w:rPr>
      </w:pPr>
      <w:r w:rsidRPr="000E1573">
        <w:rPr>
          <w:sz w:val="22"/>
          <w:szCs w:val="22"/>
        </w:rPr>
        <w:t xml:space="preserve">Metformin </w:t>
      </w:r>
      <w:r>
        <w:rPr>
          <w:sz w:val="22"/>
          <w:szCs w:val="22"/>
        </w:rPr>
        <w:t>Juta</w:t>
      </w:r>
      <w:r w:rsidRPr="000E1573">
        <w:rPr>
          <w:sz w:val="22"/>
          <w:szCs w:val="22"/>
        </w:rPr>
        <w:t xml:space="preserve"> </w:t>
      </w:r>
      <w:r>
        <w:rPr>
          <w:sz w:val="22"/>
          <w:szCs w:val="22"/>
        </w:rPr>
        <w:t>75</w:t>
      </w:r>
      <w:r w:rsidRPr="000E1573">
        <w:rPr>
          <w:sz w:val="22"/>
          <w:szCs w:val="22"/>
        </w:rPr>
        <w:t>0 mg</w:t>
      </w:r>
      <w:r>
        <w:rPr>
          <w:sz w:val="22"/>
          <w:szCs w:val="22"/>
        </w:rPr>
        <w:t xml:space="preserve"> </w:t>
      </w:r>
      <w:r w:rsidRPr="000E1573">
        <w:rPr>
          <w:sz w:val="22"/>
          <w:szCs w:val="22"/>
        </w:rPr>
        <w:t>tablety s predĺženým uvoľňovaním</w:t>
      </w:r>
      <w:r>
        <w:rPr>
          <w:sz w:val="22"/>
          <w:szCs w:val="22"/>
        </w:rPr>
        <w:t xml:space="preserve"> </w:t>
      </w:r>
      <w:r w:rsidR="005E0603">
        <w:rPr>
          <w:sz w:val="22"/>
          <w:szCs w:val="22"/>
        </w:rPr>
        <w:t>sú balené</w:t>
      </w:r>
      <w:r w:rsidR="00AD75AD">
        <w:rPr>
          <w:sz w:val="22"/>
          <w:szCs w:val="22"/>
        </w:rPr>
        <w:t xml:space="preserve"> v</w:t>
      </w:r>
      <w:r w:rsidR="005E0603">
        <w:rPr>
          <w:sz w:val="22"/>
          <w:szCs w:val="22"/>
        </w:rPr>
        <w:t xml:space="preserve"> </w:t>
      </w:r>
      <w:r w:rsidR="005E0603" w:rsidRPr="000E1573">
        <w:rPr>
          <w:sz w:val="22"/>
          <w:szCs w:val="22"/>
        </w:rPr>
        <w:t>PVC</w:t>
      </w:r>
      <w:r w:rsidR="005E0603">
        <w:rPr>
          <w:sz w:val="22"/>
          <w:szCs w:val="22"/>
        </w:rPr>
        <w:t xml:space="preserve">/PVDC - </w:t>
      </w:r>
      <w:r>
        <w:rPr>
          <w:sz w:val="22"/>
          <w:szCs w:val="22"/>
        </w:rPr>
        <w:t xml:space="preserve">ALU </w:t>
      </w:r>
      <w:r w:rsidR="005E0603">
        <w:rPr>
          <w:sz w:val="22"/>
          <w:szCs w:val="22"/>
        </w:rPr>
        <w:t>blistroch</w:t>
      </w:r>
    </w:p>
    <w:p w:rsidR="005E0603" w:rsidRPr="000E1573" w:rsidRDefault="005E0603" w:rsidP="000E1573">
      <w:pPr>
        <w:numPr>
          <w:ilvl w:val="0"/>
          <w:numId w:val="0"/>
        </w:numPr>
        <w:rPr>
          <w:sz w:val="22"/>
          <w:szCs w:val="22"/>
        </w:rPr>
      </w:pPr>
    </w:p>
    <w:p w:rsidR="005E0603" w:rsidRPr="000E1573" w:rsidRDefault="005E0603" w:rsidP="000E1573">
      <w:pPr>
        <w:numPr>
          <w:ilvl w:val="0"/>
          <w:numId w:val="0"/>
        </w:numPr>
        <w:rPr>
          <w:sz w:val="22"/>
          <w:szCs w:val="22"/>
        </w:rPr>
      </w:pPr>
      <w:r w:rsidRPr="000E1573">
        <w:rPr>
          <w:sz w:val="22"/>
          <w:szCs w:val="22"/>
        </w:rPr>
        <w:t xml:space="preserve">Veľkosť balenia: </w:t>
      </w:r>
      <w:r w:rsidRPr="001B3E43">
        <w:rPr>
          <w:sz w:val="22"/>
          <w:szCs w:val="22"/>
        </w:rPr>
        <w:t>14,</w:t>
      </w:r>
      <w:r w:rsidRPr="00F8680F">
        <w:rPr>
          <w:sz w:val="22"/>
          <w:szCs w:val="22"/>
        </w:rPr>
        <w:t xml:space="preserve"> 20, 28, 30, 50, 56, 6</w:t>
      </w:r>
      <w:r>
        <w:rPr>
          <w:sz w:val="22"/>
          <w:szCs w:val="22"/>
        </w:rPr>
        <w:t>0, 84, 90, 100, 112, 120, 180 a </w:t>
      </w:r>
      <w:r w:rsidRPr="00F8680F">
        <w:rPr>
          <w:sz w:val="22"/>
          <w:szCs w:val="22"/>
        </w:rPr>
        <w:t>600</w:t>
      </w:r>
      <w:r>
        <w:rPr>
          <w:sz w:val="22"/>
          <w:szCs w:val="22"/>
        </w:rPr>
        <w:t xml:space="preserve"> </w:t>
      </w:r>
      <w:r w:rsidRPr="000E1573">
        <w:rPr>
          <w:sz w:val="22"/>
          <w:szCs w:val="22"/>
        </w:rPr>
        <w:t>tabliet</w:t>
      </w:r>
    </w:p>
    <w:p w:rsidR="005E0603" w:rsidRPr="000E1573" w:rsidRDefault="005E0603" w:rsidP="000E1573">
      <w:pPr>
        <w:numPr>
          <w:ilvl w:val="0"/>
          <w:numId w:val="0"/>
        </w:numPr>
        <w:rPr>
          <w:sz w:val="22"/>
          <w:szCs w:val="22"/>
        </w:rPr>
      </w:pPr>
    </w:p>
    <w:p w:rsidR="005E0603" w:rsidRPr="000E1573" w:rsidRDefault="005E0603" w:rsidP="0067599F">
      <w:pPr>
        <w:numPr>
          <w:ilvl w:val="0"/>
          <w:numId w:val="0"/>
        </w:numPr>
        <w:rPr>
          <w:sz w:val="22"/>
          <w:szCs w:val="22"/>
        </w:rPr>
      </w:pPr>
      <w:r w:rsidRPr="000E1573">
        <w:rPr>
          <w:sz w:val="22"/>
          <w:szCs w:val="22"/>
        </w:rPr>
        <w:t xml:space="preserve">Na trh nemusia byť uvedené všetky veľkosti balenia.   </w:t>
      </w:r>
    </w:p>
    <w:p w:rsidR="005E0603" w:rsidRPr="000E1573" w:rsidRDefault="005E0603" w:rsidP="0067599F">
      <w:pPr>
        <w:numPr>
          <w:ilvl w:val="0"/>
          <w:numId w:val="0"/>
        </w:numPr>
        <w:rPr>
          <w:sz w:val="22"/>
          <w:szCs w:val="22"/>
        </w:rPr>
      </w:pPr>
    </w:p>
    <w:p w:rsidR="005E0603" w:rsidRPr="000E1573" w:rsidRDefault="005E0603" w:rsidP="004A5EE0">
      <w:pPr>
        <w:numPr>
          <w:ilvl w:val="0"/>
          <w:numId w:val="0"/>
        </w:numPr>
        <w:outlineLvl w:val="1"/>
        <w:rPr>
          <w:b/>
          <w:bCs/>
          <w:sz w:val="22"/>
          <w:szCs w:val="22"/>
        </w:rPr>
      </w:pPr>
      <w:r w:rsidRPr="000E1573">
        <w:rPr>
          <w:b/>
          <w:bCs/>
          <w:sz w:val="22"/>
          <w:szCs w:val="22"/>
        </w:rPr>
        <w:t>6.6</w:t>
      </w:r>
      <w:r w:rsidRPr="000E1573">
        <w:rPr>
          <w:b/>
          <w:bCs/>
          <w:sz w:val="22"/>
          <w:szCs w:val="22"/>
        </w:rPr>
        <w:tab/>
        <w:t>Špeciálne opatrenia na likvidáciu a iné zaobchádzanie s liekom</w:t>
      </w:r>
    </w:p>
    <w:p w:rsidR="005E0603" w:rsidRPr="000E1573" w:rsidRDefault="005E0603" w:rsidP="000E1573">
      <w:pPr>
        <w:pStyle w:val="Zkladntext"/>
        <w:rPr>
          <w:sz w:val="22"/>
          <w:szCs w:val="22"/>
        </w:rPr>
      </w:pPr>
    </w:p>
    <w:p w:rsidR="005E0603" w:rsidRPr="000E1573" w:rsidRDefault="005E0603" w:rsidP="0067599F">
      <w:pPr>
        <w:numPr>
          <w:ilvl w:val="0"/>
          <w:numId w:val="0"/>
        </w:numPr>
        <w:rPr>
          <w:sz w:val="22"/>
          <w:szCs w:val="22"/>
        </w:rPr>
      </w:pPr>
      <w:r w:rsidRPr="000E1573">
        <w:rPr>
          <w:sz w:val="22"/>
          <w:szCs w:val="22"/>
        </w:rPr>
        <w:t>Žiadne zvláštne požiadavky. Všetok nepoužitý liek alebo odpad vzniknutý z lieku sa má zlikvidovať v súlade s národnými požiadavkami.</w:t>
      </w:r>
    </w:p>
    <w:p w:rsidR="005E0603" w:rsidRPr="000E1573" w:rsidRDefault="005E0603" w:rsidP="0067599F">
      <w:pPr>
        <w:numPr>
          <w:ilvl w:val="0"/>
          <w:numId w:val="0"/>
        </w:numPr>
        <w:rPr>
          <w:sz w:val="22"/>
          <w:szCs w:val="22"/>
        </w:rPr>
      </w:pPr>
    </w:p>
    <w:p w:rsidR="005E0603" w:rsidRPr="000E1573" w:rsidRDefault="005E0603" w:rsidP="000E1573">
      <w:pPr>
        <w:pStyle w:val="Zkladntext"/>
        <w:rPr>
          <w:sz w:val="22"/>
          <w:szCs w:val="22"/>
        </w:rPr>
      </w:pPr>
    </w:p>
    <w:p w:rsidR="005E0603" w:rsidRPr="000E1573" w:rsidRDefault="005E0603" w:rsidP="004A5EE0">
      <w:pPr>
        <w:numPr>
          <w:ilvl w:val="0"/>
          <w:numId w:val="0"/>
        </w:numPr>
        <w:outlineLvl w:val="0"/>
        <w:rPr>
          <w:b/>
          <w:bCs/>
          <w:sz w:val="22"/>
          <w:szCs w:val="22"/>
        </w:rPr>
      </w:pPr>
      <w:r w:rsidRPr="000E1573">
        <w:rPr>
          <w:b/>
          <w:bCs/>
          <w:sz w:val="22"/>
          <w:szCs w:val="22"/>
        </w:rPr>
        <w:t>7.</w:t>
      </w:r>
      <w:r w:rsidRPr="000E1573">
        <w:rPr>
          <w:b/>
          <w:bCs/>
          <w:sz w:val="22"/>
          <w:szCs w:val="22"/>
        </w:rPr>
        <w:tab/>
        <w:t>DRŽITEĽ ROZHODNUTIA O REGISTRÁCII</w:t>
      </w:r>
    </w:p>
    <w:p w:rsidR="005E0603" w:rsidRDefault="005E0603" w:rsidP="000E1573">
      <w:pPr>
        <w:pStyle w:val="Zkladntext"/>
        <w:rPr>
          <w:sz w:val="22"/>
          <w:szCs w:val="22"/>
        </w:rPr>
      </w:pPr>
    </w:p>
    <w:p w:rsidR="005E0603" w:rsidRDefault="005E0603" w:rsidP="00D47988">
      <w:pPr>
        <w:numPr>
          <w:ilvl w:val="0"/>
          <w:numId w:val="0"/>
        </w:numPr>
        <w:tabs>
          <w:tab w:val="left" w:pos="708"/>
        </w:tabs>
        <w:rPr>
          <w:sz w:val="22"/>
          <w:szCs w:val="22"/>
        </w:rPr>
      </w:pPr>
      <w:r>
        <w:rPr>
          <w:sz w:val="22"/>
          <w:szCs w:val="22"/>
        </w:rPr>
        <w:t>Juta Pharma GmbH</w:t>
      </w:r>
    </w:p>
    <w:p w:rsidR="005E0603" w:rsidRDefault="005E0603" w:rsidP="00D47988">
      <w:pPr>
        <w:numPr>
          <w:ilvl w:val="0"/>
          <w:numId w:val="0"/>
        </w:numPr>
        <w:tabs>
          <w:tab w:val="left" w:pos="708"/>
        </w:tabs>
        <w:rPr>
          <w:sz w:val="22"/>
          <w:szCs w:val="22"/>
        </w:rPr>
      </w:pPr>
      <w:r>
        <w:rPr>
          <w:sz w:val="22"/>
          <w:szCs w:val="22"/>
        </w:rPr>
        <w:t>Gutenbergstr. 13</w:t>
      </w:r>
    </w:p>
    <w:p w:rsidR="005E0603" w:rsidRDefault="005E0603" w:rsidP="00D47988">
      <w:pPr>
        <w:numPr>
          <w:ilvl w:val="0"/>
          <w:numId w:val="0"/>
        </w:numPr>
        <w:tabs>
          <w:tab w:val="left" w:pos="708"/>
        </w:tabs>
        <w:rPr>
          <w:sz w:val="22"/>
          <w:szCs w:val="22"/>
        </w:rPr>
      </w:pPr>
      <w:r>
        <w:rPr>
          <w:sz w:val="22"/>
          <w:szCs w:val="22"/>
        </w:rPr>
        <w:t>24941 Flensburg</w:t>
      </w:r>
    </w:p>
    <w:p w:rsidR="005E0603" w:rsidRPr="000E1573" w:rsidRDefault="005E0603" w:rsidP="00D47988">
      <w:pPr>
        <w:numPr>
          <w:ilvl w:val="0"/>
          <w:numId w:val="0"/>
        </w:numPr>
        <w:tabs>
          <w:tab w:val="left" w:pos="708"/>
        </w:tabs>
        <w:rPr>
          <w:sz w:val="22"/>
          <w:szCs w:val="22"/>
        </w:rPr>
      </w:pPr>
      <w:r>
        <w:rPr>
          <w:sz w:val="22"/>
          <w:szCs w:val="22"/>
        </w:rPr>
        <w:t>Germany</w:t>
      </w:r>
    </w:p>
    <w:p w:rsidR="005E0603" w:rsidRDefault="005E0603" w:rsidP="000E1573">
      <w:pPr>
        <w:pStyle w:val="Zkladntext"/>
        <w:rPr>
          <w:sz w:val="22"/>
          <w:szCs w:val="22"/>
        </w:rPr>
      </w:pPr>
    </w:p>
    <w:p w:rsidR="005E0603" w:rsidRPr="000E1573" w:rsidRDefault="005E0603" w:rsidP="000E1573">
      <w:pPr>
        <w:pStyle w:val="Zkladntext"/>
        <w:rPr>
          <w:sz w:val="22"/>
          <w:szCs w:val="22"/>
        </w:rPr>
      </w:pPr>
    </w:p>
    <w:p w:rsidR="005E0603" w:rsidRPr="000E1573" w:rsidRDefault="005E0603" w:rsidP="004A5EE0">
      <w:pPr>
        <w:numPr>
          <w:ilvl w:val="0"/>
          <w:numId w:val="0"/>
        </w:numPr>
        <w:outlineLvl w:val="0"/>
        <w:rPr>
          <w:b/>
          <w:bCs/>
          <w:sz w:val="22"/>
          <w:szCs w:val="22"/>
        </w:rPr>
      </w:pPr>
      <w:r w:rsidRPr="000E1573">
        <w:rPr>
          <w:b/>
          <w:bCs/>
          <w:sz w:val="22"/>
          <w:szCs w:val="22"/>
        </w:rPr>
        <w:t>8.</w:t>
      </w:r>
      <w:r w:rsidRPr="000E1573">
        <w:rPr>
          <w:b/>
          <w:bCs/>
          <w:sz w:val="22"/>
          <w:szCs w:val="22"/>
        </w:rPr>
        <w:tab/>
        <w:t>REGISTRAČNÉ ČÍSLO</w:t>
      </w:r>
    </w:p>
    <w:p w:rsidR="005E0603" w:rsidRPr="000E1573" w:rsidRDefault="005E0603" w:rsidP="000E1573">
      <w:pPr>
        <w:pStyle w:val="Zkladntext"/>
        <w:rPr>
          <w:sz w:val="22"/>
          <w:szCs w:val="22"/>
        </w:rPr>
      </w:pPr>
    </w:p>
    <w:p w:rsidR="005E0603" w:rsidRPr="000E1573" w:rsidRDefault="002959FC" w:rsidP="000E1573">
      <w:pPr>
        <w:pStyle w:val="Zkladntext"/>
        <w:rPr>
          <w:sz w:val="22"/>
          <w:szCs w:val="22"/>
        </w:rPr>
      </w:pPr>
      <w:r>
        <w:rPr>
          <w:sz w:val="22"/>
          <w:szCs w:val="22"/>
        </w:rPr>
        <w:t>18/0226</w:t>
      </w:r>
      <w:r w:rsidRPr="002959FC">
        <w:rPr>
          <w:sz w:val="22"/>
          <w:szCs w:val="22"/>
        </w:rPr>
        <w:t>/20-S</w:t>
      </w:r>
    </w:p>
    <w:p w:rsidR="005E0603" w:rsidRDefault="005E0603" w:rsidP="000E1573">
      <w:pPr>
        <w:pStyle w:val="Zkladntext"/>
        <w:rPr>
          <w:b/>
          <w:bCs/>
          <w:sz w:val="22"/>
          <w:szCs w:val="22"/>
        </w:rPr>
      </w:pPr>
    </w:p>
    <w:p w:rsidR="002959FC" w:rsidRPr="000E1573" w:rsidRDefault="002959FC" w:rsidP="000E1573">
      <w:pPr>
        <w:pStyle w:val="Zkladntext"/>
        <w:rPr>
          <w:b/>
          <w:bCs/>
          <w:sz w:val="22"/>
          <w:szCs w:val="22"/>
        </w:rPr>
      </w:pPr>
    </w:p>
    <w:p w:rsidR="005E0603" w:rsidRPr="000E1573" w:rsidRDefault="005E0603" w:rsidP="004A5EE0">
      <w:pPr>
        <w:numPr>
          <w:ilvl w:val="0"/>
          <w:numId w:val="0"/>
        </w:numPr>
        <w:outlineLvl w:val="0"/>
        <w:rPr>
          <w:b/>
          <w:bCs/>
          <w:sz w:val="22"/>
          <w:szCs w:val="22"/>
        </w:rPr>
      </w:pPr>
      <w:r w:rsidRPr="000E1573">
        <w:rPr>
          <w:b/>
          <w:bCs/>
          <w:sz w:val="22"/>
          <w:szCs w:val="22"/>
        </w:rPr>
        <w:t>9.</w:t>
      </w:r>
      <w:r w:rsidRPr="000E1573">
        <w:rPr>
          <w:b/>
          <w:bCs/>
          <w:sz w:val="22"/>
          <w:szCs w:val="22"/>
        </w:rPr>
        <w:tab/>
        <w:t>DÁTUM PRVEJ REGISTRÁCIE/PREDĹŽENIE REGISTRÁCIE</w:t>
      </w:r>
    </w:p>
    <w:p w:rsidR="005E0603" w:rsidRPr="000E1573" w:rsidRDefault="005E0603" w:rsidP="000E1573">
      <w:pPr>
        <w:pStyle w:val="Zkladntext"/>
        <w:rPr>
          <w:sz w:val="22"/>
          <w:szCs w:val="22"/>
        </w:rPr>
      </w:pPr>
    </w:p>
    <w:p w:rsidR="005E0603" w:rsidRPr="000E1573" w:rsidRDefault="005E0603" w:rsidP="000E1573">
      <w:pPr>
        <w:pStyle w:val="Zkladntext"/>
        <w:rPr>
          <w:b/>
          <w:bCs/>
          <w:sz w:val="22"/>
          <w:szCs w:val="22"/>
        </w:rPr>
      </w:pPr>
    </w:p>
    <w:p w:rsidR="005E0603" w:rsidRPr="000E1573" w:rsidRDefault="005E0603" w:rsidP="000E1573">
      <w:pPr>
        <w:pStyle w:val="Zkladntext"/>
        <w:rPr>
          <w:b/>
          <w:bCs/>
          <w:sz w:val="22"/>
          <w:szCs w:val="22"/>
        </w:rPr>
      </w:pPr>
    </w:p>
    <w:p w:rsidR="005E0603" w:rsidRPr="000E1573" w:rsidRDefault="005E0603" w:rsidP="004A5EE0">
      <w:pPr>
        <w:numPr>
          <w:ilvl w:val="0"/>
          <w:numId w:val="0"/>
        </w:numPr>
        <w:outlineLvl w:val="0"/>
        <w:rPr>
          <w:b/>
          <w:bCs/>
          <w:sz w:val="22"/>
          <w:szCs w:val="22"/>
        </w:rPr>
      </w:pPr>
      <w:r w:rsidRPr="000E1573">
        <w:rPr>
          <w:b/>
          <w:bCs/>
          <w:sz w:val="22"/>
          <w:szCs w:val="22"/>
        </w:rPr>
        <w:t>10.</w:t>
      </w:r>
      <w:r w:rsidRPr="000E1573">
        <w:rPr>
          <w:b/>
          <w:bCs/>
          <w:sz w:val="22"/>
          <w:szCs w:val="22"/>
        </w:rPr>
        <w:tab/>
        <w:t>DÁTUM REVÍZIE TEXTU</w:t>
      </w:r>
    </w:p>
    <w:p w:rsidR="005E0603" w:rsidRPr="000E1573" w:rsidRDefault="005E0603" w:rsidP="000E1573">
      <w:pPr>
        <w:pStyle w:val="Zkladntext"/>
        <w:rPr>
          <w:sz w:val="22"/>
          <w:szCs w:val="22"/>
        </w:rPr>
      </w:pPr>
    </w:p>
    <w:p w:rsidR="005E0603" w:rsidRPr="000E1573" w:rsidRDefault="00AD75AD" w:rsidP="000E1573">
      <w:pPr>
        <w:pStyle w:val="Zkladntext"/>
        <w:rPr>
          <w:sz w:val="22"/>
          <w:szCs w:val="22"/>
        </w:rPr>
      </w:pPr>
      <w:r>
        <w:rPr>
          <w:sz w:val="22"/>
          <w:szCs w:val="22"/>
        </w:rPr>
        <w:t>10</w:t>
      </w:r>
      <w:r w:rsidR="006B5A05">
        <w:rPr>
          <w:sz w:val="22"/>
          <w:szCs w:val="22"/>
        </w:rPr>
        <w:t>/2020</w:t>
      </w:r>
    </w:p>
    <w:sectPr w:rsidR="005E0603" w:rsidRPr="000E1573" w:rsidSect="00894A8E">
      <w:headerReference w:type="default" r:id="rId8"/>
      <w:footerReference w:type="default" r:id="rId9"/>
      <w:pgSz w:w="11906" w:h="16838" w:code="9"/>
      <w:pgMar w:top="1418" w:right="1134" w:bottom="1418" w:left="1134"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03" w:rsidRDefault="005E0603">
      <w:r>
        <w:separator/>
      </w:r>
    </w:p>
  </w:endnote>
  <w:endnote w:type="continuationSeparator" w:id="0">
    <w:p w:rsidR="005E0603" w:rsidRDefault="005E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603" w:rsidRPr="00CF2CFA" w:rsidRDefault="005E0603">
    <w:pPr>
      <w:pStyle w:val="Pta"/>
      <w:numPr>
        <w:ilvl w:val="0"/>
        <w:numId w:val="0"/>
      </w:numPr>
      <w:ind w:right="360"/>
      <w:jc w:val="center"/>
      <w:rPr>
        <w:sz w:val="18"/>
        <w:szCs w:val="18"/>
      </w:rPr>
    </w:pPr>
    <w:r w:rsidRPr="00CF2CFA">
      <w:rPr>
        <w:rStyle w:val="slostrany"/>
        <w:sz w:val="18"/>
        <w:szCs w:val="18"/>
      </w:rPr>
      <w:fldChar w:fldCharType="begin"/>
    </w:r>
    <w:r w:rsidRPr="00CF2CFA">
      <w:rPr>
        <w:rStyle w:val="slostrany"/>
        <w:sz w:val="18"/>
        <w:szCs w:val="18"/>
      </w:rPr>
      <w:instrText xml:space="preserve"> PAGE </w:instrText>
    </w:r>
    <w:r w:rsidRPr="00CF2CFA">
      <w:rPr>
        <w:rStyle w:val="slostrany"/>
        <w:sz w:val="18"/>
        <w:szCs w:val="18"/>
      </w:rPr>
      <w:fldChar w:fldCharType="separate"/>
    </w:r>
    <w:r w:rsidR="00894A8E">
      <w:rPr>
        <w:rStyle w:val="slostrany"/>
        <w:noProof/>
        <w:sz w:val="18"/>
        <w:szCs w:val="18"/>
      </w:rPr>
      <w:t>1</w:t>
    </w:r>
    <w:r w:rsidRPr="00CF2CFA">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03" w:rsidRDefault="005E0603">
      <w:r>
        <w:separator/>
      </w:r>
    </w:p>
  </w:footnote>
  <w:footnote w:type="continuationSeparator" w:id="0">
    <w:p w:rsidR="005E0603" w:rsidRDefault="005E0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E6" w:rsidRPr="00125D70" w:rsidRDefault="00CE23E6" w:rsidP="00CE23E6">
    <w:pPr>
      <w:pStyle w:val="Hlavika"/>
      <w:numPr>
        <w:ilvl w:val="0"/>
        <w:numId w:val="0"/>
      </w:numPr>
    </w:pPr>
    <w:r>
      <w:t>Schválený text k rozhodnutiu o registrácii, ev.č.:2019/02909-REG</w:t>
    </w:r>
  </w:p>
  <w:p w:rsidR="005E0603" w:rsidRPr="00125D70" w:rsidRDefault="005E0603" w:rsidP="00894A8E">
    <w:pPr>
      <w:pStyle w:val="Hlavika"/>
      <w:numPr>
        <w:ilvl w:val="0"/>
        <w:numId w:val="0"/>
      </w:numPr>
      <w:ind w:left="3360" w:hanging="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0C154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B5725"/>
    <w:multiLevelType w:val="singleLevel"/>
    <w:tmpl w:val="FCEEC42E"/>
    <w:lvl w:ilvl="0">
      <w:start w:val="1"/>
      <w:numFmt w:val="decimal"/>
      <w:lvlText w:val="(%1)"/>
      <w:lvlJc w:val="left"/>
      <w:pPr>
        <w:tabs>
          <w:tab w:val="num" w:pos="780"/>
        </w:tabs>
        <w:ind w:left="780" w:hanging="360"/>
      </w:pPr>
      <w:rPr>
        <w:rFonts w:hint="default"/>
      </w:rPr>
    </w:lvl>
  </w:abstractNum>
  <w:abstractNum w:abstractNumId="3" w15:restartNumberingAfterBreak="0">
    <w:nsid w:val="016A7E6E"/>
    <w:multiLevelType w:val="multilevel"/>
    <w:tmpl w:val="73BA259A"/>
    <w:lvl w:ilvl="0">
      <w:start w:val="1"/>
      <w:numFmt w:val="decimal"/>
      <w:lvlText w:val="%1."/>
      <w:lvlJc w:val="left"/>
      <w:pPr>
        <w:tabs>
          <w:tab w:val="num" w:pos="360"/>
        </w:tabs>
        <w:ind w:left="360" w:hanging="360"/>
      </w:pPr>
    </w:lvl>
    <w:lvl w:ilvl="1">
      <w:start w:val="2"/>
      <w:numFmt w:val="decimal"/>
      <w:pStyle w:val="Normlny"/>
      <w:isLgl/>
      <w:lvlText w:val="%1.%2."/>
      <w:lvlJc w:val="left"/>
      <w:pPr>
        <w:tabs>
          <w:tab w:val="num" w:pos="420"/>
        </w:tabs>
        <w:ind w:left="420" w:hanging="420"/>
      </w:pPr>
      <w:rPr>
        <w:rFonts w:hint="default"/>
      </w:rPr>
    </w:lvl>
    <w:lvl w:ilvl="2">
      <w:start w:val="1"/>
      <w:numFmt w:val="decimal"/>
      <w:pStyle w:val="Normlny"/>
      <w:isLgl/>
      <w:lvlText w:val="%1.%2.%3."/>
      <w:lvlJc w:val="left"/>
      <w:pPr>
        <w:tabs>
          <w:tab w:val="num" w:pos="720"/>
        </w:tabs>
        <w:ind w:left="720" w:hanging="720"/>
      </w:pPr>
      <w:rPr>
        <w:rFonts w:hint="default"/>
      </w:rPr>
    </w:lvl>
    <w:lvl w:ilvl="3">
      <w:start w:val="1"/>
      <w:numFmt w:val="decimal"/>
      <w:pStyle w:val="Normlny"/>
      <w:isLgl/>
      <w:lvlText w:val="%1.%2.%3.%4."/>
      <w:lvlJc w:val="left"/>
      <w:pPr>
        <w:tabs>
          <w:tab w:val="num" w:pos="720"/>
        </w:tabs>
        <w:ind w:left="720" w:hanging="720"/>
      </w:pPr>
      <w:rPr>
        <w:rFonts w:hint="default"/>
      </w:rPr>
    </w:lvl>
    <w:lvl w:ilvl="4">
      <w:start w:val="1"/>
      <w:numFmt w:val="decimal"/>
      <w:pStyle w:val="Normlny"/>
      <w:isLgl/>
      <w:lvlText w:val="%1.%2.%3.%4.%5."/>
      <w:lvlJc w:val="left"/>
      <w:pPr>
        <w:tabs>
          <w:tab w:val="num" w:pos="1080"/>
        </w:tabs>
        <w:ind w:left="1080" w:hanging="1080"/>
      </w:pPr>
      <w:rPr>
        <w:rFonts w:hint="default"/>
      </w:rPr>
    </w:lvl>
    <w:lvl w:ilvl="5">
      <w:start w:val="1"/>
      <w:numFmt w:val="decimal"/>
      <w:pStyle w:val="Normlny"/>
      <w:isLgl/>
      <w:lvlText w:val="%1.%2.%3.%4.%5.%6."/>
      <w:lvlJc w:val="left"/>
      <w:pPr>
        <w:tabs>
          <w:tab w:val="num" w:pos="1080"/>
        </w:tabs>
        <w:ind w:left="1080" w:hanging="1080"/>
      </w:pPr>
      <w:rPr>
        <w:rFonts w:hint="default"/>
      </w:rPr>
    </w:lvl>
    <w:lvl w:ilvl="6">
      <w:start w:val="1"/>
      <w:numFmt w:val="decimal"/>
      <w:pStyle w:val="Normlny"/>
      <w:isLgl/>
      <w:lvlText w:val="%1.%2.%3.%4.%5.%6.%7."/>
      <w:lvlJc w:val="left"/>
      <w:pPr>
        <w:tabs>
          <w:tab w:val="num" w:pos="1440"/>
        </w:tabs>
        <w:ind w:left="1440" w:hanging="1440"/>
      </w:pPr>
      <w:rPr>
        <w:rFonts w:hint="default"/>
      </w:rPr>
    </w:lvl>
    <w:lvl w:ilvl="7">
      <w:start w:val="1"/>
      <w:numFmt w:val="decimal"/>
      <w:pStyle w:val="Normlny"/>
      <w:isLgl/>
      <w:lvlText w:val="%1.%2.%3.%4.%5.%6.%7.%8."/>
      <w:lvlJc w:val="left"/>
      <w:pPr>
        <w:tabs>
          <w:tab w:val="num" w:pos="1440"/>
        </w:tabs>
        <w:ind w:left="1440" w:hanging="1440"/>
      </w:pPr>
      <w:rPr>
        <w:rFonts w:hint="default"/>
      </w:rPr>
    </w:lvl>
    <w:lvl w:ilvl="8">
      <w:start w:val="1"/>
      <w:numFmt w:val="decimal"/>
      <w:pStyle w:val="Normlny"/>
      <w:isLgl/>
      <w:lvlText w:val="%1.%2.%3.%4.%5.%6.%7.%8.%9."/>
      <w:lvlJc w:val="left"/>
      <w:pPr>
        <w:tabs>
          <w:tab w:val="num" w:pos="3360"/>
        </w:tabs>
        <w:ind w:left="3360" w:hanging="1800"/>
      </w:pPr>
      <w:rPr>
        <w:rFonts w:hint="default"/>
      </w:rPr>
    </w:lvl>
  </w:abstractNum>
  <w:abstractNum w:abstractNumId="4" w15:restartNumberingAfterBreak="0">
    <w:nsid w:val="03660D69"/>
    <w:multiLevelType w:val="hybridMultilevel"/>
    <w:tmpl w:val="452E5D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8D3289E"/>
    <w:multiLevelType w:val="multilevel"/>
    <w:tmpl w:val="D93689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A620ECD"/>
    <w:multiLevelType w:val="singleLevel"/>
    <w:tmpl w:val="0704975C"/>
    <w:lvl w:ilvl="0">
      <w:numFmt w:val="bullet"/>
      <w:lvlText w:val="-"/>
      <w:lvlJc w:val="left"/>
      <w:pPr>
        <w:tabs>
          <w:tab w:val="num" w:pos="765"/>
        </w:tabs>
        <w:ind w:left="765" w:hanging="360"/>
      </w:pPr>
      <w:rPr>
        <w:rFonts w:ascii="Times New Roman" w:hAnsi="Times New Roman" w:cs="Times New Roman" w:hint="default"/>
      </w:rPr>
    </w:lvl>
  </w:abstractNum>
  <w:abstractNum w:abstractNumId="7" w15:restartNumberingAfterBreak="0">
    <w:nsid w:val="1012261A"/>
    <w:multiLevelType w:val="multilevel"/>
    <w:tmpl w:val="E828F8DA"/>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7854C0"/>
    <w:multiLevelType w:val="hybridMultilevel"/>
    <w:tmpl w:val="FE16171A"/>
    <w:lvl w:ilvl="0" w:tplc="BE7ADCB0">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1F3526F"/>
    <w:multiLevelType w:val="hybridMultilevel"/>
    <w:tmpl w:val="2FFA0E40"/>
    <w:lvl w:ilvl="0" w:tplc="0B94A648">
      <w:start w:val="1"/>
      <w:numFmt w:val="decimal"/>
      <w:lvlText w:val="%1."/>
      <w:lvlJc w:val="right"/>
      <w:pPr>
        <w:tabs>
          <w:tab w:val="num" w:pos="454"/>
        </w:tabs>
        <w:ind w:left="510" w:hanging="340"/>
      </w:pPr>
      <w:rPr>
        <w:rFonts w:hint="default"/>
      </w:rPr>
    </w:lvl>
    <w:lvl w:ilvl="1" w:tplc="C6CE5286">
      <w:numFmt w:val="none"/>
      <w:lvlText w:val=""/>
      <w:lvlJc w:val="left"/>
      <w:pPr>
        <w:tabs>
          <w:tab w:val="num" w:pos="360"/>
        </w:tabs>
      </w:pPr>
    </w:lvl>
    <w:lvl w:ilvl="2" w:tplc="6862D56E">
      <w:numFmt w:val="none"/>
      <w:lvlText w:val=""/>
      <w:lvlJc w:val="left"/>
      <w:pPr>
        <w:tabs>
          <w:tab w:val="num" w:pos="360"/>
        </w:tabs>
      </w:pPr>
    </w:lvl>
    <w:lvl w:ilvl="3" w:tplc="5D5855DC">
      <w:numFmt w:val="none"/>
      <w:lvlText w:val=""/>
      <w:lvlJc w:val="left"/>
      <w:pPr>
        <w:tabs>
          <w:tab w:val="num" w:pos="360"/>
        </w:tabs>
      </w:pPr>
    </w:lvl>
    <w:lvl w:ilvl="4" w:tplc="505E8872">
      <w:numFmt w:val="none"/>
      <w:lvlText w:val=""/>
      <w:lvlJc w:val="left"/>
      <w:pPr>
        <w:tabs>
          <w:tab w:val="num" w:pos="360"/>
        </w:tabs>
      </w:pPr>
    </w:lvl>
    <w:lvl w:ilvl="5" w:tplc="01AC8B62">
      <w:numFmt w:val="none"/>
      <w:lvlText w:val=""/>
      <w:lvlJc w:val="left"/>
      <w:pPr>
        <w:tabs>
          <w:tab w:val="num" w:pos="360"/>
        </w:tabs>
      </w:pPr>
    </w:lvl>
    <w:lvl w:ilvl="6" w:tplc="B2388790">
      <w:numFmt w:val="none"/>
      <w:lvlText w:val=""/>
      <w:lvlJc w:val="left"/>
      <w:pPr>
        <w:tabs>
          <w:tab w:val="num" w:pos="360"/>
        </w:tabs>
      </w:pPr>
    </w:lvl>
    <w:lvl w:ilvl="7" w:tplc="1E146E06">
      <w:numFmt w:val="none"/>
      <w:lvlText w:val=""/>
      <w:lvlJc w:val="left"/>
      <w:pPr>
        <w:tabs>
          <w:tab w:val="num" w:pos="360"/>
        </w:tabs>
      </w:pPr>
    </w:lvl>
    <w:lvl w:ilvl="8" w:tplc="3A400A2E">
      <w:numFmt w:val="none"/>
      <w:lvlText w:val=""/>
      <w:lvlJc w:val="left"/>
      <w:pPr>
        <w:tabs>
          <w:tab w:val="num" w:pos="360"/>
        </w:tabs>
      </w:pPr>
    </w:lvl>
  </w:abstractNum>
  <w:abstractNum w:abstractNumId="10" w15:restartNumberingAfterBreak="0">
    <w:nsid w:val="16573B4D"/>
    <w:multiLevelType w:val="hybridMultilevel"/>
    <w:tmpl w:val="516E6260"/>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17F01850"/>
    <w:multiLevelType w:val="hybridMultilevel"/>
    <w:tmpl w:val="F88246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8F93EAB"/>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2B6986"/>
    <w:multiLevelType w:val="singleLevel"/>
    <w:tmpl w:val="06007954"/>
    <w:lvl w:ilvl="0">
      <w:start w:val="9"/>
      <w:numFmt w:val="decimal"/>
      <w:lvlText w:val="%1."/>
      <w:lvlJc w:val="left"/>
      <w:pPr>
        <w:tabs>
          <w:tab w:val="num" w:pos="480"/>
        </w:tabs>
        <w:ind w:left="480" w:hanging="480"/>
      </w:pPr>
      <w:rPr>
        <w:rFonts w:hint="default"/>
      </w:rPr>
    </w:lvl>
  </w:abstractNum>
  <w:abstractNum w:abstractNumId="14" w15:restartNumberingAfterBreak="0">
    <w:nsid w:val="1BE73285"/>
    <w:multiLevelType w:val="hybridMultilevel"/>
    <w:tmpl w:val="C53ACC30"/>
    <w:lvl w:ilvl="0" w:tplc="04090001">
      <w:start w:val="1"/>
      <w:numFmt w:val="bullet"/>
      <w:lvlText w:val=""/>
      <w:lvlJc w:val="left"/>
      <w:pPr>
        <w:ind w:left="786" w:hanging="360"/>
      </w:pPr>
      <w:rPr>
        <w:rFonts w:ascii="Symbol" w:hAnsi="Symbol" w:cs="Symbol" w:hint="default"/>
      </w:rPr>
    </w:lvl>
    <w:lvl w:ilvl="1" w:tplc="9C26C9E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C7610A4"/>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D9358E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24970C5"/>
    <w:multiLevelType w:val="hybridMultilevel"/>
    <w:tmpl w:val="0E28795A"/>
    <w:lvl w:ilvl="0" w:tplc="7D1C414A">
      <w:start w:val="1"/>
      <w:numFmt w:val="bullet"/>
      <w:lvlText w:val=""/>
      <w:lvlJc w:val="left"/>
      <w:pPr>
        <w:tabs>
          <w:tab w:val="num" w:pos="-153"/>
        </w:tabs>
        <w:ind w:left="2007" w:hanging="360"/>
      </w:pPr>
      <w:rPr>
        <w:rFonts w:ascii="Wingdings 2" w:hAnsi="Wingdings 2" w:cs="Wingdings 2"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2369366C"/>
    <w:multiLevelType w:val="hybridMultilevel"/>
    <w:tmpl w:val="30AA5B6A"/>
    <w:lvl w:ilvl="0" w:tplc="7D1C414A">
      <w:start w:val="1"/>
      <w:numFmt w:val="bullet"/>
      <w:lvlText w:val=""/>
      <w:lvlJc w:val="left"/>
      <w:pPr>
        <w:tabs>
          <w:tab w:val="num" w:pos="-153"/>
        </w:tabs>
        <w:ind w:left="2007" w:hanging="360"/>
      </w:pPr>
      <w:rPr>
        <w:rFonts w:ascii="Wingdings 2" w:hAnsi="Wingdings 2" w:cs="Wingdings 2" w:hint="default"/>
        <w:b/>
        <w:bCs/>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9" w15:restartNumberingAfterBreak="0">
    <w:nsid w:val="26D441CD"/>
    <w:multiLevelType w:val="hybridMultilevel"/>
    <w:tmpl w:val="3C52953E"/>
    <w:lvl w:ilvl="0" w:tplc="041B0001">
      <w:start w:val="1"/>
      <w:numFmt w:val="bullet"/>
      <w:lvlText w:val=""/>
      <w:lvlJc w:val="left"/>
      <w:pPr>
        <w:ind w:left="1080" w:hanging="360"/>
      </w:pPr>
      <w:rPr>
        <w:rFonts w:ascii="Symbol" w:hAnsi="Symbol" w:cs="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20" w15:restartNumberingAfterBreak="0">
    <w:nsid w:val="2C7E1CCD"/>
    <w:multiLevelType w:val="hybridMultilevel"/>
    <w:tmpl w:val="5496962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33A617F8"/>
    <w:multiLevelType w:val="hybridMultilevel"/>
    <w:tmpl w:val="79589FE6"/>
    <w:lvl w:ilvl="0" w:tplc="041B0001">
      <w:start w:val="1"/>
      <w:numFmt w:val="bullet"/>
      <w:lvlText w:val=""/>
      <w:lvlJc w:val="left"/>
      <w:pPr>
        <w:ind w:left="1287" w:hanging="360"/>
      </w:pPr>
      <w:rPr>
        <w:rFonts w:ascii="Symbol" w:hAnsi="Symbol" w:cs="Symbol" w:hint="default"/>
      </w:rPr>
    </w:lvl>
    <w:lvl w:ilvl="1" w:tplc="866C812E">
      <w:start w:val="1"/>
      <w:numFmt w:val="bullet"/>
      <w:lvlText w:val="-"/>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22" w15:restartNumberingAfterBreak="0">
    <w:nsid w:val="349321FE"/>
    <w:multiLevelType w:val="hybridMultilevel"/>
    <w:tmpl w:val="08AE7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5F00385"/>
    <w:multiLevelType w:val="multilevel"/>
    <w:tmpl w:val="8CAE97D0"/>
    <w:lvl w:ilvl="0">
      <w:start w:val="1"/>
      <w:numFmt w:val="bullet"/>
      <w:lvlText w:val=""/>
      <w:lvlJc w:val="left"/>
      <w:pPr>
        <w:tabs>
          <w:tab w:val="num" w:pos="2007"/>
        </w:tabs>
        <w:ind w:left="2007" w:hanging="360"/>
      </w:pPr>
      <w:rPr>
        <w:rFonts w:ascii="Wingdings 3" w:hAnsi="Wingdings 3" w:cs="Wingdings 3" w:hint="default"/>
        <w:b/>
        <w:bCs/>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4" w15:restartNumberingAfterBreak="0">
    <w:nsid w:val="38390F9D"/>
    <w:multiLevelType w:val="hybridMultilevel"/>
    <w:tmpl w:val="6FD6E9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3A243E75"/>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9C51D8"/>
    <w:multiLevelType w:val="singleLevel"/>
    <w:tmpl w:val="1C3218AC"/>
    <w:lvl w:ilvl="0">
      <w:start w:val="4"/>
      <w:numFmt w:val="bullet"/>
      <w:lvlText w:val="-"/>
      <w:lvlJc w:val="left"/>
      <w:pPr>
        <w:tabs>
          <w:tab w:val="num" w:pos="585"/>
        </w:tabs>
        <w:ind w:left="585" w:hanging="585"/>
      </w:pPr>
      <w:rPr>
        <w:rFonts w:ascii="Times New Roman" w:hAnsi="Times New Roman" w:cs="Times New Roman" w:hint="default"/>
      </w:rPr>
    </w:lvl>
  </w:abstractNum>
  <w:abstractNum w:abstractNumId="27" w15:restartNumberingAfterBreak="0">
    <w:nsid w:val="3ED5315E"/>
    <w:multiLevelType w:val="multilevel"/>
    <w:tmpl w:val="DE22714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735381"/>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3FFF55B6"/>
    <w:multiLevelType w:val="hybridMultilevel"/>
    <w:tmpl w:val="BF0E36B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1CA2188"/>
    <w:multiLevelType w:val="hybridMultilevel"/>
    <w:tmpl w:val="8CAE97D0"/>
    <w:lvl w:ilvl="0" w:tplc="0E1EDE8A">
      <w:start w:val="1"/>
      <w:numFmt w:val="bullet"/>
      <w:lvlText w:val=""/>
      <w:lvlJc w:val="left"/>
      <w:pPr>
        <w:tabs>
          <w:tab w:val="num" w:pos="2007"/>
        </w:tabs>
        <w:ind w:left="2007" w:hanging="360"/>
      </w:pPr>
      <w:rPr>
        <w:rFonts w:ascii="Wingdings 3" w:hAnsi="Wingdings 3" w:cs="Wingdings 3" w:hint="default"/>
        <w:b/>
        <w:bCs/>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31" w15:restartNumberingAfterBreak="0">
    <w:nsid w:val="439441AB"/>
    <w:multiLevelType w:val="hybridMultilevel"/>
    <w:tmpl w:val="5FBE549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40D791E"/>
    <w:multiLevelType w:val="hybridMultilevel"/>
    <w:tmpl w:val="6BA89F1A"/>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3" w15:restartNumberingAfterBreak="0">
    <w:nsid w:val="47193B08"/>
    <w:multiLevelType w:val="multilevel"/>
    <w:tmpl w:val="A5309938"/>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8FF18ED"/>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EF543C0"/>
    <w:multiLevelType w:val="hybridMultilevel"/>
    <w:tmpl w:val="1AB6031E"/>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516D1107"/>
    <w:multiLevelType w:val="hybridMultilevel"/>
    <w:tmpl w:val="EED2A35A"/>
    <w:lvl w:ilvl="0" w:tplc="041B0001">
      <w:start w:val="1"/>
      <w:numFmt w:val="bullet"/>
      <w:lvlText w:val=""/>
      <w:lvlJc w:val="left"/>
      <w:pPr>
        <w:ind w:left="1287" w:hanging="360"/>
      </w:pPr>
      <w:rPr>
        <w:rFonts w:ascii="Symbol" w:hAnsi="Symbol" w:cs="Symbol" w:hint="default"/>
      </w:rPr>
    </w:lvl>
    <w:lvl w:ilvl="1" w:tplc="9C26C9EE">
      <w:start w:val="1"/>
      <w:numFmt w:val="bullet"/>
      <w:lvlText w:val="-"/>
      <w:lvlJc w:val="left"/>
      <w:pPr>
        <w:ind w:left="2007" w:hanging="360"/>
      </w:pPr>
      <w:rPr>
        <w:rFonts w:ascii="Times New Roman" w:hAnsi="Times New Roman" w:cs="Times New Roman"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7" w15:restartNumberingAfterBreak="0">
    <w:nsid w:val="58D52DEA"/>
    <w:multiLevelType w:val="hybridMultilevel"/>
    <w:tmpl w:val="2F3A4C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5ED302F6"/>
    <w:multiLevelType w:val="hybridMultilevel"/>
    <w:tmpl w:val="71ECD838"/>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9" w15:restartNumberingAfterBreak="0">
    <w:nsid w:val="655E1A2C"/>
    <w:multiLevelType w:val="multilevel"/>
    <w:tmpl w:val="04090025"/>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40" w15:restartNumberingAfterBreak="0">
    <w:nsid w:val="6A726C81"/>
    <w:multiLevelType w:val="singleLevel"/>
    <w:tmpl w:val="BE7ADCB0"/>
    <w:lvl w:ilvl="0">
      <w:start w:val="4"/>
      <w:numFmt w:val="bullet"/>
      <w:lvlText w:val="-"/>
      <w:lvlJc w:val="left"/>
      <w:pPr>
        <w:tabs>
          <w:tab w:val="num" w:pos="780"/>
        </w:tabs>
        <w:ind w:left="780" w:hanging="36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557CF0"/>
    <w:multiLevelType w:val="singleLevel"/>
    <w:tmpl w:val="BE7ADCB0"/>
    <w:lvl w:ilvl="0">
      <w:start w:val="4"/>
      <w:numFmt w:val="bullet"/>
      <w:lvlText w:val="-"/>
      <w:lvlJc w:val="left"/>
      <w:pPr>
        <w:ind w:left="720" w:hanging="360"/>
      </w:pPr>
      <w:rPr>
        <w:rFonts w:hint="default"/>
      </w:rPr>
    </w:lvl>
  </w:abstractNum>
  <w:abstractNum w:abstractNumId="43" w15:restartNumberingAfterBreak="0">
    <w:nsid w:val="6CBE0BEB"/>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cs="MT Extra" w:hint="default"/>
        <w:i w:val="0"/>
        <w:iCs w:val="0"/>
      </w:rPr>
    </w:lvl>
  </w:abstractNum>
  <w:abstractNum w:abstractNumId="45" w15:restartNumberingAfterBreak="0">
    <w:nsid w:val="6FBF4A49"/>
    <w:multiLevelType w:val="singleLevel"/>
    <w:tmpl w:val="4B100C18"/>
    <w:lvl w:ilvl="0">
      <w:start w:val="4"/>
      <w:numFmt w:val="bullet"/>
      <w:lvlText w:val="-"/>
      <w:lvlJc w:val="left"/>
      <w:pPr>
        <w:tabs>
          <w:tab w:val="num" w:pos="765"/>
        </w:tabs>
        <w:ind w:left="765" w:hanging="360"/>
      </w:pPr>
      <w:rPr>
        <w:rFonts w:ascii="Times New Roman" w:hAnsi="Times New Roman" w:cs="Times New Roman" w:hint="default"/>
      </w:rPr>
    </w:lvl>
  </w:abstractNum>
  <w:abstractNum w:abstractNumId="46" w15:restartNumberingAfterBreak="0">
    <w:nsid w:val="73543B2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7" w15:restartNumberingAfterBreak="0">
    <w:nsid w:val="737948F7"/>
    <w:multiLevelType w:val="singleLevel"/>
    <w:tmpl w:val="BE7ADCB0"/>
    <w:lvl w:ilvl="0">
      <w:start w:val="4"/>
      <w:numFmt w:val="bullet"/>
      <w:lvlText w:val="-"/>
      <w:lvlJc w:val="left"/>
      <w:pPr>
        <w:tabs>
          <w:tab w:val="num" w:pos="780"/>
        </w:tabs>
        <w:ind w:left="780" w:hanging="360"/>
      </w:pPr>
      <w:rPr>
        <w:rFonts w:hint="default"/>
      </w:rPr>
    </w:lvl>
  </w:abstractNum>
  <w:abstractNum w:abstractNumId="48" w15:restartNumberingAfterBreak="0">
    <w:nsid w:val="77584A34"/>
    <w:multiLevelType w:val="hybridMultilevel"/>
    <w:tmpl w:val="5E8C73E0"/>
    <w:lvl w:ilvl="0" w:tplc="4490955E">
      <w:start w:val="2"/>
      <w:numFmt w:val="bullet"/>
      <w:lvlText w:val="-"/>
      <w:lvlJc w:val="left"/>
      <w:pPr>
        <w:tabs>
          <w:tab w:val="num" w:pos="720"/>
        </w:tabs>
        <w:ind w:left="720" w:hanging="360"/>
      </w:pPr>
      <w:rPr>
        <w:rFonts w:ascii="Arial" w:eastAsia="Times New Roman" w:hAnsi="Arial" w:hint="default"/>
      </w:rPr>
    </w:lvl>
    <w:lvl w:ilvl="1" w:tplc="AC8CE3C8">
      <w:start w:val="1"/>
      <w:numFmt w:val="bullet"/>
      <w:lvlText w:val="o"/>
      <w:lvlJc w:val="left"/>
      <w:pPr>
        <w:tabs>
          <w:tab w:val="num" w:pos="1440"/>
        </w:tabs>
        <w:ind w:left="1440" w:hanging="360"/>
      </w:pPr>
      <w:rPr>
        <w:rFonts w:ascii="Courier New" w:hAnsi="Courier New" w:cs="Courier New" w:hint="default"/>
      </w:rPr>
    </w:lvl>
    <w:lvl w:ilvl="2" w:tplc="181A1ED8">
      <w:start w:val="1"/>
      <w:numFmt w:val="bullet"/>
      <w:lvlText w:val=""/>
      <w:lvlJc w:val="left"/>
      <w:pPr>
        <w:tabs>
          <w:tab w:val="num" w:pos="2160"/>
        </w:tabs>
        <w:ind w:left="2160" w:hanging="360"/>
      </w:pPr>
      <w:rPr>
        <w:rFonts w:ascii="Wingdings" w:hAnsi="Wingdings" w:cs="Wingdings" w:hint="default"/>
      </w:rPr>
    </w:lvl>
    <w:lvl w:ilvl="3" w:tplc="8446078E">
      <w:start w:val="1"/>
      <w:numFmt w:val="bullet"/>
      <w:lvlText w:val=""/>
      <w:lvlJc w:val="left"/>
      <w:pPr>
        <w:tabs>
          <w:tab w:val="num" w:pos="2880"/>
        </w:tabs>
        <w:ind w:left="2880" w:hanging="360"/>
      </w:pPr>
      <w:rPr>
        <w:rFonts w:ascii="Symbol" w:hAnsi="Symbol" w:cs="Symbol" w:hint="default"/>
      </w:rPr>
    </w:lvl>
    <w:lvl w:ilvl="4" w:tplc="26BA0864">
      <w:start w:val="1"/>
      <w:numFmt w:val="bullet"/>
      <w:lvlText w:val="o"/>
      <w:lvlJc w:val="left"/>
      <w:pPr>
        <w:tabs>
          <w:tab w:val="num" w:pos="3600"/>
        </w:tabs>
        <w:ind w:left="3600" w:hanging="360"/>
      </w:pPr>
      <w:rPr>
        <w:rFonts w:ascii="Courier New" w:hAnsi="Courier New" w:cs="Courier New" w:hint="default"/>
      </w:rPr>
    </w:lvl>
    <w:lvl w:ilvl="5" w:tplc="50E25AA8">
      <w:start w:val="1"/>
      <w:numFmt w:val="bullet"/>
      <w:lvlText w:val=""/>
      <w:lvlJc w:val="left"/>
      <w:pPr>
        <w:tabs>
          <w:tab w:val="num" w:pos="4320"/>
        </w:tabs>
        <w:ind w:left="4320" w:hanging="360"/>
      </w:pPr>
      <w:rPr>
        <w:rFonts w:ascii="Wingdings" w:hAnsi="Wingdings" w:cs="Wingdings" w:hint="default"/>
      </w:rPr>
    </w:lvl>
    <w:lvl w:ilvl="6" w:tplc="7AD01E28">
      <w:start w:val="1"/>
      <w:numFmt w:val="bullet"/>
      <w:lvlText w:val=""/>
      <w:lvlJc w:val="left"/>
      <w:pPr>
        <w:tabs>
          <w:tab w:val="num" w:pos="5040"/>
        </w:tabs>
        <w:ind w:left="5040" w:hanging="360"/>
      </w:pPr>
      <w:rPr>
        <w:rFonts w:ascii="Symbol" w:hAnsi="Symbol" w:cs="Symbol" w:hint="default"/>
      </w:rPr>
    </w:lvl>
    <w:lvl w:ilvl="7" w:tplc="2ED2BA0A">
      <w:start w:val="1"/>
      <w:numFmt w:val="bullet"/>
      <w:lvlText w:val="o"/>
      <w:lvlJc w:val="left"/>
      <w:pPr>
        <w:tabs>
          <w:tab w:val="num" w:pos="5760"/>
        </w:tabs>
        <w:ind w:left="5760" w:hanging="360"/>
      </w:pPr>
      <w:rPr>
        <w:rFonts w:ascii="Courier New" w:hAnsi="Courier New" w:cs="Courier New" w:hint="default"/>
      </w:rPr>
    </w:lvl>
    <w:lvl w:ilvl="8" w:tplc="AE78B1BA">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2"/>
  </w:num>
  <w:num w:numId="3">
    <w:abstractNumId w:val="47"/>
  </w:num>
  <w:num w:numId="4">
    <w:abstractNumId w:val="40"/>
  </w:num>
  <w:num w:numId="5">
    <w:abstractNumId w:val="2"/>
  </w:num>
  <w:num w:numId="6">
    <w:abstractNumId w:val="34"/>
  </w:num>
  <w:num w:numId="7">
    <w:abstractNumId w:val="13"/>
  </w:num>
  <w:num w:numId="8">
    <w:abstractNumId w:val="16"/>
  </w:num>
  <w:num w:numId="9">
    <w:abstractNumId w:val="46"/>
  </w:num>
  <w:num w:numId="10">
    <w:abstractNumId w:val="26"/>
  </w:num>
  <w:num w:numId="11">
    <w:abstractNumId w:val="45"/>
  </w:num>
  <w:num w:numId="12">
    <w:abstractNumId w:val="28"/>
  </w:num>
  <w:num w:numId="13">
    <w:abstractNumId w:val="6"/>
  </w:num>
  <w:num w:numId="14">
    <w:abstractNumId w:val="5"/>
  </w:num>
  <w:num w:numId="15">
    <w:abstractNumId w:val="44"/>
  </w:num>
  <w:num w:numId="16">
    <w:abstractNumId w:val="27"/>
  </w:num>
  <w:num w:numId="17">
    <w:abstractNumId w:val="33"/>
  </w:num>
  <w:num w:numId="18">
    <w:abstractNumId w:val="7"/>
  </w:num>
  <w:num w:numId="19">
    <w:abstractNumId w:val="25"/>
  </w:num>
  <w:num w:numId="20">
    <w:abstractNumId w:val="15"/>
  </w:num>
  <w:num w:numId="21">
    <w:abstractNumId w:val="12"/>
  </w:num>
  <w:num w:numId="22">
    <w:abstractNumId w:val="43"/>
  </w:num>
  <w:num w:numId="23">
    <w:abstractNumId w:val="29"/>
  </w:num>
  <w:num w:numId="24">
    <w:abstractNumId w:val="48"/>
  </w:num>
  <w:num w:numId="25">
    <w:abstractNumId w:val="41"/>
  </w:num>
  <w:num w:numId="26">
    <w:abstractNumId w:val="9"/>
  </w:num>
  <w:num w:numId="27">
    <w:abstractNumId w:val="37"/>
  </w:num>
  <w:num w:numId="28">
    <w:abstractNumId w:val="35"/>
  </w:num>
  <w:num w:numId="29">
    <w:abstractNumId w:val="8"/>
  </w:num>
  <w:num w:numId="30">
    <w:abstractNumId w:val="22"/>
  </w:num>
  <w:num w:numId="31">
    <w:abstractNumId w:val="4"/>
  </w:num>
  <w:num w:numId="32">
    <w:abstractNumId w:val="24"/>
  </w:num>
  <w:num w:numId="33">
    <w:abstractNumId w:val="11"/>
  </w:num>
  <w:num w:numId="34">
    <w:abstractNumId w:val="31"/>
  </w:num>
  <w:num w:numId="35">
    <w:abstractNumId w:val="39"/>
  </w:num>
  <w:num w:numId="36">
    <w:abstractNumId w:val="20"/>
  </w:num>
  <w:num w:numId="37">
    <w:abstractNumId w:val="14"/>
  </w:num>
  <w:num w:numId="38">
    <w:abstractNumId w:val="32"/>
  </w:num>
  <w:num w:numId="39">
    <w:abstractNumId w:val="36"/>
  </w:num>
  <w:num w:numId="40">
    <w:abstractNumId w:val="10"/>
  </w:num>
  <w:num w:numId="41">
    <w:abstractNumId w:val="38"/>
  </w:num>
  <w:num w:numId="42">
    <w:abstractNumId w:val="19"/>
  </w:num>
  <w:num w:numId="43">
    <w:abstractNumId w:val="1"/>
    <w:lvlOverride w:ilvl="0">
      <w:lvl w:ilvl="0">
        <w:start w:val="1"/>
        <w:numFmt w:val="bullet"/>
        <w:lvlText w:val="-"/>
        <w:legacy w:legacy="1" w:legacySpace="0" w:legacyIndent="360"/>
        <w:lvlJc w:val="left"/>
        <w:pPr>
          <w:ind w:left="360" w:hanging="360"/>
        </w:pPr>
      </w:lvl>
    </w:lvlOverride>
  </w:num>
  <w:num w:numId="44">
    <w:abstractNumId w:val="21"/>
  </w:num>
  <w:num w:numId="45">
    <w:abstractNumId w:val="0"/>
  </w:num>
  <w:num w:numId="46">
    <w:abstractNumId w:val="30"/>
  </w:num>
  <w:num w:numId="47">
    <w:abstractNumId w:val="23"/>
  </w:num>
  <w:num w:numId="48">
    <w:abstractNumId w:val="1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CBC"/>
    <w:rsid w:val="00012340"/>
    <w:rsid w:val="00012549"/>
    <w:rsid w:val="00015CBC"/>
    <w:rsid w:val="00023D78"/>
    <w:rsid w:val="0002608F"/>
    <w:rsid w:val="000366AB"/>
    <w:rsid w:val="000369B7"/>
    <w:rsid w:val="00037D90"/>
    <w:rsid w:val="00065E60"/>
    <w:rsid w:val="00067620"/>
    <w:rsid w:val="00090D90"/>
    <w:rsid w:val="00091D31"/>
    <w:rsid w:val="00094105"/>
    <w:rsid w:val="00094661"/>
    <w:rsid w:val="0009790A"/>
    <w:rsid w:val="000A7D43"/>
    <w:rsid w:val="000B1E12"/>
    <w:rsid w:val="000B3DF6"/>
    <w:rsid w:val="000B46A6"/>
    <w:rsid w:val="000B7EA2"/>
    <w:rsid w:val="000C6364"/>
    <w:rsid w:val="000D0929"/>
    <w:rsid w:val="000D61A6"/>
    <w:rsid w:val="000E1573"/>
    <w:rsid w:val="000F0E74"/>
    <w:rsid w:val="00101E91"/>
    <w:rsid w:val="001207ED"/>
    <w:rsid w:val="00125D70"/>
    <w:rsid w:val="0013717F"/>
    <w:rsid w:val="00146E9F"/>
    <w:rsid w:val="001512F3"/>
    <w:rsid w:val="00164E64"/>
    <w:rsid w:val="001754CA"/>
    <w:rsid w:val="00183748"/>
    <w:rsid w:val="001B0C3E"/>
    <w:rsid w:val="001B3E43"/>
    <w:rsid w:val="001B3EAB"/>
    <w:rsid w:val="001B5C22"/>
    <w:rsid w:val="001C272C"/>
    <w:rsid w:val="001D34B5"/>
    <w:rsid w:val="001D4DFC"/>
    <w:rsid w:val="001F1FF6"/>
    <w:rsid w:val="001F5DC3"/>
    <w:rsid w:val="001F76CD"/>
    <w:rsid w:val="00204B85"/>
    <w:rsid w:val="00211A32"/>
    <w:rsid w:val="00225AFB"/>
    <w:rsid w:val="00230893"/>
    <w:rsid w:val="00247865"/>
    <w:rsid w:val="0025253D"/>
    <w:rsid w:val="00265FB7"/>
    <w:rsid w:val="00267103"/>
    <w:rsid w:val="0027004F"/>
    <w:rsid w:val="0028114D"/>
    <w:rsid w:val="00287D65"/>
    <w:rsid w:val="002913B8"/>
    <w:rsid w:val="00292A3B"/>
    <w:rsid w:val="002959FC"/>
    <w:rsid w:val="002A6474"/>
    <w:rsid w:val="002A717E"/>
    <w:rsid w:val="002B5215"/>
    <w:rsid w:val="002C6ED5"/>
    <w:rsid w:val="002D3A12"/>
    <w:rsid w:val="002F20F9"/>
    <w:rsid w:val="002F6925"/>
    <w:rsid w:val="00310699"/>
    <w:rsid w:val="00310DE1"/>
    <w:rsid w:val="0031606A"/>
    <w:rsid w:val="0032380B"/>
    <w:rsid w:val="00327871"/>
    <w:rsid w:val="0033537A"/>
    <w:rsid w:val="0034036F"/>
    <w:rsid w:val="00341053"/>
    <w:rsid w:val="003506D7"/>
    <w:rsid w:val="00363CA2"/>
    <w:rsid w:val="0036559D"/>
    <w:rsid w:val="003745F1"/>
    <w:rsid w:val="00384B3B"/>
    <w:rsid w:val="003878A3"/>
    <w:rsid w:val="003906DE"/>
    <w:rsid w:val="00397ED0"/>
    <w:rsid w:val="003A3DD6"/>
    <w:rsid w:val="003B235D"/>
    <w:rsid w:val="003B493F"/>
    <w:rsid w:val="003D5289"/>
    <w:rsid w:val="003D6087"/>
    <w:rsid w:val="003E2BCE"/>
    <w:rsid w:val="003E5CE8"/>
    <w:rsid w:val="003F111E"/>
    <w:rsid w:val="00402A2B"/>
    <w:rsid w:val="0042339F"/>
    <w:rsid w:val="00425186"/>
    <w:rsid w:val="00426CDC"/>
    <w:rsid w:val="00430A7D"/>
    <w:rsid w:val="00437B35"/>
    <w:rsid w:val="00444173"/>
    <w:rsid w:val="00452E80"/>
    <w:rsid w:val="00453388"/>
    <w:rsid w:val="00463AC4"/>
    <w:rsid w:val="00473AA4"/>
    <w:rsid w:val="00473B65"/>
    <w:rsid w:val="00477BE5"/>
    <w:rsid w:val="00486536"/>
    <w:rsid w:val="004900F7"/>
    <w:rsid w:val="004960E0"/>
    <w:rsid w:val="00496C08"/>
    <w:rsid w:val="004A06C9"/>
    <w:rsid w:val="004A0C0F"/>
    <w:rsid w:val="004A5EE0"/>
    <w:rsid w:val="004B3E39"/>
    <w:rsid w:val="004C1A77"/>
    <w:rsid w:val="004C373E"/>
    <w:rsid w:val="004D0125"/>
    <w:rsid w:val="004D76CF"/>
    <w:rsid w:val="004E17A1"/>
    <w:rsid w:val="004E1C85"/>
    <w:rsid w:val="004E3711"/>
    <w:rsid w:val="00501D2C"/>
    <w:rsid w:val="00503C99"/>
    <w:rsid w:val="00504C44"/>
    <w:rsid w:val="00511398"/>
    <w:rsid w:val="005240FC"/>
    <w:rsid w:val="00540148"/>
    <w:rsid w:val="00547CF2"/>
    <w:rsid w:val="00550F91"/>
    <w:rsid w:val="00556432"/>
    <w:rsid w:val="005771E3"/>
    <w:rsid w:val="00584272"/>
    <w:rsid w:val="00585331"/>
    <w:rsid w:val="005A0D80"/>
    <w:rsid w:val="005A3421"/>
    <w:rsid w:val="005B5837"/>
    <w:rsid w:val="005C6D01"/>
    <w:rsid w:val="005D182F"/>
    <w:rsid w:val="005D4C93"/>
    <w:rsid w:val="005D6A71"/>
    <w:rsid w:val="005D6C14"/>
    <w:rsid w:val="005D7C80"/>
    <w:rsid w:val="005E0603"/>
    <w:rsid w:val="005E673D"/>
    <w:rsid w:val="00601895"/>
    <w:rsid w:val="0060334B"/>
    <w:rsid w:val="00611AD3"/>
    <w:rsid w:val="006133D3"/>
    <w:rsid w:val="00622F39"/>
    <w:rsid w:val="00633FD8"/>
    <w:rsid w:val="00634A5F"/>
    <w:rsid w:val="00657562"/>
    <w:rsid w:val="0067599F"/>
    <w:rsid w:val="006800B6"/>
    <w:rsid w:val="006848C3"/>
    <w:rsid w:val="00686BF9"/>
    <w:rsid w:val="006A08FF"/>
    <w:rsid w:val="006A09AC"/>
    <w:rsid w:val="006A4AB9"/>
    <w:rsid w:val="006A5653"/>
    <w:rsid w:val="006B2615"/>
    <w:rsid w:val="006B42E6"/>
    <w:rsid w:val="006B55FD"/>
    <w:rsid w:val="006B5A05"/>
    <w:rsid w:val="006D74DD"/>
    <w:rsid w:val="006E0AEB"/>
    <w:rsid w:val="006E3AEA"/>
    <w:rsid w:val="006E5D75"/>
    <w:rsid w:val="006F0867"/>
    <w:rsid w:val="006F374E"/>
    <w:rsid w:val="006F46A0"/>
    <w:rsid w:val="006F798F"/>
    <w:rsid w:val="00706CF5"/>
    <w:rsid w:val="0071446C"/>
    <w:rsid w:val="007239FA"/>
    <w:rsid w:val="00765D13"/>
    <w:rsid w:val="00766F7B"/>
    <w:rsid w:val="00775EA3"/>
    <w:rsid w:val="0078059D"/>
    <w:rsid w:val="0078294D"/>
    <w:rsid w:val="00784021"/>
    <w:rsid w:val="00784B42"/>
    <w:rsid w:val="007876C6"/>
    <w:rsid w:val="00793F39"/>
    <w:rsid w:val="007965E6"/>
    <w:rsid w:val="007A0E54"/>
    <w:rsid w:val="007A3528"/>
    <w:rsid w:val="007C54DD"/>
    <w:rsid w:val="007E46B8"/>
    <w:rsid w:val="007E78A6"/>
    <w:rsid w:val="008023CB"/>
    <w:rsid w:val="00807240"/>
    <w:rsid w:val="00815CC4"/>
    <w:rsid w:val="00815F25"/>
    <w:rsid w:val="00852BC8"/>
    <w:rsid w:val="00853FB1"/>
    <w:rsid w:val="00864017"/>
    <w:rsid w:val="008664F5"/>
    <w:rsid w:val="008728FF"/>
    <w:rsid w:val="00880008"/>
    <w:rsid w:val="00891131"/>
    <w:rsid w:val="00894A8E"/>
    <w:rsid w:val="00895FF8"/>
    <w:rsid w:val="008A6E31"/>
    <w:rsid w:val="008C13E0"/>
    <w:rsid w:val="008C2604"/>
    <w:rsid w:val="008C40C0"/>
    <w:rsid w:val="008C54C7"/>
    <w:rsid w:val="008C60A0"/>
    <w:rsid w:val="008D4119"/>
    <w:rsid w:val="008E0359"/>
    <w:rsid w:val="008F7D63"/>
    <w:rsid w:val="00901A63"/>
    <w:rsid w:val="0090603C"/>
    <w:rsid w:val="00912DE2"/>
    <w:rsid w:val="00915A81"/>
    <w:rsid w:val="00933FFA"/>
    <w:rsid w:val="00946FED"/>
    <w:rsid w:val="00947BC9"/>
    <w:rsid w:val="00960653"/>
    <w:rsid w:val="00964CE7"/>
    <w:rsid w:val="00971B79"/>
    <w:rsid w:val="00986BAC"/>
    <w:rsid w:val="009916C3"/>
    <w:rsid w:val="009927D1"/>
    <w:rsid w:val="009979E1"/>
    <w:rsid w:val="009B238D"/>
    <w:rsid w:val="009C11EF"/>
    <w:rsid w:val="009C2BD7"/>
    <w:rsid w:val="009C3D02"/>
    <w:rsid w:val="009D0211"/>
    <w:rsid w:val="009E09EC"/>
    <w:rsid w:val="009E57AE"/>
    <w:rsid w:val="009E64CB"/>
    <w:rsid w:val="00A00FD5"/>
    <w:rsid w:val="00A14B61"/>
    <w:rsid w:val="00A15059"/>
    <w:rsid w:val="00A1608A"/>
    <w:rsid w:val="00A21889"/>
    <w:rsid w:val="00A25523"/>
    <w:rsid w:val="00A466FC"/>
    <w:rsid w:val="00A60BB5"/>
    <w:rsid w:val="00A7130F"/>
    <w:rsid w:val="00A723F7"/>
    <w:rsid w:val="00A76176"/>
    <w:rsid w:val="00A95643"/>
    <w:rsid w:val="00A97C31"/>
    <w:rsid w:val="00AA7F1D"/>
    <w:rsid w:val="00AD75AD"/>
    <w:rsid w:val="00AE0584"/>
    <w:rsid w:val="00AE19EA"/>
    <w:rsid w:val="00AE7967"/>
    <w:rsid w:val="00AF16E4"/>
    <w:rsid w:val="00AF4F91"/>
    <w:rsid w:val="00B410A6"/>
    <w:rsid w:val="00B4221D"/>
    <w:rsid w:val="00B54F88"/>
    <w:rsid w:val="00B56A10"/>
    <w:rsid w:val="00B61101"/>
    <w:rsid w:val="00B7538E"/>
    <w:rsid w:val="00B75679"/>
    <w:rsid w:val="00B75DDE"/>
    <w:rsid w:val="00B9243B"/>
    <w:rsid w:val="00B9351D"/>
    <w:rsid w:val="00BA1D1F"/>
    <w:rsid w:val="00BB2747"/>
    <w:rsid w:val="00BB2813"/>
    <w:rsid w:val="00BB7E24"/>
    <w:rsid w:val="00BC10A2"/>
    <w:rsid w:val="00BC299D"/>
    <w:rsid w:val="00BC2C29"/>
    <w:rsid w:val="00BC4B9D"/>
    <w:rsid w:val="00BD6A13"/>
    <w:rsid w:val="00BE6907"/>
    <w:rsid w:val="00C10448"/>
    <w:rsid w:val="00C12042"/>
    <w:rsid w:val="00C24C4D"/>
    <w:rsid w:val="00C37951"/>
    <w:rsid w:val="00C54786"/>
    <w:rsid w:val="00C56C16"/>
    <w:rsid w:val="00C67475"/>
    <w:rsid w:val="00C72318"/>
    <w:rsid w:val="00C734E2"/>
    <w:rsid w:val="00C75488"/>
    <w:rsid w:val="00C836F9"/>
    <w:rsid w:val="00CA63B3"/>
    <w:rsid w:val="00CB5DA8"/>
    <w:rsid w:val="00CE23E6"/>
    <w:rsid w:val="00CE4075"/>
    <w:rsid w:val="00CE4660"/>
    <w:rsid w:val="00CF2CFA"/>
    <w:rsid w:val="00CF3E90"/>
    <w:rsid w:val="00D03B44"/>
    <w:rsid w:val="00D071F9"/>
    <w:rsid w:val="00D256FD"/>
    <w:rsid w:val="00D27943"/>
    <w:rsid w:val="00D31B51"/>
    <w:rsid w:val="00D32731"/>
    <w:rsid w:val="00D33D0D"/>
    <w:rsid w:val="00D4724D"/>
    <w:rsid w:val="00D47457"/>
    <w:rsid w:val="00D47988"/>
    <w:rsid w:val="00D52640"/>
    <w:rsid w:val="00D63464"/>
    <w:rsid w:val="00D729D8"/>
    <w:rsid w:val="00D819F6"/>
    <w:rsid w:val="00D82DAC"/>
    <w:rsid w:val="00D862B9"/>
    <w:rsid w:val="00D87E61"/>
    <w:rsid w:val="00D93D16"/>
    <w:rsid w:val="00D94DF5"/>
    <w:rsid w:val="00D95F11"/>
    <w:rsid w:val="00DA6E7B"/>
    <w:rsid w:val="00DA77B8"/>
    <w:rsid w:val="00DB6E55"/>
    <w:rsid w:val="00DE3D14"/>
    <w:rsid w:val="00DE6D1F"/>
    <w:rsid w:val="00DF19BC"/>
    <w:rsid w:val="00DF19C4"/>
    <w:rsid w:val="00DF5874"/>
    <w:rsid w:val="00E0069D"/>
    <w:rsid w:val="00E00837"/>
    <w:rsid w:val="00E106F7"/>
    <w:rsid w:val="00E11AA8"/>
    <w:rsid w:val="00E21D57"/>
    <w:rsid w:val="00E31C5C"/>
    <w:rsid w:val="00E33BD5"/>
    <w:rsid w:val="00E37985"/>
    <w:rsid w:val="00E43375"/>
    <w:rsid w:val="00E5543E"/>
    <w:rsid w:val="00E6146D"/>
    <w:rsid w:val="00E625FB"/>
    <w:rsid w:val="00E62E8A"/>
    <w:rsid w:val="00E64AEB"/>
    <w:rsid w:val="00E77774"/>
    <w:rsid w:val="00E77881"/>
    <w:rsid w:val="00E92EBB"/>
    <w:rsid w:val="00EB21FA"/>
    <w:rsid w:val="00EC01AF"/>
    <w:rsid w:val="00EC0F77"/>
    <w:rsid w:val="00EC53A4"/>
    <w:rsid w:val="00EE6777"/>
    <w:rsid w:val="00EF7999"/>
    <w:rsid w:val="00F0573B"/>
    <w:rsid w:val="00F07974"/>
    <w:rsid w:val="00F21CDA"/>
    <w:rsid w:val="00F25700"/>
    <w:rsid w:val="00F26C19"/>
    <w:rsid w:val="00F30CE0"/>
    <w:rsid w:val="00F40E3B"/>
    <w:rsid w:val="00F40E8E"/>
    <w:rsid w:val="00F45DD2"/>
    <w:rsid w:val="00F557E6"/>
    <w:rsid w:val="00F8680F"/>
    <w:rsid w:val="00F9355D"/>
    <w:rsid w:val="00FA0AF8"/>
    <w:rsid w:val="00FA1D27"/>
    <w:rsid w:val="00FA2004"/>
    <w:rsid w:val="00FA7901"/>
    <w:rsid w:val="00FC5264"/>
    <w:rsid w:val="00FE2D19"/>
    <w:rsid w:val="00FF0F27"/>
    <w:rsid w:val="00FF4654"/>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895D43-169A-4951-AAF6-739B829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1CDA"/>
    <w:pPr>
      <w:numPr>
        <w:ilvl w:val="8"/>
        <w:numId w:val="1"/>
      </w:numPr>
    </w:pPr>
    <w:rPr>
      <w:sz w:val="20"/>
      <w:szCs w:val="20"/>
      <w:lang w:val="sk-SK"/>
    </w:rPr>
  </w:style>
  <w:style w:type="paragraph" w:styleId="Nadpis1">
    <w:name w:val="heading 1"/>
    <w:basedOn w:val="Normlny"/>
    <w:next w:val="Normlny"/>
    <w:link w:val="Nadpis1Char"/>
    <w:uiPriority w:val="99"/>
    <w:qFormat/>
    <w:rsid w:val="00F21CDA"/>
    <w:pPr>
      <w:keepNext/>
      <w:ind w:left="360"/>
      <w:outlineLvl w:val="0"/>
    </w:pPr>
    <w:rPr>
      <w:sz w:val="24"/>
      <w:szCs w:val="24"/>
    </w:rPr>
  </w:style>
  <w:style w:type="paragraph" w:styleId="Nadpis2">
    <w:name w:val="heading 2"/>
    <w:basedOn w:val="Normlny"/>
    <w:next w:val="Normlny"/>
    <w:link w:val="Nadpis2Char"/>
    <w:uiPriority w:val="99"/>
    <w:qFormat/>
    <w:rsid w:val="00F21CDA"/>
    <w:pPr>
      <w:keepNext/>
      <w:outlineLvl w:val="1"/>
    </w:pPr>
    <w:rPr>
      <w:i/>
      <w:iCs/>
      <w:sz w:val="24"/>
      <w:szCs w:val="24"/>
    </w:rPr>
  </w:style>
  <w:style w:type="paragraph" w:styleId="Nadpis3">
    <w:name w:val="heading 3"/>
    <w:basedOn w:val="Normlny"/>
    <w:next w:val="Normlny"/>
    <w:link w:val="Nadpis3Char"/>
    <w:uiPriority w:val="99"/>
    <w:qFormat/>
    <w:rsid w:val="00F21CDA"/>
    <w:pPr>
      <w:keepNext/>
      <w:numPr>
        <w:ilvl w:val="0"/>
        <w:numId w:val="0"/>
      </w:numPr>
      <w:outlineLvl w:val="2"/>
    </w:pPr>
    <w:rPr>
      <w:sz w:val="24"/>
      <w:szCs w:val="24"/>
    </w:rPr>
  </w:style>
  <w:style w:type="paragraph" w:styleId="Nadpis4">
    <w:name w:val="heading 4"/>
    <w:basedOn w:val="Normlny"/>
    <w:next w:val="Normlny"/>
    <w:link w:val="Nadpis4Char"/>
    <w:uiPriority w:val="99"/>
    <w:qFormat/>
    <w:rsid w:val="00F21CDA"/>
    <w:pPr>
      <w:keepNext/>
      <w:numPr>
        <w:ilvl w:val="0"/>
        <w:numId w:val="0"/>
      </w:numPr>
      <w:outlineLvl w:val="3"/>
    </w:pPr>
    <w:rPr>
      <w:b/>
      <w:bCs/>
      <w:sz w:val="24"/>
      <w:szCs w:val="24"/>
    </w:rPr>
  </w:style>
  <w:style w:type="paragraph" w:styleId="Nadpis5">
    <w:name w:val="heading 5"/>
    <w:basedOn w:val="Normlny"/>
    <w:next w:val="Normlny"/>
    <w:link w:val="Nadpis5Char"/>
    <w:uiPriority w:val="99"/>
    <w:qFormat/>
    <w:rsid w:val="00F21CDA"/>
    <w:pPr>
      <w:keepNext/>
      <w:numPr>
        <w:ilvl w:val="0"/>
        <w:numId w:val="0"/>
      </w:numPr>
      <w:outlineLvl w:val="4"/>
    </w:pPr>
    <w:rPr>
      <w:b/>
      <w:bCs/>
      <w:sz w:val="22"/>
      <w:szCs w:val="22"/>
    </w:rPr>
  </w:style>
  <w:style w:type="paragraph" w:styleId="Nadpis6">
    <w:name w:val="heading 6"/>
    <w:basedOn w:val="Normlny"/>
    <w:next w:val="Normlny"/>
    <w:link w:val="Nadpis6Char"/>
    <w:uiPriority w:val="99"/>
    <w:qFormat/>
    <w:rsid w:val="00E64AEB"/>
    <w:pPr>
      <w:numPr>
        <w:ilvl w:val="0"/>
        <w:numId w:val="0"/>
      </w:numPr>
      <w:tabs>
        <w:tab w:val="num" w:pos="1152"/>
      </w:tabs>
      <w:spacing w:before="240" w:after="60"/>
      <w:ind w:left="1152" w:hanging="1152"/>
      <w:outlineLvl w:val="5"/>
    </w:pPr>
    <w:rPr>
      <w:rFonts w:eastAsia="Batang"/>
      <w:b/>
      <w:bCs/>
      <w:sz w:val="22"/>
      <w:szCs w:val="22"/>
    </w:rPr>
  </w:style>
  <w:style w:type="paragraph" w:styleId="Nadpis7">
    <w:name w:val="heading 7"/>
    <w:basedOn w:val="Normlny"/>
    <w:next w:val="Normlny"/>
    <w:link w:val="Nadpis7Char"/>
    <w:uiPriority w:val="99"/>
    <w:qFormat/>
    <w:rsid w:val="00E64AEB"/>
    <w:pPr>
      <w:numPr>
        <w:ilvl w:val="0"/>
        <w:numId w:val="0"/>
      </w:numPr>
      <w:tabs>
        <w:tab w:val="num" w:pos="1296"/>
      </w:tabs>
      <w:spacing w:before="240" w:after="60"/>
      <w:ind w:left="1296" w:hanging="1296"/>
      <w:outlineLvl w:val="6"/>
    </w:pPr>
    <w:rPr>
      <w:rFonts w:eastAsia="Batang"/>
      <w:sz w:val="24"/>
      <w:szCs w:val="24"/>
    </w:rPr>
  </w:style>
  <w:style w:type="paragraph" w:styleId="Nadpis8">
    <w:name w:val="heading 8"/>
    <w:basedOn w:val="Normlny"/>
    <w:next w:val="Normlny"/>
    <w:link w:val="Nadpis8Char"/>
    <w:uiPriority w:val="99"/>
    <w:qFormat/>
    <w:rsid w:val="00E64AEB"/>
    <w:pPr>
      <w:numPr>
        <w:ilvl w:val="0"/>
        <w:numId w:val="0"/>
      </w:numPr>
      <w:tabs>
        <w:tab w:val="num" w:pos="1440"/>
      </w:tabs>
      <w:spacing w:before="240" w:after="60"/>
      <w:ind w:left="1440" w:hanging="1440"/>
      <w:outlineLvl w:val="7"/>
    </w:pPr>
    <w:rPr>
      <w:rFonts w:eastAsia="Batang"/>
      <w:i/>
      <w:iCs/>
      <w:sz w:val="24"/>
      <w:szCs w:val="24"/>
    </w:rPr>
  </w:style>
  <w:style w:type="paragraph" w:styleId="Nadpis9">
    <w:name w:val="heading 9"/>
    <w:basedOn w:val="Normlny"/>
    <w:next w:val="Normlny"/>
    <w:link w:val="Nadpis9Char"/>
    <w:uiPriority w:val="99"/>
    <w:qFormat/>
    <w:rsid w:val="00E64AEB"/>
    <w:pPr>
      <w:numPr>
        <w:ilvl w:val="0"/>
        <w:numId w:val="0"/>
      </w:numPr>
      <w:tabs>
        <w:tab w:val="num" w:pos="1584"/>
      </w:tabs>
      <w:spacing w:before="240" w:after="60"/>
      <w:ind w:left="1584" w:hanging="1584"/>
      <w:outlineLvl w:val="8"/>
    </w:pPr>
    <w:rPr>
      <w:rFonts w:ascii="Arial" w:eastAsia="Batang"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11398"/>
    <w:rPr>
      <w:sz w:val="24"/>
      <w:szCs w:val="24"/>
      <w:lang w:val="sk-SK"/>
    </w:rPr>
  </w:style>
  <w:style w:type="character" w:customStyle="1" w:styleId="Nadpis2Char">
    <w:name w:val="Nadpis 2 Char"/>
    <w:basedOn w:val="Predvolenpsmoodseku"/>
    <w:link w:val="Nadpis2"/>
    <w:uiPriority w:val="99"/>
    <w:semiHidden/>
    <w:locked/>
    <w:rsid w:val="002F20F9"/>
    <w:rPr>
      <w:rFonts w:ascii="Cambria" w:hAnsi="Cambria" w:cs="Cambria"/>
      <w:b/>
      <w:bCs/>
      <w:i/>
      <w:iCs/>
      <w:sz w:val="28"/>
      <w:szCs w:val="28"/>
      <w:lang w:val="sk-SK"/>
    </w:rPr>
  </w:style>
  <w:style w:type="character" w:customStyle="1" w:styleId="Nadpis3Char">
    <w:name w:val="Nadpis 3 Char"/>
    <w:basedOn w:val="Predvolenpsmoodseku"/>
    <w:link w:val="Nadpis3"/>
    <w:uiPriority w:val="99"/>
    <w:semiHidden/>
    <w:locked/>
    <w:rsid w:val="002F20F9"/>
    <w:rPr>
      <w:rFonts w:ascii="Cambria" w:hAnsi="Cambria" w:cs="Cambria"/>
      <w:b/>
      <w:bCs/>
      <w:sz w:val="26"/>
      <w:szCs w:val="26"/>
      <w:lang w:val="sk-SK"/>
    </w:rPr>
  </w:style>
  <w:style w:type="character" w:customStyle="1" w:styleId="Nadpis4Char">
    <w:name w:val="Nadpis 4 Char"/>
    <w:basedOn w:val="Predvolenpsmoodseku"/>
    <w:link w:val="Nadpis4"/>
    <w:uiPriority w:val="99"/>
    <w:locked/>
    <w:rsid w:val="00463AC4"/>
    <w:rPr>
      <w:b/>
      <w:bCs/>
      <w:sz w:val="24"/>
      <w:szCs w:val="24"/>
      <w:lang w:val="sk-SK"/>
    </w:rPr>
  </w:style>
  <w:style w:type="character" w:customStyle="1" w:styleId="Nadpis5Char">
    <w:name w:val="Nadpis 5 Char"/>
    <w:basedOn w:val="Predvolenpsmoodseku"/>
    <w:link w:val="Nadpis5"/>
    <w:uiPriority w:val="99"/>
    <w:semiHidden/>
    <w:locked/>
    <w:rsid w:val="002F20F9"/>
    <w:rPr>
      <w:rFonts w:ascii="Calibri" w:hAnsi="Calibri" w:cs="Calibri"/>
      <w:b/>
      <w:bCs/>
      <w:i/>
      <w:iCs/>
      <w:sz w:val="26"/>
      <w:szCs w:val="26"/>
      <w:lang w:val="sk-SK"/>
    </w:rPr>
  </w:style>
  <w:style w:type="character" w:customStyle="1" w:styleId="Nadpis6Char">
    <w:name w:val="Nadpis 6 Char"/>
    <w:basedOn w:val="Predvolenpsmoodseku"/>
    <w:link w:val="Nadpis6"/>
    <w:uiPriority w:val="99"/>
    <w:locked/>
    <w:rsid w:val="00E64AEB"/>
    <w:rPr>
      <w:rFonts w:eastAsia="Batang"/>
      <w:b/>
      <w:bCs/>
      <w:sz w:val="22"/>
      <w:szCs w:val="22"/>
      <w:lang w:val="sk-SK"/>
    </w:rPr>
  </w:style>
  <w:style w:type="character" w:customStyle="1" w:styleId="Nadpis7Char">
    <w:name w:val="Nadpis 7 Char"/>
    <w:basedOn w:val="Predvolenpsmoodseku"/>
    <w:link w:val="Nadpis7"/>
    <w:uiPriority w:val="99"/>
    <w:locked/>
    <w:rsid w:val="00E64AEB"/>
    <w:rPr>
      <w:rFonts w:eastAsia="Batang"/>
      <w:sz w:val="24"/>
      <w:szCs w:val="24"/>
      <w:lang w:val="sk-SK"/>
    </w:rPr>
  </w:style>
  <w:style w:type="character" w:customStyle="1" w:styleId="Nadpis8Char">
    <w:name w:val="Nadpis 8 Char"/>
    <w:basedOn w:val="Predvolenpsmoodseku"/>
    <w:link w:val="Nadpis8"/>
    <w:uiPriority w:val="99"/>
    <w:locked/>
    <w:rsid w:val="00E64AEB"/>
    <w:rPr>
      <w:rFonts w:eastAsia="Batang"/>
      <w:i/>
      <w:iCs/>
      <w:sz w:val="24"/>
      <w:szCs w:val="24"/>
      <w:lang w:val="sk-SK"/>
    </w:rPr>
  </w:style>
  <w:style w:type="character" w:customStyle="1" w:styleId="Nadpis9Char">
    <w:name w:val="Nadpis 9 Char"/>
    <w:basedOn w:val="Predvolenpsmoodseku"/>
    <w:link w:val="Nadpis9"/>
    <w:uiPriority w:val="99"/>
    <w:locked/>
    <w:rsid w:val="00E64AEB"/>
    <w:rPr>
      <w:rFonts w:ascii="Arial" w:eastAsia="Batang" w:hAnsi="Arial" w:cs="Arial"/>
      <w:sz w:val="22"/>
      <w:szCs w:val="22"/>
      <w:lang w:val="sk-SK"/>
    </w:rPr>
  </w:style>
  <w:style w:type="paragraph" w:styleId="Nzov">
    <w:name w:val="Title"/>
    <w:basedOn w:val="Normlny"/>
    <w:link w:val="NzovChar"/>
    <w:uiPriority w:val="99"/>
    <w:qFormat/>
    <w:rsid w:val="00F21CDA"/>
    <w:pPr>
      <w:jc w:val="center"/>
    </w:pPr>
    <w:rPr>
      <w:b/>
      <w:bCs/>
      <w:sz w:val="24"/>
      <w:szCs w:val="24"/>
    </w:rPr>
  </w:style>
  <w:style w:type="character" w:customStyle="1" w:styleId="NzovChar">
    <w:name w:val="Názov Char"/>
    <w:basedOn w:val="Predvolenpsmoodseku"/>
    <w:link w:val="Nzov"/>
    <w:uiPriority w:val="99"/>
    <w:locked/>
    <w:rsid w:val="002F20F9"/>
    <w:rPr>
      <w:rFonts w:ascii="Cambria" w:hAnsi="Cambria" w:cs="Cambria"/>
      <w:b/>
      <w:bCs/>
      <w:kern w:val="28"/>
      <w:sz w:val="32"/>
      <w:szCs w:val="32"/>
      <w:lang w:val="sk-SK"/>
    </w:rPr>
  </w:style>
  <w:style w:type="paragraph" w:styleId="Zarkazkladnhotextu">
    <w:name w:val="Body Text Indent"/>
    <w:basedOn w:val="Normlny"/>
    <w:link w:val="ZarkazkladnhotextuChar"/>
    <w:uiPriority w:val="99"/>
    <w:semiHidden/>
    <w:rsid w:val="00F21CDA"/>
    <w:pPr>
      <w:ind w:left="360"/>
    </w:pPr>
    <w:rPr>
      <w:sz w:val="24"/>
      <w:szCs w:val="24"/>
    </w:rPr>
  </w:style>
  <w:style w:type="character" w:customStyle="1" w:styleId="ZarkazkladnhotextuChar">
    <w:name w:val="Zarážka základného textu Char"/>
    <w:basedOn w:val="Predvolenpsmoodseku"/>
    <w:link w:val="Zarkazkladnhotextu"/>
    <w:uiPriority w:val="99"/>
    <w:semiHidden/>
    <w:locked/>
    <w:rsid w:val="00511398"/>
    <w:rPr>
      <w:sz w:val="24"/>
      <w:szCs w:val="24"/>
      <w:lang w:val="sk-SK"/>
    </w:rPr>
  </w:style>
  <w:style w:type="paragraph" w:styleId="Zarkazkladnhotextu2">
    <w:name w:val="Body Text Indent 2"/>
    <w:basedOn w:val="Normlny"/>
    <w:link w:val="Zarkazkladnhotextu2Char"/>
    <w:uiPriority w:val="99"/>
    <w:semiHidden/>
    <w:rsid w:val="00F21CDA"/>
    <w:pPr>
      <w:ind w:left="780"/>
    </w:pPr>
    <w:rPr>
      <w:b/>
      <w:bCs/>
      <w:sz w:val="24"/>
      <w:szCs w:val="24"/>
    </w:rPr>
  </w:style>
  <w:style w:type="character" w:customStyle="1" w:styleId="Zarkazkladnhotextu2Char">
    <w:name w:val="Zarážka základného textu 2 Char"/>
    <w:basedOn w:val="Predvolenpsmoodseku"/>
    <w:link w:val="Zarkazkladnhotextu2"/>
    <w:uiPriority w:val="99"/>
    <w:semiHidden/>
    <w:locked/>
    <w:rsid w:val="002F20F9"/>
    <w:rPr>
      <w:sz w:val="20"/>
      <w:szCs w:val="20"/>
      <w:lang w:val="sk-SK"/>
    </w:rPr>
  </w:style>
  <w:style w:type="paragraph" w:styleId="Zkladntext">
    <w:name w:val="Body Text"/>
    <w:basedOn w:val="Normlny"/>
    <w:link w:val="ZkladntextChar"/>
    <w:uiPriority w:val="99"/>
    <w:semiHidden/>
    <w:rsid w:val="00F21CDA"/>
    <w:pPr>
      <w:numPr>
        <w:ilvl w:val="0"/>
        <w:numId w:val="0"/>
      </w:numPr>
    </w:pPr>
    <w:rPr>
      <w:sz w:val="24"/>
      <w:szCs w:val="24"/>
    </w:rPr>
  </w:style>
  <w:style w:type="character" w:customStyle="1" w:styleId="ZkladntextChar">
    <w:name w:val="Základný text Char"/>
    <w:basedOn w:val="Predvolenpsmoodseku"/>
    <w:link w:val="Zkladntext"/>
    <w:uiPriority w:val="99"/>
    <w:semiHidden/>
    <w:locked/>
    <w:rsid w:val="002F20F9"/>
    <w:rPr>
      <w:sz w:val="20"/>
      <w:szCs w:val="20"/>
      <w:lang w:val="sk-SK"/>
    </w:rPr>
  </w:style>
  <w:style w:type="paragraph" w:styleId="Pta">
    <w:name w:val="footer"/>
    <w:basedOn w:val="Normlny"/>
    <w:link w:val="PtaChar"/>
    <w:uiPriority w:val="99"/>
    <w:semiHidden/>
    <w:rsid w:val="00F21CDA"/>
    <w:pPr>
      <w:tabs>
        <w:tab w:val="center" w:pos="4153"/>
        <w:tab w:val="right" w:pos="8306"/>
      </w:tabs>
    </w:pPr>
  </w:style>
  <w:style w:type="character" w:customStyle="1" w:styleId="PtaChar">
    <w:name w:val="Päta Char"/>
    <w:basedOn w:val="Predvolenpsmoodseku"/>
    <w:link w:val="Pta"/>
    <w:uiPriority w:val="99"/>
    <w:semiHidden/>
    <w:locked/>
    <w:rsid w:val="002F20F9"/>
    <w:rPr>
      <w:sz w:val="20"/>
      <w:szCs w:val="20"/>
      <w:lang w:val="sk-SK"/>
    </w:rPr>
  </w:style>
  <w:style w:type="character" w:styleId="slostrany">
    <w:name w:val="page number"/>
    <w:basedOn w:val="Predvolenpsmoodseku"/>
    <w:uiPriority w:val="99"/>
    <w:semiHidden/>
    <w:rsid w:val="00F21CDA"/>
  </w:style>
  <w:style w:type="paragraph" w:styleId="Hlavika">
    <w:name w:val="header"/>
    <w:basedOn w:val="Normlny"/>
    <w:link w:val="HlavikaChar"/>
    <w:uiPriority w:val="99"/>
    <w:semiHidden/>
    <w:rsid w:val="00F21CDA"/>
    <w:pPr>
      <w:tabs>
        <w:tab w:val="center" w:pos="4153"/>
        <w:tab w:val="right" w:pos="8306"/>
      </w:tabs>
    </w:pPr>
  </w:style>
  <w:style w:type="character" w:customStyle="1" w:styleId="HlavikaChar">
    <w:name w:val="Hlavička Char"/>
    <w:basedOn w:val="Predvolenpsmoodseku"/>
    <w:link w:val="Hlavika"/>
    <w:uiPriority w:val="99"/>
    <w:semiHidden/>
    <w:locked/>
    <w:rsid w:val="002F20F9"/>
    <w:rPr>
      <w:sz w:val="20"/>
      <w:szCs w:val="20"/>
      <w:lang w:val="sk-SK"/>
    </w:rPr>
  </w:style>
  <w:style w:type="paragraph" w:styleId="Zkladntext2">
    <w:name w:val="Body Text 2"/>
    <w:basedOn w:val="Normlny"/>
    <w:link w:val="Zkladntext2Char"/>
    <w:uiPriority w:val="99"/>
    <w:semiHidden/>
    <w:rsid w:val="00F21CDA"/>
    <w:pPr>
      <w:numPr>
        <w:ilvl w:val="0"/>
        <w:numId w:val="0"/>
      </w:numPr>
      <w:jc w:val="both"/>
    </w:pPr>
    <w:rPr>
      <w:rFonts w:ascii="Arial" w:hAnsi="Arial" w:cs="Arial"/>
    </w:rPr>
  </w:style>
  <w:style w:type="character" w:customStyle="1" w:styleId="Zkladntext2Char">
    <w:name w:val="Základný text 2 Char"/>
    <w:basedOn w:val="Predvolenpsmoodseku"/>
    <w:link w:val="Zkladntext2"/>
    <w:uiPriority w:val="99"/>
    <w:semiHidden/>
    <w:locked/>
    <w:rsid w:val="002F20F9"/>
    <w:rPr>
      <w:sz w:val="20"/>
      <w:szCs w:val="20"/>
      <w:lang w:val="sk-SK"/>
    </w:rPr>
  </w:style>
  <w:style w:type="paragraph" w:styleId="Textbubliny">
    <w:name w:val="Balloon Text"/>
    <w:basedOn w:val="Normlny"/>
    <w:link w:val="TextbublinyChar"/>
    <w:uiPriority w:val="99"/>
    <w:semiHidden/>
    <w:rsid w:val="00F21CD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F20F9"/>
    <w:rPr>
      <w:sz w:val="2"/>
      <w:szCs w:val="2"/>
      <w:lang w:val="sk-SK"/>
    </w:rPr>
  </w:style>
  <w:style w:type="paragraph" w:customStyle="1" w:styleId="Textbubliny1">
    <w:name w:val="Text bubliny1"/>
    <w:basedOn w:val="Normlny"/>
    <w:uiPriority w:val="99"/>
    <w:semiHidden/>
    <w:rsid w:val="00F21CDA"/>
    <w:rPr>
      <w:rFonts w:ascii="Tahoma" w:hAnsi="Tahoma" w:cs="Tahoma"/>
      <w:sz w:val="16"/>
      <w:szCs w:val="16"/>
    </w:rPr>
  </w:style>
  <w:style w:type="paragraph" w:customStyle="1" w:styleId="SPCnormal">
    <w:name w:val="SPC_normal"/>
    <w:uiPriority w:val="99"/>
    <w:rsid w:val="00F21CDA"/>
    <w:rPr>
      <w:lang w:val="en-GB" w:eastAsia="sv-SE"/>
    </w:rPr>
  </w:style>
  <w:style w:type="paragraph" w:styleId="Bezriadkovania">
    <w:name w:val="No Spacing"/>
    <w:uiPriority w:val="99"/>
    <w:qFormat/>
    <w:rsid w:val="005D6C14"/>
    <w:pPr>
      <w:tabs>
        <w:tab w:val="num" w:pos="3360"/>
        <w:tab w:val="num" w:pos="3510"/>
      </w:tabs>
      <w:ind w:left="3510" w:hanging="1800"/>
    </w:pPr>
    <w:rPr>
      <w:sz w:val="20"/>
      <w:szCs w:val="20"/>
      <w:lang w:val="sk-SK"/>
    </w:rPr>
  </w:style>
  <w:style w:type="character" w:styleId="Odkaznakomentr">
    <w:name w:val="annotation reference"/>
    <w:basedOn w:val="Predvolenpsmoodseku"/>
    <w:uiPriority w:val="99"/>
    <w:semiHidden/>
    <w:rsid w:val="005A3421"/>
    <w:rPr>
      <w:sz w:val="16"/>
      <w:szCs w:val="16"/>
    </w:rPr>
  </w:style>
  <w:style w:type="paragraph" w:styleId="Textkomentra">
    <w:name w:val="annotation text"/>
    <w:basedOn w:val="Normlny"/>
    <w:link w:val="TextkomentraChar"/>
    <w:uiPriority w:val="99"/>
    <w:semiHidden/>
    <w:rsid w:val="005A3421"/>
    <w:rPr>
      <w:lang w:val="en-US"/>
    </w:rPr>
  </w:style>
  <w:style w:type="character" w:customStyle="1" w:styleId="TextkomentraChar">
    <w:name w:val="Text komentára Char"/>
    <w:basedOn w:val="Predvolenpsmoodseku"/>
    <w:link w:val="Textkomentra"/>
    <w:uiPriority w:val="99"/>
    <w:semiHidden/>
    <w:locked/>
    <w:rsid w:val="005A3421"/>
    <w:rPr>
      <w:lang w:eastAsia="en-US"/>
    </w:rPr>
  </w:style>
  <w:style w:type="paragraph" w:styleId="Predmetkomentra">
    <w:name w:val="annotation subject"/>
    <w:basedOn w:val="Textkomentra"/>
    <w:next w:val="Textkomentra"/>
    <w:link w:val="PredmetkomentraChar"/>
    <w:uiPriority w:val="99"/>
    <w:semiHidden/>
    <w:rsid w:val="005A3421"/>
    <w:rPr>
      <w:b/>
      <w:bCs/>
    </w:rPr>
  </w:style>
  <w:style w:type="character" w:customStyle="1" w:styleId="PredmetkomentraChar">
    <w:name w:val="Predmet komentára Char"/>
    <w:basedOn w:val="TextkomentraChar"/>
    <w:link w:val="Predmetkomentra"/>
    <w:uiPriority w:val="99"/>
    <w:semiHidden/>
    <w:locked/>
    <w:rsid w:val="005A3421"/>
    <w:rPr>
      <w:b/>
      <w:bCs/>
      <w:lang w:eastAsia="en-US"/>
    </w:rPr>
  </w:style>
  <w:style w:type="character" w:styleId="Hypertextovprepojenie">
    <w:name w:val="Hyperlink"/>
    <w:basedOn w:val="Predvolenpsmoodseku"/>
    <w:uiPriority w:val="99"/>
    <w:rsid w:val="006B2615"/>
    <w:rPr>
      <w:color w:val="0563C1"/>
      <w:u w:val="single"/>
    </w:rPr>
  </w:style>
  <w:style w:type="paragraph" w:customStyle="1" w:styleId="CM16">
    <w:name w:val="CM16"/>
    <w:basedOn w:val="Normlny"/>
    <w:next w:val="Normlny"/>
    <w:uiPriority w:val="99"/>
    <w:rsid w:val="00037D90"/>
    <w:pPr>
      <w:widowControl w:val="0"/>
      <w:numPr>
        <w:ilvl w:val="0"/>
        <w:numId w:val="0"/>
      </w:numPr>
      <w:autoSpaceDE w:val="0"/>
      <w:autoSpaceDN w:val="0"/>
      <w:adjustRightInd w:val="0"/>
    </w:pPr>
    <w:rPr>
      <w:rFonts w:ascii="QUOWUE+Verdana" w:hAnsi="QUOWUE+Verdana" w:cs="QUOWUE+Verdana"/>
      <w:sz w:val="24"/>
      <w:szCs w:val="24"/>
      <w:lang w:val="en-US"/>
    </w:rPr>
  </w:style>
  <w:style w:type="paragraph" w:customStyle="1" w:styleId="CM5">
    <w:name w:val="CM5"/>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4">
    <w:name w:val="CM4"/>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3">
    <w:name w:val="CM3"/>
    <w:basedOn w:val="Normlny"/>
    <w:next w:val="Normlny"/>
    <w:uiPriority w:val="99"/>
    <w:rsid w:val="00793F39"/>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11">
    <w:name w:val="CM11"/>
    <w:basedOn w:val="Normlny"/>
    <w:next w:val="Normlny"/>
    <w:uiPriority w:val="99"/>
    <w:rsid w:val="006E0AEB"/>
    <w:pPr>
      <w:widowControl w:val="0"/>
      <w:numPr>
        <w:ilvl w:val="0"/>
        <w:numId w:val="0"/>
      </w:numPr>
      <w:autoSpaceDE w:val="0"/>
      <w:autoSpaceDN w:val="0"/>
      <w:adjustRightInd w:val="0"/>
      <w:spacing w:line="283" w:lineRule="atLeast"/>
    </w:pPr>
    <w:rPr>
      <w:rFonts w:ascii="QUOWUE+Verdana" w:hAnsi="QUOWUE+Verdana" w:cs="QUOWUE+Verdana"/>
      <w:sz w:val="24"/>
      <w:szCs w:val="24"/>
      <w:lang w:val="en-US"/>
    </w:rPr>
  </w:style>
  <w:style w:type="paragraph" w:styleId="Normlnywebov">
    <w:name w:val="Normal (Web)"/>
    <w:basedOn w:val="Normlny"/>
    <w:uiPriority w:val="99"/>
    <w:rsid w:val="008C13E0"/>
    <w:pPr>
      <w:numPr>
        <w:ilvl w:val="0"/>
        <w:numId w:val="0"/>
      </w:numPr>
      <w:spacing w:before="100" w:beforeAutospacing="1" w:after="100" w:afterAutospacing="1"/>
    </w:pPr>
    <w:rPr>
      <w:sz w:val="24"/>
      <w:szCs w:val="24"/>
      <w:lang w:eastAsia="sk-SK"/>
    </w:rPr>
  </w:style>
  <w:style w:type="paragraph" w:styleId="Revzia">
    <w:name w:val="Revision"/>
    <w:hidden/>
    <w:uiPriority w:val="99"/>
    <w:semiHidden/>
    <w:rsid w:val="007E46B8"/>
    <w:rPr>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268632">
      <w:marLeft w:val="0"/>
      <w:marRight w:val="0"/>
      <w:marTop w:val="0"/>
      <w:marBottom w:val="0"/>
      <w:divBdr>
        <w:top w:val="none" w:sz="0" w:space="0" w:color="auto"/>
        <w:left w:val="none" w:sz="0" w:space="0" w:color="auto"/>
        <w:bottom w:val="none" w:sz="0" w:space="0" w:color="auto"/>
        <w:right w:val="none" w:sz="0" w:space="0" w:color="auto"/>
      </w:divBdr>
    </w:div>
    <w:div w:id="1929268633">
      <w:marLeft w:val="0"/>
      <w:marRight w:val="0"/>
      <w:marTop w:val="0"/>
      <w:marBottom w:val="0"/>
      <w:divBdr>
        <w:top w:val="none" w:sz="0" w:space="0" w:color="auto"/>
        <w:left w:val="none" w:sz="0" w:space="0" w:color="auto"/>
        <w:bottom w:val="none" w:sz="0" w:space="0" w:color="auto"/>
        <w:right w:val="none" w:sz="0" w:space="0" w:color="auto"/>
      </w:divBdr>
    </w:div>
    <w:div w:id="1929268634">
      <w:marLeft w:val="0"/>
      <w:marRight w:val="0"/>
      <w:marTop w:val="0"/>
      <w:marBottom w:val="0"/>
      <w:divBdr>
        <w:top w:val="none" w:sz="0" w:space="0" w:color="auto"/>
        <w:left w:val="none" w:sz="0" w:space="0" w:color="auto"/>
        <w:bottom w:val="none" w:sz="0" w:space="0" w:color="auto"/>
        <w:right w:val="none" w:sz="0" w:space="0" w:color="auto"/>
      </w:divBdr>
    </w:div>
    <w:div w:id="1929268635">
      <w:marLeft w:val="0"/>
      <w:marRight w:val="0"/>
      <w:marTop w:val="0"/>
      <w:marBottom w:val="0"/>
      <w:divBdr>
        <w:top w:val="none" w:sz="0" w:space="0" w:color="auto"/>
        <w:left w:val="none" w:sz="0" w:space="0" w:color="auto"/>
        <w:bottom w:val="none" w:sz="0" w:space="0" w:color="auto"/>
        <w:right w:val="none" w:sz="0" w:space="0" w:color="auto"/>
      </w:divBdr>
    </w:div>
    <w:div w:id="1929268636">
      <w:marLeft w:val="0"/>
      <w:marRight w:val="0"/>
      <w:marTop w:val="0"/>
      <w:marBottom w:val="0"/>
      <w:divBdr>
        <w:top w:val="none" w:sz="0" w:space="0" w:color="auto"/>
        <w:left w:val="none" w:sz="0" w:space="0" w:color="auto"/>
        <w:bottom w:val="none" w:sz="0" w:space="0" w:color="auto"/>
        <w:right w:val="none" w:sz="0" w:space="0" w:color="auto"/>
      </w:divBdr>
    </w:div>
    <w:div w:id="1929268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9</Pages>
  <Words>3444</Words>
  <Characters>19636</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MERCK</Company>
  <LinksUpToDate>false</LinksUpToDate>
  <CharactersWithSpaces>23034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n/a</dc:creator>
  <cp:keywords/>
  <dc:description/>
  <cp:lastModifiedBy>Kristína Ráczová</cp:lastModifiedBy>
  <cp:revision>21</cp:revision>
  <cp:lastPrinted>2020-05-19T14:19:00Z</cp:lastPrinted>
  <dcterms:created xsi:type="dcterms:W3CDTF">2020-06-27T22:58:00Z</dcterms:created>
  <dcterms:modified xsi:type="dcterms:W3CDTF">2020-10-09T11:46:00Z</dcterms:modified>
</cp:coreProperties>
</file>