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A5" w:rsidRPr="00F439BB" w:rsidRDefault="00427AA5" w:rsidP="00427AA5">
      <w:pPr>
        <w:spacing w:line="240" w:lineRule="auto"/>
        <w:jc w:val="center"/>
        <w:outlineLvl w:val="0"/>
      </w:pPr>
      <w:bookmarkStart w:id="0" w:name="_GoBack"/>
      <w:bookmarkEnd w:id="0"/>
      <w:r w:rsidRPr="00F439BB">
        <w:rPr>
          <w:b/>
        </w:rPr>
        <w:t>SÚHRN CHARAKTERISTICKÝCH VLASTNOSTÍ LIEKU</w:t>
      </w:r>
    </w:p>
    <w:p w:rsidR="00427AA5" w:rsidRDefault="00427AA5" w:rsidP="00572506">
      <w:pPr>
        <w:keepNext/>
        <w:suppressAutoHyphens/>
        <w:spacing w:line="240" w:lineRule="auto"/>
        <w:rPr>
          <w:b/>
        </w:rPr>
      </w:pPr>
    </w:p>
    <w:p w:rsidR="00427AA5" w:rsidRDefault="00427AA5" w:rsidP="00572506">
      <w:pPr>
        <w:keepNext/>
        <w:suppressAutoHyphens/>
        <w:spacing w:line="240" w:lineRule="auto"/>
        <w:rPr>
          <w:b/>
        </w:rPr>
      </w:pPr>
    </w:p>
    <w:p w:rsidR="00812D16" w:rsidRPr="00B272D3" w:rsidRDefault="00FE605C" w:rsidP="00427AA5">
      <w:pPr>
        <w:keepNext/>
        <w:numPr>
          <w:ilvl w:val="0"/>
          <w:numId w:val="6"/>
        </w:numPr>
        <w:suppressAutoHyphens/>
        <w:spacing w:line="240" w:lineRule="auto"/>
      </w:pPr>
      <w:r w:rsidRPr="00427AA5">
        <w:rPr>
          <w:b/>
        </w:rPr>
        <w:t>NÁZOV LIEKU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E11086" w:rsidP="00204AAB">
      <w:pPr>
        <w:widowControl w:val="0"/>
        <w:spacing w:line="240" w:lineRule="auto"/>
      </w:pPr>
      <w:r w:rsidRPr="00B272D3">
        <w:t>V</w:t>
      </w:r>
      <w:r w:rsidR="00FA0B83">
        <w:t>agirux</w:t>
      </w:r>
      <w:r w:rsidRPr="00B272D3">
        <w:t xml:space="preserve"> 10 mikrogramov vaginálne tablety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B272D3">
        <w:rPr>
          <w:b/>
        </w:rPr>
        <w:t>KVALITATÍVNE A</w:t>
      </w:r>
      <w:r w:rsidR="0082445A" w:rsidRPr="00B272D3">
        <w:rPr>
          <w:b/>
          <w:noProof/>
        </w:rPr>
        <w:t> </w:t>
      </w:r>
      <w:r w:rsidRPr="00B272D3">
        <w:rPr>
          <w:b/>
        </w:rPr>
        <w:t>KVANTITATÍVNE ZLOŽENIE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E11086" w:rsidP="00085939">
      <w:pPr>
        <w:keepNext/>
        <w:spacing w:line="240" w:lineRule="auto"/>
      </w:pPr>
      <w:r w:rsidRPr="00B272D3">
        <w:rPr>
          <w:rStyle w:val="DoNotTranslateExternal1"/>
          <w:b w:val="0"/>
        </w:rPr>
        <w:t>Jedna vaginálna tableta obsahuje</w:t>
      </w:r>
      <w:r w:rsidR="00DC28EE" w:rsidRPr="00B272D3">
        <w:rPr>
          <w:rStyle w:val="DoNotTranslateExternal1"/>
          <w:b w:val="0"/>
        </w:rPr>
        <w:t xml:space="preserve"> </w:t>
      </w:r>
      <w:r w:rsidR="00DC28EE" w:rsidRPr="00B272D3">
        <w:t xml:space="preserve">hemihydrát estradiolu, čo zodpovedá 10 mikrogramom </w:t>
      </w:r>
      <w:r w:rsidR="00AF29D9" w:rsidRPr="00B272D3">
        <w:rPr>
          <w:rStyle w:val="DoNotTranslateExternal1"/>
          <w:b w:val="0"/>
        </w:rPr>
        <w:t>estradiolu.</w:t>
      </w:r>
    </w:p>
    <w:p w:rsidR="00812D16" w:rsidRPr="00B272D3" w:rsidRDefault="00FE605C" w:rsidP="00204AAB">
      <w:pPr>
        <w:spacing w:line="240" w:lineRule="auto"/>
        <w:outlineLvl w:val="0"/>
      </w:pPr>
      <w:r w:rsidRPr="00B272D3">
        <w:t>Úplný zoznam p</w:t>
      </w:r>
      <w:r w:rsidR="00AF29D9" w:rsidRPr="00B272D3">
        <w:t>omocných látok, pozri časť 6.1.</w:t>
      </w:r>
    </w:p>
    <w:p w:rsidR="00DC28EE" w:rsidRPr="00B272D3" w:rsidRDefault="00DC28EE" w:rsidP="00204AAB">
      <w:pPr>
        <w:spacing w:line="240" w:lineRule="auto"/>
      </w:pP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B272D3">
        <w:rPr>
          <w:b/>
        </w:rPr>
        <w:t>LIEKOVÁ FORMA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DC28EE" w:rsidP="00085939">
      <w:pPr>
        <w:spacing w:line="240" w:lineRule="auto"/>
      </w:pPr>
      <w:r w:rsidRPr="00B272D3">
        <w:t>Vaginálna tableta.</w:t>
      </w:r>
      <w:r w:rsidRPr="00B272D3">
        <w:br/>
        <w:t>Biele, okrúhle, filmom obalené tablety s vyrazeným „E“ na jednej strane.</w:t>
      </w:r>
      <w:r w:rsidR="00FD77FA" w:rsidRPr="00B272D3">
        <w:t xml:space="preserve"> Priemer tablety je približne 6 </w:t>
      </w:r>
      <w:r w:rsidRPr="00B272D3">
        <w:t>mm.</w:t>
      </w:r>
      <w:r w:rsidRPr="00B272D3">
        <w:br/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B272D3">
        <w:rPr>
          <w:b/>
        </w:rPr>
        <w:t>KLINICKÉ ÚDAJE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Terapeutické indikácie</w:t>
      </w:r>
    </w:p>
    <w:p w:rsidR="00812D16" w:rsidRPr="00B272D3" w:rsidRDefault="00812D16" w:rsidP="00085939">
      <w:pPr>
        <w:keepNext/>
        <w:spacing w:line="240" w:lineRule="auto"/>
      </w:pPr>
    </w:p>
    <w:p w:rsidR="00DC28EE" w:rsidRPr="00B272D3" w:rsidRDefault="00DC28EE" w:rsidP="00DC28EE">
      <w:pPr>
        <w:spacing w:line="240" w:lineRule="auto"/>
      </w:pPr>
      <w:r w:rsidRPr="00B272D3">
        <w:t>Liečba vaginálnej atrofie v dôsledku nedostatku estrogénu u postmenopauzálnych žien (pozri časť 5.1).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272D3">
        <w:rPr>
          <w:b/>
        </w:rPr>
        <w:t>Dávkovanie a spôsob podávania</w:t>
      </w:r>
    </w:p>
    <w:p w:rsidR="00812D16" w:rsidRPr="00B272D3" w:rsidRDefault="00812D16" w:rsidP="00085939">
      <w:pPr>
        <w:keepNext/>
        <w:spacing w:line="240" w:lineRule="auto"/>
      </w:pPr>
    </w:p>
    <w:p w:rsidR="006C4760" w:rsidRPr="00B272D3" w:rsidRDefault="00FD77FA" w:rsidP="006C4760">
      <w:pPr>
        <w:keepNext/>
        <w:spacing w:line="240" w:lineRule="auto"/>
        <w:rPr>
          <w:u w:val="single"/>
        </w:rPr>
      </w:pPr>
      <w:r w:rsidRPr="00B272D3">
        <w:t>V</w:t>
      </w:r>
      <w:r w:rsidR="00FA0B83">
        <w:t>agirux</w:t>
      </w:r>
      <w:r w:rsidRPr="00B272D3">
        <w:t xml:space="preserve"> sa môže používať u žien s </w:t>
      </w:r>
      <w:r w:rsidR="00836CC4" w:rsidRPr="00B272D3">
        <w:t>intaktnou</w:t>
      </w:r>
      <w:r w:rsidRPr="00B272D3">
        <w:t xml:space="preserve"> maternicou alebo bez nej.</w:t>
      </w:r>
      <w:r w:rsidRPr="00B272D3">
        <w:br/>
      </w:r>
      <w:r w:rsidRPr="00B272D3">
        <w:br/>
      </w:r>
      <w:r w:rsidR="006C4760" w:rsidRPr="00B272D3">
        <w:rPr>
          <w:u w:val="single"/>
        </w:rPr>
        <w:t>Dávkovanie</w:t>
      </w:r>
    </w:p>
    <w:p w:rsidR="00466258" w:rsidRPr="00B272D3" w:rsidRDefault="00FD77FA" w:rsidP="00466258">
      <w:pPr>
        <w:keepNext/>
        <w:spacing w:line="240" w:lineRule="auto"/>
        <w:rPr>
          <w:u w:val="single"/>
        </w:rPr>
      </w:pPr>
      <w:r w:rsidRPr="00B272D3">
        <w:br/>
      </w:r>
      <w:r w:rsidR="00836CC4" w:rsidRPr="00B272D3">
        <w:t>Pred začiatkom liečby V</w:t>
      </w:r>
      <w:r w:rsidR="00FA0B83">
        <w:t>agiruxom</w:t>
      </w:r>
      <w:r w:rsidR="00836CC4" w:rsidRPr="00B272D3">
        <w:t xml:space="preserve"> sa majú vyliečiť v</w:t>
      </w:r>
      <w:r w:rsidRPr="00B272D3">
        <w:t>aginálne infekcie.</w:t>
      </w:r>
      <w:r w:rsidRPr="00B272D3">
        <w:br/>
      </w:r>
      <w:r w:rsidRPr="00B272D3">
        <w:br/>
        <w:t>Liečba sa môže začať v ktorýkoľvek vhodný deň.</w:t>
      </w:r>
      <w:r w:rsidRPr="00B272D3">
        <w:br/>
      </w:r>
      <w:r w:rsidRPr="00B272D3">
        <w:br/>
      </w:r>
      <w:r w:rsidRPr="00B272D3">
        <w:rPr>
          <w:i/>
        </w:rPr>
        <w:t>Počiatočná dávka</w:t>
      </w:r>
      <w:r w:rsidRPr="00B272D3">
        <w:rPr>
          <w:i/>
        </w:rPr>
        <w:br/>
      </w:r>
      <w:r w:rsidRPr="00B272D3">
        <w:t>Jedna vaginálna tableta denne počas dvoch týždňov.</w:t>
      </w:r>
      <w:r w:rsidRPr="00B272D3">
        <w:br/>
      </w:r>
      <w:r w:rsidRPr="00B272D3">
        <w:br/>
      </w:r>
      <w:r w:rsidRPr="00B272D3">
        <w:rPr>
          <w:i/>
        </w:rPr>
        <w:t>Udržiavacia dávka</w:t>
      </w:r>
      <w:r w:rsidRPr="00B272D3">
        <w:br/>
        <w:t>Jedna vaginálna tableta dvakrát týždenne.</w:t>
      </w:r>
      <w:r w:rsidRPr="00B272D3">
        <w:br/>
      </w:r>
      <w:r w:rsidRPr="00B272D3">
        <w:br/>
        <w:t>Na začatie a pokračovanie liečby postmenopauzálnych symptómov sa m</w:t>
      </w:r>
      <w:r w:rsidR="004A66ED" w:rsidRPr="00B272D3">
        <w:t>á</w:t>
      </w:r>
      <w:r w:rsidRPr="00B272D3">
        <w:t xml:space="preserve"> použiť najnižšia účinná dávka po najkratšiu </w:t>
      </w:r>
      <w:r w:rsidR="00836CC4" w:rsidRPr="00B272D3">
        <w:t xml:space="preserve">možnú </w:t>
      </w:r>
      <w:r w:rsidRPr="00B272D3">
        <w:t>dobu (pozri tiež časť 4.</w:t>
      </w:r>
      <w:r w:rsidR="00836CC4" w:rsidRPr="00B272D3">
        <w:t>4).</w:t>
      </w:r>
      <w:r w:rsidR="00836CC4" w:rsidRPr="00B272D3">
        <w:br/>
      </w:r>
      <w:r w:rsidR="00836CC4" w:rsidRPr="00B272D3">
        <w:br/>
        <w:t>Pri</w:t>
      </w:r>
      <w:r w:rsidRPr="00B272D3">
        <w:t xml:space="preserve"> </w:t>
      </w:r>
      <w:r w:rsidR="004A66ED" w:rsidRPr="00B272D3">
        <w:t>liek</w:t>
      </w:r>
      <w:r w:rsidR="00836CC4" w:rsidRPr="00B272D3">
        <w:t>och</w:t>
      </w:r>
      <w:r w:rsidRPr="00B272D3">
        <w:t xml:space="preserve"> </w:t>
      </w:r>
      <w:r w:rsidR="00466258" w:rsidRPr="00B272D3">
        <w:t>s obsahom estrogénu na vaginálnu aplikáciu, ako je V</w:t>
      </w:r>
      <w:r w:rsidR="00FA0B83">
        <w:t>agirux</w:t>
      </w:r>
      <w:r w:rsidR="00466258" w:rsidRPr="00B272D3">
        <w:t>,</w:t>
      </w:r>
      <w:r w:rsidRPr="00B272D3">
        <w:t xml:space="preserve"> ktorých systémov</w:t>
      </w:r>
      <w:r w:rsidR="004A66ED" w:rsidRPr="00B272D3">
        <w:t xml:space="preserve">á expozícia estrogénu zostáva </w:t>
      </w:r>
      <w:r w:rsidR="004A66ED" w:rsidRPr="00B272D3">
        <w:rPr>
          <w:i/>
          <w:u w:val="single"/>
        </w:rPr>
        <w:t>v rámci</w:t>
      </w:r>
      <w:r w:rsidR="004A66ED" w:rsidRPr="00B272D3">
        <w:t xml:space="preserve"> normálneho</w:t>
      </w:r>
      <w:r w:rsidRPr="00B272D3">
        <w:t xml:space="preserve"> postmenopauzáln</w:t>
      </w:r>
      <w:r w:rsidR="004A66ED" w:rsidRPr="00B272D3">
        <w:t>eho</w:t>
      </w:r>
      <w:r w:rsidRPr="00B272D3">
        <w:t xml:space="preserve"> rozmedz</w:t>
      </w:r>
      <w:r w:rsidR="004A66ED" w:rsidRPr="00B272D3">
        <w:t>ia</w:t>
      </w:r>
      <w:r w:rsidRPr="00B272D3">
        <w:t>, sa neodporúča pridávať progestagén (pozri časť 4.4 „</w:t>
      </w:r>
      <w:r w:rsidR="004A66ED" w:rsidRPr="00B272D3">
        <w:t>Endometriálna h</w:t>
      </w:r>
      <w:r w:rsidRPr="00B272D3">
        <w:t>yperplázia a karcinóm“).</w:t>
      </w:r>
      <w:r w:rsidRPr="00B272D3">
        <w:br/>
      </w:r>
      <w:r w:rsidRPr="00B272D3">
        <w:br/>
      </w:r>
      <w:r w:rsidR="00466258" w:rsidRPr="00B272D3">
        <w:t xml:space="preserve">Ak </w:t>
      </w:r>
      <w:r w:rsidR="00836CC4" w:rsidRPr="00B272D3">
        <w:t xml:space="preserve">pacientka </w:t>
      </w:r>
      <w:r w:rsidR="00466258" w:rsidRPr="00B272D3">
        <w:t>na podanie dávky zabudne</w:t>
      </w:r>
      <w:r w:rsidR="00836CC4" w:rsidRPr="00B272D3">
        <w:t>, má si ju</w:t>
      </w:r>
      <w:r w:rsidRPr="00B272D3">
        <w:t xml:space="preserve"> </w:t>
      </w:r>
      <w:r w:rsidR="00466258" w:rsidRPr="00B272D3">
        <w:t>podať</w:t>
      </w:r>
      <w:r w:rsidRPr="00B272D3">
        <w:t xml:space="preserve"> hneď, ako si </w:t>
      </w:r>
      <w:r w:rsidR="00466258" w:rsidRPr="00B272D3">
        <w:t>spomenie</w:t>
      </w:r>
      <w:r w:rsidRPr="00B272D3">
        <w:t>. Je potrebné vyhnúť sa dvojitej dávke.</w:t>
      </w:r>
      <w:r w:rsidRPr="00B272D3">
        <w:br/>
      </w:r>
      <w:r w:rsidRPr="00B272D3">
        <w:br/>
      </w:r>
      <w:r w:rsidR="00466258" w:rsidRPr="00B272D3">
        <w:rPr>
          <w:u w:val="single"/>
        </w:rPr>
        <w:t>Spôsob podávania</w:t>
      </w:r>
    </w:p>
    <w:p w:rsidR="004B46FE" w:rsidRPr="00B272D3" w:rsidRDefault="00466258" w:rsidP="00085939">
      <w:pPr>
        <w:keepNext/>
        <w:spacing w:line="240" w:lineRule="auto"/>
      </w:pPr>
      <w:r w:rsidRPr="00B272D3">
        <w:t>V</w:t>
      </w:r>
      <w:r w:rsidR="00FA0B83">
        <w:t>agirux</w:t>
      </w:r>
      <w:r w:rsidRPr="00B272D3">
        <w:t xml:space="preserve"> </w:t>
      </w:r>
      <w:r w:rsidR="00FD77FA" w:rsidRPr="00B272D3">
        <w:t xml:space="preserve">sa podáva intravaginálne </w:t>
      </w:r>
      <w:r w:rsidR="000A0E72" w:rsidRPr="00B272D3">
        <w:t xml:space="preserve">pomocou aplikátora </w:t>
      </w:r>
      <w:r w:rsidR="00FD77FA" w:rsidRPr="00B272D3">
        <w:t>ako lokálna estrogénová terapia.</w:t>
      </w:r>
      <w:r w:rsidR="00FD77FA" w:rsidRPr="00B272D3">
        <w:br/>
      </w:r>
      <w:r w:rsidR="00FD77FA" w:rsidRPr="00B272D3">
        <w:br/>
      </w:r>
      <w:r w:rsidR="00FD77FA" w:rsidRPr="00B272D3">
        <w:rPr>
          <w:i/>
          <w:u w:val="single"/>
        </w:rPr>
        <w:lastRenderedPageBreak/>
        <w:t xml:space="preserve">Ako </w:t>
      </w:r>
      <w:r w:rsidR="000A0E72" w:rsidRPr="00B272D3">
        <w:rPr>
          <w:i/>
          <w:u w:val="single"/>
        </w:rPr>
        <w:t>podávať</w:t>
      </w:r>
      <w:r w:rsidR="00FD77FA" w:rsidRPr="00B272D3">
        <w:rPr>
          <w:i/>
          <w:u w:val="single"/>
        </w:rPr>
        <w:t xml:space="preserve"> </w:t>
      </w:r>
      <w:r w:rsidR="000A0E72" w:rsidRPr="00B272D3">
        <w:rPr>
          <w:i/>
          <w:u w:val="single"/>
        </w:rPr>
        <w:t>V</w:t>
      </w:r>
      <w:r w:rsidR="00FA0B83">
        <w:rPr>
          <w:i/>
          <w:u w:val="single"/>
        </w:rPr>
        <w:t>agirux</w:t>
      </w:r>
      <w:r w:rsidR="000A0E72" w:rsidRPr="00B272D3">
        <w:rPr>
          <w:i/>
          <w:u w:val="single"/>
        </w:rPr>
        <w:t>:</w:t>
      </w:r>
      <w:r w:rsidR="00FD77FA" w:rsidRPr="00B272D3">
        <w:rPr>
          <w:i/>
          <w:u w:val="single"/>
        </w:rPr>
        <w:br/>
      </w:r>
      <w:r w:rsidR="00FD77FA" w:rsidRPr="00B272D3">
        <w:t xml:space="preserve">1. </w:t>
      </w:r>
      <w:r w:rsidR="000A0E72" w:rsidRPr="00B272D3">
        <w:tab/>
      </w:r>
      <w:r w:rsidR="00FD77FA" w:rsidRPr="00B272D3">
        <w:t xml:space="preserve">Aplikátor </w:t>
      </w:r>
      <w:r w:rsidR="000A0E72" w:rsidRPr="00B272D3">
        <w:t>sa</w:t>
      </w:r>
      <w:r w:rsidR="00FD77FA" w:rsidRPr="00B272D3">
        <w:t xml:space="preserve"> m</w:t>
      </w:r>
      <w:r w:rsidR="000A0E72" w:rsidRPr="00B272D3">
        <w:t>á</w:t>
      </w:r>
      <w:r w:rsidR="00FD77FA" w:rsidRPr="00B272D3">
        <w:t xml:space="preserve"> </w:t>
      </w:r>
      <w:r w:rsidR="000A0E72" w:rsidRPr="00B272D3">
        <w:t>vybrať</w:t>
      </w:r>
      <w:r w:rsidR="00FD77FA" w:rsidRPr="00B272D3">
        <w:t xml:space="preserve"> z</w:t>
      </w:r>
      <w:r w:rsidR="004B46FE" w:rsidRPr="00B272D3">
        <w:t>o</w:t>
      </w:r>
      <w:r w:rsidR="00FD77FA" w:rsidRPr="00B272D3">
        <w:t xml:space="preserve"> </w:t>
      </w:r>
      <w:r w:rsidR="004B46FE" w:rsidRPr="00B272D3">
        <w:t>zatavenej fólie</w:t>
      </w:r>
      <w:r w:rsidR="00FD77FA" w:rsidRPr="00B272D3">
        <w:t>.</w:t>
      </w:r>
      <w:r w:rsidR="00FD77FA" w:rsidRPr="00B272D3">
        <w:br/>
        <w:t xml:space="preserve">2. </w:t>
      </w:r>
      <w:r w:rsidR="000A0E72" w:rsidRPr="00B272D3">
        <w:tab/>
      </w:r>
      <w:r w:rsidR="004B46FE" w:rsidRPr="00B272D3">
        <w:t>Počas d</w:t>
      </w:r>
      <w:r w:rsidR="00FD77FA" w:rsidRPr="00B272D3">
        <w:t>rž</w:t>
      </w:r>
      <w:r w:rsidR="004B46FE" w:rsidRPr="00B272D3">
        <w:t>ania</w:t>
      </w:r>
      <w:r w:rsidR="00FD77FA" w:rsidRPr="00B272D3">
        <w:t xml:space="preserve"> </w:t>
      </w:r>
      <w:r w:rsidR="004B46FE" w:rsidRPr="00B272D3">
        <w:t xml:space="preserve">trubice sa má </w:t>
      </w:r>
      <w:r w:rsidR="00FD77FA" w:rsidRPr="00B272D3">
        <w:t>piest aplikátora</w:t>
      </w:r>
      <w:r w:rsidR="004B46FE" w:rsidRPr="00B272D3">
        <w:t xml:space="preserve"> potiahnuť</w:t>
      </w:r>
      <w:r w:rsidR="00FD77FA" w:rsidRPr="00B272D3">
        <w:t xml:space="preserve">, až kým sa nezastaví. Jedna vaginálna </w:t>
      </w:r>
      <w:r w:rsidR="004B46FE" w:rsidRPr="00B272D3">
        <w:tab/>
      </w:r>
      <w:r w:rsidR="00FD77FA" w:rsidRPr="00B272D3">
        <w:t>tableta sa má pevne umiestniť do držiaka (široký koniec) aplikačnej trubice.</w:t>
      </w:r>
      <w:r w:rsidR="00FD77FA" w:rsidRPr="00B272D3">
        <w:br/>
        <w:t xml:space="preserve">3. </w:t>
      </w:r>
      <w:r w:rsidR="000A0E72" w:rsidRPr="00B272D3">
        <w:tab/>
      </w:r>
      <w:r w:rsidR="00FD77FA" w:rsidRPr="00B272D3">
        <w:t xml:space="preserve">Aplikátor </w:t>
      </w:r>
      <w:r w:rsidR="004B46FE" w:rsidRPr="00B272D3">
        <w:t>sa</w:t>
      </w:r>
      <w:r w:rsidR="00FD77FA" w:rsidRPr="00B272D3">
        <w:t xml:space="preserve"> m</w:t>
      </w:r>
      <w:r w:rsidR="004B46FE" w:rsidRPr="00B272D3">
        <w:t xml:space="preserve">á </w:t>
      </w:r>
      <w:r w:rsidR="00FD77FA" w:rsidRPr="00B272D3">
        <w:t xml:space="preserve">opatrne </w:t>
      </w:r>
      <w:r w:rsidR="004B46FE" w:rsidRPr="00B272D3">
        <w:t>zavádzať</w:t>
      </w:r>
      <w:r w:rsidR="00FD77FA" w:rsidRPr="00B272D3">
        <w:t xml:space="preserve"> do </w:t>
      </w:r>
      <w:r w:rsidR="004B46FE" w:rsidRPr="00B272D3">
        <w:t>vagíny</w:t>
      </w:r>
      <w:r w:rsidR="00FD77FA" w:rsidRPr="00B272D3">
        <w:t xml:space="preserve"> až do </w:t>
      </w:r>
      <w:r w:rsidR="004B46FE" w:rsidRPr="00B272D3">
        <w:t>momentu</w:t>
      </w:r>
      <w:r w:rsidR="00FD77FA" w:rsidRPr="00B272D3">
        <w:t xml:space="preserve">, </w:t>
      </w:r>
      <w:r w:rsidR="004B46FE" w:rsidRPr="00B272D3">
        <w:t xml:space="preserve">keď pocítite určitý odpor </w:t>
      </w:r>
      <w:r w:rsidR="004B46FE" w:rsidRPr="00B272D3">
        <w:tab/>
      </w:r>
    </w:p>
    <w:p w:rsidR="00B3356A" w:rsidRDefault="004B46FE" w:rsidP="00085939">
      <w:pPr>
        <w:keepNext/>
        <w:spacing w:line="240" w:lineRule="auto"/>
      </w:pPr>
      <w:r w:rsidRPr="00B272D3">
        <w:tab/>
        <w:t>(8 až 10 </w:t>
      </w:r>
      <w:r w:rsidR="00FD77FA" w:rsidRPr="00B272D3">
        <w:t>cm).</w:t>
      </w:r>
      <w:r w:rsidR="00FD77FA" w:rsidRPr="00B272D3">
        <w:br/>
        <w:t xml:space="preserve">4. </w:t>
      </w:r>
      <w:r w:rsidR="000A0E72" w:rsidRPr="00B272D3">
        <w:tab/>
      </w:r>
      <w:r w:rsidR="00FD77FA" w:rsidRPr="00B272D3">
        <w:t xml:space="preserve">Na uvoľnenie vaginálnej tablety sa </w:t>
      </w:r>
      <w:r w:rsidRPr="00B272D3">
        <w:t>má</w:t>
      </w:r>
      <w:r w:rsidR="00FD77FA" w:rsidRPr="00B272D3">
        <w:t xml:space="preserve"> piest stlačiť, až kým sa nezastaví.</w:t>
      </w:r>
      <w:r w:rsidR="00FD77FA" w:rsidRPr="00B272D3">
        <w:br/>
      </w:r>
      <w:r w:rsidRPr="00B272D3">
        <w:tab/>
      </w:r>
      <w:r w:rsidR="00FD77FA" w:rsidRPr="00B272D3">
        <w:t>Tableta sa ihneď prilepí na stenu vagíny. Ak pacient</w:t>
      </w:r>
      <w:r w:rsidRPr="00B272D3">
        <w:t>ka</w:t>
      </w:r>
      <w:r w:rsidR="00FD77FA" w:rsidRPr="00B272D3">
        <w:t xml:space="preserve"> vstane alebo kráča, </w:t>
      </w:r>
      <w:r w:rsidRPr="00B272D3">
        <w:t xml:space="preserve">tableta </w:t>
      </w:r>
      <w:r w:rsidR="00FD77FA" w:rsidRPr="00B272D3">
        <w:t>nevypadne.</w:t>
      </w:r>
      <w:r w:rsidR="00FD77FA" w:rsidRPr="00B272D3">
        <w:br/>
        <w:t xml:space="preserve">5. </w:t>
      </w:r>
      <w:r w:rsidR="000A0E72" w:rsidRPr="00B272D3">
        <w:tab/>
      </w:r>
      <w:r w:rsidRPr="00B272D3">
        <w:t xml:space="preserve">Po každom použití a pred ďalším použitím sa </w:t>
      </w:r>
      <w:r w:rsidR="00FD77FA" w:rsidRPr="00B272D3">
        <w:t>m</w:t>
      </w:r>
      <w:r w:rsidRPr="00B272D3">
        <w:t>á</w:t>
      </w:r>
      <w:r w:rsidR="00FD77FA" w:rsidRPr="00B272D3">
        <w:t xml:space="preserve"> aplikátor očist</w:t>
      </w:r>
      <w:r w:rsidRPr="00B272D3">
        <w:t>iť</w:t>
      </w:r>
      <w:r w:rsidR="00FD77FA" w:rsidRPr="00B272D3">
        <w:t xml:space="preserve">. </w:t>
      </w:r>
      <w:r w:rsidR="005F2CDB" w:rsidRPr="00B272D3">
        <w:t>Trubica</w:t>
      </w:r>
      <w:r w:rsidR="00FD77FA" w:rsidRPr="00B272D3">
        <w:t xml:space="preserve"> a piest </w:t>
      </w:r>
      <w:r w:rsidR="005F2CDB" w:rsidRPr="00B272D3">
        <w:t xml:space="preserve">sa majú </w:t>
      </w:r>
      <w:r w:rsidR="005F2CDB" w:rsidRPr="00B272D3">
        <w:tab/>
      </w:r>
      <w:r w:rsidR="00FD77FA" w:rsidRPr="00B272D3">
        <w:t>očisti</w:t>
      </w:r>
      <w:r w:rsidR="005F2CDB" w:rsidRPr="00B272D3">
        <w:t>ť</w:t>
      </w:r>
      <w:r w:rsidR="00FD77FA" w:rsidRPr="00B272D3">
        <w:t xml:space="preserve"> jemným mydlom a dôkladne opláchn</w:t>
      </w:r>
      <w:r w:rsidR="005F2CDB" w:rsidRPr="00B272D3">
        <w:t>uť</w:t>
      </w:r>
      <w:r w:rsidR="00FD77FA" w:rsidRPr="00B272D3">
        <w:t xml:space="preserve"> teplou vodou z vodovodu. Trubica aj piest </w:t>
      </w:r>
      <w:r w:rsidR="005F2CDB" w:rsidRPr="00B272D3">
        <w:t>sa</w:t>
      </w:r>
      <w:r w:rsidR="00FD77FA" w:rsidRPr="00B272D3">
        <w:t xml:space="preserve"> ma</w:t>
      </w:r>
      <w:r w:rsidR="005F2CDB" w:rsidRPr="00B272D3">
        <w:t>jú</w:t>
      </w:r>
      <w:r w:rsidR="00FD77FA" w:rsidRPr="00B272D3">
        <w:t xml:space="preserve"> </w:t>
      </w:r>
    </w:p>
    <w:p w:rsidR="00B3356A" w:rsidRDefault="00B3356A" w:rsidP="00085939">
      <w:pPr>
        <w:keepNext/>
        <w:spacing w:line="240" w:lineRule="auto"/>
      </w:pPr>
      <w:r>
        <w:tab/>
      </w:r>
      <w:r w:rsidR="005F2CDB" w:rsidRPr="00B272D3">
        <w:t xml:space="preserve">nechať vysušiť </w:t>
      </w:r>
      <w:r w:rsidR="00FD77FA" w:rsidRPr="00B272D3">
        <w:t xml:space="preserve">na čistom povrchu (napr. </w:t>
      </w:r>
      <w:r w:rsidR="005F2CDB" w:rsidRPr="00B272D3">
        <w:t>p</w:t>
      </w:r>
      <w:r w:rsidR="00FD77FA" w:rsidRPr="00B272D3">
        <w:t>apierová utierka).</w:t>
      </w:r>
      <w:r w:rsidR="00FD77FA" w:rsidRPr="00B272D3">
        <w:br/>
        <w:t xml:space="preserve">6. </w:t>
      </w:r>
      <w:r w:rsidR="000A0E72" w:rsidRPr="00B272D3">
        <w:tab/>
      </w:r>
      <w:r w:rsidR="00FD77FA" w:rsidRPr="00B272D3">
        <w:t>Aplikátor sa m</w:t>
      </w:r>
      <w:r w:rsidR="005F2CDB" w:rsidRPr="00B272D3">
        <w:t>á</w:t>
      </w:r>
      <w:r w:rsidR="00FD77FA" w:rsidRPr="00B272D3">
        <w:t xml:space="preserve"> používať až do vy</w:t>
      </w:r>
      <w:r w:rsidR="005F2CDB" w:rsidRPr="00B272D3">
        <w:t>prázdnenia balenia (18 alebo 24</w:t>
      </w:r>
      <w:r w:rsidR="00FD77FA" w:rsidRPr="00B272D3">
        <w:t xml:space="preserve">krát). Potom </w:t>
      </w:r>
      <w:r w:rsidR="005F2CDB" w:rsidRPr="00B272D3">
        <w:t>sa má</w:t>
      </w:r>
      <w:r w:rsidR="00FD77FA" w:rsidRPr="00B272D3">
        <w:t xml:space="preserve"> zlikvidovať </w:t>
      </w:r>
    </w:p>
    <w:p w:rsidR="00FD77FA" w:rsidRPr="00B272D3" w:rsidRDefault="00B3356A" w:rsidP="00085939">
      <w:pPr>
        <w:keepNext/>
        <w:spacing w:line="240" w:lineRule="auto"/>
      </w:pPr>
      <w:r>
        <w:tab/>
      </w:r>
      <w:r w:rsidR="00FD77FA" w:rsidRPr="00B272D3">
        <w:t>spolu s domovým odpadom.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Kontraindikácie</w:t>
      </w:r>
    </w:p>
    <w:p w:rsidR="00812D16" w:rsidRPr="00B272D3" w:rsidRDefault="00812D16" w:rsidP="00085939">
      <w:pPr>
        <w:keepNext/>
        <w:spacing w:line="240" w:lineRule="auto"/>
      </w:pPr>
    </w:p>
    <w:p w:rsidR="006F4B93" w:rsidRDefault="005F2CDB" w:rsidP="00204AAB">
      <w:pPr>
        <w:spacing w:line="240" w:lineRule="auto"/>
      </w:pPr>
      <w:r w:rsidRPr="00B272D3">
        <w:t xml:space="preserve">- </w:t>
      </w:r>
      <w:r w:rsidR="00850159" w:rsidRPr="00B272D3">
        <w:tab/>
      </w:r>
      <w:r w:rsidR="00836CC4" w:rsidRPr="00B272D3">
        <w:t>Známa</w:t>
      </w:r>
      <w:r w:rsidRPr="00B272D3">
        <w:t xml:space="preserve">, </w:t>
      </w:r>
      <w:r w:rsidR="00836CC4" w:rsidRPr="00B272D3">
        <w:t>prekonaná</w:t>
      </w:r>
      <w:r w:rsidRPr="00B272D3">
        <w:t xml:space="preserve"> alebo </w:t>
      </w:r>
      <w:r w:rsidR="00836CC4" w:rsidRPr="00B272D3">
        <w:t>suspektná</w:t>
      </w:r>
      <w:r w:rsidR="00850159" w:rsidRPr="00B272D3">
        <w:t xml:space="preserve"> </w:t>
      </w:r>
      <w:r w:rsidR="00836CC4" w:rsidRPr="00B272D3">
        <w:t>rakovina</w:t>
      </w:r>
      <w:r w:rsidRPr="00B272D3">
        <w:t xml:space="preserve"> prsníka;</w:t>
      </w:r>
      <w:r w:rsidRPr="00B272D3">
        <w:br/>
        <w:t xml:space="preserve">- </w:t>
      </w:r>
      <w:r w:rsidR="00850159" w:rsidRPr="00B272D3">
        <w:tab/>
      </w:r>
      <w:r w:rsidRPr="00B272D3">
        <w:t xml:space="preserve">Známe, </w:t>
      </w:r>
      <w:r w:rsidR="00850159" w:rsidRPr="00B272D3">
        <w:t>prekonané</w:t>
      </w:r>
      <w:r w:rsidRPr="00B272D3">
        <w:t xml:space="preserve"> alebo suspektné </w:t>
      </w:r>
      <w:r w:rsidR="00850159" w:rsidRPr="00B272D3">
        <w:t>maligné tumory závislé od estrogénu (napr. r</w:t>
      </w:r>
      <w:r w:rsidRPr="00B272D3">
        <w:t>akovina</w:t>
      </w:r>
      <w:r w:rsidR="006F4B93">
        <w:t xml:space="preserve"> </w:t>
      </w:r>
      <w:r w:rsidRPr="00B272D3">
        <w:t>endometria);</w:t>
      </w:r>
      <w:r w:rsidRPr="00B272D3">
        <w:br/>
        <w:t xml:space="preserve">- </w:t>
      </w:r>
      <w:r w:rsidR="00850159" w:rsidRPr="00B272D3">
        <w:tab/>
        <w:t>N</w:t>
      </w:r>
      <w:r w:rsidRPr="00B272D3">
        <w:t>ediagnostikované krvácanie z pohlavných orgánov;</w:t>
      </w:r>
      <w:r w:rsidRPr="00B272D3">
        <w:br/>
        <w:t xml:space="preserve">- </w:t>
      </w:r>
      <w:r w:rsidR="00850159" w:rsidRPr="00B272D3">
        <w:tab/>
      </w:r>
      <w:r w:rsidRPr="00B272D3">
        <w:t>Neliečená hyperplázia</w:t>
      </w:r>
      <w:r w:rsidR="00836CC4" w:rsidRPr="00B272D3">
        <w:t xml:space="preserve"> endometria</w:t>
      </w:r>
      <w:r w:rsidRPr="00B272D3">
        <w:t>;</w:t>
      </w:r>
      <w:r w:rsidRPr="00B272D3">
        <w:br/>
        <w:t xml:space="preserve">- </w:t>
      </w:r>
      <w:r w:rsidR="00850159" w:rsidRPr="00B272D3">
        <w:tab/>
        <w:t>P</w:t>
      </w:r>
      <w:r w:rsidRPr="00B272D3">
        <w:t>redchádzajúci alebo súčasný venózny tromboemb</w:t>
      </w:r>
      <w:r w:rsidR="006D627F">
        <w:t>o</w:t>
      </w:r>
      <w:r w:rsidRPr="00B272D3">
        <w:t xml:space="preserve">lizmus (hlboká venózna trombóza, pľúcna </w:t>
      </w:r>
      <w:r w:rsidR="00850159" w:rsidRPr="00B272D3">
        <w:tab/>
      </w:r>
      <w:r w:rsidRPr="00B272D3">
        <w:t>embólia);</w:t>
      </w:r>
      <w:r w:rsidRPr="00B272D3">
        <w:br/>
        <w:t xml:space="preserve">- </w:t>
      </w:r>
      <w:r w:rsidR="00850159" w:rsidRPr="00B272D3">
        <w:tab/>
      </w:r>
      <w:r w:rsidRPr="00B272D3">
        <w:t>Zn</w:t>
      </w:r>
      <w:r w:rsidR="00850159" w:rsidRPr="00B272D3">
        <w:t xml:space="preserve">áme trombofilné poruchy (napr. </w:t>
      </w:r>
      <w:r w:rsidR="00836CC4" w:rsidRPr="00B272D3">
        <w:t xml:space="preserve">nedostatok </w:t>
      </w:r>
      <w:r w:rsidR="00850159" w:rsidRPr="00B272D3">
        <w:t>p</w:t>
      </w:r>
      <w:r w:rsidRPr="00B272D3">
        <w:t>roteín</w:t>
      </w:r>
      <w:r w:rsidR="00836CC4" w:rsidRPr="00B272D3">
        <w:t>u</w:t>
      </w:r>
      <w:r w:rsidRPr="00B272D3">
        <w:t xml:space="preserve"> C, proteín</w:t>
      </w:r>
      <w:r w:rsidR="00836CC4" w:rsidRPr="00B272D3">
        <w:t>u</w:t>
      </w:r>
      <w:r w:rsidRPr="00B272D3">
        <w:t xml:space="preserve"> S alebo antitrombínu, pozri </w:t>
      </w:r>
    </w:p>
    <w:p w:rsidR="005F2CDB" w:rsidRPr="00B272D3" w:rsidRDefault="006F4B93" w:rsidP="00204AAB">
      <w:pPr>
        <w:spacing w:line="240" w:lineRule="auto"/>
      </w:pPr>
      <w:r>
        <w:tab/>
      </w:r>
      <w:r w:rsidR="005F2CDB" w:rsidRPr="00B272D3">
        <w:t>časť</w:t>
      </w:r>
      <w:r>
        <w:t> </w:t>
      </w:r>
      <w:r w:rsidR="005F2CDB" w:rsidRPr="00B272D3">
        <w:t>4.4);</w:t>
      </w:r>
      <w:r w:rsidR="005F2CDB" w:rsidRPr="00B272D3">
        <w:br/>
        <w:t xml:space="preserve">- </w:t>
      </w:r>
      <w:r w:rsidR="00850159" w:rsidRPr="00B272D3">
        <w:tab/>
        <w:t>A</w:t>
      </w:r>
      <w:r w:rsidR="00C7627E" w:rsidRPr="00B272D3">
        <w:t xml:space="preserve">ktívna alebo nedávno prekonaná </w:t>
      </w:r>
      <w:r w:rsidR="005F2CDB" w:rsidRPr="00B272D3">
        <w:t xml:space="preserve">arteriálna </w:t>
      </w:r>
      <w:r w:rsidR="00850159" w:rsidRPr="00B272D3">
        <w:t>tromboembolická choroba (napr. a</w:t>
      </w:r>
      <w:r w:rsidR="005F2CDB" w:rsidRPr="00B272D3">
        <w:t xml:space="preserve">ngína pectoris, </w:t>
      </w:r>
      <w:r w:rsidR="00C7627E" w:rsidRPr="00B272D3">
        <w:tab/>
      </w:r>
      <w:r w:rsidR="005F2CDB" w:rsidRPr="00B272D3">
        <w:t>infarkt myokardu);</w:t>
      </w:r>
      <w:r w:rsidR="005F2CDB" w:rsidRPr="00B272D3">
        <w:br/>
        <w:t xml:space="preserve">- </w:t>
      </w:r>
      <w:r w:rsidR="00850159" w:rsidRPr="00B272D3">
        <w:tab/>
        <w:t>A</w:t>
      </w:r>
      <w:r w:rsidR="005F2CDB" w:rsidRPr="00B272D3">
        <w:t xml:space="preserve">kútne ochorenie pečene alebo ochorenie pečene v anamnéze, pokiaľ sa </w:t>
      </w:r>
      <w:r w:rsidR="00C7627E" w:rsidRPr="00B272D3">
        <w:t xml:space="preserve">testy </w:t>
      </w:r>
      <w:r w:rsidR="005F2CDB" w:rsidRPr="00B272D3">
        <w:t>pečeňov</w:t>
      </w:r>
      <w:r w:rsidR="00C7627E" w:rsidRPr="00B272D3">
        <w:t xml:space="preserve">ých </w:t>
      </w:r>
      <w:r w:rsidR="00C7627E" w:rsidRPr="00B272D3">
        <w:tab/>
        <w:t>funkcií</w:t>
      </w:r>
      <w:r w:rsidR="005F2CDB" w:rsidRPr="00B272D3">
        <w:t xml:space="preserve"> </w:t>
      </w:r>
      <w:r w:rsidR="00850159" w:rsidRPr="00B272D3">
        <w:t xml:space="preserve">nevrátili </w:t>
      </w:r>
      <w:r w:rsidR="00C7627E" w:rsidRPr="00B272D3">
        <w:t>do</w:t>
      </w:r>
      <w:r w:rsidR="00850159" w:rsidRPr="00B272D3">
        <w:t xml:space="preserve"> normál</w:t>
      </w:r>
      <w:r w:rsidR="00C7627E" w:rsidRPr="00B272D3">
        <w:t>u</w:t>
      </w:r>
      <w:r w:rsidR="005F2CDB" w:rsidRPr="00B272D3">
        <w:t>;</w:t>
      </w:r>
      <w:r w:rsidR="005F2CDB" w:rsidRPr="00B272D3">
        <w:br/>
        <w:t xml:space="preserve">- </w:t>
      </w:r>
      <w:r w:rsidR="00850159" w:rsidRPr="00B272D3">
        <w:tab/>
      </w:r>
      <w:r w:rsidR="00070BC8" w:rsidRPr="00B272D3">
        <w:t>Z</w:t>
      </w:r>
      <w:r w:rsidR="005F2CDB" w:rsidRPr="00B272D3">
        <w:t>náma precitlivenosť na liečivá alebo na ktorúkoľvek z pomocných látok</w:t>
      </w:r>
      <w:r w:rsidR="00E056F4" w:rsidRPr="00E056F4">
        <w:t xml:space="preserve"> uvedených v časti 6.1</w:t>
      </w:r>
      <w:r w:rsidR="005F2CDB" w:rsidRPr="00B272D3">
        <w:t>;</w:t>
      </w:r>
      <w:r w:rsidR="005F2CDB" w:rsidRPr="00B272D3">
        <w:br/>
        <w:t xml:space="preserve">- </w:t>
      </w:r>
      <w:r w:rsidR="00070BC8" w:rsidRPr="00B272D3">
        <w:tab/>
        <w:t>Porfý</w:t>
      </w:r>
      <w:r w:rsidR="005F2CDB" w:rsidRPr="00B272D3">
        <w:t>ria.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272D3">
        <w:rPr>
          <w:b/>
        </w:rPr>
        <w:t>Osobitné upozornenia a opatrenia pri používaní</w:t>
      </w:r>
    </w:p>
    <w:p w:rsidR="00812D16" w:rsidRPr="00B272D3" w:rsidRDefault="00812D16" w:rsidP="00085939">
      <w:pPr>
        <w:keepNext/>
        <w:spacing w:line="240" w:lineRule="auto"/>
        <w:ind w:left="567" w:hanging="567"/>
      </w:pPr>
    </w:p>
    <w:p w:rsidR="00070BC8" w:rsidRPr="00B272D3" w:rsidRDefault="0009263C" w:rsidP="0079480E">
      <w:pPr>
        <w:tabs>
          <w:tab w:val="clear" w:pos="567"/>
        </w:tabs>
        <w:spacing w:line="240" w:lineRule="auto"/>
        <w:rPr>
          <w:noProof/>
        </w:rPr>
      </w:pPr>
      <w:r w:rsidRPr="00B272D3">
        <w:rPr>
          <w:noProof/>
        </w:rPr>
        <w:t>Liečba</w:t>
      </w:r>
      <w:r w:rsidR="00070BC8" w:rsidRPr="00B272D3">
        <w:rPr>
          <w:noProof/>
        </w:rPr>
        <w:t xml:space="preserve"> postmenopauzálnych symptómov </w:t>
      </w:r>
      <w:r w:rsidRPr="00B272D3">
        <w:rPr>
          <w:noProof/>
        </w:rPr>
        <w:t>pomocou</w:t>
      </w:r>
      <w:r w:rsidR="00070BC8" w:rsidRPr="00B272D3">
        <w:rPr>
          <w:noProof/>
        </w:rPr>
        <w:t xml:space="preserve"> HST </w:t>
      </w:r>
      <w:r w:rsidRPr="00B272D3">
        <w:rPr>
          <w:noProof/>
        </w:rPr>
        <w:t xml:space="preserve">sa má </w:t>
      </w:r>
      <w:r w:rsidR="00070BC8" w:rsidRPr="00B272D3">
        <w:rPr>
          <w:noProof/>
        </w:rPr>
        <w:t xml:space="preserve">začať iba </w:t>
      </w:r>
      <w:r w:rsidR="0052020B" w:rsidRPr="00B272D3">
        <w:rPr>
          <w:noProof/>
        </w:rPr>
        <w:t>vtedy, ak</w:t>
      </w:r>
      <w:r w:rsidR="00070BC8" w:rsidRPr="00B272D3">
        <w:rPr>
          <w:noProof/>
        </w:rPr>
        <w:t xml:space="preserve"> </w:t>
      </w:r>
      <w:r w:rsidR="0052020B" w:rsidRPr="00B272D3">
        <w:rPr>
          <w:noProof/>
        </w:rPr>
        <w:t xml:space="preserve">tieto </w:t>
      </w:r>
      <w:r w:rsidR="00070BC8" w:rsidRPr="00B272D3">
        <w:rPr>
          <w:noProof/>
        </w:rPr>
        <w:t>príznak</w:t>
      </w:r>
      <w:r w:rsidR="0052020B" w:rsidRPr="00B272D3">
        <w:rPr>
          <w:noProof/>
        </w:rPr>
        <w:t>y</w:t>
      </w:r>
      <w:r w:rsidR="00070BC8" w:rsidRPr="00B272D3">
        <w:rPr>
          <w:noProof/>
        </w:rPr>
        <w:t xml:space="preserve"> nepriazni</w:t>
      </w:r>
      <w:r w:rsidR="0052020B" w:rsidRPr="00B272D3">
        <w:rPr>
          <w:noProof/>
        </w:rPr>
        <w:t>vo ovplyvňujú kvalitu života. V každom</w:t>
      </w:r>
      <w:r w:rsidR="00070BC8" w:rsidRPr="00B272D3">
        <w:rPr>
          <w:noProof/>
        </w:rPr>
        <w:t xml:space="preserve"> prípad</w:t>
      </w:r>
      <w:r w:rsidR="0052020B" w:rsidRPr="00B272D3">
        <w:rPr>
          <w:noProof/>
        </w:rPr>
        <w:t>e</w:t>
      </w:r>
      <w:r w:rsidR="00070BC8" w:rsidRPr="00B272D3">
        <w:rPr>
          <w:noProof/>
        </w:rPr>
        <w:t xml:space="preserve"> sa má </w:t>
      </w:r>
      <w:r w:rsidR="00BA38E3" w:rsidRPr="00B272D3">
        <w:rPr>
          <w:noProof/>
        </w:rPr>
        <w:t xml:space="preserve">najmenej raz ročne </w:t>
      </w:r>
      <w:r w:rsidR="00070BC8" w:rsidRPr="00B272D3">
        <w:rPr>
          <w:noProof/>
        </w:rPr>
        <w:t xml:space="preserve">dôkladne </w:t>
      </w:r>
      <w:r w:rsidR="00BA38E3" w:rsidRPr="00B272D3">
        <w:rPr>
          <w:noProof/>
        </w:rPr>
        <w:t>posúdiť</w:t>
      </w:r>
      <w:r w:rsidR="00070BC8" w:rsidRPr="00B272D3">
        <w:rPr>
          <w:noProof/>
        </w:rPr>
        <w:t xml:space="preserve"> riziko a prínos a v HST sa má pokračovať</w:t>
      </w:r>
      <w:r w:rsidR="006D627F">
        <w:rPr>
          <w:noProof/>
        </w:rPr>
        <w:t>,</w:t>
      </w:r>
      <w:r w:rsidR="00070BC8" w:rsidRPr="00B272D3">
        <w:rPr>
          <w:noProof/>
        </w:rPr>
        <w:t xml:space="preserve"> iba ak</w:t>
      </w:r>
      <w:r w:rsidR="00BA38E3" w:rsidRPr="00B272D3">
        <w:rPr>
          <w:noProof/>
        </w:rPr>
        <w:t xml:space="preserve"> prínos preva</w:t>
      </w:r>
      <w:r w:rsidR="00070BC8" w:rsidRPr="00B272D3">
        <w:rPr>
          <w:noProof/>
        </w:rPr>
        <w:t>ž</w:t>
      </w:r>
      <w:r w:rsidR="00BA38E3" w:rsidRPr="00B272D3">
        <w:rPr>
          <w:noProof/>
        </w:rPr>
        <w:t>uje</w:t>
      </w:r>
      <w:r w:rsidR="00070BC8" w:rsidRPr="00B272D3">
        <w:rPr>
          <w:noProof/>
        </w:rPr>
        <w:t xml:space="preserve"> riziko.</w:t>
      </w:r>
      <w:r w:rsidR="00070BC8" w:rsidRPr="00B272D3">
        <w:rPr>
          <w:noProof/>
        </w:rPr>
        <w:br/>
      </w:r>
      <w:r w:rsidR="00070BC8" w:rsidRPr="00B272D3">
        <w:rPr>
          <w:noProof/>
        </w:rPr>
        <w:br/>
      </w:r>
      <w:r w:rsidR="00883511" w:rsidRPr="00B272D3">
        <w:rPr>
          <w:noProof/>
          <w:u w:val="single"/>
        </w:rPr>
        <w:t>Lekárske vyšetrenie /</w:t>
      </w:r>
      <w:r w:rsidR="00A057B9" w:rsidRPr="00B272D3">
        <w:rPr>
          <w:noProof/>
          <w:u w:val="single"/>
        </w:rPr>
        <w:t>kontroly</w:t>
      </w:r>
      <w:r w:rsidR="00070BC8" w:rsidRPr="00B272D3">
        <w:rPr>
          <w:noProof/>
          <w:u w:val="single"/>
        </w:rPr>
        <w:br/>
      </w:r>
      <w:r w:rsidR="00070BC8" w:rsidRPr="00B272D3">
        <w:rPr>
          <w:noProof/>
        </w:rPr>
        <w:t xml:space="preserve">Pred začatím alebo obnovením hormonálnej liečby </w:t>
      </w:r>
      <w:r w:rsidR="00883511" w:rsidRPr="00B272D3">
        <w:rPr>
          <w:noProof/>
        </w:rPr>
        <w:t>sa má</w:t>
      </w:r>
      <w:r w:rsidR="00070BC8" w:rsidRPr="00B272D3">
        <w:rPr>
          <w:noProof/>
        </w:rPr>
        <w:t xml:space="preserve"> </w:t>
      </w:r>
      <w:r w:rsidR="00883511" w:rsidRPr="00B272D3">
        <w:rPr>
          <w:noProof/>
        </w:rPr>
        <w:t>odobrať</w:t>
      </w:r>
      <w:r w:rsidR="00070BC8" w:rsidRPr="00B272D3">
        <w:rPr>
          <w:noProof/>
        </w:rPr>
        <w:t xml:space="preserve"> </w:t>
      </w:r>
      <w:r w:rsidR="00A057B9" w:rsidRPr="00B272D3">
        <w:rPr>
          <w:noProof/>
        </w:rPr>
        <w:t>kompletná</w:t>
      </w:r>
      <w:r w:rsidR="00070BC8" w:rsidRPr="00B272D3">
        <w:rPr>
          <w:noProof/>
        </w:rPr>
        <w:t xml:space="preserve"> osobná a rodinná anamnéza. Fyzikálne vyšetrenie (vrátane </w:t>
      </w:r>
      <w:r w:rsidR="00A057B9" w:rsidRPr="00B272D3">
        <w:rPr>
          <w:noProof/>
        </w:rPr>
        <w:t xml:space="preserve">vyšetrenia </w:t>
      </w:r>
      <w:r w:rsidR="00070BC8" w:rsidRPr="00B272D3">
        <w:rPr>
          <w:noProof/>
        </w:rPr>
        <w:t xml:space="preserve">panvy a prsníkov) </w:t>
      </w:r>
      <w:r w:rsidR="00A057B9" w:rsidRPr="00B272D3">
        <w:rPr>
          <w:noProof/>
        </w:rPr>
        <w:t>vychádza zo zí</w:t>
      </w:r>
      <w:r w:rsidR="00883511" w:rsidRPr="00B272D3">
        <w:rPr>
          <w:noProof/>
        </w:rPr>
        <w:t>s</w:t>
      </w:r>
      <w:r w:rsidR="00A057B9" w:rsidRPr="00B272D3">
        <w:rPr>
          <w:noProof/>
        </w:rPr>
        <w:t>kaných informácií</w:t>
      </w:r>
      <w:r w:rsidR="00883511" w:rsidRPr="00B272D3">
        <w:rPr>
          <w:noProof/>
        </w:rPr>
        <w:t>,</w:t>
      </w:r>
      <w:r w:rsidR="00070BC8" w:rsidRPr="00B272D3">
        <w:rPr>
          <w:noProof/>
        </w:rPr>
        <w:t xml:space="preserve"> kontraindikáci</w:t>
      </w:r>
      <w:r w:rsidR="00A057B9" w:rsidRPr="00B272D3">
        <w:rPr>
          <w:noProof/>
        </w:rPr>
        <w:t>í</w:t>
      </w:r>
      <w:r w:rsidR="00070BC8" w:rsidRPr="00B272D3">
        <w:rPr>
          <w:noProof/>
        </w:rPr>
        <w:t xml:space="preserve"> </w:t>
      </w:r>
      <w:r w:rsidR="00A057B9" w:rsidRPr="00B272D3">
        <w:rPr>
          <w:noProof/>
        </w:rPr>
        <w:t xml:space="preserve">použitia </w:t>
      </w:r>
      <w:r w:rsidR="00070BC8" w:rsidRPr="00B272D3">
        <w:rPr>
          <w:noProof/>
        </w:rPr>
        <w:t>a upozornen</w:t>
      </w:r>
      <w:r w:rsidR="00A057B9" w:rsidRPr="00B272D3">
        <w:rPr>
          <w:noProof/>
        </w:rPr>
        <w:t>í</w:t>
      </w:r>
      <w:r w:rsidR="00070BC8" w:rsidRPr="00B272D3">
        <w:rPr>
          <w:noProof/>
        </w:rPr>
        <w:t xml:space="preserve">. Počas liečby sa odporúčajú pravidelné kontroly, ktorých frekvencia a charakter sú prispôsobené </w:t>
      </w:r>
      <w:r w:rsidR="00BC7BE2" w:rsidRPr="00B272D3">
        <w:rPr>
          <w:noProof/>
        </w:rPr>
        <w:t>pacientke individuálne</w:t>
      </w:r>
      <w:r w:rsidR="00070BC8" w:rsidRPr="00B272D3">
        <w:rPr>
          <w:noProof/>
        </w:rPr>
        <w:t xml:space="preserve">. </w:t>
      </w:r>
      <w:r w:rsidR="00A057B9" w:rsidRPr="00B272D3">
        <w:rPr>
          <w:noProof/>
        </w:rPr>
        <w:t>Ženy</w:t>
      </w:r>
      <w:r w:rsidR="00BC7BE2" w:rsidRPr="00B272D3">
        <w:rPr>
          <w:noProof/>
        </w:rPr>
        <w:t xml:space="preserve"> treba</w:t>
      </w:r>
      <w:r w:rsidR="00070BC8" w:rsidRPr="00B272D3">
        <w:rPr>
          <w:noProof/>
        </w:rPr>
        <w:t xml:space="preserve"> informova</w:t>
      </w:r>
      <w:r w:rsidR="00BC7BE2" w:rsidRPr="00B272D3">
        <w:rPr>
          <w:noProof/>
        </w:rPr>
        <w:t>ť o potrebe hlásenia</w:t>
      </w:r>
      <w:r w:rsidR="00070BC8" w:rsidRPr="00B272D3">
        <w:rPr>
          <w:noProof/>
        </w:rPr>
        <w:t xml:space="preserve"> zm</w:t>
      </w:r>
      <w:r w:rsidR="00BC7BE2" w:rsidRPr="00B272D3">
        <w:rPr>
          <w:noProof/>
        </w:rPr>
        <w:t>i</w:t>
      </w:r>
      <w:r w:rsidR="00070BC8" w:rsidRPr="00B272D3">
        <w:rPr>
          <w:noProof/>
        </w:rPr>
        <w:t>en na prs</w:t>
      </w:r>
      <w:r w:rsidR="00BC7BE2" w:rsidRPr="00B272D3">
        <w:rPr>
          <w:noProof/>
        </w:rPr>
        <w:t>níkoch</w:t>
      </w:r>
      <w:r w:rsidR="00070BC8" w:rsidRPr="00B272D3">
        <w:rPr>
          <w:noProof/>
        </w:rPr>
        <w:t xml:space="preserve"> </w:t>
      </w:r>
      <w:r w:rsidR="00BC7BE2" w:rsidRPr="00B272D3">
        <w:rPr>
          <w:noProof/>
        </w:rPr>
        <w:t>ich</w:t>
      </w:r>
      <w:r w:rsidR="00070BC8" w:rsidRPr="00B272D3">
        <w:rPr>
          <w:noProof/>
        </w:rPr>
        <w:t xml:space="preserve"> lekárovi alebo zdravotnej sestre (pozri časť „Rakovina prsníka“ nižšie). Vyšetr</w:t>
      </w:r>
      <w:r w:rsidR="00BC7BE2" w:rsidRPr="00B272D3">
        <w:rPr>
          <w:noProof/>
        </w:rPr>
        <w:t>e</w:t>
      </w:r>
      <w:r w:rsidR="00070BC8" w:rsidRPr="00B272D3">
        <w:rPr>
          <w:noProof/>
        </w:rPr>
        <w:t>nia</w:t>
      </w:r>
      <w:r w:rsidR="00993146" w:rsidRPr="00B272D3">
        <w:rPr>
          <w:noProof/>
        </w:rPr>
        <w:t>,</w:t>
      </w:r>
      <w:r w:rsidR="00070BC8" w:rsidRPr="00B272D3">
        <w:rPr>
          <w:noProof/>
        </w:rPr>
        <w:t xml:space="preserve"> vrátane vhodných zobrazovacích </w:t>
      </w:r>
      <w:r w:rsidR="00993146" w:rsidRPr="00B272D3">
        <w:rPr>
          <w:noProof/>
        </w:rPr>
        <w:t>techník</w:t>
      </w:r>
      <w:r w:rsidR="00070BC8" w:rsidRPr="00B272D3">
        <w:rPr>
          <w:noProof/>
        </w:rPr>
        <w:t>, napr. mamograf</w:t>
      </w:r>
      <w:r w:rsidR="00993146" w:rsidRPr="00B272D3">
        <w:rPr>
          <w:noProof/>
        </w:rPr>
        <w:t>ie</w:t>
      </w:r>
      <w:r w:rsidR="00BC7BE2" w:rsidRPr="00B272D3">
        <w:rPr>
          <w:noProof/>
        </w:rPr>
        <w:t>,</w:t>
      </w:r>
      <w:r w:rsidR="00070BC8" w:rsidRPr="00B272D3">
        <w:rPr>
          <w:noProof/>
        </w:rPr>
        <w:t xml:space="preserve"> sa ma</w:t>
      </w:r>
      <w:r w:rsidR="00BC7BE2" w:rsidRPr="00B272D3">
        <w:rPr>
          <w:noProof/>
        </w:rPr>
        <w:t>jú</w:t>
      </w:r>
      <w:r w:rsidR="00070BC8" w:rsidRPr="00B272D3">
        <w:rPr>
          <w:noProof/>
        </w:rPr>
        <w:t xml:space="preserve"> vykonávať v súlade s </w:t>
      </w:r>
      <w:r w:rsidR="00BC7BE2" w:rsidRPr="00B272D3">
        <w:rPr>
          <w:noProof/>
        </w:rPr>
        <w:t>aktuáln</w:t>
      </w:r>
      <w:r w:rsidR="00993146" w:rsidRPr="00B272D3">
        <w:rPr>
          <w:noProof/>
        </w:rPr>
        <w:t>ymi</w:t>
      </w:r>
      <w:r w:rsidR="00BC7BE2" w:rsidRPr="00B272D3">
        <w:rPr>
          <w:noProof/>
        </w:rPr>
        <w:t xml:space="preserve"> skríningovými postupmi a</w:t>
      </w:r>
      <w:r w:rsidR="00070BC8" w:rsidRPr="00B272D3">
        <w:rPr>
          <w:noProof/>
        </w:rPr>
        <w:t xml:space="preserve"> prispôsobi</w:t>
      </w:r>
      <w:r w:rsidR="00BC7BE2" w:rsidRPr="00B272D3">
        <w:rPr>
          <w:noProof/>
        </w:rPr>
        <w:t>ť</w:t>
      </w:r>
      <w:r w:rsidR="00070BC8" w:rsidRPr="00B272D3">
        <w:rPr>
          <w:noProof/>
        </w:rPr>
        <w:t xml:space="preserve"> </w:t>
      </w:r>
      <w:r w:rsidR="00334C70" w:rsidRPr="00B272D3">
        <w:rPr>
          <w:noProof/>
        </w:rPr>
        <w:t xml:space="preserve">individuálnym </w:t>
      </w:r>
      <w:r w:rsidR="00070BC8" w:rsidRPr="00B272D3">
        <w:rPr>
          <w:noProof/>
        </w:rPr>
        <w:t>klinickým potrebám</w:t>
      </w:r>
      <w:r w:rsidR="00993146" w:rsidRPr="00B272D3">
        <w:rPr>
          <w:noProof/>
        </w:rPr>
        <w:t xml:space="preserve"> pacientky</w:t>
      </w:r>
      <w:r w:rsidR="00070BC8" w:rsidRPr="00B272D3">
        <w:rPr>
          <w:noProof/>
        </w:rPr>
        <w:t>.</w:t>
      </w:r>
      <w:r w:rsidR="00070BC8" w:rsidRPr="00B272D3">
        <w:rPr>
          <w:noProof/>
        </w:rPr>
        <w:br/>
        <w:t xml:space="preserve">Farmakokinetický profil </w:t>
      </w:r>
      <w:r w:rsidR="00101943" w:rsidRPr="00B272D3">
        <w:t>V</w:t>
      </w:r>
      <w:r w:rsidR="00FA0B83">
        <w:t>agiruxu</w:t>
      </w:r>
      <w:r w:rsidR="00101943" w:rsidRPr="00B272D3">
        <w:rPr>
          <w:noProof/>
        </w:rPr>
        <w:t xml:space="preserve"> </w:t>
      </w:r>
      <w:r w:rsidR="00070BC8" w:rsidRPr="00B272D3">
        <w:rPr>
          <w:noProof/>
        </w:rPr>
        <w:t xml:space="preserve">ukazuje, že počas liečby </w:t>
      </w:r>
      <w:r w:rsidR="00993146" w:rsidRPr="00B272D3">
        <w:rPr>
          <w:noProof/>
        </w:rPr>
        <w:t>dochádza k</w:t>
      </w:r>
      <w:r w:rsidR="00070BC8" w:rsidRPr="00B272D3">
        <w:rPr>
          <w:noProof/>
        </w:rPr>
        <w:t xml:space="preserve"> veľmi nízk</w:t>
      </w:r>
      <w:r w:rsidR="00993146" w:rsidRPr="00B272D3">
        <w:rPr>
          <w:noProof/>
        </w:rPr>
        <w:t>ej</w:t>
      </w:r>
      <w:r w:rsidR="00070BC8" w:rsidRPr="00B272D3">
        <w:rPr>
          <w:noProof/>
        </w:rPr>
        <w:t xml:space="preserve"> systémov</w:t>
      </w:r>
      <w:r w:rsidR="00993146" w:rsidRPr="00B272D3">
        <w:rPr>
          <w:noProof/>
        </w:rPr>
        <w:t>ej</w:t>
      </w:r>
      <w:r w:rsidR="00070BC8" w:rsidRPr="00B272D3">
        <w:rPr>
          <w:noProof/>
        </w:rPr>
        <w:t xml:space="preserve"> absorpc</w:t>
      </w:r>
      <w:r w:rsidR="00C43AF4">
        <w:rPr>
          <w:noProof/>
        </w:rPr>
        <w:t>i</w:t>
      </w:r>
      <w:r w:rsidR="00070BC8" w:rsidRPr="00B272D3">
        <w:rPr>
          <w:noProof/>
        </w:rPr>
        <w:t xml:space="preserve">i estradiolu (pozri časť 5.2), avšak vzhľadom na to, že ide o </w:t>
      </w:r>
      <w:r w:rsidR="00334C70" w:rsidRPr="00B272D3">
        <w:rPr>
          <w:noProof/>
        </w:rPr>
        <w:t xml:space="preserve">liek </w:t>
      </w:r>
      <w:r w:rsidR="00070BC8" w:rsidRPr="00B272D3">
        <w:rPr>
          <w:noProof/>
        </w:rPr>
        <w:t>H</w:t>
      </w:r>
      <w:r w:rsidR="00334C70" w:rsidRPr="00B272D3">
        <w:rPr>
          <w:noProof/>
        </w:rPr>
        <w:t>S</w:t>
      </w:r>
      <w:r w:rsidR="00070BC8" w:rsidRPr="00B272D3">
        <w:rPr>
          <w:noProof/>
        </w:rPr>
        <w:t xml:space="preserve">T, je potrebné </w:t>
      </w:r>
      <w:r w:rsidR="00334C70" w:rsidRPr="00B272D3">
        <w:rPr>
          <w:noProof/>
        </w:rPr>
        <w:t xml:space="preserve">vziať do úvahy </w:t>
      </w:r>
      <w:r w:rsidR="00993146" w:rsidRPr="00B272D3">
        <w:rPr>
          <w:noProof/>
        </w:rPr>
        <w:t xml:space="preserve">nižšie uvedené fakty, a to </w:t>
      </w:r>
      <w:r w:rsidR="00334C70" w:rsidRPr="00B272D3">
        <w:rPr>
          <w:noProof/>
        </w:rPr>
        <w:t>najmä pri</w:t>
      </w:r>
      <w:r w:rsidR="00070BC8" w:rsidRPr="00B272D3">
        <w:rPr>
          <w:noProof/>
        </w:rPr>
        <w:t xml:space="preserve"> dlhodob</w:t>
      </w:r>
      <w:r w:rsidR="00334C70" w:rsidRPr="00B272D3">
        <w:rPr>
          <w:noProof/>
        </w:rPr>
        <w:t>om</w:t>
      </w:r>
      <w:r w:rsidR="00070BC8" w:rsidRPr="00B272D3">
        <w:rPr>
          <w:noProof/>
        </w:rPr>
        <w:t xml:space="preserve"> alebo opakovan</w:t>
      </w:r>
      <w:r w:rsidR="00334C70" w:rsidRPr="00B272D3">
        <w:rPr>
          <w:noProof/>
        </w:rPr>
        <w:t>om</w:t>
      </w:r>
      <w:r w:rsidR="00993146" w:rsidRPr="00B272D3">
        <w:rPr>
          <w:noProof/>
        </w:rPr>
        <w:t xml:space="preserve"> používan</w:t>
      </w:r>
      <w:r w:rsidR="00334C70" w:rsidRPr="00B272D3">
        <w:rPr>
          <w:noProof/>
        </w:rPr>
        <w:t>í</w:t>
      </w:r>
      <w:r w:rsidR="00070BC8" w:rsidRPr="00B272D3">
        <w:rPr>
          <w:noProof/>
        </w:rPr>
        <w:t xml:space="preserve"> </w:t>
      </w:r>
      <w:r w:rsidR="00334C70" w:rsidRPr="00B272D3">
        <w:rPr>
          <w:noProof/>
        </w:rPr>
        <w:t>toh</w:t>
      </w:r>
      <w:r w:rsidR="00070BC8" w:rsidRPr="00B272D3">
        <w:rPr>
          <w:noProof/>
        </w:rPr>
        <w:t xml:space="preserve">to </w:t>
      </w:r>
      <w:r w:rsidR="00334C70" w:rsidRPr="00B272D3">
        <w:rPr>
          <w:noProof/>
        </w:rPr>
        <w:t>lieku</w:t>
      </w:r>
      <w:r w:rsidR="00070BC8" w:rsidRPr="00B272D3">
        <w:rPr>
          <w:noProof/>
        </w:rPr>
        <w:t>.</w:t>
      </w:r>
      <w:r w:rsidR="00070BC8" w:rsidRPr="00B272D3">
        <w:rPr>
          <w:noProof/>
        </w:rPr>
        <w:br/>
      </w:r>
      <w:r w:rsidR="00070BC8" w:rsidRPr="00B272D3">
        <w:rPr>
          <w:noProof/>
        </w:rPr>
        <w:br/>
      </w:r>
      <w:r w:rsidR="000D32E4" w:rsidRPr="00B272D3">
        <w:rPr>
          <w:noProof/>
          <w:u w:val="single"/>
        </w:rPr>
        <w:t>Stavy</w:t>
      </w:r>
      <w:r w:rsidR="00070BC8" w:rsidRPr="00B272D3">
        <w:rPr>
          <w:noProof/>
          <w:u w:val="single"/>
        </w:rPr>
        <w:t>, ktoré si vyžadujú dohľad</w:t>
      </w:r>
      <w:r w:rsidR="00070BC8" w:rsidRPr="00B272D3">
        <w:rPr>
          <w:noProof/>
          <w:u w:val="single"/>
        </w:rPr>
        <w:br/>
      </w:r>
      <w:r w:rsidR="00070BC8" w:rsidRPr="00B272D3">
        <w:rPr>
          <w:noProof/>
        </w:rPr>
        <w:t xml:space="preserve">Ak </w:t>
      </w:r>
      <w:r w:rsidR="00EB288E" w:rsidRPr="00B272D3">
        <w:rPr>
          <w:noProof/>
        </w:rPr>
        <w:t xml:space="preserve">sa u </w:t>
      </w:r>
      <w:r w:rsidR="000D32E4" w:rsidRPr="00B272D3">
        <w:rPr>
          <w:noProof/>
        </w:rPr>
        <w:t>pacientky</w:t>
      </w:r>
      <w:r w:rsidR="00EB288E" w:rsidRPr="00B272D3">
        <w:rPr>
          <w:noProof/>
        </w:rPr>
        <w:t xml:space="preserve"> </w:t>
      </w:r>
      <w:r w:rsidR="00070BC8" w:rsidRPr="00B272D3">
        <w:rPr>
          <w:noProof/>
        </w:rPr>
        <w:t>ktorýkoľvek z nasledujúcich stavov</w:t>
      </w:r>
      <w:r w:rsidR="00EB288E" w:rsidRPr="00B272D3">
        <w:rPr>
          <w:noProof/>
        </w:rPr>
        <w:t xml:space="preserve"> práve vyskytuje </w:t>
      </w:r>
      <w:r w:rsidR="00070BC8" w:rsidRPr="00B272D3">
        <w:rPr>
          <w:noProof/>
        </w:rPr>
        <w:t>, vyskyt</w:t>
      </w:r>
      <w:r w:rsidR="00EB288E" w:rsidRPr="00B272D3">
        <w:rPr>
          <w:noProof/>
        </w:rPr>
        <w:t>ol sa v minulosti a/alebo sa zhoršil</w:t>
      </w:r>
      <w:r w:rsidR="00070BC8" w:rsidRPr="00B272D3">
        <w:rPr>
          <w:noProof/>
        </w:rPr>
        <w:t xml:space="preserve"> počas </w:t>
      </w:r>
      <w:r w:rsidR="00EB288E" w:rsidRPr="00B272D3">
        <w:rPr>
          <w:noProof/>
        </w:rPr>
        <w:t>gravidity</w:t>
      </w:r>
      <w:r w:rsidR="00070BC8" w:rsidRPr="00B272D3">
        <w:rPr>
          <w:noProof/>
        </w:rPr>
        <w:t xml:space="preserve"> alebo predchádzajúcej hormonálnej liečby, </w:t>
      </w:r>
      <w:r w:rsidR="00B06D94" w:rsidRPr="00B272D3">
        <w:rPr>
          <w:noProof/>
        </w:rPr>
        <w:t>musí byť starostlivo sledovaná</w:t>
      </w:r>
      <w:r w:rsidR="00070BC8" w:rsidRPr="00B272D3">
        <w:rPr>
          <w:noProof/>
        </w:rPr>
        <w:t>. M</w:t>
      </w:r>
      <w:r w:rsidR="00B06D94" w:rsidRPr="00B272D3">
        <w:rPr>
          <w:noProof/>
        </w:rPr>
        <w:t>á</w:t>
      </w:r>
      <w:r w:rsidR="00070BC8" w:rsidRPr="00B272D3">
        <w:rPr>
          <w:noProof/>
        </w:rPr>
        <w:t xml:space="preserve"> sa vziať do úvahy, že tieto stavy sa </w:t>
      </w:r>
      <w:r w:rsidR="000D32E4" w:rsidRPr="00B272D3">
        <w:rPr>
          <w:noProof/>
        </w:rPr>
        <w:t xml:space="preserve">počas liečby estrogénmi </w:t>
      </w:r>
      <w:r w:rsidR="00650D19" w:rsidRPr="00B272D3">
        <w:rPr>
          <w:noProof/>
        </w:rPr>
        <w:t xml:space="preserve">môžu </w:t>
      </w:r>
      <w:r w:rsidR="000D32E4" w:rsidRPr="00B272D3">
        <w:rPr>
          <w:noProof/>
        </w:rPr>
        <w:t>opäť vyskytnúť</w:t>
      </w:r>
      <w:r w:rsidR="00070BC8" w:rsidRPr="00B272D3">
        <w:rPr>
          <w:noProof/>
        </w:rPr>
        <w:t xml:space="preserve"> alebo</w:t>
      </w:r>
      <w:r w:rsidR="00650D19" w:rsidRPr="00B272D3">
        <w:rPr>
          <w:noProof/>
        </w:rPr>
        <w:t xml:space="preserve"> sa</w:t>
      </w:r>
      <w:r w:rsidR="00070BC8" w:rsidRPr="00B272D3">
        <w:rPr>
          <w:noProof/>
        </w:rPr>
        <w:t xml:space="preserve"> </w:t>
      </w:r>
      <w:r w:rsidR="00650D19" w:rsidRPr="00B272D3">
        <w:rPr>
          <w:noProof/>
        </w:rPr>
        <w:t>môžu zhoršiť. Ide</w:t>
      </w:r>
      <w:r w:rsidR="00070BC8" w:rsidRPr="00B272D3">
        <w:rPr>
          <w:noProof/>
        </w:rPr>
        <w:t xml:space="preserve"> najmä</w:t>
      </w:r>
      <w:r w:rsidR="00650D19" w:rsidRPr="00B272D3">
        <w:rPr>
          <w:noProof/>
        </w:rPr>
        <w:t xml:space="preserve"> o</w:t>
      </w:r>
      <w:r w:rsidR="00070BC8" w:rsidRPr="00B272D3">
        <w:rPr>
          <w:noProof/>
        </w:rPr>
        <w:t>:</w:t>
      </w:r>
      <w:r w:rsidR="00070BC8"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  <w:t>l</w:t>
      </w:r>
      <w:r w:rsidR="00070BC8" w:rsidRPr="00B272D3">
        <w:rPr>
          <w:noProof/>
        </w:rPr>
        <w:t>eiomyóm (</w:t>
      </w:r>
      <w:r w:rsidR="00B06D94" w:rsidRPr="00B272D3">
        <w:rPr>
          <w:noProof/>
        </w:rPr>
        <w:t>uter</w:t>
      </w:r>
      <w:r w:rsidR="006D627F">
        <w:rPr>
          <w:noProof/>
        </w:rPr>
        <w:t>i</w:t>
      </w:r>
      <w:r w:rsidR="00B06D94" w:rsidRPr="00B272D3">
        <w:rPr>
          <w:noProof/>
        </w:rPr>
        <w:t>nn</w:t>
      </w:r>
      <w:r w:rsidR="006D627F">
        <w:rPr>
          <w:noProof/>
        </w:rPr>
        <w:t>é</w:t>
      </w:r>
      <w:r w:rsidR="00B06D94" w:rsidRPr="00B272D3">
        <w:rPr>
          <w:noProof/>
        </w:rPr>
        <w:t xml:space="preserve"> </w:t>
      </w:r>
      <w:r w:rsidR="00070BC8" w:rsidRPr="00B272D3">
        <w:rPr>
          <w:noProof/>
        </w:rPr>
        <w:t>fibroidy) alebo endo</w:t>
      </w:r>
      <w:r w:rsidR="00650D19" w:rsidRPr="00B272D3">
        <w:rPr>
          <w:noProof/>
        </w:rPr>
        <w:t>metriózu</w:t>
      </w:r>
      <w:r w:rsidR="00070BC8" w:rsidRPr="00B272D3">
        <w:rPr>
          <w:noProof/>
        </w:rPr>
        <w:t>;</w:t>
      </w:r>
      <w:r w:rsidR="00070BC8" w:rsidRPr="00B272D3">
        <w:rPr>
          <w:noProof/>
        </w:rPr>
        <w:br/>
      </w:r>
      <w:r w:rsidR="00070BC8" w:rsidRPr="00B272D3">
        <w:rPr>
          <w:noProof/>
        </w:rPr>
        <w:lastRenderedPageBreak/>
        <w:t xml:space="preserve">- </w:t>
      </w:r>
      <w:r w:rsidR="00650D19" w:rsidRPr="00B272D3">
        <w:rPr>
          <w:noProof/>
        </w:rPr>
        <w:tab/>
        <w:t>r</w:t>
      </w:r>
      <w:r w:rsidR="00070BC8" w:rsidRPr="00B272D3">
        <w:rPr>
          <w:noProof/>
        </w:rPr>
        <w:t>izikové faktory tromboembolických porúch (pozri nižšie);</w:t>
      </w:r>
      <w:r w:rsidR="00070BC8"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  <w:t>r</w:t>
      </w:r>
      <w:r w:rsidR="00070BC8" w:rsidRPr="00B272D3">
        <w:rPr>
          <w:noProof/>
        </w:rPr>
        <w:t xml:space="preserve">izikové faktory </w:t>
      </w:r>
      <w:r w:rsidR="00650D19" w:rsidRPr="00B272D3">
        <w:rPr>
          <w:noProof/>
        </w:rPr>
        <w:t>vzniku</w:t>
      </w:r>
      <w:r w:rsidR="00070BC8" w:rsidRPr="00B272D3">
        <w:rPr>
          <w:noProof/>
        </w:rPr>
        <w:t xml:space="preserve"> </w:t>
      </w:r>
      <w:r w:rsidR="00B06D94" w:rsidRPr="00B272D3">
        <w:rPr>
          <w:noProof/>
        </w:rPr>
        <w:t>tumor</w:t>
      </w:r>
      <w:r w:rsidR="00650D19" w:rsidRPr="00B272D3">
        <w:rPr>
          <w:noProof/>
        </w:rPr>
        <w:t>ov</w:t>
      </w:r>
      <w:r w:rsidR="00070BC8" w:rsidRPr="00B272D3">
        <w:rPr>
          <w:noProof/>
        </w:rPr>
        <w:t xml:space="preserve"> závisl</w:t>
      </w:r>
      <w:r w:rsidR="00650D19" w:rsidRPr="00B272D3">
        <w:rPr>
          <w:noProof/>
        </w:rPr>
        <w:t>ých</w:t>
      </w:r>
      <w:r w:rsidR="00070BC8" w:rsidRPr="00B272D3">
        <w:rPr>
          <w:noProof/>
        </w:rPr>
        <w:t xml:space="preserve"> od estrogénu, napr. </w:t>
      </w:r>
      <w:r w:rsidR="00B06D94" w:rsidRPr="00B272D3">
        <w:rPr>
          <w:noProof/>
        </w:rPr>
        <w:t xml:space="preserve">dedičnosť </w:t>
      </w:r>
      <w:r w:rsidR="00650D19" w:rsidRPr="00B272D3">
        <w:rPr>
          <w:noProof/>
        </w:rPr>
        <w:t>rakoviny</w:t>
      </w:r>
      <w:r w:rsidR="00070BC8" w:rsidRPr="00B272D3">
        <w:rPr>
          <w:noProof/>
        </w:rPr>
        <w:t xml:space="preserve"> </w:t>
      </w:r>
      <w:r w:rsidR="00B06D94" w:rsidRPr="00B272D3">
        <w:rPr>
          <w:noProof/>
        </w:rPr>
        <w:tab/>
      </w:r>
      <w:r w:rsidR="00070BC8" w:rsidRPr="00B272D3">
        <w:rPr>
          <w:noProof/>
        </w:rPr>
        <w:t>prsníka</w:t>
      </w:r>
      <w:r w:rsidR="00650D19" w:rsidRPr="00B272D3">
        <w:rPr>
          <w:noProof/>
        </w:rPr>
        <w:t xml:space="preserve"> </w:t>
      </w:r>
      <w:r w:rsidR="00650D19" w:rsidRPr="00B272D3">
        <w:rPr>
          <w:noProof/>
        </w:rPr>
        <w:tab/>
        <w:t>prvého stupňa</w:t>
      </w:r>
      <w:r w:rsidR="00070BC8" w:rsidRPr="00B272D3">
        <w:rPr>
          <w:noProof/>
        </w:rPr>
        <w:t>;</w:t>
      </w:r>
      <w:r w:rsidR="00070BC8"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  <w:t>h</w:t>
      </w:r>
      <w:r w:rsidR="00070BC8" w:rsidRPr="00B272D3">
        <w:rPr>
          <w:noProof/>
        </w:rPr>
        <w:t>ypertenzi</w:t>
      </w:r>
      <w:r w:rsidR="00650D19" w:rsidRPr="00B272D3">
        <w:rPr>
          <w:noProof/>
        </w:rPr>
        <w:t>u</w:t>
      </w:r>
      <w:r w:rsidR="00070BC8" w:rsidRPr="00B272D3">
        <w:rPr>
          <w:noProof/>
        </w:rPr>
        <w:t>;</w:t>
      </w:r>
      <w:r w:rsidR="00070BC8"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  <w:t>p</w:t>
      </w:r>
      <w:r w:rsidR="00B06D94" w:rsidRPr="00B272D3">
        <w:rPr>
          <w:noProof/>
        </w:rPr>
        <w:t>oruchy pečene (napr. a</w:t>
      </w:r>
      <w:r w:rsidR="00070BC8" w:rsidRPr="00B272D3">
        <w:rPr>
          <w:noProof/>
        </w:rPr>
        <w:t>denóm pečene);</w:t>
      </w:r>
      <w:r w:rsidR="00070BC8" w:rsidRPr="00B272D3">
        <w:rPr>
          <w:noProof/>
        </w:rPr>
        <w:br/>
        <w:t xml:space="preserve">- </w:t>
      </w:r>
      <w:r w:rsidR="00B06D94" w:rsidRPr="00B272D3">
        <w:rPr>
          <w:noProof/>
        </w:rPr>
        <w:tab/>
      </w:r>
      <w:r w:rsidR="00650D19" w:rsidRPr="00B272D3">
        <w:rPr>
          <w:noProof/>
        </w:rPr>
        <w:t>d</w:t>
      </w:r>
      <w:r w:rsidR="00070BC8" w:rsidRPr="00B272D3">
        <w:rPr>
          <w:noProof/>
        </w:rPr>
        <w:t xml:space="preserve">iabetes mellitus s </w:t>
      </w:r>
      <w:r w:rsidR="00650D19" w:rsidRPr="00B272D3">
        <w:rPr>
          <w:noProof/>
        </w:rPr>
        <w:t>poškodením ciev</w:t>
      </w:r>
      <w:r w:rsidR="00070BC8" w:rsidRPr="00B272D3">
        <w:rPr>
          <w:noProof/>
        </w:rPr>
        <w:t xml:space="preserve"> alebo bez neho;</w:t>
      </w:r>
      <w:r w:rsidR="00070BC8" w:rsidRPr="00B272D3">
        <w:rPr>
          <w:noProof/>
        </w:rPr>
        <w:br/>
        <w:t xml:space="preserve">- </w:t>
      </w:r>
      <w:r w:rsidR="00B06D94" w:rsidRPr="00B272D3">
        <w:rPr>
          <w:noProof/>
        </w:rPr>
        <w:tab/>
      </w:r>
      <w:r w:rsidR="00650D19" w:rsidRPr="00B272D3">
        <w:rPr>
          <w:noProof/>
        </w:rPr>
        <w:t>cholelitiázu</w:t>
      </w:r>
      <w:r w:rsidR="00070BC8" w:rsidRPr="00B272D3">
        <w:rPr>
          <w:noProof/>
        </w:rPr>
        <w:t>;</w:t>
      </w:r>
    </w:p>
    <w:p w:rsidR="00B06D94" w:rsidRPr="00B272D3" w:rsidRDefault="00B06D94" w:rsidP="0079480E">
      <w:pPr>
        <w:tabs>
          <w:tab w:val="clear" w:pos="567"/>
        </w:tabs>
        <w:spacing w:line="240" w:lineRule="auto"/>
        <w:rPr>
          <w:noProof/>
        </w:rPr>
      </w:pPr>
      <w:r w:rsidRPr="00B272D3">
        <w:rPr>
          <w:noProof/>
        </w:rPr>
        <w:t xml:space="preserve">- </w:t>
      </w:r>
      <w:r w:rsidR="00650D19" w:rsidRPr="00B272D3">
        <w:rPr>
          <w:noProof/>
        </w:rPr>
        <w:tab/>
        <w:t>migrénu alebo (silnú</w:t>
      </w:r>
      <w:r w:rsidRPr="00B272D3">
        <w:rPr>
          <w:noProof/>
        </w:rPr>
        <w:t>) bolesť hlavy;</w:t>
      </w:r>
      <w:r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  <w:t>s</w:t>
      </w:r>
      <w:r w:rsidRPr="00B272D3">
        <w:rPr>
          <w:noProof/>
        </w:rPr>
        <w:t>ystémový lupus erythematosus;</w:t>
      </w:r>
      <w:r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</w:r>
      <w:r w:rsidRPr="00B272D3">
        <w:rPr>
          <w:noProof/>
        </w:rPr>
        <w:t>hyperplázi</w:t>
      </w:r>
      <w:r w:rsidR="00650D19" w:rsidRPr="00B272D3">
        <w:rPr>
          <w:noProof/>
        </w:rPr>
        <w:t>u endometria</w:t>
      </w:r>
      <w:r w:rsidRPr="00B272D3">
        <w:rPr>
          <w:noProof/>
        </w:rPr>
        <w:t xml:space="preserve"> v anamnéze (pozri nižšie);</w:t>
      </w:r>
      <w:r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  <w:t>epilepsiu</w:t>
      </w:r>
      <w:r w:rsidRPr="00B272D3">
        <w:rPr>
          <w:noProof/>
        </w:rPr>
        <w:t>;</w:t>
      </w:r>
      <w:r w:rsidRPr="00B272D3">
        <w:rPr>
          <w:noProof/>
        </w:rPr>
        <w:br/>
        <w:t xml:space="preserve">- </w:t>
      </w:r>
      <w:r w:rsidR="00650D19" w:rsidRPr="00B272D3">
        <w:rPr>
          <w:noProof/>
        </w:rPr>
        <w:tab/>
        <w:t>astmu</w:t>
      </w:r>
      <w:r w:rsidRPr="00B272D3">
        <w:rPr>
          <w:noProof/>
        </w:rPr>
        <w:t>;</w:t>
      </w:r>
      <w:r w:rsidRPr="00B272D3">
        <w:rPr>
          <w:noProof/>
        </w:rPr>
        <w:br/>
        <w:t xml:space="preserve">- </w:t>
      </w:r>
      <w:r w:rsidRPr="00B272D3">
        <w:rPr>
          <w:noProof/>
        </w:rPr>
        <w:tab/>
      </w:r>
      <w:r w:rsidR="00650D19" w:rsidRPr="00B272D3">
        <w:rPr>
          <w:noProof/>
        </w:rPr>
        <w:t>otosklerózu</w:t>
      </w:r>
      <w:r w:rsidRPr="00B272D3">
        <w:rPr>
          <w:noProof/>
        </w:rPr>
        <w:t>.</w:t>
      </w:r>
      <w:r w:rsidRPr="00B272D3">
        <w:rPr>
          <w:noProof/>
        </w:rPr>
        <w:br/>
      </w:r>
      <w:r w:rsidRPr="00B272D3">
        <w:rPr>
          <w:noProof/>
        </w:rPr>
        <w:br/>
      </w:r>
      <w:r w:rsidR="00804F32" w:rsidRPr="00B272D3">
        <w:rPr>
          <w:noProof/>
        </w:rPr>
        <w:t xml:space="preserve">Farmakokinetický profil </w:t>
      </w:r>
      <w:r w:rsidR="00804F32" w:rsidRPr="00B272D3">
        <w:t>V</w:t>
      </w:r>
      <w:r w:rsidR="00FA0B83">
        <w:t>agiruxu</w:t>
      </w:r>
      <w:r w:rsidR="00804F32" w:rsidRPr="00B272D3">
        <w:rPr>
          <w:noProof/>
        </w:rPr>
        <w:t xml:space="preserve"> ukazuje, že počas liečby </w:t>
      </w:r>
      <w:r w:rsidR="00901511" w:rsidRPr="00B272D3">
        <w:rPr>
          <w:noProof/>
        </w:rPr>
        <w:t>dochádza</w:t>
      </w:r>
      <w:r w:rsidR="00804F32" w:rsidRPr="00B272D3">
        <w:rPr>
          <w:noProof/>
        </w:rPr>
        <w:t xml:space="preserve"> </w:t>
      </w:r>
      <w:r w:rsidR="00901511" w:rsidRPr="00B272D3">
        <w:rPr>
          <w:noProof/>
        </w:rPr>
        <w:t xml:space="preserve">k </w:t>
      </w:r>
      <w:r w:rsidR="00804F32" w:rsidRPr="00B272D3">
        <w:rPr>
          <w:noProof/>
        </w:rPr>
        <w:t>veľmi nízk</w:t>
      </w:r>
      <w:r w:rsidR="00901511" w:rsidRPr="00B272D3">
        <w:rPr>
          <w:noProof/>
        </w:rPr>
        <w:t>ej</w:t>
      </w:r>
      <w:r w:rsidR="00804F32" w:rsidRPr="00B272D3">
        <w:rPr>
          <w:noProof/>
        </w:rPr>
        <w:t xml:space="preserve"> absorpci estradiolu (pozri časť 5.2). </w:t>
      </w:r>
      <w:r w:rsidR="00901511" w:rsidRPr="00B272D3">
        <w:rPr>
          <w:noProof/>
        </w:rPr>
        <w:t xml:space="preserve">Vzhľadom k tomu je možnosť, </w:t>
      </w:r>
      <w:r w:rsidR="002A6064" w:rsidRPr="00B272D3">
        <w:rPr>
          <w:noProof/>
        </w:rPr>
        <w:t>že sa</w:t>
      </w:r>
      <w:r w:rsidRPr="00B272D3">
        <w:rPr>
          <w:noProof/>
        </w:rPr>
        <w:t xml:space="preserve"> vyššie uveden</w:t>
      </w:r>
      <w:r w:rsidR="002A6064" w:rsidRPr="00B272D3">
        <w:rPr>
          <w:noProof/>
        </w:rPr>
        <w:t>é</w:t>
      </w:r>
      <w:r w:rsidRPr="00B272D3">
        <w:rPr>
          <w:noProof/>
        </w:rPr>
        <w:t xml:space="preserve"> stav</w:t>
      </w:r>
      <w:r w:rsidR="002A6064" w:rsidRPr="00B272D3">
        <w:rPr>
          <w:noProof/>
        </w:rPr>
        <w:t>y</w:t>
      </w:r>
      <w:r w:rsidRPr="00B272D3">
        <w:rPr>
          <w:noProof/>
        </w:rPr>
        <w:t xml:space="preserve"> </w:t>
      </w:r>
      <w:r w:rsidR="002A6064" w:rsidRPr="00B272D3">
        <w:rPr>
          <w:noProof/>
        </w:rPr>
        <w:t xml:space="preserve">opäť vyskytnú alebo sa zhoršia, </w:t>
      </w:r>
      <w:r w:rsidRPr="00B272D3">
        <w:rPr>
          <w:noProof/>
        </w:rPr>
        <w:t>menej pravdepodobn</w:t>
      </w:r>
      <w:r w:rsidR="00B3077D">
        <w:rPr>
          <w:noProof/>
        </w:rPr>
        <w:t>á</w:t>
      </w:r>
      <w:r w:rsidRPr="00B272D3">
        <w:rPr>
          <w:noProof/>
        </w:rPr>
        <w:t xml:space="preserve"> ako pri systémovej liečbe estrogénmi.</w:t>
      </w:r>
      <w:r w:rsidRPr="00B272D3">
        <w:rPr>
          <w:noProof/>
        </w:rPr>
        <w:br/>
      </w:r>
      <w:r w:rsidRPr="00B272D3">
        <w:rPr>
          <w:noProof/>
        </w:rPr>
        <w:br/>
      </w:r>
      <w:r w:rsidRPr="00B272D3">
        <w:rPr>
          <w:noProof/>
          <w:u w:val="single"/>
        </w:rPr>
        <w:t>Dôvody pre okamžité ukončenie liečby</w:t>
      </w:r>
      <w:r w:rsidRPr="00B272D3">
        <w:rPr>
          <w:noProof/>
          <w:u w:val="single"/>
        </w:rPr>
        <w:br/>
      </w:r>
      <w:r w:rsidRPr="00B272D3">
        <w:rPr>
          <w:noProof/>
        </w:rPr>
        <w:t>Liečba sa m</w:t>
      </w:r>
      <w:r w:rsidR="00804F32" w:rsidRPr="00B272D3">
        <w:rPr>
          <w:noProof/>
        </w:rPr>
        <w:t>á</w:t>
      </w:r>
      <w:r w:rsidRPr="00B272D3">
        <w:rPr>
          <w:noProof/>
        </w:rPr>
        <w:t xml:space="preserve"> </w:t>
      </w:r>
      <w:r w:rsidR="002A6064" w:rsidRPr="00B272D3">
        <w:rPr>
          <w:noProof/>
        </w:rPr>
        <w:t>ukončiť, ak sa</w:t>
      </w:r>
      <w:r w:rsidRPr="00B272D3">
        <w:rPr>
          <w:noProof/>
        </w:rPr>
        <w:t xml:space="preserve"> zist</w:t>
      </w:r>
      <w:r w:rsidR="002A6064" w:rsidRPr="00B272D3">
        <w:rPr>
          <w:noProof/>
        </w:rPr>
        <w:t>ia</w:t>
      </w:r>
      <w:r w:rsidRPr="00B272D3">
        <w:rPr>
          <w:noProof/>
        </w:rPr>
        <w:t xml:space="preserve"> kontraindikácie a</w:t>
      </w:r>
      <w:r w:rsidR="00B3077D">
        <w:rPr>
          <w:noProof/>
        </w:rPr>
        <w:t xml:space="preserve"> </w:t>
      </w:r>
      <w:r w:rsidRPr="00B272D3">
        <w:rPr>
          <w:noProof/>
        </w:rPr>
        <w:t xml:space="preserve">v </w:t>
      </w:r>
      <w:r w:rsidR="002A6064" w:rsidRPr="00B272D3">
        <w:rPr>
          <w:noProof/>
        </w:rPr>
        <w:t xml:space="preserve">prípade </w:t>
      </w:r>
      <w:r w:rsidRPr="00B272D3">
        <w:rPr>
          <w:noProof/>
        </w:rPr>
        <w:t xml:space="preserve">nasledujúcich </w:t>
      </w:r>
      <w:r w:rsidR="002A6064" w:rsidRPr="00B272D3">
        <w:rPr>
          <w:noProof/>
        </w:rPr>
        <w:t>stavov</w:t>
      </w:r>
      <w:r w:rsidRPr="00B272D3">
        <w:rPr>
          <w:noProof/>
        </w:rPr>
        <w:t>:</w:t>
      </w:r>
      <w:r w:rsidRPr="00B272D3">
        <w:rPr>
          <w:noProof/>
        </w:rPr>
        <w:br/>
        <w:t xml:space="preserve">- </w:t>
      </w:r>
      <w:r w:rsidR="002A6064" w:rsidRPr="00B272D3">
        <w:rPr>
          <w:noProof/>
        </w:rPr>
        <w:tab/>
        <w:t>ž</w:t>
      </w:r>
      <w:r w:rsidRPr="00B272D3">
        <w:rPr>
          <w:noProof/>
        </w:rPr>
        <w:t>ltačka alebo zhoršenie funkcie pečene;</w:t>
      </w:r>
      <w:r w:rsidRPr="00B272D3">
        <w:rPr>
          <w:noProof/>
        </w:rPr>
        <w:br/>
        <w:t xml:space="preserve">- </w:t>
      </w:r>
      <w:r w:rsidR="002A6064" w:rsidRPr="00B272D3">
        <w:rPr>
          <w:noProof/>
        </w:rPr>
        <w:tab/>
        <w:t>v</w:t>
      </w:r>
      <w:r w:rsidRPr="00B272D3">
        <w:rPr>
          <w:noProof/>
        </w:rPr>
        <w:t>ýznamné zvýšenie krvného tlaku;</w:t>
      </w:r>
      <w:r w:rsidRPr="00B272D3">
        <w:rPr>
          <w:noProof/>
        </w:rPr>
        <w:br/>
        <w:t xml:space="preserve">- </w:t>
      </w:r>
      <w:r w:rsidR="002A6064" w:rsidRPr="00B272D3">
        <w:rPr>
          <w:noProof/>
        </w:rPr>
        <w:tab/>
        <w:t>nový výskyt bolestí hlavy typu migrén</w:t>
      </w:r>
      <w:r w:rsidR="00B3077D">
        <w:rPr>
          <w:noProof/>
        </w:rPr>
        <w:t>y</w:t>
      </w:r>
      <w:r w:rsidRPr="00B272D3">
        <w:rPr>
          <w:noProof/>
        </w:rPr>
        <w:t>;</w:t>
      </w:r>
      <w:r w:rsidRPr="00B272D3">
        <w:rPr>
          <w:noProof/>
        </w:rPr>
        <w:br/>
        <w:t xml:space="preserve">- </w:t>
      </w:r>
      <w:r w:rsidR="002A6064" w:rsidRPr="00B272D3">
        <w:rPr>
          <w:noProof/>
        </w:rPr>
        <w:tab/>
        <w:t>g</w:t>
      </w:r>
      <w:r w:rsidR="00804F32" w:rsidRPr="00B272D3">
        <w:rPr>
          <w:noProof/>
        </w:rPr>
        <w:t>ravidita</w:t>
      </w:r>
      <w:r w:rsidRPr="00B272D3">
        <w:rPr>
          <w:noProof/>
        </w:rPr>
        <w:t>.</w:t>
      </w:r>
    </w:p>
    <w:p w:rsidR="00070BC8" w:rsidRPr="00B272D3" w:rsidRDefault="00070BC8" w:rsidP="0079480E">
      <w:pPr>
        <w:tabs>
          <w:tab w:val="clear" w:pos="567"/>
        </w:tabs>
        <w:spacing w:line="240" w:lineRule="auto"/>
        <w:rPr>
          <w:noProof/>
          <w:u w:val="single"/>
        </w:rPr>
      </w:pPr>
    </w:p>
    <w:p w:rsidR="00070BC8" w:rsidRPr="00B272D3" w:rsidRDefault="00287974" w:rsidP="0079480E">
      <w:pPr>
        <w:tabs>
          <w:tab w:val="clear" w:pos="567"/>
        </w:tabs>
        <w:spacing w:line="240" w:lineRule="auto"/>
        <w:rPr>
          <w:noProof/>
        </w:rPr>
      </w:pPr>
      <w:r w:rsidRPr="00B272D3">
        <w:rPr>
          <w:noProof/>
          <w:u w:val="single"/>
        </w:rPr>
        <w:t>Hyperplázia a karcinóm</w:t>
      </w:r>
      <w:r w:rsidR="002A6064" w:rsidRPr="00B272D3">
        <w:rPr>
          <w:noProof/>
          <w:u w:val="single"/>
        </w:rPr>
        <w:t xml:space="preserve"> endometria</w:t>
      </w:r>
      <w:r w:rsidRPr="00B272D3">
        <w:rPr>
          <w:noProof/>
          <w:u w:val="single"/>
        </w:rPr>
        <w:br/>
      </w:r>
      <w:r w:rsidR="002A6064" w:rsidRPr="00B272D3">
        <w:rPr>
          <w:noProof/>
        </w:rPr>
        <w:t>Ženy</w:t>
      </w:r>
      <w:r w:rsidRPr="00B272D3">
        <w:rPr>
          <w:noProof/>
        </w:rPr>
        <w:t xml:space="preserve"> s </w:t>
      </w:r>
      <w:r w:rsidR="002A6064" w:rsidRPr="00B272D3">
        <w:rPr>
          <w:noProof/>
        </w:rPr>
        <w:t>intaktnou</w:t>
      </w:r>
      <w:r w:rsidRPr="00B272D3">
        <w:rPr>
          <w:noProof/>
        </w:rPr>
        <w:t xml:space="preserve"> maternicou, ktoré boli v minulosti </w:t>
      </w:r>
      <w:r w:rsidRPr="00B3077D">
        <w:rPr>
          <w:noProof/>
        </w:rPr>
        <w:t xml:space="preserve">liečené </w:t>
      </w:r>
      <w:r w:rsidR="002A6064" w:rsidRPr="00B3077D">
        <w:rPr>
          <w:noProof/>
        </w:rPr>
        <w:t>samotnými</w:t>
      </w:r>
      <w:r w:rsidRPr="00B3077D">
        <w:rPr>
          <w:noProof/>
        </w:rPr>
        <w:t xml:space="preserve"> est</w:t>
      </w:r>
      <w:r w:rsidRPr="00B272D3">
        <w:rPr>
          <w:noProof/>
        </w:rPr>
        <w:t xml:space="preserve">rogénmi, sa majú pred začatím liečby </w:t>
      </w:r>
      <w:r w:rsidRPr="00B272D3">
        <w:t>V</w:t>
      </w:r>
      <w:r w:rsidR="00FA0B83">
        <w:t>agiruxom</w:t>
      </w:r>
      <w:r w:rsidRPr="00B272D3">
        <w:rPr>
          <w:noProof/>
        </w:rPr>
        <w:t xml:space="preserve"> starostlivo vyšetriť, aby sa vylúčila hyperstimulácia/malignita endometria.</w:t>
      </w:r>
      <w:r w:rsidRPr="00B272D3">
        <w:rPr>
          <w:noProof/>
        </w:rPr>
        <w:br/>
      </w:r>
      <w:r w:rsidRPr="00B272D3">
        <w:rPr>
          <w:noProof/>
        </w:rPr>
        <w:br/>
        <w:t xml:space="preserve">U </w:t>
      </w:r>
      <w:r w:rsidR="0014056B" w:rsidRPr="00B272D3">
        <w:rPr>
          <w:noProof/>
        </w:rPr>
        <w:t>žien</w:t>
      </w:r>
      <w:r w:rsidRPr="00B272D3">
        <w:rPr>
          <w:noProof/>
        </w:rPr>
        <w:t xml:space="preserve"> s </w:t>
      </w:r>
      <w:r w:rsidR="0014056B" w:rsidRPr="00B272D3">
        <w:rPr>
          <w:noProof/>
        </w:rPr>
        <w:t>intaktnou</w:t>
      </w:r>
      <w:r w:rsidRPr="00B272D3">
        <w:rPr>
          <w:noProof/>
        </w:rPr>
        <w:t xml:space="preserve"> maternicou </w:t>
      </w:r>
      <w:r w:rsidR="0014056B" w:rsidRPr="00B272D3">
        <w:rPr>
          <w:noProof/>
        </w:rPr>
        <w:t>sa</w:t>
      </w:r>
      <w:r w:rsidRPr="00B272D3">
        <w:rPr>
          <w:noProof/>
        </w:rPr>
        <w:t xml:space="preserve"> riziko hyperplázie a karcinómu </w:t>
      </w:r>
      <w:r w:rsidR="0014056B" w:rsidRPr="00B272D3">
        <w:rPr>
          <w:noProof/>
        </w:rPr>
        <w:t>endometria zvy</w:t>
      </w:r>
      <w:r w:rsidRPr="00B272D3">
        <w:rPr>
          <w:noProof/>
        </w:rPr>
        <w:t>š</w:t>
      </w:r>
      <w:r w:rsidR="0014056B" w:rsidRPr="00B272D3">
        <w:rPr>
          <w:noProof/>
        </w:rPr>
        <w:t>uje</w:t>
      </w:r>
      <w:r w:rsidRPr="00B272D3">
        <w:rPr>
          <w:noProof/>
        </w:rPr>
        <w:t xml:space="preserve">, ak sa systémové estrogény podávajú samostatne po dlhšiu dobu. </w:t>
      </w:r>
      <w:r w:rsidR="00B9305F" w:rsidRPr="00B272D3">
        <w:t>Pri</w:t>
      </w:r>
      <w:r w:rsidR="00C55683" w:rsidRPr="00B272D3">
        <w:t xml:space="preserve"> liek</w:t>
      </w:r>
      <w:r w:rsidR="00B9305F" w:rsidRPr="00B272D3">
        <w:t>och</w:t>
      </w:r>
      <w:r w:rsidR="00C55683" w:rsidRPr="00B272D3">
        <w:t xml:space="preserve"> s obsahom estrogénu na vaginálnu aplikáciu, ako je V</w:t>
      </w:r>
      <w:r w:rsidR="00FA0B83">
        <w:t>agirux</w:t>
      </w:r>
      <w:r w:rsidR="00C55683" w:rsidRPr="00B272D3">
        <w:t>, ktorých systémová expozícia estrogénu zostáva v rámci normálneho postmenopauzálneho rozmedzia, sa neodporúča pridávať progestagén.</w:t>
      </w:r>
      <w:r w:rsidRPr="00B272D3">
        <w:rPr>
          <w:noProof/>
        </w:rPr>
        <w:br/>
      </w:r>
      <w:r w:rsidRPr="00B272D3">
        <w:rPr>
          <w:noProof/>
        </w:rPr>
        <w:br/>
        <w:t xml:space="preserve">Počas liečby vaginálnymi tabletami </w:t>
      </w:r>
      <w:r w:rsidR="00C55683" w:rsidRPr="00B272D3">
        <w:rPr>
          <w:noProof/>
        </w:rPr>
        <w:t xml:space="preserve">s obsahom </w:t>
      </w:r>
      <w:r w:rsidRPr="00B272D3">
        <w:rPr>
          <w:noProof/>
        </w:rPr>
        <w:t xml:space="preserve">10 mikrogramov </w:t>
      </w:r>
      <w:r w:rsidR="00C55683" w:rsidRPr="00B272D3">
        <w:rPr>
          <w:noProof/>
        </w:rPr>
        <w:t xml:space="preserve">estradiolu </w:t>
      </w:r>
      <w:r w:rsidR="00B9305F" w:rsidRPr="00B272D3">
        <w:rPr>
          <w:noProof/>
        </w:rPr>
        <w:t>môže</w:t>
      </w:r>
      <w:r w:rsidR="00C55683" w:rsidRPr="00B272D3">
        <w:rPr>
          <w:noProof/>
        </w:rPr>
        <w:t xml:space="preserve"> u niektorých pacientok</w:t>
      </w:r>
      <w:r w:rsidRPr="00B272D3">
        <w:rPr>
          <w:noProof/>
        </w:rPr>
        <w:t xml:space="preserve"> </w:t>
      </w:r>
      <w:r w:rsidR="00B9305F" w:rsidRPr="00B272D3">
        <w:rPr>
          <w:noProof/>
        </w:rPr>
        <w:t>nastať</w:t>
      </w:r>
      <w:r w:rsidRPr="00B272D3">
        <w:rPr>
          <w:noProof/>
        </w:rPr>
        <w:t xml:space="preserve"> malý stupeň systémovej absorpcie, najmä počas prvých dv</w:t>
      </w:r>
      <w:r w:rsidR="00C55683" w:rsidRPr="00B272D3">
        <w:rPr>
          <w:noProof/>
        </w:rPr>
        <w:t>o</w:t>
      </w:r>
      <w:r w:rsidR="00B9305F" w:rsidRPr="00B272D3">
        <w:rPr>
          <w:noProof/>
        </w:rPr>
        <w:t>ch týždňov podávania raz denne. Priemerná</w:t>
      </w:r>
      <w:r w:rsidRPr="00B272D3">
        <w:rPr>
          <w:noProof/>
        </w:rPr>
        <w:t xml:space="preserve"> </w:t>
      </w:r>
      <w:r w:rsidR="00B9305F" w:rsidRPr="00B272D3">
        <w:rPr>
          <w:noProof/>
        </w:rPr>
        <w:t>koncentrácia</w:t>
      </w:r>
      <w:r w:rsidRPr="00B272D3">
        <w:rPr>
          <w:noProof/>
        </w:rPr>
        <w:t xml:space="preserve"> </w:t>
      </w:r>
      <w:r w:rsidR="00DC444A">
        <w:rPr>
          <w:noProof/>
        </w:rPr>
        <w:t>estradiolu (</w:t>
      </w:r>
      <w:r w:rsidRPr="00B272D3">
        <w:rPr>
          <w:noProof/>
        </w:rPr>
        <w:t>E2</w:t>
      </w:r>
      <w:r w:rsidR="00DC444A">
        <w:rPr>
          <w:noProof/>
        </w:rPr>
        <w:t>)</w:t>
      </w:r>
      <w:r w:rsidRPr="00B272D3">
        <w:rPr>
          <w:noProof/>
        </w:rPr>
        <w:t xml:space="preserve"> </w:t>
      </w:r>
      <w:r w:rsidR="00B9305F" w:rsidRPr="00B272D3">
        <w:rPr>
          <w:noProof/>
        </w:rPr>
        <w:t xml:space="preserve">v plazme </w:t>
      </w:r>
      <w:r w:rsidRPr="00B272D3">
        <w:rPr>
          <w:noProof/>
        </w:rPr>
        <w:t>(</w:t>
      </w:r>
      <w:r w:rsidR="00C55683" w:rsidRPr="00B272D3">
        <w:rPr>
          <w:noProof/>
        </w:rPr>
        <w:t>C</w:t>
      </w:r>
      <w:r w:rsidR="00C55683" w:rsidRPr="00B272D3">
        <w:rPr>
          <w:noProof/>
          <w:vertAlign w:val="subscript"/>
        </w:rPr>
        <w:t>ave</w:t>
      </w:r>
      <w:r w:rsidRPr="00B272D3">
        <w:rPr>
          <w:noProof/>
          <w:vertAlign w:val="subscript"/>
        </w:rPr>
        <w:t xml:space="preserve"> (0-24)</w:t>
      </w:r>
      <w:r w:rsidRPr="00B272D3">
        <w:rPr>
          <w:noProof/>
        </w:rPr>
        <w:t xml:space="preserve">) </w:t>
      </w:r>
      <w:r w:rsidR="00B9305F" w:rsidRPr="00B272D3">
        <w:rPr>
          <w:noProof/>
        </w:rPr>
        <w:t>však zostávala počas</w:t>
      </w:r>
      <w:r w:rsidRPr="00B272D3">
        <w:rPr>
          <w:noProof/>
        </w:rPr>
        <w:t xml:space="preserve"> všetkých </w:t>
      </w:r>
      <w:r w:rsidR="00B9305F" w:rsidRPr="00B272D3">
        <w:rPr>
          <w:noProof/>
        </w:rPr>
        <w:t>sledovaných</w:t>
      </w:r>
      <w:r w:rsidRPr="00B272D3">
        <w:rPr>
          <w:noProof/>
        </w:rPr>
        <w:t xml:space="preserve"> d</w:t>
      </w:r>
      <w:r w:rsidR="00B9305F" w:rsidRPr="00B272D3">
        <w:rPr>
          <w:noProof/>
        </w:rPr>
        <w:t>ní</w:t>
      </w:r>
      <w:r w:rsidRPr="00B272D3">
        <w:rPr>
          <w:noProof/>
        </w:rPr>
        <w:t xml:space="preserve"> </w:t>
      </w:r>
      <w:r w:rsidR="00C55683" w:rsidRPr="00B272D3">
        <w:rPr>
          <w:noProof/>
        </w:rPr>
        <w:t xml:space="preserve">u všetkých </w:t>
      </w:r>
      <w:r w:rsidR="00B9305F" w:rsidRPr="00B272D3">
        <w:rPr>
          <w:noProof/>
        </w:rPr>
        <w:t>subjektov</w:t>
      </w:r>
      <w:r w:rsidR="00C55683" w:rsidRPr="00B272D3">
        <w:rPr>
          <w:noProof/>
        </w:rPr>
        <w:t xml:space="preserve"> </w:t>
      </w:r>
      <w:r w:rsidRPr="00B272D3">
        <w:rPr>
          <w:noProof/>
        </w:rPr>
        <w:t>v</w:t>
      </w:r>
      <w:r w:rsidR="00C55683" w:rsidRPr="00B272D3">
        <w:rPr>
          <w:noProof/>
        </w:rPr>
        <w:t> rámci</w:t>
      </w:r>
      <w:r w:rsidRPr="00B272D3">
        <w:rPr>
          <w:noProof/>
        </w:rPr>
        <w:t xml:space="preserve"> </w:t>
      </w:r>
      <w:r w:rsidR="00C55683" w:rsidRPr="00B272D3">
        <w:rPr>
          <w:noProof/>
        </w:rPr>
        <w:t xml:space="preserve">normálneho </w:t>
      </w:r>
      <w:r w:rsidRPr="00B272D3">
        <w:rPr>
          <w:noProof/>
        </w:rPr>
        <w:t>postmenopauzáln</w:t>
      </w:r>
      <w:r w:rsidR="00C55683" w:rsidRPr="00B272D3">
        <w:rPr>
          <w:noProof/>
        </w:rPr>
        <w:t>e</w:t>
      </w:r>
      <w:r w:rsidRPr="00B272D3">
        <w:rPr>
          <w:noProof/>
        </w:rPr>
        <w:t>h</w:t>
      </w:r>
      <w:r w:rsidR="00C55683" w:rsidRPr="00B272D3">
        <w:rPr>
          <w:noProof/>
        </w:rPr>
        <w:t>o</w:t>
      </w:r>
      <w:r w:rsidRPr="00B272D3">
        <w:rPr>
          <w:noProof/>
        </w:rPr>
        <w:t xml:space="preserve"> </w:t>
      </w:r>
      <w:r w:rsidR="00C55683" w:rsidRPr="00B272D3">
        <w:rPr>
          <w:noProof/>
        </w:rPr>
        <w:t>rozmedzia</w:t>
      </w:r>
      <w:r w:rsidRPr="00B272D3">
        <w:rPr>
          <w:noProof/>
        </w:rPr>
        <w:t xml:space="preserve"> (pozri časť 5.2).</w:t>
      </w:r>
      <w:r w:rsidRPr="00B272D3">
        <w:rPr>
          <w:noProof/>
        </w:rPr>
        <w:br/>
      </w:r>
      <w:r w:rsidRPr="00B272D3">
        <w:rPr>
          <w:noProof/>
        </w:rPr>
        <w:br/>
      </w:r>
      <w:r w:rsidR="006D4E3D" w:rsidRPr="00B272D3">
        <w:rPr>
          <w:noProof/>
        </w:rPr>
        <w:t>Endometriálna b</w:t>
      </w:r>
      <w:r w:rsidRPr="00B272D3">
        <w:rPr>
          <w:noProof/>
        </w:rPr>
        <w:t>ezpečnosť pri dlhodob</w:t>
      </w:r>
      <w:r w:rsidR="00B9305F" w:rsidRPr="00B272D3">
        <w:rPr>
          <w:noProof/>
        </w:rPr>
        <w:t>ej liečbe</w:t>
      </w:r>
      <w:r w:rsidRPr="00B272D3">
        <w:rPr>
          <w:noProof/>
        </w:rPr>
        <w:t xml:space="preserve"> (</w:t>
      </w:r>
      <w:r w:rsidR="00DC444A">
        <w:rPr>
          <w:noProof/>
        </w:rPr>
        <w:t>dlhšie</w:t>
      </w:r>
      <w:r w:rsidRPr="00B272D3">
        <w:rPr>
          <w:noProof/>
        </w:rPr>
        <w:t xml:space="preserve"> ako </w:t>
      </w:r>
      <w:r w:rsidR="00B9305F" w:rsidRPr="00B272D3">
        <w:rPr>
          <w:noProof/>
        </w:rPr>
        <w:t>1</w:t>
      </w:r>
      <w:r w:rsidRPr="00B272D3">
        <w:rPr>
          <w:noProof/>
        </w:rPr>
        <w:t xml:space="preserve"> rok) alebo </w:t>
      </w:r>
      <w:r w:rsidR="00B9305F" w:rsidRPr="00B272D3">
        <w:rPr>
          <w:noProof/>
        </w:rPr>
        <w:t>pri opakovanom používan</w:t>
      </w:r>
      <w:r w:rsidRPr="00B272D3">
        <w:rPr>
          <w:noProof/>
        </w:rPr>
        <w:t xml:space="preserve">í lokálne vaginálne podávaného estrogénu nie je známa. </w:t>
      </w:r>
      <w:r w:rsidR="00B9305F" w:rsidRPr="00B272D3">
        <w:rPr>
          <w:noProof/>
        </w:rPr>
        <w:t>Ak sa liek podáva</w:t>
      </w:r>
      <w:r w:rsidR="00C55683" w:rsidRPr="00B272D3">
        <w:rPr>
          <w:noProof/>
        </w:rPr>
        <w:t xml:space="preserve"> </w:t>
      </w:r>
      <w:r w:rsidRPr="00B272D3">
        <w:rPr>
          <w:noProof/>
        </w:rPr>
        <w:t>opak</w:t>
      </w:r>
      <w:r w:rsidR="00C55683" w:rsidRPr="00B272D3">
        <w:rPr>
          <w:noProof/>
        </w:rPr>
        <w:t>ova</w:t>
      </w:r>
      <w:r w:rsidR="00B9305F" w:rsidRPr="00B272D3">
        <w:rPr>
          <w:noProof/>
        </w:rPr>
        <w:t xml:space="preserve">ne, </w:t>
      </w:r>
      <w:r w:rsidR="00C55683" w:rsidRPr="00B272D3">
        <w:rPr>
          <w:noProof/>
        </w:rPr>
        <w:t>liečba</w:t>
      </w:r>
      <w:r w:rsidRPr="00B272D3">
        <w:rPr>
          <w:noProof/>
        </w:rPr>
        <w:t xml:space="preserve"> </w:t>
      </w:r>
      <w:r w:rsidR="00B9305F" w:rsidRPr="00B272D3">
        <w:rPr>
          <w:noProof/>
        </w:rPr>
        <w:t xml:space="preserve">sa má </w:t>
      </w:r>
      <w:r w:rsidRPr="00B272D3">
        <w:rPr>
          <w:noProof/>
        </w:rPr>
        <w:t>prehodno</w:t>
      </w:r>
      <w:r w:rsidR="00C55683" w:rsidRPr="00B272D3">
        <w:rPr>
          <w:noProof/>
        </w:rPr>
        <w:t>ti</w:t>
      </w:r>
      <w:r w:rsidRPr="00B272D3">
        <w:rPr>
          <w:noProof/>
        </w:rPr>
        <w:t xml:space="preserve">ť najmenej raz ročne, pričom sa </w:t>
      </w:r>
      <w:r w:rsidR="00C55683" w:rsidRPr="00B272D3">
        <w:rPr>
          <w:noProof/>
        </w:rPr>
        <w:t xml:space="preserve">má </w:t>
      </w:r>
      <w:r w:rsidRPr="00B272D3">
        <w:rPr>
          <w:noProof/>
        </w:rPr>
        <w:t>osobitná pozornosť venovať akýmkoľvek príznakom hyperplázie alebo karcinómu</w:t>
      </w:r>
      <w:r w:rsidR="00B9305F" w:rsidRPr="00B272D3">
        <w:rPr>
          <w:noProof/>
        </w:rPr>
        <w:t xml:space="preserve"> endometria</w:t>
      </w:r>
      <w:r w:rsidRPr="00B272D3">
        <w:rPr>
          <w:noProof/>
        </w:rPr>
        <w:t>.</w:t>
      </w:r>
      <w:r w:rsidRPr="00B272D3">
        <w:rPr>
          <w:noProof/>
        </w:rPr>
        <w:br/>
      </w:r>
      <w:r w:rsidRPr="00B272D3">
        <w:rPr>
          <w:noProof/>
        </w:rPr>
        <w:br/>
        <w:t xml:space="preserve">Vo všeobecnosti </w:t>
      </w:r>
      <w:r w:rsidR="005958CF" w:rsidRPr="00B272D3">
        <w:rPr>
          <w:noProof/>
        </w:rPr>
        <w:t xml:space="preserve">platí, že </w:t>
      </w:r>
      <w:r w:rsidRPr="00B272D3">
        <w:rPr>
          <w:noProof/>
        </w:rPr>
        <w:t>substitučná terapia estrogénm</w:t>
      </w:r>
      <w:r w:rsidR="005958CF" w:rsidRPr="00B272D3">
        <w:rPr>
          <w:noProof/>
        </w:rPr>
        <w:t>i</w:t>
      </w:r>
      <w:r w:rsidRPr="00B272D3">
        <w:rPr>
          <w:noProof/>
        </w:rPr>
        <w:t xml:space="preserve"> </w:t>
      </w:r>
      <w:r w:rsidR="005958CF" w:rsidRPr="00B272D3">
        <w:rPr>
          <w:noProof/>
        </w:rPr>
        <w:t xml:space="preserve">sa </w:t>
      </w:r>
      <w:r w:rsidRPr="00B272D3">
        <w:rPr>
          <w:noProof/>
        </w:rPr>
        <w:t>nem</w:t>
      </w:r>
      <w:r w:rsidR="005958CF" w:rsidRPr="00B272D3">
        <w:rPr>
          <w:noProof/>
        </w:rPr>
        <w:t>á</w:t>
      </w:r>
      <w:r w:rsidRPr="00B272D3">
        <w:rPr>
          <w:noProof/>
        </w:rPr>
        <w:t xml:space="preserve"> predpisovať </w:t>
      </w:r>
      <w:r w:rsidR="005958CF" w:rsidRPr="00B272D3">
        <w:rPr>
          <w:noProof/>
        </w:rPr>
        <w:t xml:space="preserve">na </w:t>
      </w:r>
      <w:r w:rsidRPr="00B272D3">
        <w:rPr>
          <w:noProof/>
        </w:rPr>
        <w:t>dlhšie ako jeden rok bez vykonania iného fyzik</w:t>
      </w:r>
      <w:r w:rsidR="005958CF" w:rsidRPr="00B272D3">
        <w:rPr>
          <w:noProof/>
        </w:rPr>
        <w:t>álne</w:t>
      </w:r>
      <w:r w:rsidRPr="00B272D3">
        <w:rPr>
          <w:noProof/>
        </w:rPr>
        <w:t>ho vyšetrenia, vrátane gynekologického vyšetrenia. Ak sa kedykoľvek počas liečby</w:t>
      </w:r>
      <w:r w:rsidR="005958CF" w:rsidRPr="00B272D3">
        <w:rPr>
          <w:noProof/>
        </w:rPr>
        <w:t xml:space="preserve"> objaví krvácanie alebo špinenie</w:t>
      </w:r>
      <w:r w:rsidRPr="00B272D3">
        <w:rPr>
          <w:noProof/>
        </w:rPr>
        <w:t>, m</w:t>
      </w:r>
      <w:r w:rsidR="005958CF" w:rsidRPr="00B272D3">
        <w:rPr>
          <w:noProof/>
        </w:rPr>
        <w:t>á</w:t>
      </w:r>
      <w:r w:rsidRPr="00B272D3">
        <w:rPr>
          <w:noProof/>
        </w:rPr>
        <w:t xml:space="preserve"> sa </w:t>
      </w:r>
      <w:r w:rsidR="00B9305F" w:rsidRPr="00B272D3">
        <w:rPr>
          <w:noProof/>
        </w:rPr>
        <w:t>zistiť dôvod. Vyšetrenie</w:t>
      </w:r>
      <w:r w:rsidRPr="00B272D3">
        <w:rPr>
          <w:noProof/>
        </w:rPr>
        <w:t xml:space="preserve"> môže zahŕňať biopsiu endometria s cieľom vylúčiť malignitu endometria. </w:t>
      </w:r>
      <w:r w:rsidR="005958CF" w:rsidRPr="00B272D3">
        <w:rPr>
          <w:noProof/>
        </w:rPr>
        <w:t>Pacientku treba poučiť, že a</w:t>
      </w:r>
      <w:r w:rsidRPr="00B272D3">
        <w:rPr>
          <w:noProof/>
        </w:rPr>
        <w:t xml:space="preserve">k sa počas liečby </w:t>
      </w:r>
      <w:r w:rsidR="005958CF" w:rsidRPr="00B272D3">
        <w:t>V</w:t>
      </w:r>
      <w:r w:rsidR="00FA0B83">
        <w:t>agiruxom</w:t>
      </w:r>
      <w:r w:rsidR="005958CF" w:rsidRPr="00B272D3">
        <w:rPr>
          <w:noProof/>
        </w:rPr>
        <w:t xml:space="preserve"> </w:t>
      </w:r>
      <w:r w:rsidR="00B9305F" w:rsidRPr="00B272D3">
        <w:rPr>
          <w:noProof/>
        </w:rPr>
        <w:t>objaví</w:t>
      </w:r>
      <w:r w:rsidRPr="00B272D3">
        <w:rPr>
          <w:noProof/>
        </w:rPr>
        <w:t xml:space="preserve"> krvácanie alebo špinenie, m</w:t>
      </w:r>
      <w:r w:rsidR="005958CF" w:rsidRPr="00B272D3">
        <w:rPr>
          <w:noProof/>
        </w:rPr>
        <w:t>á to</w:t>
      </w:r>
      <w:r w:rsidRPr="00B272D3">
        <w:rPr>
          <w:noProof/>
        </w:rPr>
        <w:t xml:space="preserve"> </w:t>
      </w:r>
      <w:r w:rsidR="005958CF" w:rsidRPr="00B272D3">
        <w:rPr>
          <w:noProof/>
        </w:rPr>
        <w:t xml:space="preserve">oznámiť </w:t>
      </w:r>
      <w:r w:rsidRPr="00B272D3">
        <w:rPr>
          <w:noProof/>
        </w:rPr>
        <w:t>svojm</w:t>
      </w:r>
      <w:r w:rsidR="005958CF" w:rsidRPr="00B272D3">
        <w:rPr>
          <w:noProof/>
        </w:rPr>
        <w:t>u</w:t>
      </w:r>
      <w:r w:rsidRPr="00B272D3">
        <w:rPr>
          <w:noProof/>
        </w:rPr>
        <w:t xml:space="preserve"> lekáro</w:t>
      </w:r>
      <w:r w:rsidR="005958CF" w:rsidRPr="00B272D3">
        <w:rPr>
          <w:noProof/>
        </w:rPr>
        <w:t>vi</w:t>
      </w:r>
      <w:r w:rsidRPr="00B272D3">
        <w:rPr>
          <w:noProof/>
        </w:rPr>
        <w:t>.</w:t>
      </w:r>
      <w:r w:rsidRPr="00B272D3">
        <w:rPr>
          <w:noProof/>
        </w:rPr>
        <w:br/>
      </w:r>
      <w:r w:rsidRPr="00B272D3">
        <w:rPr>
          <w:noProof/>
        </w:rPr>
        <w:br/>
      </w:r>
      <w:r w:rsidR="002C45F8" w:rsidRPr="00DC444A">
        <w:rPr>
          <w:noProof/>
        </w:rPr>
        <w:t>S</w:t>
      </w:r>
      <w:r w:rsidRPr="00DC444A">
        <w:rPr>
          <w:noProof/>
        </w:rPr>
        <w:t xml:space="preserve">timulácia </w:t>
      </w:r>
      <w:r w:rsidR="00B9305F" w:rsidRPr="00DC444A">
        <w:rPr>
          <w:noProof/>
        </w:rPr>
        <w:t>samotnými</w:t>
      </w:r>
      <w:r w:rsidR="002C45F8" w:rsidRPr="00DC444A">
        <w:rPr>
          <w:noProof/>
        </w:rPr>
        <w:t xml:space="preserve"> </w:t>
      </w:r>
      <w:r w:rsidRPr="00DC444A">
        <w:rPr>
          <w:noProof/>
        </w:rPr>
        <w:t>estrogénm</w:t>
      </w:r>
      <w:r w:rsidR="002C45F8" w:rsidRPr="00DC444A">
        <w:rPr>
          <w:noProof/>
        </w:rPr>
        <w:t>i</w:t>
      </w:r>
      <w:r w:rsidRPr="00B272D3">
        <w:rPr>
          <w:noProof/>
        </w:rPr>
        <w:t xml:space="preserve"> môže viesť k premalígnej</w:t>
      </w:r>
      <w:r w:rsidR="002C45F8" w:rsidRPr="00B272D3">
        <w:rPr>
          <w:noProof/>
        </w:rPr>
        <w:t xml:space="preserve"> alebo malígnej tra</w:t>
      </w:r>
      <w:r w:rsidR="00B9305F" w:rsidRPr="00B272D3">
        <w:rPr>
          <w:noProof/>
        </w:rPr>
        <w:t>nsformáci</w:t>
      </w:r>
      <w:r w:rsidR="00DC444A">
        <w:rPr>
          <w:noProof/>
        </w:rPr>
        <w:t>i</w:t>
      </w:r>
      <w:r w:rsidR="00B9305F" w:rsidRPr="00B272D3">
        <w:rPr>
          <w:noProof/>
        </w:rPr>
        <w:t xml:space="preserve"> </w:t>
      </w:r>
      <w:r w:rsidRPr="00B272D3">
        <w:rPr>
          <w:noProof/>
        </w:rPr>
        <w:t>reziduálnych lož</w:t>
      </w:r>
      <w:r w:rsidR="00B9305F" w:rsidRPr="00B272D3">
        <w:rPr>
          <w:noProof/>
        </w:rPr>
        <w:t>í</w:t>
      </w:r>
      <w:r w:rsidRPr="00B272D3">
        <w:rPr>
          <w:noProof/>
        </w:rPr>
        <w:t xml:space="preserve">sk endometriózy. Preto sa pri používaní tohto lieku u </w:t>
      </w:r>
      <w:r w:rsidR="00B9305F" w:rsidRPr="00B272D3">
        <w:rPr>
          <w:noProof/>
        </w:rPr>
        <w:t>žien</w:t>
      </w:r>
      <w:r w:rsidRPr="00B272D3">
        <w:rPr>
          <w:noProof/>
        </w:rPr>
        <w:t xml:space="preserve">, ktoré podstúpili hysterektómiu </w:t>
      </w:r>
      <w:r w:rsidR="00B9305F" w:rsidRPr="00B272D3">
        <w:rPr>
          <w:noProof/>
        </w:rPr>
        <w:t>z dôvodu endometriózy</w:t>
      </w:r>
      <w:r w:rsidRPr="00B272D3">
        <w:rPr>
          <w:noProof/>
        </w:rPr>
        <w:t xml:space="preserve">, najmä ak je </w:t>
      </w:r>
      <w:r w:rsidR="002C45F8" w:rsidRPr="00B272D3">
        <w:rPr>
          <w:noProof/>
        </w:rPr>
        <w:t xml:space="preserve">u nich </w:t>
      </w:r>
      <w:r w:rsidRPr="00B272D3">
        <w:rPr>
          <w:noProof/>
        </w:rPr>
        <w:t>znám</w:t>
      </w:r>
      <w:r w:rsidR="002C45F8" w:rsidRPr="00B272D3">
        <w:rPr>
          <w:noProof/>
        </w:rPr>
        <w:t>a reziduálna endometrióza, odporúča opatrnosť.</w:t>
      </w:r>
      <w:r w:rsidRPr="00B272D3">
        <w:rPr>
          <w:noProof/>
        </w:rPr>
        <w:br/>
      </w:r>
      <w:r w:rsidRPr="00B272D3">
        <w:rPr>
          <w:noProof/>
        </w:rPr>
        <w:br/>
        <w:t xml:space="preserve">Nasledujúce riziká </w:t>
      </w:r>
      <w:r w:rsidR="005F5531" w:rsidRPr="00B272D3">
        <w:rPr>
          <w:noProof/>
        </w:rPr>
        <w:t>sa</w:t>
      </w:r>
      <w:r w:rsidRPr="00B272D3">
        <w:rPr>
          <w:noProof/>
        </w:rPr>
        <w:t xml:space="preserve"> sp</w:t>
      </w:r>
      <w:r w:rsidR="005F5531" w:rsidRPr="00B272D3">
        <w:rPr>
          <w:noProof/>
        </w:rPr>
        <w:t>ájajú</w:t>
      </w:r>
      <w:r w:rsidRPr="00B272D3">
        <w:rPr>
          <w:noProof/>
        </w:rPr>
        <w:t xml:space="preserve"> so </w:t>
      </w:r>
      <w:r w:rsidRPr="00B272D3">
        <w:rPr>
          <w:i/>
          <w:noProof/>
          <w:u w:val="single"/>
        </w:rPr>
        <w:t>systémovou</w:t>
      </w:r>
      <w:r w:rsidR="005F5531" w:rsidRPr="00B272D3">
        <w:rPr>
          <w:noProof/>
        </w:rPr>
        <w:t xml:space="preserve"> HS</w:t>
      </w:r>
      <w:r w:rsidRPr="00B272D3">
        <w:rPr>
          <w:noProof/>
        </w:rPr>
        <w:t xml:space="preserve">T a </w:t>
      </w:r>
      <w:r w:rsidR="00B9305F" w:rsidRPr="00B272D3">
        <w:rPr>
          <w:noProof/>
        </w:rPr>
        <w:t>v menšej miere s</w:t>
      </w:r>
      <w:r w:rsidR="005F5531" w:rsidRPr="00B272D3">
        <w:rPr>
          <w:noProof/>
        </w:rPr>
        <w:t xml:space="preserve"> liek</w:t>
      </w:r>
      <w:r w:rsidR="00B9305F" w:rsidRPr="00B272D3">
        <w:rPr>
          <w:noProof/>
        </w:rPr>
        <w:t>mi</w:t>
      </w:r>
      <w:r w:rsidR="005F5531" w:rsidRPr="00B272D3">
        <w:rPr>
          <w:noProof/>
        </w:rPr>
        <w:t xml:space="preserve"> s obsahom estrogénu pre </w:t>
      </w:r>
      <w:r w:rsidR="005F5531" w:rsidRPr="00B272D3">
        <w:rPr>
          <w:noProof/>
        </w:rPr>
        <w:lastRenderedPageBreak/>
        <w:t>vaginálnu aplikáciu,</w:t>
      </w:r>
      <w:r w:rsidR="005F5531" w:rsidRPr="00B272D3">
        <w:t xml:space="preserve"> ktorých systémová expozícia estrogénu zostáva v rámci normálneho </w:t>
      </w:r>
      <w:r w:rsidR="00B9305F" w:rsidRPr="00B272D3">
        <w:t>postmenopauzálneho rozmedzia</w:t>
      </w:r>
      <w:r w:rsidRPr="00B272D3">
        <w:rPr>
          <w:noProof/>
        </w:rPr>
        <w:t xml:space="preserve">. </w:t>
      </w:r>
      <w:r w:rsidR="005F5531" w:rsidRPr="00B272D3">
        <w:rPr>
          <w:noProof/>
        </w:rPr>
        <w:t xml:space="preserve">V </w:t>
      </w:r>
      <w:r w:rsidRPr="00B272D3">
        <w:rPr>
          <w:noProof/>
        </w:rPr>
        <w:t xml:space="preserve">prípade dlhodobého alebo opakovaného </w:t>
      </w:r>
      <w:r w:rsidR="00B32CBB" w:rsidRPr="00B272D3">
        <w:rPr>
          <w:noProof/>
        </w:rPr>
        <w:t>podávania</w:t>
      </w:r>
      <w:r w:rsidRPr="00B272D3">
        <w:rPr>
          <w:noProof/>
        </w:rPr>
        <w:t xml:space="preserve"> tohto </w:t>
      </w:r>
      <w:r w:rsidR="005F5531" w:rsidRPr="00B272D3">
        <w:rPr>
          <w:noProof/>
        </w:rPr>
        <w:t>lieku sa však majú vziať do úvahy</w:t>
      </w:r>
      <w:r w:rsidRPr="00B272D3">
        <w:rPr>
          <w:noProof/>
        </w:rPr>
        <w:t>.</w:t>
      </w:r>
    </w:p>
    <w:p w:rsidR="00B32CBB" w:rsidRPr="00B272D3" w:rsidRDefault="00B32CBB" w:rsidP="0079480E">
      <w:pPr>
        <w:tabs>
          <w:tab w:val="clear" w:pos="567"/>
        </w:tabs>
        <w:spacing w:line="240" w:lineRule="auto"/>
        <w:rPr>
          <w:noProof/>
        </w:rPr>
      </w:pPr>
    </w:p>
    <w:p w:rsidR="00960A1D" w:rsidRPr="00B272D3" w:rsidRDefault="00960A1D" w:rsidP="0079480E">
      <w:pPr>
        <w:tabs>
          <w:tab w:val="clear" w:pos="567"/>
        </w:tabs>
        <w:spacing w:line="240" w:lineRule="auto"/>
        <w:rPr>
          <w:noProof/>
        </w:rPr>
      </w:pPr>
      <w:r w:rsidRPr="00B272D3">
        <w:rPr>
          <w:noProof/>
          <w:u w:val="single"/>
        </w:rPr>
        <w:t>Rakovina prsníka</w:t>
      </w:r>
      <w:r w:rsidRPr="00B272D3">
        <w:rPr>
          <w:noProof/>
        </w:rPr>
        <w:br/>
      </w:r>
      <w:r w:rsidR="00674EF1" w:rsidRPr="00674EF1">
        <w:rPr>
          <w:noProof/>
        </w:rPr>
        <w:t>Z epidemiologických dôkazov z rozsiahlej meta-analýzy nevyplýva zvýšenie rizika rakoviny prsníka u žien bez rakoviny prsníka v anamnéze, ktoré používajú vaginálne podávané estrogény v nízkej dávke. Nie je známe, či vaginálne estrogény v nízkej dávke stimulujú opätovný výskyt rakoviny prsníka.</w:t>
      </w:r>
      <w:r w:rsidRPr="00B272D3">
        <w:rPr>
          <w:noProof/>
        </w:rPr>
        <w:br/>
      </w:r>
      <w:r w:rsidRPr="00B272D3">
        <w:rPr>
          <w:noProof/>
        </w:rPr>
        <w:br/>
      </w:r>
      <w:r w:rsidRPr="00B272D3">
        <w:rPr>
          <w:noProof/>
          <w:u w:val="single"/>
        </w:rPr>
        <w:t>Rakovina vaječníkov</w:t>
      </w:r>
      <w:r w:rsidRPr="00B272D3">
        <w:rPr>
          <w:noProof/>
          <w:u w:val="single"/>
        </w:rPr>
        <w:br/>
      </w:r>
      <w:r w:rsidRPr="00B272D3">
        <w:rPr>
          <w:noProof/>
        </w:rPr>
        <w:t>Rakovina vaječníkov je omnoho zriedkavejšia ako rakovina prsníka.</w:t>
      </w:r>
      <w:r w:rsidRPr="00B272D3">
        <w:rPr>
          <w:noProof/>
        </w:rPr>
        <w:br/>
        <w:t xml:space="preserve">Epidemiologické dôkazy z veľkej metaanalýzy naznačujú mierne zvýšené riziko </w:t>
      </w:r>
      <w:r w:rsidR="0087303B" w:rsidRPr="00B272D3">
        <w:rPr>
          <w:noProof/>
        </w:rPr>
        <w:t>rakoviny vaječníkov u </w:t>
      </w:r>
      <w:r w:rsidR="0087303B" w:rsidRPr="00B272D3">
        <w:t>žien</w:t>
      </w:r>
      <w:r w:rsidR="001077FC" w:rsidRPr="00B272D3">
        <w:rPr>
          <w:noProof/>
        </w:rPr>
        <w:t>, ktoré</w:t>
      </w:r>
      <w:r w:rsidRPr="00B272D3">
        <w:rPr>
          <w:noProof/>
        </w:rPr>
        <w:t xml:space="preserve"> </w:t>
      </w:r>
      <w:r w:rsidR="001077FC" w:rsidRPr="00B272D3">
        <w:rPr>
          <w:noProof/>
        </w:rPr>
        <w:t>po</w:t>
      </w:r>
      <w:r w:rsidRPr="00B272D3">
        <w:rPr>
          <w:noProof/>
        </w:rPr>
        <w:t xml:space="preserve">užívajú </w:t>
      </w:r>
      <w:r w:rsidR="001077FC" w:rsidRPr="00B272D3">
        <w:rPr>
          <w:i/>
          <w:noProof/>
          <w:u w:val="single"/>
        </w:rPr>
        <w:t>systémovú</w:t>
      </w:r>
      <w:r w:rsidR="001077FC" w:rsidRPr="00B272D3">
        <w:rPr>
          <w:noProof/>
        </w:rPr>
        <w:t xml:space="preserve"> HST s obsahom samotného estrogénu</w:t>
      </w:r>
      <w:r w:rsidR="0087303B" w:rsidRPr="00B272D3">
        <w:rPr>
          <w:noProof/>
        </w:rPr>
        <w:t>. Toto riziko sa prejaví do 5 </w:t>
      </w:r>
      <w:r w:rsidRPr="00B272D3">
        <w:rPr>
          <w:noProof/>
        </w:rPr>
        <w:t xml:space="preserve">rokov </w:t>
      </w:r>
      <w:r w:rsidR="0087303B" w:rsidRPr="00B272D3">
        <w:rPr>
          <w:noProof/>
        </w:rPr>
        <w:t>liečby</w:t>
      </w:r>
      <w:r w:rsidR="001077FC" w:rsidRPr="00B272D3">
        <w:rPr>
          <w:noProof/>
        </w:rPr>
        <w:t xml:space="preserve"> a </w:t>
      </w:r>
      <w:r w:rsidRPr="00B272D3">
        <w:rPr>
          <w:noProof/>
        </w:rPr>
        <w:t xml:space="preserve">po ukončení liečby </w:t>
      </w:r>
      <w:r w:rsidR="001077FC" w:rsidRPr="00B272D3">
        <w:rPr>
          <w:noProof/>
        </w:rPr>
        <w:t xml:space="preserve">sa časom </w:t>
      </w:r>
      <w:r w:rsidRPr="00B272D3">
        <w:rPr>
          <w:noProof/>
        </w:rPr>
        <w:t>znižuje.</w:t>
      </w:r>
      <w:r w:rsidRPr="00B272D3">
        <w:rPr>
          <w:noProof/>
        </w:rPr>
        <w:br/>
      </w:r>
      <w:r w:rsidRPr="00B272D3">
        <w:rPr>
          <w:noProof/>
        </w:rPr>
        <w:br/>
      </w:r>
      <w:r w:rsidR="009C38D6" w:rsidRPr="00B272D3">
        <w:rPr>
          <w:noProof/>
          <w:u w:val="single"/>
        </w:rPr>
        <w:t>Venózny</w:t>
      </w:r>
      <w:r w:rsidRPr="00B272D3">
        <w:rPr>
          <w:noProof/>
          <w:u w:val="single"/>
        </w:rPr>
        <w:t xml:space="preserve"> tromboembolizmus</w:t>
      </w:r>
      <w:r w:rsidRPr="00B272D3">
        <w:rPr>
          <w:noProof/>
          <w:u w:val="single"/>
        </w:rPr>
        <w:br/>
      </w:r>
      <w:r w:rsidRPr="00B272D3">
        <w:rPr>
          <w:i/>
          <w:noProof/>
          <w:u w:val="single"/>
        </w:rPr>
        <w:t>Systémová</w:t>
      </w:r>
      <w:r w:rsidR="009C38D6" w:rsidRPr="00B272D3">
        <w:rPr>
          <w:noProof/>
        </w:rPr>
        <w:t xml:space="preserve"> HST sa</w:t>
      </w:r>
      <w:r w:rsidRPr="00B272D3">
        <w:rPr>
          <w:noProof/>
        </w:rPr>
        <w:t xml:space="preserve"> sp</w:t>
      </w:r>
      <w:r w:rsidR="009C38D6" w:rsidRPr="00B272D3">
        <w:rPr>
          <w:noProof/>
        </w:rPr>
        <w:t>á</w:t>
      </w:r>
      <w:r w:rsidRPr="00B272D3">
        <w:rPr>
          <w:noProof/>
        </w:rPr>
        <w:t>j</w:t>
      </w:r>
      <w:r w:rsidR="009C38D6" w:rsidRPr="00B272D3">
        <w:rPr>
          <w:noProof/>
        </w:rPr>
        <w:t>a</w:t>
      </w:r>
      <w:r w:rsidRPr="00B272D3">
        <w:rPr>
          <w:noProof/>
        </w:rPr>
        <w:t xml:space="preserve"> s 1,3 až 3-násobným rizikom vzniku venózneho tromboemb</w:t>
      </w:r>
      <w:r w:rsidR="009C38D6" w:rsidRPr="00B272D3">
        <w:rPr>
          <w:noProof/>
        </w:rPr>
        <w:t>o</w:t>
      </w:r>
      <w:r w:rsidRPr="00B272D3">
        <w:rPr>
          <w:noProof/>
        </w:rPr>
        <w:t>li</w:t>
      </w:r>
      <w:r w:rsidR="009C38D6" w:rsidRPr="00B272D3">
        <w:rPr>
          <w:noProof/>
        </w:rPr>
        <w:t>zmu (VTE), t.j. h</w:t>
      </w:r>
      <w:r w:rsidRPr="00B272D3">
        <w:rPr>
          <w:noProof/>
        </w:rPr>
        <w:t xml:space="preserve">lbokej žilovej trombózy alebo pľúcnej embólie. </w:t>
      </w:r>
      <w:r w:rsidR="0087303B" w:rsidRPr="00B272D3">
        <w:rPr>
          <w:noProof/>
        </w:rPr>
        <w:t>Pravdepodobnosť v</w:t>
      </w:r>
      <w:r w:rsidRPr="00B272D3">
        <w:rPr>
          <w:noProof/>
        </w:rPr>
        <w:t>ýskyt</w:t>
      </w:r>
      <w:r w:rsidR="0087303B" w:rsidRPr="00B272D3">
        <w:rPr>
          <w:noProof/>
        </w:rPr>
        <w:t>u</w:t>
      </w:r>
      <w:r w:rsidRPr="00B272D3">
        <w:rPr>
          <w:noProof/>
        </w:rPr>
        <w:t xml:space="preserve"> takejto udalosti je </w:t>
      </w:r>
      <w:r w:rsidR="0087303B" w:rsidRPr="00B272D3">
        <w:rPr>
          <w:noProof/>
        </w:rPr>
        <w:t>vyššia v </w:t>
      </w:r>
      <w:r w:rsidRPr="00B272D3">
        <w:rPr>
          <w:noProof/>
        </w:rPr>
        <w:t xml:space="preserve">prvom roku </w:t>
      </w:r>
      <w:r w:rsidR="009C38D6" w:rsidRPr="00B272D3">
        <w:rPr>
          <w:noProof/>
        </w:rPr>
        <w:t>používania HST</w:t>
      </w:r>
      <w:r w:rsidRPr="00B272D3">
        <w:rPr>
          <w:noProof/>
        </w:rPr>
        <w:t xml:space="preserve"> ako neskô</w:t>
      </w:r>
      <w:r w:rsidR="009C38D6" w:rsidRPr="00B272D3">
        <w:rPr>
          <w:noProof/>
        </w:rPr>
        <w:t>r (pozri časť 4.8).</w:t>
      </w:r>
      <w:r w:rsidR="009C38D6" w:rsidRPr="00B272D3">
        <w:rPr>
          <w:noProof/>
        </w:rPr>
        <w:br/>
      </w:r>
      <w:r w:rsidR="009C38D6" w:rsidRPr="00B272D3">
        <w:rPr>
          <w:noProof/>
        </w:rPr>
        <w:br/>
        <w:t>U pacientok</w:t>
      </w:r>
      <w:r w:rsidRPr="00B272D3">
        <w:rPr>
          <w:noProof/>
        </w:rPr>
        <w:t xml:space="preserve"> so známymi trombofilnými stavmi je zvýše</w:t>
      </w:r>
      <w:r w:rsidR="009C38D6" w:rsidRPr="00B272D3">
        <w:rPr>
          <w:noProof/>
        </w:rPr>
        <w:t>né riziko VTE a HS</w:t>
      </w:r>
      <w:r w:rsidR="0087303B" w:rsidRPr="00B272D3">
        <w:rPr>
          <w:noProof/>
        </w:rPr>
        <w:t>T môže toto riziko zvyšova</w:t>
      </w:r>
      <w:r w:rsidR="009C38D6" w:rsidRPr="00B272D3">
        <w:rPr>
          <w:noProof/>
        </w:rPr>
        <w:t>ť. HS</w:t>
      </w:r>
      <w:r w:rsidRPr="00B272D3">
        <w:rPr>
          <w:noProof/>
        </w:rPr>
        <w:t>T je preto u týchto paciento</w:t>
      </w:r>
      <w:r w:rsidR="009C38D6" w:rsidRPr="00B272D3">
        <w:rPr>
          <w:noProof/>
        </w:rPr>
        <w:t>k</w:t>
      </w:r>
      <w:r w:rsidRPr="00B272D3">
        <w:rPr>
          <w:noProof/>
        </w:rPr>
        <w:t xml:space="preserve"> kontraindikovaná (pozri časť 4.3).</w:t>
      </w:r>
      <w:r w:rsidRPr="00B272D3">
        <w:rPr>
          <w:noProof/>
        </w:rPr>
        <w:br/>
        <w:t>Medzi všeobecne uznávané rizi</w:t>
      </w:r>
      <w:r w:rsidR="009C38D6" w:rsidRPr="00B272D3">
        <w:rPr>
          <w:noProof/>
        </w:rPr>
        <w:t xml:space="preserve">kové faktory </w:t>
      </w:r>
      <w:r w:rsidR="00422326" w:rsidRPr="00B272D3">
        <w:rPr>
          <w:noProof/>
        </w:rPr>
        <w:t>VTE patria</w:t>
      </w:r>
      <w:r w:rsidR="009C38D6" w:rsidRPr="00B272D3">
        <w:rPr>
          <w:noProof/>
        </w:rPr>
        <w:t xml:space="preserve"> používan</w:t>
      </w:r>
      <w:r w:rsidR="00B81A68" w:rsidRPr="00B272D3">
        <w:rPr>
          <w:noProof/>
        </w:rPr>
        <w:t xml:space="preserve">ie estrogénov, vyšší vek, </w:t>
      </w:r>
      <w:r w:rsidR="00422326" w:rsidRPr="00B272D3">
        <w:rPr>
          <w:noProof/>
        </w:rPr>
        <w:t xml:space="preserve">veľký </w:t>
      </w:r>
      <w:r w:rsidRPr="00B272D3">
        <w:rPr>
          <w:noProof/>
        </w:rPr>
        <w:t xml:space="preserve">chirurgický zákrok, </w:t>
      </w:r>
      <w:r w:rsidR="00422326" w:rsidRPr="00B272D3">
        <w:rPr>
          <w:noProof/>
        </w:rPr>
        <w:t>dlhodobá</w:t>
      </w:r>
      <w:r w:rsidRPr="00B272D3">
        <w:rPr>
          <w:noProof/>
        </w:rPr>
        <w:t xml:space="preserve"> imobilizácia, obezita (BMI</w:t>
      </w:r>
      <w:r w:rsidR="00B81A68" w:rsidRPr="00B272D3">
        <w:rPr>
          <w:noProof/>
        </w:rPr>
        <w:t xml:space="preserve"> &gt; 30 kg/</w:t>
      </w:r>
      <w:r w:rsidRPr="00B272D3">
        <w:rPr>
          <w:noProof/>
        </w:rPr>
        <w:t>m</w:t>
      </w:r>
      <w:r w:rsidRPr="00B272D3">
        <w:rPr>
          <w:noProof/>
          <w:vertAlign w:val="superscript"/>
        </w:rPr>
        <w:t>2</w:t>
      </w:r>
      <w:r w:rsidRPr="00B272D3">
        <w:rPr>
          <w:noProof/>
        </w:rPr>
        <w:t xml:space="preserve">), </w:t>
      </w:r>
      <w:r w:rsidR="00422326" w:rsidRPr="00B272D3">
        <w:rPr>
          <w:noProof/>
        </w:rPr>
        <w:t>gravidita</w:t>
      </w:r>
      <w:r w:rsidR="00DA6E0B" w:rsidRPr="00B272D3">
        <w:rPr>
          <w:noProof/>
        </w:rPr>
        <w:t>/</w:t>
      </w:r>
      <w:r w:rsidR="00422326" w:rsidRPr="00B272D3">
        <w:rPr>
          <w:noProof/>
        </w:rPr>
        <w:t xml:space="preserve">obdobie </w:t>
      </w:r>
      <w:r w:rsidRPr="00B272D3">
        <w:rPr>
          <w:noProof/>
        </w:rPr>
        <w:t>po pôro</w:t>
      </w:r>
      <w:r w:rsidR="00DA6E0B" w:rsidRPr="00B272D3">
        <w:rPr>
          <w:noProof/>
        </w:rPr>
        <w:t>de, systémový lupus erythematosu</w:t>
      </w:r>
      <w:r w:rsidRPr="00B272D3">
        <w:rPr>
          <w:noProof/>
        </w:rPr>
        <w:t xml:space="preserve">s (SLE) a rakovina. </w:t>
      </w:r>
      <w:r w:rsidR="00DA6E0B" w:rsidRPr="00B272D3">
        <w:rPr>
          <w:noProof/>
        </w:rPr>
        <w:t>O možnej úlohe kŕčových žíl pri vzniku</w:t>
      </w:r>
      <w:r w:rsidRPr="00B272D3">
        <w:rPr>
          <w:noProof/>
        </w:rPr>
        <w:t xml:space="preserve"> VTE</w:t>
      </w:r>
      <w:r w:rsidR="00DA6E0B" w:rsidRPr="00B272D3">
        <w:rPr>
          <w:noProof/>
        </w:rPr>
        <w:t xml:space="preserve"> neexistuje </w:t>
      </w:r>
      <w:r w:rsidR="00422326" w:rsidRPr="00B272D3">
        <w:rPr>
          <w:noProof/>
        </w:rPr>
        <w:t>jednotný názor</w:t>
      </w:r>
      <w:r w:rsidR="00DA6E0B" w:rsidRPr="00B272D3">
        <w:rPr>
          <w:noProof/>
        </w:rPr>
        <w:t>.</w:t>
      </w:r>
      <w:r w:rsidRPr="00B272D3">
        <w:rPr>
          <w:noProof/>
        </w:rPr>
        <w:br/>
      </w:r>
      <w:r w:rsidRPr="00B272D3">
        <w:rPr>
          <w:noProof/>
        </w:rPr>
        <w:br/>
      </w:r>
      <w:r w:rsidR="007F368C" w:rsidRPr="00B272D3">
        <w:rPr>
          <w:noProof/>
        </w:rPr>
        <w:t xml:space="preserve">Profylaktické opatrenia na zabránenie vzniku </w:t>
      </w:r>
      <w:r w:rsidR="00422326" w:rsidRPr="00B272D3">
        <w:rPr>
          <w:noProof/>
        </w:rPr>
        <w:t xml:space="preserve">pooperačného </w:t>
      </w:r>
      <w:r w:rsidR="007F368C" w:rsidRPr="00B272D3">
        <w:rPr>
          <w:noProof/>
        </w:rPr>
        <w:t>VTE je potrebné zvážiť r</w:t>
      </w:r>
      <w:r w:rsidRPr="00B272D3">
        <w:rPr>
          <w:noProof/>
        </w:rPr>
        <w:t>ovnako</w:t>
      </w:r>
      <w:r w:rsidR="007F368C" w:rsidRPr="00B272D3">
        <w:rPr>
          <w:noProof/>
        </w:rPr>
        <w:t>,</w:t>
      </w:r>
      <w:r w:rsidRPr="00B272D3">
        <w:rPr>
          <w:noProof/>
        </w:rPr>
        <w:t xml:space="preserve"> ako u</w:t>
      </w:r>
      <w:r w:rsidR="00422326" w:rsidRPr="00B272D3">
        <w:rPr>
          <w:noProof/>
        </w:rPr>
        <w:t> </w:t>
      </w:r>
      <w:r w:rsidR="007F368C" w:rsidRPr="00B272D3">
        <w:rPr>
          <w:noProof/>
        </w:rPr>
        <w:t xml:space="preserve">všetkých </w:t>
      </w:r>
      <w:r w:rsidR="003E1DE9" w:rsidRPr="00B272D3">
        <w:rPr>
          <w:noProof/>
        </w:rPr>
        <w:t>paciento</w:t>
      </w:r>
      <w:r w:rsidR="003E1DE9">
        <w:rPr>
          <w:noProof/>
        </w:rPr>
        <w:t>v</w:t>
      </w:r>
      <w:r w:rsidR="003E1DE9" w:rsidRPr="00B272D3">
        <w:rPr>
          <w:noProof/>
        </w:rPr>
        <w:t xml:space="preserve"> </w:t>
      </w:r>
      <w:r w:rsidR="00422326" w:rsidRPr="00B272D3">
        <w:rPr>
          <w:noProof/>
        </w:rPr>
        <w:t>po operácii.</w:t>
      </w:r>
      <w:r w:rsidRPr="00B272D3">
        <w:rPr>
          <w:noProof/>
        </w:rPr>
        <w:t xml:space="preserve"> Ak má </w:t>
      </w:r>
      <w:r w:rsidR="007F368C" w:rsidRPr="00B272D3">
        <w:rPr>
          <w:noProof/>
        </w:rPr>
        <w:t xml:space="preserve">po </w:t>
      </w:r>
      <w:r w:rsidR="00422326" w:rsidRPr="00B272D3">
        <w:rPr>
          <w:noProof/>
        </w:rPr>
        <w:t>plánovanom</w:t>
      </w:r>
      <w:r w:rsidR="007F368C" w:rsidRPr="00B272D3">
        <w:rPr>
          <w:noProof/>
        </w:rPr>
        <w:t xml:space="preserve"> chirurgickom zákroku nasledovať </w:t>
      </w:r>
      <w:r w:rsidRPr="00B272D3">
        <w:rPr>
          <w:noProof/>
        </w:rPr>
        <w:t xml:space="preserve">dlhodobá imobilizácia, odporúča sa dočasne </w:t>
      </w:r>
      <w:r w:rsidR="007F368C" w:rsidRPr="00B272D3">
        <w:rPr>
          <w:noProof/>
        </w:rPr>
        <w:t>prerušiť</w:t>
      </w:r>
      <w:r w:rsidRPr="00B272D3">
        <w:rPr>
          <w:noProof/>
        </w:rPr>
        <w:t xml:space="preserve"> HS</w:t>
      </w:r>
      <w:r w:rsidR="007F368C" w:rsidRPr="00B272D3">
        <w:rPr>
          <w:noProof/>
        </w:rPr>
        <w:t>T</w:t>
      </w:r>
      <w:r w:rsidR="00422326" w:rsidRPr="00B272D3">
        <w:rPr>
          <w:noProof/>
        </w:rPr>
        <w:t>, a to</w:t>
      </w:r>
      <w:r w:rsidRPr="00B272D3">
        <w:rPr>
          <w:noProof/>
        </w:rPr>
        <w:t xml:space="preserve"> 4 až 6 týždňov </w:t>
      </w:r>
      <w:r w:rsidR="007F368C" w:rsidRPr="00B272D3">
        <w:rPr>
          <w:noProof/>
        </w:rPr>
        <w:t>pred</w:t>
      </w:r>
      <w:r w:rsidR="00422326" w:rsidRPr="00B272D3">
        <w:rPr>
          <w:noProof/>
        </w:rPr>
        <w:t xml:space="preserve"> operáciou</w:t>
      </w:r>
      <w:r w:rsidRPr="00B272D3">
        <w:rPr>
          <w:noProof/>
        </w:rPr>
        <w:t xml:space="preserve">. Liečba sa nemá obnoviť, kým nie je </w:t>
      </w:r>
      <w:r w:rsidR="007F368C" w:rsidRPr="00B272D3">
        <w:rPr>
          <w:noProof/>
        </w:rPr>
        <w:t>pacientka</w:t>
      </w:r>
      <w:r w:rsidRPr="00B272D3">
        <w:rPr>
          <w:noProof/>
        </w:rPr>
        <w:t xml:space="preserve"> úplne </w:t>
      </w:r>
      <w:r w:rsidR="00422326" w:rsidRPr="00B272D3">
        <w:rPr>
          <w:noProof/>
        </w:rPr>
        <w:t>pohyblivá</w:t>
      </w:r>
      <w:r w:rsidR="00BB7F5E" w:rsidRPr="00B272D3">
        <w:rPr>
          <w:noProof/>
        </w:rPr>
        <w:t>.</w:t>
      </w:r>
      <w:r w:rsidR="00BB7F5E" w:rsidRPr="00B272D3">
        <w:rPr>
          <w:noProof/>
        </w:rPr>
        <w:br/>
      </w:r>
      <w:r w:rsidR="00BB7F5E" w:rsidRPr="00B272D3">
        <w:rPr>
          <w:noProof/>
        </w:rPr>
        <w:br/>
      </w:r>
      <w:r w:rsidR="00983394" w:rsidRPr="00B272D3">
        <w:rPr>
          <w:noProof/>
        </w:rPr>
        <w:t>Ženám</w:t>
      </w:r>
      <w:r w:rsidRPr="00B272D3">
        <w:rPr>
          <w:noProof/>
        </w:rPr>
        <w:t xml:space="preserve"> bez VTE</w:t>
      </w:r>
      <w:r w:rsidR="008F321F" w:rsidRPr="00B272D3">
        <w:rPr>
          <w:noProof/>
        </w:rPr>
        <w:t xml:space="preserve"> v anamnéze</w:t>
      </w:r>
      <w:r w:rsidRPr="00B272D3">
        <w:rPr>
          <w:noProof/>
        </w:rPr>
        <w:t xml:space="preserve">, ale s </w:t>
      </w:r>
      <w:r w:rsidR="00BB7F5E" w:rsidRPr="00B272D3">
        <w:rPr>
          <w:noProof/>
        </w:rPr>
        <w:t>trombóz</w:t>
      </w:r>
      <w:r w:rsidR="00983394" w:rsidRPr="00B272D3">
        <w:rPr>
          <w:noProof/>
        </w:rPr>
        <w:t>ou</w:t>
      </w:r>
      <w:r w:rsidR="00BB7F5E" w:rsidRPr="00B272D3">
        <w:rPr>
          <w:noProof/>
        </w:rPr>
        <w:t xml:space="preserve"> </w:t>
      </w:r>
      <w:r w:rsidR="00983394" w:rsidRPr="00B272D3">
        <w:rPr>
          <w:noProof/>
        </w:rPr>
        <w:t xml:space="preserve">v mladom veku v anamnéze </w:t>
      </w:r>
      <w:r w:rsidR="00BB7F5E" w:rsidRPr="00B272D3">
        <w:rPr>
          <w:noProof/>
        </w:rPr>
        <w:t xml:space="preserve">prvostupňového </w:t>
      </w:r>
      <w:r w:rsidRPr="00B272D3">
        <w:rPr>
          <w:noProof/>
        </w:rPr>
        <w:t>príbuzn</w:t>
      </w:r>
      <w:r w:rsidR="00BB7F5E" w:rsidRPr="00B272D3">
        <w:rPr>
          <w:noProof/>
        </w:rPr>
        <w:t>ého</w:t>
      </w:r>
      <w:r w:rsidRPr="00B272D3">
        <w:rPr>
          <w:noProof/>
        </w:rPr>
        <w:t xml:space="preserve">, </w:t>
      </w:r>
      <w:r w:rsidR="00BB7F5E" w:rsidRPr="00B272D3">
        <w:rPr>
          <w:noProof/>
        </w:rPr>
        <w:t>možno</w:t>
      </w:r>
      <w:r w:rsidRPr="00B272D3">
        <w:rPr>
          <w:noProof/>
        </w:rPr>
        <w:t xml:space="preserve"> skríning ponúknuť po starostlivom </w:t>
      </w:r>
      <w:r w:rsidR="00983394" w:rsidRPr="00B272D3">
        <w:rPr>
          <w:noProof/>
        </w:rPr>
        <w:t>zvážení jeho obmedzení</w:t>
      </w:r>
      <w:r w:rsidRPr="00B272D3">
        <w:rPr>
          <w:noProof/>
        </w:rPr>
        <w:t xml:space="preserve"> (skríning </w:t>
      </w:r>
      <w:r w:rsidR="00BB7F5E" w:rsidRPr="00B272D3">
        <w:rPr>
          <w:noProof/>
        </w:rPr>
        <w:t>dokáže odhaliť</w:t>
      </w:r>
      <w:r w:rsidRPr="00B272D3">
        <w:rPr>
          <w:noProof/>
        </w:rPr>
        <w:t xml:space="preserve"> iba </w:t>
      </w:r>
      <w:r w:rsidR="00983394" w:rsidRPr="00B272D3">
        <w:rPr>
          <w:noProof/>
        </w:rPr>
        <w:t>niektoré</w:t>
      </w:r>
      <w:r w:rsidRPr="00B272D3">
        <w:rPr>
          <w:noProof/>
        </w:rPr>
        <w:t xml:space="preserve"> trombofiln</w:t>
      </w:r>
      <w:r w:rsidR="00983394" w:rsidRPr="00B272D3">
        <w:rPr>
          <w:noProof/>
        </w:rPr>
        <w:t>é</w:t>
      </w:r>
      <w:r w:rsidRPr="00B272D3">
        <w:rPr>
          <w:noProof/>
        </w:rPr>
        <w:t xml:space="preserve"> defekt</w:t>
      </w:r>
      <w:r w:rsidR="00983394" w:rsidRPr="00B272D3">
        <w:rPr>
          <w:noProof/>
        </w:rPr>
        <w:t>y</w:t>
      </w:r>
      <w:r w:rsidRPr="00B272D3">
        <w:rPr>
          <w:noProof/>
        </w:rPr>
        <w:t>).</w:t>
      </w:r>
      <w:r w:rsidRPr="00B272D3">
        <w:rPr>
          <w:noProof/>
        </w:rPr>
        <w:br/>
      </w:r>
      <w:r w:rsidRPr="00B272D3">
        <w:rPr>
          <w:noProof/>
        </w:rPr>
        <w:br/>
        <w:t xml:space="preserve">Ak sa zistí trombofilný defekt, </w:t>
      </w:r>
      <w:r w:rsidR="003F7AD7" w:rsidRPr="00B272D3">
        <w:rPr>
          <w:noProof/>
        </w:rPr>
        <w:t xml:space="preserve">pričom je vylúčená </w:t>
      </w:r>
      <w:r w:rsidRPr="00B272D3">
        <w:rPr>
          <w:noProof/>
        </w:rPr>
        <w:t>trombóz</w:t>
      </w:r>
      <w:r w:rsidR="003F7AD7" w:rsidRPr="00B272D3">
        <w:rPr>
          <w:noProof/>
        </w:rPr>
        <w:t>a</w:t>
      </w:r>
      <w:r w:rsidRPr="00B272D3">
        <w:rPr>
          <w:noProof/>
        </w:rPr>
        <w:t xml:space="preserve"> u členov rodiny alebo ak je defekt „závažný“ (napr. </w:t>
      </w:r>
      <w:r w:rsidR="0003105C" w:rsidRPr="00B272D3">
        <w:rPr>
          <w:noProof/>
        </w:rPr>
        <w:t>n</w:t>
      </w:r>
      <w:r w:rsidRPr="00B272D3">
        <w:rPr>
          <w:noProof/>
        </w:rPr>
        <w:t>edostatok antitrombínu, proteínu S alebo proteín</w:t>
      </w:r>
      <w:r w:rsidR="0003105C" w:rsidRPr="00B272D3">
        <w:rPr>
          <w:noProof/>
        </w:rPr>
        <w:t>u C alebo kombinácia defektov), HS</w:t>
      </w:r>
      <w:r w:rsidRPr="00B272D3">
        <w:rPr>
          <w:noProof/>
        </w:rPr>
        <w:t>T</w:t>
      </w:r>
      <w:r w:rsidR="0003105C" w:rsidRPr="00B272D3">
        <w:rPr>
          <w:noProof/>
        </w:rPr>
        <w:t xml:space="preserve"> je</w:t>
      </w:r>
      <w:r w:rsidRPr="00B272D3">
        <w:rPr>
          <w:noProof/>
        </w:rPr>
        <w:t xml:space="preserve"> kontraindikovaná.</w:t>
      </w:r>
      <w:r w:rsidRPr="00B272D3">
        <w:rPr>
          <w:noProof/>
        </w:rPr>
        <w:br/>
      </w:r>
      <w:r w:rsidRPr="00B272D3">
        <w:rPr>
          <w:noProof/>
        </w:rPr>
        <w:br/>
      </w:r>
      <w:r w:rsidR="003F7AD7" w:rsidRPr="00B272D3">
        <w:rPr>
          <w:noProof/>
        </w:rPr>
        <w:t>Ženy</w:t>
      </w:r>
      <w:r w:rsidRPr="00B272D3">
        <w:rPr>
          <w:noProof/>
        </w:rPr>
        <w:t xml:space="preserve">, ktoré už dostávajú </w:t>
      </w:r>
      <w:r w:rsidR="00F61FA6" w:rsidRPr="00B272D3">
        <w:rPr>
          <w:noProof/>
        </w:rPr>
        <w:t>dlhodobú</w:t>
      </w:r>
      <w:r w:rsidRPr="00B272D3">
        <w:rPr>
          <w:noProof/>
        </w:rPr>
        <w:t xml:space="preserve"> antikoagulačnú liečbu, si vyžadujú starostlivé zváženie </w:t>
      </w:r>
      <w:r w:rsidR="003F7AD7" w:rsidRPr="00B272D3">
        <w:rPr>
          <w:noProof/>
        </w:rPr>
        <w:t xml:space="preserve">pomeru </w:t>
      </w:r>
      <w:r w:rsidRPr="00B272D3">
        <w:rPr>
          <w:noProof/>
        </w:rPr>
        <w:t xml:space="preserve">prínosu a rizika </w:t>
      </w:r>
      <w:r w:rsidR="003F7AD7" w:rsidRPr="00B272D3">
        <w:rPr>
          <w:noProof/>
        </w:rPr>
        <w:t xml:space="preserve">pri </w:t>
      </w:r>
      <w:r w:rsidRPr="00B272D3">
        <w:rPr>
          <w:noProof/>
        </w:rPr>
        <w:t>používan</w:t>
      </w:r>
      <w:r w:rsidR="003F7AD7" w:rsidRPr="00B272D3">
        <w:rPr>
          <w:noProof/>
        </w:rPr>
        <w:t>í</w:t>
      </w:r>
      <w:r w:rsidR="00F61FA6" w:rsidRPr="00B272D3">
        <w:rPr>
          <w:noProof/>
        </w:rPr>
        <w:t xml:space="preserve"> HS</w:t>
      </w:r>
      <w:r w:rsidRPr="00B272D3">
        <w:rPr>
          <w:noProof/>
        </w:rPr>
        <w:t>T.</w:t>
      </w:r>
      <w:r w:rsidRPr="00B272D3">
        <w:rPr>
          <w:noProof/>
        </w:rPr>
        <w:br/>
      </w:r>
      <w:r w:rsidRPr="00B272D3">
        <w:rPr>
          <w:noProof/>
        </w:rPr>
        <w:br/>
        <w:t xml:space="preserve">Ak VTE </w:t>
      </w:r>
      <w:r w:rsidR="00F61FA6" w:rsidRPr="00B272D3">
        <w:rPr>
          <w:noProof/>
        </w:rPr>
        <w:t>vznikne</w:t>
      </w:r>
      <w:r w:rsidRPr="00B272D3">
        <w:rPr>
          <w:noProof/>
        </w:rPr>
        <w:t xml:space="preserve"> po začatí liečby</w:t>
      </w:r>
      <w:r w:rsidR="00F61FA6" w:rsidRPr="00B272D3">
        <w:rPr>
          <w:noProof/>
        </w:rPr>
        <w:t>, lie</w:t>
      </w:r>
      <w:r w:rsidR="003F7AD7" w:rsidRPr="00B272D3">
        <w:rPr>
          <w:noProof/>
        </w:rPr>
        <w:t>čba</w:t>
      </w:r>
      <w:r w:rsidR="00F61FA6" w:rsidRPr="00B272D3">
        <w:rPr>
          <w:noProof/>
        </w:rPr>
        <w:t xml:space="preserve"> sa musí </w:t>
      </w:r>
      <w:r w:rsidR="003F7AD7" w:rsidRPr="00B272D3">
        <w:rPr>
          <w:noProof/>
        </w:rPr>
        <w:t>prerušiť. Pacientkám</w:t>
      </w:r>
      <w:r w:rsidR="00F61FA6" w:rsidRPr="00B272D3">
        <w:rPr>
          <w:noProof/>
        </w:rPr>
        <w:t xml:space="preserve"> treba povedať, </w:t>
      </w:r>
      <w:r w:rsidRPr="00B272D3">
        <w:rPr>
          <w:noProof/>
        </w:rPr>
        <w:t xml:space="preserve">aby sa okamžite </w:t>
      </w:r>
      <w:r w:rsidR="003F7AD7" w:rsidRPr="00B272D3">
        <w:rPr>
          <w:noProof/>
        </w:rPr>
        <w:t>obrátili na</w:t>
      </w:r>
      <w:r w:rsidRPr="00B272D3">
        <w:rPr>
          <w:noProof/>
        </w:rPr>
        <w:t xml:space="preserve"> s</w:t>
      </w:r>
      <w:r w:rsidR="00F61FA6" w:rsidRPr="00B272D3">
        <w:rPr>
          <w:noProof/>
        </w:rPr>
        <w:t>voji</w:t>
      </w:r>
      <w:r w:rsidR="003F7AD7" w:rsidRPr="00B272D3">
        <w:rPr>
          <w:noProof/>
        </w:rPr>
        <w:t>ch</w:t>
      </w:r>
      <w:r w:rsidR="00F61FA6" w:rsidRPr="00B272D3">
        <w:rPr>
          <w:noProof/>
        </w:rPr>
        <w:t xml:space="preserve"> lekár</w:t>
      </w:r>
      <w:r w:rsidR="003F7AD7" w:rsidRPr="00B272D3">
        <w:rPr>
          <w:noProof/>
        </w:rPr>
        <w:t>ov</w:t>
      </w:r>
      <w:r w:rsidR="00F61FA6" w:rsidRPr="00B272D3">
        <w:rPr>
          <w:noProof/>
        </w:rPr>
        <w:t xml:space="preserve">, </w:t>
      </w:r>
      <w:r w:rsidR="003F7AD7" w:rsidRPr="00B272D3">
        <w:rPr>
          <w:noProof/>
        </w:rPr>
        <w:t>a</w:t>
      </w:r>
      <w:r w:rsidR="00F61FA6" w:rsidRPr="00B272D3">
        <w:rPr>
          <w:noProof/>
        </w:rPr>
        <w:t>k sú si vedomé</w:t>
      </w:r>
      <w:r w:rsidRPr="00B272D3">
        <w:rPr>
          <w:noProof/>
        </w:rPr>
        <w:t xml:space="preserve"> možného </w:t>
      </w:r>
      <w:r w:rsidR="003F7AD7" w:rsidRPr="00B272D3">
        <w:rPr>
          <w:noProof/>
        </w:rPr>
        <w:t xml:space="preserve">príznaku </w:t>
      </w:r>
      <w:r w:rsidRPr="00B272D3">
        <w:rPr>
          <w:noProof/>
        </w:rPr>
        <w:t>tro</w:t>
      </w:r>
      <w:r w:rsidR="00F61FA6" w:rsidRPr="00B272D3">
        <w:rPr>
          <w:noProof/>
        </w:rPr>
        <w:t>mboemboli</w:t>
      </w:r>
      <w:r w:rsidR="003F7AD7" w:rsidRPr="00B272D3">
        <w:rPr>
          <w:noProof/>
        </w:rPr>
        <w:t>zmu</w:t>
      </w:r>
      <w:r w:rsidR="00F61FA6" w:rsidRPr="00B272D3">
        <w:rPr>
          <w:noProof/>
        </w:rPr>
        <w:t xml:space="preserve"> (napr. bolestivý opuch</w:t>
      </w:r>
      <w:r w:rsidRPr="00B272D3">
        <w:rPr>
          <w:noProof/>
        </w:rPr>
        <w:t xml:space="preserve"> dolnej končatiny, náhla bolesť na hrudníku, dyspnoe).</w:t>
      </w:r>
    </w:p>
    <w:p w:rsidR="00960A1D" w:rsidRPr="00B272D3" w:rsidRDefault="00960A1D" w:rsidP="0079480E">
      <w:pPr>
        <w:tabs>
          <w:tab w:val="clear" w:pos="567"/>
        </w:tabs>
        <w:spacing w:line="240" w:lineRule="auto"/>
        <w:rPr>
          <w:noProof/>
        </w:rPr>
      </w:pPr>
    </w:p>
    <w:p w:rsidR="00BF5372" w:rsidRPr="00B272D3" w:rsidRDefault="00F61FA6" w:rsidP="0010040E">
      <w:pPr>
        <w:keepNext/>
        <w:tabs>
          <w:tab w:val="clear" w:pos="567"/>
        </w:tabs>
        <w:spacing w:line="240" w:lineRule="auto"/>
        <w:rPr>
          <w:noProof/>
          <w:u w:val="single"/>
        </w:rPr>
      </w:pPr>
      <w:r w:rsidRPr="00B272D3">
        <w:rPr>
          <w:noProof/>
          <w:u w:val="single"/>
        </w:rPr>
        <w:t>Ischemická choroba srdca (ICHS)</w:t>
      </w:r>
      <w:r w:rsidRPr="00B272D3">
        <w:rPr>
          <w:noProof/>
          <w:u w:val="single"/>
        </w:rPr>
        <w:br/>
      </w:r>
      <w:r w:rsidRPr="00B272D3">
        <w:rPr>
          <w:noProof/>
        </w:rPr>
        <w:t xml:space="preserve">Randomizované kontrolované </w:t>
      </w:r>
      <w:r w:rsidR="00EC107F" w:rsidRPr="00B272D3">
        <w:rPr>
          <w:noProof/>
        </w:rPr>
        <w:t>štúdie</w:t>
      </w:r>
      <w:r w:rsidRPr="00B272D3">
        <w:rPr>
          <w:noProof/>
        </w:rPr>
        <w:t xml:space="preserve"> nezistili žiadne zvýšené riziko ICHS </w:t>
      </w:r>
      <w:r w:rsidR="00EC107F" w:rsidRPr="00B272D3">
        <w:rPr>
          <w:noProof/>
        </w:rPr>
        <w:t xml:space="preserve">u žien po </w:t>
      </w:r>
      <w:r w:rsidRPr="00B272D3">
        <w:rPr>
          <w:noProof/>
        </w:rPr>
        <w:t>hysterekt</w:t>
      </w:r>
      <w:r w:rsidR="00EC107F" w:rsidRPr="00B272D3">
        <w:rPr>
          <w:noProof/>
        </w:rPr>
        <w:t>ómii, ktoré</w:t>
      </w:r>
      <w:r w:rsidRPr="00B272D3">
        <w:rPr>
          <w:noProof/>
        </w:rPr>
        <w:t xml:space="preserve"> po</w:t>
      </w:r>
      <w:r w:rsidR="00EC107F" w:rsidRPr="00B272D3">
        <w:rPr>
          <w:noProof/>
        </w:rPr>
        <w:t xml:space="preserve">užívajú </w:t>
      </w:r>
      <w:r w:rsidRPr="00B272D3">
        <w:rPr>
          <w:i/>
          <w:noProof/>
          <w:u w:val="single"/>
        </w:rPr>
        <w:t>systémovú</w:t>
      </w:r>
      <w:r w:rsidRPr="00B272D3">
        <w:rPr>
          <w:noProof/>
        </w:rPr>
        <w:t xml:space="preserve"> liečbu samotným estrogénom.</w:t>
      </w:r>
      <w:r w:rsidRPr="00B272D3">
        <w:rPr>
          <w:noProof/>
        </w:rPr>
        <w:br/>
      </w:r>
      <w:r w:rsidRPr="00B272D3">
        <w:rPr>
          <w:noProof/>
        </w:rPr>
        <w:br/>
      </w:r>
      <w:r w:rsidRPr="00B272D3">
        <w:rPr>
          <w:noProof/>
          <w:u w:val="single"/>
        </w:rPr>
        <w:t xml:space="preserve">Ischemická </w:t>
      </w:r>
      <w:r w:rsidR="00EC107F" w:rsidRPr="00B272D3">
        <w:rPr>
          <w:noProof/>
          <w:u w:val="single"/>
        </w:rPr>
        <w:t xml:space="preserve">cievna </w:t>
      </w:r>
      <w:r w:rsidR="00CA77C2" w:rsidRPr="00B272D3">
        <w:rPr>
          <w:noProof/>
          <w:u w:val="single"/>
        </w:rPr>
        <w:t>mozgová príhoda</w:t>
      </w:r>
      <w:r w:rsidRPr="00B272D3">
        <w:rPr>
          <w:noProof/>
          <w:u w:val="single"/>
        </w:rPr>
        <w:br/>
      </w:r>
      <w:r w:rsidR="00CA77C2" w:rsidRPr="00B272D3">
        <w:rPr>
          <w:i/>
          <w:noProof/>
          <w:u w:val="single"/>
        </w:rPr>
        <w:t>Systémová</w:t>
      </w:r>
      <w:r w:rsidR="00CA77C2" w:rsidRPr="00B272D3">
        <w:rPr>
          <w:noProof/>
        </w:rPr>
        <w:t xml:space="preserve"> liečba samotným estrogénom sa</w:t>
      </w:r>
      <w:r w:rsidRPr="00B272D3">
        <w:rPr>
          <w:noProof/>
        </w:rPr>
        <w:t xml:space="preserve"> spá</w:t>
      </w:r>
      <w:r w:rsidR="00CA77C2" w:rsidRPr="00B272D3">
        <w:rPr>
          <w:noProof/>
        </w:rPr>
        <w:t>ja</w:t>
      </w:r>
      <w:r w:rsidRPr="00B272D3">
        <w:rPr>
          <w:noProof/>
        </w:rPr>
        <w:t xml:space="preserve"> až </w:t>
      </w:r>
      <w:r w:rsidR="00DC444A">
        <w:rPr>
          <w:noProof/>
        </w:rPr>
        <w:t xml:space="preserve">s </w:t>
      </w:r>
      <w:r w:rsidRPr="00B272D3">
        <w:rPr>
          <w:noProof/>
        </w:rPr>
        <w:t xml:space="preserve">1,5-násobným zvýšením rizika ischemickej </w:t>
      </w:r>
      <w:r w:rsidR="00EC107F" w:rsidRPr="00B272D3">
        <w:rPr>
          <w:noProof/>
        </w:rPr>
        <w:t xml:space="preserve">cievnej </w:t>
      </w:r>
      <w:r w:rsidRPr="00B272D3">
        <w:rPr>
          <w:noProof/>
        </w:rPr>
        <w:t xml:space="preserve">mozgovej príhody. Relatívne riziko sa od menopauzy s vekom alebo časom nemení. </w:t>
      </w:r>
      <w:r w:rsidR="00EC107F" w:rsidRPr="00B272D3">
        <w:rPr>
          <w:noProof/>
        </w:rPr>
        <w:t>A</w:t>
      </w:r>
      <w:r w:rsidR="0010040E" w:rsidRPr="00B272D3">
        <w:rPr>
          <w:noProof/>
        </w:rPr>
        <w:t>však, nakoľko je východiskové</w:t>
      </w:r>
      <w:r w:rsidRPr="00B272D3">
        <w:rPr>
          <w:noProof/>
        </w:rPr>
        <w:t xml:space="preserve"> riziko </w:t>
      </w:r>
      <w:r w:rsidR="00EC107F" w:rsidRPr="00B272D3">
        <w:rPr>
          <w:noProof/>
        </w:rPr>
        <w:t xml:space="preserve">cievnej </w:t>
      </w:r>
      <w:r w:rsidRPr="00B272D3">
        <w:rPr>
          <w:noProof/>
        </w:rPr>
        <w:t>mozgovej príhody silne závislé od veku, ce</w:t>
      </w:r>
      <w:r w:rsidR="0010040E" w:rsidRPr="00B272D3">
        <w:rPr>
          <w:noProof/>
        </w:rPr>
        <w:t xml:space="preserve">lkové riziko </w:t>
      </w:r>
      <w:r w:rsidR="00EC107F" w:rsidRPr="00B272D3">
        <w:rPr>
          <w:noProof/>
        </w:rPr>
        <w:t xml:space="preserve">cievnej </w:t>
      </w:r>
      <w:r w:rsidR="0010040E" w:rsidRPr="00B272D3">
        <w:rPr>
          <w:noProof/>
        </w:rPr>
        <w:t>mozgovej príhody u </w:t>
      </w:r>
      <w:r w:rsidR="00EC107F" w:rsidRPr="00B272D3">
        <w:rPr>
          <w:noProof/>
        </w:rPr>
        <w:t>žien</w:t>
      </w:r>
      <w:r w:rsidRPr="00B272D3">
        <w:rPr>
          <w:noProof/>
        </w:rPr>
        <w:t>, ktoré použí</w:t>
      </w:r>
      <w:r w:rsidR="0010040E" w:rsidRPr="00B272D3">
        <w:rPr>
          <w:noProof/>
        </w:rPr>
        <w:t>vajú HST</w:t>
      </w:r>
      <w:r w:rsidRPr="00B272D3">
        <w:rPr>
          <w:noProof/>
        </w:rPr>
        <w:t xml:space="preserve">, sa </w:t>
      </w:r>
      <w:r w:rsidR="00EC107F" w:rsidRPr="00B272D3">
        <w:rPr>
          <w:noProof/>
        </w:rPr>
        <w:t xml:space="preserve">bude </w:t>
      </w:r>
      <w:r w:rsidRPr="00B272D3">
        <w:rPr>
          <w:noProof/>
        </w:rPr>
        <w:t>zvyš</w:t>
      </w:r>
      <w:r w:rsidR="00EC107F" w:rsidRPr="00B272D3">
        <w:rPr>
          <w:noProof/>
        </w:rPr>
        <w:t>ovať</w:t>
      </w:r>
      <w:r w:rsidRPr="00B272D3">
        <w:rPr>
          <w:noProof/>
        </w:rPr>
        <w:t xml:space="preserve"> s vekom (pozri časť 4.8).</w:t>
      </w:r>
      <w:r w:rsidRPr="00B272D3">
        <w:rPr>
          <w:noProof/>
        </w:rPr>
        <w:br/>
      </w:r>
      <w:r w:rsidRPr="00B272D3">
        <w:rPr>
          <w:noProof/>
        </w:rPr>
        <w:br/>
      </w:r>
      <w:r w:rsidR="00EC107F" w:rsidRPr="00B272D3">
        <w:rPr>
          <w:noProof/>
          <w:u w:val="single"/>
        </w:rPr>
        <w:t>Ďalšie</w:t>
      </w:r>
      <w:r w:rsidRPr="00B272D3">
        <w:rPr>
          <w:noProof/>
          <w:u w:val="single"/>
        </w:rPr>
        <w:t xml:space="preserve"> </w:t>
      </w:r>
      <w:r w:rsidR="00EC107F" w:rsidRPr="00B272D3">
        <w:rPr>
          <w:noProof/>
          <w:u w:val="single"/>
        </w:rPr>
        <w:t>stavy</w:t>
      </w:r>
      <w:r w:rsidRPr="00B272D3">
        <w:rPr>
          <w:noProof/>
        </w:rPr>
        <w:br/>
        <w:t>Estrogény môžu s</w:t>
      </w:r>
      <w:r w:rsidR="00BA2FA5" w:rsidRPr="00B272D3">
        <w:rPr>
          <w:noProof/>
        </w:rPr>
        <w:t xml:space="preserve">pôsobiť zadržiavanie tekutín, </w:t>
      </w:r>
      <w:r w:rsidRPr="00B272D3">
        <w:rPr>
          <w:noProof/>
        </w:rPr>
        <w:t>preto je potrebné pacient</w:t>
      </w:r>
      <w:r w:rsidR="00BA2FA5" w:rsidRPr="00B272D3">
        <w:rPr>
          <w:noProof/>
        </w:rPr>
        <w:t xml:space="preserve">ky s poruchou funkcie </w:t>
      </w:r>
      <w:r w:rsidRPr="00B272D3">
        <w:rPr>
          <w:noProof/>
        </w:rPr>
        <w:t>srdc</w:t>
      </w:r>
      <w:r w:rsidR="00BA2FA5" w:rsidRPr="00B272D3">
        <w:rPr>
          <w:noProof/>
        </w:rPr>
        <w:t>a</w:t>
      </w:r>
      <w:r w:rsidRPr="00B272D3">
        <w:rPr>
          <w:noProof/>
        </w:rPr>
        <w:t xml:space="preserve"> alebo </w:t>
      </w:r>
      <w:r w:rsidR="00BA2FA5" w:rsidRPr="00B272D3">
        <w:rPr>
          <w:noProof/>
        </w:rPr>
        <w:t>obličiek</w:t>
      </w:r>
      <w:r w:rsidRPr="00B272D3">
        <w:rPr>
          <w:noProof/>
        </w:rPr>
        <w:t xml:space="preserve"> starostlivo sledovať.</w:t>
      </w:r>
      <w:r w:rsidRPr="00B272D3">
        <w:rPr>
          <w:noProof/>
        </w:rPr>
        <w:br/>
      </w:r>
      <w:r w:rsidRPr="00B272D3">
        <w:rPr>
          <w:noProof/>
        </w:rPr>
        <w:br/>
      </w:r>
      <w:r w:rsidR="00BF5372" w:rsidRPr="00B272D3">
        <w:rPr>
          <w:noProof/>
        </w:rPr>
        <w:t>Ženy</w:t>
      </w:r>
      <w:r w:rsidRPr="00B272D3">
        <w:rPr>
          <w:noProof/>
        </w:rPr>
        <w:t xml:space="preserve"> </w:t>
      </w:r>
      <w:r w:rsidR="00C35EE8" w:rsidRPr="00B272D3">
        <w:rPr>
          <w:noProof/>
        </w:rPr>
        <w:t>so známou</w:t>
      </w:r>
      <w:r w:rsidRPr="00B272D3">
        <w:rPr>
          <w:noProof/>
        </w:rPr>
        <w:t xml:space="preserve"> hypertriglyceridémiou majú byť počas </w:t>
      </w:r>
      <w:r w:rsidR="00BA2FA5" w:rsidRPr="00B272D3">
        <w:rPr>
          <w:noProof/>
        </w:rPr>
        <w:t xml:space="preserve">substitučnej alebo hormonálnej </w:t>
      </w:r>
      <w:r w:rsidRPr="00B272D3">
        <w:rPr>
          <w:noProof/>
        </w:rPr>
        <w:t>liečby estrogénmi starostlivo sledova</w:t>
      </w:r>
      <w:r w:rsidR="00C35EE8" w:rsidRPr="00B272D3">
        <w:rPr>
          <w:noProof/>
        </w:rPr>
        <w:t>né, pretože v prípade</w:t>
      </w:r>
      <w:r w:rsidRPr="00B272D3">
        <w:rPr>
          <w:noProof/>
        </w:rPr>
        <w:t xml:space="preserve"> to</w:t>
      </w:r>
      <w:r w:rsidR="00C35EE8" w:rsidRPr="00B272D3">
        <w:rPr>
          <w:noProof/>
        </w:rPr>
        <w:t>h</w:t>
      </w:r>
      <w:r w:rsidRPr="00B272D3">
        <w:rPr>
          <w:noProof/>
        </w:rPr>
        <w:t>to stav</w:t>
      </w:r>
      <w:r w:rsidR="00C35EE8" w:rsidRPr="00B272D3">
        <w:rPr>
          <w:noProof/>
        </w:rPr>
        <w:t>u</w:t>
      </w:r>
      <w:r w:rsidRPr="00B272D3">
        <w:rPr>
          <w:noProof/>
        </w:rPr>
        <w:t xml:space="preserve"> boli pri liečbe estrogénmi hlásené zriedkavé prípady </w:t>
      </w:r>
      <w:r w:rsidR="00BA2FA5" w:rsidRPr="00B272D3">
        <w:rPr>
          <w:noProof/>
        </w:rPr>
        <w:t>v</w:t>
      </w:r>
      <w:r w:rsidR="00433912">
        <w:rPr>
          <w:noProof/>
        </w:rPr>
        <w:t>ý</w:t>
      </w:r>
      <w:r w:rsidR="00BA2FA5" w:rsidRPr="00B272D3">
        <w:rPr>
          <w:noProof/>
        </w:rPr>
        <w:t>razného</w:t>
      </w:r>
      <w:r w:rsidRPr="00B272D3">
        <w:rPr>
          <w:noProof/>
        </w:rPr>
        <w:t xml:space="preserve"> zvýšenia triglyceridov</w:t>
      </w:r>
      <w:r w:rsidR="00C35EE8" w:rsidRPr="00B272D3">
        <w:rPr>
          <w:noProof/>
        </w:rPr>
        <w:t xml:space="preserve"> v plazme</w:t>
      </w:r>
      <w:r w:rsidRPr="00B272D3">
        <w:rPr>
          <w:noProof/>
        </w:rPr>
        <w:t xml:space="preserve">, </w:t>
      </w:r>
      <w:r w:rsidR="00C35EE8" w:rsidRPr="00B272D3">
        <w:rPr>
          <w:noProof/>
        </w:rPr>
        <w:t>čo</w:t>
      </w:r>
      <w:r w:rsidRPr="00B272D3">
        <w:rPr>
          <w:noProof/>
        </w:rPr>
        <w:t xml:space="preserve"> v</w:t>
      </w:r>
      <w:r w:rsidR="00BA2FA5" w:rsidRPr="00B272D3">
        <w:rPr>
          <w:noProof/>
        </w:rPr>
        <w:t>ie</w:t>
      </w:r>
      <w:r w:rsidRPr="00B272D3">
        <w:rPr>
          <w:noProof/>
        </w:rPr>
        <w:t>d</w:t>
      </w:r>
      <w:r w:rsidR="00BA2FA5" w:rsidRPr="00B272D3">
        <w:rPr>
          <w:noProof/>
        </w:rPr>
        <w:t>lo</w:t>
      </w:r>
      <w:r w:rsidRPr="00B272D3">
        <w:rPr>
          <w:noProof/>
        </w:rPr>
        <w:t xml:space="preserve"> k pankreatitíde.</w:t>
      </w:r>
      <w:r w:rsidRPr="00B272D3">
        <w:rPr>
          <w:noProof/>
        </w:rPr>
        <w:br/>
      </w:r>
      <w:r w:rsidRPr="00B272D3">
        <w:rPr>
          <w:noProof/>
        </w:rPr>
        <w:br/>
        <w:t xml:space="preserve">Estrogény zvyšujú </w:t>
      </w:r>
      <w:r w:rsidR="007D4044" w:rsidRPr="00B272D3">
        <w:rPr>
          <w:noProof/>
        </w:rPr>
        <w:t xml:space="preserve">hladinu </w:t>
      </w:r>
      <w:r w:rsidRPr="00B272D3">
        <w:rPr>
          <w:noProof/>
        </w:rPr>
        <w:t>globulín</w:t>
      </w:r>
      <w:r w:rsidR="007D4044" w:rsidRPr="00B272D3">
        <w:rPr>
          <w:noProof/>
        </w:rPr>
        <w:t xml:space="preserve">u viažuceho tyroidné hormóny </w:t>
      </w:r>
      <w:r w:rsidRPr="00B272D3">
        <w:rPr>
          <w:noProof/>
        </w:rPr>
        <w:t xml:space="preserve">(TBG), čo </w:t>
      </w:r>
      <w:r w:rsidR="007D4044" w:rsidRPr="00B272D3">
        <w:rPr>
          <w:noProof/>
        </w:rPr>
        <w:t>má za následok</w:t>
      </w:r>
      <w:r w:rsidRPr="00B272D3">
        <w:rPr>
          <w:noProof/>
        </w:rPr>
        <w:t xml:space="preserve"> zvýšeni</w:t>
      </w:r>
      <w:r w:rsidR="007D4044" w:rsidRPr="00B272D3">
        <w:rPr>
          <w:noProof/>
        </w:rPr>
        <w:t>e</w:t>
      </w:r>
      <w:r w:rsidRPr="00B272D3">
        <w:rPr>
          <w:noProof/>
        </w:rPr>
        <w:t xml:space="preserve"> celkového </w:t>
      </w:r>
      <w:r w:rsidR="007D4044" w:rsidRPr="00B272D3">
        <w:rPr>
          <w:noProof/>
        </w:rPr>
        <w:t>objemu tyroidných hormónov v krv</w:t>
      </w:r>
      <w:r w:rsidR="00C17455" w:rsidRPr="00B272D3">
        <w:rPr>
          <w:noProof/>
        </w:rPr>
        <w:t>i</w:t>
      </w:r>
      <w:r w:rsidRPr="00B272D3">
        <w:rPr>
          <w:noProof/>
        </w:rPr>
        <w:t xml:space="preserve"> (merané pomocou jódu viazaného na </w:t>
      </w:r>
      <w:r w:rsidR="00C35EE8" w:rsidRPr="00B272D3">
        <w:rPr>
          <w:noProof/>
        </w:rPr>
        <w:t>proteíny</w:t>
      </w:r>
      <w:r w:rsidR="007D4044" w:rsidRPr="00B272D3">
        <w:rPr>
          <w:noProof/>
        </w:rPr>
        <w:t xml:space="preserve"> (PBI)), hladín T4 (stĺp</w:t>
      </w:r>
      <w:r w:rsidRPr="00B272D3">
        <w:rPr>
          <w:noProof/>
        </w:rPr>
        <w:t>c</w:t>
      </w:r>
      <w:r w:rsidR="007D4044" w:rsidRPr="00B272D3">
        <w:rPr>
          <w:noProof/>
        </w:rPr>
        <w:t>om</w:t>
      </w:r>
      <w:r w:rsidRPr="00B272D3">
        <w:rPr>
          <w:noProof/>
        </w:rPr>
        <w:t xml:space="preserve"> alebo rádioimunoanalýzou) alebo hladín T3 (rádioimunoanalýzou). </w:t>
      </w:r>
      <w:r w:rsidR="00C35EE8" w:rsidRPr="00B272D3">
        <w:rPr>
          <w:noProof/>
        </w:rPr>
        <w:t>Väzobný p</w:t>
      </w:r>
      <w:r w:rsidR="007D4044" w:rsidRPr="00B272D3">
        <w:rPr>
          <w:noProof/>
        </w:rPr>
        <w:t>omer tyroid</w:t>
      </w:r>
      <w:r w:rsidR="00433912">
        <w:rPr>
          <w:noProof/>
        </w:rPr>
        <w:t>ál</w:t>
      </w:r>
      <w:r w:rsidR="007D4044" w:rsidRPr="00B272D3">
        <w:rPr>
          <w:noProof/>
        </w:rPr>
        <w:t>n</w:t>
      </w:r>
      <w:r w:rsidR="00433912">
        <w:rPr>
          <w:noProof/>
        </w:rPr>
        <w:t>y</w:t>
      </w:r>
      <w:r w:rsidR="007D4044" w:rsidRPr="00B272D3">
        <w:rPr>
          <w:noProof/>
        </w:rPr>
        <w:t>ch hormónov</w:t>
      </w:r>
      <w:r w:rsidRPr="00B272D3">
        <w:rPr>
          <w:noProof/>
        </w:rPr>
        <w:t xml:space="preserve"> T3 je znížený, čo odráža zvýšenú </w:t>
      </w:r>
      <w:r w:rsidR="007D4044" w:rsidRPr="00B272D3">
        <w:rPr>
          <w:noProof/>
        </w:rPr>
        <w:t>hladinu</w:t>
      </w:r>
      <w:r w:rsidRPr="00B272D3">
        <w:rPr>
          <w:noProof/>
        </w:rPr>
        <w:t xml:space="preserve">TBG. Koncentrácie voľného T4 a voľného T3 sú nezmenené. </w:t>
      </w:r>
      <w:r w:rsidR="007D4044" w:rsidRPr="00B272D3">
        <w:rPr>
          <w:noProof/>
        </w:rPr>
        <w:t>V sére môžu byť zvýšené hladiny aj ď</w:t>
      </w:r>
      <w:r w:rsidRPr="00B272D3">
        <w:rPr>
          <w:noProof/>
        </w:rPr>
        <w:t>alš</w:t>
      </w:r>
      <w:r w:rsidR="007D4044" w:rsidRPr="00B272D3">
        <w:rPr>
          <w:noProof/>
        </w:rPr>
        <w:t>ích väzobných proteínov</w:t>
      </w:r>
      <w:r w:rsidRPr="00B272D3">
        <w:rPr>
          <w:noProof/>
        </w:rPr>
        <w:t xml:space="preserve">, </w:t>
      </w:r>
      <w:r w:rsidR="007D4044" w:rsidRPr="00B272D3">
        <w:rPr>
          <w:noProof/>
        </w:rPr>
        <w:t>napr.</w:t>
      </w:r>
      <w:r w:rsidRPr="00B272D3">
        <w:rPr>
          <w:noProof/>
        </w:rPr>
        <w:t xml:space="preserve"> globulín</w:t>
      </w:r>
      <w:r w:rsidR="00C35EE8" w:rsidRPr="00B272D3">
        <w:rPr>
          <w:noProof/>
        </w:rPr>
        <w:t>u</w:t>
      </w:r>
      <w:r w:rsidRPr="00B272D3">
        <w:rPr>
          <w:noProof/>
        </w:rPr>
        <w:t xml:space="preserve"> viažuc</w:t>
      </w:r>
      <w:r w:rsidR="00C35EE8" w:rsidRPr="00B272D3">
        <w:rPr>
          <w:noProof/>
        </w:rPr>
        <w:t>eho</w:t>
      </w:r>
      <w:r w:rsidRPr="00B272D3">
        <w:rPr>
          <w:noProof/>
        </w:rPr>
        <w:t xml:space="preserve"> kortikoidy (CBG), globulín</w:t>
      </w:r>
      <w:r w:rsidR="00C35EE8" w:rsidRPr="00B272D3">
        <w:rPr>
          <w:noProof/>
        </w:rPr>
        <w:t>u</w:t>
      </w:r>
      <w:r w:rsidRPr="00B272D3">
        <w:rPr>
          <w:noProof/>
        </w:rPr>
        <w:t xml:space="preserve"> viažuc</w:t>
      </w:r>
      <w:r w:rsidR="00C35EE8" w:rsidRPr="00B272D3">
        <w:rPr>
          <w:noProof/>
        </w:rPr>
        <w:t>eho</w:t>
      </w:r>
      <w:r w:rsidRPr="00B272D3">
        <w:rPr>
          <w:noProof/>
        </w:rPr>
        <w:t xml:space="preserve"> pohlavné hormóny (SHBG), čo </w:t>
      </w:r>
      <w:r w:rsidR="007D4044" w:rsidRPr="00B272D3">
        <w:rPr>
          <w:noProof/>
        </w:rPr>
        <w:t>má za následok</w:t>
      </w:r>
      <w:r w:rsidRPr="00B272D3">
        <w:rPr>
          <w:noProof/>
        </w:rPr>
        <w:t xml:space="preserve"> zvýšeni</w:t>
      </w:r>
      <w:r w:rsidR="00C17455" w:rsidRPr="00B272D3">
        <w:rPr>
          <w:noProof/>
        </w:rPr>
        <w:t>e</w:t>
      </w:r>
      <w:r w:rsidRPr="00B272D3">
        <w:rPr>
          <w:noProof/>
        </w:rPr>
        <w:t xml:space="preserve"> </w:t>
      </w:r>
      <w:r w:rsidR="00C17455" w:rsidRPr="00B272D3">
        <w:rPr>
          <w:noProof/>
        </w:rPr>
        <w:t>hladiny</w:t>
      </w:r>
      <w:r w:rsidRPr="00B272D3">
        <w:rPr>
          <w:noProof/>
        </w:rPr>
        <w:t xml:space="preserve"> kortikosteroidov a pohlavných steroid</w:t>
      </w:r>
      <w:r w:rsidR="00C35EE8" w:rsidRPr="00B272D3">
        <w:rPr>
          <w:noProof/>
        </w:rPr>
        <w:t>ných hormónov v </w:t>
      </w:r>
      <w:r w:rsidR="00C17455" w:rsidRPr="00B272D3">
        <w:rPr>
          <w:noProof/>
        </w:rPr>
        <w:t>krvi</w:t>
      </w:r>
      <w:r w:rsidRPr="00B272D3">
        <w:rPr>
          <w:noProof/>
        </w:rPr>
        <w:t xml:space="preserve">. Koncentrácia voľných alebo biologicky aktívnych hormónov sa nemení. Môžu sa </w:t>
      </w:r>
      <w:r w:rsidR="00C17455" w:rsidRPr="00B272D3">
        <w:rPr>
          <w:noProof/>
        </w:rPr>
        <w:t xml:space="preserve">tiež </w:t>
      </w:r>
      <w:r w:rsidRPr="00B272D3">
        <w:rPr>
          <w:noProof/>
        </w:rPr>
        <w:t xml:space="preserve">zvýšiť </w:t>
      </w:r>
      <w:r w:rsidR="00C35EE8" w:rsidRPr="00B272D3">
        <w:rPr>
          <w:noProof/>
        </w:rPr>
        <w:t xml:space="preserve">hladiny </w:t>
      </w:r>
      <w:r w:rsidRPr="00B272D3">
        <w:rPr>
          <w:noProof/>
        </w:rPr>
        <w:t>ďalš</w:t>
      </w:r>
      <w:r w:rsidR="00C35EE8" w:rsidRPr="00B272D3">
        <w:rPr>
          <w:noProof/>
        </w:rPr>
        <w:t>ích</w:t>
      </w:r>
      <w:r w:rsidRPr="00B272D3">
        <w:rPr>
          <w:noProof/>
        </w:rPr>
        <w:t xml:space="preserve"> </w:t>
      </w:r>
      <w:r w:rsidR="00C35EE8" w:rsidRPr="00B272D3">
        <w:rPr>
          <w:noProof/>
        </w:rPr>
        <w:t>proteínov v plazme</w:t>
      </w:r>
      <w:r w:rsidR="00C17455" w:rsidRPr="00B272D3">
        <w:rPr>
          <w:noProof/>
        </w:rPr>
        <w:t xml:space="preserve"> (</w:t>
      </w:r>
      <w:r w:rsidR="00CE40BF" w:rsidRPr="00B272D3">
        <w:rPr>
          <w:noProof/>
        </w:rPr>
        <w:t xml:space="preserve">substrát </w:t>
      </w:r>
      <w:r w:rsidR="00C17455" w:rsidRPr="00B272D3">
        <w:rPr>
          <w:noProof/>
        </w:rPr>
        <w:t>angiotenzinogén</w:t>
      </w:r>
      <w:r w:rsidR="00CE40BF">
        <w:rPr>
          <w:noProof/>
        </w:rPr>
        <w:t>u</w:t>
      </w:r>
      <w:r w:rsidR="00C17455" w:rsidRPr="00B272D3">
        <w:rPr>
          <w:noProof/>
        </w:rPr>
        <w:t>/</w:t>
      </w:r>
      <w:r w:rsidRPr="00B272D3">
        <w:rPr>
          <w:noProof/>
        </w:rPr>
        <w:t>renín</w:t>
      </w:r>
      <w:r w:rsidR="00CE40BF">
        <w:rPr>
          <w:noProof/>
        </w:rPr>
        <w:t>u</w:t>
      </w:r>
      <w:r w:rsidRPr="00B272D3">
        <w:rPr>
          <w:noProof/>
        </w:rPr>
        <w:t xml:space="preserve">, </w:t>
      </w:r>
      <w:r w:rsidR="00C17455" w:rsidRPr="00B272D3">
        <w:rPr>
          <w:noProof/>
        </w:rPr>
        <w:t>alfa-1-antitrypsín, cerulopla</w:t>
      </w:r>
      <w:r w:rsidR="00433912">
        <w:rPr>
          <w:noProof/>
        </w:rPr>
        <w:t>z</w:t>
      </w:r>
      <w:r w:rsidR="00C17455" w:rsidRPr="00B272D3">
        <w:rPr>
          <w:noProof/>
        </w:rPr>
        <w:t>mí</w:t>
      </w:r>
      <w:r w:rsidRPr="00B272D3">
        <w:rPr>
          <w:noProof/>
        </w:rPr>
        <w:t>n).</w:t>
      </w:r>
      <w:r w:rsidRPr="00B272D3">
        <w:rPr>
          <w:noProof/>
        </w:rPr>
        <w:br/>
      </w:r>
      <w:r w:rsidRPr="00B272D3">
        <w:rPr>
          <w:noProof/>
        </w:rPr>
        <w:br/>
        <w:t xml:space="preserve">Minimálna systémová absorpcia estradiolu pri </w:t>
      </w:r>
      <w:r w:rsidR="00BF5372" w:rsidRPr="00B272D3">
        <w:rPr>
          <w:noProof/>
        </w:rPr>
        <w:t>lokálnom</w:t>
      </w:r>
      <w:r w:rsidRPr="00B272D3">
        <w:rPr>
          <w:noProof/>
        </w:rPr>
        <w:t xml:space="preserve"> vaginálnom podaní (</w:t>
      </w:r>
      <w:r w:rsidR="00BF5372" w:rsidRPr="00B272D3">
        <w:rPr>
          <w:noProof/>
        </w:rPr>
        <w:t xml:space="preserve">pozri časť 5.2) pravdepodobne </w:t>
      </w:r>
      <w:r w:rsidRPr="00B272D3">
        <w:rPr>
          <w:noProof/>
        </w:rPr>
        <w:t>vedie k menej výrazn</w:t>
      </w:r>
      <w:r w:rsidR="00C35EE8" w:rsidRPr="00B272D3">
        <w:rPr>
          <w:noProof/>
        </w:rPr>
        <w:t>ému vplyvu</w:t>
      </w:r>
      <w:r w:rsidRPr="00B272D3">
        <w:rPr>
          <w:noProof/>
        </w:rPr>
        <w:t xml:space="preserve"> na </w:t>
      </w:r>
      <w:r w:rsidR="00BF5372" w:rsidRPr="00B272D3">
        <w:rPr>
          <w:noProof/>
        </w:rPr>
        <w:t xml:space="preserve">väzobné </w:t>
      </w:r>
      <w:r w:rsidRPr="00B272D3">
        <w:rPr>
          <w:noProof/>
        </w:rPr>
        <w:t xml:space="preserve">proteíny </w:t>
      </w:r>
      <w:r w:rsidR="00C35EE8" w:rsidRPr="00B272D3">
        <w:rPr>
          <w:noProof/>
        </w:rPr>
        <w:t>v plazme</w:t>
      </w:r>
      <w:r w:rsidR="00BF5372" w:rsidRPr="00B272D3">
        <w:rPr>
          <w:noProof/>
        </w:rPr>
        <w:t>,</w:t>
      </w:r>
      <w:r w:rsidRPr="00B272D3">
        <w:rPr>
          <w:noProof/>
        </w:rPr>
        <w:t xml:space="preserve"> </w:t>
      </w:r>
      <w:r w:rsidR="00F41004">
        <w:rPr>
          <w:noProof/>
        </w:rPr>
        <w:t xml:space="preserve">v porovnaní so </w:t>
      </w:r>
      <w:r w:rsidRPr="00B272D3">
        <w:rPr>
          <w:noProof/>
        </w:rPr>
        <w:t>systémov</w:t>
      </w:r>
      <w:r w:rsidR="00BF5372" w:rsidRPr="00B272D3">
        <w:rPr>
          <w:noProof/>
        </w:rPr>
        <w:t>ými</w:t>
      </w:r>
      <w:r w:rsidRPr="00B272D3">
        <w:rPr>
          <w:noProof/>
        </w:rPr>
        <w:t xml:space="preserve"> hormón</w:t>
      </w:r>
      <w:r w:rsidR="00BF5372" w:rsidRPr="00B272D3">
        <w:rPr>
          <w:noProof/>
        </w:rPr>
        <w:t>mi</w:t>
      </w:r>
      <w:r w:rsidR="00270117" w:rsidRPr="00B272D3">
        <w:rPr>
          <w:noProof/>
        </w:rPr>
        <w:t>.</w:t>
      </w:r>
    </w:p>
    <w:p w:rsidR="00287974" w:rsidRPr="00B272D3" w:rsidRDefault="00BF5372" w:rsidP="0010040E">
      <w:pPr>
        <w:keepNext/>
        <w:tabs>
          <w:tab w:val="clear" w:pos="567"/>
        </w:tabs>
        <w:spacing w:line="240" w:lineRule="auto"/>
        <w:rPr>
          <w:noProof/>
        </w:rPr>
      </w:pPr>
      <w:r w:rsidRPr="00B272D3">
        <w:rPr>
          <w:noProof/>
        </w:rPr>
        <w:t>HS</w:t>
      </w:r>
      <w:r w:rsidR="00F61FA6" w:rsidRPr="00B272D3">
        <w:rPr>
          <w:noProof/>
        </w:rPr>
        <w:t xml:space="preserve">T nezlepšuje kognitívne funkcie. </w:t>
      </w:r>
      <w:r w:rsidRPr="00B272D3">
        <w:rPr>
          <w:noProof/>
        </w:rPr>
        <w:t xml:space="preserve">Zo štúdie WHI však </w:t>
      </w:r>
      <w:r w:rsidR="003E1DE9">
        <w:rPr>
          <w:noProof/>
        </w:rPr>
        <w:t>vyplýva</w:t>
      </w:r>
      <w:r w:rsidR="003E1DE9" w:rsidRPr="00B272D3">
        <w:rPr>
          <w:noProof/>
        </w:rPr>
        <w:t xml:space="preserve"> </w:t>
      </w:r>
      <w:r w:rsidR="00C35EE8" w:rsidRPr="00B272D3">
        <w:rPr>
          <w:noProof/>
        </w:rPr>
        <w:t xml:space="preserve">určitý </w:t>
      </w:r>
      <w:r w:rsidRPr="00B272D3">
        <w:rPr>
          <w:noProof/>
        </w:rPr>
        <w:t>dôkaz</w:t>
      </w:r>
      <w:r w:rsidR="00F61FA6" w:rsidRPr="00B272D3">
        <w:rPr>
          <w:noProof/>
        </w:rPr>
        <w:t xml:space="preserve"> o zvýšenom riziku pravdepodob</w:t>
      </w:r>
      <w:r w:rsidR="00C35EE8" w:rsidRPr="00B272D3">
        <w:rPr>
          <w:noProof/>
        </w:rPr>
        <w:t>nej demencie u žien, ktoré začali</w:t>
      </w:r>
      <w:r w:rsidR="00F61FA6" w:rsidRPr="00B272D3">
        <w:rPr>
          <w:noProof/>
        </w:rPr>
        <w:t xml:space="preserve"> používať kontinuálnu </w:t>
      </w:r>
      <w:r w:rsidRPr="00B272D3">
        <w:rPr>
          <w:noProof/>
        </w:rPr>
        <w:t>kombinovanú HST alebo HS</w:t>
      </w:r>
      <w:r w:rsidR="00F61FA6" w:rsidRPr="00B272D3">
        <w:rPr>
          <w:noProof/>
        </w:rPr>
        <w:t xml:space="preserve">T </w:t>
      </w:r>
      <w:r w:rsidRPr="00B272D3">
        <w:rPr>
          <w:noProof/>
        </w:rPr>
        <w:t xml:space="preserve">so samotným estrogénom </w:t>
      </w:r>
      <w:r w:rsidR="00F61FA6" w:rsidRPr="00B272D3">
        <w:rPr>
          <w:noProof/>
        </w:rPr>
        <w:t>po 65</w:t>
      </w:r>
      <w:r w:rsidRPr="00B272D3">
        <w:rPr>
          <w:noProof/>
        </w:rPr>
        <w:t>. roku života</w:t>
      </w:r>
      <w:r w:rsidR="00F61FA6" w:rsidRPr="00B272D3">
        <w:rPr>
          <w:noProof/>
        </w:rPr>
        <w:t>.</w:t>
      </w:r>
      <w:r w:rsidR="00F61FA6" w:rsidRPr="00B272D3">
        <w:rPr>
          <w:noProof/>
        </w:rPr>
        <w:br/>
      </w:r>
      <w:r w:rsidR="00F61FA6" w:rsidRPr="00B272D3">
        <w:rPr>
          <w:noProof/>
        </w:rPr>
        <w:br/>
        <w:t xml:space="preserve">Intravaginálny aplikátor môže spôsobiť menšie lokálne </w:t>
      </w:r>
      <w:r w:rsidRPr="00B272D3">
        <w:rPr>
          <w:noProof/>
        </w:rPr>
        <w:t>poranenia</w:t>
      </w:r>
      <w:r w:rsidR="00F61FA6" w:rsidRPr="00B272D3">
        <w:rPr>
          <w:noProof/>
        </w:rPr>
        <w:t>, najmä u žien s</w:t>
      </w:r>
      <w:r w:rsidR="00C35EE8" w:rsidRPr="00B272D3">
        <w:rPr>
          <w:noProof/>
        </w:rPr>
        <w:t>o</w:t>
      </w:r>
      <w:r w:rsidRPr="00B272D3">
        <w:rPr>
          <w:noProof/>
        </w:rPr>
        <w:t xml:space="preserve"> </w:t>
      </w:r>
      <w:r w:rsidR="00C35EE8" w:rsidRPr="00B272D3">
        <w:rPr>
          <w:noProof/>
        </w:rPr>
        <w:t>závažnou</w:t>
      </w:r>
      <w:r w:rsidR="00F61FA6" w:rsidRPr="00B272D3">
        <w:rPr>
          <w:noProof/>
        </w:rPr>
        <w:t xml:space="preserve"> vaginálnou atrofiou.</w:t>
      </w:r>
      <w:r w:rsidR="00F61FA6" w:rsidRPr="00B272D3">
        <w:rPr>
          <w:noProof/>
        </w:rPr>
        <w:br/>
      </w:r>
      <w:r w:rsidR="00F61FA6" w:rsidRPr="00B272D3">
        <w:rPr>
          <w:noProof/>
        </w:rPr>
        <w:br/>
      </w:r>
      <w:r w:rsidRPr="00B272D3">
        <w:rPr>
          <w:noProof/>
        </w:rPr>
        <w:t xml:space="preserve">Dôkazy týkajúce sa rizika spojeného s </w:t>
      </w:r>
      <w:r w:rsidR="00895DF0" w:rsidRPr="00B272D3">
        <w:rPr>
          <w:noProof/>
        </w:rPr>
        <w:t>liečbou</w:t>
      </w:r>
      <w:r w:rsidR="00F61FA6" w:rsidRPr="00B272D3">
        <w:rPr>
          <w:noProof/>
        </w:rPr>
        <w:t xml:space="preserve"> predčasnej menopauzy </w:t>
      </w:r>
      <w:r w:rsidR="00895DF0" w:rsidRPr="00B272D3">
        <w:rPr>
          <w:noProof/>
        </w:rPr>
        <w:t xml:space="preserve">pomocou HST </w:t>
      </w:r>
      <w:r w:rsidR="00F61FA6" w:rsidRPr="00B272D3">
        <w:rPr>
          <w:noProof/>
        </w:rPr>
        <w:t xml:space="preserve">sú obmedzené. </w:t>
      </w:r>
      <w:r w:rsidR="00895DF0" w:rsidRPr="00B272D3">
        <w:rPr>
          <w:noProof/>
        </w:rPr>
        <w:t>Avšak v</w:t>
      </w:r>
      <w:r w:rsidR="00F61FA6" w:rsidRPr="00B272D3">
        <w:rPr>
          <w:noProof/>
        </w:rPr>
        <w:t xml:space="preserve">zhľadom na nízku </w:t>
      </w:r>
      <w:r w:rsidR="00C35EE8" w:rsidRPr="00B272D3">
        <w:rPr>
          <w:noProof/>
        </w:rPr>
        <w:t>mieru</w:t>
      </w:r>
      <w:r w:rsidR="00F61FA6" w:rsidRPr="00B272D3">
        <w:rPr>
          <w:noProof/>
        </w:rPr>
        <w:t xml:space="preserve"> absolútneho rizika u mladších žien môže byť </w:t>
      </w:r>
      <w:r w:rsidR="00895DF0" w:rsidRPr="00B272D3">
        <w:rPr>
          <w:noProof/>
        </w:rPr>
        <w:t>pomer</w:t>
      </w:r>
      <w:r w:rsidR="00F61FA6" w:rsidRPr="00B272D3">
        <w:rPr>
          <w:noProof/>
        </w:rPr>
        <w:t xml:space="preserve"> </w:t>
      </w:r>
      <w:r w:rsidRPr="00B272D3">
        <w:rPr>
          <w:noProof/>
        </w:rPr>
        <w:t>prínosov</w:t>
      </w:r>
      <w:r w:rsidR="00F61FA6" w:rsidRPr="00B272D3">
        <w:rPr>
          <w:noProof/>
        </w:rPr>
        <w:t xml:space="preserve"> a rizík </w:t>
      </w:r>
      <w:r w:rsidR="00895DF0" w:rsidRPr="00B272D3">
        <w:rPr>
          <w:noProof/>
        </w:rPr>
        <w:t>u </w:t>
      </w:r>
      <w:r w:rsidR="00F61FA6" w:rsidRPr="00B272D3">
        <w:rPr>
          <w:noProof/>
        </w:rPr>
        <w:t>t</w:t>
      </w:r>
      <w:r w:rsidR="00895DF0" w:rsidRPr="00B272D3">
        <w:rPr>
          <w:noProof/>
        </w:rPr>
        <w:t>ých</w:t>
      </w:r>
      <w:r w:rsidR="00F61FA6" w:rsidRPr="00B272D3">
        <w:rPr>
          <w:noProof/>
        </w:rPr>
        <w:t>to ž</w:t>
      </w:r>
      <w:r w:rsidR="00895DF0" w:rsidRPr="00B272D3">
        <w:rPr>
          <w:noProof/>
        </w:rPr>
        <w:t>i</w:t>
      </w:r>
      <w:r w:rsidR="00F61FA6" w:rsidRPr="00B272D3">
        <w:rPr>
          <w:noProof/>
        </w:rPr>
        <w:t>en priaznivejš</w:t>
      </w:r>
      <w:r w:rsidR="00895DF0" w:rsidRPr="00B272D3">
        <w:rPr>
          <w:noProof/>
        </w:rPr>
        <w:t>í</w:t>
      </w:r>
      <w:r w:rsidR="00F61FA6" w:rsidRPr="00B272D3">
        <w:rPr>
          <w:noProof/>
        </w:rPr>
        <w:t xml:space="preserve"> ako u starších žien.</w:t>
      </w:r>
    </w:p>
    <w:p w:rsidR="00812D16" w:rsidRPr="00B272D3" w:rsidRDefault="00812D16" w:rsidP="00204AAB">
      <w:pPr>
        <w:spacing w:line="240" w:lineRule="auto"/>
        <w:outlineLvl w:val="0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Liekové a iné interakcie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C35EE8" w:rsidP="00204AAB">
      <w:pPr>
        <w:spacing w:line="240" w:lineRule="auto"/>
      </w:pPr>
      <w:r w:rsidRPr="00B272D3">
        <w:t>Z dôvodu vaginálneho podania a minimálnej systémovej absorpcie je nepravdepodobné, že sa pri V</w:t>
      </w:r>
      <w:r w:rsidR="00FA0B83">
        <w:t>agiruxe</w:t>
      </w:r>
      <w:r w:rsidRPr="00B272D3">
        <w:t xml:space="preserve"> vyskytnú akékoľvek klinicky </w:t>
      </w:r>
      <w:r w:rsidR="00DA46AF" w:rsidRPr="00B272D3">
        <w:t>významné</w:t>
      </w:r>
      <w:r w:rsidRPr="00B272D3">
        <w:t xml:space="preserve"> liekové interakcie. Mali by sa však zvážiť interakcie s in</w:t>
      </w:r>
      <w:r w:rsidR="00DA46AF" w:rsidRPr="00B272D3">
        <w:t>ou</w:t>
      </w:r>
      <w:r w:rsidRPr="00B272D3">
        <w:t xml:space="preserve"> lokálne </w:t>
      </w:r>
      <w:r w:rsidR="00DA46AF" w:rsidRPr="00B272D3">
        <w:t>podávanou</w:t>
      </w:r>
      <w:r w:rsidRPr="00B272D3">
        <w:t xml:space="preserve"> vagináln</w:t>
      </w:r>
      <w:r w:rsidR="00DA46AF" w:rsidRPr="00B272D3">
        <w:t>ou</w:t>
      </w:r>
      <w:r w:rsidRPr="00B272D3">
        <w:t xml:space="preserve"> liečb</w:t>
      </w:r>
      <w:r w:rsidR="00DA46AF" w:rsidRPr="00B272D3">
        <w:t>ou</w:t>
      </w:r>
      <w:r w:rsidRPr="00B272D3">
        <w:t>.</w:t>
      </w:r>
    </w:p>
    <w:p w:rsidR="00C35EE8" w:rsidRPr="00B272D3" w:rsidRDefault="00C35EE8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Fertilita, gravidita a laktácia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FE605C" w:rsidP="00204AAB">
      <w:pPr>
        <w:spacing w:line="240" w:lineRule="auto"/>
        <w:rPr>
          <w:u w:val="single"/>
        </w:rPr>
      </w:pPr>
      <w:r w:rsidRPr="00B272D3">
        <w:rPr>
          <w:u w:val="single"/>
        </w:rPr>
        <w:t>Gravidita</w:t>
      </w:r>
    </w:p>
    <w:p w:rsidR="00C8241A" w:rsidRPr="00B272D3" w:rsidRDefault="00C8241A" w:rsidP="00204AAB">
      <w:pPr>
        <w:spacing w:line="240" w:lineRule="auto"/>
      </w:pPr>
      <w:r w:rsidRPr="00B272D3">
        <w:t>V</w:t>
      </w:r>
      <w:r w:rsidR="00FA0B83">
        <w:t>agirux</w:t>
      </w:r>
      <w:r w:rsidRPr="00B272D3">
        <w:t xml:space="preserve"> nie je počas gravidity</w:t>
      </w:r>
      <w:r w:rsidR="00C05C63" w:rsidRPr="00B272D3">
        <w:t xml:space="preserve"> indikovaný</w:t>
      </w:r>
      <w:r w:rsidRPr="00B272D3">
        <w:t>. Ak počas liečby V</w:t>
      </w:r>
      <w:r w:rsidR="00FA0B83">
        <w:t>agiruxom</w:t>
      </w:r>
      <w:r w:rsidRPr="00B272D3">
        <w:t xml:space="preserve"> dôjde ku gravidite, liečba sa musí okamžite prerušiť. Výsledky doterajších epidemiologických štúdií</w:t>
      </w:r>
      <w:r w:rsidR="00C05C63" w:rsidRPr="00B272D3">
        <w:t>,</w:t>
      </w:r>
      <w:r w:rsidRPr="00B272D3">
        <w:t xml:space="preserve"> týkajúcich sa neúmyselného vystavenia plodu estrogénom</w:t>
      </w:r>
      <w:r w:rsidR="00C05C63" w:rsidRPr="00B272D3">
        <w:t>,</w:t>
      </w:r>
      <w:r w:rsidRPr="00B272D3">
        <w:t xml:space="preserve"> nenaznačujú žiadne teratogénne ani fetotoxické účinky.</w:t>
      </w:r>
      <w:r w:rsidRPr="00B272D3">
        <w:br/>
      </w:r>
    </w:p>
    <w:p w:rsidR="00812D16" w:rsidRPr="00B272D3" w:rsidRDefault="00FE605C" w:rsidP="00204AAB">
      <w:pPr>
        <w:spacing w:line="240" w:lineRule="auto"/>
      </w:pPr>
      <w:r w:rsidRPr="00B272D3">
        <w:rPr>
          <w:u w:val="single"/>
        </w:rPr>
        <w:t>Dojčenie</w:t>
      </w:r>
    </w:p>
    <w:p w:rsidR="00C8241A" w:rsidRPr="00B272D3" w:rsidRDefault="00C8241A" w:rsidP="00C8241A">
      <w:pPr>
        <w:spacing w:line="240" w:lineRule="auto"/>
      </w:pPr>
      <w:r w:rsidRPr="00B272D3">
        <w:t>V</w:t>
      </w:r>
      <w:r w:rsidR="00FA0B83">
        <w:t>agirux</w:t>
      </w:r>
      <w:r w:rsidRPr="00B272D3">
        <w:t xml:space="preserve"> nie je počas dojčenia indikovaný.</w:t>
      </w:r>
    </w:p>
    <w:p w:rsidR="00812D16" w:rsidRPr="00B272D3" w:rsidRDefault="00812D16" w:rsidP="00204AAB">
      <w:pPr>
        <w:spacing w:line="240" w:lineRule="auto"/>
        <w:rPr>
          <w:i/>
        </w:rPr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Ovplyvnenie schopnosti viesť vozidlá a obsluhovať stroje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C05C63" w:rsidP="00204AAB">
      <w:pPr>
        <w:spacing w:line="240" w:lineRule="auto"/>
      </w:pPr>
      <w:r w:rsidRPr="00B272D3">
        <w:t>Nie sú známe žiadne účinky.</w:t>
      </w:r>
    </w:p>
    <w:p w:rsidR="00270117" w:rsidRPr="00B272D3" w:rsidRDefault="00270117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272D3">
        <w:rPr>
          <w:b/>
        </w:rPr>
        <w:t>Nežiaduce účinky</w:t>
      </w:r>
    </w:p>
    <w:p w:rsidR="00812D16" w:rsidRPr="00B272D3" w:rsidRDefault="00812D16" w:rsidP="00085939">
      <w:pPr>
        <w:keepNext/>
        <w:autoSpaceDE w:val="0"/>
        <w:autoSpaceDN w:val="0"/>
        <w:adjustRightInd w:val="0"/>
        <w:spacing w:line="240" w:lineRule="auto"/>
        <w:jc w:val="both"/>
      </w:pPr>
    </w:p>
    <w:p w:rsidR="00033D26" w:rsidRPr="00B272D3" w:rsidRDefault="004905EE" w:rsidP="004905EE">
      <w:pPr>
        <w:autoSpaceDE w:val="0"/>
        <w:autoSpaceDN w:val="0"/>
        <w:adjustRightInd w:val="0"/>
        <w:spacing w:line="240" w:lineRule="auto"/>
      </w:pPr>
      <w:r w:rsidRPr="00B272D3">
        <w:rPr>
          <w:u w:val="single"/>
        </w:rPr>
        <w:t xml:space="preserve">Nežiaduce účinky z klinických </w:t>
      </w:r>
      <w:r w:rsidR="00AA48F6" w:rsidRPr="00B272D3">
        <w:rPr>
          <w:u w:val="single"/>
        </w:rPr>
        <w:t>štúdií</w:t>
      </w:r>
      <w:r w:rsidRPr="00B272D3">
        <w:rPr>
          <w:u w:val="single"/>
        </w:rPr>
        <w:t>:</w:t>
      </w:r>
      <w:r w:rsidRPr="00B272D3">
        <w:rPr>
          <w:u w:val="single"/>
        </w:rPr>
        <w:br/>
      </w:r>
      <w:r w:rsidRPr="00B272D3">
        <w:t xml:space="preserve">V klinických </w:t>
      </w:r>
      <w:r w:rsidR="00AA48F6" w:rsidRPr="00B272D3">
        <w:t>štúdiách</w:t>
      </w:r>
      <w:r w:rsidRPr="00B272D3">
        <w:t xml:space="preserve"> bolo </w:t>
      </w:r>
      <w:r w:rsidR="00AA48F6" w:rsidRPr="00B272D3">
        <w:t xml:space="preserve">vaginálnymi tabletami s obsahom </w:t>
      </w:r>
      <w:r w:rsidRPr="00B272D3">
        <w:t xml:space="preserve">10 mikrogramov </w:t>
      </w:r>
      <w:r w:rsidR="00AA48F6" w:rsidRPr="00B272D3">
        <w:t>estradiolu liečených viac ako 673 pacientok, z toho viac ako 497 pacientok</w:t>
      </w:r>
      <w:r w:rsidRPr="00B272D3">
        <w:t xml:space="preserve"> liečených </w:t>
      </w:r>
      <w:r w:rsidR="00AA48F6" w:rsidRPr="00B272D3">
        <w:t>počas až</w:t>
      </w:r>
      <w:r w:rsidRPr="00B272D3">
        <w:t xml:space="preserve"> 52 týždňov. Šesťtýždňová klinická štúdia s </w:t>
      </w:r>
      <w:r w:rsidR="00AA48F6" w:rsidRPr="00B272D3">
        <w:t>V</w:t>
      </w:r>
      <w:r w:rsidR="00FA0B83">
        <w:t>agiruxom</w:t>
      </w:r>
      <w:r w:rsidR="00AA48F6" w:rsidRPr="00B272D3">
        <w:t xml:space="preserve"> zahŕňajúca spolu 430 pacientok</w:t>
      </w:r>
      <w:r w:rsidRPr="00B272D3">
        <w:t xml:space="preserve"> potvrdila profil nežiaducich </w:t>
      </w:r>
      <w:r w:rsidR="00EA1CC8" w:rsidRPr="00B272D3">
        <w:t>účinkov</w:t>
      </w:r>
      <w:r w:rsidR="00AA48F6" w:rsidRPr="00B272D3">
        <w:t>,</w:t>
      </w:r>
      <w:r w:rsidRPr="00B272D3">
        <w:t xml:space="preserve"> známy z počiatočných klinických štúdií. </w:t>
      </w:r>
      <w:r w:rsidR="00EA2770" w:rsidRPr="00B272D3">
        <w:t>Nežiaduce účinky spájané s estrogén</w:t>
      </w:r>
      <w:r w:rsidR="00227C93" w:rsidRPr="00B272D3">
        <w:t>om</w:t>
      </w:r>
      <w:r w:rsidR="00EA2770" w:rsidRPr="00B272D3">
        <w:t>, ako sú bolesť prsníkov, periférny edém a postmenopauzálne krvácanie, boli p</w:t>
      </w:r>
      <w:r w:rsidRPr="00B272D3">
        <w:t xml:space="preserve">ri </w:t>
      </w:r>
      <w:r w:rsidR="00EA2770" w:rsidRPr="00B272D3">
        <w:t xml:space="preserve">používaní </w:t>
      </w:r>
      <w:r w:rsidR="00AA48F6" w:rsidRPr="00B272D3">
        <w:t>vaginálnych tabl</w:t>
      </w:r>
      <w:r w:rsidR="00EA2770" w:rsidRPr="00B272D3">
        <w:t>i</w:t>
      </w:r>
      <w:r w:rsidR="00AA48F6" w:rsidRPr="00B272D3">
        <w:t>et</w:t>
      </w:r>
      <w:r w:rsidR="00EA2770" w:rsidRPr="00B272D3">
        <w:t xml:space="preserve"> s </w:t>
      </w:r>
      <w:r w:rsidR="00AA48F6" w:rsidRPr="00B272D3">
        <w:t xml:space="preserve">obsahom </w:t>
      </w:r>
      <w:r w:rsidRPr="00B272D3">
        <w:t xml:space="preserve">10 </w:t>
      </w:r>
      <w:r w:rsidR="00AA48F6" w:rsidRPr="00B272D3">
        <w:t xml:space="preserve">mikrogramov estradiolu </w:t>
      </w:r>
      <w:r w:rsidRPr="00B272D3">
        <w:t xml:space="preserve">hlásené </w:t>
      </w:r>
      <w:r w:rsidR="00EA2770" w:rsidRPr="00B272D3">
        <w:t>vo</w:t>
      </w:r>
      <w:r w:rsidR="00AA48F6" w:rsidRPr="00B272D3">
        <w:t xml:space="preserve"> veľmi nízk</w:t>
      </w:r>
      <w:r w:rsidR="00EA2770" w:rsidRPr="00B272D3">
        <w:t>om počte</w:t>
      </w:r>
      <w:r w:rsidR="00AA48F6" w:rsidRPr="00B272D3">
        <w:t>, podobn</w:t>
      </w:r>
      <w:r w:rsidR="00227C93" w:rsidRPr="00B272D3">
        <w:t>e ako pri placebe.</w:t>
      </w:r>
      <w:r w:rsidRPr="00B272D3">
        <w:t xml:space="preserve"> </w:t>
      </w:r>
      <w:r w:rsidR="00227C93" w:rsidRPr="00B272D3">
        <w:t>A</w:t>
      </w:r>
      <w:r w:rsidRPr="00B272D3">
        <w:t xml:space="preserve">k sa </w:t>
      </w:r>
      <w:r w:rsidR="00227C93" w:rsidRPr="00B272D3">
        <w:t>však</w:t>
      </w:r>
      <w:r w:rsidR="00AA48F6" w:rsidRPr="00B272D3">
        <w:t xml:space="preserve"> </w:t>
      </w:r>
      <w:r w:rsidR="00227C93" w:rsidRPr="00B272D3">
        <w:t>vyskytli</w:t>
      </w:r>
      <w:r w:rsidRPr="00B272D3">
        <w:t xml:space="preserve">, </w:t>
      </w:r>
      <w:r w:rsidR="00227C93" w:rsidRPr="00B272D3">
        <w:t>boli</w:t>
      </w:r>
      <w:r w:rsidRPr="00B272D3">
        <w:t xml:space="preserve"> </w:t>
      </w:r>
      <w:r w:rsidR="00227C93" w:rsidRPr="00B272D3">
        <w:t xml:space="preserve">skôr </w:t>
      </w:r>
      <w:r w:rsidRPr="00B272D3">
        <w:t xml:space="preserve">prítomné </w:t>
      </w:r>
      <w:r w:rsidR="00EF2495" w:rsidRPr="00B272D3">
        <w:t>iba</w:t>
      </w:r>
      <w:r w:rsidRPr="00B272D3">
        <w:t xml:space="preserve"> na začiatku liečby.</w:t>
      </w:r>
      <w:r w:rsidRPr="00B272D3">
        <w:br/>
      </w:r>
      <w:r w:rsidRPr="00B272D3">
        <w:br/>
        <w:t xml:space="preserve">Nežiaduce účinky pozorované </w:t>
      </w:r>
      <w:r w:rsidR="00EA1CC8" w:rsidRPr="00B272D3">
        <w:t>u pacientok</w:t>
      </w:r>
      <w:r w:rsidRPr="00B272D3">
        <w:t xml:space="preserve"> liečených </w:t>
      </w:r>
      <w:r w:rsidR="00EA1CC8" w:rsidRPr="00B272D3">
        <w:t>vaginálnymi tabletami s obsahom 10 mikrogramov estradiolu</w:t>
      </w:r>
      <w:r w:rsidR="00227C93" w:rsidRPr="00B272D3">
        <w:t xml:space="preserve"> s vyššou frekvenciou</w:t>
      </w:r>
      <w:r w:rsidR="00EA1CC8" w:rsidRPr="00B272D3">
        <w:t xml:space="preserve"> </w:t>
      </w:r>
      <w:r w:rsidR="00227C93" w:rsidRPr="00B272D3">
        <w:t>ako pri</w:t>
      </w:r>
      <w:r w:rsidRPr="00B272D3">
        <w:t xml:space="preserve"> placeb</w:t>
      </w:r>
      <w:r w:rsidR="00227C93" w:rsidRPr="00B272D3">
        <w:t>e</w:t>
      </w:r>
      <w:r w:rsidR="00EA1CC8" w:rsidRPr="00B272D3">
        <w:t>, ktoré pravdepodobne súvisia s </w:t>
      </w:r>
      <w:r w:rsidRPr="00B272D3">
        <w:t>liečbou, sú uvedené nižšie.</w:t>
      </w:r>
    </w:p>
    <w:p w:rsidR="004905EE" w:rsidRPr="00B272D3" w:rsidRDefault="004905EE" w:rsidP="004905EE">
      <w:pPr>
        <w:autoSpaceDE w:val="0"/>
        <w:autoSpaceDN w:val="0"/>
        <w:adjustRightInd w:val="0"/>
        <w:spacing w:line="240" w:lineRule="auto"/>
      </w:pPr>
    </w:p>
    <w:tbl>
      <w:tblPr>
        <w:tblW w:w="5000" w:type="pct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7"/>
        <w:gridCol w:w="3276"/>
        <w:gridCol w:w="3276"/>
      </w:tblGrid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Trieda orgánových systémov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Časté</w:t>
            </w:r>
          </w:p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≥1/100 až</w:t>
            </w:r>
            <w:r w:rsidR="004905EE" w:rsidRPr="00B272D3">
              <w:rPr>
                <w:b/>
                <w:bCs/>
                <w:lang w:eastAsia="de-DE"/>
              </w:rPr>
              <w:t xml:space="preserve"> &lt;1/10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Menej časté</w:t>
            </w:r>
          </w:p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≥1/1 000 až</w:t>
            </w:r>
            <w:r w:rsidR="004905EE" w:rsidRPr="00B272D3">
              <w:rPr>
                <w:b/>
                <w:bCs/>
                <w:lang w:eastAsia="de-DE"/>
              </w:rPr>
              <w:t xml:space="preserve"> &lt;1/100</w:t>
            </w:r>
          </w:p>
        </w:tc>
      </w:tr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4905EE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Infe</w:t>
            </w:r>
            <w:r w:rsidR="00227C93" w:rsidRPr="00B272D3">
              <w:rPr>
                <w:b/>
                <w:bCs/>
                <w:lang w:eastAsia="de-DE"/>
              </w:rPr>
              <w:t>k</w:t>
            </w:r>
            <w:r w:rsidRPr="00B272D3">
              <w:rPr>
                <w:b/>
                <w:bCs/>
                <w:lang w:eastAsia="de-DE"/>
              </w:rPr>
              <w:t>c</w:t>
            </w:r>
            <w:r w:rsidR="00227C93" w:rsidRPr="00B272D3">
              <w:rPr>
                <w:b/>
                <w:bCs/>
                <w:lang w:eastAsia="de-DE"/>
              </w:rPr>
              <w:t>ie</w:t>
            </w:r>
            <w:r w:rsidRPr="00B272D3">
              <w:rPr>
                <w:b/>
                <w:bCs/>
                <w:lang w:eastAsia="de-DE"/>
              </w:rPr>
              <w:t xml:space="preserve"> a </w:t>
            </w:r>
            <w:r w:rsidR="006038EB">
              <w:rPr>
                <w:b/>
                <w:bCs/>
                <w:lang w:eastAsia="de-DE"/>
              </w:rPr>
              <w:t>nákazy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4905EE" w:rsidP="00641A29">
            <w:pPr>
              <w:widowControl w:val="0"/>
              <w:spacing w:line="240" w:lineRule="auto"/>
              <w:rPr>
                <w:lang w:eastAsia="de-DE"/>
              </w:rPr>
            </w:pP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227C93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Vulvovaginá</w:t>
            </w:r>
            <w:r w:rsidR="004905EE" w:rsidRPr="00B272D3">
              <w:rPr>
                <w:lang w:eastAsia="de-DE"/>
              </w:rPr>
              <w:t>l</w:t>
            </w:r>
            <w:r w:rsidRPr="00B272D3">
              <w:rPr>
                <w:lang w:eastAsia="de-DE"/>
              </w:rPr>
              <w:t>na</w:t>
            </w:r>
            <w:r w:rsidR="004905EE" w:rsidRPr="00B272D3">
              <w:rPr>
                <w:lang w:eastAsia="de-DE"/>
              </w:rPr>
              <w:t xml:space="preserve"> my</w:t>
            </w:r>
            <w:r w:rsidRPr="00B272D3">
              <w:rPr>
                <w:lang w:eastAsia="de-DE"/>
              </w:rPr>
              <w:t>k</w:t>
            </w:r>
            <w:r w:rsidR="004905EE" w:rsidRPr="00B272D3">
              <w:rPr>
                <w:lang w:eastAsia="de-DE"/>
              </w:rPr>
              <w:t>otic</w:t>
            </w:r>
            <w:r w:rsidRPr="00B272D3">
              <w:rPr>
                <w:lang w:eastAsia="de-DE"/>
              </w:rPr>
              <w:t>ká  infekcia</w:t>
            </w:r>
          </w:p>
        </w:tc>
      </w:tr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227C93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Poruchy n</w:t>
            </w:r>
            <w:r w:rsidR="004905EE" w:rsidRPr="00B272D3">
              <w:rPr>
                <w:b/>
                <w:bCs/>
                <w:lang w:eastAsia="de-DE"/>
              </w:rPr>
              <w:t>ervo</w:t>
            </w:r>
            <w:r w:rsidRPr="00B272D3">
              <w:rPr>
                <w:b/>
                <w:bCs/>
                <w:lang w:eastAsia="de-DE"/>
              </w:rPr>
              <w:t>vého</w:t>
            </w:r>
            <w:r w:rsidR="004905EE" w:rsidRPr="00B272D3">
              <w:rPr>
                <w:b/>
                <w:bCs/>
                <w:lang w:eastAsia="de-DE"/>
              </w:rPr>
              <w:t xml:space="preserve"> syst</w:t>
            </w:r>
            <w:r w:rsidRPr="00B272D3">
              <w:rPr>
                <w:b/>
                <w:bCs/>
                <w:lang w:eastAsia="de-DE"/>
              </w:rPr>
              <w:t>é</w:t>
            </w:r>
            <w:r w:rsidR="004905EE" w:rsidRPr="00B272D3">
              <w:rPr>
                <w:b/>
                <w:bCs/>
                <w:lang w:eastAsia="de-DE"/>
              </w:rPr>
              <w:t>m</w:t>
            </w:r>
            <w:r w:rsidRPr="00B272D3">
              <w:rPr>
                <w:b/>
                <w:bCs/>
                <w:lang w:eastAsia="de-DE"/>
              </w:rPr>
              <w:t>u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Bolesti hlavy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4905EE" w:rsidP="00641A29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Poruchy ciev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4905EE" w:rsidP="00641A29">
            <w:pPr>
              <w:widowControl w:val="0"/>
              <w:spacing w:line="240" w:lineRule="auto"/>
              <w:rPr>
                <w:lang w:eastAsia="de-DE"/>
              </w:rPr>
            </w:pP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Návaly tepla</w:t>
            </w:r>
          </w:p>
          <w:p w:rsidR="004905EE" w:rsidRPr="00B272D3" w:rsidRDefault="004905EE" w:rsidP="00227C93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Hyperten</w:t>
            </w:r>
            <w:r w:rsidR="00227C93" w:rsidRPr="00B272D3">
              <w:rPr>
                <w:lang w:eastAsia="de-DE"/>
              </w:rPr>
              <w:t>zia</w:t>
            </w:r>
          </w:p>
        </w:tc>
      </w:tr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227C93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Poruchy gastrointestiná</w:t>
            </w:r>
            <w:r w:rsidR="004905EE" w:rsidRPr="00B272D3">
              <w:rPr>
                <w:b/>
                <w:bCs/>
                <w:lang w:eastAsia="de-DE"/>
              </w:rPr>
              <w:t>l</w:t>
            </w:r>
            <w:r w:rsidRPr="00B272D3">
              <w:rPr>
                <w:b/>
                <w:bCs/>
                <w:lang w:eastAsia="de-DE"/>
              </w:rPr>
              <w:t>neho traktu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227C93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Bolesti</w:t>
            </w:r>
            <w:r w:rsidR="004905EE" w:rsidRPr="00B272D3">
              <w:rPr>
                <w:lang w:eastAsia="de-DE"/>
              </w:rPr>
              <w:t xml:space="preserve"> </w:t>
            </w:r>
            <w:r w:rsidRPr="00B272D3">
              <w:rPr>
                <w:lang w:eastAsia="de-DE"/>
              </w:rPr>
              <w:t>brucha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Nauz</w:t>
            </w:r>
            <w:r w:rsidR="004905EE" w:rsidRPr="00B272D3">
              <w:rPr>
                <w:lang w:eastAsia="de-DE"/>
              </w:rPr>
              <w:t>ea</w:t>
            </w:r>
          </w:p>
        </w:tc>
      </w:tr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227C93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Poruchy kože a podkožného tkaniva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4905EE" w:rsidP="00641A29">
            <w:pPr>
              <w:widowControl w:val="0"/>
              <w:spacing w:line="240" w:lineRule="auto"/>
              <w:rPr>
                <w:lang w:eastAsia="de-DE"/>
              </w:rPr>
            </w:pP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Vyrážka</w:t>
            </w:r>
          </w:p>
        </w:tc>
      </w:tr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Poruchy reprodukčného systému a prsníkov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F41004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Vaginá</w:t>
            </w:r>
            <w:r w:rsidR="004905EE" w:rsidRPr="00B272D3">
              <w:rPr>
                <w:lang w:eastAsia="de-DE"/>
              </w:rPr>
              <w:t>l</w:t>
            </w:r>
            <w:r w:rsidRPr="00B272D3">
              <w:rPr>
                <w:lang w:eastAsia="de-DE"/>
              </w:rPr>
              <w:t>na h</w:t>
            </w:r>
            <w:r w:rsidR="004905EE" w:rsidRPr="00B272D3">
              <w:rPr>
                <w:lang w:eastAsia="de-DE"/>
              </w:rPr>
              <w:t>emor</w:t>
            </w:r>
            <w:r w:rsidR="00F41004">
              <w:rPr>
                <w:lang w:eastAsia="de-DE"/>
              </w:rPr>
              <w:t>á</w:t>
            </w:r>
            <w:r w:rsidRPr="00B272D3">
              <w:rPr>
                <w:lang w:eastAsia="de-DE"/>
              </w:rPr>
              <w:t>gia, vaginá</w:t>
            </w:r>
            <w:r w:rsidR="004905EE" w:rsidRPr="00B272D3">
              <w:rPr>
                <w:lang w:eastAsia="de-DE"/>
              </w:rPr>
              <w:t>l</w:t>
            </w:r>
            <w:r w:rsidRPr="00B272D3">
              <w:rPr>
                <w:lang w:eastAsia="de-DE"/>
              </w:rPr>
              <w:t>ny výtok</w:t>
            </w:r>
            <w:r w:rsidR="004905EE" w:rsidRPr="00B272D3">
              <w:rPr>
                <w:lang w:eastAsia="de-DE"/>
              </w:rPr>
              <w:t xml:space="preserve"> </w:t>
            </w:r>
            <w:r w:rsidRPr="00B272D3">
              <w:rPr>
                <w:lang w:eastAsia="de-DE"/>
              </w:rPr>
              <w:t>alebo vaginá</w:t>
            </w:r>
            <w:r w:rsidR="004905EE" w:rsidRPr="00B272D3">
              <w:rPr>
                <w:lang w:eastAsia="de-DE"/>
              </w:rPr>
              <w:t>l</w:t>
            </w:r>
            <w:r w:rsidRPr="00B272D3">
              <w:rPr>
                <w:lang w:eastAsia="de-DE"/>
              </w:rPr>
              <w:t>ny disk</w:t>
            </w:r>
            <w:r w:rsidR="004905EE" w:rsidRPr="00B272D3">
              <w:rPr>
                <w:lang w:eastAsia="de-DE"/>
              </w:rPr>
              <w:t>omfort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4905EE" w:rsidP="00641A29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  <w:tr w:rsidR="004905EE" w:rsidRPr="00B272D3" w:rsidTr="00641A29">
        <w:tc>
          <w:tcPr>
            <w:tcW w:w="1622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6038EB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b/>
                <w:bCs/>
                <w:lang w:eastAsia="de-DE"/>
              </w:rPr>
              <w:t>Laboratórne a funkčné v</w:t>
            </w:r>
            <w:r w:rsidR="00227C93" w:rsidRPr="00B272D3">
              <w:rPr>
                <w:b/>
                <w:bCs/>
                <w:lang w:eastAsia="de-DE"/>
              </w:rPr>
              <w:t>yšetrenia</w:t>
            </w: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4905EE" w:rsidP="00641A29">
            <w:pPr>
              <w:widowControl w:val="0"/>
              <w:spacing w:line="240" w:lineRule="auto"/>
              <w:rPr>
                <w:lang w:eastAsia="de-DE"/>
              </w:rPr>
            </w:pPr>
          </w:p>
        </w:tc>
        <w:tc>
          <w:tcPr>
            <w:tcW w:w="1689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05EE" w:rsidRPr="00B272D3" w:rsidRDefault="00227C93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Zvýšenie telesnej hmotnosti</w:t>
            </w:r>
          </w:p>
        </w:tc>
      </w:tr>
    </w:tbl>
    <w:p w:rsidR="004905EE" w:rsidRPr="00B272D3" w:rsidRDefault="004905EE" w:rsidP="004905EE">
      <w:pPr>
        <w:autoSpaceDE w:val="0"/>
        <w:autoSpaceDN w:val="0"/>
        <w:adjustRightInd w:val="0"/>
        <w:spacing w:line="240" w:lineRule="auto"/>
      </w:pPr>
    </w:p>
    <w:p w:rsidR="002D528A" w:rsidRPr="00B272D3" w:rsidRDefault="007C3B72" w:rsidP="004905EE">
      <w:pPr>
        <w:autoSpaceDE w:val="0"/>
        <w:autoSpaceDN w:val="0"/>
        <w:adjustRightInd w:val="0"/>
        <w:spacing w:line="240" w:lineRule="auto"/>
      </w:pPr>
      <w:r w:rsidRPr="00B272D3">
        <w:rPr>
          <w:u w:val="single"/>
        </w:rPr>
        <w:t>Postmarketingové skúsenosti:</w:t>
      </w:r>
      <w:r w:rsidRPr="00B272D3">
        <w:rPr>
          <w:u w:val="single"/>
        </w:rPr>
        <w:br/>
      </w:r>
      <w:r w:rsidRPr="00B272D3">
        <w:t xml:space="preserve">Okrem vyššie uvedených nežiaducich účinkov boli spontánne hlásené </w:t>
      </w:r>
      <w:r w:rsidR="002D528A" w:rsidRPr="00B272D3">
        <w:t xml:space="preserve">aj </w:t>
      </w:r>
      <w:r w:rsidRPr="00B272D3">
        <w:t xml:space="preserve">nižšie uvedené </w:t>
      </w:r>
      <w:r w:rsidR="002D528A" w:rsidRPr="00B272D3">
        <w:t xml:space="preserve">nežiaduce </w:t>
      </w:r>
      <w:r w:rsidRPr="00B272D3">
        <w:t>reakcie u paciento</w:t>
      </w:r>
      <w:r w:rsidR="002D528A" w:rsidRPr="00B272D3">
        <w:t>k</w:t>
      </w:r>
      <w:r w:rsidRPr="00B272D3">
        <w:t xml:space="preserve"> liečených vaginálnymi tabletami </w:t>
      </w:r>
      <w:r w:rsidR="002D528A" w:rsidRPr="00B272D3">
        <w:t xml:space="preserve">s obsahom </w:t>
      </w:r>
      <w:r w:rsidRPr="00B272D3">
        <w:t xml:space="preserve">25 mikrogramov </w:t>
      </w:r>
      <w:r w:rsidR="002D528A" w:rsidRPr="00B272D3">
        <w:t>estradiolu a </w:t>
      </w:r>
      <w:r w:rsidRPr="00B272D3">
        <w:t xml:space="preserve">považujú sa za súvisiace s liečbou. Miera hlásenia týchto spontánnych nežiaducich reakcií je veľmi zriedkavá (&lt;1/10 000 </w:t>
      </w:r>
      <w:r w:rsidR="006038EB" w:rsidRPr="00B272D3">
        <w:t>pacient</w:t>
      </w:r>
      <w:r w:rsidR="006038EB">
        <w:t xml:space="preserve">skych </w:t>
      </w:r>
      <w:r w:rsidRPr="00B272D3">
        <w:t>rokov).</w:t>
      </w:r>
      <w:r w:rsidRPr="00B272D3">
        <w:br/>
      </w:r>
      <w:r w:rsidRPr="00B272D3">
        <w:br/>
        <w:t xml:space="preserve">- </w:t>
      </w:r>
      <w:r w:rsidR="002D528A" w:rsidRPr="00B272D3">
        <w:tab/>
      </w:r>
      <w:r w:rsidR="00DF6C7D" w:rsidRPr="00B272D3">
        <w:t>b</w:t>
      </w:r>
      <w:r w:rsidRPr="00B272D3">
        <w:t>enígne, malígne a nešpe</w:t>
      </w:r>
      <w:r w:rsidR="00270117" w:rsidRPr="00B272D3">
        <w:t>cifikované novotvary (vrátane cý</w:t>
      </w:r>
      <w:r w:rsidRPr="00B272D3">
        <w:t xml:space="preserve">st a polypov): rakovina prsníka, </w:t>
      </w:r>
      <w:r w:rsidR="002D528A" w:rsidRPr="00B272D3">
        <w:tab/>
      </w:r>
      <w:r w:rsidRPr="00B272D3">
        <w:t>rakovina endometria;</w:t>
      </w:r>
    </w:p>
    <w:p w:rsidR="007C3B72" w:rsidRPr="00B272D3" w:rsidRDefault="002D528A" w:rsidP="004905EE">
      <w:pPr>
        <w:autoSpaceDE w:val="0"/>
        <w:autoSpaceDN w:val="0"/>
        <w:adjustRightInd w:val="0"/>
        <w:spacing w:line="240" w:lineRule="auto"/>
      </w:pPr>
      <w:r w:rsidRPr="00B272D3">
        <w:t>-</w:t>
      </w:r>
      <w:r w:rsidRPr="00B272D3">
        <w:tab/>
      </w:r>
      <w:r w:rsidR="00DF6C7D" w:rsidRPr="00B272D3">
        <w:t>p</w:t>
      </w:r>
      <w:r w:rsidR="007C3B72" w:rsidRPr="00B272D3">
        <w:t xml:space="preserve">oruchy imunitného systému: </w:t>
      </w:r>
      <w:r w:rsidR="00DF6C7D" w:rsidRPr="00B272D3">
        <w:t>generalizované</w:t>
      </w:r>
      <w:r w:rsidR="007C3B72" w:rsidRPr="00B272D3">
        <w:t xml:space="preserve"> reakcie z precitlivenosti (napr. </w:t>
      </w:r>
      <w:r w:rsidR="00DF6C7D" w:rsidRPr="00B272D3">
        <w:t>a</w:t>
      </w:r>
      <w:r w:rsidR="007C3B72" w:rsidRPr="00B272D3">
        <w:t xml:space="preserve">nafylaktická </w:t>
      </w:r>
      <w:r w:rsidR="00DF6C7D" w:rsidRPr="00B272D3">
        <w:tab/>
        <w:t>reakcia/</w:t>
      </w:r>
      <w:r w:rsidR="007C3B72" w:rsidRPr="00B272D3">
        <w:t>šok);</w:t>
      </w:r>
      <w:r w:rsidR="007C3B72" w:rsidRPr="00B272D3">
        <w:br/>
        <w:t xml:space="preserve">- </w:t>
      </w:r>
      <w:r w:rsidRPr="00B272D3">
        <w:tab/>
      </w:r>
      <w:r w:rsidR="00DF6C7D" w:rsidRPr="00B272D3">
        <w:t>p</w:t>
      </w:r>
      <w:r w:rsidR="007C3B72" w:rsidRPr="00B272D3">
        <w:t xml:space="preserve">oruchy metabolizmu a výživy: </w:t>
      </w:r>
      <w:r w:rsidR="00DF6C7D" w:rsidRPr="00B272D3">
        <w:t>retencia</w:t>
      </w:r>
      <w:r w:rsidR="007C3B72" w:rsidRPr="00B272D3">
        <w:t xml:space="preserve"> tekutín;</w:t>
      </w:r>
      <w:r w:rsidR="007C3B72" w:rsidRPr="00B272D3">
        <w:br/>
        <w:t xml:space="preserve">- </w:t>
      </w:r>
      <w:r w:rsidRPr="00B272D3">
        <w:tab/>
      </w:r>
      <w:r w:rsidR="00DF6C7D" w:rsidRPr="00B272D3">
        <w:t>p</w:t>
      </w:r>
      <w:r w:rsidR="007C3B72" w:rsidRPr="00B272D3">
        <w:t>sychické poruchy: nespavosť;</w:t>
      </w:r>
      <w:r w:rsidR="007C3B72" w:rsidRPr="00B272D3">
        <w:br/>
        <w:t>-</w:t>
      </w:r>
      <w:r w:rsidRPr="00B272D3">
        <w:tab/>
      </w:r>
      <w:r w:rsidR="00DF6C7D" w:rsidRPr="00B272D3">
        <w:t>p</w:t>
      </w:r>
      <w:r w:rsidR="007C3B72" w:rsidRPr="00B272D3">
        <w:t xml:space="preserve">oruchy nervového systému: </w:t>
      </w:r>
      <w:r w:rsidR="00DF6C7D" w:rsidRPr="00B272D3">
        <w:t xml:space="preserve">zhoršená </w:t>
      </w:r>
      <w:r w:rsidR="007C3B72" w:rsidRPr="00B272D3">
        <w:t>migréna;</w:t>
      </w:r>
      <w:r w:rsidR="007C3B72" w:rsidRPr="00B272D3">
        <w:br/>
        <w:t xml:space="preserve">- </w:t>
      </w:r>
      <w:r w:rsidRPr="00B272D3">
        <w:tab/>
      </w:r>
      <w:r w:rsidR="00DF6C7D" w:rsidRPr="00B272D3">
        <w:t>c</w:t>
      </w:r>
      <w:r w:rsidR="007C3B72" w:rsidRPr="00B272D3">
        <w:t>ievne poruchy: hlboká žilová trombóza;</w:t>
      </w:r>
      <w:r w:rsidR="007C3B72" w:rsidRPr="00B272D3">
        <w:br/>
        <w:t xml:space="preserve">- </w:t>
      </w:r>
      <w:r w:rsidRPr="00B272D3">
        <w:tab/>
      </w:r>
      <w:r w:rsidR="00DF6C7D" w:rsidRPr="00B272D3">
        <w:t>p</w:t>
      </w:r>
      <w:r w:rsidR="007C3B72" w:rsidRPr="00B272D3">
        <w:t>oruchy a ochorenia gastrointestinálneho traktu: hnačka;</w:t>
      </w:r>
      <w:r w:rsidR="007C3B72" w:rsidRPr="00B272D3">
        <w:br/>
        <w:t xml:space="preserve">- </w:t>
      </w:r>
      <w:r w:rsidRPr="00B272D3">
        <w:tab/>
      </w:r>
      <w:r w:rsidR="00DF6C7D" w:rsidRPr="00B272D3">
        <w:t>p</w:t>
      </w:r>
      <w:r w:rsidR="007C3B72" w:rsidRPr="00B272D3">
        <w:t>oruchy kože a podkožného tkaniva: žihľavka</w:t>
      </w:r>
      <w:r w:rsidR="00DF6C7D" w:rsidRPr="00B272D3">
        <w:t>, erytematózna vyrážka, svrbivá</w:t>
      </w:r>
      <w:r w:rsidR="007C3B72" w:rsidRPr="00B272D3">
        <w:t xml:space="preserve"> vyrážk</w:t>
      </w:r>
      <w:r w:rsidR="00DF6C7D" w:rsidRPr="00B272D3">
        <w:t>a</w:t>
      </w:r>
      <w:r w:rsidR="007C3B72" w:rsidRPr="00B272D3">
        <w:t xml:space="preserve">, </w:t>
      </w:r>
      <w:r w:rsidRPr="00B272D3">
        <w:tab/>
      </w:r>
      <w:r w:rsidR="00DF6C7D" w:rsidRPr="00B272D3">
        <w:t>pruritus</w:t>
      </w:r>
      <w:r w:rsidR="007C3B72" w:rsidRPr="00B272D3">
        <w:t xml:space="preserve"> genitálií;</w:t>
      </w:r>
      <w:r w:rsidR="007C3B72" w:rsidRPr="00B272D3">
        <w:br/>
        <w:t xml:space="preserve">- </w:t>
      </w:r>
      <w:r w:rsidRPr="00B272D3">
        <w:tab/>
      </w:r>
      <w:r w:rsidR="00DF6C7D" w:rsidRPr="00B272D3">
        <w:t>p</w:t>
      </w:r>
      <w:r w:rsidR="007C3B72" w:rsidRPr="00B272D3">
        <w:t>oruchy reprodukčného systému a prsníkov: hyperplázia endometria, podráždenie</w:t>
      </w:r>
      <w:r w:rsidR="00DF6C7D" w:rsidRPr="00B272D3">
        <w:t xml:space="preserve"> vagíny</w:t>
      </w:r>
      <w:r w:rsidR="007C3B72" w:rsidRPr="00B272D3">
        <w:t xml:space="preserve">, </w:t>
      </w:r>
      <w:r w:rsidRPr="00B272D3">
        <w:tab/>
      </w:r>
      <w:r w:rsidR="007C3B72" w:rsidRPr="00B272D3">
        <w:t>bolesť</w:t>
      </w:r>
      <w:r w:rsidR="00DF6C7D" w:rsidRPr="00B272D3">
        <w:t xml:space="preserve"> vo vagíne</w:t>
      </w:r>
      <w:r w:rsidR="007C3B72" w:rsidRPr="00B272D3">
        <w:t>, vaginizmus, vaginálne ulcerácie;</w:t>
      </w:r>
      <w:r w:rsidR="007C3B72" w:rsidRPr="00B272D3">
        <w:br/>
        <w:t xml:space="preserve">- </w:t>
      </w:r>
      <w:r w:rsidRPr="00B272D3">
        <w:tab/>
      </w:r>
      <w:r w:rsidR="00DF6C7D" w:rsidRPr="00B272D3">
        <w:t>c</w:t>
      </w:r>
      <w:r w:rsidR="007C3B72" w:rsidRPr="00B272D3">
        <w:t xml:space="preserve">elkové poruchy a </w:t>
      </w:r>
      <w:r w:rsidR="00DF6C7D" w:rsidRPr="00B272D3">
        <w:t>reakcie</w:t>
      </w:r>
      <w:r w:rsidR="007C3B72" w:rsidRPr="00B272D3">
        <w:t xml:space="preserve"> v mieste podania: liek </w:t>
      </w:r>
      <w:r w:rsidR="00DF6C7D" w:rsidRPr="00B272D3">
        <w:t xml:space="preserve">je </w:t>
      </w:r>
      <w:r w:rsidR="007C3B72" w:rsidRPr="00B272D3">
        <w:t>neúčinný;</w:t>
      </w:r>
      <w:r w:rsidR="007C3B72" w:rsidRPr="00B272D3">
        <w:br/>
        <w:t xml:space="preserve">- </w:t>
      </w:r>
      <w:r w:rsidRPr="00B272D3">
        <w:tab/>
      </w:r>
      <w:r w:rsidR="00DF6C7D" w:rsidRPr="00B272D3">
        <w:t>v</w:t>
      </w:r>
      <w:r w:rsidR="007C3B72" w:rsidRPr="00B272D3">
        <w:t xml:space="preserve">yšetrenia: zvýšenie </w:t>
      </w:r>
      <w:r w:rsidR="00DF6C7D" w:rsidRPr="00B272D3">
        <w:t xml:space="preserve">telesnej </w:t>
      </w:r>
      <w:r w:rsidR="007C3B72" w:rsidRPr="00B272D3">
        <w:t>hmotnosti, zvýšenie hladiny estrogénu v krvi.</w:t>
      </w: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</w:p>
    <w:p w:rsidR="00321257" w:rsidRDefault="007C3B72" w:rsidP="004905EE">
      <w:pPr>
        <w:autoSpaceDE w:val="0"/>
        <w:autoSpaceDN w:val="0"/>
        <w:adjustRightInd w:val="0"/>
        <w:spacing w:line="240" w:lineRule="auto"/>
      </w:pPr>
      <w:r w:rsidRPr="00B272D3">
        <w:t>Ďalšie nežiaduce reakcie bo</w:t>
      </w:r>
      <w:r w:rsidR="00DF6C7D" w:rsidRPr="00B272D3">
        <w:t xml:space="preserve">li hlásené v súvislosti so </w:t>
      </w:r>
      <w:r w:rsidR="00DF6C7D" w:rsidRPr="00B272D3">
        <w:rPr>
          <w:u w:val="single"/>
        </w:rPr>
        <w:t>systé</w:t>
      </w:r>
      <w:r w:rsidRPr="00B272D3">
        <w:rPr>
          <w:u w:val="single"/>
        </w:rPr>
        <w:t>m</w:t>
      </w:r>
      <w:r w:rsidR="00DF6C7D" w:rsidRPr="00B272D3">
        <w:rPr>
          <w:u w:val="single"/>
        </w:rPr>
        <w:t>ov</w:t>
      </w:r>
      <w:r w:rsidRPr="00B272D3">
        <w:rPr>
          <w:u w:val="single"/>
        </w:rPr>
        <w:t>ou</w:t>
      </w:r>
      <w:r w:rsidRPr="00B272D3">
        <w:t xml:space="preserve"> liečbou estrogén</w:t>
      </w:r>
      <w:r w:rsidR="00DF6C7D" w:rsidRPr="00B272D3">
        <w:t>om/</w:t>
      </w:r>
      <w:r w:rsidRPr="00B272D3">
        <w:t xml:space="preserve">progestagénom. </w:t>
      </w:r>
      <w:r w:rsidR="00DF6C7D" w:rsidRPr="00B272D3">
        <w:t>Pretože</w:t>
      </w:r>
      <w:r w:rsidRPr="00B272D3">
        <w:t xml:space="preserve"> odhady rizika boli vypracované na základe </w:t>
      </w:r>
      <w:r w:rsidR="00DF6C7D" w:rsidRPr="00B272D3">
        <w:t xml:space="preserve">údajov </w:t>
      </w:r>
      <w:r w:rsidRPr="00B272D3">
        <w:t xml:space="preserve">systémovej expozície, nie je známe, ako sa vzťahujú na </w:t>
      </w:r>
      <w:r w:rsidR="00DF6C7D" w:rsidRPr="00B272D3">
        <w:t>lokálnu</w:t>
      </w:r>
      <w:r w:rsidRPr="00B272D3">
        <w:t xml:space="preserve"> liečbu:</w:t>
      </w:r>
      <w:r w:rsidRPr="00B272D3">
        <w:br/>
        <w:t xml:space="preserve">- </w:t>
      </w:r>
      <w:r w:rsidR="00DF6C7D" w:rsidRPr="00B272D3">
        <w:tab/>
      </w:r>
      <w:r w:rsidRPr="00B272D3">
        <w:t>choroba žlčníka;</w:t>
      </w:r>
      <w:r w:rsidRPr="00B272D3">
        <w:br/>
        <w:t xml:space="preserve">- </w:t>
      </w:r>
      <w:r w:rsidR="00DF6C7D" w:rsidRPr="00B272D3">
        <w:tab/>
        <w:t>poruchy kože a podkožného tkaniva</w:t>
      </w:r>
      <w:r w:rsidRPr="00B272D3">
        <w:t xml:space="preserve">: chloazma, multiformný erytém, </w:t>
      </w:r>
      <w:r w:rsidR="00DF6C7D" w:rsidRPr="00B272D3">
        <w:t xml:space="preserve">erytema </w:t>
      </w:r>
      <w:r w:rsidRPr="00B272D3">
        <w:t xml:space="preserve">nodosum, vaskulárna </w:t>
      </w:r>
    </w:p>
    <w:p w:rsidR="007C3B72" w:rsidRPr="00B272D3" w:rsidRDefault="00321257" w:rsidP="004905EE">
      <w:pPr>
        <w:autoSpaceDE w:val="0"/>
        <w:autoSpaceDN w:val="0"/>
        <w:adjustRightInd w:val="0"/>
        <w:spacing w:line="240" w:lineRule="auto"/>
      </w:pPr>
      <w:r>
        <w:tab/>
      </w:r>
      <w:r w:rsidR="007C3B72" w:rsidRPr="00B272D3">
        <w:t>purpura;</w:t>
      </w:r>
      <w:r w:rsidR="007C3B72" w:rsidRPr="00B272D3">
        <w:br/>
        <w:t xml:space="preserve">- </w:t>
      </w:r>
      <w:r w:rsidR="00DF6C7D" w:rsidRPr="00B272D3">
        <w:tab/>
        <w:t>p</w:t>
      </w:r>
      <w:r w:rsidR="007C3B72" w:rsidRPr="00B272D3">
        <w:t>ravdepodobná demencia nad 65 rokov (pozri časť 4.4).</w:t>
      </w:r>
      <w:r w:rsidR="007C3B72" w:rsidRPr="00B272D3">
        <w:br/>
      </w:r>
      <w:r w:rsidR="007C3B72" w:rsidRPr="00B272D3">
        <w:br/>
      </w:r>
      <w:r w:rsidR="007C3B72" w:rsidRPr="00B272D3">
        <w:rPr>
          <w:i/>
          <w:u w:val="single"/>
        </w:rPr>
        <w:t xml:space="preserve">Účinky </w:t>
      </w:r>
      <w:r w:rsidR="00682C88">
        <w:rPr>
          <w:i/>
          <w:u w:val="single"/>
        </w:rPr>
        <w:t>systémovej HST typické pre túto triedu liečiv</w:t>
      </w:r>
      <w:r w:rsidR="007C3B72" w:rsidRPr="00B272D3">
        <w:rPr>
          <w:i/>
          <w:u w:val="single"/>
        </w:rPr>
        <w:br/>
      </w:r>
      <w:r w:rsidR="007C3B72" w:rsidRPr="00B272D3">
        <w:rPr>
          <w:i/>
        </w:rPr>
        <w:t>Nasledujúce riziká boli spojené s</w:t>
      </w:r>
      <w:r w:rsidR="004309D0" w:rsidRPr="00B272D3">
        <w:rPr>
          <w:i/>
        </w:rPr>
        <w:t xml:space="preserve">o </w:t>
      </w:r>
      <w:r w:rsidR="004309D0" w:rsidRPr="00B272D3">
        <w:rPr>
          <w:u w:val="single"/>
        </w:rPr>
        <w:t>systémovou</w:t>
      </w:r>
      <w:r w:rsidR="004309D0" w:rsidRPr="00B272D3">
        <w:rPr>
          <w:i/>
        </w:rPr>
        <w:t xml:space="preserve"> HS</w:t>
      </w:r>
      <w:r w:rsidR="007C3B72" w:rsidRPr="00B272D3">
        <w:rPr>
          <w:i/>
        </w:rPr>
        <w:t xml:space="preserve">T a v menšej miere </w:t>
      </w:r>
      <w:r w:rsidR="00176EAF" w:rsidRPr="00B272D3">
        <w:rPr>
          <w:i/>
        </w:rPr>
        <w:t>aj pri</w:t>
      </w:r>
      <w:r w:rsidR="007C3B72" w:rsidRPr="00B272D3">
        <w:rPr>
          <w:i/>
        </w:rPr>
        <w:t xml:space="preserve"> </w:t>
      </w:r>
      <w:r w:rsidR="004309D0" w:rsidRPr="00B272D3">
        <w:rPr>
          <w:i/>
        </w:rPr>
        <w:t>liek</w:t>
      </w:r>
      <w:r w:rsidR="00176EAF" w:rsidRPr="00B272D3">
        <w:rPr>
          <w:i/>
        </w:rPr>
        <w:t>och</w:t>
      </w:r>
      <w:r w:rsidR="004309D0" w:rsidRPr="00B272D3">
        <w:rPr>
          <w:i/>
        </w:rPr>
        <w:t xml:space="preserve"> s obsahom </w:t>
      </w:r>
      <w:r w:rsidR="007C3B72" w:rsidRPr="00B272D3">
        <w:rPr>
          <w:i/>
        </w:rPr>
        <w:t>estrogén</w:t>
      </w:r>
      <w:r w:rsidR="004309D0" w:rsidRPr="00B272D3">
        <w:rPr>
          <w:i/>
        </w:rPr>
        <w:t xml:space="preserve">u na </w:t>
      </w:r>
      <w:r w:rsidR="007C3B72" w:rsidRPr="00B272D3">
        <w:rPr>
          <w:i/>
        </w:rPr>
        <w:t>vagináln</w:t>
      </w:r>
      <w:r w:rsidR="004309D0" w:rsidRPr="00B272D3">
        <w:rPr>
          <w:i/>
        </w:rPr>
        <w:t>u</w:t>
      </w:r>
      <w:r w:rsidR="007C3B72" w:rsidRPr="00B272D3">
        <w:rPr>
          <w:i/>
        </w:rPr>
        <w:t xml:space="preserve"> aplikáci</w:t>
      </w:r>
      <w:r w:rsidR="004309D0" w:rsidRPr="00B272D3">
        <w:rPr>
          <w:i/>
        </w:rPr>
        <w:t>u, ktorých</w:t>
      </w:r>
      <w:r w:rsidR="007C3B72" w:rsidRPr="00B272D3">
        <w:rPr>
          <w:i/>
        </w:rPr>
        <w:t xml:space="preserve"> systémová expozícia estrogénu </w:t>
      </w:r>
      <w:r w:rsidR="00176EAF" w:rsidRPr="00B272D3">
        <w:rPr>
          <w:i/>
        </w:rPr>
        <w:t xml:space="preserve">zostáva </w:t>
      </w:r>
      <w:r w:rsidR="007C3B72" w:rsidRPr="00B272D3">
        <w:rPr>
          <w:i/>
        </w:rPr>
        <w:t>v</w:t>
      </w:r>
      <w:r w:rsidR="004309D0" w:rsidRPr="00B272D3">
        <w:rPr>
          <w:i/>
        </w:rPr>
        <w:t xml:space="preserve"> rámci</w:t>
      </w:r>
      <w:r w:rsidR="007C3B72" w:rsidRPr="00B272D3">
        <w:rPr>
          <w:i/>
        </w:rPr>
        <w:t xml:space="preserve"> normáln</w:t>
      </w:r>
      <w:r w:rsidR="004309D0" w:rsidRPr="00B272D3">
        <w:rPr>
          <w:i/>
        </w:rPr>
        <w:t>eho</w:t>
      </w:r>
      <w:r w:rsidR="007C3B72" w:rsidRPr="00B272D3">
        <w:rPr>
          <w:i/>
        </w:rPr>
        <w:t xml:space="preserve"> postmenopauzáln</w:t>
      </w:r>
      <w:r w:rsidR="004309D0" w:rsidRPr="00B272D3">
        <w:rPr>
          <w:i/>
        </w:rPr>
        <w:t>eho rozmedzia</w:t>
      </w:r>
      <w:r w:rsidR="007C3B72" w:rsidRPr="00B272D3">
        <w:rPr>
          <w:i/>
        </w:rPr>
        <w:t>.</w:t>
      </w:r>
      <w:r w:rsidR="007C3B72" w:rsidRPr="00B272D3">
        <w:rPr>
          <w:i/>
        </w:rPr>
        <w:br/>
      </w:r>
      <w:r w:rsidR="007C3B72" w:rsidRPr="00B272D3">
        <w:br/>
      </w: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  <w:r w:rsidRPr="00B272D3">
        <w:rPr>
          <w:u w:val="single"/>
        </w:rPr>
        <w:t>Rakovina vaječníkov</w:t>
      </w:r>
      <w:r w:rsidRPr="00B272D3">
        <w:rPr>
          <w:u w:val="single"/>
        </w:rPr>
        <w:br/>
      </w:r>
      <w:r w:rsidR="00C43064" w:rsidRPr="00B272D3">
        <w:t>Používan</w:t>
      </w:r>
      <w:r w:rsidRPr="00B272D3">
        <w:t xml:space="preserve">ie </w:t>
      </w:r>
      <w:r w:rsidRPr="00B272D3">
        <w:rPr>
          <w:i/>
          <w:u w:val="single"/>
        </w:rPr>
        <w:t>systémov</w:t>
      </w:r>
      <w:r w:rsidR="00C43064" w:rsidRPr="00B272D3">
        <w:rPr>
          <w:i/>
          <w:u w:val="single"/>
        </w:rPr>
        <w:t>ej</w:t>
      </w:r>
      <w:r w:rsidR="00176EAF" w:rsidRPr="00B272D3">
        <w:t xml:space="preserve"> </w:t>
      </w:r>
      <w:r w:rsidRPr="00B272D3">
        <w:t>H</w:t>
      </w:r>
      <w:r w:rsidR="00C43064" w:rsidRPr="00B272D3">
        <w:t>S</w:t>
      </w:r>
      <w:r w:rsidRPr="00B272D3">
        <w:t xml:space="preserve">T </w:t>
      </w:r>
      <w:r w:rsidR="00C43064" w:rsidRPr="00B272D3">
        <w:t>sa</w:t>
      </w:r>
      <w:r w:rsidRPr="00B272D3">
        <w:t xml:space="preserve"> sp</w:t>
      </w:r>
      <w:r w:rsidR="00C43064" w:rsidRPr="00B272D3">
        <w:t>ája</w:t>
      </w:r>
      <w:r w:rsidRPr="00B272D3">
        <w:t xml:space="preserve"> s mierne zvýšeným rizikom diagnostiky rakoviny vaječníkov (pozri časť 4.4).</w:t>
      </w:r>
      <w:r w:rsidRPr="00B272D3">
        <w:br/>
      </w:r>
      <w:r w:rsidR="00C43064" w:rsidRPr="00B272D3">
        <w:t>Podľa metaanalýzy</w:t>
      </w:r>
      <w:r w:rsidRPr="00B272D3">
        <w:t xml:space="preserve"> 52 epidemiologických štúdií </w:t>
      </w:r>
      <w:r w:rsidR="00C43064" w:rsidRPr="00B272D3">
        <w:t xml:space="preserve">existuje u žien, ktoré v súčasnosti používajú systémovú HST, </w:t>
      </w:r>
      <w:r w:rsidRPr="00B272D3">
        <w:t>zvýšené riziko rakoviny vaječníkov, v por</w:t>
      </w:r>
      <w:r w:rsidR="00C43064" w:rsidRPr="00B272D3">
        <w:t>ovnaní so ženami, ktoré nikdy HST nepoužívali (RR 1,43;</w:t>
      </w:r>
      <w:r w:rsidRPr="00B272D3">
        <w:t xml:space="preserve"> 95</w:t>
      </w:r>
      <w:r w:rsidR="007047B5" w:rsidRPr="007047B5">
        <w:rPr>
          <w:b/>
        </w:rPr>
        <w:t> </w:t>
      </w:r>
      <w:r w:rsidRPr="00B272D3">
        <w:t>% C</w:t>
      </w:r>
      <w:r w:rsidR="00C43064" w:rsidRPr="00B272D3">
        <w:t>I 1,31-1,56). U žien vo veku 50-</w:t>
      </w:r>
      <w:r w:rsidRPr="00B272D3">
        <w:t xml:space="preserve">54 rokov, ktoré </w:t>
      </w:r>
      <w:r w:rsidR="00C43064" w:rsidRPr="00B272D3">
        <w:t>po</w:t>
      </w:r>
      <w:r w:rsidRPr="00B272D3">
        <w:t>užívali HS</w:t>
      </w:r>
      <w:r w:rsidR="00C43064" w:rsidRPr="00B272D3">
        <w:t>T</w:t>
      </w:r>
      <w:r w:rsidRPr="00B272D3">
        <w:t xml:space="preserve"> 5 rokov, </w:t>
      </w:r>
      <w:r w:rsidR="00C43064" w:rsidRPr="00B272D3">
        <w:t>pripadá približne 1 prípad</w:t>
      </w:r>
      <w:r w:rsidRPr="00B272D3">
        <w:t xml:space="preserve"> navyše na 2 000 p</w:t>
      </w:r>
      <w:r w:rsidR="00C43064" w:rsidRPr="00B272D3">
        <w:t>acientok. U žien vo veku 50-</w:t>
      </w:r>
      <w:r w:rsidRPr="00B272D3">
        <w:t>54 rokov, ktoré ne</w:t>
      </w:r>
      <w:r w:rsidR="00C43064" w:rsidRPr="00B272D3">
        <w:t>po</w:t>
      </w:r>
      <w:r w:rsidRPr="00B272D3">
        <w:t>užíva</w:t>
      </w:r>
      <w:r w:rsidR="00C43064" w:rsidRPr="00B272D3">
        <w:t>jú</w:t>
      </w:r>
      <w:r w:rsidRPr="00B272D3">
        <w:t xml:space="preserve"> HS</w:t>
      </w:r>
      <w:r w:rsidR="00C43064" w:rsidRPr="00B272D3">
        <w:t>T</w:t>
      </w:r>
      <w:r w:rsidRPr="00B272D3">
        <w:t xml:space="preserve">, </w:t>
      </w:r>
      <w:r w:rsidR="00C43064" w:rsidRPr="00B272D3">
        <w:t>bude v priebehu 5 rokov diagnostikovaná rakovina vaječníkov približne</w:t>
      </w:r>
      <w:r w:rsidRPr="00B272D3">
        <w:t xml:space="preserve"> u 2 </w:t>
      </w:r>
      <w:r w:rsidR="00C43064" w:rsidRPr="00B272D3">
        <w:t xml:space="preserve">z </w:t>
      </w:r>
      <w:r w:rsidRPr="00B272D3">
        <w:t>2</w:t>
      </w:r>
      <w:r w:rsidR="00C43064" w:rsidRPr="00B272D3">
        <w:t xml:space="preserve"> </w:t>
      </w:r>
      <w:r w:rsidRPr="00B272D3">
        <w:t>000</w:t>
      </w:r>
      <w:r w:rsidR="00C43064" w:rsidRPr="00B272D3">
        <w:t xml:space="preserve"> žien</w:t>
      </w:r>
      <w:r w:rsidRPr="00B272D3">
        <w:t>.</w:t>
      </w:r>
      <w:r w:rsidRPr="00B272D3">
        <w:br/>
      </w:r>
      <w:r w:rsidRPr="00B272D3">
        <w:br/>
      </w:r>
      <w:r w:rsidRPr="00B272D3">
        <w:rPr>
          <w:u w:val="single"/>
        </w:rPr>
        <w:t xml:space="preserve">Riziko </w:t>
      </w:r>
      <w:r w:rsidR="00F96BB3" w:rsidRPr="00B272D3">
        <w:rPr>
          <w:u w:val="single"/>
        </w:rPr>
        <w:t>venózneho</w:t>
      </w:r>
      <w:r w:rsidRPr="00B272D3">
        <w:rPr>
          <w:u w:val="single"/>
        </w:rPr>
        <w:t xml:space="preserve"> tromboemb</w:t>
      </w:r>
      <w:r w:rsidR="00F96BB3" w:rsidRPr="00B272D3">
        <w:rPr>
          <w:u w:val="single"/>
        </w:rPr>
        <w:t>o</w:t>
      </w:r>
      <w:r w:rsidRPr="00B272D3">
        <w:rPr>
          <w:u w:val="single"/>
        </w:rPr>
        <w:t>li</w:t>
      </w:r>
      <w:r w:rsidR="00F96BB3" w:rsidRPr="00B272D3">
        <w:rPr>
          <w:u w:val="single"/>
        </w:rPr>
        <w:t>zmu</w:t>
      </w:r>
      <w:r w:rsidRPr="00B272D3">
        <w:rPr>
          <w:u w:val="single"/>
        </w:rPr>
        <w:br/>
      </w:r>
      <w:r w:rsidRPr="00B272D3">
        <w:rPr>
          <w:i/>
          <w:u w:val="single"/>
        </w:rPr>
        <w:t>Systémová</w:t>
      </w:r>
      <w:r w:rsidR="00F96BB3" w:rsidRPr="00B272D3">
        <w:t xml:space="preserve"> HST sa</w:t>
      </w:r>
      <w:r w:rsidRPr="00B272D3">
        <w:t xml:space="preserve"> spá</w:t>
      </w:r>
      <w:r w:rsidR="00F96BB3" w:rsidRPr="00B272D3">
        <w:t>ja</w:t>
      </w:r>
      <w:r w:rsidRPr="00B272D3">
        <w:t xml:space="preserve"> s 1,3 až 3-násobn</w:t>
      </w:r>
      <w:r w:rsidR="007047B5" w:rsidRPr="007047B5">
        <w:t>ým</w:t>
      </w:r>
      <w:r w:rsidRPr="00B272D3">
        <w:t xml:space="preserve"> zvýšen</w:t>
      </w:r>
      <w:r w:rsidR="007047B5">
        <w:t>ím</w:t>
      </w:r>
      <w:r w:rsidRPr="00B272D3">
        <w:t xml:space="preserve"> relatívn</w:t>
      </w:r>
      <w:r w:rsidR="00F96BB3" w:rsidRPr="00B272D3">
        <w:t>eho</w:t>
      </w:r>
      <w:r w:rsidRPr="00B272D3">
        <w:t xml:space="preserve"> rizik</w:t>
      </w:r>
      <w:r w:rsidR="00F96BB3" w:rsidRPr="00B272D3">
        <w:t>a</w:t>
      </w:r>
      <w:r w:rsidRPr="00B272D3">
        <w:t xml:space="preserve"> vzniku venózneho tromboemb</w:t>
      </w:r>
      <w:r w:rsidR="00F96BB3" w:rsidRPr="00B272D3">
        <w:t>o</w:t>
      </w:r>
      <w:r w:rsidRPr="00B272D3">
        <w:t>li</w:t>
      </w:r>
      <w:r w:rsidR="00F96BB3" w:rsidRPr="00B272D3">
        <w:t>zmu</w:t>
      </w:r>
      <w:r w:rsidRPr="00B272D3">
        <w:t xml:space="preserve"> (VTE), t.</w:t>
      </w:r>
      <w:r w:rsidR="00F96BB3" w:rsidRPr="00B272D3">
        <w:t>j</w:t>
      </w:r>
      <w:r w:rsidRPr="00B272D3">
        <w:t xml:space="preserve">. </w:t>
      </w:r>
      <w:r w:rsidR="00F96BB3" w:rsidRPr="00B272D3">
        <w:t>h</w:t>
      </w:r>
      <w:r w:rsidRPr="00B272D3">
        <w:t>lbokej žilovej trombózy alebo pľúcnej embólie. Výskyt t</w:t>
      </w:r>
      <w:r w:rsidR="00F96BB3" w:rsidRPr="00B272D3">
        <w:t>ých</w:t>
      </w:r>
      <w:r w:rsidRPr="00B272D3">
        <w:t xml:space="preserve">to </w:t>
      </w:r>
      <w:r w:rsidR="00F96BB3" w:rsidRPr="00B272D3">
        <w:t>prípadov</w:t>
      </w:r>
      <w:r w:rsidRPr="00B272D3">
        <w:t xml:space="preserve"> je pravdepodobn</w:t>
      </w:r>
      <w:r w:rsidR="00F96BB3" w:rsidRPr="00B272D3">
        <w:t>ejší v prvom roku používania HST</w:t>
      </w:r>
      <w:r w:rsidRPr="00B272D3">
        <w:t xml:space="preserve"> (pozri časť 4.4). Výsledky štúdií WHI sú uvedené nižšie:</w:t>
      </w: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</w:p>
    <w:p w:rsidR="007C3B72" w:rsidRPr="00B272D3" w:rsidRDefault="007C3B72" w:rsidP="007C3B72">
      <w:pPr>
        <w:widowControl w:val="0"/>
        <w:shd w:val="clear" w:color="auto" w:fill="FFFFFF"/>
        <w:spacing w:line="240" w:lineRule="auto"/>
        <w:rPr>
          <w:lang w:eastAsia="de-DE"/>
        </w:rPr>
      </w:pPr>
      <w:r w:rsidRPr="00B272D3">
        <w:rPr>
          <w:bCs/>
          <w:lang w:eastAsia="de-DE"/>
        </w:rPr>
        <w:t xml:space="preserve">WHI </w:t>
      </w:r>
      <w:r w:rsidR="00497084" w:rsidRPr="00B272D3">
        <w:rPr>
          <w:bCs/>
          <w:lang w:eastAsia="de-DE"/>
        </w:rPr>
        <w:t>štúdie</w:t>
      </w:r>
      <w:r w:rsidRPr="00B272D3">
        <w:rPr>
          <w:bCs/>
          <w:lang w:eastAsia="de-DE"/>
        </w:rPr>
        <w:t xml:space="preserve"> – </w:t>
      </w:r>
      <w:r w:rsidR="00497084" w:rsidRPr="00B272D3">
        <w:rPr>
          <w:bCs/>
          <w:lang w:eastAsia="de-DE"/>
        </w:rPr>
        <w:t>dodatočné</w:t>
      </w:r>
      <w:r w:rsidRPr="00B272D3">
        <w:rPr>
          <w:bCs/>
          <w:lang w:eastAsia="de-DE"/>
        </w:rPr>
        <w:t xml:space="preserve"> ri</w:t>
      </w:r>
      <w:r w:rsidR="00497084" w:rsidRPr="00B272D3">
        <w:rPr>
          <w:bCs/>
          <w:lang w:eastAsia="de-DE"/>
        </w:rPr>
        <w:t>ziko</w:t>
      </w:r>
      <w:r w:rsidRPr="00B272D3">
        <w:rPr>
          <w:bCs/>
          <w:lang w:eastAsia="de-DE"/>
        </w:rPr>
        <w:t xml:space="preserve"> VTE </w:t>
      </w:r>
      <w:r w:rsidR="00497084" w:rsidRPr="00B272D3">
        <w:rPr>
          <w:bCs/>
          <w:lang w:eastAsia="de-DE"/>
        </w:rPr>
        <w:t>po 5</w:t>
      </w:r>
      <w:r w:rsidR="007047B5">
        <w:rPr>
          <w:bCs/>
          <w:lang w:eastAsia="de-DE"/>
        </w:rPr>
        <w:t>-</w:t>
      </w:r>
      <w:r w:rsidR="00497084" w:rsidRPr="00B272D3">
        <w:rPr>
          <w:bCs/>
          <w:lang w:eastAsia="de-DE"/>
        </w:rPr>
        <w:t>ročnom používaní</w:t>
      </w:r>
    </w:p>
    <w:tbl>
      <w:tblPr>
        <w:tblW w:w="5000" w:type="pct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21"/>
        <w:gridCol w:w="2619"/>
        <w:gridCol w:w="2037"/>
        <w:gridCol w:w="2522"/>
      </w:tblGrid>
      <w:tr w:rsidR="007C3B72" w:rsidRPr="00B272D3" w:rsidTr="00641A29">
        <w:tc>
          <w:tcPr>
            <w:tcW w:w="13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497084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Vekové rozmedzie (roky)</w:t>
            </w:r>
          </w:p>
        </w:tc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497084" w:rsidRPr="00B272D3" w:rsidRDefault="00497084" w:rsidP="00497084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Výskyt za 5 rokov</w:t>
            </w:r>
          </w:p>
          <w:p w:rsidR="007C3B72" w:rsidRPr="00B272D3" w:rsidRDefault="00497084" w:rsidP="00497084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 xml:space="preserve">na 1 000 žien vo vetve používajúcej placebo </w:t>
            </w:r>
          </w:p>
        </w:tc>
        <w:tc>
          <w:tcPr>
            <w:tcW w:w="10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497084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Pomer rizika a 95</w:t>
            </w:r>
            <w:r w:rsidR="007047B5" w:rsidRPr="007047B5">
              <w:rPr>
                <w:b/>
                <w:lang w:eastAsia="de-DE"/>
              </w:rPr>
              <w:t> </w:t>
            </w:r>
            <w:r w:rsidRPr="00B272D3">
              <w:rPr>
                <w:b/>
                <w:lang w:eastAsia="de-DE"/>
              </w:rPr>
              <w:t>% CI</w:t>
            </w:r>
          </w:p>
        </w:tc>
        <w:tc>
          <w:tcPr>
            <w:tcW w:w="13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2F235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 xml:space="preserve">Prípady navyše </w:t>
            </w:r>
          </w:p>
          <w:p w:rsidR="002F235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 xml:space="preserve">za 5 rokov </w:t>
            </w:r>
          </w:p>
          <w:p w:rsidR="007C3B7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na 1 000 žien, ktoré používajú HST</w:t>
            </w:r>
          </w:p>
        </w:tc>
      </w:tr>
      <w:tr w:rsidR="007C3B72" w:rsidRPr="00B272D3" w:rsidTr="00641A29">
        <w:tc>
          <w:tcPr>
            <w:tcW w:w="5000" w:type="pct"/>
            <w:gridSpan w:val="4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EEECE1" w:themeFill="background2"/>
            <w:hideMark/>
          </w:tcPr>
          <w:p w:rsidR="007C3B72" w:rsidRPr="00B272D3" w:rsidRDefault="00497084" w:rsidP="00497084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b/>
                <w:bCs/>
                <w:lang w:eastAsia="de-DE"/>
              </w:rPr>
              <w:t>Samostatný</w:t>
            </w:r>
            <w:r w:rsidR="007C3B72" w:rsidRPr="00B272D3">
              <w:rPr>
                <w:b/>
                <w:bCs/>
                <w:lang w:eastAsia="de-DE"/>
              </w:rPr>
              <w:t xml:space="preserve"> estrog</w:t>
            </w:r>
            <w:r w:rsidRPr="00B272D3">
              <w:rPr>
                <w:b/>
                <w:bCs/>
                <w:lang w:eastAsia="de-DE"/>
              </w:rPr>
              <w:t>é</w:t>
            </w:r>
            <w:r w:rsidR="007C3B72" w:rsidRPr="00B272D3">
              <w:rPr>
                <w:b/>
                <w:bCs/>
                <w:lang w:eastAsia="de-DE"/>
              </w:rPr>
              <w:t>n</w:t>
            </w:r>
            <w:r w:rsidRPr="00B272D3">
              <w:rPr>
                <w:b/>
                <w:bCs/>
                <w:lang w:eastAsia="de-DE"/>
              </w:rPr>
              <w:t xml:space="preserve"> podávaný perorálne</w:t>
            </w:r>
            <w:r w:rsidR="007C3B72" w:rsidRPr="00B272D3">
              <w:rPr>
                <w:b/>
                <w:bCs/>
                <w:lang w:eastAsia="de-DE"/>
              </w:rPr>
              <w:t>*</w:t>
            </w:r>
          </w:p>
        </w:tc>
      </w:tr>
      <w:tr w:rsidR="007C3B72" w:rsidRPr="00B272D3" w:rsidTr="00641A29">
        <w:tc>
          <w:tcPr>
            <w:tcW w:w="13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50 – 59</w:t>
            </w:r>
          </w:p>
        </w:tc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7</w:t>
            </w:r>
          </w:p>
        </w:tc>
        <w:tc>
          <w:tcPr>
            <w:tcW w:w="10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7047B5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1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2 (0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6 – 2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4)</w:t>
            </w:r>
          </w:p>
        </w:tc>
        <w:tc>
          <w:tcPr>
            <w:tcW w:w="13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1 (-3 – 10)</w:t>
            </w:r>
          </w:p>
        </w:tc>
      </w:tr>
    </w:tbl>
    <w:p w:rsidR="007C3B72" w:rsidRPr="00B272D3" w:rsidRDefault="00497084" w:rsidP="007C3B72">
      <w:pPr>
        <w:widowControl w:val="0"/>
        <w:shd w:val="clear" w:color="auto" w:fill="FFFFFF"/>
        <w:spacing w:line="240" w:lineRule="auto"/>
        <w:rPr>
          <w:lang w:eastAsia="de-DE"/>
        </w:rPr>
      </w:pPr>
      <w:r w:rsidRPr="00B272D3">
        <w:rPr>
          <w:lang w:eastAsia="de-DE"/>
        </w:rPr>
        <w:t>* Štúdia</w:t>
      </w:r>
      <w:r w:rsidR="007C3B72" w:rsidRPr="00B272D3">
        <w:rPr>
          <w:lang w:eastAsia="de-DE"/>
        </w:rPr>
        <w:t xml:space="preserve"> </w:t>
      </w:r>
      <w:r w:rsidRPr="00B272D3">
        <w:rPr>
          <w:lang w:eastAsia="de-DE"/>
        </w:rPr>
        <w:t>u žien po hysterektómii</w:t>
      </w:r>
      <w:r w:rsidR="007C3B72" w:rsidRPr="00B272D3">
        <w:rPr>
          <w:lang w:eastAsia="de-DE"/>
        </w:rPr>
        <w:t>.</w:t>
      </w: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  <w:r w:rsidRPr="00B272D3">
        <w:rPr>
          <w:u w:val="single"/>
        </w:rPr>
        <w:t xml:space="preserve">Riziko ischemickej </w:t>
      </w:r>
      <w:r w:rsidR="00497084" w:rsidRPr="00B272D3">
        <w:rPr>
          <w:u w:val="single"/>
        </w:rPr>
        <w:t xml:space="preserve">cievnej </w:t>
      </w:r>
      <w:r w:rsidRPr="00B272D3">
        <w:rPr>
          <w:u w:val="single"/>
        </w:rPr>
        <w:t>mozgovej príhody</w:t>
      </w:r>
      <w:r w:rsidRPr="00B272D3">
        <w:rPr>
          <w:u w:val="single"/>
        </w:rPr>
        <w:br/>
      </w:r>
      <w:r w:rsidR="00497084" w:rsidRPr="00B272D3">
        <w:rPr>
          <w:i/>
          <w:u w:val="single"/>
        </w:rPr>
        <w:t>Systé</w:t>
      </w:r>
      <w:r w:rsidRPr="00B272D3">
        <w:rPr>
          <w:i/>
          <w:u w:val="single"/>
        </w:rPr>
        <w:t>mo</w:t>
      </w:r>
      <w:r w:rsidR="00497084" w:rsidRPr="00B272D3">
        <w:rPr>
          <w:i/>
          <w:u w:val="single"/>
        </w:rPr>
        <w:t>vá</w:t>
      </w:r>
      <w:r w:rsidRPr="00B272D3">
        <w:t xml:space="preserve"> H</w:t>
      </w:r>
      <w:r w:rsidR="00497084" w:rsidRPr="00B272D3">
        <w:t>S</w:t>
      </w:r>
      <w:r w:rsidRPr="00B272D3">
        <w:t xml:space="preserve">T </w:t>
      </w:r>
      <w:r w:rsidR="00497084" w:rsidRPr="00B272D3">
        <w:t>sa</w:t>
      </w:r>
      <w:r w:rsidRPr="00B272D3">
        <w:t xml:space="preserve"> sp</w:t>
      </w:r>
      <w:r w:rsidR="00497084" w:rsidRPr="00B272D3">
        <w:t xml:space="preserve">ája až </w:t>
      </w:r>
      <w:r w:rsidR="007047B5">
        <w:t xml:space="preserve">s </w:t>
      </w:r>
      <w:r w:rsidR="00497084" w:rsidRPr="00B272D3">
        <w:t>1,5-násobným zvýšení</w:t>
      </w:r>
      <w:r w:rsidRPr="00B272D3">
        <w:t>m relatívn</w:t>
      </w:r>
      <w:r w:rsidR="00497084" w:rsidRPr="00B272D3">
        <w:t>eho</w:t>
      </w:r>
      <w:r w:rsidRPr="00B272D3">
        <w:t xml:space="preserve"> rizik</w:t>
      </w:r>
      <w:r w:rsidR="00497084" w:rsidRPr="00B272D3">
        <w:t>a</w:t>
      </w:r>
      <w:r w:rsidRPr="00B272D3">
        <w:t xml:space="preserve"> ischemickej </w:t>
      </w:r>
      <w:r w:rsidR="00497084" w:rsidRPr="00B272D3">
        <w:t xml:space="preserve">cievnej </w:t>
      </w:r>
      <w:r w:rsidRPr="00B272D3">
        <w:t xml:space="preserve">mozgovej príhody. Riziko hemoragickej </w:t>
      </w:r>
      <w:r w:rsidR="00497084" w:rsidRPr="00B272D3">
        <w:t xml:space="preserve">cievnej </w:t>
      </w:r>
      <w:r w:rsidRPr="00B272D3">
        <w:t>mozgovej príhody sa používan</w:t>
      </w:r>
      <w:r w:rsidR="00497084" w:rsidRPr="00B272D3">
        <w:t>ím</w:t>
      </w:r>
      <w:r w:rsidRPr="00B272D3">
        <w:t xml:space="preserve"> H</w:t>
      </w:r>
      <w:r w:rsidR="00497084" w:rsidRPr="00B272D3">
        <w:t>S</w:t>
      </w:r>
      <w:r w:rsidRPr="00B272D3">
        <w:t>T nezvyšuje.</w:t>
      </w:r>
      <w:r w:rsidRPr="00B272D3">
        <w:br/>
      </w:r>
      <w:r w:rsidR="00497084" w:rsidRPr="00B272D3">
        <w:t>R</w:t>
      </w:r>
      <w:r w:rsidRPr="00B272D3">
        <w:t xml:space="preserve">elatívne riziko nezávisí od veku alebo od dĺžky používania, ale </w:t>
      </w:r>
      <w:r w:rsidR="00497084" w:rsidRPr="00B272D3">
        <w:rPr>
          <w:noProof/>
        </w:rPr>
        <w:t xml:space="preserve">nakoľko je východiskové riziko cievnej mozgovej príhody silne závislé od veku, celkové riziko cievnej mozgovej príhody u žien, ktoré používajú HST, sa bude zvyšovať s vekom </w:t>
      </w:r>
      <w:r w:rsidRPr="00B272D3">
        <w:t>(pozri časť 4.4).</w:t>
      </w:r>
    </w:p>
    <w:p w:rsidR="00497084" w:rsidRPr="00B272D3" w:rsidRDefault="00497084" w:rsidP="004905EE">
      <w:pPr>
        <w:autoSpaceDE w:val="0"/>
        <w:autoSpaceDN w:val="0"/>
        <w:adjustRightInd w:val="0"/>
        <w:spacing w:line="240" w:lineRule="auto"/>
      </w:pPr>
    </w:p>
    <w:p w:rsidR="007C3B72" w:rsidRPr="00B272D3" w:rsidRDefault="007C3B72" w:rsidP="007C3B72">
      <w:pPr>
        <w:widowControl w:val="0"/>
        <w:shd w:val="clear" w:color="auto" w:fill="FFFFFF"/>
        <w:spacing w:line="240" w:lineRule="auto"/>
        <w:rPr>
          <w:lang w:eastAsia="de-DE"/>
        </w:rPr>
      </w:pPr>
      <w:r w:rsidRPr="00B272D3">
        <w:rPr>
          <w:bCs/>
          <w:lang w:eastAsia="de-DE"/>
        </w:rPr>
        <w:t xml:space="preserve">WHI </w:t>
      </w:r>
      <w:r w:rsidR="002F2352" w:rsidRPr="00B272D3">
        <w:rPr>
          <w:bCs/>
          <w:lang w:eastAsia="de-DE"/>
        </w:rPr>
        <w:t>kombinované štúdie</w:t>
      </w:r>
      <w:r w:rsidRPr="00B272D3">
        <w:rPr>
          <w:bCs/>
          <w:lang w:eastAsia="de-DE"/>
        </w:rPr>
        <w:t xml:space="preserve"> – </w:t>
      </w:r>
      <w:r w:rsidR="002F2352" w:rsidRPr="00B272D3">
        <w:rPr>
          <w:bCs/>
          <w:lang w:eastAsia="de-DE"/>
        </w:rPr>
        <w:t>dodatočné riziko ischemickej cievnej mozgovej príhody</w:t>
      </w:r>
      <w:r w:rsidRPr="00B272D3">
        <w:rPr>
          <w:bCs/>
          <w:lang w:eastAsia="de-DE"/>
        </w:rPr>
        <w:t xml:space="preserve">* </w:t>
      </w:r>
      <w:r w:rsidR="002F2352" w:rsidRPr="00B272D3">
        <w:rPr>
          <w:bCs/>
          <w:lang w:eastAsia="de-DE"/>
        </w:rPr>
        <w:t>po 5</w:t>
      </w:r>
      <w:r w:rsidR="007047B5">
        <w:rPr>
          <w:bCs/>
          <w:lang w:eastAsia="de-DE"/>
        </w:rPr>
        <w:t>-</w:t>
      </w:r>
      <w:r w:rsidR="002F2352" w:rsidRPr="00B272D3">
        <w:rPr>
          <w:bCs/>
          <w:lang w:eastAsia="de-DE"/>
        </w:rPr>
        <w:t>ročnom používaní</w:t>
      </w:r>
    </w:p>
    <w:tbl>
      <w:tblPr>
        <w:tblW w:w="5000" w:type="pct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21"/>
        <w:gridCol w:w="2619"/>
        <w:gridCol w:w="2231"/>
        <w:gridCol w:w="2328"/>
      </w:tblGrid>
      <w:tr w:rsidR="007C3B72" w:rsidRPr="00B272D3" w:rsidTr="00641A29">
        <w:tc>
          <w:tcPr>
            <w:tcW w:w="13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2F2352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Vekové rozmedzie (roky)</w:t>
            </w:r>
          </w:p>
        </w:tc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2F235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Výskyt za 5 rokov</w:t>
            </w:r>
          </w:p>
          <w:p w:rsidR="007C3B7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na 1 000 žien vo vetve používajúcej placebo</w:t>
            </w:r>
          </w:p>
        </w:tc>
        <w:tc>
          <w:tcPr>
            <w:tcW w:w="11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2F2352" w:rsidP="00641A29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Pomer rizika a 95</w:t>
            </w:r>
            <w:r w:rsidR="007047B5" w:rsidRPr="007047B5">
              <w:rPr>
                <w:b/>
                <w:lang w:eastAsia="de-DE"/>
              </w:rPr>
              <w:t> </w:t>
            </w:r>
            <w:r w:rsidRPr="00B272D3">
              <w:rPr>
                <w:b/>
                <w:lang w:eastAsia="de-DE"/>
              </w:rPr>
              <w:t>% CI</w:t>
            </w:r>
          </w:p>
        </w:tc>
        <w:tc>
          <w:tcPr>
            <w:tcW w:w="12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2F235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 xml:space="preserve">Prípady navyše </w:t>
            </w:r>
          </w:p>
          <w:p w:rsidR="002F235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 xml:space="preserve">za 5 rokov </w:t>
            </w:r>
          </w:p>
          <w:p w:rsidR="007C3B72" w:rsidRPr="00B272D3" w:rsidRDefault="002F2352" w:rsidP="002F2352">
            <w:pPr>
              <w:widowControl w:val="0"/>
              <w:spacing w:line="240" w:lineRule="auto"/>
              <w:rPr>
                <w:b/>
                <w:lang w:eastAsia="de-DE"/>
              </w:rPr>
            </w:pPr>
            <w:r w:rsidRPr="00B272D3">
              <w:rPr>
                <w:b/>
                <w:lang w:eastAsia="de-DE"/>
              </w:rPr>
              <w:t>na 1 000 žien, ktoré používajú HST</w:t>
            </w:r>
          </w:p>
        </w:tc>
      </w:tr>
      <w:tr w:rsidR="007C3B72" w:rsidRPr="00B272D3" w:rsidTr="00641A29">
        <w:tc>
          <w:tcPr>
            <w:tcW w:w="13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50 – 59</w:t>
            </w:r>
          </w:p>
        </w:tc>
        <w:tc>
          <w:tcPr>
            <w:tcW w:w="13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8</w:t>
            </w:r>
          </w:p>
        </w:tc>
        <w:tc>
          <w:tcPr>
            <w:tcW w:w="11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7047B5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1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3 (1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1 – 1</w:t>
            </w:r>
            <w:r w:rsidR="007047B5">
              <w:rPr>
                <w:lang w:eastAsia="de-DE"/>
              </w:rPr>
              <w:t>,</w:t>
            </w:r>
            <w:r w:rsidRPr="00B272D3">
              <w:rPr>
                <w:lang w:eastAsia="de-DE"/>
              </w:rPr>
              <w:t>6)</w:t>
            </w:r>
          </w:p>
        </w:tc>
        <w:tc>
          <w:tcPr>
            <w:tcW w:w="120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7C3B72" w:rsidRPr="00B272D3" w:rsidRDefault="007C3B72" w:rsidP="00641A29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3 (1 – 5)</w:t>
            </w:r>
          </w:p>
        </w:tc>
      </w:tr>
    </w:tbl>
    <w:p w:rsidR="007C3B72" w:rsidRPr="00B272D3" w:rsidRDefault="007C3B72" w:rsidP="007C3B72">
      <w:pPr>
        <w:widowControl w:val="0"/>
        <w:shd w:val="clear" w:color="auto" w:fill="FFFFFF"/>
        <w:spacing w:line="240" w:lineRule="auto"/>
        <w:rPr>
          <w:lang w:eastAsia="de-DE"/>
        </w:rPr>
      </w:pPr>
      <w:r w:rsidRPr="00B272D3">
        <w:rPr>
          <w:lang w:eastAsia="de-DE"/>
        </w:rPr>
        <w:t>* N</w:t>
      </w:r>
      <w:r w:rsidR="002F2352" w:rsidRPr="00B272D3">
        <w:rPr>
          <w:lang w:eastAsia="de-DE"/>
        </w:rPr>
        <w:t xml:space="preserve">erozlišovalo sa medzi </w:t>
      </w:r>
      <w:r w:rsidR="002F2352" w:rsidRPr="00B272D3">
        <w:rPr>
          <w:bCs/>
          <w:lang w:eastAsia="de-DE"/>
        </w:rPr>
        <w:t>ischemickou a hemoragickou cievnou mozgovou príhodou</w:t>
      </w:r>
    </w:p>
    <w:p w:rsidR="007C3B72" w:rsidRPr="00B272D3" w:rsidRDefault="007C3B72" w:rsidP="004905EE">
      <w:pPr>
        <w:autoSpaceDE w:val="0"/>
        <w:autoSpaceDN w:val="0"/>
        <w:adjustRightInd w:val="0"/>
        <w:spacing w:line="240" w:lineRule="auto"/>
      </w:pPr>
    </w:p>
    <w:p w:rsidR="00B12D42" w:rsidRPr="00B272D3" w:rsidRDefault="00FE605C" w:rsidP="00B12D42">
      <w:pPr>
        <w:keepNext/>
        <w:autoSpaceDE w:val="0"/>
        <w:autoSpaceDN w:val="0"/>
        <w:adjustRightInd w:val="0"/>
        <w:spacing w:line="240" w:lineRule="auto"/>
        <w:rPr>
          <w:u w:val="single"/>
        </w:rPr>
      </w:pPr>
      <w:r w:rsidRPr="00B272D3">
        <w:rPr>
          <w:u w:val="single"/>
        </w:rPr>
        <w:t>Hlásenie podozrení na nežiaduce reakcie</w:t>
      </w:r>
    </w:p>
    <w:p w:rsidR="00B12D42" w:rsidRPr="00B272D3" w:rsidRDefault="00FE605C" w:rsidP="00B12D42">
      <w:pPr>
        <w:autoSpaceDE w:val="0"/>
        <w:autoSpaceDN w:val="0"/>
        <w:adjustRightInd w:val="0"/>
        <w:spacing w:line="240" w:lineRule="auto"/>
      </w:pPr>
      <w:r w:rsidRPr="00B272D3">
        <w:t>Hlásenie podozrení na nežiaduce reakcie po registrácii lieku je dôležité. Umožňuje priebežné monitorovanie pomeru prínosu a rizika lieku. Od zdravotníckych pracovníkov sa vyžaduje, aby hlásili akékoľvek podozrenia na nežiaduce reakcie na</w:t>
      </w:r>
      <w:r w:rsidR="007047B5">
        <w:t xml:space="preserve"> </w:t>
      </w:r>
      <w:r w:rsidRPr="00B272D3">
        <w:rPr>
          <w:highlight w:val="lightGray"/>
        </w:rPr>
        <w:t>národné</w:t>
      </w:r>
      <w:r w:rsidR="007047B5">
        <w:rPr>
          <w:highlight w:val="lightGray"/>
        </w:rPr>
        <w:t xml:space="preserve"> </w:t>
      </w:r>
      <w:r w:rsidRPr="00B272D3">
        <w:rPr>
          <w:highlight w:val="lightGray"/>
        </w:rPr>
        <w:t>centrum hlásenia uvedené v </w:t>
      </w:r>
      <w:hyperlink r:id="rId9" w:history="1">
        <w:r w:rsidRPr="00B272D3">
          <w:rPr>
            <w:rStyle w:val="Hypertextovprepojenie1"/>
          </w:rPr>
          <w:t>Prílohe V</w:t>
        </w:r>
      </w:hyperlink>
      <w:r w:rsidRPr="00B272D3">
        <w:rPr>
          <w:color w:val="008000"/>
        </w:rPr>
        <w:t>.</w:t>
      </w:r>
    </w:p>
    <w:p w:rsidR="008D35AD" w:rsidRPr="00B272D3" w:rsidRDefault="008D35AD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Predávkovanie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2F2352" w:rsidP="00204AAB">
      <w:pPr>
        <w:spacing w:line="240" w:lineRule="auto"/>
      </w:pPr>
      <w:r w:rsidRPr="00B272D3">
        <w:t>V</w:t>
      </w:r>
      <w:r w:rsidR="00FA0B83">
        <w:t>agirux</w:t>
      </w:r>
      <w:r w:rsidR="007C3B72" w:rsidRPr="00B272D3">
        <w:t xml:space="preserve"> je určený na intravaginálne použitie a dávka estradiolu je veľmi nízka. Predávkovanie je preto nepravdepodobné, ale ak </w:t>
      </w:r>
      <w:r w:rsidRPr="00B272D3">
        <w:t>k nemu dôjde</w:t>
      </w:r>
      <w:r w:rsidR="007C3B72" w:rsidRPr="00B272D3">
        <w:t>, liečba je symptomatická.</w:t>
      </w:r>
    </w:p>
    <w:p w:rsidR="007E4269" w:rsidRDefault="007E4269" w:rsidP="00204AAB">
      <w:pPr>
        <w:spacing w:line="240" w:lineRule="auto"/>
      </w:pPr>
    </w:p>
    <w:p w:rsidR="007047B5" w:rsidRPr="00B272D3" w:rsidRDefault="007047B5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0"/>
          <w:numId w:val="6"/>
        </w:numPr>
        <w:suppressAutoHyphens/>
        <w:spacing w:line="240" w:lineRule="auto"/>
      </w:pPr>
      <w:r w:rsidRPr="00B272D3">
        <w:rPr>
          <w:b/>
        </w:rPr>
        <w:t>FARMAKOLOGICKÉ VLASTNOSTI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Farmakodynamické vlastnosti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FE605C" w:rsidP="00204AAB">
      <w:pPr>
        <w:spacing w:line="240" w:lineRule="auto"/>
        <w:outlineLvl w:val="0"/>
      </w:pPr>
      <w:r w:rsidRPr="00B272D3">
        <w:t xml:space="preserve">Farmakoterapeutická skupina: </w:t>
      </w:r>
      <w:r w:rsidR="00C708B3" w:rsidRPr="00B272D3">
        <w:t>Prirodzené a semisyntetické estrogény, samotné</w:t>
      </w:r>
      <w:r w:rsidRPr="00B272D3">
        <w:t xml:space="preserve">, ATC kód: </w:t>
      </w:r>
      <w:r w:rsidR="00C708B3" w:rsidRPr="00B272D3">
        <w:t>G03CA03</w:t>
      </w:r>
    </w:p>
    <w:p w:rsidR="00812D16" w:rsidRPr="00B272D3" w:rsidRDefault="00812D16" w:rsidP="00204AAB">
      <w:pPr>
        <w:spacing w:line="240" w:lineRule="auto"/>
      </w:pPr>
    </w:p>
    <w:p w:rsidR="008D6BE8" w:rsidRPr="00B272D3" w:rsidRDefault="00F70627" w:rsidP="00204AAB">
      <w:pPr>
        <w:spacing w:line="240" w:lineRule="auto"/>
        <w:outlineLvl w:val="0"/>
      </w:pPr>
      <w:r w:rsidRPr="00B272D3">
        <w:t>Účinná látka, syntetický 17ß-estradiol, je chemicky a biologicky identická s endogénnym ľudským estradiolom.</w:t>
      </w:r>
      <w:r w:rsidRPr="00B272D3">
        <w:br/>
      </w:r>
      <w:r w:rsidRPr="00B272D3">
        <w:br/>
        <w:t>Endogénny 17ß-estradiol indukuje a udržuje primárne a sekundárne ženské pohlavné znaky. Biologický účinok 17ß-estradiolu prebieha na množstve špecifických estrogénových receptorov. Komplex steroidných receptorov sa viaže na bunkovú DNA a indukuje syntézu špecifických proteínov.</w:t>
      </w:r>
      <w:r w:rsidRPr="00B272D3">
        <w:br/>
      </w:r>
      <w:r w:rsidRPr="00B272D3">
        <w:br/>
        <w:t>Zrenie vaginálneho epitelu závisí od estrogénov. Estrogény zvyšujú počet superficiálnych</w:t>
      </w:r>
      <w:r w:rsidR="006D4E3D" w:rsidRPr="00B272D3">
        <w:t xml:space="preserve"> a </w:t>
      </w:r>
      <w:r w:rsidRPr="00B272D3">
        <w:t>intermediálnych buniek a znižujú počet bazálnych buniek vo vaginálnom stere.</w:t>
      </w:r>
      <w:r w:rsidRPr="00B272D3">
        <w:br/>
      </w:r>
      <w:r w:rsidRPr="00B272D3">
        <w:br/>
        <w:t>Estrogény udržiavajú vaginálne pH okolo normálneho rozsahu (4,5), čo podporuje normálnu bakteriálnu flóru.</w:t>
      </w:r>
      <w:r w:rsidRPr="00B272D3">
        <w:br/>
      </w:r>
      <w:r w:rsidRPr="00B272D3">
        <w:br/>
        <w:t>Liečba príznakov vaginálnej estrogénovej deficiencie: vaginálne aplikovaný estrogén zmierňuje príznaky vaginálnej atrofie, spôsobené nedostatkom estrogénu u postmenopauzálnych žien.</w:t>
      </w:r>
      <w:r w:rsidRPr="00B272D3">
        <w:br/>
      </w:r>
      <w:r w:rsidRPr="00B272D3">
        <w:br/>
        <w:t xml:space="preserve">Vykonala sa 12-mesačná, dvojito zaslepená, randomizovaná, placebom kontrolovaná, multicentrická štúdia s paralelnými skupinami, ktorá mala vyhodnotiť účinnosť a bezpečnosť vaginálnych tabliet </w:t>
      </w:r>
      <w:r w:rsidR="006D4E3D" w:rsidRPr="00B272D3">
        <w:t>s </w:t>
      </w:r>
      <w:r w:rsidRPr="00B272D3">
        <w:t xml:space="preserve">obsahom 10 mikrogramov </w:t>
      </w:r>
      <w:r w:rsidR="006D4E3D" w:rsidRPr="00B272D3">
        <w:t xml:space="preserve">estradiolu </w:t>
      </w:r>
      <w:r w:rsidRPr="00B272D3">
        <w:t xml:space="preserve">pri liečbe </w:t>
      </w:r>
      <w:r w:rsidR="006D4E3D" w:rsidRPr="00B272D3">
        <w:t xml:space="preserve">symptómov </w:t>
      </w:r>
      <w:r w:rsidRPr="00B272D3">
        <w:t>postmenopauzáln</w:t>
      </w:r>
      <w:r w:rsidR="006D4E3D" w:rsidRPr="00B272D3">
        <w:t>ej</w:t>
      </w:r>
      <w:r w:rsidRPr="00B272D3">
        <w:t xml:space="preserve"> vagináln</w:t>
      </w:r>
      <w:r w:rsidR="006D4E3D" w:rsidRPr="00B272D3">
        <w:t>ej</w:t>
      </w:r>
      <w:r w:rsidRPr="00B272D3">
        <w:t xml:space="preserve"> atrofi</w:t>
      </w:r>
      <w:r w:rsidR="006D4E3D" w:rsidRPr="00B272D3">
        <w:t>e</w:t>
      </w:r>
      <w:r w:rsidRPr="00B272D3">
        <w:t>.</w:t>
      </w:r>
      <w:r w:rsidRPr="00B272D3">
        <w:br/>
      </w:r>
      <w:r w:rsidRPr="00B272D3">
        <w:br/>
        <w:t xml:space="preserve">Po 12 týždňoch liečby vaginálnymi tabletami </w:t>
      </w:r>
      <w:r w:rsidR="006D4E3D" w:rsidRPr="00B272D3">
        <w:t xml:space="preserve">s obsahom </w:t>
      </w:r>
      <w:r w:rsidRPr="00B272D3">
        <w:t xml:space="preserve">10 mikrogramov </w:t>
      </w:r>
      <w:r w:rsidR="006D4E3D" w:rsidRPr="00B272D3">
        <w:t xml:space="preserve">estradiolu sa v porovnaní s placebom preukázala </w:t>
      </w:r>
      <w:r w:rsidRPr="00B272D3">
        <w:t>zmena oproti východiskovej hodnote</w:t>
      </w:r>
      <w:r w:rsidR="006D4E3D" w:rsidRPr="00B272D3">
        <w:t>, ktorá predstavovala</w:t>
      </w:r>
      <w:r w:rsidRPr="00B272D3">
        <w:t xml:space="preserve"> významné zlepšenie v troch primárnych cieľových ukazovateľoch: vagináln</w:t>
      </w:r>
      <w:r w:rsidR="006D4E3D" w:rsidRPr="00B272D3">
        <w:t>y</w:t>
      </w:r>
      <w:r w:rsidRPr="00B272D3">
        <w:t xml:space="preserve"> matur</w:t>
      </w:r>
      <w:r w:rsidR="006D4E3D" w:rsidRPr="00B272D3">
        <w:t>ačný index a hodnota</w:t>
      </w:r>
      <w:r w:rsidRPr="00B272D3">
        <w:t>, normalizácia vaginálneho pH</w:t>
      </w:r>
      <w:r w:rsidR="006D4E3D" w:rsidRPr="00B272D3">
        <w:t xml:space="preserve"> a zmiernenie stredne závažných/závažných urogenitálnych symptómov,</w:t>
      </w:r>
      <w:r w:rsidRPr="00B272D3">
        <w:t xml:space="preserve"> </w:t>
      </w:r>
      <w:r w:rsidR="006D4E3D" w:rsidRPr="00B272D3">
        <w:t xml:space="preserve">ktoré </w:t>
      </w:r>
      <w:r w:rsidRPr="00B272D3">
        <w:t>subjekty považovali za najviac obťažujúce.</w:t>
      </w:r>
      <w:r w:rsidRPr="00B272D3">
        <w:br/>
      </w:r>
      <w:r w:rsidRPr="00B272D3">
        <w:br/>
        <w:t xml:space="preserve">Endometriálna bezpečnosť vaginálnych tabliet </w:t>
      </w:r>
      <w:r w:rsidR="00E53AC6" w:rsidRPr="00B272D3">
        <w:t xml:space="preserve">s obsahom </w:t>
      </w:r>
      <w:r w:rsidRPr="00B272D3">
        <w:t xml:space="preserve">10 mikrogramov </w:t>
      </w:r>
      <w:r w:rsidR="00E53AC6" w:rsidRPr="00B272D3">
        <w:t>estradiolu bola</w:t>
      </w:r>
      <w:r w:rsidRPr="00B272D3">
        <w:t xml:space="preserve"> hodnot</w:t>
      </w:r>
      <w:r w:rsidR="00E53AC6" w:rsidRPr="00B272D3">
        <w:t>ená</w:t>
      </w:r>
      <w:r w:rsidRPr="00B272D3">
        <w:t xml:space="preserve"> vo vyššie uvedenej štúdii a</w:t>
      </w:r>
      <w:r w:rsidR="00E53AC6" w:rsidRPr="00B272D3">
        <w:t xml:space="preserve"> ďalej v </w:t>
      </w:r>
      <w:r w:rsidRPr="00B272D3">
        <w:t>otvorenej multicentrickej štúdii. Celko</w:t>
      </w:r>
      <w:r w:rsidR="00E53AC6" w:rsidRPr="00B272D3">
        <w:t>vo</w:t>
      </w:r>
      <w:r w:rsidRPr="00B272D3">
        <w:t xml:space="preserve"> 386 žien podstúpilo endometriálnu biopsiu na začiatku a na konci 52-týždňovej lieč</w:t>
      </w:r>
      <w:r w:rsidR="00E53AC6" w:rsidRPr="00B272D3">
        <w:t>by. Miera výskytu hyperplázie a/</w:t>
      </w:r>
      <w:r w:rsidRPr="00B272D3">
        <w:t>alebo karcinómu bola 0,52</w:t>
      </w:r>
      <w:r w:rsidR="002B2C20" w:rsidRPr="002B2C20">
        <w:rPr>
          <w:b/>
        </w:rPr>
        <w:t> </w:t>
      </w:r>
      <w:r w:rsidRPr="00B272D3">
        <w:t>% (95</w:t>
      </w:r>
      <w:r w:rsidR="002B2C20" w:rsidRPr="002B2C20">
        <w:rPr>
          <w:b/>
        </w:rPr>
        <w:t> </w:t>
      </w:r>
      <w:r w:rsidRPr="00B272D3">
        <w:t>% CI 0,06</w:t>
      </w:r>
      <w:r w:rsidR="002B2C20" w:rsidRPr="002B2C20">
        <w:rPr>
          <w:b/>
        </w:rPr>
        <w:t> </w:t>
      </w:r>
      <w:r w:rsidRPr="00B272D3">
        <w:t>%, 1,86</w:t>
      </w:r>
      <w:r w:rsidR="002B2C20" w:rsidRPr="002B2C20">
        <w:rPr>
          <w:b/>
        </w:rPr>
        <w:t> </w:t>
      </w:r>
      <w:r w:rsidRPr="00B272D3">
        <w:t>%), z čoho nevyplýva zvýšené riziko.</w:t>
      </w:r>
      <w:r w:rsidRPr="00B272D3">
        <w:br/>
      </w:r>
      <w:r w:rsidRPr="00B272D3">
        <w:br/>
        <w:t>Šesťtýždňová placebom kontrolovaná štúdia s vaginálny</w:t>
      </w:r>
      <w:r w:rsidR="00E53AC6" w:rsidRPr="00B272D3">
        <w:t>mi tabl</w:t>
      </w:r>
      <w:r w:rsidRPr="00B272D3">
        <w:t>et</w:t>
      </w:r>
      <w:r w:rsidR="00E53AC6" w:rsidRPr="00B272D3">
        <w:t xml:space="preserve">ami s obsahom 10 mikrogramov estradiolu </w:t>
      </w:r>
      <w:r w:rsidRPr="00B272D3">
        <w:t>potvrdila významné zlepšenie hodnoty vaginálnej maturácie a normalizáciu hodnoty pH.</w:t>
      </w:r>
    </w:p>
    <w:p w:rsidR="00812D16" w:rsidRPr="00B272D3" w:rsidRDefault="00812D16" w:rsidP="00204AAB">
      <w:pPr>
        <w:numPr>
          <w:ilvl w:val="12"/>
          <w:numId w:val="0"/>
        </w:numPr>
        <w:spacing w:line="240" w:lineRule="auto"/>
        <w:ind w:right="-2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272D3">
        <w:rPr>
          <w:b/>
        </w:rPr>
        <w:t>Farmakokinetické vlastnosti</w:t>
      </w:r>
    </w:p>
    <w:p w:rsidR="00812D16" w:rsidRPr="00B272D3" w:rsidRDefault="00812D16" w:rsidP="00085939">
      <w:pPr>
        <w:keepNext/>
        <w:spacing w:line="240" w:lineRule="auto"/>
        <w:ind w:left="567" w:hanging="567"/>
        <w:outlineLvl w:val="0"/>
      </w:pPr>
    </w:p>
    <w:p w:rsidR="00812D16" w:rsidRPr="00B272D3" w:rsidRDefault="00354AD5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272D3">
        <w:rPr>
          <w:u w:val="single"/>
        </w:rPr>
        <w:t>Absorpcia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  <w:r w:rsidRPr="00B272D3">
        <w:t xml:space="preserve">Estrogény sa dobre absorbujú cez kožu, sliznice a gastrointestinálny trakt. Po vaginálnom podaní sa estradiol absorbuje a obchádza </w:t>
      </w:r>
      <w:r w:rsidR="00604EE7" w:rsidRPr="00B272D3">
        <w:t xml:space="preserve">proces "first-pass" </w:t>
      </w:r>
      <w:r w:rsidRPr="00B272D3">
        <w:t>metabolizmu.</w:t>
      </w:r>
      <w:r w:rsidRPr="00B272D3">
        <w:br/>
      </w:r>
      <w:r w:rsidRPr="00B272D3">
        <w:br/>
      </w:r>
      <w:r w:rsidR="00604EE7" w:rsidRPr="00B272D3">
        <w:t xml:space="preserve">Uskutočnila sa 12-týždňová, randomizovaná, otvorená, viacdávková štúdia s paralelnými skupinami v jednom centre, ktorá skúmala </w:t>
      </w:r>
      <w:r w:rsidRPr="00B272D3">
        <w:t xml:space="preserve">rozsah systémovej absorpcie estradiolu z </w:t>
      </w:r>
      <w:r w:rsidR="00604EE7" w:rsidRPr="00B272D3">
        <w:t xml:space="preserve">vaginálnych </w:t>
      </w:r>
      <w:r w:rsidRPr="00B272D3">
        <w:t xml:space="preserve">tabliet </w:t>
      </w:r>
      <w:r w:rsidR="00604EE7" w:rsidRPr="00B272D3">
        <w:t>s obsahom 10 mikrogramov estradiolu.</w:t>
      </w:r>
      <w:r w:rsidRPr="00B272D3">
        <w:t xml:space="preserve"> Subjekty boli randomizované </w:t>
      </w:r>
      <w:r w:rsidR="00604EE7" w:rsidRPr="00B272D3">
        <w:t>v pomere 1:1 a</w:t>
      </w:r>
      <w:r w:rsidRPr="00B272D3">
        <w:t xml:space="preserve"> </w:t>
      </w:r>
      <w:r w:rsidR="00604EE7" w:rsidRPr="00B272D3">
        <w:t>bola im podávaná</w:t>
      </w:r>
      <w:r w:rsidRPr="00B272D3">
        <w:t xml:space="preserve"> </w:t>
      </w:r>
      <w:r w:rsidR="00604EE7" w:rsidRPr="00B272D3">
        <w:t xml:space="preserve">buď </w:t>
      </w:r>
      <w:r w:rsidRPr="00B272D3">
        <w:t>vagináln</w:t>
      </w:r>
      <w:r w:rsidR="00604EE7" w:rsidRPr="00B272D3">
        <w:t>a</w:t>
      </w:r>
      <w:r w:rsidRPr="00B272D3">
        <w:t xml:space="preserve"> tablet</w:t>
      </w:r>
      <w:r w:rsidR="00604EE7" w:rsidRPr="00B272D3">
        <w:t xml:space="preserve">a s obsahom </w:t>
      </w:r>
      <w:r w:rsidRPr="00B272D3">
        <w:t>10 alebo 25 mikrogramov</w:t>
      </w:r>
      <w:r w:rsidR="00604EE7" w:rsidRPr="00B272D3">
        <w:t xml:space="preserve"> estradiolu</w:t>
      </w:r>
      <w:r w:rsidRPr="00B272D3">
        <w:t xml:space="preserve">. Boli stanovené hladiny estradiolu (E2), estrónu (El) a </w:t>
      </w:r>
      <w:r w:rsidR="00B51C94" w:rsidRPr="00B272D3">
        <w:t>estrón-</w:t>
      </w:r>
      <w:r w:rsidRPr="00B272D3">
        <w:t>sulfátu (E1S)</w:t>
      </w:r>
      <w:r w:rsidR="00B51C94" w:rsidRPr="00B272D3">
        <w:t xml:space="preserve"> v plazme. AUC</w:t>
      </w:r>
      <w:r w:rsidRPr="00B272D3">
        <w:rPr>
          <w:vertAlign w:val="subscript"/>
        </w:rPr>
        <w:t>(0-24)</w:t>
      </w:r>
      <w:r w:rsidRPr="00B272D3">
        <w:t xml:space="preserve"> hladiny E2 </w:t>
      </w:r>
      <w:r w:rsidR="00B51C94" w:rsidRPr="00B272D3">
        <w:t xml:space="preserve">v plazme </w:t>
      </w:r>
      <w:r w:rsidRPr="00B272D3">
        <w:t xml:space="preserve">sa </w:t>
      </w:r>
      <w:r w:rsidR="00B51C94" w:rsidRPr="00B272D3">
        <w:t>po podaní vaginálnej tablety s obsahom 10 a 25 mikrogramov estradiolu zvýšil</w:t>
      </w:r>
      <w:r w:rsidRPr="00B272D3">
        <w:t xml:space="preserve"> takmer proporcionálne</w:t>
      </w:r>
      <w:r w:rsidR="00B51C94" w:rsidRPr="00B272D3">
        <w:t>. AUC</w:t>
      </w:r>
      <w:r w:rsidRPr="00B272D3">
        <w:rPr>
          <w:vertAlign w:val="subscript"/>
        </w:rPr>
        <w:t>(0-24)</w:t>
      </w:r>
      <w:r w:rsidR="00B51C94" w:rsidRPr="00B272D3">
        <w:t xml:space="preserve"> indikoval</w:t>
      </w:r>
      <w:r w:rsidRPr="00B272D3">
        <w:t xml:space="preserve"> </w:t>
      </w:r>
      <w:r w:rsidR="00B51C94" w:rsidRPr="00B272D3">
        <w:t xml:space="preserve">štatisticky významne </w:t>
      </w:r>
      <w:r w:rsidRPr="00B272D3">
        <w:t xml:space="preserve">vyššie systémové hladiny </w:t>
      </w:r>
      <w:r w:rsidR="00B51C94" w:rsidRPr="00B272D3">
        <w:t>E2</w:t>
      </w:r>
      <w:r w:rsidRPr="00B272D3">
        <w:t xml:space="preserve"> </w:t>
      </w:r>
      <w:r w:rsidR="00B51C94" w:rsidRPr="00B272D3">
        <w:t xml:space="preserve">v </w:t>
      </w:r>
      <w:r w:rsidRPr="00B272D3">
        <w:t>pr</w:t>
      </w:r>
      <w:r w:rsidR="00B51C94" w:rsidRPr="00B272D3">
        <w:t>ípad</w:t>
      </w:r>
      <w:r w:rsidRPr="00B272D3">
        <w:t xml:space="preserve">e </w:t>
      </w:r>
      <w:r w:rsidR="00B51C94" w:rsidRPr="00B272D3">
        <w:t xml:space="preserve">vaginálnej tablety s obsahom </w:t>
      </w:r>
      <w:r w:rsidRPr="00B272D3">
        <w:t xml:space="preserve">10 mikrogramov </w:t>
      </w:r>
      <w:r w:rsidR="00B51C94" w:rsidRPr="00B272D3">
        <w:t xml:space="preserve">estradiolu </w:t>
      </w:r>
      <w:r w:rsidRPr="00B272D3">
        <w:t>v porovnaní s východiskovou hodnotou v 1</w:t>
      </w:r>
      <w:r w:rsidR="00B51C94" w:rsidRPr="00B272D3">
        <w:t>.</w:t>
      </w:r>
      <w:r w:rsidRPr="00B272D3">
        <w:t>, 14</w:t>
      </w:r>
      <w:r w:rsidR="00B51C94" w:rsidRPr="00B272D3">
        <w:t>.</w:t>
      </w:r>
      <w:r w:rsidRPr="00B272D3">
        <w:t xml:space="preserve"> a 83</w:t>
      </w:r>
      <w:r w:rsidR="00B51C94" w:rsidRPr="00B272D3">
        <w:t>. deň liečby</w:t>
      </w:r>
      <w:r w:rsidRPr="00B272D3">
        <w:t xml:space="preserve"> (tabuľka 1). Priemerné koncentrácie E2 </w:t>
      </w:r>
      <w:r w:rsidR="00B51C94" w:rsidRPr="00B272D3">
        <w:t xml:space="preserve">v plazme </w:t>
      </w:r>
      <w:r w:rsidRPr="00B272D3">
        <w:t>(</w:t>
      </w:r>
      <w:r w:rsidR="00B51C94" w:rsidRPr="00B272D3">
        <w:t>C</w:t>
      </w:r>
      <w:r w:rsidR="00B51C94" w:rsidRPr="00B272D3">
        <w:rPr>
          <w:vertAlign w:val="subscript"/>
        </w:rPr>
        <w:t>ave</w:t>
      </w:r>
      <w:r w:rsidRPr="00B272D3">
        <w:rPr>
          <w:vertAlign w:val="subscript"/>
        </w:rPr>
        <w:t xml:space="preserve"> (0-24)</w:t>
      </w:r>
      <w:r w:rsidRPr="00B272D3">
        <w:t xml:space="preserve">) však </w:t>
      </w:r>
      <w:r w:rsidR="00B51C94" w:rsidRPr="00B272D3">
        <w:t xml:space="preserve">celkovo </w:t>
      </w:r>
      <w:r w:rsidRPr="00B272D3">
        <w:t xml:space="preserve">vo všetkých hodnotených dňoch zostali u všetkých </w:t>
      </w:r>
      <w:r w:rsidR="00B51C94" w:rsidRPr="00B272D3">
        <w:t>subjektov</w:t>
      </w:r>
      <w:r w:rsidRPr="00B272D3">
        <w:t xml:space="preserve"> v</w:t>
      </w:r>
      <w:r w:rsidR="00B51C94" w:rsidRPr="00B272D3">
        <w:t xml:space="preserve"> rámci</w:t>
      </w:r>
      <w:r w:rsidRPr="00B272D3">
        <w:t xml:space="preserve"> normáln</w:t>
      </w:r>
      <w:r w:rsidR="00B51C94" w:rsidRPr="00B272D3">
        <w:t>eho</w:t>
      </w:r>
      <w:r w:rsidRPr="00B272D3">
        <w:t xml:space="preserve"> postmenopauzáln</w:t>
      </w:r>
      <w:r w:rsidR="00B51C94" w:rsidRPr="00B272D3">
        <w:t>eho</w:t>
      </w:r>
      <w:r w:rsidRPr="00B272D3">
        <w:t xml:space="preserve"> rozmedz</w:t>
      </w:r>
      <w:r w:rsidR="00B51C94" w:rsidRPr="00B272D3">
        <w:t>ia</w:t>
      </w:r>
      <w:r w:rsidRPr="00B272D3">
        <w:t>. Údaje z 82</w:t>
      </w:r>
      <w:r w:rsidR="00B51C94" w:rsidRPr="00B272D3">
        <w:t>.</w:t>
      </w:r>
      <w:r w:rsidRPr="00B272D3">
        <w:t xml:space="preserve"> a 83</w:t>
      </w:r>
      <w:r w:rsidR="00B51C94" w:rsidRPr="00B272D3">
        <w:t>. dňa</w:t>
      </w:r>
      <w:r w:rsidRPr="00B272D3">
        <w:t xml:space="preserve"> v porovnaní s východiskovou hodnotou naznačujú, že počas udržiavacej liečby </w:t>
      </w:r>
      <w:r w:rsidR="00B51C94" w:rsidRPr="00B272D3">
        <w:t>2x</w:t>
      </w:r>
      <w:r w:rsidRPr="00B272D3">
        <w:t xml:space="preserve"> týždenne ne</w:t>
      </w:r>
      <w:r w:rsidR="00B51C94" w:rsidRPr="00B272D3">
        <w:t>dochádza ku</w:t>
      </w:r>
      <w:r w:rsidRPr="00B272D3">
        <w:t xml:space="preserve"> kumulatívn</w:t>
      </w:r>
      <w:r w:rsidR="00B51C94" w:rsidRPr="00B272D3">
        <w:t>emu</w:t>
      </w:r>
      <w:r w:rsidRPr="00B272D3">
        <w:t xml:space="preserve"> </w:t>
      </w:r>
      <w:r w:rsidR="00B51C94" w:rsidRPr="00B272D3">
        <w:t>efektu</w:t>
      </w:r>
      <w:r w:rsidRPr="00B272D3">
        <w:t>.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:rsidR="00354AD5" w:rsidRPr="00B272D3" w:rsidRDefault="00354AD5" w:rsidP="00354AD5">
      <w:pPr>
        <w:widowControl w:val="0"/>
        <w:shd w:val="clear" w:color="auto" w:fill="FFFFFF"/>
        <w:spacing w:line="240" w:lineRule="auto"/>
        <w:rPr>
          <w:lang w:eastAsia="de-DE"/>
        </w:rPr>
      </w:pPr>
      <w:r w:rsidRPr="00B272D3">
        <w:rPr>
          <w:b/>
          <w:bCs/>
          <w:lang w:eastAsia="de-DE"/>
        </w:rPr>
        <w:t>Tab</w:t>
      </w:r>
      <w:r w:rsidR="00B272D3" w:rsidRPr="00B272D3">
        <w:rPr>
          <w:b/>
          <w:bCs/>
          <w:lang w:eastAsia="de-DE"/>
        </w:rPr>
        <w:t>uľka</w:t>
      </w:r>
      <w:r w:rsidRPr="00B272D3">
        <w:rPr>
          <w:b/>
          <w:bCs/>
          <w:lang w:eastAsia="de-DE"/>
        </w:rPr>
        <w:t xml:space="preserve"> 1 </w:t>
      </w:r>
      <w:r w:rsidR="004150F4">
        <w:rPr>
          <w:b/>
          <w:bCs/>
          <w:lang w:eastAsia="de-DE"/>
        </w:rPr>
        <w:t>Hodnoty</w:t>
      </w:r>
      <w:r w:rsidRPr="00B272D3">
        <w:rPr>
          <w:b/>
          <w:bCs/>
          <w:lang w:eastAsia="de-DE"/>
        </w:rPr>
        <w:t xml:space="preserve"> PK parametr</w:t>
      </w:r>
      <w:r w:rsidR="004150F4">
        <w:rPr>
          <w:b/>
          <w:bCs/>
          <w:lang w:eastAsia="de-DE"/>
        </w:rPr>
        <w:t>ov</w:t>
      </w:r>
      <w:r w:rsidRPr="00B272D3">
        <w:rPr>
          <w:b/>
          <w:bCs/>
          <w:lang w:eastAsia="de-DE"/>
        </w:rPr>
        <w:t xml:space="preserve"> </w:t>
      </w:r>
      <w:r w:rsidR="004150F4">
        <w:rPr>
          <w:b/>
          <w:bCs/>
          <w:lang w:eastAsia="de-DE"/>
        </w:rPr>
        <w:t>koncentrácie e</w:t>
      </w:r>
      <w:r w:rsidRPr="00B272D3">
        <w:rPr>
          <w:b/>
          <w:bCs/>
          <w:lang w:eastAsia="de-DE"/>
        </w:rPr>
        <w:t>stradiol</w:t>
      </w:r>
      <w:r w:rsidR="004150F4">
        <w:rPr>
          <w:b/>
          <w:bCs/>
          <w:lang w:eastAsia="de-DE"/>
        </w:rPr>
        <w:t>u</w:t>
      </w:r>
      <w:r w:rsidRPr="00B272D3">
        <w:rPr>
          <w:b/>
          <w:bCs/>
          <w:lang w:eastAsia="de-DE"/>
        </w:rPr>
        <w:t xml:space="preserve"> (E2) </w:t>
      </w:r>
      <w:r w:rsidR="004150F4">
        <w:rPr>
          <w:b/>
          <w:bCs/>
          <w:lang w:eastAsia="de-DE"/>
        </w:rPr>
        <w:t xml:space="preserve">v plazme pri vaginálnej tablete s obsahom </w:t>
      </w:r>
      <w:r w:rsidRPr="00B272D3">
        <w:rPr>
          <w:b/>
          <w:bCs/>
          <w:lang w:eastAsia="de-DE"/>
        </w:rPr>
        <w:t>10 mi</w:t>
      </w:r>
      <w:r w:rsidR="004150F4">
        <w:rPr>
          <w:b/>
          <w:bCs/>
          <w:lang w:eastAsia="de-DE"/>
        </w:rPr>
        <w:t>k</w:t>
      </w:r>
      <w:r w:rsidRPr="00B272D3">
        <w:rPr>
          <w:b/>
          <w:bCs/>
          <w:lang w:eastAsia="de-DE"/>
        </w:rPr>
        <w:t>rogram</w:t>
      </w:r>
      <w:r w:rsidR="004150F4">
        <w:rPr>
          <w:b/>
          <w:bCs/>
          <w:lang w:eastAsia="de-DE"/>
        </w:rPr>
        <w:t>ov estradiolu</w:t>
      </w:r>
    </w:p>
    <w:tbl>
      <w:tblPr>
        <w:tblW w:w="5000" w:type="pct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27"/>
        <w:gridCol w:w="4244"/>
        <w:gridCol w:w="3856"/>
        <w:gridCol w:w="72"/>
      </w:tblGrid>
      <w:tr w:rsidR="00354AD5" w:rsidRPr="00B272D3" w:rsidTr="00FE139D">
        <w:tc>
          <w:tcPr>
            <w:tcW w:w="7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</w:p>
        </w:tc>
        <w:tc>
          <w:tcPr>
            <w:tcW w:w="21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AUC</w:t>
            </w:r>
            <w:r w:rsidRPr="00B272D3">
              <w:rPr>
                <w:vertAlign w:val="subscript"/>
                <w:lang w:eastAsia="de-DE"/>
              </w:rPr>
              <w:t>(0-24)</w:t>
            </w:r>
          </w:p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pg∙h/m</w:t>
            </w:r>
            <w:r w:rsidR="004150F4">
              <w:rPr>
                <w:lang w:eastAsia="de-DE"/>
              </w:rPr>
              <w:t>l</w:t>
            </w:r>
          </w:p>
          <w:p w:rsidR="00354AD5" w:rsidRPr="00B272D3" w:rsidRDefault="00354AD5" w:rsidP="004150F4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(geom</w:t>
            </w:r>
            <w:r w:rsidR="004150F4">
              <w:rPr>
                <w:lang w:eastAsia="de-DE"/>
              </w:rPr>
              <w:t>etrický priemer</w:t>
            </w:r>
            <w:r w:rsidRPr="00B272D3">
              <w:rPr>
                <w:lang w:eastAsia="de-DE"/>
              </w:rPr>
              <w:t>)</w:t>
            </w:r>
          </w:p>
        </w:tc>
        <w:tc>
          <w:tcPr>
            <w:tcW w:w="19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C</w:t>
            </w:r>
            <w:r w:rsidRPr="00B272D3">
              <w:rPr>
                <w:vertAlign w:val="subscript"/>
                <w:lang w:eastAsia="de-DE"/>
              </w:rPr>
              <w:t>ave (0-24)</w:t>
            </w:r>
          </w:p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pg/m</w:t>
            </w:r>
            <w:r w:rsidR="004150F4">
              <w:rPr>
                <w:lang w:eastAsia="de-DE"/>
              </w:rPr>
              <w:t>l</w:t>
            </w:r>
          </w:p>
          <w:p w:rsidR="00354AD5" w:rsidRPr="00B272D3" w:rsidRDefault="00354AD5" w:rsidP="004150F4">
            <w:pPr>
              <w:widowControl w:val="0"/>
              <w:spacing w:line="240" w:lineRule="auto"/>
              <w:rPr>
                <w:lang w:eastAsia="de-DE"/>
              </w:rPr>
            </w:pPr>
            <w:r w:rsidRPr="00B272D3">
              <w:rPr>
                <w:lang w:eastAsia="de-DE"/>
              </w:rPr>
              <w:t>(geom</w:t>
            </w:r>
            <w:r w:rsidR="004150F4">
              <w:rPr>
                <w:lang w:eastAsia="de-DE"/>
              </w:rPr>
              <w:t>etrický priemer</w:t>
            </w:r>
            <w:r w:rsidRPr="00B272D3">
              <w:rPr>
                <w:lang w:eastAsia="de-DE"/>
              </w:rPr>
              <w:t>)</w:t>
            </w:r>
          </w:p>
        </w:tc>
        <w:tc>
          <w:tcPr>
            <w:tcW w:w="37" w:type="pct"/>
            <w:shd w:val="clear" w:color="auto" w:fill="auto"/>
            <w:vAlign w:val="center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  <w:tr w:rsidR="00354AD5" w:rsidRPr="00B272D3" w:rsidTr="00FE139D">
        <w:tc>
          <w:tcPr>
            <w:tcW w:w="7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Deň</w:t>
            </w:r>
            <w:r w:rsidR="00354AD5" w:rsidRPr="00B272D3">
              <w:rPr>
                <w:lang w:eastAsia="de-DE"/>
              </w:rPr>
              <w:t xml:space="preserve"> -1</w:t>
            </w:r>
          </w:p>
        </w:tc>
        <w:tc>
          <w:tcPr>
            <w:tcW w:w="21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75,</w:t>
            </w:r>
            <w:r w:rsidR="00354AD5" w:rsidRPr="00B272D3">
              <w:rPr>
                <w:lang w:eastAsia="de-DE"/>
              </w:rPr>
              <w:t>65</w:t>
            </w:r>
          </w:p>
        </w:tc>
        <w:tc>
          <w:tcPr>
            <w:tcW w:w="19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3,</w:t>
            </w:r>
            <w:r w:rsidR="00354AD5" w:rsidRPr="00B272D3">
              <w:rPr>
                <w:lang w:eastAsia="de-DE"/>
              </w:rPr>
              <w:t>15</w:t>
            </w:r>
          </w:p>
        </w:tc>
        <w:tc>
          <w:tcPr>
            <w:tcW w:w="37" w:type="pct"/>
            <w:shd w:val="clear" w:color="auto" w:fill="auto"/>
            <w:vAlign w:val="center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  <w:tr w:rsidR="00354AD5" w:rsidRPr="00B272D3" w:rsidTr="00FE139D">
        <w:tc>
          <w:tcPr>
            <w:tcW w:w="7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Deň</w:t>
            </w:r>
            <w:r w:rsidR="00354AD5" w:rsidRPr="00B272D3">
              <w:rPr>
                <w:lang w:eastAsia="de-DE"/>
              </w:rPr>
              <w:t xml:space="preserve"> 1</w:t>
            </w:r>
          </w:p>
        </w:tc>
        <w:tc>
          <w:tcPr>
            <w:tcW w:w="21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225,</w:t>
            </w:r>
            <w:r w:rsidR="00354AD5" w:rsidRPr="00B272D3">
              <w:rPr>
                <w:lang w:eastAsia="de-DE"/>
              </w:rPr>
              <w:t>35</w:t>
            </w:r>
          </w:p>
        </w:tc>
        <w:tc>
          <w:tcPr>
            <w:tcW w:w="19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9,</w:t>
            </w:r>
            <w:r w:rsidR="00354AD5" w:rsidRPr="00B272D3">
              <w:rPr>
                <w:lang w:eastAsia="de-DE"/>
              </w:rPr>
              <w:t>39</w:t>
            </w:r>
          </w:p>
        </w:tc>
        <w:tc>
          <w:tcPr>
            <w:tcW w:w="37" w:type="pct"/>
            <w:shd w:val="clear" w:color="auto" w:fill="auto"/>
            <w:vAlign w:val="center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  <w:tr w:rsidR="00354AD5" w:rsidRPr="00B272D3" w:rsidTr="00FE139D">
        <w:tc>
          <w:tcPr>
            <w:tcW w:w="7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Deň</w:t>
            </w:r>
            <w:r w:rsidR="00354AD5" w:rsidRPr="00B272D3">
              <w:rPr>
                <w:lang w:eastAsia="de-DE"/>
              </w:rPr>
              <w:t xml:space="preserve"> 14</w:t>
            </w:r>
          </w:p>
        </w:tc>
        <w:tc>
          <w:tcPr>
            <w:tcW w:w="21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157,</w:t>
            </w:r>
            <w:r w:rsidR="00354AD5" w:rsidRPr="00B272D3">
              <w:rPr>
                <w:lang w:eastAsia="de-DE"/>
              </w:rPr>
              <w:t>47</w:t>
            </w:r>
          </w:p>
        </w:tc>
        <w:tc>
          <w:tcPr>
            <w:tcW w:w="19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6,</w:t>
            </w:r>
            <w:r w:rsidR="00354AD5" w:rsidRPr="00B272D3">
              <w:rPr>
                <w:lang w:eastAsia="de-DE"/>
              </w:rPr>
              <w:t>56</w:t>
            </w:r>
          </w:p>
        </w:tc>
        <w:tc>
          <w:tcPr>
            <w:tcW w:w="37" w:type="pct"/>
            <w:shd w:val="clear" w:color="auto" w:fill="auto"/>
            <w:vAlign w:val="center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  <w:tr w:rsidR="00354AD5" w:rsidRPr="00B272D3" w:rsidTr="00FE139D">
        <w:tc>
          <w:tcPr>
            <w:tcW w:w="7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Deň</w:t>
            </w:r>
            <w:r w:rsidR="00354AD5" w:rsidRPr="00B272D3">
              <w:rPr>
                <w:lang w:eastAsia="de-DE"/>
              </w:rPr>
              <w:t xml:space="preserve"> 82</w:t>
            </w:r>
          </w:p>
        </w:tc>
        <w:tc>
          <w:tcPr>
            <w:tcW w:w="21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44,</w:t>
            </w:r>
            <w:r w:rsidR="00354AD5" w:rsidRPr="00B272D3">
              <w:rPr>
                <w:lang w:eastAsia="de-DE"/>
              </w:rPr>
              <w:t>95</w:t>
            </w:r>
          </w:p>
        </w:tc>
        <w:tc>
          <w:tcPr>
            <w:tcW w:w="19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1,</w:t>
            </w:r>
            <w:r w:rsidR="00354AD5" w:rsidRPr="00B272D3">
              <w:rPr>
                <w:lang w:eastAsia="de-DE"/>
              </w:rPr>
              <w:t>87</w:t>
            </w:r>
          </w:p>
        </w:tc>
        <w:tc>
          <w:tcPr>
            <w:tcW w:w="37" w:type="pct"/>
            <w:shd w:val="clear" w:color="auto" w:fill="auto"/>
            <w:vAlign w:val="center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  <w:tr w:rsidR="00354AD5" w:rsidRPr="00B272D3" w:rsidTr="00FE139D">
        <w:tc>
          <w:tcPr>
            <w:tcW w:w="787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Deň</w:t>
            </w:r>
            <w:r w:rsidR="00354AD5" w:rsidRPr="00B272D3">
              <w:rPr>
                <w:lang w:eastAsia="de-DE"/>
              </w:rPr>
              <w:t xml:space="preserve"> 83</w:t>
            </w:r>
          </w:p>
        </w:tc>
        <w:tc>
          <w:tcPr>
            <w:tcW w:w="21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111,</w:t>
            </w:r>
            <w:r w:rsidR="00354AD5" w:rsidRPr="00B272D3">
              <w:rPr>
                <w:lang w:eastAsia="de-DE"/>
              </w:rPr>
              <w:t>41</w:t>
            </w:r>
          </w:p>
        </w:tc>
        <w:tc>
          <w:tcPr>
            <w:tcW w:w="1988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auto"/>
            <w:hideMark/>
          </w:tcPr>
          <w:p w:rsidR="00354AD5" w:rsidRPr="00B272D3" w:rsidRDefault="00B4134A" w:rsidP="00FE139D">
            <w:pPr>
              <w:widowControl w:val="0"/>
              <w:spacing w:line="240" w:lineRule="auto"/>
              <w:rPr>
                <w:lang w:eastAsia="de-DE"/>
              </w:rPr>
            </w:pPr>
            <w:r>
              <w:rPr>
                <w:lang w:eastAsia="de-DE"/>
              </w:rPr>
              <w:t>4,</w:t>
            </w:r>
            <w:r w:rsidR="00354AD5" w:rsidRPr="00B272D3">
              <w:rPr>
                <w:lang w:eastAsia="de-DE"/>
              </w:rPr>
              <w:t>64</w:t>
            </w:r>
          </w:p>
        </w:tc>
        <w:tc>
          <w:tcPr>
            <w:tcW w:w="37" w:type="pct"/>
            <w:shd w:val="clear" w:color="auto" w:fill="auto"/>
            <w:vAlign w:val="center"/>
            <w:hideMark/>
          </w:tcPr>
          <w:p w:rsidR="00354AD5" w:rsidRPr="00B272D3" w:rsidRDefault="00354AD5" w:rsidP="00FE139D">
            <w:pPr>
              <w:widowControl w:val="0"/>
              <w:spacing w:line="240" w:lineRule="auto"/>
              <w:rPr>
                <w:lang w:eastAsia="de-DE"/>
              </w:rPr>
            </w:pPr>
          </w:p>
        </w:tc>
      </w:tr>
    </w:tbl>
    <w:p w:rsidR="00B4134A" w:rsidRDefault="00B4134A" w:rsidP="00204AAB">
      <w:pPr>
        <w:numPr>
          <w:ilvl w:val="12"/>
          <w:numId w:val="0"/>
        </w:numPr>
        <w:spacing w:line="240" w:lineRule="auto"/>
        <w:ind w:right="-2"/>
        <w:rPr>
          <w:lang w:eastAsia="de-DE"/>
        </w:rPr>
      </w:pPr>
    </w:p>
    <w:p w:rsidR="00354AD5" w:rsidRPr="00B272D3" w:rsidRDefault="00B4134A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>
        <w:rPr>
          <w:lang w:eastAsia="de-DE"/>
        </w:rPr>
        <w:t>Hladiny estrónu a estrón-</w:t>
      </w:r>
      <w:r w:rsidR="00354AD5" w:rsidRPr="00B272D3">
        <w:rPr>
          <w:lang w:eastAsia="de-DE"/>
        </w:rPr>
        <w:t xml:space="preserve">sulfátu pozorované po 12 týždňoch podávania </w:t>
      </w:r>
      <w:r w:rsidRPr="00B272D3">
        <w:rPr>
          <w:lang w:eastAsia="de-DE"/>
        </w:rPr>
        <w:t xml:space="preserve">vaginálnej tablety </w:t>
      </w:r>
      <w:r>
        <w:rPr>
          <w:lang w:eastAsia="de-DE"/>
        </w:rPr>
        <w:t xml:space="preserve">s obsahom </w:t>
      </w:r>
      <w:r w:rsidR="00354AD5" w:rsidRPr="00B272D3">
        <w:rPr>
          <w:lang w:eastAsia="de-DE"/>
        </w:rPr>
        <w:t>10 mikrogramo</w:t>
      </w:r>
      <w:r>
        <w:rPr>
          <w:lang w:eastAsia="de-DE"/>
        </w:rPr>
        <w:t xml:space="preserve">v </w:t>
      </w:r>
      <w:r w:rsidRPr="00B272D3">
        <w:rPr>
          <w:lang w:eastAsia="de-DE"/>
        </w:rPr>
        <w:t>estradiolu</w:t>
      </w:r>
      <w:r w:rsidR="00354AD5" w:rsidRPr="00B272D3">
        <w:rPr>
          <w:lang w:eastAsia="de-DE"/>
        </w:rPr>
        <w:t xml:space="preserve"> nepre</w:t>
      </w:r>
      <w:r>
        <w:rPr>
          <w:lang w:eastAsia="de-DE"/>
        </w:rPr>
        <w:t>kročili</w:t>
      </w:r>
      <w:r w:rsidR="00354AD5" w:rsidRPr="00B272D3">
        <w:rPr>
          <w:lang w:eastAsia="de-DE"/>
        </w:rPr>
        <w:t xml:space="preserve"> </w:t>
      </w:r>
      <w:r>
        <w:rPr>
          <w:lang w:eastAsia="de-DE"/>
        </w:rPr>
        <w:t>východiskové</w:t>
      </w:r>
      <w:r w:rsidR="00354AD5" w:rsidRPr="00B272D3">
        <w:rPr>
          <w:lang w:eastAsia="de-DE"/>
        </w:rPr>
        <w:t xml:space="preserve"> hladin</w:t>
      </w:r>
      <w:r>
        <w:rPr>
          <w:lang w:eastAsia="de-DE"/>
        </w:rPr>
        <w:t xml:space="preserve">y, t.j. nepozorovala sa žiadna </w:t>
      </w:r>
      <w:r w:rsidR="00354AD5" w:rsidRPr="00B272D3">
        <w:rPr>
          <w:lang w:eastAsia="de-DE"/>
        </w:rPr>
        <w:t xml:space="preserve">kumulácia estrónu alebo </w:t>
      </w:r>
      <w:r>
        <w:rPr>
          <w:lang w:eastAsia="de-DE"/>
        </w:rPr>
        <w:t>estrón-</w:t>
      </w:r>
      <w:r w:rsidR="00354AD5" w:rsidRPr="00B272D3">
        <w:rPr>
          <w:lang w:eastAsia="de-DE"/>
        </w:rPr>
        <w:t>sulfátu.</w:t>
      </w:r>
      <w:r w:rsidR="00354AD5" w:rsidRPr="00B272D3">
        <w:rPr>
          <w:lang w:eastAsia="de-DE"/>
        </w:rPr>
        <w:br/>
      </w:r>
      <w:r w:rsidR="00354AD5" w:rsidRPr="00B272D3">
        <w:rPr>
          <w:lang w:eastAsia="de-DE"/>
        </w:rPr>
        <w:br/>
        <w:t xml:space="preserve">Tieto výsledky potvrdila ďalšia 14-dňová farmakokinetická štúdia s </w:t>
      </w:r>
      <w:r w:rsidRPr="00B272D3">
        <w:t>V</w:t>
      </w:r>
      <w:r w:rsidR="00FA0B83">
        <w:t>agiruxom</w:t>
      </w:r>
      <w:r w:rsidR="00354AD5" w:rsidRPr="00B272D3">
        <w:rPr>
          <w:lang w:eastAsia="de-DE"/>
        </w:rPr>
        <w:t>.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:rsidR="00812D16" w:rsidRPr="00B272D3" w:rsidRDefault="00354AD5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272D3">
        <w:rPr>
          <w:u w:val="single"/>
        </w:rPr>
        <w:t>Distribúcia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  <w:r w:rsidRPr="00B272D3">
        <w:t xml:space="preserve">Distribúcia exogénnych estrogénov je podobná distribúcii endogénnych estrogénov. Estrogény sú </w:t>
      </w:r>
      <w:r w:rsidR="00FE139D">
        <w:t>z veľkej väčšiny</w:t>
      </w:r>
      <w:r w:rsidRPr="00B272D3">
        <w:t xml:space="preserve"> distribuované v tele a zvyčajne sa nachádzajú vo vyšších koncentráciách v cieľových </w:t>
      </w:r>
      <w:r w:rsidR="00FE139D" w:rsidRPr="00B272D3">
        <w:t xml:space="preserve">pohlavných </w:t>
      </w:r>
      <w:r w:rsidRPr="00B272D3">
        <w:t xml:space="preserve">orgánoch. Estrogény </w:t>
      </w:r>
      <w:r w:rsidR="00FE139D">
        <w:t>sú</w:t>
      </w:r>
      <w:r w:rsidRPr="00B272D3">
        <w:t xml:space="preserve"> v krv</w:t>
      </w:r>
      <w:r w:rsidR="00FE139D">
        <w:t>nom obehu</w:t>
      </w:r>
      <w:r w:rsidRPr="00B272D3">
        <w:t xml:space="preserve"> prevažne viazané na globulín viažuci pohlavné hormóny (SHBG</w:t>
      </w:r>
      <w:r w:rsidR="00D767CE">
        <w:t>, sex hormon binding globulin</w:t>
      </w:r>
      <w:r w:rsidRPr="00B272D3">
        <w:t>) a albumín.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</w:p>
    <w:p w:rsidR="00812D16" w:rsidRPr="00B272D3" w:rsidRDefault="00354AD5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272D3">
        <w:rPr>
          <w:u w:val="single"/>
        </w:rPr>
        <w:t>Biotransformácia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  <w:r w:rsidRPr="00B272D3">
        <w:t>Exogénne estrogény sa metabolizujú rovnakým spôsobom ako endogénne estrogény. Metabolick</w:t>
      </w:r>
      <w:r w:rsidR="00FE139D">
        <w:t>á transformácia prebieha</w:t>
      </w:r>
      <w:r w:rsidRPr="00B272D3">
        <w:t xml:space="preserve"> </w:t>
      </w:r>
      <w:r w:rsidR="00FE139D">
        <w:t>najmä</w:t>
      </w:r>
      <w:r w:rsidRPr="00B272D3">
        <w:t xml:space="preserve"> v pečeni. Estradiol sa reverzibilne premieňa na estrón a oba sa môžu </w:t>
      </w:r>
      <w:r w:rsidR="00FE139D">
        <w:t>premieňať</w:t>
      </w:r>
      <w:r w:rsidRPr="00B272D3">
        <w:t xml:space="preserve"> na estriol, ktorý je hlavným </w:t>
      </w:r>
      <w:r w:rsidR="005C75A2">
        <w:t xml:space="preserve">močovým </w:t>
      </w:r>
      <w:r w:rsidRPr="00B272D3">
        <w:t xml:space="preserve">metabolitom. U </w:t>
      </w:r>
      <w:r w:rsidR="005C75A2">
        <w:t xml:space="preserve">postmenopauzálnych </w:t>
      </w:r>
      <w:r w:rsidRPr="00B272D3">
        <w:t xml:space="preserve">žien existuje významná časť cirkulujúcich estrogénov </w:t>
      </w:r>
      <w:r w:rsidR="005C75A2">
        <w:t>vo forme</w:t>
      </w:r>
      <w:r w:rsidR="002B2C20">
        <w:t xml:space="preserve"> </w:t>
      </w:r>
      <w:r w:rsidR="005C75A2">
        <w:t>sulfátových konjugátov</w:t>
      </w:r>
      <w:r w:rsidRPr="00B272D3">
        <w:t xml:space="preserve">, najmä </w:t>
      </w:r>
      <w:r w:rsidR="005C75A2">
        <w:t>estrón-</w:t>
      </w:r>
      <w:r w:rsidRPr="00B272D3">
        <w:t xml:space="preserve">sulfát, ktorý slúži </w:t>
      </w:r>
      <w:r w:rsidR="005C75A2">
        <w:t xml:space="preserve">v krvnom obehu </w:t>
      </w:r>
      <w:r w:rsidRPr="00B272D3">
        <w:t>ako rezervoár na tvorbu aktívnejších estrogénov.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</w:p>
    <w:p w:rsidR="00812D16" w:rsidRPr="00B272D3" w:rsidRDefault="00354AD5" w:rsidP="00204AAB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B272D3">
        <w:rPr>
          <w:u w:val="single"/>
        </w:rPr>
        <w:t>Eliminácia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  <w:r w:rsidRPr="00B272D3">
        <w:t xml:space="preserve">Estradiol, estrón a estriol sa vylučujú močom spolu s </w:t>
      </w:r>
      <w:r w:rsidR="005C75A2" w:rsidRPr="00B272D3">
        <w:t>glukuronid</w:t>
      </w:r>
      <w:r w:rsidR="005C75A2">
        <w:t>mi</w:t>
      </w:r>
      <w:r w:rsidR="005C75A2" w:rsidRPr="00B272D3">
        <w:t xml:space="preserve"> a sulfát</w:t>
      </w:r>
      <w:r w:rsidR="005C75A2">
        <w:t>ovými</w:t>
      </w:r>
      <w:r w:rsidR="005C75A2" w:rsidRPr="00B272D3">
        <w:t xml:space="preserve"> </w:t>
      </w:r>
      <w:r w:rsidRPr="00B272D3">
        <w:t>konjugátmi.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</w:p>
    <w:p w:rsidR="00812D16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  <w:r w:rsidRPr="00B272D3">
        <w:rPr>
          <w:u w:val="single"/>
        </w:rPr>
        <w:t>Špeciálne skupiny pacientov</w:t>
      </w:r>
      <w:r w:rsidRPr="00B272D3">
        <w:rPr>
          <w:u w:val="single"/>
        </w:rPr>
        <w:br/>
      </w:r>
      <w:r w:rsidRPr="00B272D3">
        <w:t xml:space="preserve">Rozsah systémovej absorpcie estradiolu počas liečby </w:t>
      </w:r>
      <w:r w:rsidR="005C75A2" w:rsidRPr="00B272D3">
        <w:t>vaginálny</w:t>
      </w:r>
      <w:r w:rsidR="005C75A2">
        <w:t>mi tabl</w:t>
      </w:r>
      <w:r w:rsidR="005C75A2" w:rsidRPr="00B272D3">
        <w:t>et</w:t>
      </w:r>
      <w:r w:rsidR="005C75A2">
        <w:t>ami</w:t>
      </w:r>
      <w:r w:rsidR="005C75A2" w:rsidRPr="00B272D3">
        <w:t xml:space="preserve"> </w:t>
      </w:r>
      <w:r w:rsidR="005C75A2">
        <w:t>s obsahom 10 </w:t>
      </w:r>
      <w:r w:rsidRPr="00B272D3">
        <w:t xml:space="preserve">mikrogramov </w:t>
      </w:r>
      <w:r w:rsidR="005C75A2">
        <w:t xml:space="preserve">estradiolu </w:t>
      </w:r>
      <w:r w:rsidRPr="00B272D3">
        <w:t>sa hodnotil iba u post</w:t>
      </w:r>
      <w:r w:rsidR="005C75A2">
        <w:t>menopauzálnych žien vo veku 60 až</w:t>
      </w:r>
      <w:r w:rsidRPr="00B272D3">
        <w:t xml:space="preserve"> 70 rokov (priemerný vek 65,4</w:t>
      </w:r>
      <w:r w:rsidR="005C75A2">
        <w:t xml:space="preserve"> rokov</w:t>
      </w:r>
      <w:r w:rsidRPr="00B272D3">
        <w:t>).</w:t>
      </w:r>
    </w:p>
    <w:p w:rsidR="00354AD5" w:rsidRPr="00B272D3" w:rsidRDefault="00354AD5" w:rsidP="00204AAB">
      <w:pPr>
        <w:numPr>
          <w:ilvl w:val="12"/>
          <w:numId w:val="0"/>
        </w:numPr>
        <w:spacing w:line="240" w:lineRule="auto"/>
        <w:ind w:right="-2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Predklinické údaje o bezpečnosti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354AD5" w:rsidP="00204AAB">
      <w:pPr>
        <w:spacing w:line="240" w:lineRule="auto"/>
      </w:pPr>
      <w:r w:rsidRPr="00B272D3">
        <w:t xml:space="preserve">17ß-estradiol je dobre známa látka. Predklinické štúdie neposkytli žiadne </w:t>
      </w:r>
      <w:r w:rsidR="005C75A2">
        <w:t>dodatočné</w:t>
      </w:r>
      <w:r w:rsidRPr="00B272D3">
        <w:t xml:space="preserve"> relevantné údaje pre klinickú bezpečnosť nad rámec tých, ktoré sú už zahrnuté v iných častiach súhrnu charakteristických vlastností lieku.</w:t>
      </w:r>
    </w:p>
    <w:p w:rsidR="00812D16" w:rsidRDefault="00812D16" w:rsidP="00204AAB">
      <w:pPr>
        <w:spacing w:line="240" w:lineRule="auto"/>
      </w:pPr>
    </w:p>
    <w:p w:rsidR="008F7267" w:rsidRPr="00B272D3" w:rsidRDefault="008F7267" w:rsidP="00204AAB">
      <w:pPr>
        <w:spacing w:line="240" w:lineRule="auto"/>
      </w:pPr>
    </w:p>
    <w:p w:rsidR="00812D16" w:rsidRPr="005C75A2" w:rsidRDefault="00FE605C" w:rsidP="00572506">
      <w:pPr>
        <w:keepNext/>
        <w:numPr>
          <w:ilvl w:val="0"/>
          <w:numId w:val="6"/>
        </w:numPr>
        <w:suppressAutoHyphens/>
        <w:spacing w:line="240" w:lineRule="auto"/>
        <w:rPr>
          <w:b/>
        </w:rPr>
      </w:pPr>
      <w:r w:rsidRPr="005C75A2">
        <w:rPr>
          <w:b/>
        </w:rPr>
        <w:t>FARMACEUTICKÉ INFORMÁCIE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Zoznam pomocných látok</w:t>
      </w:r>
    </w:p>
    <w:p w:rsidR="00812D16" w:rsidRPr="00B272D3" w:rsidRDefault="00812D16" w:rsidP="00085939">
      <w:pPr>
        <w:keepNext/>
        <w:spacing w:line="240" w:lineRule="auto"/>
        <w:rPr>
          <w:i/>
        </w:rPr>
      </w:pPr>
    </w:p>
    <w:p w:rsidR="00812D16" w:rsidRDefault="005C75A2" w:rsidP="005C75A2">
      <w:r>
        <w:rPr>
          <w:i/>
        </w:rPr>
        <w:t>Jadro tablety</w:t>
      </w:r>
      <w:r w:rsidRPr="005C75A2">
        <w:rPr>
          <w:i/>
        </w:rPr>
        <w:t>:</w:t>
      </w:r>
      <w:r w:rsidRPr="005C75A2">
        <w:rPr>
          <w:i/>
        </w:rPr>
        <w:br/>
      </w:r>
      <w:r>
        <w:t>H</w:t>
      </w:r>
      <w:r w:rsidRPr="005C75A2">
        <w:t>ypromelóza</w:t>
      </w:r>
      <w:r w:rsidRPr="005C75A2">
        <w:br/>
      </w:r>
      <w:r w:rsidR="00D767CE">
        <w:t>L</w:t>
      </w:r>
      <w:r w:rsidRPr="005C75A2">
        <w:t>aktóz</w:t>
      </w:r>
      <w:r w:rsidR="00D767CE">
        <w:t>a,</w:t>
      </w:r>
      <w:r w:rsidR="00D767CE" w:rsidRPr="00D767CE">
        <w:t xml:space="preserve"> </w:t>
      </w:r>
      <w:r w:rsidR="00D767CE">
        <w:t>m</w:t>
      </w:r>
      <w:r w:rsidR="00D767CE" w:rsidRPr="005C75A2">
        <w:t>onohydrát</w:t>
      </w:r>
      <w:r w:rsidRPr="005C75A2">
        <w:br/>
        <w:t>Kukuričný škrob</w:t>
      </w:r>
      <w:r w:rsidRPr="005C75A2">
        <w:br/>
      </w:r>
      <w:r>
        <w:t>Stearát</w:t>
      </w:r>
      <w:r w:rsidRPr="005C75A2">
        <w:t xml:space="preserve"> horečnatý</w:t>
      </w:r>
      <w:r w:rsidRPr="005C75A2">
        <w:br/>
      </w:r>
      <w:r w:rsidRPr="005C75A2">
        <w:br/>
      </w:r>
      <w:r w:rsidRPr="005C75A2">
        <w:rPr>
          <w:i/>
        </w:rPr>
        <w:t>Filmov</w:t>
      </w:r>
      <w:r>
        <w:rPr>
          <w:i/>
        </w:rPr>
        <w:t>ý</w:t>
      </w:r>
      <w:r w:rsidRPr="005C75A2">
        <w:rPr>
          <w:i/>
        </w:rPr>
        <w:t xml:space="preserve"> </w:t>
      </w:r>
      <w:r>
        <w:rPr>
          <w:i/>
        </w:rPr>
        <w:t>obal</w:t>
      </w:r>
      <w:r w:rsidRPr="005C75A2">
        <w:rPr>
          <w:i/>
        </w:rPr>
        <w:t>:</w:t>
      </w:r>
      <w:r w:rsidRPr="005C75A2">
        <w:rPr>
          <w:i/>
        </w:rPr>
        <w:br/>
      </w:r>
      <w:r w:rsidRPr="005C75A2">
        <w:t>hypromelóza</w:t>
      </w:r>
      <w:r w:rsidRPr="005C75A2">
        <w:br/>
        <w:t>makrogol</w:t>
      </w:r>
      <w:r>
        <w:t xml:space="preserve"> </w:t>
      </w:r>
    </w:p>
    <w:p w:rsidR="005C75A2" w:rsidRPr="00B272D3" w:rsidRDefault="005C75A2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Inkompatibility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5C75A2" w:rsidP="00204AAB">
      <w:pPr>
        <w:spacing w:line="240" w:lineRule="auto"/>
      </w:pPr>
      <w:r>
        <w:t>Neaplikovateľné.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r w:rsidRPr="00B272D3">
        <w:rPr>
          <w:b/>
        </w:rPr>
        <w:t>Čas použiteľnosti</w:t>
      </w:r>
    </w:p>
    <w:p w:rsidR="00812D16" w:rsidRPr="00B272D3" w:rsidRDefault="00812D16" w:rsidP="00085939">
      <w:pPr>
        <w:keepNext/>
        <w:spacing w:line="240" w:lineRule="auto"/>
      </w:pPr>
    </w:p>
    <w:p w:rsidR="00812D16" w:rsidRPr="00B272D3" w:rsidRDefault="00FE605C" w:rsidP="00204AAB">
      <w:pPr>
        <w:spacing w:line="240" w:lineRule="auto"/>
      </w:pPr>
      <w:r w:rsidRPr="00B272D3">
        <w:t>2 roky</w:t>
      </w:r>
      <w:r w:rsidR="005C75A2">
        <w:t>.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B272D3">
        <w:rPr>
          <w:b/>
        </w:rPr>
        <w:t>Špeciálne upozornenia na uchovávanie</w:t>
      </w:r>
    </w:p>
    <w:p w:rsidR="005108A3" w:rsidRPr="00B272D3" w:rsidRDefault="005108A3" w:rsidP="00085939">
      <w:pPr>
        <w:keepNext/>
        <w:spacing w:line="240" w:lineRule="auto"/>
        <w:ind w:left="567" w:hanging="567"/>
        <w:outlineLvl w:val="0"/>
      </w:pPr>
    </w:p>
    <w:p w:rsidR="00812D16" w:rsidRPr="00B272D3" w:rsidRDefault="009749A1" w:rsidP="00204AAB">
      <w:pPr>
        <w:spacing w:line="240" w:lineRule="auto"/>
        <w:rPr>
          <w:i/>
        </w:rPr>
      </w:pPr>
      <w:r w:rsidRPr="009749A1">
        <w:t>Blistre uchovávajte vo vonakjšom obale na ochranu pred svetlom.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B272D3">
        <w:rPr>
          <w:b/>
        </w:rPr>
        <w:t>Druh obalu a</w:t>
      </w:r>
      <w:r w:rsidR="00851AE0" w:rsidRPr="00B272D3">
        <w:rPr>
          <w:b/>
        </w:rPr>
        <w:t> </w:t>
      </w:r>
      <w:r w:rsidR="00534235">
        <w:rPr>
          <w:b/>
        </w:rPr>
        <w:t>obsah balenia</w:t>
      </w:r>
    </w:p>
    <w:p w:rsidR="00812D16" w:rsidRPr="00B272D3" w:rsidRDefault="00812D16" w:rsidP="00085939">
      <w:pPr>
        <w:keepNext/>
        <w:spacing w:line="240" w:lineRule="auto"/>
        <w:outlineLvl w:val="0"/>
      </w:pPr>
    </w:p>
    <w:p w:rsidR="00812D16" w:rsidRPr="00B272D3" w:rsidRDefault="00EA32E8" w:rsidP="00204AAB">
      <w:pPr>
        <w:spacing w:line="240" w:lineRule="auto"/>
      </w:pPr>
      <w:r w:rsidRPr="00B272D3">
        <w:t>V</w:t>
      </w:r>
      <w:r w:rsidR="00FA0B83">
        <w:t>agirux</w:t>
      </w:r>
      <w:r w:rsidRPr="00B272D3">
        <w:t xml:space="preserve"> </w:t>
      </w:r>
      <w:r>
        <w:t>10 mikrogramov vaginálne tabl</w:t>
      </w:r>
      <w:r w:rsidRPr="00EA32E8">
        <w:t>et</w:t>
      </w:r>
      <w:r>
        <w:t>y sú</w:t>
      </w:r>
      <w:r w:rsidRPr="00EA32E8">
        <w:t xml:space="preserve"> balen</w:t>
      </w:r>
      <w:r>
        <w:t>é v PVC/PVDC/</w:t>
      </w:r>
      <w:r w:rsidRPr="00EA32E8">
        <w:t>hliníkových blistro</w:t>
      </w:r>
      <w:r>
        <w:t>vých obalo</w:t>
      </w:r>
      <w:r w:rsidRPr="00EA32E8">
        <w:t>ch.</w:t>
      </w:r>
      <w:r>
        <w:t xml:space="preserve"> </w:t>
      </w:r>
      <w:r w:rsidRPr="00EA32E8">
        <w:t>Blistr</w:t>
      </w:r>
      <w:r>
        <w:t>e sú balené do lepenkových škatuliek</w:t>
      </w:r>
      <w:r w:rsidRPr="00EA32E8">
        <w:t xml:space="preserve"> spolu s aplikátormi</w:t>
      </w:r>
      <w:r>
        <w:t>, ktoré</w:t>
      </w:r>
      <w:r w:rsidRPr="00EA32E8">
        <w:t xml:space="preserve"> </w:t>
      </w:r>
      <w:r>
        <w:t xml:space="preserve">sú </w:t>
      </w:r>
      <w:r w:rsidRPr="00EA32E8">
        <w:t>osobitne za</w:t>
      </w:r>
      <w:r>
        <w:t>tavené</w:t>
      </w:r>
      <w:r w:rsidRPr="00EA32E8">
        <w:t xml:space="preserve"> vo fólii.</w:t>
      </w:r>
      <w:r w:rsidRPr="00EA32E8">
        <w:br/>
      </w:r>
      <w:r w:rsidRPr="00EA32E8">
        <w:br/>
        <w:t>Veľkosti balenia:</w:t>
      </w:r>
      <w:r w:rsidRPr="00EA32E8">
        <w:br/>
        <w:t>18 alebo 24 vaginálnych tabliet s jed</w:t>
      </w:r>
      <w:r>
        <w:t>ným aplikátorom v každej škatuľke</w:t>
      </w:r>
      <w:r w:rsidRPr="00EA32E8">
        <w:t>.</w:t>
      </w:r>
      <w:r w:rsidRPr="00EA32E8">
        <w:br/>
      </w:r>
      <w:r w:rsidR="00FE605C" w:rsidRPr="00B272D3">
        <w:t>Na trh nemusia byť uvedené všetky veľkosti balen</w:t>
      </w:r>
      <w:r>
        <w:t>ia.</w:t>
      </w: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1"/>
          <w:numId w:val="6"/>
        </w:numPr>
        <w:spacing w:line="240" w:lineRule="auto"/>
        <w:outlineLvl w:val="0"/>
      </w:pPr>
      <w:bookmarkStart w:id="1" w:name="OLE_LINK1"/>
      <w:r w:rsidRPr="00B272D3">
        <w:rPr>
          <w:b/>
        </w:rPr>
        <w:t>Špe</w:t>
      </w:r>
      <w:r w:rsidR="008F7267">
        <w:rPr>
          <w:b/>
        </w:rPr>
        <w:t xml:space="preserve">ciálne opatrenia na likvidáciu </w:t>
      </w:r>
      <w:r w:rsidRPr="00B272D3">
        <w:rPr>
          <w:b/>
        </w:rPr>
        <w:t>a</w:t>
      </w:r>
      <w:r w:rsidR="00851AE0" w:rsidRPr="00B272D3">
        <w:rPr>
          <w:b/>
          <w:noProof/>
        </w:rPr>
        <w:t> </w:t>
      </w:r>
      <w:r w:rsidRPr="00B272D3">
        <w:rPr>
          <w:b/>
        </w:rPr>
        <w:t>iné zaobchádzanie s</w:t>
      </w:r>
      <w:r w:rsidR="00851AE0" w:rsidRPr="00B272D3">
        <w:rPr>
          <w:b/>
          <w:noProof/>
        </w:rPr>
        <w:t> </w:t>
      </w:r>
      <w:r w:rsidRPr="00B272D3">
        <w:rPr>
          <w:b/>
        </w:rPr>
        <w:t>liekom</w:t>
      </w:r>
    </w:p>
    <w:p w:rsidR="00812D16" w:rsidRPr="00B272D3" w:rsidRDefault="00812D16" w:rsidP="00085939">
      <w:pPr>
        <w:keepNext/>
        <w:spacing w:line="240" w:lineRule="auto"/>
      </w:pPr>
    </w:p>
    <w:p w:rsidR="00560EDA" w:rsidRDefault="008F7267" w:rsidP="00204AAB">
      <w:pPr>
        <w:spacing w:line="240" w:lineRule="auto"/>
      </w:pPr>
      <w:r>
        <w:t>Predpokladá</w:t>
      </w:r>
      <w:r w:rsidRPr="008F7267">
        <w:t xml:space="preserve"> sa, že 17ß-estradiol predstav</w:t>
      </w:r>
      <w:r>
        <w:t>uje</w:t>
      </w:r>
      <w:r w:rsidRPr="008F7267">
        <w:t xml:space="preserve"> riziko pre vodné prostredie, najmä pre populácie rýb.</w:t>
      </w:r>
      <w:r w:rsidRPr="008F7267">
        <w:br/>
        <w:t>Pokyny na čistenie a likvidáciu aplikátora nájdete v časti 4.2.</w:t>
      </w:r>
    </w:p>
    <w:p w:rsidR="008F7267" w:rsidRPr="00B272D3" w:rsidRDefault="008F7267" w:rsidP="00204AAB">
      <w:pPr>
        <w:spacing w:line="240" w:lineRule="auto"/>
      </w:pPr>
    </w:p>
    <w:p w:rsidR="00812D16" w:rsidRPr="00B272D3" w:rsidRDefault="00FE605C" w:rsidP="00204AAB">
      <w:pPr>
        <w:spacing w:line="240" w:lineRule="auto"/>
      </w:pPr>
      <w:r w:rsidRPr="00B272D3">
        <w:t>Všetok nepoužitý liek alebo odpad vzniknutý z</w:t>
      </w:r>
      <w:r w:rsidR="00851AE0" w:rsidRPr="00B272D3">
        <w:t> </w:t>
      </w:r>
      <w:r w:rsidRPr="00B272D3">
        <w:t>lieku sa má zlikvidovať v súlade s národnými požiadav</w:t>
      </w:r>
      <w:r w:rsidR="008F7267">
        <w:t>kami.</w:t>
      </w:r>
    </w:p>
    <w:bookmarkEnd w:id="1"/>
    <w:p w:rsidR="00812D16" w:rsidRPr="00B272D3" w:rsidRDefault="00812D16" w:rsidP="00204AAB">
      <w:pPr>
        <w:spacing w:line="240" w:lineRule="auto"/>
      </w:pP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0"/>
          <w:numId w:val="6"/>
        </w:numPr>
        <w:spacing w:line="240" w:lineRule="auto"/>
      </w:pPr>
      <w:r w:rsidRPr="00B272D3">
        <w:rPr>
          <w:b/>
        </w:rPr>
        <w:t>DRŽITEĽ ROZHODNUTIA O</w:t>
      </w:r>
      <w:r w:rsidRPr="00B272D3">
        <w:rPr>
          <w:b/>
          <w:noProof/>
        </w:rPr>
        <w:t> </w:t>
      </w:r>
      <w:r w:rsidRPr="00B272D3">
        <w:rPr>
          <w:b/>
        </w:rPr>
        <w:t>REGISTRÁCII</w:t>
      </w:r>
    </w:p>
    <w:p w:rsidR="00812D16" w:rsidRPr="00B272D3" w:rsidRDefault="00812D16" w:rsidP="00085939">
      <w:pPr>
        <w:keepNext/>
        <w:spacing w:line="240" w:lineRule="auto"/>
      </w:pPr>
    </w:p>
    <w:p w:rsidR="008F7267" w:rsidRPr="00127EA9" w:rsidRDefault="008F7267" w:rsidP="008F7267">
      <w:r w:rsidRPr="00127EA9">
        <w:t>Gedeon Richter Plc.</w:t>
      </w:r>
    </w:p>
    <w:p w:rsidR="008F7267" w:rsidRPr="00127EA9" w:rsidRDefault="008F7267" w:rsidP="008F7267">
      <w:r w:rsidRPr="00127EA9">
        <w:t>Gyömrői út 19-21.</w:t>
      </w:r>
    </w:p>
    <w:p w:rsidR="008F7267" w:rsidRDefault="008F7267" w:rsidP="008F7267">
      <w:r>
        <w:t>1103 Budapešť</w:t>
      </w:r>
    </w:p>
    <w:p w:rsidR="00812D16" w:rsidRPr="00B272D3" w:rsidRDefault="008F7267" w:rsidP="008F7267">
      <w:r>
        <w:t>Maďarsko</w:t>
      </w:r>
    </w:p>
    <w:p w:rsidR="00812D16" w:rsidRDefault="00812D16" w:rsidP="00204AAB">
      <w:pPr>
        <w:spacing w:line="240" w:lineRule="auto"/>
      </w:pPr>
    </w:p>
    <w:p w:rsidR="00D767CE" w:rsidRPr="00B272D3" w:rsidRDefault="00D767CE" w:rsidP="00204AAB">
      <w:pPr>
        <w:spacing w:line="240" w:lineRule="auto"/>
      </w:pPr>
    </w:p>
    <w:p w:rsidR="00812D16" w:rsidRPr="00B272D3" w:rsidRDefault="008F7267" w:rsidP="00572506">
      <w:pPr>
        <w:keepNext/>
        <w:numPr>
          <w:ilvl w:val="0"/>
          <w:numId w:val="6"/>
        </w:numPr>
        <w:spacing w:line="240" w:lineRule="auto"/>
        <w:rPr>
          <w:b/>
        </w:rPr>
      </w:pPr>
      <w:r>
        <w:rPr>
          <w:b/>
        </w:rPr>
        <w:t>REGISTRAČNÉ ČÍSLO/ČÍSLA</w:t>
      </w:r>
    </w:p>
    <w:p w:rsidR="00812D16" w:rsidRDefault="00812D16" w:rsidP="00085939">
      <w:pPr>
        <w:keepNext/>
        <w:spacing w:line="240" w:lineRule="auto"/>
      </w:pPr>
    </w:p>
    <w:p w:rsidR="00C357D2" w:rsidRDefault="00C357D2" w:rsidP="00085939">
      <w:pPr>
        <w:keepNext/>
        <w:spacing w:line="240" w:lineRule="auto"/>
      </w:pPr>
      <w:r w:rsidRPr="00C357D2">
        <w:t>56/0184/20-S</w:t>
      </w:r>
    </w:p>
    <w:p w:rsidR="00C357D2" w:rsidRPr="00B272D3" w:rsidRDefault="00C357D2" w:rsidP="00085939">
      <w:pPr>
        <w:keepNext/>
        <w:spacing w:line="240" w:lineRule="auto"/>
      </w:pP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0"/>
          <w:numId w:val="6"/>
        </w:numPr>
        <w:spacing w:line="240" w:lineRule="auto"/>
      </w:pPr>
      <w:r w:rsidRPr="00B272D3">
        <w:rPr>
          <w:b/>
        </w:rPr>
        <w:t>DÁTUM PRVEJ REGISTRÁCIE/PREDĹŽENIA REGISTRÁCIE</w:t>
      </w:r>
    </w:p>
    <w:p w:rsidR="00812D16" w:rsidRPr="00B272D3" w:rsidRDefault="00812D16" w:rsidP="00085939">
      <w:pPr>
        <w:keepNext/>
        <w:spacing w:line="240" w:lineRule="auto"/>
        <w:rPr>
          <w:i/>
        </w:rPr>
      </w:pPr>
    </w:p>
    <w:p w:rsidR="00812D16" w:rsidRPr="00B272D3" w:rsidRDefault="00812D16" w:rsidP="00204AAB">
      <w:pPr>
        <w:spacing w:line="240" w:lineRule="auto"/>
      </w:pPr>
    </w:p>
    <w:p w:rsidR="00812D16" w:rsidRPr="00B272D3" w:rsidRDefault="00812D16" w:rsidP="00204AAB">
      <w:pPr>
        <w:spacing w:line="240" w:lineRule="auto"/>
      </w:pPr>
    </w:p>
    <w:p w:rsidR="00812D16" w:rsidRPr="00B272D3" w:rsidRDefault="00FE605C" w:rsidP="00572506">
      <w:pPr>
        <w:keepNext/>
        <w:numPr>
          <w:ilvl w:val="0"/>
          <w:numId w:val="6"/>
        </w:numPr>
        <w:spacing w:line="240" w:lineRule="auto"/>
        <w:rPr>
          <w:b/>
        </w:rPr>
      </w:pPr>
      <w:r w:rsidRPr="00B272D3">
        <w:rPr>
          <w:b/>
        </w:rPr>
        <w:t>DÁTUM REVÍZIE TEXTU</w:t>
      </w:r>
    </w:p>
    <w:p w:rsidR="00812D16" w:rsidRPr="00B272D3" w:rsidRDefault="00812D16" w:rsidP="00085939">
      <w:pPr>
        <w:keepNext/>
        <w:spacing w:line="240" w:lineRule="auto"/>
      </w:pPr>
    </w:p>
    <w:p w:rsidR="00D75DF0" w:rsidRPr="008F7267" w:rsidRDefault="00EA72BD" w:rsidP="00204AAB">
      <w:pPr>
        <w:spacing w:line="240" w:lineRule="auto"/>
        <w:rPr>
          <w:i/>
        </w:rPr>
      </w:pPr>
      <w:r>
        <w:t>10/2020</w:t>
      </w:r>
    </w:p>
    <w:sectPr w:rsidR="00D75DF0" w:rsidRPr="008F7267" w:rsidSect="007677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418" w:right="1134" w:bottom="1418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6B" w:rsidRDefault="002E606B" w:rsidP="00B6346C">
      <w:pPr>
        <w:spacing w:line="240" w:lineRule="auto"/>
      </w:pPr>
      <w:r>
        <w:separator/>
      </w:r>
    </w:p>
  </w:endnote>
  <w:endnote w:type="continuationSeparator" w:id="0">
    <w:p w:rsidR="002E606B" w:rsidRDefault="002E606B" w:rsidP="00B63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83" w:rsidRDefault="0006038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9D" w:rsidRPr="00A72672" w:rsidRDefault="00FE139D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A72672">
      <w:rPr>
        <w:rStyle w:val="slostrany1"/>
      </w:rPr>
      <w:fldChar w:fldCharType="separate"/>
    </w:r>
    <w:r w:rsidR="0086290E">
      <w:rPr>
        <w:rStyle w:val="slostrany1"/>
      </w:rPr>
      <w:t>11</w:t>
    </w:r>
    <w:r w:rsidRPr="00A72672">
      <w:rPr>
        <w:rStyle w:val="slostrany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39D" w:rsidRDefault="00FE139D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06B" w:rsidRDefault="002E606B" w:rsidP="00B6346C">
      <w:pPr>
        <w:spacing w:line="240" w:lineRule="auto"/>
      </w:pPr>
      <w:r>
        <w:separator/>
      </w:r>
    </w:p>
  </w:footnote>
  <w:footnote w:type="continuationSeparator" w:id="0">
    <w:p w:rsidR="002E606B" w:rsidRDefault="002E606B" w:rsidP="00B63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83" w:rsidRDefault="0006038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FD6" w:rsidRPr="007677BC" w:rsidRDefault="00060383">
    <w:pPr>
      <w:pStyle w:val="Hlavika"/>
      <w:rPr>
        <w:sz w:val="18"/>
        <w:szCs w:val="18"/>
      </w:rPr>
    </w:pPr>
    <w:r>
      <w:rPr>
        <w:sz w:val="18"/>
        <w:szCs w:val="18"/>
      </w:rPr>
      <w:t> </w:t>
    </w:r>
    <w:r>
      <w:rPr>
        <w:sz w:val="18"/>
        <w:szCs w:val="18"/>
      </w:rPr>
      <w:t>Príloha č.1 k notifikácii o zmene</w:t>
    </w:r>
    <w:r w:rsidR="00BE5FD6" w:rsidRPr="007677BC">
      <w:rPr>
        <w:sz w:val="18"/>
        <w:szCs w:val="18"/>
      </w:rPr>
      <w:t xml:space="preserve">, </w:t>
    </w:r>
    <w:proofErr w:type="spellStart"/>
    <w:r w:rsidR="00BE5FD6" w:rsidRPr="007677BC">
      <w:rPr>
        <w:sz w:val="18"/>
        <w:szCs w:val="18"/>
      </w:rPr>
      <w:t>ev.č</w:t>
    </w:r>
    <w:proofErr w:type="spellEnd"/>
    <w:r w:rsidR="00BE5FD6" w:rsidRPr="007677BC">
      <w:rPr>
        <w:sz w:val="18"/>
        <w:szCs w:val="18"/>
      </w:rPr>
      <w:t>.: 20</w:t>
    </w:r>
    <w:r>
      <w:rPr>
        <w:sz w:val="18"/>
        <w:szCs w:val="18"/>
      </w:rPr>
      <w:t>20</w:t>
    </w:r>
    <w:r w:rsidR="00BE5FD6" w:rsidRPr="007677BC">
      <w:rPr>
        <w:sz w:val="18"/>
        <w:szCs w:val="18"/>
      </w:rPr>
      <w:t>/0</w:t>
    </w:r>
    <w:r>
      <w:rPr>
        <w:sz w:val="18"/>
        <w:szCs w:val="18"/>
      </w:rPr>
      <w:t>43</w:t>
    </w:r>
    <w:r w:rsidR="00BE5FD6" w:rsidRPr="007677BC">
      <w:rPr>
        <w:sz w:val="18"/>
        <w:szCs w:val="18"/>
      </w:rPr>
      <w:t>7</w:t>
    </w:r>
    <w:r>
      <w:rPr>
        <w:sz w:val="18"/>
        <w:szCs w:val="18"/>
      </w:rPr>
      <w:t>4</w:t>
    </w:r>
    <w:r w:rsidR="00530466">
      <w:rPr>
        <w:sz w:val="18"/>
        <w:szCs w:val="18"/>
      </w:rPr>
      <w:t>-</w:t>
    </w:r>
    <w:r>
      <w:rPr>
        <w:sz w:val="18"/>
        <w:szCs w:val="18"/>
      </w:rPr>
      <w:t>ZIA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383" w:rsidRDefault="0006038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C44CC1"/>
    <w:multiLevelType w:val="hybridMultilevel"/>
    <w:tmpl w:val="7FF2C56E"/>
    <w:lvl w:ilvl="0" w:tplc="0DD86D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61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C4A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45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EAD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1A18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4C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68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CE32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E7F96"/>
    <w:multiLevelType w:val="hybridMultilevel"/>
    <w:tmpl w:val="1806E65A"/>
    <w:lvl w:ilvl="0" w:tplc="012080E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B00C5FDC" w:tentative="1">
      <w:start w:val="1"/>
      <w:numFmt w:val="lowerLetter"/>
      <w:lvlText w:val="%2."/>
      <w:lvlJc w:val="left"/>
      <w:pPr>
        <w:ind w:left="1440" w:hanging="360"/>
      </w:pPr>
    </w:lvl>
    <w:lvl w:ilvl="2" w:tplc="0DD616E8" w:tentative="1">
      <w:start w:val="1"/>
      <w:numFmt w:val="lowerRoman"/>
      <w:lvlText w:val="%3."/>
      <w:lvlJc w:val="right"/>
      <w:pPr>
        <w:ind w:left="2160" w:hanging="180"/>
      </w:pPr>
    </w:lvl>
    <w:lvl w:ilvl="3" w:tplc="0ECC0652" w:tentative="1">
      <w:start w:val="1"/>
      <w:numFmt w:val="decimal"/>
      <w:lvlText w:val="%4."/>
      <w:lvlJc w:val="left"/>
      <w:pPr>
        <w:ind w:left="2880" w:hanging="360"/>
      </w:pPr>
    </w:lvl>
    <w:lvl w:ilvl="4" w:tplc="DA604F7A" w:tentative="1">
      <w:start w:val="1"/>
      <w:numFmt w:val="lowerLetter"/>
      <w:lvlText w:val="%5."/>
      <w:lvlJc w:val="left"/>
      <w:pPr>
        <w:ind w:left="3600" w:hanging="360"/>
      </w:pPr>
    </w:lvl>
    <w:lvl w:ilvl="5" w:tplc="499407DC" w:tentative="1">
      <w:start w:val="1"/>
      <w:numFmt w:val="lowerRoman"/>
      <w:lvlText w:val="%6."/>
      <w:lvlJc w:val="right"/>
      <w:pPr>
        <w:ind w:left="4320" w:hanging="180"/>
      </w:pPr>
    </w:lvl>
    <w:lvl w:ilvl="6" w:tplc="FD263EC0" w:tentative="1">
      <w:start w:val="1"/>
      <w:numFmt w:val="decimal"/>
      <w:lvlText w:val="%7."/>
      <w:lvlJc w:val="left"/>
      <w:pPr>
        <w:ind w:left="5040" w:hanging="360"/>
      </w:pPr>
    </w:lvl>
    <w:lvl w:ilvl="7" w:tplc="CBB21B36" w:tentative="1">
      <w:start w:val="1"/>
      <w:numFmt w:val="lowerLetter"/>
      <w:lvlText w:val="%8."/>
      <w:lvlJc w:val="left"/>
      <w:pPr>
        <w:ind w:left="5760" w:hanging="360"/>
      </w:pPr>
    </w:lvl>
    <w:lvl w:ilvl="8" w:tplc="5806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F14CF"/>
    <w:multiLevelType w:val="hybridMultilevel"/>
    <w:tmpl w:val="6FC0A652"/>
    <w:lvl w:ilvl="0" w:tplc="D96699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B02ADD4" w:tentative="1">
      <w:start w:val="1"/>
      <w:numFmt w:val="lowerLetter"/>
      <w:lvlText w:val="%2."/>
      <w:lvlJc w:val="left"/>
      <w:pPr>
        <w:ind w:left="1440" w:hanging="360"/>
      </w:pPr>
    </w:lvl>
    <w:lvl w:ilvl="2" w:tplc="1DC8F336" w:tentative="1">
      <w:start w:val="1"/>
      <w:numFmt w:val="lowerRoman"/>
      <w:lvlText w:val="%3."/>
      <w:lvlJc w:val="right"/>
      <w:pPr>
        <w:ind w:left="2160" w:hanging="180"/>
      </w:pPr>
    </w:lvl>
    <w:lvl w:ilvl="3" w:tplc="10A84FEE" w:tentative="1">
      <w:start w:val="1"/>
      <w:numFmt w:val="decimal"/>
      <w:lvlText w:val="%4."/>
      <w:lvlJc w:val="left"/>
      <w:pPr>
        <w:ind w:left="2880" w:hanging="360"/>
      </w:pPr>
    </w:lvl>
    <w:lvl w:ilvl="4" w:tplc="F56A8476" w:tentative="1">
      <w:start w:val="1"/>
      <w:numFmt w:val="lowerLetter"/>
      <w:lvlText w:val="%5."/>
      <w:lvlJc w:val="left"/>
      <w:pPr>
        <w:ind w:left="3600" w:hanging="360"/>
      </w:pPr>
    </w:lvl>
    <w:lvl w:ilvl="5" w:tplc="11F42518" w:tentative="1">
      <w:start w:val="1"/>
      <w:numFmt w:val="lowerRoman"/>
      <w:lvlText w:val="%6."/>
      <w:lvlJc w:val="right"/>
      <w:pPr>
        <w:ind w:left="4320" w:hanging="180"/>
      </w:pPr>
    </w:lvl>
    <w:lvl w:ilvl="6" w:tplc="5A1EA320" w:tentative="1">
      <w:start w:val="1"/>
      <w:numFmt w:val="decimal"/>
      <w:lvlText w:val="%7."/>
      <w:lvlJc w:val="left"/>
      <w:pPr>
        <w:ind w:left="5040" w:hanging="360"/>
      </w:pPr>
    </w:lvl>
    <w:lvl w:ilvl="7" w:tplc="B066D1CA" w:tentative="1">
      <w:start w:val="1"/>
      <w:numFmt w:val="lowerLetter"/>
      <w:lvlText w:val="%8."/>
      <w:lvlJc w:val="left"/>
      <w:pPr>
        <w:ind w:left="5760" w:hanging="360"/>
      </w:pPr>
    </w:lvl>
    <w:lvl w:ilvl="8" w:tplc="CFE04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C0446"/>
    <w:multiLevelType w:val="hybridMultilevel"/>
    <w:tmpl w:val="B20E620E"/>
    <w:lvl w:ilvl="0" w:tplc="6B24C3E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B6E4C0AE" w:tentative="1">
      <w:start w:val="1"/>
      <w:numFmt w:val="lowerLetter"/>
      <w:lvlText w:val="%2."/>
      <w:lvlJc w:val="left"/>
      <w:pPr>
        <w:ind w:left="1440" w:hanging="360"/>
      </w:pPr>
    </w:lvl>
    <w:lvl w:ilvl="2" w:tplc="6E867920" w:tentative="1">
      <w:start w:val="1"/>
      <w:numFmt w:val="lowerRoman"/>
      <w:lvlText w:val="%3."/>
      <w:lvlJc w:val="right"/>
      <w:pPr>
        <w:ind w:left="2160" w:hanging="180"/>
      </w:pPr>
    </w:lvl>
    <w:lvl w:ilvl="3" w:tplc="22EAE382" w:tentative="1">
      <w:start w:val="1"/>
      <w:numFmt w:val="decimal"/>
      <w:lvlText w:val="%4."/>
      <w:lvlJc w:val="left"/>
      <w:pPr>
        <w:ind w:left="2880" w:hanging="360"/>
      </w:pPr>
    </w:lvl>
    <w:lvl w:ilvl="4" w:tplc="7FC08194" w:tentative="1">
      <w:start w:val="1"/>
      <w:numFmt w:val="lowerLetter"/>
      <w:lvlText w:val="%5."/>
      <w:lvlJc w:val="left"/>
      <w:pPr>
        <w:ind w:left="3600" w:hanging="360"/>
      </w:pPr>
    </w:lvl>
    <w:lvl w:ilvl="5" w:tplc="B44A0668" w:tentative="1">
      <w:start w:val="1"/>
      <w:numFmt w:val="lowerRoman"/>
      <w:lvlText w:val="%6."/>
      <w:lvlJc w:val="right"/>
      <w:pPr>
        <w:ind w:left="4320" w:hanging="180"/>
      </w:pPr>
    </w:lvl>
    <w:lvl w:ilvl="6" w:tplc="43A22DC8" w:tentative="1">
      <w:start w:val="1"/>
      <w:numFmt w:val="decimal"/>
      <w:lvlText w:val="%7."/>
      <w:lvlJc w:val="left"/>
      <w:pPr>
        <w:ind w:left="5040" w:hanging="360"/>
      </w:pPr>
    </w:lvl>
    <w:lvl w:ilvl="7" w:tplc="D9F06A9C" w:tentative="1">
      <w:start w:val="1"/>
      <w:numFmt w:val="lowerLetter"/>
      <w:lvlText w:val="%8."/>
      <w:lvlJc w:val="left"/>
      <w:pPr>
        <w:ind w:left="5760" w:hanging="360"/>
      </w:pPr>
    </w:lvl>
    <w:lvl w:ilvl="8" w:tplc="53F2E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00A91"/>
    <w:multiLevelType w:val="hybridMultilevel"/>
    <w:tmpl w:val="2272E4E2"/>
    <w:lvl w:ilvl="0" w:tplc="F266CF88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0BEAC6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4C6C4EAA" w:tentative="1">
      <w:start w:val="1"/>
      <w:numFmt w:val="lowerRoman"/>
      <w:lvlText w:val="%3."/>
      <w:lvlJc w:val="right"/>
      <w:pPr>
        <w:ind w:left="2793" w:hanging="180"/>
      </w:pPr>
    </w:lvl>
    <w:lvl w:ilvl="3" w:tplc="4B520D6A" w:tentative="1">
      <w:start w:val="1"/>
      <w:numFmt w:val="decimal"/>
      <w:lvlText w:val="%4."/>
      <w:lvlJc w:val="left"/>
      <w:pPr>
        <w:ind w:left="3513" w:hanging="360"/>
      </w:pPr>
    </w:lvl>
    <w:lvl w:ilvl="4" w:tplc="20049588" w:tentative="1">
      <w:start w:val="1"/>
      <w:numFmt w:val="lowerLetter"/>
      <w:lvlText w:val="%5."/>
      <w:lvlJc w:val="left"/>
      <w:pPr>
        <w:ind w:left="4233" w:hanging="360"/>
      </w:pPr>
    </w:lvl>
    <w:lvl w:ilvl="5" w:tplc="25686150" w:tentative="1">
      <w:start w:val="1"/>
      <w:numFmt w:val="lowerRoman"/>
      <w:lvlText w:val="%6."/>
      <w:lvlJc w:val="right"/>
      <w:pPr>
        <w:ind w:left="4953" w:hanging="180"/>
      </w:pPr>
    </w:lvl>
    <w:lvl w:ilvl="6" w:tplc="A19C7838" w:tentative="1">
      <w:start w:val="1"/>
      <w:numFmt w:val="decimal"/>
      <w:lvlText w:val="%7."/>
      <w:lvlJc w:val="left"/>
      <w:pPr>
        <w:ind w:left="5673" w:hanging="360"/>
      </w:pPr>
    </w:lvl>
    <w:lvl w:ilvl="7" w:tplc="6E32F8A8" w:tentative="1">
      <w:start w:val="1"/>
      <w:numFmt w:val="lowerLetter"/>
      <w:lvlText w:val="%8."/>
      <w:lvlJc w:val="left"/>
      <w:pPr>
        <w:ind w:left="6393" w:hanging="360"/>
      </w:pPr>
    </w:lvl>
    <w:lvl w:ilvl="8" w:tplc="E962E0A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6F9337D0"/>
    <w:multiLevelType w:val="hybridMultilevel"/>
    <w:tmpl w:val="B6C885E6"/>
    <w:lvl w:ilvl="0" w:tplc="56626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3C66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BE0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02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40A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A017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0F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E46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129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00D28"/>
    <w:multiLevelType w:val="hybridMultilevel"/>
    <w:tmpl w:val="2F94C0BA"/>
    <w:lvl w:ilvl="0" w:tplc="25B88AF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AF76C8F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749E4534" w:tentative="1">
      <w:start w:val="1"/>
      <w:numFmt w:val="lowerRoman"/>
      <w:lvlText w:val="%3."/>
      <w:lvlJc w:val="right"/>
      <w:pPr>
        <w:ind w:left="2160" w:hanging="180"/>
      </w:pPr>
    </w:lvl>
    <w:lvl w:ilvl="3" w:tplc="70DE7CA4" w:tentative="1">
      <w:start w:val="1"/>
      <w:numFmt w:val="decimal"/>
      <w:lvlText w:val="%4."/>
      <w:lvlJc w:val="left"/>
      <w:pPr>
        <w:ind w:left="2880" w:hanging="360"/>
      </w:pPr>
    </w:lvl>
    <w:lvl w:ilvl="4" w:tplc="41BC2988" w:tentative="1">
      <w:start w:val="1"/>
      <w:numFmt w:val="lowerLetter"/>
      <w:lvlText w:val="%5."/>
      <w:lvlJc w:val="left"/>
      <w:pPr>
        <w:ind w:left="3600" w:hanging="360"/>
      </w:pPr>
    </w:lvl>
    <w:lvl w:ilvl="5" w:tplc="936E56C6" w:tentative="1">
      <w:start w:val="1"/>
      <w:numFmt w:val="lowerRoman"/>
      <w:lvlText w:val="%6."/>
      <w:lvlJc w:val="right"/>
      <w:pPr>
        <w:ind w:left="4320" w:hanging="180"/>
      </w:pPr>
    </w:lvl>
    <w:lvl w:ilvl="6" w:tplc="5BD2DA9A" w:tentative="1">
      <w:start w:val="1"/>
      <w:numFmt w:val="decimal"/>
      <w:lvlText w:val="%7."/>
      <w:lvlJc w:val="left"/>
      <w:pPr>
        <w:ind w:left="5040" w:hanging="360"/>
      </w:pPr>
    </w:lvl>
    <w:lvl w:ilvl="7" w:tplc="DEE471C6" w:tentative="1">
      <w:start w:val="1"/>
      <w:numFmt w:val="lowerLetter"/>
      <w:lvlText w:val="%8."/>
      <w:lvlJc w:val="left"/>
      <w:pPr>
        <w:ind w:left="5760" w:hanging="360"/>
      </w:pPr>
    </w:lvl>
    <w:lvl w:ilvl="8" w:tplc="3EFA87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10E"/>
    <w:rsid w:val="00030445"/>
    <w:rsid w:val="00030773"/>
    <w:rsid w:val="0003105C"/>
    <w:rsid w:val="000318C7"/>
    <w:rsid w:val="00031954"/>
    <w:rsid w:val="00033D26"/>
    <w:rsid w:val="00033FDB"/>
    <w:rsid w:val="000344F6"/>
    <w:rsid w:val="000410CC"/>
    <w:rsid w:val="00042263"/>
    <w:rsid w:val="00042C8C"/>
    <w:rsid w:val="00043505"/>
    <w:rsid w:val="00043C70"/>
    <w:rsid w:val="00043E88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83"/>
    <w:rsid w:val="000603C8"/>
    <w:rsid w:val="000608A4"/>
    <w:rsid w:val="00060AA1"/>
    <w:rsid w:val="000631FD"/>
    <w:rsid w:val="000643D3"/>
    <w:rsid w:val="00066F1A"/>
    <w:rsid w:val="00067B16"/>
    <w:rsid w:val="00070BC8"/>
    <w:rsid w:val="00071F8A"/>
    <w:rsid w:val="00071FC3"/>
    <w:rsid w:val="0007200A"/>
    <w:rsid w:val="00072BF9"/>
    <w:rsid w:val="00073431"/>
    <w:rsid w:val="00073E04"/>
    <w:rsid w:val="0007401B"/>
    <w:rsid w:val="00074632"/>
    <w:rsid w:val="000759AB"/>
    <w:rsid w:val="0007628D"/>
    <w:rsid w:val="00077D20"/>
    <w:rsid w:val="00081DAB"/>
    <w:rsid w:val="0008506F"/>
    <w:rsid w:val="000851A9"/>
    <w:rsid w:val="00085600"/>
    <w:rsid w:val="00085939"/>
    <w:rsid w:val="00086028"/>
    <w:rsid w:val="0009263C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0E72"/>
    <w:rsid w:val="000A1091"/>
    <w:rsid w:val="000A1232"/>
    <w:rsid w:val="000A30E5"/>
    <w:rsid w:val="000A3675"/>
    <w:rsid w:val="000A3767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2E2E"/>
    <w:rsid w:val="000C308F"/>
    <w:rsid w:val="000C36E0"/>
    <w:rsid w:val="000C3BDD"/>
    <w:rsid w:val="000C428B"/>
    <w:rsid w:val="000C4DC4"/>
    <w:rsid w:val="000C5A4E"/>
    <w:rsid w:val="000C6225"/>
    <w:rsid w:val="000C635D"/>
    <w:rsid w:val="000C6D5B"/>
    <w:rsid w:val="000C7D65"/>
    <w:rsid w:val="000C7F49"/>
    <w:rsid w:val="000D1AEE"/>
    <w:rsid w:val="000D1F4F"/>
    <w:rsid w:val="000D2C1D"/>
    <w:rsid w:val="000D2EAA"/>
    <w:rsid w:val="000D32E4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0CCA"/>
    <w:rsid w:val="000F1BB2"/>
    <w:rsid w:val="000F217A"/>
    <w:rsid w:val="000F3DFD"/>
    <w:rsid w:val="000F3F94"/>
    <w:rsid w:val="000F4279"/>
    <w:rsid w:val="000F5235"/>
    <w:rsid w:val="000F5B21"/>
    <w:rsid w:val="0010040E"/>
    <w:rsid w:val="001018E2"/>
    <w:rsid w:val="00101943"/>
    <w:rsid w:val="00102E27"/>
    <w:rsid w:val="00103501"/>
    <w:rsid w:val="00103AE7"/>
    <w:rsid w:val="00103B2D"/>
    <w:rsid w:val="00103CD2"/>
    <w:rsid w:val="00104061"/>
    <w:rsid w:val="00107236"/>
    <w:rsid w:val="001077FC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7A50"/>
    <w:rsid w:val="00117C1D"/>
    <w:rsid w:val="00117C33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056B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4C69"/>
    <w:rsid w:val="00155D7F"/>
    <w:rsid w:val="00156108"/>
    <w:rsid w:val="0015704C"/>
    <w:rsid w:val="00157895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3E7A"/>
    <w:rsid w:val="001752D8"/>
    <w:rsid w:val="00175931"/>
    <w:rsid w:val="00176A15"/>
    <w:rsid w:val="00176B25"/>
    <w:rsid w:val="00176EAF"/>
    <w:rsid w:val="00177736"/>
    <w:rsid w:val="0018238B"/>
    <w:rsid w:val="00183419"/>
    <w:rsid w:val="0018394A"/>
    <w:rsid w:val="001845BE"/>
    <w:rsid w:val="00184DCC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25FF"/>
    <w:rsid w:val="001A43C4"/>
    <w:rsid w:val="001A485F"/>
    <w:rsid w:val="001A56F1"/>
    <w:rsid w:val="001A5D0E"/>
    <w:rsid w:val="001A749C"/>
    <w:rsid w:val="001A76DE"/>
    <w:rsid w:val="001B01C8"/>
    <w:rsid w:val="001B0B52"/>
    <w:rsid w:val="001B13F6"/>
    <w:rsid w:val="001B1747"/>
    <w:rsid w:val="001B2D44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6AF4"/>
    <w:rsid w:val="001D6F48"/>
    <w:rsid w:val="001E0CC1"/>
    <w:rsid w:val="001E1C10"/>
    <w:rsid w:val="001E2B3E"/>
    <w:rsid w:val="001E2BEE"/>
    <w:rsid w:val="001E2E9B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213"/>
    <w:rsid w:val="0020165E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625B"/>
    <w:rsid w:val="002274FB"/>
    <w:rsid w:val="002277EC"/>
    <w:rsid w:val="00227B3E"/>
    <w:rsid w:val="00227C93"/>
    <w:rsid w:val="002309D2"/>
    <w:rsid w:val="00231B61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72CD"/>
    <w:rsid w:val="00260A11"/>
    <w:rsid w:val="00261316"/>
    <w:rsid w:val="0026169A"/>
    <w:rsid w:val="00262763"/>
    <w:rsid w:val="002636C8"/>
    <w:rsid w:val="00264BEA"/>
    <w:rsid w:val="002669E0"/>
    <w:rsid w:val="00267850"/>
    <w:rsid w:val="00267D53"/>
    <w:rsid w:val="00270117"/>
    <w:rsid w:val="00271032"/>
    <w:rsid w:val="00273E3E"/>
    <w:rsid w:val="00274147"/>
    <w:rsid w:val="00275189"/>
    <w:rsid w:val="002756DC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47ED"/>
    <w:rsid w:val="00285DE6"/>
    <w:rsid w:val="00286136"/>
    <w:rsid w:val="00286322"/>
    <w:rsid w:val="00287974"/>
    <w:rsid w:val="00291302"/>
    <w:rsid w:val="00296B03"/>
    <w:rsid w:val="00296C1F"/>
    <w:rsid w:val="002A1A88"/>
    <w:rsid w:val="002A2434"/>
    <w:rsid w:val="002A294E"/>
    <w:rsid w:val="002A3A10"/>
    <w:rsid w:val="002A41E6"/>
    <w:rsid w:val="002A44C8"/>
    <w:rsid w:val="002A5E48"/>
    <w:rsid w:val="002A6064"/>
    <w:rsid w:val="002B0059"/>
    <w:rsid w:val="002B0455"/>
    <w:rsid w:val="002B1941"/>
    <w:rsid w:val="002B261C"/>
    <w:rsid w:val="002B2BEE"/>
    <w:rsid w:val="002B2C20"/>
    <w:rsid w:val="002B35C5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5F8"/>
    <w:rsid w:val="002C4E07"/>
    <w:rsid w:val="002D0586"/>
    <w:rsid w:val="002D1023"/>
    <w:rsid w:val="002D1459"/>
    <w:rsid w:val="002D1470"/>
    <w:rsid w:val="002D21CF"/>
    <w:rsid w:val="002D3DB7"/>
    <w:rsid w:val="002D4705"/>
    <w:rsid w:val="002D528A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06B"/>
    <w:rsid w:val="002E6D7E"/>
    <w:rsid w:val="002E7CBB"/>
    <w:rsid w:val="002F1F28"/>
    <w:rsid w:val="002F2352"/>
    <w:rsid w:val="002F43CA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4718"/>
    <w:rsid w:val="00314875"/>
    <w:rsid w:val="0031488A"/>
    <w:rsid w:val="003175E1"/>
    <w:rsid w:val="0032003B"/>
    <w:rsid w:val="00320203"/>
    <w:rsid w:val="00320F02"/>
    <w:rsid w:val="00321257"/>
    <w:rsid w:val="00321FEB"/>
    <w:rsid w:val="00322002"/>
    <w:rsid w:val="00323EEC"/>
    <w:rsid w:val="003247B0"/>
    <w:rsid w:val="00325E81"/>
    <w:rsid w:val="0032620B"/>
    <w:rsid w:val="00326948"/>
    <w:rsid w:val="00327052"/>
    <w:rsid w:val="003336BB"/>
    <w:rsid w:val="0033486D"/>
    <w:rsid w:val="00334C70"/>
    <w:rsid w:val="00335228"/>
    <w:rsid w:val="003367C4"/>
    <w:rsid w:val="00336D8E"/>
    <w:rsid w:val="003376B3"/>
    <w:rsid w:val="00340BF3"/>
    <w:rsid w:val="00340C0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4AD5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EE9"/>
    <w:rsid w:val="0039408A"/>
    <w:rsid w:val="003945F5"/>
    <w:rsid w:val="003957C6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1DE9"/>
    <w:rsid w:val="003E374A"/>
    <w:rsid w:val="003E3A1D"/>
    <w:rsid w:val="003E3E49"/>
    <w:rsid w:val="003E5991"/>
    <w:rsid w:val="003E6CA0"/>
    <w:rsid w:val="003F1F41"/>
    <w:rsid w:val="003F2FDE"/>
    <w:rsid w:val="003F330B"/>
    <w:rsid w:val="003F6FDF"/>
    <w:rsid w:val="003F7AD7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38DE"/>
    <w:rsid w:val="00413B39"/>
    <w:rsid w:val="004143E8"/>
    <w:rsid w:val="00414B2F"/>
    <w:rsid w:val="004150F4"/>
    <w:rsid w:val="00415E58"/>
    <w:rsid w:val="00416231"/>
    <w:rsid w:val="004208AB"/>
    <w:rsid w:val="00420F63"/>
    <w:rsid w:val="004219EF"/>
    <w:rsid w:val="00421A72"/>
    <w:rsid w:val="00422326"/>
    <w:rsid w:val="00424348"/>
    <w:rsid w:val="00426A7B"/>
    <w:rsid w:val="00426CD9"/>
    <w:rsid w:val="00426DE2"/>
    <w:rsid w:val="00427AA5"/>
    <w:rsid w:val="004309D0"/>
    <w:rsid w:val="00430E61"/>
    <w:rsid w:val="00430FEB"/>
    <w:rsid w:val="004310EE"/>
    <w:rsid w:val="00433677"/>
    <w:rsid w:val="0043384D"/>
    <w:rsid w:val="00433912"/>
    <w:rsid w:val="004340D5"/>
    <w:rsid w:val="00434880"/>
    <w:rsid w:val="00434A21"/>
    <w:rsid w:val="0043526D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6258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6D9"/>
    <w:rsid w:val="00487366"/>
    <w:rsid w:val="004873E4"/>
    <w:rsid w:val="004905EE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08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66ED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46FE"/>
    <w:rsid w:val="004B5D02"/>
    <w:rsid w:val="004B7F67"/>
    <w:rsid w:val="004C06BE"/>
    <w:rsid w:val="004C0938"/>
    <w:rsid w:val="004C0FD6"/>
    <w:rsid w:val="004C147B"/>
    <w:rsid w:val="004C1994"/>
    <w:rsid w:val="004C2E5C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20B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30466"/>
    <w:rsid w:val="00532C41"/>
    <w:rsid w:val="00532D3F"/>
    <w:rsid w:val="00532DC5"/>
    <w:rsid w:val="0053386D"/>
    <w:rsid w:val="00533A2A"/>
    <w:rsid w:val="00533A3F"/>
    <w:rsid w:val="00534235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2E0"/>
    <w:rsid w:val="00553BFA"/>
    <w:rsid w:val="005546C5"/>
    <w:rsid w:val="00554D05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A4F"/>
    <w:rsid w:val="00576E5E"/>
    <w:rsid w:val="00582A9B"/>
    <w:rsid w:val="005832AB"/>
    <w:rsid w:val="00584001"/>
    <w:rsid w:val="0058437C"/>
    <w:rsid w:val="00587B6A"/>
    <w:rsid w:val="00592E6E"/>
    <w:rsid w:val="005935F4"/>
    <w:rsid w:val="005938C8"/>
    <w:rsid w:val="00593E0A"/>
    <w:rsid w:val="005958CF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798B"/>
    <w:rsid w:val="005C1FAE"/>
    <w:rsid w:val="005C2CFA"/>
    <w:rsid w:val="005C39E8"/>
    <w:rsid w:val="005C5660"/>
    <w:rsid w:val="005C7072"/>
    <w:rsid w:val="005C71E4"/>
    <w:rsid w:val="005C72E3"/>
    <w:rsid w:val="005C75A2"/>
    <w:rsid w:val="005D11B2"/>
    <w:rsid w:val="005D33D8"/>
    <w:rsid w:val="005D3CF4"/>
    <w:rsid w:val="005D4788"/>
    <w:rsid w:val="005D48D7"/>
    <w:rsid w:val="005D4B68"/>
    <w:rsid w:val="005D6D4B"/>
    <w:rsid w:val="005D783D"/>
    <w:rsid w:val="005E05EF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F0143"/>
    <w:rsid w:val="005F0161"/>
    <w:rsid w:val="005F0DA0"/>
    <w:rsid w:val="005F2767"/>
    <w:rsid w:val="005F2CDB"/>
    <w:rsid w:val="005F4914"/>
    <w:rsid w:val="005F5531"/>
    <w:rsid w:val="005F62B7"/>
    <w:rsid w:val="005F67FC"/>
    <w:rsid w:val="005F6869"/>
    <w:rsid w:val="005F6BB9"/>
    <w:rsid w:val="00603148"/>
    <w:rsid w:val="006038EB"/>
    <w:rsid w:val="00604EE7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220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A29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0D19"/>
    <w:rsid w:val="00651099"/>
    <w:rsid w:val="00651E31"/>
    <w:rsid w:val="0065380A"/>
    <w:rsid w:val="0065581D"/>
    <w:rsid w:val="00655C2F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4EF1"/>
    <w:rsid w:val="0067501E"/>
    <w:rsid w:val="006773D2"/>
    <w:rsid w:val="00680498"/>
    <w:rsid w:val="00680581"/>
    <w:rsid w:val="00681A41"/>
    <w:rsid w:val="006821B2"/>
    <w:rsid w:val="00682C88"/>
    <w:rsid w:val="0068380E"/>
    <w:rsid w:val="006838C0"/>
    <w:rsid w:val="006857EB"/>
    <w:rsid w:val="00685901"/>
    <w:rsid w:val="00685BB9"/>
    <w:rsid w:val="00686EAB"/>
    <w:rsid w:val="00687E61"/>
    <w:rsid w:val="00690127"/>
    <w:rsid w:val="00691BFF"/>
    <w:rsid w:val="00692C52"/>
    <w:rsid w:val="006953C1"/>
    <w:rsid w:val="00696EB2"/>
    <w:rsid w:val="006A1466"/>
    <w:rsid w:val="006A1600"/>
    <w:rsid w:val="006A16E9"/>
    <w:rsid w:val="006A5450"/>
    <w:rsid w:val="006A5C32"/>
    <w:rsid w:val="006B0199"/>
    <w:rsid w:val="006B0A32"/>
    <w:rsid w:val="006B0BD8"/>
    <w:rsid w:val="006B301A"/>
    <w:rsid w:val="006B34B6"/>
    <w:rsid w:val="006B4557"/>
    <w:rsid w:val="006C0251"/>
    <w:rsid w:val="006C0320"/>
    <w:rsid w:val="006C2B9A"/>
    <w:rsid w:val="006C39BB"/>
    <w:rsid w:val="006C4502"/>
    <w:rsid w:val="006C4760"/>
    <w:rsid w:val="006C6114"/>
    <w:rsid w:val="006C68C0"/>
    <w:rsid w:val="006C6C6A"/>
    <w:rsid w:val="006D2288"/>
    <w:rsid w:val="006D4464"/>
    <w:rsid w:val="006D4E3D"/>
    <w:rsid w:val="006D4EF4"/>
    <w:rsid w:val="006D5E91"/>
    <w:rsid w:val="006D627F"/>
    <w:rsid w:val="006D7E87"/>
    <w:rsid w:val="006E10B2"/>
    <w:rsid w:val="006E14E6"/>
    <w:rsid w:val="006E1AEE"/>
    <w:rsid w:val="006E2F52"/>
    <w:rsid w:val="006E32A9"/>
    <w:rsid w:val="006E3B9C"/>
    <w:rsid w:val="006E3E10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4B93"/>
    <w:rsid w:val="006F5C83"/>
    <w:rsid w:val="006F67CC"/>
    <w:rsid w:val="006F6B89"/>
    <w:rsid w:val="006F6E73"/>
    <w:rsid w:val="00701A6B"/>
    <w:rsid w:val="00701C2D"/>
    <w:rsid w:val="00702162"/>
    <w:rsid w:val="00703930"/>
    <w:rsid w:val="007047B5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BF5"/>
    <w:rsid w:val="007546F8"/>
    <w:rsid w:val="0075579B"/>
    <w:rsid w:val="00755BAB"/>
    <w:rsid w:val="00755F5B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677BC"/>
    <w:rsid w:val="00770A85"/>
    <w:rsid w:val="00773C8C"/>
    <w:rsid w:val="00773DC9"/>
    <w:rsid w:val="0077572E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5AE2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3B72"/>
    <w:rsid w:val="007C45D3"/>
    <w:rsid w:val="007C597B"/>
    <w:rsid w:val="007C5DDD"/>
    <w:rsid w:val="007C760C"/>
    <w:rsid w:val="007D08FD"/>
    <w:rsid w:val="007D0A87"/>
    <w:rsid w:val="007D1584"/>
    <w:rsid w:val="007D2044"/>
    <w:rsid w:val="007D4044"/>
    <w:rsid w:val="007D4F33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68C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4F32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4B20"/>
    <w:rsid w:val="00825558"/>
    <w:rsid w:val="00826509"/>
    <w:rsid w:val="00826B20"/>
    <w:rsid w:val="00830BAD"/>
    <w:rsid w:val="00831B01"/>
    <w:rsid w:val="0083354D"/>
    <w:rsid w:val="0083561B"/>
    <w:rsid w:val="00836CC4"/>
    <w:rsid w:val="00837D78"/>
    <w:rsid w:val="00840D79"/>
    <w:rsid w:val="00840FD3"/>
    <w:rsid w:val="0084128E"/>
    <w:rsid w:val="00842A21"/>
    <w:rsid w:val="008442F6"/>
    <w:rsid w:val="00845DAD"/>
    <w:rsid w:val="00846172"/>
    <w:rsid w:val="00850159"/>
    <w:rsid w:val="00851377"/>
    <w:rsid w:val="008513C1"/>
    <w:rsid w:val="00851AE0"/>
    <w:rsid w:val="0085375B"/>
    <w:rsid w:val="00853C5F"/>
    <w:rsid w:val="0085437C"/>
    <w:rsid w:val="00854B2F"/>
    <w:rsid w:val="00855481"/>
    <w:rsid w:val="00855508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90E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303B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3511"/>
    <w:rsid w:val="00883ED5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5DF0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4A1C"/>
    <w:rsid w:val="008B500A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27E9"/>
    <w:rsid w:val="008E2A0F"/>
    <w:rsid w:val="008E42DE"/>
    <w:rsid w:val="008E5373"/>
    <w:rsid w:val="008E66A2"/>
    <w:rsid w:val="008F0CAC"/>
    <w:rsid w:val="008F1F3A"/>
    <w:rsid w:val="008F2C49"/>
    <w:rsid w:val="008F321F"/>
    <w:rsid w:val="008F32CD"/>
    <w:rsid w:val="008F36F0"/>
    <w:rsid w:val="008F66BC"/>
    <w:rsid w:val="008F7267"/>
    <w:rsid w:val="008F7CFF"/>
    <w:rsid w:val="008F7ED1"/>
    <w:rsid w:val="008F7FEA"/>
    <w:rsid w:val="00901511"/>
    <w:rsid w:val="009018CF"/>
    <w:rsid w:val="00901C8D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7907"/>
    <w:rsid w:val="00917C0F"/>
    <w:rsid w:val="0092020B"/>
    <w:rsid w:val="0092040E"/>
    <w:rsid w:val="00920C6C"/>
    <w:rsid w:val="00921897"/>
    <w:rsid w:val="00921C6D"/>
    <w:rsid w:val="009227D9"/>
    <w:rsid w:val="009232A2"/>
    <w:rsid w:val="00923C44"/>
    <w:rsid w:val="0092505A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C9"/>
    <w:rsid w:val="00945631"/>
    <w:rsid w:val="00947549"/>
    <w:rsid w:val="00947CF3"/>
    <w:rsid w:val="00956958"/>
    <w:rsid w:val="00956C5C"/>
    <w:rsid w:val="009572C4"/>
    <w:rsid w:val="0095793C"/>
    <w:rsid w:val="0096045D"/>
    <w:rsid w:val="00960A1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9A1"/>
    <w:rsid w:val="00974F2B"/>
    <w:rsid w:val="0097513C"/>
    <w:rsid w:val="00975617"/>
    <w:rsid w:val="009759C1"/>
    <w:rsid w:val="00975D53"/>
    <w:rsid w:val="00976C34"/>
    <w:rsid w:val="0098035D"/>
    <w:rsid w:val="00980FE0"/>
    <w:rsid w:val="00983394"/>
    <w:rsid w:val="00985686"/>
    <w:rsid w:val="00985F8B"/>
    <w:rsid w:val="00987D67"/>
    <w:rsid w:val="00990C3B"/>
    <w:rsid w:val="00991CBD"/>
    <w:rsid w:val="009921E6"/>
    <w:rsid w:val="009928B7"/>
    <w:rsid w:val="00993146"/>
    <w:rsid w:val="0099321A"/>
    <w:rsid w:val="009947E8"/>
    <w:rsid w:val="009960B7"/>
    <w:rsid w:val="00996F08"/>
    <w:rsid w:val="009972FE"/>
    <w:rsid w:val="009A18AD"/>
    <w:rsid w:val="009A4C2D"/>
    <w:rsid w:val="009B0152"/>
    <w:rsid w:val="009B061C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38D6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7B9"/>
    <w:rsid w:val="00A05C86"/>
    <w:rsid w:val="00A06E6E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27B3A"/>
    <w:rsid w:val="00A30F9A"/>
    <w:rsid w:val="00A3136F"/>
    <w:rsid w:val="00A3237A"/>
    <w:rsid w:val="00A34D0C"/>
    <w:rsid w:val="00A34D76"/>
    <w:rsid w:val="00A365D0"/>
    <w:rsid w:val="00A37645"/>
    <w:rsid w:val="00A402B8"/>
    <w:rsid w:val="00A4043E"/>
    <w:rsid w:val="00A4264A"/>
    <w:rsid w:val="00A437D9"/>
    <w:rsid w:val="00A43B7C"/>
    <w:rsid w:val="00A43C16"/>
    <w:rsid w:val="00A4422A"/>
    <w:rsid w:val="00A443A6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70B31"/>
    <w:rsid w:val="00A72672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7FE"/>
    <w:rsid w:val="00A85357"/>
    <w:rsid w:val="00A85898"/>
    <w:rsid w:val="00A869C0"/>
    <w:rsid w:val="00A871E5"/>
    <w:rsid w:val="00A87396"/>
    <w:rsid w:val="00A902DD"/>
    <w:rsid w:val="00A91617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48F6"/>
    <w:rsid w:val="00AA5887"/>
    <w:rsid w:val="00AA6A7B"/>
    <w:rsid w:val="00AA7432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930"/>
    <w:rsid w:val="00AC3AB1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9D9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6D94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72D3"/>
    <w:rsid w:val="00B27B03"/>
    <w:rsid w:val="00B3077D"/>
    <w:rsid w:val="00B31160"/>
    <w:rsid w:val="00B31B62"/>
    <w:rsid w:val="00B3208E"/>
    <w:rsid w:val="00B328C1"/>
    <w:rsid w:val="00B32CBB"/>
    <w:rsid w:val="00B3356A"/>
    <w:rsid w:val="00B33711"/>
    <w:rsid w:val="00B34889"/>
    <w:rsid w:val="00B35303"/>
    <w:rsid w:val="00B357FE"/>
    <w:rsid w:val="00B37550"/>
    <w:rsid w:val="00B402C6"/>
    <w:rsid w:val="00B4134A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1C94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46C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A68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90477"/>
    <w:rsid w:val="00B91047"/>
    <w:rsid w:val="00B92AA5"/>
    <w:rsid w:val="00B9305F"/>
    <w:rsid w:val="00B9368A"/>
    <w:rsid w:val="00B93904"/>
    <w:rsid w:val="00B94C2B"/>
    <w:rsid w:val="00B955FE"/>
    <w:rsid w:val="00B96634"/>
    <w:rsid w:val="00B96744"/>
    <w:rsid w:val="00B97F4D"/>
    <w:rsid w:val="00BA010A"/>
    <w:rsid w:val="00BA0B9F"/>
    <w:rsid w:val="00BA126E"/>
    <w:rsid w:val="00BA2FA5"/>
    <w:rsid w:val="00BA3287"/>
    <w:rsid w:val="00BA38E3"/>
    <w:rsid w:val="00BA5273"/>
    <w:rsid w:val="00BA5821"/>
    <w:rsid w:val="00BA6419"/>
    <w:rsid w:val="00BA6550"/>
    <w:rsid w:val="00BB0FC6"/>
    <w:rsid w:val="00BB3642"/>
    <w:rsid w:val="00BB4A3B"/>
    <w:rsid w:val="00BB59F6"/>
    <w:rsid w:val="00BB5EF0"/>
    <w:rsid w:val="00BB66AB"/>
    <w:rsid w:val="00BB7BBA"/>
    <w:rsid w:val="00BB7F5E"/>
    <w:rsid w:val="00BC0AD6"/>
    <w:rsid w:val="00BC122E"/>
    <w:rsid w:val="00BC3584"/>
    <w:rsid w:val="00BC5838"/>
    <w:rsid w:val="00BC6075"/>
    <w:rsid w:val="00BC6DC2"/>
    <w:rsid w:val="00BC7BE2"/>
    <w:rsid w:val="00BE4ED6"/>
    <w:rsid w:val="00BE54F3"/>
    <w:rsid w:val="00BE5F67"/>
    <w:rsid w:val="00BE5FD6"/>
    <w:rsid w:val="00BE7920"/>
    <w:rsid w:val="00BF1E46"/>
    <w:rsid w:val="00BF22CD"/>
    <w:rsid w:val="00BF2A3A"/>
    <w:rsid w:val="00BF2CD1"/>
    <w:rsid w:val="00BF4B6A"/>
    <w:rsid w:val="00BF5135"/>
    <w:rsid w:val="00BF5372"/>
    <w:rsid w:val="00BF5AB0"/>
    <w:rsid w:val="00BF7DD0"/>
    <w:rsid w:val="00C00312"/>
    <w:rsid w:val="00C00828"/>
    <w:rsid w:val="00C009F5"/>
    <w:rsid w:val="00C01129"/>
    <w:rsid w:val="00C015E8"/>
    <w:rsid w:val="00C02239"/>
    <w:rsid w:val="00C022E1"/>
    <w:rsid w:val="00C0398D"/>
    <w:rsid w:val="00C03E65"/>
    <w:rsid w:val="00C03EA6"/>
    <w:rsid w:val="00C05C3D"/>
    <w:rsid w:val="00C05C63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7455"/>
    <w:rsid w:val="00C179B0"/>
    <w:rsid w:val="00C2015D"/>
    <w:rsid w:val="00C20245"/>
    <w:rsid w:val="00C20CA6"/>
    <w:rsid w:val="00C226F9"/>
    <w:rsid w:val="00C23398"/>
    <w:rsid w:val="00C233E9"/>
    <w:rsid w:val="00C23B23"/>
    <w:rsid w:val="00C2428B"/>
    <w:rsid w:val="00C25BB2"/>
    <w:rsid w:val="00C26C22"/>
    <w:rsid w:val="00C27B03"/>
    <w:rsid w:val="00C3089B"/>
    <w:rsid w:val="00C34B40"/>
    <w:rsid w:val="00C357D2"/>
    <w:rsid w:val="00C35836"/>
    <w:rsid w:val="00C35EE8"/>
    <w:rsid w:val="00C4116B"/>
    <w:rsid w:val="00C41CD3"/>
    <w:rsid w:val="00C43064"/>
    <w:rsid w:val="00C43438"/>
    <w:rsid w:val="00C43AF4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5683"/>
    <w:rsid w:val="00C56A1A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8B3"/>
    <w:rsid w:val="00C70962"/>
    <w:rsid w:val="00C71674"/>
    <w:rsid w:val="00C742D9"/>
    <w:rsid w:val="00C76238"/>
    <w:rsid w:val="00C7627E"/>
    <w:rsid w:val="00C7697F"/>
    <w:rsid w:val="00C77AB6"/>
    <w:rsid w:val="00C8136C"/>
    <w:rsid w:val="00C823C1"/>
    <w:rsid w:val="00C8241A"/>
    <w:rsid w:val="00C828FF"/>
    <w:rsid w:val="00C82FAC"/>
    <w:rsid w:val="00C82FFA"/>
    <w:rsid w:val="00C837DE"/>
    <w:rsid w:val="00C84A1B"/>
    <w:rsid w:val="00C85521"/>
    <w:rsid w:val="00C856C0"/>
    <w:rsid w:val="00C85ECE"/>
    <w:rsid w:val="00C863EE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A7105"/>
    <w:rsid w:val="00CA77C2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2CFF"/>
    <w:rsid w:val="00CC303F"/>
    <w:rsid w:val="00CC31C8"/>
    <w:rsid w:val="00CC3324"/>
    <w:rsid w:val="00CC3ADE"/>
    <w:rsid w:val="00CC3C96"/>
    <w:rsid w:val="00CC544E"/>
    <w:rsid w:val="00CD031F"/>
    <w:rsid w:val="00CD077C"/>
    <w:rsid w:val="00CD2B1A"/>
    <w:rsid w:val="00CD342A"/>
    <w:rsid w:val="00CD3940"/>
    <w:rsid w:val="00CD46E4"/>
    <w:rsid w:val="00CD7577"/>
    <w:rsid w:val="00CE2F14"/>
    <w:rsid w:val="00CE40BF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2B8F"/>
    <w:rsid w:val="00D03851"/>
    <w:rsid w:val="00D039E7"/>
    <w:rsid w:val="00D0401F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11D5"/>
    <w:rsid w:val="00D41BAA"/>
    <w:rsid w:val="00D423AC"/>
    <w:rsid w:val="00D44B15"/>
    <w:rsid w:val="00D44DC6"/>
    <w:rsid w:val="00D476EA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DDB"/>
    <w:rsid w:val="00D63F9F"/>
    <w:rsid w:val="00D646D3"/>
    <w:rsid w:val="00D662F2"/>
    <w:rsid w:val="00D665F1"/>
    <w:rsid w:val="00D6711E"/>
    <w:rsid w:val="00D72E79"/>
    <w:rsid w:val="00D73B08"/>
    <w:rsid w:val="00D740C3"/>
    <w:rsid w:val="00D75DF0"/>
    <w:rsid w:val="00D767CE"/>
    <w:rsid w:val="00D779F3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6AF"/>
    <w:rsid w:val="00DA4A52"/>
    <w:rsid w:val="00DA4FBC"/>
    <w:rsid w:val="00DA61B9"/>
    <w:rsid w:val="00DA6E0B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28EE"/>
    <w:rsid w:val="00DC36B8"/>
    <w:rsid w:val="00DC444A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02C"/>
    <w:rsid w:val="00DF641F"/>
    <w:rsid w:val="00DF69F9"/>
    <w:rsid w:val="00DF6C7D"/>
    <w:rsid w:val="00E020B8"/>
    <w:rsid w:val="00E02579"/>
    <w:rsid w:val="00E02B50"/>
    <w:rsid w:val="00E0478E"/>
    <w:rsid w:val="00E04B3F"/>
    <w:rsid w:val="00E053DD"/>
    <w:rsid w:val="00E056F4"/>
    <w:rsid w:val="00E060C1"/>
    <w:rsid w:val="00E06B1E"/>
    <w:rsid w:val="00E075C5"/>
    <w:rsid w:val="00E07787"/>
    <w:rsid w:val="00E109F8"/>
    <w:rsid w:val="00E10AAF"/>
    <w:rsid w:val="00E11086"/>
    <w:rsid w:val="00E11D49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B54"/>
    <w:rsid w:val="00E51141"/>
    <w:rsid w:val="00E5387C"/>
    <w:rsid w:val="00E53AC6"/>
    <w:rsid w:val="00E53E2C"/>
    <w:rsid w:val="00E54EF2"/>
    <w:rsid w:val="00E56AB2"/>
    <w:rsid w:val="00E60A5E"/>
    <w:rsid w:val="00E60DC5"/>
    <w:rsid w:val="00E61036"/>
    <w:rsid w:val="00E63559"/>
    <w:rsid w:val="00E646F4"/>
    <w:rsid w:val="00E64DCB"/>
    <w:rsid w:val="00E67180"/>
    <w:rsid w:val="00E676E2"/>
    <w:rsid w:val="00E72D27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1CC8"/>
    <w:rsid w:val="00EA1D72"/>
    <w:rsid w:val="00EA2770"/>
    <w:rsid w:val="00EA32E8"/>
    <w:rsid w:val="00EA5257"/>
    <w:rsid w:val="00EA59B6"/>
    <w:rsid w:val="00EA72BD"/>
    <w:rsid w:val="00EA7415"/>
    <w:rsid w:val="00EB0062"/>
    <w:rsid w:val="00EB0433"/>
    <w:rsid w:val="00EB1B8B"/>
    <w:rsid w:val="00EB24EC"/>
    <w:rsid w:val="00EB288E"/>
    <w:rsid w:val="00EB3C54"/>
    <w:rsid w:val="00EB4951"/>
    <w:rsid w:val="00EB566F"/>
    <w:rsid w:val="00EB595B"/>
    <w:rsid w:val="00EC098E"/>
    <w:rsid w:val="00EC0BCB"/>
    <w:rsid w:val="00EC0E71"/>
    <w:rsid w:val="00EC107F"/>
    <w:rsid w:val="00EC2AF7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495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2063"/>
    <w:rsid w:val="00F12F6C"/>
    <w:rsid w:val="00F13DAE"/>
    <w:rsid w:val="00F13DCE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40712"/>
    <w:rsid w:val="00F41004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D1C"/>
    <w:rsid w:val="00F6086A"/>
    <w:rsid w:val="00F6169B"/>
    <w:rsid w:val="00F61FA6"/>
    <w:rsid w:val="00F62824"/>
    <w:rsid w:val="00F62D7C"/>
    <w:rsid w:val="00F634C8"/>
    <w:rsid w:val="00F64B9B"/>
    <w:rsid w:val="00F64CD1"/>
    <w:rsid w:val="00F65618"/>
    <w:rsid w:val="00F658B9"/>
    <w:rsid w:val="00F66B4E"/>
    <w:rsid w:val="00F67155"/>
    <w:rsid w:val="00F6785E"/>
    <w:rsid w:val="00F7058F"/>
    <w:rsid w:val="00F70627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5BB8"/>
    <w:rsid w:val="00F96BB3"/>
    <w:rsid w:val="00F97A0A"/>
    <w:rsid w:val="00FA0B78"/>
    <w:rsid w:val="00FA0B83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26D"/>
    <w:rsid w:val="00FB4C6F"/>
    <w:rsid w:val="00FB52A0"/>
    <w:rsid w:val="00FB76CC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F1"/>
    <w:rsid w:val="00FD6FE2"/>
    <w:rsid w:val="00FD74CB"/>
    <w:rsid w:val="00FD7543"/>
    <w:rsid w:val="00FD77FA"/>
    <w:rsid w:val="00FD7BF5"/>
    <w:rsid w:val="00FE0148"/>
    <w:rsid w:val="00FE0E1A"/>
    <w:rsid w:val="00FE139D"/>
    <w:rsid w:val="00FE185C"/>
    <w:rsid w:val="00FE2681"/>
    <w:rsid w:val="00FE3C5F"/>
    <w:rsid w:val="00FE401B"/>
    <w:rsid w:val="00FE4705"/>
    <w:rsid w:val="00FE4868"/>
    <w:rsid w:val="00FE557C"/>
    <w:rsid w:val="00FE605C"/>
    <w:rsid w:val="00FE6458"/>
    <w:rsid w:val="00FE7A03"/>
    <w:rsid w:val="00FF16CF"/>
    <w:rsid w:val="00FF2EC0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  <w:rsid w:val="00B6346C"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rsid w:val="00B6346C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3212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321257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1"/>
    <w:uiPriority w:val="99"/>
    <w:unhideWhenUsed/>
    <w:rsid w:val="00BE5FD6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BE5FD6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BE5FD6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BE5FD6"/>
    <w:rPr>
      <w:rFonts w:eastAsia="Times New Roman"/>
      <w:sz w:val="22"/>
      <w:lang w:val="sk-SK"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  <w:rsid w:val="00B6346C"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rsid w:val="00B6346C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3212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321257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1"/>
    <w:uiPriority w:val="99"/>
    <w:unhideWhenUsed/>
    <w:rsid w:val="00BE5FD6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BE5FD6"/>
    <w:rPr>
      <w:rFonts w:eastAsia="Times New Roman"/>
      <w:sz w:val="22"/>
      <w:lang w:val="sk-SK" w:eastAsia="sk-SK" w:bidi="sk-SK"/>
    </w:rPr>
  </w:style>
  <w:style w:type="paragraph" w:styleId="Pta">
    <w:name w:val="footer"/>
    <w:basedOn w:val="Normlny"/>
    <w:link w:val="PtaChar1"/>
    <w:uiPriority w:val="99"/>
    <w:unhideWhenUsed/>
    <w:rsid w:val="00BE5FD6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BE5FD6"/>
    <w:rPr>
      <w:rFonts w:eastAsia="Times New Roman"/>
      <w:sz w:val="22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BD67F-7411-4F9C-B40B-18A11797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3677</Words>
  <Characters>23524</Characters>
  <Application>Microsoft Office Word</Application>
  <DocSecurity>0</DocSecurity>
  <Lines>196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Hqrdtemplateclean_sk</vt:lpstr>
      <vt:lpstr>Hqrdtemplateclean_sk</vt:lpstr>
    </vt:vector>
  </TitlesOfParts>
  <Company>Translation Centre</Company>
  <LinksUpToDate>false</LinksUpToDate>
  <CharactersWithSpaces>27147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Valovičová, Monika</cp:lastModifiedBy>
  <cp:revision>6</cp:revision>
  <cp:lastPrinted>2019-06-11T20:08:00Z</cp:lastPrinted>
  <dcterms:created xsi:type="dcterms:W3CDTF">2020-10-05T10:11:00Z</dcterms:created>
  <dcterms:modified xsi:type="dcterms:W3CDTF">2020-10-12T08:23:00Z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</Properties>
</file>