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6426C" w14:textId="77777777" w:rsidR="00C556B8" w:rsidRDefault="00C556B8" w:rsidP="00C556B8">
      <w:pPr>
        <w:tabs>
          <w:tab w:val="center" w:pos="2490"/>
        </w:tabs>
        <w:spacing w:after="0" w:line="240" w:lineRule="auto"/>
        <w:ind w:left="0" w:firstLine="0"/>
        <w:jc w:val="center"/>
        <w:rPr>
          <w:b/>
          <w:sz w:val="22"/>
        </w:rPr>
      </w:pPr>
      <w:bookmarkStart w:id="0" w:name="_GoBack"/>
      <w:bookmarkEnd w:id="0"/>
      <w:r>
        <w:rPr>
          <w:b/>
          <w:sz w:val="22"/>
        </w:rPr>
        <w:t>SÚHRN CHARAKTERISTICKÝCH VLASTNOSTÍ LIEKU</w:t>
      </w:r>
    </w:p>
    <w:p w14:paraId="018EFD15" w14:textId="77777777" w:rsidR="00C556B8" w:rsidRDefault="00C556B8" w:rsidP="00C556B8">
      <w:pPr>
        <w:tabs>
          <w:tab w:val="center" w:pos="2490"/>
        </w:tabs>
        <w:spacing w:after="0" w:line="240" w:lineRule="auto"/>
        <w:ind w:left="0" w:firstLine="0"/>
        <w:rPr>
          <w:b/>
          <w:sz w:val="22"/>
          <w:lang w:val="en-GB"/>
        </w:rPr>
      </w:pPr>
    </w:p>
    <w:p w14:paraId="658FCBEB" w14:textId="77777777" w:rsidR="00C556B8" w:rsidRDefault="00C556B8" w:rsidP="00833B71">
      <w:pPr>
        <w:tabs>
          <w:tab w:val="center" w:pos="2490"/>
        </w:tabs>
        <w:spacing w:after="0" w:line="240" w:lineRule="auto"/>
        <w:ind w:left="0" w:firstLine="0"/>
        <w:rPr>
          <w:b/>
          <w:sz w:val="22"/>
          <w:lang w:val="en-GB"/>
        </w:rPr>
      </w:pPr>
    </w:p>
    <w:p w14:paraId="588EE68A" w14:textId="77777777" w:rsidR="00B07789" w:rsidRPr="00A731E1" w:rsidRDefault="00D25089" w:rsidP="002F7708">
      <w:pPr>
        <w:tabs>
          <w:tab w:val="center" w:pos="2490"/>
        </w:tabs>
        <w:spacing w:after="0" w:line="240" w:lineRule="auto"/>
        <w:ind w:left="567" w:hanging="567"/>
        <w:rPr>
          <w:sz w:val="22"/>
        </w:rPr>
      </w:pPr>
      <w:r>
        <w:rPr>
          <w:b/>
          <w:sz w:val="22"/>
        </w:rPr>
        <w:t xml:space="preserve">1. </w:t>
      </w:r>
      <w:r>
        <w:rPr>
          <w:b/>
          <w:sz w:val="22"/>
        </w:rPr>
        <w:tab/>
        <w:t>NÁZOV LIEKU</w:t>
      </w:r>
    </w:p>
    <w:p w14:paraId="7D2F1E36" w14:textId="77777777" w:rsidR="00B07789" w:rsidRPr="00A731E1" w:rsidRDefault="00B07789" w:rsidP="00833B71">
      <w:pPr>
        <w:spacing w:after="0" w:line="240" w:lineRule="auto"/>
        <w:ind w:left="0" w:firstLine="0"/>
        <w:rPr>
          <w:sz w:val="22"/>
          <w:lang w:val="en-GB"/>
        </w:rPr>
      </w:pPr>
    </w:p>
    <w:p w14:paraId="13A6F4E8" w14:textId="45EC8B5A" w:rsidR="00B07789" w:rsidRPr="00A731E1" w:rsidRDefault="00EA123B" w:rsidP="00833B71">
      <w:pPr>
        <w:spacing w:after="0" w:line="240" w:lineRule="auto"/>
        <w:ind w:left="0"/>
        <w:rPr>
          <w:sz w:val="22"/>
        </w:rPr>
      </w:pPr>
      <w:r>
        <w:rPr>
          <w:sz w:val="22"/>
        </w:rPr>
        <w:t>Polapix</w:t>
      </w:r>
      <w:r w:rsidR="00635B73">
        <w:rPr>
          <w:sz w:val="22"/>
        </w:rPr>
        <w:t xml:space="preserve"> </w:t>
      </w:r>
      <w:r w:rsidR="00F5521D">
        <w:rPr>
          <w:sz w:val="22"/>
        </w:rPr>
        <w:t>2,</w:t>
      </w:r>
      <w:r w:rsidR="00635B73">
        <w:rPr>
          <w:sz w:val="22"/>
        </w:rPr>
        <w:t>5 mg filmom obalené tablety</w:t>
      </w:r>
    </w:p>
    <w:p w14:paraId="070E225B" w14:textId="77777777" w:rsidR="00B07789" w:rsidRPr="00A731E1" w:rsidRDefault="00B07789" w:rsidP="00833B71">
      <w:pPr>
        <w:spacing w:after="0" w:line="240" w:lineRule="auto"/>
        <w:ind w:left="0" w:firstLine="0"/>
        <w:rPr>
          <w:sz w:val="22"/>
          <w:lang w:val="en-GB"/>
        </w:rPr>
      </w:pPr>
    </w:p>
    <w:p w14:paraId="4448A7C5" w14:textId="77777777" w:rsidR="00B07789" w:rsidRPr="00A731E1" w:rsidRDefault="00B07789" w:rsidP="00833B71">
      <w:pPr>
        <w:spacing w:after="0" w:line="240" w:lineRule="auto"/>
        <w:ind w:left="0" w:firstLine="0"/>
        <w:rPr>
          <w:sz w:val="22"/>
          <w:lang w:val="en-GB"/>
        </w:rPr>
      </w:pPr>
    </w:p>
    <w:p w14:paraId="3258F893" w14:textId="77777777" w:rsidR="00B07789" w:rsidRPr="00A731E1" w:rsidRDefault="00D25089" w:rsidP="002F7708">
      <w:pPr>
        <w:pStyle w:val="Nadpis1"/>
        <w:tabs>
          <w:tab w:val="center" w:pos="3189"/>
        </w:tabs>
        <w:spacing w:after="0" w:line="240" w:lineRule="auto"/>
        <w:ind w:left="567" w:hanging="567"/>
        <w:rPr>
          <w:sz w:val="22"/>
        </w:rPr>
      </w:pPr>
      <w:r>
        <w:rPr>
          <w:sz w:val="22"/>
        </w:rPr>
        <w:t xml:space="preserve">2. </w:t>
      </w:r>
      <w:r>
        <w:rPr>
          <w:sz w:val="22"/>
        </w:rPr>
        <w:tab/>
        <w:t>KVALITATÍVNE A KVANTITATÍVNE ZLOŽENIE</w:t>
      </w:r>
    </w:p>
    <w:p w14:paraId="1A44E83C" w14:textId="77777777" w:rsidR="00B07789" w:rsidRPr="00A731E1" w:rsidRDefault="00D25089" w:rsidP="00833B71">
      <w:pPr>
        <w:spacing w:after="0" w:line="240" w:lineRule="auto"/>
        <w:ind w:left="0" w:firstLine="0"/>
        <w:rPr>
          <w:sz w:val="22"/>
        </w:rPr>
      </w:pPr>
      <w:r>
        <w:rPr>
          <w:sz w:val="22"/>
        </w:rPr>
        <w:t xml:space="preserve"> </w:t>
      </w:r>
    </w:p>
    <w:p w14:paraId="608E0E8D" w14:textId="35983F11" w:rsidR="00B07789" w:rsidRPr="00A731E1" w:rsidRDefault="00D25089" w:rsidP="00833B71">
      <w:pPr>
        <w:spacing w:after="0" w:line="240" w:lineRule="auto"/>
        <w:ind w:left="0"/>
        <w:rPr>
          <w:sz w:val="22"/>
        </w:rPr>
      </w:pPr>
      <w:r>
        <w:rPr>
          <w:sz w:val="22"/>
        </w:rPr>
        <w:t xml:space="preserve">Každá filmom obalená tableta obsahuje </w:t>
      </w:r>
      <w:r w:rsidR="00F664D9">
        <w:rPr>
          <w:sz w:val="22"/>
        </w:rPr>
        <w:t>2,</w:t>
      </w:r>
      <w:r>
        <w:rPr>
          <w:sz w:val="22"/>
        </w:rPr>
        <w:t>5 mg apixabánu.</w:t>
      </w:r>
    </w:p>
    <w:p w14:paraId="44D11F5F" w14:textId="77777777" w:rsidR="00B07789" w:rsidRPr="00A731E1" w:rsidRDefault="00D25089" w:rsidP="00833B71">
      <w:pPr>
        <w:spacing w:after="0" w:line="240" w:lineRule="auto"/>
        <w:ind w:left="0" w:firstLine="0"/>
        <w:rPr>
          <w:sz w:val="22"/>
        </w:rPr>
      </w:pPr>
      <w:r>
        <w:rPr>
          <w:b/>
          <w:sz w:val="22"/>
        </w:rPr>
        <w:t xml:space="preserve"> </w:t>
      </w:r>
    </w:p>
    <w:p w14:paraId="25AD6BC9" w14:textId="303CBA10" w:rsidR="00B07789" w:rsidRPr="00A731E1" w:rsidRDefault="00D25089" w:rsidP="00833B71">
      <w:pPr>
        <w:pStyle w:val="Nadpis2"/>
        <w:spacing w:after="0" w:line="240" w:lineRule="auto"/>
        <w:ind w:left="0"/>
        <w:rPr>
          <w:sz w:val="22"/>
        </w:rPr>
      </w:pPr>
      <w:r>
        <w:rPr>
          <w:sz w:val="22"/>
        </w:rPr>
        <w:t>Pomocné látky so známym účinkom: monohydrát laktózy.</w:t>
      </w:r>
    </w:p>
    <w:p w14:paraId="090CC38F" w14:textId="2E2E5637" w:rsidR="00B07789" w:rsidRPr="00A731E1" w:rsidRDefault="00D25089" w:rsidP="00833B71">
      <w:pPr>
        <w:spacing w:after="0" w:line="240" w:lineRule="auto"/>
        <w:ind w:left="0"/>
        <w:rPr>
          <w:sz w:val="22"/>
        </w:rPr>
      </w:pPr>
      <w:r>
        <w:rPr>
          <w:sz w:val="22"/>
        </w:rPr>
        <w:t xml:space="preserve">Každá </w:t>
      </w:r>
      <w:r w:rsidR="00F664D9">
        <w:rPr>
          <w:sz w:val="22"/>
        </w:rPr>
        <w:t>2,</w:t>
      </w:r>
      <w:r>
        <w:rPr>
          <w:sz w:val="22"/>
        </w:rPr>
        <w:t>5 mg film</w:t>
      </w:r>
      <w:r w:rsidR="00F664D9">
        <w:rPr>
          <w:sz w:val="22"/>
        </w:rPr>
        <w:t>om obalená tableta obsahuje 0,84</w:t>
      </w:r>
      <w:r>
        <w:rPr>
          <w:sz w:val="22"/>
        </w:rPr>
        <w:t> mg laktózy (pozri časť 4.4).</w:t>
      </w:r>
    </w:p>
    <w:p w14:paraId="49B6E7A4" w14:textId="77777777" w:rsidR="00B07789" w:rsidRPr="007E6137" w:rsidRDefault="00B07789" w:rsidP="00833B71">
      <w:pPr>
        <w:spacing w:after="0" w:line="240" w:lineRule="auto"/>
        <w:ind w:left="0" w:firstLine="0"/>
        <w:rPr>
          <w:sz w:val="22"/>
        </w:rPr>
      </w:pPr>
    </w:p>
    <w:p w14:paraId="08E15C3E" w14:textId="77777777" w:rsidR="00B07789" w:rsidRPr="00A731E1" w:rsidRDefault="00D25089" w:rsidP="00833B71">
      <w:pPr>
        <w:spacing w:after="0" w:line="240" w:lineRule="auto"/>
        <w:ind w:left="0"/>
        <w:rPr>
          <w:sz w:val="22"/>
        </w:rPr>
      </w:pPr>
      <w:r>
        <w:rPr>
          <w:sz w:val="22"/>
        </w:rPr>
        <w:t>Úplný zoznam pomocných látok, pozri časť 6.1.</w:t>
      </w:r>
    </w:p>
    <w:p w14:paraId="68F43978" w14:textId="77777777" w:rsidR="00DA510E" w:rsidRPr="007E6137" w:rsidRDefault="00DA510E" w:rsidP="00DA510E">
      <w:pPr>
        <w:spacing w:after="0" w:line="240" w:lineRule="auto"/>
        <w:ind w:left="0" w:firstLine="0"/>
        <w:rPr>
          <w:sz w:val="22"/>
        </w:rPr>
      </w:pPr>
    </w:p>
    <w:p w14:paraId="33E6104F" w14:textId="77777777" w:rsidR="00B07789" w:rsidRPr="007E6137" w:rsidRDefault="00B07789" w:rsidP="00833B71">
      <w:pPr>
        <w:spacing w:after="0" w:line="240" w:lineRule="auto"/>
        <w:ind w:left="0" w:firstLine="0"/>
        <w:rPr>
          <w:sz w:val="22"/>
        </w:rPr>
      </w:pPr>
    </w:p>
    <w:p w14:paraId="1C0C8809" w14:textId="77777777" w:rsidR="00B07789" w:rsidRPr="00A731E1" w:rsidRDefault="00D25089" w:rsidP="002F7708">
      <w:pPr>
        <w:pStyle w:val="Nadpis1"/>
        <w:tabs>
          <w:tab w:val="center" w:pos="1935"/>
        </w:tabs>
        <w:spacing w:after="0" w:line="240" w:lineRule="auto"/>
        <w:ind w:left="567" w:hanging="567"/>
        <w:rPr>
          <w:sz w:val="22"/>
        </w:rPr>
      </w:pPr>
      <w:r>
        <w:rPr>
          <w:sz w:val="22"/>
        </w:rPr>
        <w:t xml:space="preserve">3. </w:t>
      </w:r>
      <w:r>
        <w:rPr>
          <w:sz w:val="22"/>
        </w:rPr>
        <w:tab/>
        <w:t>LIEKOVÁ FORMA</w:t>
      </w:r>
    </w:p>
    <w:p w14:paraId="27CB72E0" w14:textId="77777777" w:rsidR="00B07789" w:rsidRPr="00A731E1" w:rsidRDefault="00B07789" w:rsidP="00833B71">
      <w:pPr>
        <w:spacing w:after="0" w:line="240" w:lineRule="auto"/>
        <w:ind w:left="0" w:firstLine="0"/>
        <w:rPr>
          <w:sz w:val="22"/>
          <w:lang w:val="en-GB"/>
        </w:rPr>
      </w:pPr>
    </w:p>
    <w:p w14:paraId="4302B84B" w14:textId="570438B4" w:rsidR="00B07789" w:rsidRPr="00A731E1" w:rsidRDefault="00D25089" w:rsidP="00833B71">
      <w:pPr>
        <w:spacing w:after="0" w:line="240" w:lineRule="auto"/>
        <w:ind w:left="0"/>
        <w:rPr>
          <w:sz w:val="22"/>
        </w:rPr>
      </w:pPr>
      <w:r>
        <w:rPr>
          <w:sz w:val="22"/>
        </w:rPr>
        <w:t>Filmom obalená tableta</w:t>
      </w:r>
    </w:p>
    <w:p w14:paraId="5A64E292" w14:textId="7F23160C" w:rsidR="00B07789" w:rsidRPr="00A731E1" w:rsidRDefault="00F664D9" w:rsidP="00833B71">
      <w:pPr>
        <w:spacing w:after="0" w:line="240" w:lineRule="auto"/>
        <w:ind w:left="0" w:firstLine="0"/>
        <w:rPr>
          <w:sz w:val="22"/>
        </w:rPr>
      </w:pPr>
      <w:r>
        <w:rPr>
          <w:sz w:val="22"/>
        </w:rPr>
        <w:t xml:space="preserve">Okrúhle, </w:t>
      </w:r>
      <w:r w:rsidR="008A37E3">
        <w:rPr>
          <w:sz w:val="22"/>
        </w:rPr>
        <w:t>bikonvexné,</w:t>
      </w:r>
      <w:r>
        <w:rPr>
          <w:sz w:val="22"/>
        </w:rPr>
        <w:t xml:space="preserve"> filmom obalené tablety žltej</w:t>
      </w:r>
      <w:r w:rsidR="00D007D9">
        <w:rPr>
          <w:sz w:val="22"/>
        </w:rPr>
        <w:t xml:space="preserve"> </w:t>
      </w:r>
      <w:r>
        <w:rPr>
          <w:sz w:val="22"/>
        </w:rPr>
        <w:t>farby s priemerom 5,9-6,3</w:t>
      </w:r>
      <w:r w:rsidR="00D007D9">
        <w:rPr>
          <w:sz w:val="22"/>
        </w:rPr>
        <w:t> mm.</w:t>
      </w:r>
    </w:p>
    <w:p w14:paraId="6B54E642" w14:textId="77777777" w:rsidR="00B07789" w:rsidRPr="007E6137" w:rsidRDefault="00B07789" w:rsidP="00833B71">
      <w:pPr>
        <w:spacing w:after="0" w:line="240" w:lineRule="auto"/>
        <w:ind w:left="0" w:firstLine="0"/>
        <w:rPr>
          <w:sz w:val="22"/>
        </w:rPr>
      </w:pPr>
    </w:p>
    <w:p w14:paraId="33126F68" w14:textId="77777777" w:rsidR="004A4149" w:rsidRPr="007E6137" w:rsidRDefault="004A4149" w:rsidP="00833B71">
      <w:pPr>
        <w:spacing w:after="0" w:line="240" w:lineRule="auto"/>
        <w:ind w:left="0" w:firstLine="0"/>
        <w:rPr>
          <w:sz w:val="22"/>
        </w:rPr>
      </w:pPr>
    </w:p>
    <w:p w14:paraId="6548C551" w14:textId="77777777" w:rsidR="00B07789" w:rsidRPr="00A731E1" w:rsidRDefault="00D25089" w:rsidP="002F7708">
      <w:pPr>
        <w:pStyle w:val="Nadpis1"/>
        <w:tabs>
          <w:tab w:val="center" w:pos="1872"/>
        </w:tabs>
        <w:spacing w:after="0" w:line="240" w:lineRule="auto"/>
        <w:ind w:left="567" w:hanging="567"/>
        <w:rPr>
          <w:sz w:val="22"/>
        </w:rPr>
      </w:pPr>
      <w:r>
        <w:rPr>
          <w:sz w:val="22"/>
        </w:rPr>
        <w:t xml:space="preserve">4. </w:t>
      </w:r>
      <w:r>
        <w:rPr>
          <w:sz w:val="22"/>
        </w:rPr>
        <w:tab/>
        <w:t>KLINICKÉ ÚDAJE</w:t>
      </w:r>
    </w:p>
    <w:p w14:paraId="33C69AC7" w14:textId="77777777" w:rsidR="00B07789" w:rsidRPr="007E6137" w:rsidRDefault="00B07789" w:rsidP="00833B71">
      <w:pPr>
        <w:spacing w:after="0" w:line="240" w:lineRule="auto"/>
        <w:ind w:left="0" w:firstLine="0"/>
        <w:rPr>
          <w:sz w:val="22"/>
        </w:rPr>
      </w:pPr>
    </w:p>
    <w:p w14:paraId="652CA2C7" w14:textId="77777777" w:rsidR="00B07789" w:rsidRPr="00A731E1" w:rsidRDefault="00D25089" w:rsidP="002F7708">
      <w:pPr>
        <w:pStyle w:val="Nadpis2"/>
        <w:tabs>
          <w:tab w:val="center" w:pos="1630"/>
        </w:tabs>
        <w:spacing w:after="0" w:line="240" w:lineRule="auto"/>
        <w:ind w:left="567" w:hanging="567"/>
        <w:rPr>
          <w:sz w:val="22"/>
        </w:rPr>
      </w:pPr>
      <w:r>
        <w:rPr>
          <w:b/>
          <w:sz w:val="22"/>
          <w:u w:val="none"/>
        </w:rPr>
        <w:t xml:space="preserve">4.1 </w:t>
      </w:r>
      <w:r>
        <w:rPr>
          <w:b/>
          <w:sz w:val="22"/>
          <w:u w:val="none"/>
        </w:rPr>
        <w:tab/>
        <w:t>Terapeutické indikácie</w:t>
      </w:r>
    </w:p>
    <w:p w14:paraId="7C6D8800" w14:textId="77777777" w:rsidR="00B07789" w:rsidRPr="007E6137" w:rsidRDefault="00B07789" w:rsidP="00833B71">
      <w:pPr>
        <w:spacing w:after="0" w:line="240" w:lineRule="auto"/>
        <w:ind w:left="0" w:firstLine="0"/>
        <w:rPr>
          <w:sz w:val="22"/>
        </w:rPr>
      </w:pPr>
    </w:p>
    <w:p w14:paraId="78067A83" w14:textId="71A47D53" w:rsidR="00F664D9" w:rsidRPr="00F664D9" w:rsidRDefault="00F664D9" w:rsidP="00466D21">
      <w:pPr>
        <w:spacing w:after="0" w:line="240" w:lineRule="auto"/>
        <w:ind w:left="0"/>
        <w:rPr>
          <w:sz w:val="22"/>
        </w:rPr>
      </w:pPr>
      <w:r w:rsidRPr="00F664D9">
        <w:rPr>
          <w:sz w:val="22"/>
        </w:rPr>
        <w:t xml:space="preserve">Prevencia venóznych trombembolických príhod (venous thromboembolic events, VTE) u dospelých pacientov, ktorí absolvovali elektívny chirurgický </w:t>
      </w:r>
      <w:r w:rsidRPr="003E299A">
        <w:rPr>
          <w:sz w:val="22"/>
        </w:rPr>
        <w:t>výkon na nahradenie</w:t>
      </w:r>
      <w:r w:rsidRPr="00F664D9">
        <w:rPr>
          <w:sz w:val="22"/>
        </w:rPr>
        <w:t xml:space="preserve"> bedrového alebo kolenného kĺbu.</w:t>
      </w:r>
    </w:p>
    <w:p w14:paraId="2B96F96A" w14:textId="77777777" w:rsidR="00F664D9" w:rsidRDefault="00F664D9" w:rsidP="00466D21">
      <w:pPr>
        <w:spacing w:after="0" w:line="240" w:lineRule="auto"/>
        <w:ind w:left="-5104"/>
        <w:rPr>
          <w:sz w:val="22"/>
        </w:rPr>
      </w:pPr>
    </w:p>
    <w:p w14:paraId="110774CB" w14:textId="47A8900F" w:rsidR="00B07789" w:rsidRPr="00A731E1" w:rsidRDefault="00D25089" w:rsidP="00466D21">
      <w:pPr>
        <w:spacing w:after="0" w:line="240" w:lineRule="auto"/>
        <w:ind w:left="0"/>
        <w:rPr>
          <w:sz w:val="22"/>
        </w:rPr>
      </w:pPr>
      <w:r>
        <w:rPr>
          <w:sz w:val="22"/>
        </w:rPr>
        <w:t xml:space="preserve">Prevencia </w:t>
      </w:r>
      <w:r w:rsidR="008A37E3">
        <w:rPr>
          <w:sz w:val="22"/>
        </w:rPr>
        <w:t xml:space="preserve">cievnej </w:t>
      </w:r>
      <w:r>
        <w:rPr>
          <w:sz w:val="22"/>
        </w:rPr>
        <w:t>mozgovej príhody a systémovej embólie u dospelých pacientov s nevalvulárnou fibriláciou predsiení (NVAF) s jedným alebo viacerými rizikovými faktormi, ako napríklad prekonaná cievna mozgová príhoda alebo tranzitórny ischemický atak (TIA); vek ≥ 75 rokov; hypertenzia; diabetes mellitus; symptomatické zlyh</w:t>
      </w:r>
      <w:r w:rsidR="008A37E3">
        <w:rPr>
          <w:sz w:val="22"/>
        </w:rPr>
        <w:t>ávanie srdca</w:t>
      </w:r>
      <w:r>
        <w:rPr>
          <w:sz w:val="22"/>
        </w:rPr>
        <w:t xml:space="preserve"> (NYHA trieda ≥ II).</w:t>
      </w:r>
    </w:p>
    <w:p w14:paraId="66184EE9" w14:textId="77777777" w:rsidR="00B07789" w:rsidRPr="007E6137" w:rsidRDefault="00B07789" w:rsidP="00466D21">
      <w:pPr>
        <w:spacing w:after="0" w:line="240" w:lineRule="auto"/>
        <w:ind w:left="0" w:firstLine="0"/>
        <w:rPr>
          <w:sz w:val="22"/>
        </w:rPr>
      </w:pPr>
    </w:p>
    <w:p w14:paraId="4D981F34" w14:textId="77777777" w:rsidR="00B07789" w:rsidRPr="00A731E1" w:rsidRDefault="00D25089" w:rsidP="00466D21">
      <w:pPr>
        <w:spacing w:after="0" w:line="240" w:lineRule="auto"/>
        <w:ind w:left="0"/>
        <w:rPr>
          <w:sz w:val="22"/>
        </w:rPr>
      </w:pPr>
      <w:r>
        <w:rPr>
          <w:sz w:val="22"/>
        </w:rPr>
        <w:t>Liečba hlbokej venóznej trombózy (DVT) a pľúcnej embólie (PE) a prevencia rekurentnej DVT a PE u dospelých (hemodynamicky nestabilní pacienti s PE, pozri časť 4.4).</w:t>
      </w:r>
    </w:p>
    <w:p w14:paraId="5FF1F092" w14:textId="77777777" w:rsidR="00B07789" w:rsidRPr="007E6137" w:rsidRDefault="00B07789" w:rsidP="00833B71">
      <w:pPr>
        <w:spacing w:after="0" w:line="240" w:lineRule="auto"/>
        <w:ind w:left="0" w:firstLine="0"/>
        <w:rPr>
          <w:sz w:val="22"/>
        </w:rPr>
      </w:pPr>
    </w:p>
    <w:p w14:paraId="5FA6F358" w14:textId="77777777" w:rsidR="00B07789" w:rsidRPr="00A731E1" w:rsidRDefault="00D25089" w:rsidP="002F7708">
      <w:pPr>
        <w:tabs>
          <w:tab w:val="center" w:pos="2319"/>
        </w:tabs>
        <w:spacing w:after="0" w:line="240" w:lineRule="auto"/>
        <w:ind w:left="567" w:hanging="567"/>
        <w:rPr>
          <w:sz w:val="22"/>
        </w:rPr>
      </w:pPr>
      <w:r>
        <w:rPr>
          <w:b/>
          <w:sz w:val="22"/>
        </w:rPr>
        <w:t>4.2</w:t>
      </w:r>
      <w:r>
        <w:rPr>
          <w:b/>
          <w:sz w:val="22"/>
        </w:rPr>
        <w:tab/>
        <w:t>Dávkovanie a spôsob podávania</w:t>
      </w:r>
    </w:p>
    <w:p w14:paraId="22D25CCC" w14:textId="77777777" w:rsidR="00B07789" w:rsidRPr="007E6137" w:rsidRDefault="00B07789" w:rsidP="00833B71">
      <w:pPr>
        <w:spacing w:after="0" w:line="240" w:lineRule="auto"/>
        <w:ind w:left="0" w:firstLine="0"/>
        <w:rPr>
          <w:sz w:val="22"/>
        </w:rPr>
      </w:pPr>
    </w:p>
    <w:p w14:paraId="7B3ED22D" w14:textId="77777777" w:rsidR="00B07789" w:rsidRPr="00A731E1" w:rsidRDefault="00D25089" w:rsidP="00833B71">
      <w:pPr>
        <w:pStyle w:val="Nadpis2"/>
        <w:spacing w:after="0" w:line="240" w:lineRule="auto"/>
        <w:ind w:left="0" w:firstLine="0"/>
        <w:rPr>
          <w:sz w:val="22"/>
        </w:rPr>
      </w:pPr>
      <w:r>
        <w:rPr>
          <w:sz w:val="22"/>
        </w:rPr>
        <w:t>Dávkovanie</w:t>
      </w:r>
    </w:p>
    <w:p w14:paraId="341200E9" w14:textId="77777777" w:rsidR="00B07789" w:rsidRPr="007E6137" w:rsidRDefault="00B07789" w:rsidP="00833B71">
      <w:pPr>
        <w:spacing w:after="0" w:line="240" w:lineRule="auto"/>
        <w:ind w:left="0" w:firstLine="0"/>
        <w:rPr>
          <w:sz w:val="22"/>
        </w:rPr>
      </w:pPr>
    </w:p>
    <w:p w14:paraId="22E3CA4C" w14:textId="77777777" w:rsidR="001C79BF" w:rsidRDefault="001C79BF" w:rsidP="00833B71">
      <w:pPr>
        <w:spacing w:after="0" w:line="240" w:lineRule="auto"/>
        <w:ind w:left="0"/>
        <w:rPr>
          <w:sz w:val="22"/>
        </w:rPr>
      </w:pPr>
      <w:r w:rsidRPr="001C79BF">
        <w:rPr>
          <w:i/>
          <w:sz w:val="22"/>
          <w:u w:val="single"/>
        </w:rPr>
        <w:t>Prevencia VTE (VTEp): elektívny chirurgický výkon na nahradenie bedrového alebo kolenného kĺbu</w:t>
      </w:r>
      <w:r w:rsidRPr="001C79BF">
        <w:rPr>
          <w:sz w:val="22"/>
        </w:rPr>
        <w:t xml:space="preserve"> Odporúčaná dávka je 2,5 mg apixabánu, ktorá sa užíva perorálne dvakrát denne. Začiatočná dávka sa má užiť 12 až 24 hodín po chirurgickom výkone. </w:t>
      </w:r>
    </w:p>
    <w:p w14:paraId="4D9AAE23" w14:textId="77777777" w:rsidR="001C79BF" w:rsidRDefault="001C79BF" w:rsidP="00833B71">
      <w:pPr>
        <w:spacing w:after="0" w:line="240" w:lineRule="auto"/>
        <w:ind w:left="0"/>
        <w:rPr>
          <w:sz w:val="22"/>
        </w:rPr>
      </w:pPr>
    </w:p>
    <w:p w14:paraId="42175752" w14:textId="77777777" w:rsidR="001C79BF" w:rsidRDefault="001C79BF" w:rsidP="00833B71">
      <w:pPr>
        <w:spacing w:after="0" w:line="240" w:lineRule="auto"/>
        <w:ind w:left="0"/>
        <w:rPr>
          <w:sz w:val="22"/>
        </w:rPr>
      </w:pPr>
      <w:r w:rsidRPr="001C79BF">
        <w:rPr>
          <w:sz w:val="22"/>
        </w:rPr>
        <w:t xml:space="preserve">Pri rozhodovaní o vhodnom čase podania v rámci uvedeného časového intervalu môžu lekári zvážiť potenciálne prínosy skoršej antikoagulačnej liečby na profylaxiu VTE, ako aj riziko pooperačného krvácania. </w:t>
      </w:r>
    </w:p>
    <w:p w14:paraId="37407593" w14:textId="77777777" w:rsidR="001C79BF" w:rsidRDefault="001C79BF" w:rsidP="00833B71">
      <w:pPr>
        <w:spacing w:after="0" w:line="240" w:lineRule="auto"/>
        <w:ind w:left="0"/>
        <w:rPr>
          <w:sz w:val="22"/>
        </w:rPr>
      </w:pPr>
    </w:p>
    <w:p w14:paraId="3EEB5C19" w14:textId="77777777" w:rsidR="001C79BF" w:rsidRPr="001C79BF" w:rsidRDefault="001C79BF" w:rsidP="00833B71">
      <w:pPr>
        <w:spacing w:after="0" w:line="240" w:lineRule="auto"/>
        <w:ind w:left="0"/>
        <w:rPr>
          <w:i/>
          <w:sz w:val="22"/>
        </w:rPr>
      </w:pPr>
      <w:r w:rsidRPr="001C79BF">
        <w:rPr>
          <w:i/>
          <w:sz w:val="22"/>
        </w:rPr>
        <w:t xml:space="preserve">U pacientov, ktorí absolvovali chirurgický výkon na nahradenie bedrového kĺbu </w:t>
      </w:r>
    </w:p>
    <w:p w14:paraId="33E08A85" w14:textId="77777777" w:rsidR="001C79BF" w:rsidRDefault="001C79BF" w:rsidP="00833B71">
      <w:pPr>
        <w:spacing w:after="0" w:line="240" w:lineRule="auto"/>
        <w:ind w:left="0"/>
        <w:rPr>
          <w:sz w:val="22"/>
        </w:rPr>
      </w:pPr>
      <w:r w:rsidRPr="001C79BF">
        <w:rPr>
          <w:sz w:val="22"/>
        </w:rPr>
        <w:t xml:space="preserve">Odporúčaná dĺžka liečby je 32 až 38 dní. </w:t>
      </w:r>
    </w:p>
    <w:p w14:paraId="4A41790F" w14:textId="77777777" w:rsidR="001C79BF" w:rsidRPr="001C79BF" w:rsidRDefault="001C79BF" w:rsidP="00833B71">
      <w:pPr>
        <w:spacing w:after="0" w:line="240" w:lineRule="auto"/>
        <w:ind w:left="0"/>
        <w:rPr>
          <w:i/>
          <w:sz w:val="22"/>
        </w:rPr>
      </w:pPr>
      <w:r w:rsidRPr="001C79BF">
        <w:rPr>
          <w:i/>
          <w:sz w:val="22"/>
        </w:rPr>
        <w:lastRenderedPageBreak/>
        <w:t xml:space="preserve">U pacientov, ktorí absolvovali chirurgický výkon na nahradenie kolenného kĺbu </w:t>
      </w:r>
    </w:p>
    <w:p w14:paraId="014AA808" w14:textId="4CCE0213" w:rsidR="00F664D9" w:rsidRPr="001C79BF" w:rsidRDefault="001C79BF" w:rsidP="00833B71">
      <w:pPr>
        <w:spacing w:after="0" w:line="240" w:lineRule="auto"/>
        <w:ind w:left="0"/>
        <w:rPr>
          <w:sz w:val="22"/>
        </w:rPr>
      </w:pPr>
      <w:r w:rsidRPr="001C79BF">
        <w:rPr>
          <w:sz w:val="22"/>
        </w:rPr>
        <w:t>Odporúčaná dĺžka liečby je 10 až 14 dní.</w:t>
      </w:r>
    </w:p>
    <w:p w14:paraId="243BFF98" w14:textId="77777777" w:rsidR="001C79BF" w:rsidRDefault="001C79BF" w:rsidP="00833B71">
      <w:pPr>
        <w:spacing w:after="0" w:line="240" w:lineRule="auto"/>
        <w:ind w:left="0"/>
        <w:rPr>
          <w:i/>
          <w:sz w:val="22"/>
          <w:u w:val="single" w:color="000000"/>
        </w:rPr>
      </w:pPr>
    </w:p>
    <w:p w14:paraId="31B9A829" w14:textId="35401D9A" w:rsidR="00323A37" w:rsidRDefault="00D25089" w:rsidP="00833B71">
      <w:pPr>
        <w:spacing w:after="0" w:line="240" w:lineRule="auto"/>
        <w:ind w:left="0"/>
        <w:rPr>
          <w:i/>
          <w:sz w:val="22"/>
        </w:rPr>
      </w:pPr>
      <w:r>
        <w:rPr>
          <w:i/>
          <w:sz w:val="22"/>
          <w:u w:val="single" w:color="000000"/>
        </w:rPr>
        <w:t xml:space="preserve">Prevencia </w:t>
      </w:r>
      <w:r w:rsidR="008A37E3">
        <w:rPr>
          <w:i/>
          <w:sz w:val="22"/>
          <w:u w:val="single" w:color="000000"/>
        </w:rPr>
        <w:t xml:space="preserve">cievnej </w:t>
      </w:r>
      <w:r>
        <w:rPr>
          <w:i/>
          <w:sz w:val="22"/>
          <w:u w:val="single" w:color="000000"/>
        </w:rPr>
        <w:t>mozgovej príhody a systémovej embólie u pacientov s nevalvulárnou fibriláciou predsiení (NVAF)</w:t>
      </w:r>
      <w:r>
        <w:rPr>
          <w:i/>
          <w:sz w:val="22"/>
        </w:rPr>
        <w:t xml:space="preserve"> </w:t>
      </w:r>
    </w:p>
    <w:p w14:paraId="3A750B9B" w14:textId="77777777" w:rsidR="00B07789" w:rsidRPr="00A731E1" w:rsidRDefault="00D25089" w:rsidP="00833B71">
      <w:pPr>
        <w:spacing w:after="0" w:line="240" w:lineRule="auto"/>
        <w:ind w:left="0"/>
        <w:rPr>
          <w:sz w:val="22"/>
        </w:rPr>
      </w:pPr>
      <w:r>
        <w:rPr>
          <w:sz w:val="22"/>
        </w:rPr>
        <w:t>Odporúčaná dávka je 5 mg apixabánu, ktorá sa užíva perorálne dvakrát denne.</w:t>
      </w:r>
    </w:p>
    <w:p w14:paraId="374B0390" w14:textId="77777777" w:rsidR="00B07789" w:rsidRPr="00A731E1" w:rsidRDefault="00D25089" w:rsidP="00833B71">
      <w:pPr>
        <w:spacing w:after="0" w:line="240" w:lineRule="auto"/>
        <w:ind w:left="0" w:firstLine="0"/>
        <w:rPr>
          <w:sz w:val="22"/>
        </w:rPr>
      </w:pPr>
      <w:r>
        <w:rPr>
          <w:sz w:val="22"/>
        </w:rPr>
        <w:t xml:space="preserve"> </w:t>
      </w:r>
    </w:p>
    <w:p w14:paraId="53D48560" w14:textId="77777777" w:rsidR="00B07789" w:rsidRPr="00A731E1" w:rsidRDefault="00D25089" w:rsidP="00833B71">
      <w:pPr>
        <w:spacing w:after="0" w:line="240" w:lineRule="auto"/>
        <w:ind w:left="0"/>
        <w:rPr>
          <w:sz w:val="22"/>
        </w:rPr>
      </w:pPr>
      <w:r>
        <w:rPr>
          <w:i/>
          <w:sz w:val="22"/>
        </w:rPr>
        <w:t xml:space="preserve">Zníženie dávky </w:t>
      </w:r>
    </w:p>
    <w:p w14:paraId="1B0D9A74" w14:textId="77777777" w:rsidR="00B07789" w:rsidRPr="00A731E1" w:rsidRDefault="00D25089" w:rsidP="00833B71">
      <w:pPr>
        <w:spacing w:after="0" w:line="240" w:lineRule="auto"/>
        <w:ind w:left="0" w:right="182"/>
        <w:rPr>
          <w:sz w:val="22"/>
        </w:rPr>
      </w:pPr>
      <w:r>
        <w:rPr>
          <w:sz w:val="22"/>
        </w:rPr>
        <w:t xml:space="preserve">U pacientov s NVAF a minimálne s dvoma nasledujúcimi charakteristikami: vek ≥ 80 rokov, telesná hmotnosť ≤ 60 kg alebo sérový kreatinín ≥ 1,5 mg/dl (133 mikromol/l) je odporúčaná dávka apixabánu 2,5 mg užívaná perorálne dvakrát denne. </w:t>
      </w:r>
    </w:p>
    <w:p w14:paraId="73EB212A" w14:textId="77777777" w:rsidR="00B07789" w:rsidRPr="00A731E1" w:rsidRDefault="00D25089" w:rsidP="00833B71">
      <w:pPr>
        <w:spacing w:after="0" w:line="240" w:lineRule="auto"/>
        <w:ind w:left="0" w:firstLine="0"/>
        <w:rPr>
          <w:sz w:val="22"/>
        </w:rPr>
      </w:pPr>
      <w:r>
        <w:rPr>
          <w:sz w:val="22"/>
        </w:rPr>
        <w:t xml:space="preserve"> </w:t>
      </w:r>
    </w:p>
    <w:p w14:paraId="1E643DF9" w14:textId="77777777" w:rsidR="00B07789" w:rsidRPr="00A731E1" w:rsidRDefault="00D25089" w:rsidP="00833B71">
      <w:pPr>
        <w:spacing w:after="0" w:line="240" w:lineRule="auto"/>
        <w:ind w:left="0"/>
        <w:rPr>
          <w:sz w:val="22"/>
        </w:rPr>
      </w:pPr>
      <w:r>
        <w:rPr>
          <w:sz w:val="22"/>
        </w:rPr>
        <w:t xml:space="preserve">Liečba má pokračovať dlhodobo. </w:t>
      </w:r>
    </w:p>
    <w:p w14:paraId="06AA3AB9" w14:textId="77777777" w:rsidR="00B07789" w:rsidRPr="00A731E1" w:rsidRDefault="00D25089" w:rsidP="00833B71">
      <w:pPr>
        <w:spacing w:after="0" w:line="240" w:lineRule="auto"/>
        <w:ind w:left="0" w:firstLine="0"/>
        <w:rPr>
          <w:sz w:val="22"/>
        </w:rPr>
      </w:pPr>
      <w:r>
        <w:rPr>
          <w:i/>
          <w:sz w:val="22"/>
        </w:rPr>
        <w:t xml:space="preserve"> </w:t>
      </w:r>
    </w:p>
    <w:p w14:paraId="4B9B86B3" w14:textId="77777777" w:rsidR="00B07789" w:rsidRPr="00A731E1" w:rsidRDefault="00D25089" w:rsidP="00833B71">
      <w:pPr>
        <w:spacing w:after="0" w:line="240" w:lineRule="auto"/>
        <w:ind w:left="0"/>
        <w:rPr>
          <w:sz w:val="22"/>
        </w:rPr>
      </w:pPr>
      <w:r>
        <w:rPr>
          <w:i/>
          <w:sz w:val="22"/>
          <w:u w:val="single" w:color="000000"/>
        </w:rPr>
        <w:t>Liečba DVT, liečba PE a prevencia rekurentnej DVT a PE (VTEt)</w:t>
      </w:r>
      <w:r>
        <w:rPr>
          <w:sz w:val="22"/>
        </w:rPr>
        <w:t xml:space="preserve"> </w:t>
      </w:r>
    </w:p>
    <w:p w14:paraId="288B6369" w14:textId="77777777" w:rsidR="00B07789" w:rsidRPr="00A731E1" w:rsidRDefault="00D25089" w:rsidP="00833B71">
      <w:pPr>
        <w:spacing w:after="0" w:line="240" w:lineRule="auto"/>
        <w:ind w:left="0"/>
        <w:rPr>
          <w:sz w:val="22"/>
        </w:rPr>
      </w:pPr>
      <w:r>
        <w:rPr>
          <w:sz w:val="22"/>
        </w:rPr>
        <w:t xml:space="preserve">Odporúčaná dávka apixabánu na liečbu akútnej DVT a liečbu PE je 10 mg užívaných perorálne dvakrát denne počas prvých 7 dní, po ktorých nasleduje 5 mg užívaných perorálne dvakrát denne. Na základe dostupných lekárskych odporúčaní sa má krátke trvanie liečby (minimálne 3 mesiace) zakladať na prítomnosti dočasných rizikových faktorov (napr. chirurgický zákrok v nedávnej minulosti, trauma, imobilizácia). </w:t>
      </w:r>
    </w:p>
    <w:p w14:paraId="06717995" w14:textId="77777777" w:rsidR="00B07789" w:rsidRPr="00A731E1" w:rsidRDefault="00D25089" w:rsidP="00833B71">
      <w:pPr>
        <w:spacing w:after="0" w:line="240" w:lineRule="auto"/>
        <w:ind w:left="0" w:firstLine="0"/>
        <w:rPr>
          <w:sz w:val="22"/>
        </w:rPr>
      </w:pPr>
      <w:r>
        <w:rPr>
          <w:sz w:val="22"/>
        </w:rPr>
        <w:t xml:space="preserve"> </w:t>
      </w:r>
    </w:p>
    <w:p w14:paraId="4A51F2B7" w14:textId="77777777" w:rsidR="00B07789" w:rsidRPr="00A731E1" w:rsidRDefault="00D25089" w:rsidP="00833B71">
      <w:pPr>
        <w:spacing w:after="0" w:line="240" w:lineRule="auto"/>
        <w:ind w:left="0"/>
        <w:rPr>
          <w:sz w:val="22"/>
        </w:rPr>
      </w:pPr>
      <w:r>
        <w:rPr>
          <w:sz w:val="22"/>
        </w:rPr>
        <w:t xml:space="preserve">Odporúčaná dávka apixabánu na prevenciu rekurentnej DVT a PE je 2,5 mg užívaných perorálne dvakrát denne. Ak sa indikuje na prevenciu rekurentnej DVT a PE, dávka 2,5 mg dvakrát denne sa má začať podávať po ukončení 6-mesačnej liečby apixabánom dávkou 5 mg dvakrát denne alebo iným antikoagulantom, ako je to vyznačené v tabuľke 1 nižšie (pozri tiež časť 5.1). </w:t>
      </w:r>
    </w:p>
    <w:p w14:paraId="44D9290D" w14:textId="77777777" w:rsidR="00B07789" w:rsidRPr="00A731E1" w:rsidRDefault="00D25089" w:rsidP="00833B71">
      <w:pPr>
        <w:spacing w:after="0" w:line="240" w:lineRule="auto"/>
        <w:ind w:left="0" w:firstLine="0"/>
        <w:rPr>
          <w:sz w:val="22"/>
        </w:rPr>
      </w:pPr>
      <w:r>
        <w:rPr>
          <w:sz w:val="22"/>
        </w:rPr>
        <w:t xml:space="preserve"> </w:t>
      </w:r>
    </w:p>
    <w:p w14:paraId="5A08B801" w14:textId="77777777" w:rsidR="00B07789" w:rsidRPr="00513BD2" w:rsidRDefault="00D25089" w:rsidP="00833B71">
      <w:pPr>
        <w:keepNext/>
        <w:spacing w:after="0" w:line="240" w:lineRule="auto"/>
        <w:ind w:left="0"/>
        <w:rPr>
          <w:b/>
          <w:sz w:val="22"/>
        </w:rPr>
      </w:pPr>
      <w:r>
        <w:rPr>
          <w:b/>
          <w:sz w:val="22"/>
        </w:rPr>
        <w:t xml:space="preserve">Tabuľka 1 </w:t>
      </w:r>
    </w:p>
    <w:tbl>
      <w:tblPr>
        <w:tblStyle w:val="TableGrid"/>
        <w:tblW w:w="9498" w:type="dxa"/>
        <w:tblInd w:w="-4" w:type="dxa"/>
        <w:tblCellMar>
          <w:top w:w="54" w:type="dxa"/>
          <w:left w:w="101" w:type="dxa"/>
          <w:right w:w="78" w:type="dxa"/>
        </w:tblCellMar>
        <w:tblLook w:val="04A0" w:firstRow="1" w:lastRow="0" w:firstColumn="1" w:lastColumn="0" w:noHBand="0" w:noVBand="1"/>
      </w:tblPr>
      <w:tblGrid>
        <w:gridCol w:w="3654"/>
        <w:gridCol w:w="2922"/>
        <w:gridCol w:w="2922"/>
      </w:tblGrid>
      <w:tr w:rsidR="00B07789" w:rsidRPr="00A731E1" w14:paraId="54E68EFE" w14:textId="77777777" w:rsidTr="00833B71">
        <w:trPr>
          <w:trHeight w:val="398"/>
        </w:trPr>
        <w:tc>
          <w:tcPr>
            <w:tcW w:w="3544" w:type="dxa"/>
            <w:tcBorders>
              <w:top w:val="single" w:sz="4" w:space="0" w:color="000000"/>
              <w:left w:val="single" w:sz="3" w:space="0" w:color="000000"/>
              <w:bottom w:val="single" w:sz="4" w:space="0" w:color="000000"/>
              <w:right w:val="single" w:sz="4" w:space="0" w:color="000000"/>
            </w:tcBorders>
          </w:tcPr>
          <w:p w14:paraId="1B87E7DD" w14:textId="77777777" w:rsidR="00B07789" w:rsidRPr="00A731E1" w:rsidRDefault="00D25089" w:rsidP="00833B71">
            <w:pPr>
              <w:keepNext/>
              <w:spacing w:after="0" w:line="240" w:lineRule="auto"/>
              <w:ind w:left="0" w:firstLine="0"/>
              <w:rPr>
                <w:sz w:val="22"/>
              </w:rPr>
            </w:pPr>
            <w:r>
              <w:rPr>
                <w:sz w:val="22"/>
              </w:rPr>
              <w:t xml:space="preserve"> </w:t>
            </w:r>
          </w:p>
        </w:tc>
        <w:tc>
          <w:tcPr>
            <w:tcW w:w="2835" w:type="dxa"/>
            <w:tcBorders>
              <w:top w:val="single" w:sz="4" w:space="0" w:color="000000"/>
              <w:left w:val="single" w:sz="4" w:space="0" w:color="000000"/>
              <w:bottom w:val="single" w:sz="4" w:space="0" w:color="000000"/>
              <w:right w:val="single" w:sz="3" w:space="0" w:color="000000"/>
            </w:tcBorders>
          </w:tcPr>
          <w:p w14:paraId="47D6D989" w14:textId="77777777" w:rsidR="00B07789" w:rsidRPr="00A731E1" w:rsidRDefault="00D25089" w:rsidP="00833B71">
            <w:pPr>
              <w:keepNext/>
              <w:spacing w:after="0" w:line="240" w:lineRule="auto"/>
              <w:ind w:left="0" w:firstLine="0"/>
              <w:rPr>
                <w:sz w:val="22"/>
              </w:rPr>
            </w:pPr>
            <w:r>
              <w:rPr>
                <w:sz w:val="22"/>
              </w:rPr>
              <w:t xml:space="preserve">Dávkovací režim </w:t>
            </w:r>
          </w:p>
        </w:tc>
        <w:tc>
          <w:tcPr>
            <w:tcW w:w="2835" w:type="dxa"/>
            <w:tcBorders>
              <w:top w:val="single" w:sz="4" w:space="0" w:color="000000"/>
              <w:left w:val="single" w:sz="3" w:space="0" w:color="000000"/>
              <w:bottom w:val="single" w:sz="4" w:space="0" w:color="000000"/>
              <w:right w:val="single" w:sz="3" w:space="0" w:color="000000"/>
            </w:tcBorders>
          </w:tcPr>
          <w:p w14:paraId="186424DA" w14:textId="77777777" w:rsidR="00B07789" w:rsidRPr="00A731E1" w:rsidRDefault="00D25089" w:rsidP="00833B71">
            <w:pPr>
              <w:keepNext/>
              <w:spacing w:after="0" w:line="240" w:lineRule="auto"/>
              <w:ind w:left="0" w:firstLine="0"/>
              <w:rPr>
                <w:sz w:val="22"/>
              </w:rPr>
            </w:pPr>
            <w:r>
              <w:rPr>
                <w:sz w:val="22"/>
              </w:rPr>
              <w:t xml:space="preserve">Maximálna denná dávka </w:t>
            </w:r>
          </w:p>
        </w:tc>
      </w:tr>
      <w:tr w:rsidR="00B07789" w:rsidRPr="00A731E1" w14:paraId="3D99229A" w14:textId="77777777" w:rsidTr="00833B71">
        <w:trPr>
          <w:trHeight w:val="397"/>
        </w:trPr>
        <w:tc>
          <w:tcPr>
            <w:tcW w:w="3544" w:type="dxa"/>
            <w:vMerge w:val="restart"/>
            <w:tcBorders>
              <w:top w:val="single" w:sz="4" w:space="0" w:color="000000"/>
              <w:left w:val="single" w:sz="3" w:space="0" w:color="000000"/>
              <w:bottom w:val="single" w:sz="3" w:space="0" w:color="000000"/>
              <w:right w:val="single" w:sz="4" w:space="0" w:color="000000"/>
            </w:tcBorders>
          </w:tcPr>
          <w:p w14:paraId="2C089146" w14:textId="77777777" w:rsidR="00B07789" w:rsidRPr="00A731E1" w:rsidRDefault="00D25089" w:rsidP="00833B71">
            <w:pPr>
              <w:keepNext/>
              <w:spacing w:after="0" w:line="240" w:lineRule="auto"/>
              <w:ind w:left="0" w:firstLine="0"/>
              <w:rPr>
                <w:sz w:val="22"/>
              </w:rPr>
            </w:pPr>
            <w:r>
              <w:rPr>
                <w:sz w:val="22"/>
              </w:rPr>
              <w:t xml:space="preserve">Liečba DVT alebo PE </w:t>
            </w:r>
          </w:p>
        </w:tc>
        <w:tc>
          <w:tcPr>
            <w:tcW w:w="2835" w:type="dxa"/>
            <w:tcBorders>
              <w:top w:val="single" w:sz="4" w:space="0" w:color="000000"/>
              <w:left w:val="single" w:sz="4" w:space="0" w:color="000000"/>
              <w:bottom w:val="single" w:sz="4" w:space="0" w:color="000000"/>
              <w:right w:val="single" w:sz="3" w:space="0" w:color="000000"/>
            </w:tcBorders>
          </w:tcPr>
          <w:p w14:paraId="5FB9EC97" w14:textId="77777777" w:rsidR="00B07789" w:rsidRPr="00A731E1" w:rsidRDefault="00D25089" w:rsidP="00833B71">
            <w:pPr>
              <w:keepNext/>
              <w:spacing w:after="0" w:line="240" w:lineRule="auto"/>
              <w:ind w:left="0" w:firstLine="0"/>
              <w:rPr>
                <w:sz w:val="22"/>
              </w:rPr>
            </w:pPr>
            <w:r>
              <w:rPr>
                <w:sz w:val="22"/>
              </w:rPr>
              <w:t xml:space="preserve">10 mg dvakrát denne počas prvých 7 dní, </w:t>
            </w:r>
          </w:p>
        </w:tc>
        <w:tc>
          <w:tcPr>
            <w:tcW w:w="2835" w:type="dxa"/>
            <w:tcBorders>
              <w:top w:val="single" w:sz="4" w:space="0" w:color="000000"/>
              <w:left w:val="single" w:sz="3" w:space="0" w:color="000000"/>
              <w:bottom w:val="single" w:sz="4" w:space="0" w:color="000000"/>
              <w:right w:val="single" w:sz="3" w:space="0" w:color="000000"/>
            </w:tcBorders>
          </w:tcPr>
          <w:p w14:paraId="7AB6459A" w14:textId="77777777" w:rsidR="00B07789" w:rsidRPr="00A731E1" w:rsidRDefault="00D25089" w:rsidP="00833B71">
            <w:pPr>
              <w:keepNext/>
              <w:spacing w:after="0" w:line="240" w:lineRule="auto"/>
              <w:ind w:left="0" w:firstLine="0"/>
              <w:rPr>
                <w:sz w:val="22"/>
              </w:rPr>
            </w:pPr>
            <w:r>
              <w:rPr>
                <w:sz w:val="22"/>
              </w:rPr>
              <w:t xml:space="preserve">20 mg </w:t>
            </w:r>
          </w:p>
        </w:tc>
      </w:tr>
      <w:tr w:rsidR="00B07789" w:rsidRPr="00A731E1" w14:paraId="71FDA260" w14:textId="77777777" w:rsidTr="00833B71">
        <w:trPr>
          <w:trHeight w:val="267"/>
        </w:trPr>
        <w:tc>
          <w:tcPr>
            <w:tcW w:w="3544" w:type="dxa"/>
            <w:vMerge/>
            <w:tcBorders>
              <w:top w:val="nil"/>
              <w:left w:val="single" w:sz="3" w:space="0" w:color="000000"/>
              <w:bottom w:val="single" w:sz="3" w:space="0" w:color="000000"/>
              <w:right w:val="single" w:sz="4" w:space="0" w:color="000000"/>
            </w:tcBorders>
          </w:tcPr>
          <w:p w14:paraId="36D138F3" w14:textId="77777777" w:rsidR="00B07789" w:rsidRPr="00A731E1" w:rsidRDefault="00B07789" w:rsidP="00833B71">
            <w:pPr>
              <w:keepNext/>
              <w:spacing w:after="0" w:line="240" w:lineRule="auto"/>
              <w:ind w:left="0" w:firstLine="0"/>
              <w:rPr>
                <w:sz w:val="22"/>
                <w:lang w:val="en-GB"/>
              </w:rPr>
            </w:pPr>
          </w:p>
        </w:tc>
        <w:tc>
          <w:tcPr>
            <w:tcW w:w="2835" w:type="dxa"/>
            <w:tcBorders>
              <w:top w:val="single" w:sz="4" w:space="0" w:color="000000"/>
              <w:left w:val="single" w:sz="4" w:space="0" w:color="000000"/>
              <w:bottom w:val="single" w:sz="3" w:space="0" w:color="000000"/>
              <w:right w:val="single" w:sz="3" w:space="0" w:color="000000"/>
            </w:tcBorders>
          </w:tcPr>
          <w:p w14:paraId="1382954D" w14:textId="77777777" w:rsidR="00B07789" w:rsidRPr="00A731E1" w:rsidRDefault="00D25089" w:rsidP="00833B71">
            <w:pPr>
              <w:keepNext/>
              <w:spacing w:after="0" w:line="240" w:lineRule="auto"/>
              <w:ind w:left="0" w:firstLine="0"/>
              <w:rPr>
                <w:sz w:val="22"/>
              </w:rPr>
            </w:pPr>
            <w:r>
              <w:rPr>
                <w:sz w:val="22"/>
              </w:rPr>
              <w:t xml:space="preserve">po ktorých nasleduje 5 mg dvakrát denne </w:t>
            </w:r>
          </w:p>
        </w:tc>
        <w:tc>
          <w:tcPr>
            <w:tcW w:w="2835" w:type="dxa"/>
            <w:tcBorders>
              <w:top w:val="single" w:sz="4" w:space="0" w:color="000000"/>
              <w:left w:val="single" w:sz="3" w:space="0" w:color="000000"/>
              <w:bottom w:val="single" w:sz="3" w:space="0" w:color="000000"/>
              <w:right w:val="single" w:sz="3" w:space="0" w:color="000000"/>
            </w:tcBorders>
          </w:tcPr>
          <w:p w14:paraId="13A66858" w14:textId="77777777" w:rsidR="00B07789" w:rsidRPr="00A731E1" w:rsidRDefault="00D25089" w:rsidP="00833B71">
            <w:pPr>
              <w:keepNext/>
              <w:spacing w:after="0" w:line="240" w:lineRule="auto"/>
              <w:ind w:left="0" w:firstLine="0"/>
              <w:rPr>
                <w:sz w:val="22"/>
              </w:rPr>
            </w:pPr>
            <w:r>
              <w:rPr>
                <w:sz w:val="22"/>
              </w:rPr>
              <w:t xml:space="preserve">10 mg </w:t>
            </w:r>
          </w:p>
        </w:tc>
      </w:tr>
      <w:tr w:rsidR="00B07789" w:rsidRPr="00A731E1" w14:paraId="738E1610" w14:textId="77777777" w:rsidTr="00833B71">
        <w:trPr>
          <w:trHeight w:val="797"/>
        </w:trPr>
        <w:tc>
          <w:tcPr>
            <w:tcW w:w="3544" w:type="dxa"/>
            <w:tcBorders>
              <w:top w:val="single" w:sz="3" w:space="0" w:color="000000"/>
              <w:left w:val="single" w:sz="3" w:space="0" w:color="000000"/>
              <w:bottom w:val="single" w:sz="4" w:space="0" w:color="000000"/>
              <w:right w:val="single" w:sz="4" w:space="0" w:color="000000"/>
            </w:tcBorders>
          </w:tcPr>
          <w:p w14:paraId="2A4B35BC" w14:textId="77777777" w:rsidR="00B07789" w:rsidRPr="00A731E1" w:rsidRDefault="00D25089" w:rsidP="00833B71">
            <w:pPr>
              <w:keepNext/>
              <w:spacing w:after="0" w:line="240" w:lineRule="auto"/>
              <w:ind w:left="0" w:firstLine="0"/>
              <w:rPr>
                <w:sz w:val="22"/>
              </w:rPr>
            </w:pPr>
            <w:r>
              <w:rPr>
                <w:sz w:val="22"/>
              </w:rPr>
              <w:t xml:space="preserve">Prevencia rekurentnej DVT a/alebo PE po ukončení 6-mesačnej liečby pri DVT alebo PE </w:t>
            </w:r>
          </w:p>
        </w:tc>
        <w:tc>
          <w:tcPr>
            <w:tcW w:w="2835" w:type="dxa"/>
            <w:tcBorders>
              <w:top w:val="single" w:sz="3" w:space="0" w:color="000000"/>
              <w:left w:val="single" w:sz="4" w:space="0" w:color="000000"/>
              <w:bottom w:val="single" w:sz="4" w:space="0" w:color="000000"/>
              <w:right w:val="single" w:sz="3" w:space="0" w:color="000000"/>
            </w:tcBorders>
          </w:tcPr>
          <w:p w14:paraId="225946B0" w14:textId="77777777" w:rsidR="00B07789" w:rsidRPr="00A731E1" w:rsidRDefault="00D25089" w:rsidP="00833B71">
            <w:pPr>
              <w:keepNext/>
              <w:spacing w:after="0" w:line="240" w:lineRule="auto"/>
              <w:ind w:left="0" w:firstLine="0"/>
              <w:rPr>
                <w:sz w:val="22"/>
              </w:rPr>
            </w:pPr>
            <w:r>
              <w:rPr>
                <w:sz w:val="22"/>
              </w:rPr>
              <w:t xml:space="preserve">2,5 mg dvakrát denne </w:t>
            </w:r>
          </w:p>
          <w:p w14:paraId="55F99C29" w14:textId="77777777" w:rsidR="00B07789" w:rsidRPr="00A731E1" w:rsidRDefault="00D25089" w:rsidP="00833B71">
            <w:pPr>
              <w:keepNext/>
              <w:spacing w:after="0" w:line="240" w:lineRule="auto"/>
              <w:ind w:left="0" w:firstLine="0"/>
              <w:rPr>
                <w:sz w:val="22"/>
              </w:rPr>
            </w:pPr>
            <w:r>
              <w:rPr>
                <w:sz w:val="22"/>
              </w:rPr>
              <w:t xml:space="preserve"> </w:t>
            </w:r>
          </w:p>
        </w:tc>
        <w:tc>
          <w:tcPr>
            <w:tcW w:w="2835" w:type="dxa"/>
            <w:tcBorders>
              <w:top w:val="single" w:sz="3" w:space="0" w:color="000000"/>
              <w:left w:val="single" w:sz="3" w:space="0" w:color="000000"/>
              <w:bottom w:val="single" w:sz="4" w:space="0" w:color="000000"/>
              <w:right w:val="single" w:sz="3" w:space="0" w:color="000000"/>
            </w:tcBorders>
          </w:tcPr>
          <w:p w14:paraId="63E8C302" w14:textId="77777777" w:rsidR="00B07789" w:rsidRPr="00A731E1" w:rsidRDefault="00D25089" w:rsidP="00833B71">
            <w:pPr>
              <w:keepNext/>
              <w:spacing w:after="0" w:line="240" w:lineRule="auto"/>
              <w:ind w:left="0" w:firstLine="0"/>
              <w:rPr>
                <w:sz w:val="22"/>
              </w:rPr>
            </w:pPr>
            <w:r>
              <w:rPr>
                <w:sz w:val="22"/>
              </w:rPr>
              <w:t xml:space="preserve">5 mg </w:t>
            </w:r>
          </w:p>
        </w:tc>
      </w:tr>
    </w:tbl>
    <w:p w14:paraId="2CF16B0F" w14:textId="77777777" w:rsidR="00B07789" w:rsidRPr="00A731E1" w:rsidRDefault="00D25089" w:rsidP="00833B71">
      <w:pPr>
        <w:spacing w:after="0" w:line="240" w:lineRule="auto"/>
        <w:ind w:left="0" w:firstLine="0"/>
        <w:rPr>
          <w:sz w:val="22"/>
        </w:rPr>
      </w:pPr>
      <w:r>
        <w:rPr>
          <w:sz w:val="22"/>
        </w:rPr>
        <w:t xml:space="preserve"> </w:t>
      </w:r>
    </w:p>
    <w:p w14:paraId="44A4F30B" w14:textId="77777777" w:rsidR="00B07789" w:rsidRPr="00A731E1" w:rsidRDefault="00D25089" w:rsidP="00833B71">
      <w:pPr>
        <w:spacing w:after="0" w:line="240" w:lineRule="auto"/>
        <w:ind w:left="0"/>
        <w:rPr>
          <w:sz w:val="22"/>
        </w:rPr>
      </w:pPr>
      <w:r>
        <w:rPr>
          <w:sz w:val="22"/>
        </w:rPr>
        <w:t xml:space="preserve">Celkové trvanie liečby má byť individuálne nastavené po starostlivom zhodnotení prínosu liečby oproti riziku krvácania (pozri časť 4.4) </w:t>
      </w:r>
    </w:p>
    <w:p w14:paraId="070CC99C" w14:textId="77777777" w:rsidR="00B07789" w:rsidRPr="00A731E1" w:rsidRDefault="00D25089" w:rsidP="00833B71">
      <w:pPr>
        <w:spacing w:after="0" w:line="240" w:lineRule="auto"/>
        <w:ind w:left="0" w:firstLine="0"/>
        <w:rPr>
          <w:sz w:val="22"/>
        </w:rPr>
      </w:pPr>
      <w:r>
        <w:rPr>
          <w:sz w:val="22"/>
        </w:rPr>
        <w:t xml:space="preserve"> </w:t>
      </w:r>
    </w:p>
    <w:p w14:paraId="109F2CA2" w14:textId="77777777" w:rsidR="00B07789" w:rsidRPr="00A731E1" w:rsidRDefault="00D25089" w:rsidP="00833B71">
      <w:pPr>
        <w:spacing w:after="0" w:line="240" w:lineRule="auto"/>
        <w:ind w:left="0"/>
        <w:rPr>
          <w:sz w:val="22"/>
        </w:rPr>
      </w:pPr>
      <w:r>
        <w:rPr>
          <w:i/>
          <w:sz w:val="22"/>
          <w:u w:val="single" w:color="000000"/>
        </w:rPr>
        <w:t>Vynechanie dávky</w:t>
      </w:r>
      <w:r>
        <w:rPr>
          <w:i/>
          <w:sz w:val="22"/>
        </w:rPr>
        <w:t xml:space="preserve"> </w:t>
      </w:r>
    </w:p>
    <w:p w14:paraId="457FF6DA" w14:textId="44EA4ABB" w:rsidR="00B07789" w:rsidRPr="00A731E1" w:rsidRDefault="00D25089" w:rsidP="00833B71">
      <w:pPr>
        <w:spacing w:after="0" w:line="240" w:lineRule="auto"/>
        <w:ind w:left="0"/>
        <w:rPr>
          <w:sz w:val="22"/>
        </w:rPr>
      </w:pPr>
      <w:r>
        <w:rPr>
          <w:sz w:val="22"/>
        </w:rPr>
        <w:t xml:space="preserve">Ak sa vynechá dávka, pacient má užiť </w:t>
      </w:r>
      <w:r w:rsidR="008A37E3">
        <w:rPr>
          <w:sz w:val="22"/>
        </w:rPr>
        <w:t>Polapix</w:t>
      </w:r>
      <w:r w:rsidR="00EE68B4">
        <w:rPr>
          <w:sz w:val="22"/>
        </w:rPr>
        <w:t xml:space="preserve"> </w:t>
      </w:r>
      <w:r>
        <w:rPr>
          <w:sz w:val="22"/>
        </w:rPr>
        <w:t>okamžite</w:t>
      </w:r>
      <w:r w:rsidR="008A37E3">
        <w:rPr>
          <w:sz w:val="22"/>
        </w:rPr>
        <w:t>,</w:t>
      </w:r>
      <w:r>
        <w:rPr>
          <w:sz w:val="22"/>
        </w:rPr>
        <w:t xml:space="preserve"> a potom pokračovať v užívaní dvakrát denne ako predtým. </w:t>
      </w:r>
    </w:p>
    <w:p w14:paraId="592DE548" w14:textId="77777777" w:rsidR="00B07789" w:rsidRPr="00A731E1" w:rsidRDefault="00D25089" w:rsidP="00833B71">
      <w:pPr>
        <w:spacing w:after="0" w:line="240" w:lineRule="auto"/>
        <w:ind w:left="0" w:firstLine="0"/>
        <w:rPr>
          <w:sz w:val="22"/>
        </w:rPr>
      </w:pPr>
      <w:r>
        <w:rPr>
          <w:sz w:val="22"/>
        </w:rPr>
        <w:t xml:space="preserve"> </w:t>
      </w:r>
    </w:p>
    <w:p w14:paraId="50C1DE10" w14:textId="77777777" w:rsidR="00B07789" w:rsidRPr="00A731E1" w:rsidRDefault="00D25089" w:rsidP="00833B71">
      <w:pPr>
        <w:spacing w:after="0" w:line="240" w:lineRule="auto"/>
        <w:ind w:left="0"/>
        <w:rPr>
          <w:sz w:val="22"/>
        </w:rPr>
      </w:pPr>
      <w:r>
        <w:rPr>
          <w:i/>
          <w:sz w:val="22"/>
          <w:u w:val="single" w:color="000000"/>
        </w:rPr>
        <w:t>Zmena liečby</w:t>
      </w:r>
      <w:r>
        <w:rPr>
          <w:i/>
          <w:sz w:val="22"/>
        </w:rPr>
        <w:t xml:space="preserve"> </w:t>
      </w:r>
    </w:p>
    <w:p w14:paraId="3870DCA9" w14:textId="539CB38F" w:rsidR="00B07789" w:rsidRPr="00A731E1" w:rsidRDefault="00D25089" w:rsidP="00833B71">
      <w:pPr>
        <w:spacing w:after="0" w:line="240" w:lineRule="auto"/>
        <w:ind w:left="0"/>
        <w:rPr>
          <w:sz w:val="22"/>
        </w:rPr>
      </w:pPr>
      <w:r>
        <w:rPr>
          <w:sz w:val="22"/>
        </w:rPr>
        <w:t>Zmena liečby z parenterálnych antikoagul</w:t>
      </w:r>
      <w:r w:rsidR="00F84CB0">
        <w:rPr>
          <w:sz w:val="22"/>
        </w:rPr>
        <w:t>ancií na Polapix</w:t>
      </w:r>
      <w:r>
        <w:rPr>
          <w:sz w:val="22"/>
        </w:rPr>
        <w:t xml:space="preserve"> (a naopak) sa môže uskutočniť pri ďalšej plánovanej dávke (pozri časť 4.5). Tieto lieky by sa nemali podávať sú</w:t>
      </w:r>
      <w:r w:rsidR="008A37E3">
        <w:rPr>
          <w:sz w:val="22"/>
        </w:rPr>
        <w:t>bežne</w:t>
      </w:r>
      <w:r>
        <w:rPr>
          <w:sz w:val="22"/>
        </w:rPr>
        <w:t xml:space="preserve">. </w:t>
      </w:r>
    </w:p>
    <w:p w14:paraId="5CCE18DC" w14:textId="77777777" w:rsidR="00B07789" w:rsidRPr="00A731E1" w:rsidRDefault="00D25089" w:rsidP="00833B71">
      <w:pPr>
        <w:spacing w:after="0" w:line="240" w:lineRule="auto"/>
        <w:ind w:left="0" w:firstLine="0"/>
        <w:rPr>
          <w:sz w:val="22"/>
        </w:rPr>
      </w:pPr>
      <w:r>
        <w:rPr>
          <w:i/>
          <w:sz w:val="22"/>
        </w:rPr>
        <w:t xml:space="preserve"> </w:t>
      </w:r>
    </w:p>
    <w:p w14:paraId="699C851D" w14:textId="362575E2" w:rsidR="00B07789" w:rsidRPr="00A731E1" w:rsidRDefault="00D25089" w:rsidP="00833B71">
      <w:pPr>
        <w:keepNext/>
        <w:spacing w:after="0" w:line="240" w:lineRule="auto"/>
        <w:ind w:left="0" w:firstLine="0"/>
        <w:rPr>
          <w:sz w:val="22"/>
        </w:rPr>
      </w:pPr>
      <w:r>
        <w:rPr>
          <w:i/>
          <w:sz w:val="22"/>
        </w:rPr>
        <w:t>Zmena liečby antagonistom vitam</w:t>
      </w:r>
      <w:r w:rsidR="00F84CB0">
        <w:rPr>
          <w:i/>
          <w:sz w:val="22"/>
        </w:rPr>
        <w:t>ínu K (VKA) na Polapix</w:t>
      </w:r>
      <w:r>
        <w:rPr>
          <w:i/>
          <w:sz w:val="22"/>
        </w:rPr>
        <w:t xml:space="preserve"> </w:t>
      </w:r>
    </w:p>
    <w:p w14:paraId="34AB9788" w14:textId="6B41C5AB" w:rsidR="00B07789" w:rsidRPr="00A731E1" w:rsidRDefault="00D25089" w:rsidP="00833B71">
      <w:pPr>
        <w:keepNext/>
        <w:spacing w:after="0" w:line="240" w:lineRule="auto"/>
        <w:ind w:left="0"/>
        <w:rPr>
          <w:sz w:val="22"/>
        </w:rPr>
      </w:pPr>
      <w:r>
        <w:rPr>
          <w:sz w:val="22"/>
        </w:rPr>
        <w:t xml:space="preserve">Pri zmene liečby z antagonistu vitamínu K (VKA) na </w:t>
      </w:r>
      <w:r w:rsidR="008A37E3">
        <w:rPr>
          <w:sz w:val="22"/>
        </w:rPr>
        <w:t>Polapix</w:t>
      </w:r>
      <w:r w:rsidR="00EE68B4">
        <w:rPr>
          <w:sz w:val="22"/>
        </w:rPr>
        <w:t xml:space="preserve"> </w:t>
      </w:r>
      <w:r>
        <w:rPr>
          <w:sz w:val="22"/>
        </w:rPr>
        <w:t>sa má prerušiť liečba warfarínom alebo iná liečb</w:t>
      </w:r>
      <w:r w:rsidR="00F84CB0">
        <w:rPr>
          <w:sz w:val="22"/>
        </w:rPr>
        <w:t>a VKA a liečba Polapixom</w:t>
      </w:r>
      <w:r>
        <w:rPr>
          <w:sz w:val="22"/>
        </w:rPr>
        <w:t xml:space="preserve"> sa má začať vtedy, keď je medzinárodný normalizovaný index (INR) &lt; 2. </w:t>
      </w:r>
    </w:p>
    <w:p w14:paraId="35E108C2" w14:textId="77777777" w:rsidR="00B07789" w:rsidRPr="00A731E1" w:rsidRDefault="00D25089" w:rsidP="00833B71">
      <w:pPr>
        <w:spacing w:after="0" w:line="240" w:lineRule="auto"/>
        <w:ind w:left="0" w:firstLine="0"/>
        <w:rPr>
          <w:sz w:val="22"/>
        </w:rPr>
      </w:pPr>
      <w:r>
        <w:rPr>
          <w:sz w:val="22"/>
        </w:rPr>
        <w:t xml:space="preserve"> </w:t>
      </w:r>
    </w:p>
    <w:p w14:paraId="1519D7D7" w14:textId="6950B628" w:rsidR="00B07789" w:rsidRPr="00A731E1" w:rsidRDefault="00F84CB0" w:rsidP="00432C41">
      <w:pPr>
        <w:spacing w:after="0" w:line="240" w:lineRule="auto"/>
        <w:ind w:left="10"/>
        <w:rPr>
          <w:sz w:val="22"/>
        </w:rPr>
      </w:pPr>
      <w:r>
        <w:rPr>
          <w:i/>
          <w:sz w:val="22"/>
        </w:rPr>
        <w:lastRenderedPageBreak/>
        <w:t>Zmena liečby z Polapixu</w:t>
      </w:r>
      <w:r w:rsidR="00D25089">
        <w:rPr>
          <w:i/>
          <w:sz w:val="22"/>
        </w:rPr>
        <w:t xml:space="preserve"> na liečbu VKA </w:t>
      </w:r>
    </w:p>
    <w:p w14:paraId="1B7A1306" w14:textId="5AF998E2" w:rsidR="00B07789" w:rsidRPr="00A731E1" w:rsidRDefault="00D25089" w:rsidP="00432C41">
      <w:pPr>
        <w:spacing w:after="0" w:line="240" w:lineRule="auto"/>
        <w:ind w:left="10"/>
        <w:rPr>
          <w:sz w:val="22"/>
        </w:rPr>
      </w:pPr>
      <w:r>
        <w:rPr>
          <w:sz w:val="22"/>
        </w:rPr>
        <w:t>Pri zmene liečby z</w:t>
      </w:r>
      <w:r w:rsidR="00EE68B4">
        <w:rPr>
          <w:sz w:val="22"/>
        </w:rPr>
        <w:t> </w:t>
      </w:r>
      <w:r w:rsidR="00031A5F">
        <w:rPr>
          <w:sz w:val="22"/>
        </w:rPr>
        <w:t>Polapixu</w:t>
      </w:r>
      <w:r w:rsidR="00EE68B4">
        <w:rPr>
          <w:sz w:val="22"/>
        </w:rPr>
        <w:t xml:space="preserve"> </w:t>
      </w:r>
      <w:r>
        <w:rPr>
          <w:sz w:val="22"/>
        </w:rPr>
        <w:t>na liečbu VKA sa má pokračo</w:t>
      </w:r>
      <w:r w:rsidR="00F84CB0">
        <w:rPr>
          <w:sz w:val="22"/>
        </w:rPr>
        <w:t>vať v podávaní Polapixu</w:t>
      </w:r>
      <w:r>
        <w:rPr>
          <w:sz w:val="22"/>
        </w:rPr>
        <w:t xml:space="preserve"> minimálne 2 dni po začatí liečby VKA. Po 2 dňoch súbež</w:t>
      </w:r>
      <w:r w:rsidR="00F84CB0">
        <w:rPr>
          <w:sz w:val="22"/>
        </w:rPr>
        <w:t>ného podávania Polapixu</w:t>
      </w:r>
      <w:r>
        <w:rPr>
          <w:sz w:val="22"/>
        </w:rPr>
        <w:t xml:space="preserve"> s liečbou VKA sa má pred ďalšou plá</w:t>
      </w:r>
      <w:r w:rsidR="00F84CB0">
        <w:rPr>
          <w:sz w:val="22"/>
        </w:rPr>
        <w:t>novanou dávkou Polapixu</w:t>
      </w:r>
      <w:r>
        <w:rPr>
          <w:sz w:val="22"/>
        </w:rPr>
        <w:t xml:space="preserve"> vyšetriť INR. Súbežné podávanie </w:t>
      </w:r>
      <w:r w:rsidR="00F84CB0">
        <w:rPr>
          <w:sz w:val="22"/>
        </w:rPr>
        <w:t>Polapixu</w:t>
      </w:r>
      <w:r>
        <w:rPr>
          <w:sz w:val="22"/>
        </w:rPr>
        <w:t xml:space="preserve"> a liečby VKA má pokračovať, pokiaľ sa nedosiahne hodnota INR ≥ 2. </w:t>
      </w:r>
    </w:p>
    <w:p w14:paraId="35387E55" w14:textId="77777777" w:rsidR="00B07789" w:rsidRPr="00A731E1" w:rsidRDefault="00D25089" w:rsidP="00833B71">
      <w:pPr>
        <w:spacing w:after="0" w:line="240" w:lineRule="auto"/>
        <w:ind w:left="0" w:firstLine="0"/>
        <w:rPr>
          <w:sz w:val="22"/>
        </w:rPr>
      </w:pPr>
      <w:r>
        <w:rPr>
          <w:sz w:val="22"/>
        </w:rPr>
        <w:t xml:space="preserve"> </w:t>
      </w:r>
    </w:p>
    <w:p w14:paraId="535362B6" w14:textId="77777777" w:rsidR="00B07789" w:rsidRPr="00A731E1" w:rsidRDefault="00D25089" w:rsidP="00432C41">
      <w:pPr>
        <w:spacing w:after="0" w:line="240" w:lineRule="auto"/>
        <w:ind w:left="0"/>
        <w:rPr>
          <w:sz w:val="22"/>
        </w:rPr>
      </w:pPr>
      <w:r>
        <w:rPr>
          <w:i/>
          <w:sz w:val="22"/>
          <w:u w:val="single" w:color="000000"/>
        </w:rPr>
        <w:t>Porucha funkcie obličiek</w:t>
      </w:r>
      <w:r>
        <w:rPr>
          <w:i/>
          <w:sz w:val="22"/>
        </w:rPr>
        <w:t xml:space="preserve"> </w:t>
      </w:r>
    </w:p>
    <w:p w14:paraId="40FEC62B" w14:textId="25954F27" w:rsidR="00B07789" w:rsidRPr="00A731E1" w:rsidRDefault="00D25089" w:rsidP="00432C41">
      <w:pPr>
        <w:spacing w:after="0" w:line="240" w:lineRule="auto"/>
        <w:ind w:left="0"/>
        <w:rPr>
          <w:sz w:val="22"/>
        </w:rPr>
      </w:pPr>
      <w:r>
        <w:rPr>
          <w:sz w:val="22"/>
        </w:rPr>
        <w:t xml:space="preserve">Pre pacientov s </w:t>
      </w:r>
      <w:r w:rsidR="00031A5F">
        <w:rPr>
          <w:sz w:val="22"/>
        </w:rPr>
        <w:t>miernou</w:t>
      </w:r>
      <w:r>
        <w:rPr>
          <w:sz w:val="22"/>
        </w:rPr>
        <w:t xml:space="preserve"> alebo stredne </w:t>
      </w:r>
      <w:r w:rsidR="00031A5F">
        <w:rPr>
          <w:sz w:val="22"/>
        </w:rPr>
        <w:t xml:space="preserve">závažnou </w:t>
      </w:r>
      <w:r>
        <w:rPr>
          <w:sz w:val="22"/>
        </w:rPr>
        <w:t xml:space="preserve">poruchou funkcie obličiek platia nasledujúce odporúčania: </w:t>
      </w:r>
    </w:p>
    <w:p w14:paraId="09054899" w14:textId="16147C3E" w:rsidR="00B07789" w:rsidRPr="00FF4C3B" w:rsidRDefault="00126F09" w:rsidP="00432C41">
      <w:pPr>
        <w:numPr>
          <w:ilvl w:val="0"/>
          <w:numId w:val="1"/>
        </w:numPr>
        <w:spacing w:after="0" w:line="240" w:lineRule="auto"/>
        <w:ind w:left="0" w:hanging="558"/>
        <w:rPr>
          <w:sz w:val="22"/>
        </w:rPr>
      </w:pPr>
      <w:r>
        <w:rPr>
          <w:sz w:val="22"/>
        </w:rPr>
        <w:t xml:space="preserve">na prevenciu VTE pri elektívnom chirurgickom zákroku na výmenu bedrového alebo kolenného kĺbu (VTEp), </w:t>
      </w:r>
      <w:r w:rsidR="00D25089">
        <w:rPr>
          <w:sz w:val="22"/>
        </w:rPr>
        <w:t xml:space="preserve">na liečbu DVT, liečbu PE a prevenciu rekurentnej DVT a PE (VTEt) nie je potrebná žiadna úprava dávky (pozri časť 5.2); </w:t>
      </w:r>
    </w:p>
    <w:p w14:paraId="2ABEDB6B" w14:textId="6C0A4A8E" w:rsidR="00B07789" w:rsidRPr="00A731E1" w:rsidRDefault="00D25089" w:rsidP="00432C41">
      <w:pPr>
        <w:numPr>
          <w:ilvl w:val="0"/>
          <w:numId w:val="1"/>
        </w:numPr>
        <w:spacing w:after="0" w:line="240" w:lineRule="auto"/>
        <w:ind w:left="0" w:hanging="558"/>
        <w:rPr>
          <w:sz w:val="22"/>
        </w:rPr>
      </w:pPr>
      <w:r>
        <w:rPr>
          <w:sz w:val="22"/>
        </w:rPr>
        <w:t>na prevenciu cievnej mozgovej príhody a systémovej embólie u pacientov s</w:t>
      </w:r>
      <w:r w:rsidR="00031A5F">
        <w:rPr>
          <w:sz w:val="22"/>
        </w:rPr>
        <w:t> </w:t>
      </w:r>
      <w:r>
        <w:rPr>
          <w:sz w:val="22"/>
        </w:rPr>
        <w:t>NVAF</w:t>
      </w:r>
      <w:r w:rsidR="00031A5F">
        <w:rPr>
          <w:sz w:val="22"/>
        </w:rPr>
        <w:t xml:space="preserve"> </w:t>
      </w:r>
      <w:r>
        <w:rPr>
          <w:sz w:val="22"/>
        </w:rPr>
        <w:t xml:space="preserve">a sérovým kreatinínom ≥ 1,5 mg/dl (133 mikromol/l), čo súvisí s vekom ≥ 80 rokov alebo telesnou hmotnosťou ≤ 60 kg, je potrebné zníženie dávky opísané vyššie. V neprítomnosti ostatných kritérií na zníženie dávky (vek, telesná hmotnosť) nie je potrebná žiadna úprava dávky (pozri časť 5.2). </w:t>
      </w:r>
    </w:p>
    <w:p w14:paraId="76F4566F" w14:textId="77777777" w:rsidR="00B07789" w:rsidRPr="00A731E1" w:rsidRDefault="00D25089" w:rsidP="00833B71">
      <w:pPr>
        <w:spacing w:after="0" w:line="240" w:lineRule="auto"/>
        <w:ind w:left="0" w:firstLine="0"/>
        <w:rPr>
          <w:sz w:val="22"/>
        </w:rPr>
      </w:pPr>
      <w:r>
        <w:rPr>
          <w:sz w:val="22"/>
        </w:rPr>
        <w:t xml:space="preserve"> </w:t>
      </w:r>
    </w:p>
    <w:p w14:paraId="16A4D3DE" w14:textId="61DB1D0C" w:rsidR="00B07789" w:rsidRPr="00A731E1" w:rsidRDefault="00D25089" w:rsidP="00833B71">
      <w:pPr>
        <w:spacing w:after="0" w:line="240" w:lineRule="auto"/>
        <w:ind w:left="0"/>
        <w:rPr>
          <w:sz w:val="22"/>
        </w:rPr>
      </w:pPr>
      <w:r>
        <w:rPr>
          <w:sz w:val="22"/>
        </w:rPr>
        <w:t>Na pacientov s</w:t>
      </w:r>
      <w:r w:rsidR="00031A5F">
        <w:rPr>
          <w:sz w:val="22"/>
        </w:rPr>
        <w:t>o</w:t>
      </w:r>
      <w:r>
        <w:rPr>
          <w:sz w:val="22"/>
        </w:rPr>
        <w:t xml:space="preserve"> </w:t>
      </w:r>
      <w:r w:rsidR="00031A5F">
        <w:rPr>
          <w:sz w:val="22"/>
        </w:rPr>
        <w:t>závažnou</w:t>
      </w:r>
      <w:r>
        <w:rPr>
          <w:sz w:val="22"/>
        </w:rPr>
        <w:t xml:space="preserve"> poruchou funkcie obličiek (klírens kreatinínu 15 – 29 ml/min) sa vzťahujú nasledujúce odporúčania (pozri časti 4.4 a 5.2): </w:t>
      </w:r>
    </w:p>
    <w:p w14:paraId="4C60A2B8" w14:textId="100AAF4D" w:rsidR="00B07789" w:rsidRPr="004D1985" w:rsidRDefault="00E74078" w:rsidP="004D1985">
      <w:pPr>
        <w:numPr>
          <w:ilvl w:val="0"/>
          <w:numId w:val="1"/>
        </w:numPr>
        <w:spacing w:after="0" w:line="240" w:lineRule="auto"/>
        <w:ind w:left="567" w:hanging="558"/>
        <w:rPr>
          <w:sz w:val="22"/>
        </w:rPr>
      </w:pPr>
      <w:r>
        <w:rPr>
          <w:sz w:val="22"/>
        </w:rPr>
        <w:t>na prevenciu VTE pri elektívnom chirurgickom zákroku</w:t>
      </w:r>
      <w:r w:rsidR="000005EA">
        <w:rPr>
          <w:sz w:val="22"/>
        </w:rPr>
        <w:t xml:space="preserve"> na výmenu bedrového</w:t>
      </w:r>
      <w:r>
        <w:rPr>
          <w:sz w:val="22"/>
        </w:rPr>
        <w:t xml:space="preserve"> alebo kolenného </w:t>
      </w:r>
      <w:r w:rsidR="005146F6">
        <w:rPr>
          <w:sz w:val="22"/>
        </w:rPr>
        <w:t xml:space="preserve">kĺbu (VTEp), </w:t>
      </w:r>
      <w:r w:rsidR="00D25089" w:rsidRPr="004D1985">
        <w:rPr>
          <w:sz w:val="22"/>
        </w:rPr>
        <w:t xml:space="preserve">na liečbu DVT, liečbu PE a prevenciu rekurentnej DVT a PE (VTEt) sa má apixabán používať s opatrnosťou; </w:t>
      </w:r>
    </w:p>
    <w:p w14:paraId="324F5A17" w14:textId="77777777" w:rsidR="00B07789" w:rsidRPr="00A731E1" w:rsidRDefault="00D25089" w:rsidP="00833B71">
      <w:pPr>
        <w:numPr>
          <w:ilvl w:val="0"/>
          <w:numId w:val="1"/>
        </w:numPr>
        <w:spacing w:after="0" w:line="240" w:lineRule="auto"/>
        <w:ind w:left="567" w:hanging="558"/>
        <w:rPr>
          <w:sz w:val="22"/>
        </w:rPr>
      </w:pPr>
      <w:r>
        <w:rPr>
          <w:sz w:val="22"/>
        </w:rPr>
        <w:t xml:space="preserve">na prevenciu cievnej mozgovej príhody a systémovej embólie u pacientov s NVAF majú pacienti dostávať nižšiu dávku apixabánu 2,5 mg dvakrát denne </w:t>
      </w:r>
    </w:p>
    <w:p w14:paraId="293FF7C1" w14:textId="77777777" w:rsidR="00B07789" w:rsidRPr="00A731E1" w:rsidRDefault="00D25089" w:rsidP="00833B71">
      <w:pPr>
        <w:spacing w:after="0" w:line="240" w:lineRule="auto"/>
        <w:ind w:left="0" w:firstLine="0"/>
        <w:rPr>
          <w:sz w:val="22"/>
        </w:rPr>
      </w:pPr>
      <w:r>
        <w:rPr>
          <w:sz w:val="22"/>
        </w:rPr>
        <w:t xml:space="preserve"> </w:t>
      </w:r>
    </w:p>
    <w:p w14:paraId="161060F6" w14:textId="19BE6FDF" w:rsidR="00B07789" w:rsidRPr="00A731E1" w:rsidRDefault="00D25089" w:rsidP="00432C41">
      <w:pPr>
        <w:spacing w:after="0" w:line="240" w:lineRule="auto"/>
        <w:ind w:left="0"/>
        <w:rPr>
          <w:sz w:val="22"/>
        </w:rPr>
      </w:pPr>
      <w:r>
        <w:rPr>
          <w:sz w:val="22"/>
        </w:rPr>
        <w:t xml:space="preserve">U pacientov s klírensom kreatinínu &lt; 15 ml/min alebo u pacientov </w:t>
      </w:r>
      <w:r w:rsidR="004D1985">
        <w:rPr>
          <w:sz w:val="22"/>
        </w:rPr>
        <w:t xml:space="preserve">podstupujúcich dialýzu nie sú k </w:t>
      </w:r>
      <w:r>
        <w:rPr>
          <w:sz w:val="22"/>
        </w:rPr>
        <w:t xml:space="preserve">dispozícii žiadne klinické skúsenosti, preto sa apixabán u týchto pacientov neodporúča (pozri časti 4.4 a 5.2). </w:t>
      </w:r>
    </w:p>
    <w:p w14:paraId="0D64798A" w14:textId="77777777" w:rsidR="00B07789" w:rsidRPr="00A731E1" w:rsidRDefault="00D25089" w:rsidP="00432C41">
      <w:pPr>
        <w:spacing w:after="0" w:line="240" w:lineRule="auto"/>
        <w:ind w:left="0" w:firstLine="0"/>
        <w:rPr>
          <w:sz w:val="22"/>
        </w:rPr>
      </w:pPr>
      <w:r>
        <w:rPr>
          <w:i/>
          <w:sz w:val="22"/>
        </w:rPr>
        <w:t xml:space="preserve"> </w:t>
      </w:r>
    </w:p>
    <w:p w14:paraId="62975123" w14:textId="77777777" w:rsidR="00B07789" w:rsidRPr="00A731E1" w:rsidRDefault="00D25089" w:rsidP="00432C41">
      <w:pPr>
        <w:spacing w:after="0" w:line="240" w:lineRule="auto"/>
        <w:ind w:left="0"/>
        <w:rPr>
          <w:sz w:val="22"/>
        </w:rPr>
      </w:pPr>
      <w:r>
        <w:rPr>
          <w:i/>
          <w:sz w:val="22"/>
          <w:u w:val="single" w:color="000000"/>
        </w:rPr>
        <w:t>Porucha funkcie pečene</w:t>
      </w:r>
      <w:r>
        <w:rPr>
          <w:i/>
          <w:sz w:val="22"/>
        </w:rPr>
        <w:t xml:space="preserve"> </w:t>
      </w:r>
    </w:p>
    <w:p w14:paraId="621099C8" w14:textId="7BCC943F" w:rsidR="00B07789" w:rsidRPr="00A731E1" w:rsidRDefault="00F84CB0" w:rsidP="00432C41">
      <w:pPr>
        <w:spacing w:after="0" w:line="240" w:lineRule="auto"/>
        <w:ind w:left="0"/>
        <w:rPr>
          <w:sz w:val="22"/>
        </w:rPr>
      </w:pPr>
      <w:r>
        <w:rPr>
          <w:sz w:val="22"/>
        </w:rPr>
        <w:t>Polapix</w:t>
      </w:r>
      <w:r w:rsidR="00635B73">
        <w:rPr>
          <w:sz w:val="22"/>
        </w:rPr>
        <w:t xml:space="preserve"> je kontraindikovaný u pacientov s ochorením pečene spojeným s koagulopatiou a klinicky významným rizikom krvácania (pozri časť 4.3). </w:t>
      </w:r>
    </w:p>
    <w:p w14:paraId="31E88757" w14:textId="77777777" w:rsidR="00B07789" w:rsidRPr="00A731E1" w:rsidRDefault="00D25089" w:rsidP="00432C41">
      <w:pPr>
        <w:spacing w:after="0" w:line="240" w:lineRule="auto"/>
        <w:ind w:left="0" w:firstLine="0"/>
        <w:rPr>
          <w:sz w:val="22"/>
        </w:rPr>
      </w:pPr>
      <w:r>
        <w:rPr>
          <w:sz w:val="22"/>
        </w:rPr>
        <w:t xml:space="preserve"> </w:t>
      </w:r>
    </w:p>
    <w:p w14:paraId="409CEDD8" w14:textId="2DF6521E" w:rsidR="00B07789" w:rsidRPr="00A731E1" w:rsidRDefault="00D25089" w:rsidP="00432C41">
      <w:pPr>
        <w:spacing w:after="0" w:line="240" w:lineRule="auto"/>
        <w:ind w:left="0"/>
        <w:rPr>
          <w:sz w:val="22"/>
        </w:rPr>
      </w:pPr>
      <w:r>
        <w:rPr>
          <w:sz w:val="22"/>
        </w:rPr>
        <w:t>Neodporúča sa u pacientov s</w:t>
      </w:r>
      <w:r w:rsidR="00031A5F">
        <w:rPr>
          <w:sz w:val="22"/>
        </w:rPr>
        <w:t>o</w:t>
      </w:r>
      <w:r>
        <w:rPr>
          <w:sz w:val="22"/>
        </w:rPr>
        <w:t xml:space="preserve"> </w:t>
      </w:r>
      <w:r w:rsidR="00031A5F">
        <w:rPr>
          <w:sz w:val="22"/>
        </w:rPr>
        <w:t xml:space="preserve">závažnou </w:t>
      </w:r>
      <w:r>
        <w:rPr>
          <w:sz w:val="22"/>
        </w:rPr>
        <w:t xml:space="preserve">poruchou funkcie pečene (pozri časti 4.4 a 5.2). </w:t>
      </w:r>
    </w:p>
    <w:p w14:paraId="5F5D5E1E" w14:textId="77777777" w:rsidR="00B07789" w:rsidRPr="00A731E1" w:rsidRDefault="00D25089" w:rsidP="00432C41">
      <w:pPr>
        <w:spacing w:after="0" w:line="240" w:lineRule="auto"/>
        <w:ind w:left="0" w:firstLine="0"/>
        <w:rPr>
          <w:sz w:val="22"/>
        </w:rPr>
      </w:pPr>
      <w:r>
        <w:rPr>
          <w:sz w:val="22"/>
        </w:rPr>
        <w:t xml:space="preserve"> </w:t>
      </w:r>
    </w:p>
    <w:p w14:paraId="1BF09F42" w14:textId="0BF6664A" w:rsidR="00B07789" w:rsidRPr="00A731E1" w:rsidRDefault="00D25089" w:rsidP="00432C41">
      <w:pPr>
        <w:spacing w:after="0" w:line="240" w:lineRule="auto"/>
        <w:ind w:left="0"/>
        <w:rPr>
          <w:sz w:val="22"/>
        </w:rPr>
      </w:pPr>
      <w:r>
        <w:rPr>
          <w:sz w:val="22"/>
        </w:rPr>
        <w:t xml:space="preserve">U pacientov s </w:t>
      </w:r>
      <w:r w:rsidR="00031A5F">
        <w:rPr>
          <w:sz w:val="22"/>
        </w:rPr>
        <w:t xml:space="preserve">miernou </w:t>
      </w:r>
      <w:r>
        <w:rPr>
          <w:sz w:val="22"/>
        </w:rPr>
        <w:t xml:space="preserve">alebo stredne </w:t>
      </w:r>
      <w:r w:rsidR="00031A5F">
        <w:rPr>
          <w:sz w:val="22"/>
        </w:rPr>
        <w:t xml:space="preserve">závažnou </w:t>
      </w:r>
      <w:r>
        <w:rPr>
          <w:sz w:val="22"/>
        </w:rPr>
        <w:t xml:space="preserve">poruchou funkcie pečene (Childovo-Pughovo skóre A alebo B) sa má používať s opatrnosťou. U pacientov s </w:t>
      </w:r>
      <w:r w:rsidR="00031A5F">
        <w:rPr>
          <w:sz w:val="22"/>
        </w:rPr>
        <w:t xml:space="preserve">miernou </w:t>
      </w:r>
      <w:r>
        <w:rPr>
          <w:sz w:val="22"/>
        </w:rPr>
        <w:t xml:space="preserve">alebo stredne </w:t>
      </w:r>
      <w:r w:rsidR="00031A5F">
        <w:rPr>
          <w:sz w:val="22"/>
        </w:rPr>
        <w:t>závažnou</w:t>
      </w:r>
      <w:r>
        <w:rPr>
          <w:sz w:val="22"/>
        </w:rPr>
        <w:t xml:space="preserve"> poruchou funkcie pečene sa úprava dávky nevyžaduje (pozri časti 4.4 a 5.2). </w:t>
      </w:r>
    </w:p>
    <w:p w14:paraId="791A7234" w14:textId="77777777" w:rsidR="00B07789" w:rsidRPr="00A731E1" w:rsidRDefault="00D25089" w:rsidP="00432C41">
      <w:pPr>
        <w:spacing w:after="0" w:line="240" w:lineRule="auto"/>
        <w:ind w:left="0" w:firstLine="0"/>
        <w:rPr>
          <w:sz w:val="22"/>
        </w:rPr>
      </w:pPr>
      <w:r>
        <w:rPr>
          <w:sz w:val="22"/>
        </w:rPr>
        <w:t xml:space="preserve"> </w:t>
      </w:r>
    </w:p>
    <w:p w14:paraId="069C1CD2" w14:textId="06BEE5A0" w:rsidR="00B07789" w:rsidRPr="00A731E1" w:rsidRDefault="00D25089" w:rsidP="00432C41">
      <w:pPr>
        <w:spacing w:after="0" w:line="240" w:lineRule="auto"/>
        <w:ind w:left="0"/>
        <w:rPr>
          <w:sz w:val="22"/>
        </w:rPr>
      </w:pPr>
      <w:r>
        <w:rPr>
          <w:sz w:val="22"/>
        </w:rPr>
        <w:t xml:space="preserve">Pacienti so zvýšenou hladinou pečeňových enzýmov alanínaminotransferázy (ALT)/aspartátaminotransferázy (AST) &gt; 2 x ULN (ULN – upper limit of normal, horná hranica </w:t>
      </w:r>
      <w:r w:rsidR="00031A5F">
        <w:rPr>
          <w:sz w:val="22"/>
        </w:rPr>
        <w:t>normy</w:t>
      </w:r>
      <w:r>
        <w:rPr>
          <w:sz w:val="22"/>
        </w:rPr>
        <w:t>) alebo celkového bilirubínu ≥ 1,5 x ULN boli vylúčení z klinických štúdi</w:t>
      </w:r>
      <w:r w:rsidR="00CF571F">
        <w:rPr>
          <w:sz w:val="22"/>
        </w:rPr>
        <w:t>í. Preto sa má Polapix</w:t>
      </w:r>
      <w:r>
        <w:rPr>
          <w:sz w:val="22"/>
        </w:rPr>
        <w:t xml:space="preserve"> u týchto pacientov používať s opatrnosťou (pozri časti 4.4 a 5.2). Pred </w:t>
      </w:r>
      <w:r w:rsidR="00CF571F">
        <w:rPr>
          <w:sz w:val="22"/>
        </w:rPr>
        <w:t>začatím liečby Polapixom</w:t>
      </w:r>
      <w:r>
        <w:rPr>
          <w:sz w:val="22"/>
        </w:rPr>
        <w:t xml:space="preserve"> sa má uskutočniť vyšetrenie funkcie pečene. </w:t>
      </w:r>
    </w:p>
    <w:p w14:paraId="2E0A555E" w14:textId="77777777" w:rsidR="00B07789" w:rsidRPr="00A731E1" w:rsidRDefault="00D25089" w:rsidP="00833B71">
      <w:pPr>
        <w:spacing w:after="0" w:line="240" w:lineRule="auto"/>
        <w:ind w:left="0" w:firstLine="0"/>
        <w:rPr>
          <w:sz w:val="22"/>
        </w:rPr>
      </w:pPr>
      <w:r>
        <w:rPr>
          <w:sz w:val="22"/>
        </w:rPr>
        <w:t xml:space="preserve"> </w:t>
      </w:r>
    </w:p>
    <w:p w14:paraId="5D79D003" w14:textId="77777777" w:rsidR="00B07789" w:rsidRPr="00A731E1" w:rsidRDefault="00D25089" w:rsidP="00833B71">
      <w:pPr>
        <w:spacing w:after="0" w:line="240" w:lineRule="auto"/>
        <w:ind w:left="0"/>
        <w:rPr>
          <w:sz w:val="22"/>
        </w:rPr>
      </w:pPr>
      <w:r>
        <w:rPr>
          <w:i/>
          <w:sz w:val="22"/>
          <w:u w:val="single" w:color="000000"/>
        </w:rPr>
        <w:t>Telesná hmotnosť</w:t>
      </w:r>
      <w:r>
        <w:rPr>
          <w:i/>
          <w:sz w:val="22"/>
        </w:rPr>
        <w:t xml:space="preserve"> </w:t>
      </w:r>
    </w:p>
    <w:p w14:paraId="252DED44" w14:textId="1C254B37" w:rsidR="00B07789" w:rsidRPr="00A731E1" w:rsidRDefault="000005EA" w:rsidP="00833B71">
      <w:pPr>
        <w:spacing w:after="0" w:line="240" w:lineRule="auto"/>
        <w:ind w:left="0"/>
        <w:rPr>
          <w:sz w:val="22"/>
        </w:rPr>
      </w:pPr>
      <w:r>
        <w:rPr>
          <w:sz w:val="22"/>
        </w:rPr>
        <w:t xml:space="preserve">VTEp a </w:t>
      </w:r>
      <w:r w:rsidR="00D25089">
        <w:rPr>
          <w:sz w:val="22"/>
        </w:rPr>
        <w:t>VTEt – Úprava dávky sa nevyžaduje (pozri časti 4.4 a 5.2)</w:t>
      </w:r>
      <w:r w:rsidR="00031A5F">
        <w:rPr>
          <w:sz w:val="22"/>
        </w:rPr>
        <w:t>.</w:t>
      </w:r>
      <w:r w:rsidR="00D25089">
        <w:rPr>
          <w:sz w:val="22"/>
        </w:rPr>
        <w:t xml:space="preserve"> </w:t>
      </w:r>
    </w:p>
    <w:p w14:paraId="6DF40BF0" w14:textId="77777777" w:rsidR="00FF4C3B" w:rsidRPr="007E6137" w:rsidRDefault="00FF4C3B" w:rsidP="00833B71">
      <w:pPr>
        <w:spacing w:after="0" w:line="240" w:lineRule="auto"/>
        <w:ind w:left="0" w:firstLine="0"/>
        <w:rPr>
          <w:sz w:val="22"/>
        </w:rPr>
      </w:pPr>
    </w:p>
    <w:p w14:paraId="467AE5E8" w14:textId="3274FB81" w:rsidR="00B07789" w:rsidRDefault="00D25089" w:rsidP="00833B71">
      <w:pPr>
        <w:spacing w:after="0" w:line="240" w:lineRule="auto"/>
        <w:ind w:left="0" w:firstLine="0"/>
        <w:rPr>
          <w:sz w:val="22"/>
        </w:rPr>
      </w:pPr>
      <w:r>
        <w:rPr>
          <w:sz w:val="22"/>
        </w:rPr>
        <w:t>NVAF – Úprava dávky sa nevyžaduje, pokiaľ nevyhovuj</w:t>
      </w:r>
      <w:r w:rsidR="00CF571F">
        <w:rPr>
          <w:sz w:val="22"/>
        </w:rPr>
        <w:t>e kritériám na zníženie dávky (</w:t>
      </w:r>
      <w:r>
        <w:rPr>
          <w:sz w:val="22"/>
        </w:rPr>
        <w:t xml:space="preserve">pozri </w:t>
      </w:r>
      <w:r>
        <w:rPr>
          <w:i/>
          <w:iCs/>
          <w:sz w:val="22"/>
        </w:rPr>
        <w:t>Zníženie dávky</w:t>
      </w:r>
      <w:r>
        <w:rPr>
          <w:sz w:val="22"/>
        </w:rPr>
        <w:t xml:space="preserve"> na začiatku časti 4.2). </w:t>
      </w:r>
    </w:p>
    <w:p w14:paraId="73D2C886" w14:textId="77777777" w:rsidR="00FF4C3B" w:rsidRPr="007E6137" w:rsidRDefault="00FF4C3B" w:rsidP="00833B71">
      <w:pPr>
        <w:spacing w:after="0" w:line="240" w:lineRule="auto"/>
        <w:ind w:left="0" w:firstLine="0"/>
        <w:rPr>
          <w:sz w:val="22"/>
        </w:rPr>
      </w:pPr>
    </w:p>
    <w:p w14:paraId="7863B550" w14:textId="77777777" w:rsidR="00B07789" w:rsidRPr="00A731E1" w:rsidRDefault="00D25089" w:rsidP="00833B71">
      <w:pPr>
        <w:spacing w:after="0" w:line="240" w:lineRule="auto"/>
        <w:ind w:left="0" w:firstLine="0"/>
        <w:rPr>
          <w:sz w:val="22"/>
        </w:rPr>
      </w:pPr>
      <w:r>
        <w:rPr>
          <w:i/>
          <w:sz w:val="22"/>
          <w:u w:val="single" w:color="000000"/>
        </w:rPr>
        <w:t>Pohlavie</w:t>
      </w:r>
      <w:r>
        <w:rPr>
          <w:i/>
          <w:sz w:val="22"/>
        </w:rPr>
        <w:t xml:space="preserve"> </w:t>
      </w:r>
    </w:p>
    <w:p w14:paraId="242FA8FD" w14:textId="77777777" w:rsidR="00B07789" w:rsidRPr="00A731E1" w:rsidRDefault="00D25089" w:rsidP="00833B71">
      <w:pPr>
        <w:spacing w:after="0" w:line="240" w:lineRule="auto"/>
        <w:ind w:left="0"/>
        <w:rPr>
          <w:sz w:val="22"/>
        </w:rPr>
      </w:pPr>
      <w:r>
        <w:rPr>
          <w:sz w:val="22"/>
        </w:rPr>
        <w:t xml:space="preserve">Úprava dávky sa nevyžaduje (pozri časť 5.2). </w:t>
      </w:r>
    </w:p>
    <w:p w14:paraId="5372AD2D" w14:textId="77777777" w:rsidR="00B07789" w:rsidRPr="00A731E1" w:rsidRDefault="00D25089" w:rsidP="00833B71">
      <w:pPr>
        <w:spacing w:after="0" w:line="240" w:lineRule="auto"/>
        <w:ind w:left="0" w:firstLine="0"/>
        <w:rPr>
          <w:sz w:val="22"/>
        </w:rPr>
      </w:pPr>
      <w:r>
        <w:rPr>
          <w:sz w:val="22"/>
        </w:rPr>
        <w:lastRenderedPageBreak/>
        <w:t xml:space="preserve"> </w:t>
      </w:r>
    </w:p>
    <w:p w14:paraId="716A8B2F" w14:textId="7EBB8FC1" w:rsidR="00B07789" w:rsidRPr="00A731E1" w:rsidRDefault="00D25089" w:rsidP="00432C41">
      <w:pPr>
        <w:spacing w:after="0" w:line="240" w:lineRule="auto"/>
        <w:ind w:left="10"/>
        <w:rPr>
          <w:sz w:val="22"/>
        </w:rPr>
      </w:pPr>
      <w:r>
        <w:rPr>
          <w:i/>
          <w:sz w:val="22"/>
          <w:u w:val="single" w:color="000000"/>
        </w:rPr>
        <w:t xml:space="preserve">Starší </w:t>
      </w:r>
      <w:r w:rsidR="00031A5F">
        <w:rPr>
          <w:i/>
          <w:sz w:val="22"/>
          <w:u w:val="single" w:color="000000"/>
        </w:rPr>
        <w:t>pacienti</w:t>
      </w:r>
      <w:r w:rsidR="00031A5F">
        <w:rPr>
          <w:i/>
          <w:sz w:val="22"/>
        </w:rPr>
        <w:t xml:space="preserve"> </w:t>
      </w:r>
    </w:p>
    <w:p w14:paraId="543963B2" w14:textId="2762A4EF" w:rsidR="00B07789" w:rsidRPr="00A731E1" w:rsidRDefault="000005EA" w:rsidP="00432C41">
      <w:pPr>
        <w:spacing w:after="0" w:line="240" w:lineRule="auto"/>
        <w:ind w:left="10"/>
        <w:rPr>
          <w:sz w:val="22"/>
        </w:rPr>
      </w:pPr>
      <w:r>
        <w:rPr>
          <w:sz w:val="22"/>
        </w:rPr>
        <w:t xml:space="preserve">VTEp a </w:t>
      </w:r>
      <w:r w:rsidR="00D25089">
        <w:rPr>
          <w:sz w:val="22"/>
        </w:rPr>
        <w:t xml:space="preserve">VTEt – Úprava dávky sa nevyžaduje (pozri časti 4.4 a 5.2) </w:t>
      </w:r>
    </w:p>
    <w:p w14:paraId="38B287C5" w14:textId="7DC32953" w:rsidR="00B07789" w:rsidRDefault="00D25089" w:rsidP="009E1735">
      <w:pPr>
        <w:spacing w:after="0" w:line="240" w:lineRule="auto"/>
        <w:ind w:left="0" w:firstLine="0"/>
        <w:rPr>
          <w:sz w:val="22"/>
        </w:rPr>
      </w:pPr>
      <w:r>
        <w:rPr>
          <w:sz w:val="22"/>
        </w:rPr>
        <w:t>NVAF – Úprava dávky sa nevyžaduje, pokiaľ nevyhovuj</w:t>
      </w:r>
      <w:r w:rsidR="00CF571F">
        <w:rPr>
          <w:sz w:val="22"/>
        </w:rPr>
        <w:t>e kritériám na zníženie dávky (</w:t>
      </w:r>
      <w:r>
        <w:rPr>
          <w:sz w:val="22"/>
        </w:rPr>
        <w:t xml:space="preserve">pozri </w:t>
      </w:r>
      <w:r>
        <w:rPr>
          <w:i/>
          <w:iCs/>
          <w:sz w:val="22"/>
        </w:rPr>
        <w:t>Zníženie dávky</w:t>
      </w:r>
      <w:r>
        <w:rPr>
          <w:sz w:val="22"/>
        </w:rPr>
        <w:t xml:space="preserve"> na začiatku časti 4.2). </w:t>
      </w:r>
    </w:p>
    <w:p w14:paraId="72665E82" w14:textId="5C448C73" w:rsidR="009E1735" w:rsidRPr="007E6137" w:rsidRDefault="009E1735" w:rsidP="009E1735">
      <w:pPr>
        <w:spacing w:after="0" w:line="240" w:lineRule="auto"/>
        <w:ind w:left="0" w:firstLine="0"/>
        <w:rPr>
          <w:sz w:val="22"/>
        </w:rPr>
      </w:pPr>
    </w:p>
    <w:p w14:paraId="2606A932" w14:textId="77777777" w:rsidR="009E1735" w:rsidRPr="000E7AF5" w:rsidRDefault="009E1735" w:rsidP="009E1735">
      <w:pPr>
        <w:spacing w:after="0" w:line="240" w:lineRule="auto"/>
        <w:ind w:left="0" w:firstLine="0"/>
        <w:rPr>
          <w:i/>
          <w:iCs/>
          <w:sz w:val="22"/>
          <w:u w:val="single"/>
        </w:rPr>
      </w:pPr>
      <w:r>
        <w:rPr>
          <w:i/>
          <w:sz w:val="22"/>
          <w:u w:val="single"/>
        </w:rPr>
        <w:t>Pacienti podstupujúci katetrizačnú abláciu (NVAF)</w:t>
      </w:r>
    </w:p>
    <w:p w14:paraId="4CCCEEEB" w14:textId="19BDEBA2" w:rsidR="009E1735" w:rsidRPr="00A731E1" w:rsidRDefault="009E1735" w:rsidP="000E7AF5">
      <w:pPr>
        <w:spacing w:after="0" w:line="240" w:lineRule="auto"/>
        <w:ind w:left="0" w:firstLine="0"/>
        <w:rPr>
          <w:sz w:val="22"/>
        </w:rPr>
      </w:pPr>
      <w:r>
        <w:rPr>
          <w:sz w:val="22"/>
        </w:rPr>
        <w:t>Pacienti môžu pokračovať v užívaní apixabánu, keď podstupujú katetrizačnú abláciu (pozri časti 4.3, 4.4 a 4.5)</w:t>
      </w:r>
      <w:r w:rsidR="00031A5F">
        <w:rPr>
          <w:sz w:val="22"/>
        </w:rPr>
        <w:t>.</w:t>
      </w:r>
    </w:p>
    <w:p w14:paraId="0229F297" w14:textId="77777777" w:rsidR="009C2829" w:rsidRPr="007E6137" w:rsidRDefault="009C2829" w:rsidP="00833B71">
      <w:pPr>
        <w:spacing w:after="0" w:line="240" w:lineRule="auto"/>
        <w:ind w:left="0" w:firstLine="0"/>
        <w:rPr>
          <w:i/>
          <w:sz w:val="22"/>
          <w:u w:val="single" w:color="000000"/>
        </w:rPr>
      </w:pPr>
    </w:p>
    <w:p w14:paraId="340F5DD2" w14:textId="351BAF89" w:rsidR="00B07789" w:rsidRPr="00A731E1" w:rsidRDefault="00D25089" w:rsidP="00833B71">
      <w:pPr>
        <w:spacing w:after="0" w:line="240" w:lineRule="auto"/>
        <w:ind w:left="0" w:firstLine="0"/>
        <w:rPr>
          <w:sz w:val="22"/>
        </w:rPr>
      </w:pPr>
      <w:r>
        <w:rPr>
          <w:i/>
          <w:sz w:val="22"/>
          <w:u w:val="single" w:color="000000"/>
        </w:rPr>
        <w:t>Pacienti podstupujúci kardioverziu</w:t>
      </w:r>
    </w:p>
    <w:p w14:paraId="4C8EFF2E" w14:textId="77777777" w:rsidR="00B07789" w:rsidRPr="00A731E1" w:rsidRDefault="00D25089" w:rsidP="00833B71">
      <w:pPr>
        <w:spacing w:after="0" w:line="240" w:lineRule="auto"/>
        <w:ind w:left="0"/>
        <w:rPr>
          <w:sz w:val="22"/>
        </w:rPr>
      </w:pPr>
      <w:r>
        <w:rPr>
          <w:sz w:val="22"/>
        </w:rPr>
        <w:t>Apixabán sa môže začať užívať alebo sa v jeho užívaní môže pokračovať u pacientov s NVAF, ktorí môžu vyžadovať kardioverziu.</w:t>
      </w:r>
    </w:p>
    <w:p w14:paraId="24E062E7" w14:textId="77777777" w:rsidR="00B07789" w:rsidRPr="007E6137" w:rsidRDefault="00B07789" w:rsidP="00833B71">
      <w:pPr>
        <w:spacing w:after="0" w:line="240" w:lineRule="auto"/>
        <w:ind w:left="0" w:firstLine="0"/>
        <w:rPr>
          <w:sz w:val="22"/>
        </w:rPr>
      </w:pPr>
    </w:p>
    <w:p w14:paraId="29B8B901" w14:textId="70B81405" w:rsidR="009E1735" w:rsidRPr="009E1735" w:rsidRDefault="00D25089" w:rsidP="009E1735">
      <w:pPr>
        <w:spacing w:after="0" w:line="240" w:lineRule="auto"/>
        <w:ind w:left="0"/>
        <w:rPr>
          <w:sz w:val="22"/>
        </w:rPr>
      </w:pPr>
      <w:r>
        <w:rPr>
          <w:sz w:val="22"/>
        </w:rPr>
        <w:t xml:space="preserve">U pacientov predtým </w:t>
      </w:r>
      <w:r w:rsidR="00DC3053">
        <w:rPr>
          <w:sz w:val="22"/>
        </w:rPr>
        <w:t>neliečených antikoagulanciami</w:t>
      </w:r>
      <w:r>
        <w:rPr>
          <w:sz w:val="22"/>
        </w:rPr>
        <w:t xml:space="preserve"> sa m</w:t>
      </w:r>
      <w:r w:rsidR="00DC3053">
        <w:rPr>
          <w:sz w:val="22"/>
        </w:rPr>
        <w:t>ajú</w:t>
      </w:r>
      <w:r>
        <w:rPr>
          <w:sz w:val="22"/>
        </w:rPr>
        <w:t xml:space="preserve"> </w:t>
      </w:r>
      <w:r w:rsidR="00DC3053">
        <w:rPr>
          <w:sz w:val="22"/>
        </w:rPr>
        <w:t xml:space="preserve">za účelom vylúčenia trombu v ľavej predsieni </w:t>
      </w:r>
    </w:p>
    <w:p w14:paraId="061B6130" w14:textId="4B8BB7BF" w:rsidR="009E1735" w:rsidRDefault="00DC3053" w:rsidP="00CF571F">
      <w:pPr>
        <w:spacing w:after="0" w:line="240" w:lineRule="auto"/>
        <w:ind w:left="0"/>
        <w:rPr>
          <w:sz w:val="22"/>
        </w:rPr>
      </w:pPr>
      <w:r>
        <w:rPr>
          <w:sz w:val="22"/>
        </w:rPr>
        <w:t>p</w:t>
      </w:r>
      <w:r w:rsidR="009E1735">
        <w:rPr>
          <w:sz w:val="22"/>
        </w:rPr>
        <w:t>ouži</w:t>
      </w:r>
      <w:r>
        <w:rPr>
          <w:sz w:val="22"/>
        </w:rPr>
        <w:t xml:space="preserve">ť </w:t>
      </w:r>
      <w:r w:rsidRPr="00DC3053">
        <w:rPr>
          <w:sz w:val="22"/>
        </w:rPr>
        <w:t>zobrazovacie metódy</w:t>
      </w:r>
      <w:r w:rsidR="009E1735" w:rsidRPr="00DC3053">
        <w:rPr>
          <w:sz w:val="22"/>
        </w:rPr>
        <w:t xml:space="preserve"> (</w:t>
      </w:r>
      <w:r w:rsidR="009E1735">
        <w:rPr>
          <w:sz w:val="22"/>
        </w:rPr>
        <w:t>napr. transezofágová echokardiografia (TEE) alebo počítačov</w:t>
      </w:r>
      <w:r>
        <w:rPr>
          <w:sz w:val="22"/>
        </w:rPr>
        <w:t xml:space="preserve">á </w:t>
      </w:r>
      <w:r w:rsidR="009E1735">
        <w:rPr>
          <w:sz w:val="22"/>
        </w:rPr>
        <w:t xml:space="preserve"> tomografi</w:t>
      </w:r>
      <w:r>
        <w:rPr>
          <w:sz w:val="22"/>
        </w:rPr>
        <w:t>a</w:t>
      </w:r>
      <w:r w:rsidR="00CF571F">
        <w:rPr>
          <w:sz w:val="22"/>
        </w:rPr>
        <w:t xml:space="preserve"> (CT)</w:t>
      </w:r>
      <w:r w:rsidR="009E1735">
        <w:rPr>
          <w:sz w:val="22"/>
        </w:rPr>
        <w:t xml:space="preserve"> priamo pred kardioverziou, v súlade so štandardnými terapeutickými postupmi.</w:t>
      </w:r>
    </w:p>
    <w:p w14:paraId="6495CCF1" w14:textId="77777777" w:rsidR="00205666" w:rsidRPr="007E6137" w:rsidRDefault="00205666" w:rsidP="000E7AF5">
      <w:pPr>
        <w:keepNext/>
        <w:spacing w:after="0" w:line="240" w:lineRule="auto"/>
        <w:ind w:left="0" w:hanging="11"/>
        <w:rPr>
          <w:sz w:val="22"/>
        </w:rPr>
      </w:pPr>
    </w:p>
    <w:p w14:paraId="4E1848DE" w14:textId="77777777" w:rsidR="00205666" w:rsidRDefault="009E1735" w:rsidP="000E7AF5">
      <w:pPr>
        <w:keepNext/>
        <w:spacing w:after="0" w:line="240" w:lineRule="auto"/>
        <w:ind w:left="0" w:hanging="11"/>
        <w:rPr>
          <w:sz w:val="22"/>
        </w:rPr>
      </w:pPr>
      <w:r>
        <w:rPr>
          <w:sz w:val="22"/>
        </w:rPr>
        <w:t xml:space="preserve">U pacientov, ktorí začínajú s liečbou apixabánom, sa má podávať 5 mg dvakrát denne najmenej 2,5 dňa </w:t>
      </w:r>
    </w:p>
    <w:p w14:paraId="4F3EED91" w14:textId="3B2497B3" w:rsidR="00B07789" w:rsidRPr="00A731E1" w:rsidRDefault="009E1735" w:rsidP="00CF571F">
      <w:pPr>
        <w:keepNext/>
        <w:spacing w:after="0" w:line="240" w:lineRule="auto"/>
        <w:ind w:left="0" w:hanging="11"/>
        <w:rPr>
          <w:sz w:val="22"/>
        </w:rPr>
      </w:pPr>
      <w:r>
        <w:rPr>
          <w:sz w:val="22"/>
        </w:rPr>
        <w:t>(5 jednotlivých dávok) pred kardioverziou, aby sa zabezpečila adekvátna antikoagulácia (pozri časť 5.1). Dávkovací</w:t>
      </w:r>
      <w:r w:rsidR="00CF571F">
        <w:rPr>
          <w:sz w:val="22"/>
        </w:rPr>
        <w:t xml:space="preserve"> </w:t>
      </w:r>
      <w:r>
        <w:rPr>
          <w:sz w:val="22"/>
        </w:rPr>
        <w:t>režim sa má zredukovať na 2,5 mg apixabánu dvakrát denne najmenej 2,5 dňa (5 jednotlivých dávok),</w:t>
      </w:r>
      <w:r w:rsidR="00CF571F">
        <w:rPr>
          <w:sz w:val="22"/>
        </w:rPr>
        <w:t xml:space="preserve"> </w:t>
      </w:r>
      <w:r>
        <w:rPr>
          <w:sz w:val="22"/>
        </w:rPr>
        <w:t xml:space="preserve">ak pacient spĺňa kritériá na zníženie dávky (pozri vyššie uvedené časti </w:t>
      </w:r>
      <w:r>
        <w:rPr>
          <w:i/>
          <w:iCs/>
          <w:sz w:val="22"/>
        </w:rPr>
        <w:t>Zníženie dávky a Porucha funkcie</w:t>
      </w:r>
      <w:r w:rsidR="00CF571F">
        <w:rPr>
          <w:sz w:val="22"/>
        </w:rPr>
        <w:t xml:space="preserve"> </w:t>
      </w:r>
      <w:r>
        <w:rPr>
          <w:i/>
          <w:sz w:val="22"/>
        </w:rPr>
        <w:t>obličiek</w:t>
      </w:r>
      <w:r>
        <w:rPr>
          <w:sz w:val="22"/>
        </w:rPr>
        <w:t>).</w:t>
      </w:r>
    </w:p>
    <w:p w14:paraId="3C2CAF9D" w14:textId="77777777" w:rsidR="00B07789" w:rsidRPr="007E6137" w:rsidRDefault="00B07789" w:rsidP="00833B71">
      <w:pPr>
        <w:spacing w:after="0" w:line="240" w:lineRule="auto"/>
        <w:ind w:left="0" w:firstLine="0"/>
        <w:rPr>
          <w:sz w:val="22"/>
        </w:rPr>
      </w:pPr>
    </w:p>
    <w:p w14:paraId="1959EF02" w14:textId="241D61E3" w:rsidR="00B07789" w:rsidRPr="00A731E1" w:rsidRDefault="00D25089" w:rsidP="00833B71">
      <w:pPr>
        <w:spacing w:after="0" w:line="240" w:lineRule="auto"/>
        <w:ind w:left="0"/>
        <w:rPr>
          <w:sz w:val="22"/>
        </w:rPr>
      </w:pPr>
      <w:r w:rsidRPr="002D37F0">
        <w:rPr>
          <w:sz w:val="22"/>
        </w:rPr>
        <w:t xml:space="preserve">Ak je kardioverzia nutná predtým, ako sa môže podať 5 dávok apixabánu, má sa podať  </w:t>
      </w:r>
      <w:r w:rsidRPr="00244659">
        <w:rPr>
          <w:sz w:val="22"/>
        </w:rPr>
        <w:t xml:space="preserve">nasycovacia dávka </w:t>
      </w:r>
      <w:r w:rsidR="00244659">
        <w:rPr>
          <w:sz w:val="22"/>
        </w:rPr>
        <w:t xml:space="preserve">10 mg </w:t>
      </w:r>
      <w:r w:rsidRPr="00244659">
        <w:rPr>
          <w:sz w:val="22"/>
        </w:rPr>
        <w:t xml:space="preserve">a po nej 5 mg dvakrát denne. Ak pacient spĺňa kritériá na zníženie dávky (pozri vyššie časti </w:t>
      </w:r>
      <w:r w:rsidRPr="00244659">
        <w:rPr>
          <w:i/>
          <w:iCs/>
          <w:sz w:val="22"/>
        </w:rPr>
        <w:t xml:space="preserve">Zníženie dávky </w:t>
      </w:r>
      <w:r w:rsidRPr="00244659">
        <w:rPr>
          <w:sz w:val="22"/>
        </w:rPr>
        <w:t>a</w:t>
      </w:r>
      <w:r w:rsidRPr="00244659">
        <w:rPr>
          <w:i/>
          <w:iCs/>
          <w:sz w:val="22"/>
        </w:rPr>
        <w:t xml:space="preserve"> Porucha funkcie obličiek),</w:t>
      </w:r>
      <w:r w:rsidRPr="00244659">
        <w:rPr>
          <w:sz w:val="22"/>
        </w:rPr>
        <w:t xml:space="preserve"> dávkovací režim sa má redukovať na  nasycovaciu dávku</w:t>
      </w:r>
      <w:r w:rsidR="00244659">
        <w:rPr>
          <w:sz w:val="22"/>
        </w:rPr>
        <w:t xml:space="preserve"> 5 mg</w:t>
      </w:r>
      <w:r w:rsidRPr="00244659">
        <w:rPr>
          <w:sz w:val="22"/>
        </w:rPr>
        <w:t>, po ktorej nasleduje 2,5 mg dvakrát denne. Podanie nasycovacej dávky</w:t>
      </w:r>
      <w:r>
        <w:rPr>
          <w:sz w:val="22"/>
        </w:rPr>
        <w:t xml:space="preserve"> sa má realizovať najmenej 2 hodiny pred kardioverziou (pozri časť 5.1).</w:t>
      </w:r>
    </w:p>
    <w:p w14:paraId="2A32D274" w14:textId="77777777" w:rsidR="007876C1" w:rsidRPr="007E6137" w:rsidRDefault="007876C1" w:rsidP="00833B71">
      <w:pPr>
        <w:spacing w:after="0" w:line="240" w:lineRule="auto"/>
        <w:ind w:left="0"/>
        <w:rPr>
          <w:sz w:val="22"/>
        </w:rPr>
      </w:pPr>
    </w:p>
    <w:p w14:paraId="7AC084DA" w14:textId="4FF988E6" w:rsidR="00B07789" w:rsidRDefault="0076665A" w:rsidP="00833B71">
      <w:pPr>
        <w:spacing w:after="0" w:line="240" w:lineRule="auto"/>
        <w:ind w:left="0"/>
        <w:rPr>
          <w:sz w:val="22"/>
        </w:rPr>
      </w:pPr>
      <w:r>
        <w:rPr>
          <w:sz w:val="22"/>
        </w:rPr>
        <w:t>U všetkých pacientov podstupujúcich kardioverziu sa má pred kardioverziou overiť, či pacient užíval apixabán podľa predpisu. Pri rozhodovaní o začatí a trvaní liečby sa majú brať do úvahy štandardné terapeutické postupy pre antikoagulačnú liečbu u pacientov, ktorí podstupujú kardioverziu.</w:t>
      </w:r>
    </w:p>
    <w:p w14:paraId="7EC4B420" w14:textId="5B3F2EA1" w:rsidR="00B32E98" w:rsidRPr="007E6137" w:rsidRDefault="00B32E98" w:rsidP="00833B71">
      <w:pPr>
        <w:spacing w:after="0" w:line="240" w:lineRule="auto"/>
        <w:ind w:left="0"/>
        <w:rPr>
          <w:sz w:val="22"/>
        </w:rPr>
      </w:pPr>
    </w:p>
    <w:p w14:paraId="39895553" w14:textId="78DC3B3D" w:rsidR="00B32E98" w:rsidRPr="000E7AF5" w:rsidRDefault="00B32E98" w:rsidP="00CF571F">
      <w:pPr>
        <w:spacing w:after="0" w:line="240" w:lineRule="auto"/>
        <w:ind w:left="0"/>
        <w:rPr>
          <w:sz w:val="22"/>
          <w:u w:val="single"/>
        </w:rPr>
      </w:pPr>
      <w:r>
        <w:rPr>
          <w:sz w:val="22"/>
          <w:u w:val="single"/>
        </w:rPr>
        <w:t>Pacienti s NVAF a akútnym koronárnym syndrómom (acute coronary syndrome, ACS) a/alebo perkutánnou koronárnou intervenciou (percutaneous coronary intervention,</w:t>
      </w:r>
      <w:r w:rsidR="00CF571F">
        <w:rPr>
          <w:sz w:val="22"/>
          <w:u w:val="single"/>
        </w:rPr>
        <w:t xml:space="preserve"> </w:t>
      </w:r>
      <w:r>
        <w:rPr>
          <w:sz w:val="22"/>
          <w:u w:val="single"/>
        </w:rPr>
        <w:t>PCI)</w:t>
      </w:r>
    </w:p>
    <w:p w14:paraId="649B248C" w14:textId="77777777" w:rsidR="00B32E98" w:rsidRPr="00B32E98" w:rsidRDefault="00B32E98" w:rsidP="00B32E98">
      <w:pPr>
        <w:spacing w:after="0" w:line="240" w:lineRule="auto"/>
        <w:ind w:left="0"/>
        <w:rPr>
          <w:sz w:val="22"/>
        </w:rPr>
      </w:pPr>
      <w:r>
        <w:rPr>
          <w:sz w:val="22"/>
        </w:rPr>
        <w:t>Existujú len obmedzené skúsenosti s liečbou apixabánom v odporúčanej dávke pre NVAF</w:t>
      </w:r>
    </w:p>
    <w:p w14:paraId="2ED5EF12" w14:textId="57269A85" w:rsidR="00B32E98" w:rsidRPr="00B32E98" w:rsidRDefault="00B32E98" w:rsidP="00B32E98">
      <w:pPr>
        <w:spacing w:after="0" w:line="240" w:lineRule="auto"/>
        <w:ind w:left="0"/>
        <w:rPr>
          <w:sz w:val="22"/>
        </w:rPr>
      </w:pPr>
      <w:r>
        <w:rPr>
          <w:sz w:val="22"/>
        </w:rPr>
        <w:t xml:space="preserve">v kombinácii s </w:t>
      </w:r>
      <w:r w:rsidR="00251C0E">
        <w:rPr>
          <w:sz w:val="22"/>
        </w:rPr>
        <w:t xml:space="preserve">antiagregačnou </w:t>
      </w:r>
      <w:r>
        <w:rPr>
          <w:sz w:val="22"/>
        </w:rPr>
        <w:t>liečbou u pacientov s ACS a/alebo u pacientov, ktorí podstúpili PCI</w:t>
      </w:r>
    </w:p>
    <w:p w14:paraId="604141B4" w14:textId="77777777" w:rsidR="00B32E98" w:rsidRPr="00B32E98" w:rsidRDefault="00B32E98" w:rsidP="00B32E98">
      <w:pPr>
        <w:spacing w:after="0" w:line="240" w:lineRule="auto"/>
        <w:ind w:left="0"/>
        <w:rPr>
          <w:sz w:val="22"/>
        </w:rPr>
      </w:pPr>
      <w:r>
        <w:rPr>
          <w:sz w:val="22"/>
        </w:rPr>
        <w:t>po dosiahnutí hemostázy (pozri časti 4.4, 5.1).</w:t>
      </w:r>
    </w:p>
    <w:p w14:paraId="46B5A1CC" w14:textId="77777777" w:rsidR="00B07789" w:rsidRPr="007E6137" w:rsidRDefault="00B07789" w:rsidP="00833B71">
      <w:pPr>
        <w:spacing w:after="0" w:line="240" w:lineRule="auto"/>
        <w:ind w:left="0" w:firstLine="0"/>
        <w:rPr>
          <w:sz w:val="22"/>
        </w:rPr>
      </w:pPr>
    </w:p>
    <w:p w14:paraId="410CD9AA" w14:textId="77777777" w:rsidR="00B07789" w:rsidRPr="00A731E1" w:rsidRDefault="00D25089" w:rsidP="00833B71">
      <w:pPr>
        <w:keepNext/>
        <w:spacing w:after="0" w:line="240" w:lineRule="auto"/>
        <w:ind w:left="0" w:hanging="11"/>
        <w:rPr>
          <w:sz w:val="22"/>
        </w:rPr>
      </w:pPr>
      <w:r>
        <w:rPr>
          <w:i/>
          <w:sz w:val="22"/>
          <w:u w:val="single" w:color="000000"/>
        </w:rPr>
        <w:t>Pediatrická populácia</w:t>
      </w:r>
    </w:p>
    <w:p w14:paraId="25071E55" w14:textId="27D59401" w:rsidR="00B07789" w:rsidRPr="00A731E1" w:rsidRDefault="00D25089" w:rsidP="00833B71">
      <w:pPr>
        <w:spacing w:after="0" w:line="240" w:lineRule="auto"/>
        <w:ind w:left="0"/>
        <w:rPr>
          <w:sz w:val="22"/>
        </w:rPr>
      </w:pPr>
      <w:r>
        <w:rPr>
          <w:sz w:val="22"/>
        </w:rPr>
        <w:t>Bezpečn</w:t>
      </w:r>
      <w:r w:rsidR="00CF571F">
        <w:rPr>
          <w:sz w:val="22"/>
        </w:rPr>
        <w:t>osť a účinnosť Polapixu</w:t>
      </w:r>
      <w:r>
        <w:rPr>
          <w:sz w:val="22"/>
        </w:rPr>
        <w:t xml:space="preserve"> u detí a dospievajúcich vo veku do 18 rokov sa nestanovila. K dispozícii nie sú žiadne údaje.</w:t>
      </w:r>
    </w:p>
    <w:p w14:paraId="1D2378F9" w14:textId="77777777" w:rsidR="00B07789" w:rsidRPr="007E6137" w:rsidRDefault="00B07789" w:rsidP="00833B71">
      <w:pPr>
        <w:spacing w:after="0" w:line="240" w:lineRule="auto"/>
        <w:ind w:left="0" w:firstLine="0"/>
        <w:rPr>
          <w:sz w:val="22"/>
        </w:rPr>
      </w:pPr>
    </w:p>
    <w:p w14:paraId="74E4B6FB" w14:textId="77777777" w:rsidR="00B07789" w:rsidRPr="00A731E1" w:rsidRDefault="00D25089" w:rsidP="00833B71">
      <w:pPr>
        <w:pStyle w:val="Nadpis2"/>
        <w:spacing w:after="0" w:line="240" w:lineRule="auto"/>
        <w:ind w:left="0"/>
        <w:rPr>
          <w:sz w:val="22"/>
        </w:rPr>
      </w:pPr>
      <w:r>
        <w:rPr>
          <w:sz w:val="22"/>
        </w:rPr>
        <w:t>Spôsob podávania</w:t>
      </w:r>
    </w:p>
    <w:p w14:paraId="054CA2D0" w14:textId="77777777" w:rsidR="00B07789" w:rsidRPr="007E6137" w:rsidRDefault="00B07789" w:rsidP="00833B71">
      <w:pPr>
        <w:spacing w:after="0" w:line="240" w:lineRule="auto"/>
        <w:ind w:left="0" w:firstLine="0"/>
        <w:rPr>
          <w:sz w:val="22"/>
        </w:rPr>
      </w:pPr>
    </w:p>
    <w:p w14:paraId="680EC121" w14:textId="77777777" w:rsidR="00B07789" w:rsidRPr="00A731E1" w:rsidRDefault="00D25089" w:rsidP="00833B71">
      <w:pPr>
        <w:spacing w:after="0" w:line="240" w:lineRule="auto"/>
        <w:ind w:left="0"/>
        <w:rPr>
          <w:sz w:val="22"/>
        </w:rPr>
      </w:pPr>
      <w:r>
        <w:rPr>
          <w:sz w:val="22"/>
        </w:rPr>
        <w:t>Perorálne použitie</w:t>
      </w:r>
    </w:p>
    <w:p w14:paraId="1913F857" w14:textId="294C162E" w:rsidR="00B07789" w:rsidRPr="00A731E1" w:rsidRDefault="00CF571F" w:rsidP="00833B71">
      <w:pPr>
        <w:spacing w:after="0" w:line="240" w:lineRule="auto"/>
        <w:ind w:left="0"/>
        <w:rPr>
          <w:sz w:val="22"/>
        </w:rPr>
      </w:pPr>
      <w:r>
        <w:rPr>
          <w:sz w:val="22"/>
        </w:rPr>
        <w:t>Polapix</w:t>
      </w:r>
      <w:r w:rsidR="00635B73">
        <w:rPr>
          <w:sz w:val="22"/>
        </w:rPr>
        <w:t xml:space="preserve"> sa má prehltnúť a zapiť vodou, s jedlom alebo bez jedla.</w:t>
      </w:r>
    </w:p>
    <w:p w14:paraId="2E2AE3EB" w14:textId="77777777" w:rsidR="00B07789" w:rsidRPr="007E6137" w:rsidRDefault="00B07789" w:rsidP="00833B71">
      <w:pPr>
        <w:spacing w:after="0" w:line="240" w:lineRule="auto"/>
        <w:ind w:left="0" w:firstLine="0"/>
        <w:rPr>
          <w:sz w:val="22"/>
        </w:rPr>
      </w:pPr>
    </w:p>
    <w:p w14:paraId="3E767EB2" w14:textId="76E00B22" w:rsidR="00B07789" w:rsidRPr="00A731E1" w:rsidRDefault="00D25089" w:rsidP="00833B71">
      <w:pPr>
        <w:spacing w:after="0" w:line="240" w:lineRule="auto"/>
        <w:ind w:left="0"/>
        <w:rPr>
          <w:sz w:val="22"/>
        </w:rPr>
      </w:pPr>
      <w:r>
        <w:rPr>
          <w:sz w:val="22"/>
        </w:rPr>
        <w:t>Pacienti, ktorí nedokážu prehltnúť celé tablety</w:t>
      </w:r>
      <w:r w:rsidR="00CF571F">
        <w:rPr>
          <w:sz w:val="22"/>
        </w:rPr>
        <w:t>, môžu tablety Polapixu</w:t>
      </w:r>
      <w:r>
        <w:rPr>
          <w:sz w:val="22"/>
        </w:rPr>
        <w:t xml:space="preserve"> rozdrviť a </w:t>
      </w:r>
      <w:r w:rsidR="00251C0E">
        <w:rPr>
          <w:sz w:val="22"/>
        </w:rPr>
        <w:t xml:space="preserve">suspendovať </w:t>
      </w:r>
      <w:r>
        <w:rPr>
          <w:sz w:val="22"/>
        </w:rPr>
        <w:t>vo vode, v 5 %</w:t>
      </w:r>
      <w:r w:rsidR="00251C0E">
        <w:rPr>
          <w:sz w:val="22"/>
        </w:rPr>
        <w:t xml:space="preserve"> vodnom</w:t>
      </w:r>
      <w:r>
        <w:rPr>
          <w:sz w:val="22"/>
        </w:rPr>
        <w:t xml:space="preserve"> roztoku</w:t>
      </w:r>
      <w:r w:rsidR="00251C0E">
        <w:rPr>
          <w:sz w:val="22"/>
        </w:rPr>
        <w:t xml:space="preserve"> glukózy</w:t>
      </w:r>
      <w:r>
        <w:rPr>
          <w:sz w:val="22"/>
        </w:rPr>
        <w:t xml:space="preserve"> (D5W) alebo v jablkovom džúse</w:t>
      </w:r>
      <w:r w:rsidR="00CF571F">
        <w:rPr>
          <w:sz w:val="22"/>
        </w:rPr>
        <w:t>,</w:t>
      </w:r>
      <w:r>
        <w:rPr>
          <w:sz w:val="22"/>
        </w:rPr>
        <w:t xml:space="preserve"> alebo rozmiešať v jablkovom pyré a ihneď </w:t>
      </w:r>
      <w:r w:rsidR="00251C0E">
        <w:rPr>
          <w:sz w:val="22"/>
        </w:rPr>
        <w:t xml:space="preserve">perorálne užiť </w:t>
      </w:r>
      <w:r>
        <w:rPr>
          <w:sz w:val="22"/>
        </w:rPr>
        <w:t>(pozri časť 5.2). Alternatí</w:t>
      </w:r>
      <w:r w:rsidR="00CF571F">
        <w:rPr>
          <w:sz w:val="22"/>
        </w:rPr>
        <w:t>vne sa tablety Polapixu</w:t>
      </w:r>
      <w:r>
        <w:rPr>
          <w:sz w:val="22"/>
        </w:rPr>
        <w:t xml:space="preserve"> môžu rozdrviť a </w:t>
      </w:r>
      <w:r w:rsidR="00251C0E">
        <w:rPr>
          <w:sz w:val="22"/>
        </w:rPr>
        <w:t xml:space="preserve">suspendovať </w:t>
      </w:r>
      <w:r>
        <w:rPr>
          <w:sz w:val="22"/>
        </w:rPr>
        <w:t xml:space="preserve">v </w:t>
      </w:r>
      <w:r>
        <w:rPr>
          <w:sz w:val="22"/>
        </w:rPr>
        <w:lastRenderedPageBreak/>
        <w:t xml:space="preserve">60 ml vody alebo D5W a ihneď podať cez nazogastrickú </w:t>
      </w:r>
      <w:r w:rsidR="00251C0E" w:rsidRPr="00CC5089">
        <w:rPr>
          <w:sz w:val="22"/>
        </w:rPr>
        <w:t>sondu</w:t>
      </w:r>
      <w:r w:rsidR="00251C0E">
        <w:rPr>
          <w:sz w:val="22"/>
        </w:rPr>
        <w:t xml:space="preserve"> </w:t>
      </w:r>
      <w:r>
        <w:rPr>
          <w:sz w:val="22"/>
        </w:rPr>
        <w:t>(pozri časť 5.2). Roz</w:t>
      </w:r>
      <w:r w:rsidR="002013DA">
        <w:rPr>
          <w:sz w:val="22"/>
        </w:rPr>
        <w:t>drvené tablety Polapixu</w:t>
      </w:r>
      <w:r>
        <w:rPr>
          <w:sz w:val="22"/>
        </w:rPr>
        <w:t xml:space="preserve"> sú stabilné vo vode, D5W, jablkovom džúse a jablkovom pyré do 4 hodín.</w:t>
      </w:r>
    </w:p>
    <w:p w14:paraId="62E741B6" w14:textId="77777777" w:rsidR="00B07789" w:rsidRPr="007E6137" w:rsidRDefault="00B07789" w:rsidP="00833B71">
      <w:pPr>
        <w:spacing w:after="0" w:line="240" w:lineRule="auto"/>
        <w:ind w:left="0" w:firstLine="0"/>
        <w:rPr>
          <w:sz w:val="22"/>
        </w:rPr>
      </w:pPr>
    </w:p>
    <w:p w14:paraId="5CD0D528" w14:textId="77777777" w:rsidR="00B07789" w:rsidRPr="00A731E1" w:rsidRDefault="00D25089" w:rsidP="002F7708">
      <w:pPr>
        <w:pStyle w:val="Nadpis3"/>
        <w:tabs>
          <w:tab w:val="center" w:pos="1381"/>
        </w:tabs>
        <w:spacing w:after="0" w:line="240" w:lineRule="auto"/>
        <w:ind w:left="567" w:hanging="567"/>
        <w:rPr>
          <w:sz w:val="22"/>
        </w:rPr>
      </w:pPr>
      <w:r>
        <w:rPr>
          <w:sz w:val="22"/>
        </w:rPr>
        <w:t xml:space="preserve">4.3 </w:t>
      </w:r>
      <w:r>
        <w:rPr>
          <w:sz w:val="22"/>
        </w:rPr>
        <w:tab/>
        <w:t>Kontraindikácie</w:t>
      </w:r>
      <w:r>
        <w:rPr>
          <w:b w:val="0"/>
          <w:sz w:val="22"/>
        </w:rPr>
        <w:t xml:space="preserve"> </w:t>
      </w:r>
    </w:p>
    <w:p w14:paraId="528E4AE7" w14:textId="77777777" w:rsidR="00B07789" w:rsidRPr="00A731E1" w:rsidRDefault="00D25089" w:rsidP="00833B71">
      <w:pPr>
        <w:spacing w:after="0" w:line="240" w:lineRule="auto"/>
        <w:ind w:left="0" w:firstLine="0"/>
        <w:rPr>
          <w:sz w:val="22"/>
        </w:rPr>
      </w:pPr>
      <w:r>
        <w:rPr>
          <w:sz w:val="22"/>
        </w:rPr>
        <w:t xml:space="preserve"> </w:t>
      </w:r>
    </w:p>
    <w:p w14:paraId="37DC64EC" w14:textId="77777777" w:rsidR="00B07789" w:rsidRPr="00A731E1" w:rsidRDefault="00D25089" w:rsidP="00833B71">
      <w:pPr>
        <w:numPr>
          <w:ilvl w:val="0"/>
          <w:numId w:val="8"/>
        </w:numPr>
        <w:spacing w:after="0" w:line="240" w:lineRule="auto"/>
        <w:ind w:left="567" w:hanging="567"/>
        <w:rPr>
          <w:sz w:val="22"/>
        </w:rPr>
      </w:pPr>
      <w:r>
        <w:rPr>
          <w:sz w:val="22"/>
        </w:rPr>
        <w:t xml:space="preserve">Precitlivenosť na liečivo alebo na ktorúkoľvek z pomocných látok uvedených v časti 6.1. </w:t>
      </w:r>
    </w:p>
    <w:p w14:paraId="1D1885E2" w14:textId="77777777" w:rsidR="00B07789" w:rsidRPr="00A731E1" w:rsidRDefault="00D25089" w:rsidP="00833B71">
      <w:pPr>
        <w:numPr>
          <w:ilvl w:val="0"/>
          <w:numId w:val="8"/>
        </w:numPr>
        <w:spacing w:after="0" w:line="240" w:lineRule="auto"/>
        <w:ind w:left="567" w:hanging="567"/>
        <w:rPr>
          <w:sz w:val="22"/>
        </w:rPr>
      </w:pPr>
      <w:r>
        <w:rPr>
          <w:sz w:val="22"/>
        </w:rPr>
        <w:t xml:space="preserve">Aktívne, klinicky významné krvácanie. </w:t>
      </w:r>
    </w:p>
    <w:p w14:paraId="50D4E1E7" w14:textId="77777777" w:rsidR="00B07789" w:rsidRPr="00A731E1" w:rsidRDefault="00D25089" w:rsidP="00833B71">
      <w:pPr>
        <w:numPr>
          <w:ilvl w:val="0"/>
          <w:numId w:val="8"/>
        </w:numPr>
        <w:spacing w:after="0" w:line="240" w:lineRule="auto"/>
        <w:ind w:left="567" w:hanging="567"/>
        <w:rPr>
          <w:sz w:val="22"/>
        </w:rPr>
      </w:pPr>
      <w:r>
        <w:rPr>
          <w:sz w:val="22"/>
        </w:rPr>
        <w:t xml:space="preserve">Ochorenie pečene spojené s koagulopatiou a klinicky významným rizikom krvácania (pozri časť 5.2). </w:t>
      </w:r>
    </w:p>
    <w:p w14:paraId="11EB3A9B" w14:textId="77777777" w:rsidR="00B07789" w:rsidRPr="00A731E1" w:rsidRDefault="00D25089" w:rsidP="00833B71">
      <w:pPr>
        <w:numPr>
          <w:ilvl w:val="0"/>
          <w:numId w:val="8"/>
        </w:numPr>
        <w:spacing w:after="0" w:line="240" w:lineRule="auto"/>
        <w:ind w:left="567" w:hanging="567"/>
        <w:rPr>
          <w:sz w:val="22"/>
        </w:rPr>
      </w:pPr>
      <w:r>
        <w:rPr>
          <w:sz w:val="22"/>
        </w:rPr>
        <w:t xml:space="preserve">Lézia alebo ochorenie, ak sa považuje za významný rizikový faktor závažného krvácania. Môže to zahŕňať súčasnú alebo nedávnu gastrointestinálnu ulceráciu, prítomnosť malígnych novotvarov s vysokým rizikom krvácania, nedávne poranenie mozgu alebo chrbtice, nedávny chirurgický zákrok na mozgu, chrbtici alebo oku, nedávnu intrakraniálnu hemorágiu, známe alebo suspektné ezofagové varixy, artériovenózne malformácie, vaskulárne aneuryzmy alebo významné intraspinálne alebo intracerebrálne vaskulárne abnormality. </w:t>
      </w:r>
    </w:p>
    <w:p w14:paraId="0833FE11" w14:textId="2AE94D86" w:rsidR="00B07789" w:rsidRPr="003531E1" w:rsidRDefault="00D25089" w:rsidP="00833B71">
      <w:pPr>
        <w:numPr>
          <w:ilvl w:val="0"/>
          <w:numId w:val="8"/>
        </w:numPr>
        <w:spacing w:after="0" w:line="240" w:lineRule="auto"/>
        <w:ind w:left="567" w:hanging="567"/>
        <w:rPr>
          <w:sz w:val="22"/>
        </w:rPr>
      </w:pPr>
      <w:r>
        <w:rPr>
          <w:sz w:val="22"/>
        </w:rPr>
        <w:t>Súbežná liečba ak</w:t>
      </w:r>
      <w:r w:rsidR="00251F0B">
        <w:rPr>
          <w:sz w:val="22"/>
        </w:rPr>
        <w:t>ýmkoľvek</w:t>
      </w:r>
      <w:r>
        <w:rPr>
          <w:sz w:val="22"/>
        </w:rPr>
        <w:t xml:space="preserve"> in</w:t>
      </w:r>
      <w:r w:rsidR="00251F0B">
        <w:rPr>
          <w:sz w:val="22"/>
        </w:rPr>
        <w:t>ým</w:t>
      </w:r>
      <w:r>
        <w:rPr>
          <w:sz w:val="22"/>
        </w:rPr>
        <w:t xml:space="preserve"> antikoagulačn</w:t>
      </w:r>
      <w:r w:rsidR="00251F0B">
        <w:rPr>
          <w:sz w:val="22"/>
        </w:rPr>
        <w:t>ým</w:t>
      </w:r>
      <w:r>
        <w:rPr>
          <w:sz w:val="22"/>
        </w:rPr>
        <w:t xml:space="preserve"> l</w:t>
      </w:r>
      <w:r w:rsidR="00251F0B">
        <w:rPr>
          <w:sz w:val="22"/>
        </w:rPr>
        <w:t>iečivom</w:t>
      </w:r>
      <w:r>
        <w:rPr>
          <w:sz w:val="22"/>
        </w:rPr>
        <w:t xml:space="preserve"> napr. nefrakcionovaným heparínom (unfractionated heparin – UFH), heparínmi s nízkou molekulárnou hmotnosťou (enoxaparín, dalteparín atď.), derivátmi heparínu (fondaparín atď.), perorálnymi antikoagulanciami (warfarín, rivaroxabán, dabigatrán atď.) okrem špecifických okolností vyžadujúcich zmenu antikoagulačnej liečby (pozri časť 4.2), keď sa UFH podáva v dávkach potrebných na udržanie priechodného centrálneho žilového alebo </w:t>
      </w:r>
      <w:r w:rsidR="00251F0B">
        <w:rPr>
          <w:sz w:val="22"/>
        </w:rPr>
        <w:t xml:space="preserve">artériového </w:t>
      </w:r>
      <w:r>
        <w:rPr>
          <w:sz w:val="22"/>
        </w:rPr>
        <w:t xml:space="preserve">katétra alebo keď sa UFH podáva počas katetrizačnej ablácie z dôvodu atriálnej fibrilácie (pozri časti 4.4 a 4.5). </w:t>
      </w:r>
    </w:p>
    <w:p w14:paraId="4DA676AA" w14:textId="77777777" w:rsidR="00B07789" w:rsidRPr="00A731E1" w:rsidRDefault="00D25089" w:rsidP="00833B71">
      <w:pPr>
        <w:spacing w:after="0" w:line="240" w:lineRule="auto"/>
        <w:ind w:left="567" w:firstLine="0"/>
        <w:rPr>
          <w:sz w:val="22"/>
        </w:rPr>
      </w:pPr>
      <w:r>
        <w:rPr>
          <w:b/>
          <w:sz w:val="22"/>
        </w:rPr>
        <w:t xml:space="preserve"> </w:t>
      </w:r>
    </w:p>
    <w:p w14:paraId="06234335" w14:textId="77777777" w:rsidR="00B07789" w:rsidRPr="00A731E1" w:rsidRDefault="00D25089" w:rsidP="002F7708">
      <w:pPr>
        <w:keepNext/>
        <w:tabs>
          <w:tab w:val="center" w:pos="2396"/>
        </w:tabs>
        <w:spacing w:after="0" w:line="240" w:lineRule="auto"/>
        <w:ind w:left="567" w:hanging="567"/>
        <w:rPr>
          <w:sz w:val="22"/>
        </w:rPr>
      </w:pPr>
      <w:r>
        <w:rPr>
          <w:b/>
          <w:sz w:val="22"/>
        </w:rPr>
        <w:t xml:space="preserve">4.4 </w:t>
      </w:r>
      <w:r>
        <w:rPr>
          <w:b/>
          <w:sz w:val="22"/>
        </w:rPr>
        <w:tab/>
        <w:t xml:space="preserve">Osobitné upozornenia a opatrenia pri používaní </w:t>
      </w:r>
    </w:p>
    <w:p w14:paraId="11D60DDE" w14:textId="77777777" w:rsidR="00B07789" w:rsidRPr="00A731E1" w:rsidRDefault="00D25089" w:rsidP="00833B71">
      <w:pPr>
        <w:keepNext/>
        <w:spacing w:after="0" w:line="240" w:lineRule="auto"/>
        <w:ind w:left="0" w:firstLine="0"/>
        <w:rPr>
          <w:sz w:val="22"/>
        </w:rPr>
      </w:pPr>
      <w:r>
        <w:rPr>
          <w:sz w:val="22"/>
        </w:rPr>
        <w:t xml:space="preserve"> </w:t>
      </w:r>
    </w:p>
    <w:p w14:paraId="5BDEA74F" w14:textId="77777777" w:rsidR="00B07789" w:rsidRPr="00A731E1" w:rsidRDefault="00D25089" w:rsidP="00833B71">
      <w:pPr>
        <w:pStyle w:val="Nadpis2"/>
        <w:spacing w:after="0" w:line="240" w:lineRule="auto"/>
        <w:ind w:left="0"/>
        <w:rPr>
          <w:sz w:val="22"/>
        </w:rPr>
      </w:pPr>
      <w:r>
        <w:rPr>
          <w:sz w:val="22"/>
        </w:rPr>
        <w:t>Riziko krvácania</w:t>
      </w:r>
      <w:r>
        <w:rPr>
          <w:sz w:val="22"/>
          <w:u w:val="none"/>
        </w:rPr>
        <w:t xml:space="preserve"> </w:t>
      </w:r>
    </w:p>
    <w:p w14:paraId="07C55B3E" w14:textId="377AF8A4" w:rsidR="00B07789" w:rsidRPr="00A731E1" w:rsidRDefault="00D25089" w:rsidP="00833B71">
      <w:pPr>
        <w:keepNext/>
        <w:spacing w:after="0" w:line="240" w:lineRule="auto"/>
        <w:ind w:left="0"/>
        <w:rPr>
          <w:sz w:val="22"/>
        </w:rPr>
      </w:pPr>
      <w:r>
        <w:rPr>
          <w:sz w:val="22"/>
        </w:rPr>
        <w:t>Tak ako pri iných antikoagulanciách, a</w:t>
      </w:r>
      <w:r w:rsidR="00CF571F">
        <w:rPr>
          <w:sz w:val="22"/>
        </w:rPr>
        <w:t>j pri podávaní Polapixu</w:t>
      </w:r>
      <w:r>
        <w:rPr>
          <w:sz w:val="22"/>
        </w:rPr>
        <w:t xml:space="preserve"> je potrebné pacientov pozorne sledovať kvôli pr</w:t>
      </w:r>
      <w:r w:rsidR="008F6FAD">
        <w:rPr>
          <w:sz w:val="22"/>
        </w:rPr>
        <w:t>ejavom</w:t>
      </w:r>
      <w:r>
        <w:rPr>
          <w:sz w:val="22"/>
        </w:rPr>
        <w:t xml:space="preserve"> krvácania. V prípadoch, k</w:t>
      </w:r>
      <w:r w:rsidR="008F6FAD">
        <w:rPr>
          <w:sz w:val="22"/>
        </w:rPr>
        <w:t>eď</w:t>
      </w:r>
      <w:r>
        <w:rPr>
          <w:sz w:val="22"/>
        </w:rPr>
        <w:t xml:space="preserve"> je zvýšené riziko krvácania, sa odporúča opatrnosť. Ak sa objaví závažné krváca</w:t>
      </w:r>
      <w:r w:rsidR="00CF571F">
        <w:rPr>
          <w:sz w:val="22"/>
        </w:rPr>
        <w:t>nie, podávanie Polapixu</w:t>
      </w:r>
      <w:r>
        <w:rPr>
          <w:sz w:val="22"/>
        </w:rPr>
        <w:t xml:space="preserve"> sa má prerušiť (pozri časti 4.8 a 4.9). </w:t>
      </w:r>
    </w:p>
    <w:p w14:paraId="394A0F53" w14:textId="77777777" w:rsidR="00B07789" w:rsidRPr="00A731E1" w:rsidRDefault="00D25089" w:rsidP="00833B71">
      <w:pPr>
        <w:spacing w:after="0" w:line="240" w:lineRule="auto"/>
        <w:ind w:left="0" w:firstLine="0"/>
        <w:rPr>
          <w:sz w:val="22"/>
        </w:rPr>
      </w:pPr>
      <w:r>
        <w:rPr>
          <w:sz w:val="22"/>
        </w:rPr>
        <w:t xml:space="preserve"> </w:t>
      </w:r>
    </w:p>
    <w:p w14:paraId="693AA6A9" w14:textId="520DDC06" w:rsidR="00B07789" w:rsidRPr="00A731E1" w:rsidRDefault="00D25089" w:rsidP="00833B71">
      <w:pPr>
        <w:spacing w:after="0" w:line="240" w:lineRule="auto"/>
        <w:ind w:left="0"/>
        <w:rPr>
          <w:sz w:val="22"/>
        </w:rPr>
      </w:pPr>
      <w:r>
        <w:rPr>
          <w:sz w:val="22"/>
        </w:rPr>
        <w:t>Hoci si liečba apixabánom nevyžaduje pravidelné monitorovanie expozície, kalibrovaný kvantitatívny test na antifaktor Xa môže byť užitočný vo výnimočných situáciách, ke</w:t>
      </w:r>
      <w:r w:rsidR="008F6FAD">
        <w:rPr>
          <w:sz w:val="22"/>
        </w:rPr>
        <w:t>ď</w:t>
      </w:r>
      <w:r>
        <w:rPr>
          <w:sz w:val="22"/>
        </w:rPr>
        <w:t xml:space="preserve"> </w:t>
      </w:r>
      <w:r w:rsidR="008F6FAD">
        <w:rPr>
          <w:sz w:val="22"/>
        </w:rPr>
        <w:t xml:space="preserve">zistenie </w:t>
      </w:r>
      <w:r>
        <w:rPr>
          <w:sz w:val="22"/>
        </w:rPr>
        <w:t xml:space="preserve">expozície apixabánu môže pomôcť kvalifikovanému klinickému rozhodnutiu, napr. predávkovanie a urgentný chirurgický výkon (pozri časť 5.1). </w:t>
      </w:r>
    </w:p>
    <w:p w14:paraId="0A18947D" w14:textId="157D1B59" w:rsidR="00B07789" w:rsidRDefault="00D25089" w:rsidP="00833B71">
      <w:pPr>
        <w:spacing w:after="0" w:line="240" w:lineRule="auto"/>
        <w:ind w:left="0" w:firstLine="0"/>
        <w:rPr>
          <w:sz w:val="22"/>
        </w:rPr>
      </w:pPr>
      <w:r>
        <w:rPr>
          <w:sz w:val="22"/>
        </w:rPr>
        <w:t xml:space="preserve"> </w:t>
      </w:r>
    </w:p>
    <w:p w14:paraId="09FB2AEA" w14:textId="78BEB528" w:rsidR="00716387" w:rsidRPr="00716387" w:rsidRDefault="00716387" w:rsidP="00716387">
      <w:pPr>
        <w:spacing w:after="0" w:line="240" w:lineRule="auto"/>
        <w:ind w:left="0" w:firstLine="0"/>
        <w:rPr>
          <w:sz w:val="22"/>
        </w:rPr>
      </w:pPr>
      <w:r>
        <w:rPr>
          <w:sz w:val="22"/>
        </w:rPr>
        <w:t xml:space="preserve">K dispozícii je </w:t>
      </w:r>
      <w:r w:rsidR="008F6FAD">
        <w:rPr>
          <w:sz w:val="22"/>
        </w:rPr>
        <w:t>liečivo</w:t>
      </w:r>
      <w:r>
        <w:rPr>
          <w:sz w:val="22"/>
        </w:rPr>
        <w:t xml:space="preserve"> na zvrátenie účinku apixabánu pôsobiaceho proti faktoru Xa.</w:t>
      </w:r>
    </w:p>
    <w:p w14:paraId="37A88014" w14:textId="77777777" w:rsidR="00716387" w:rsidRPr="007E6137" w:rsidRDefault="00716387" w:rsidP="00833B71">
      <w:pPr>
        <w:spacing w:after="0" w:line="240" w:lineRule="auto"/>
        <w:ind w:left="0" w:firstLine="0"/>
        <w:rPr>
          <w:sz w:val="22"/>
        </w:rPr>
      </w:pPr>
    </w:p>
    <w:p w14:paraId="6C0532E2" w14:textId="77777777" w:rsidR="00B07789" w:rsidRPr="00A731E1" w:rsidRDefault="00D25089" w:rsidP="00833B71">
      <w:pPr>
        <w:pStyle w:val="Nadpis2"/>
        <w:spacing w:after="0" w:line="240" w:lineRule="auto"/>
        <w:ind w:left="0"/>
        <w:rPr>
          <w:sz w:val="22"/>
        </w:rPr>
      </w:pPr>
      <w:r>
        <w:rPr>
          <w:sz w:val="22"/>
        </w:rPr>
        <w:t>Interakcia s inými liekmi ovplyvňujúcimi hemostázu</w:t>
      </w:r>
      <w:r>
        <w:rPr>
          <w:sz w:val="22"/>
          <w:u w:val="none"/>
        </w:rPr>
        <w:t xml:space="preserve"> </w:t>
      </w:r>
    </w:p>
    <w:p w14:paraId="1E7E0024" w14:textId="77777777" w:rsidR="00B07789" w:rsidRPr="00A731E1" w:rsidRDefault="00D25089" w:rsidP="00833B71">
      <w:pPr>
        <w:spacing w:after="0" w:line="240" w:lineRule="auto"/>
        <w:ind w:left="0"/>
        <w:rPr>
          <w:sz w:val="22"/>
        </w:rPr>
      </w:pPr>
      <w:r>
        <w:rPr>
          <w:sz w:val="22"/>
        </w:rPr>
        <w:t xml:space="preserve">Z dôvodu zvýšeného rizika krvácania je súbežná liečba inými antikoagulanciami kontraindikovaná (pozri časť 4.3). </w:t>
      </w:r>
    </w:p>
    <w:p w14:paraId="62D81841" w14:textId="77777777" w:rsidR="00B07789" w:rsidRPr="00A731E1" w:rsidRDefault="00D25089" w:rsidP="00833B71">
      <w:pPr>
        <w:spacing w:after="0" w:line="240" w:lineRule="auto"/>
        <w:ind w:left="0" w:firstLine="0"/>
        <w:rPr>
          <w:sz w:val="22"/>
        </w:rPr>
      </w:pPr>
      <w:r>
        <w:rPr>
          <w:sz w:val="22"/>
        </w:rPr>
        <w:t xml:space="preserve"> </w:t>
      </w:r>
    </w:p>
    <w:p w14:paraId="172751C7" w14:textId="66D2C475" w:rsidR="00B07789" w:rsidRPr="00A731E1" w:rsidRDefault="00D25089" w:rsidP="00833B71">
      <w:pPr>
        <w:spacing w:after="0" w:line="240" w:lineRule="auto"/>
        <w:ind w:left="0"/>
        <w:rPr>
          <w:sz w:val="22"/>
        </w:rPr>
      </w:pPr>
      <w:r>
        <w:rPr>
          <w:sz w:val="22"/>
        </w:rPr>
        <w:t>Súbe</w:t>
      </w:r>
      <w:r w:rsidR="002013DA">
        <w:rPr>
          <w:sz w:val="22"/>
        </w:rPr>
        <w:t>žné používanie Polapixu</w:t>
      </w:r>
      <w:r>
        <w:rPr>
          <w:sz w:val="22"/>
        </w:rPr>
        <w:t xml:space="preserve"> s </w:t>
      </w:r>
      <w:r w:rsidR="008F6FAD">
        <w:rPr>
          <w:sz w:val="22"/>
        </w:rPr>
        <w:t xml:space="preserve">antiagreganciami </w:t>
      </w:r>
      <w:r>
        <w:rPr>
          <w:sz w:val="22"/>
        </w:rPr>
        <w:t>zvyšuje riziko krvácania (pozri časť 4.5)</w:t>
      </w:r>
      <w:r>
        <w:rPr>
          <w:i/>
          <w:sz w:val="22"/>
        </w:rPr>
        <w:t xml:space="preserve"> </w:t>
      </w:r>
    </w:p>
    <w:p w14:paraId="5A7902CD" w14:textId="77777777" w:rsidR="00B07789" w:rsidRPr="00A731E1" w:rsidRDefault="00D25089" w:rsidP="00833B71">
      <w:pPr>
        <w:spacing w:after="0" w:line="240" w:lineRule="auto"/>
        <w:ind w:left="0" w:firstLine="0"/>
        <w:rPr>
          <w:sz w:val="22"/>
        </w:rPr>
      </w:pPr>
      <w:r>
        <w:rPr>
          <w:sz w:val="22"/>
        </w:rPr>
        <w:t xml:space="preserve"> </w:t>
      </w:r>
    </w:p>
    <w:p w14:paraId="6F6D658F" w14:textId="5D56C438" w:rsidR="00B07789" w:rsidRPr="00A731E1" w:rsidRDefault="00D25089" w:rsidP="00833B71">
      <w:pPr>
        <w:spacing w:after="0" w:line="240" w:lineRule="auto"/>
        <w:ind w:left="0"/>
        <w:rPr>
          <w:sz w:val="22"/>
        </w:rPr>
      </w:pPr>
      <w:r>
        <w:rPr>
          <w:sz w:val="22"/>
        </w:rPr>
        <w:t>Opatrnosť je nutná, ak sú pacienti súbežne liečení selektívnymi inhibítormi spätného vychytávania sérotonínu (selective serotonin reuptake inhibitors, SSRI) alebo inhibítormi spätného vychytávania sérotonínu a noradrenalínu (serotonin norepinephrine reuptake inhibitors, SNRI), alebo nesteroidovými antiflogistikami (non</w:t>
      </w:r>
      <w:r>
        <w:rPr>
          <w:sz w:val="22"/>
        </w:rPr>
        <w:noBreakHyphen/>
        <w:t>steroidal anti</w:t>
      </w:r>
      <w:r>
        <w:rPr>
          <w:sz w:val="22"/>
        </w:rPr>
        <w:noBreakHyphen/>
        <w:t xml:space="preserve">inflammatory drugs, NSAID), vrátane kyseliny acetylsalicylovej. </w:t>
      </w:r>
    </w:p>
    <w:p w14:paraId="52DE1F27" w14:textId="77777777" w:rsidR="00B07789" w:rsidRPr="00A731E1" w:rsidRDefault="00D25089" w:rsidP="00833B71">
      <w:pPr>
        <w:spacing w:after="0" w:line="240" w:lineRule="auto"/>
        <w:ind w:left="0" w:firstLine="0"/>
        <w:rPr>
          <w:sz w:val="22"/>
        </w:rPr>
      </w:pPr>
      <w:r>
        <w:rPr>
          <w:sz w:val="22"/>
        </w:rPr>
        <w:t xml:space="preserve"> </w:t>
      </w:r>
    </w:p>
    <w:p w14:paraId="2E5DECEB" w14:textId="668F54D0" w:rsidR="00B07789" w:rsidRPr="00A731E1" w:rsidRDefault="00D25089" w:rsidP="00833B71">
      <w:pPr>
        <w:spacing w:after="0" w:line="240" w:lineRule="auto"/>
        <w:ind w:left="0"/>
        <w:rPr>
          <w:sz w:val="22"/>
        </w:rPr>
      </w:pPr>
      <w:r>
        <w:rPr>
          <w:sz w:val="22"/>
        </w:rPr>
        <w:t>Po chirurgickom zákroku sa neodporúča použiť iné inhibítory agregácie krvných došti</w:t>
      </w:r>
      <w:r w:rsidR="00CF571F">
        <w:rPr>
          <w:sz w:val="22"/>
        </w:rPr>
        <w:t>čiek súbežne s Polapixom</w:t>
      </w:r>
      <w:r>
        <w:rPr>
          <w:sz w:val="22"/>
        </w:rPr>
        <w:t xml:space="preserve"> (pozri časť 4.5). </w:t>
      </w:r>
    </w:p>
    <w:p w14:paraId="6456AD5D" w14:textId="77777777" w:rsidR="00B07789" w:rsidRPr="00A731E1" w:rsidRDefault="00D25089" w:rsidP="00833B71">
      <w:pPr>
        <w:spacing w:after="0" w:line="240" w:lineRule="auto"/>
        <w:ind w:left="0" w:firstLine="0"/>
        <w:rPr>
          <w:sz w:val="22"/>
        </w:rPr>
      </w:pPr>
      <w:r>
        <w:rPr>
          <w:sz w:val="22"/>
        </w:rPr>
        <w:t xml:space="preserve"> </w:t>
      </w:r>
    </w:p>
    <w:p w14:paraId="6C45B940" w14:textId="64B27793" w:rsidR="00B07789" w:rsidRPr="00A731E1" w:rsidRDefault="00D25089" w:rsidP="00833B71">
      <w:pPr>
        <w:spacing w:after="0" w:line="240" w:lineRule="auto"/>
        <w:ind w:left="0"/>
        <w:rPr>
          <w:sz w:val="22"/>
        </w:rPr>
      </w:pPr>
      <w:r>
        <w:rPr>
          <w:sz w:val="22"/>
        </w:rPr>
        <w:lastRenderedPageBreak/>
        <w:t xml:space="preserve">U pacientov s atriálnou fibriláciou a ochoreniami, ktoré si vyžadujú </w:t>
      </w:r>
      <w:r w:rsidR="00330A35">
        <w:rPr>
          <w:sz w:val="22"/>
        </w:rPr>
        <w:t xml:space="preserve">antiagregačnú </w:t>
      </w:r>
      <w:r>
        <w:rPr>
          <w:sz w:val="22"/>
        </w:rPr>
        <w:t xml:space="preserve">liečbu jedným alebo dvoma liečivami, sa majú starostlivo posúdiť potenciálne prínosy a potenciálne riziká pred kombinovaním </w:t>
      </w:r>
      <w:r w:rsidR="00CF571F">
        <w:rPr>
          <w:sz w:val="22"/>
        </w:rPr>
        <w:t>tejto liečby s Polapixom</w:t>
      </w:r>
      <w:r>
        <w:rPr>
          <w:sz w:val="22"/>
        </w:rPr>
        <w:t xml:space="preserve">. </w:t>
      </w:r>
    </w:p>
    <w:p w14:paraId="49E0BEBD" w14:textId="77777777" w:rsidR="00B07789" w:rsidRPr="00A731E1" w:rsidRDefault="00D25089" w:rsidP="00833B71">
      <w:pPr>
        <w:spacing w:after="0" w:line="240" w:lineRule="auto"/>
        <w:ind w:left="0" w:firstLine="0"/>
        <w:rPr>
          <w:sz w:val="22"/>
        </w:rPr>
      </w:pPr>
      <w:r>
        <w:rPr>
          <w:sz w:val="22"/>
        </w:rPr>
        <w:t xml:space="preserve"> </w:t>
      </w:r>
    </w:p>
    <w:p w14:paraId="71C23024" w14:textId="2DA23D70" w:rsidR="00B32E98" w:rsidRPr="00B32E98" w:rsidRDefault="00D25089" w:rsidP="00B32E98">
      <w:pPr>
        <w:spacing w:after="0" w:line="240" w:lineRule="auto"/>
        <w:ind w:left="0" w:firstLine="0"/>
        <w:rPr>
          <w:sz w:val="22"/>
        </w:rPr>
      </w:pPr>
      <w:r>
        <w:rPr>
          <w:sz w:val="22"/>
        </w:rPr>
        <w:t xml:space="preserve">V klinickom skúšaní u pacientov s atriálnou fibriláciou zvýšilo súbežné použitie ASA riziko závažného krvácania pri apixabáne z 1,8 % za rok na 3,4 % za rok a zvýšilo riziko krvácania pri warfaríne z 2,7 % za rok na 4,6 % za rok. V tomto klinickom skúšaní bolo obmedzené (2,1 %) použitie súbežnej duálnej </w:t>
      </w:r>
      <w:r w:rsidR="00330A35">
        <w:rPr>
          <w:sz w:val="22"/>
        </w:rPr>
        <w:t xml:space="preserve">antiagregačnej </w:t>
      </w:r>
      <w:r>
        <w:rPr>
          <w:sz w:val="22"/>
        </w:rPr>
        <w:t>liečby (pozri časť 5.1).</w:t>
      </w:r>
    </w:p>
    <w:p w14:paraId="5B030996" w14:textId="77777777" w:rsidR="00B32E98" w:rsidRPr="007E6137" w:rsidRDefault="00B32E98" w:rsidP="00833B71">
      <w:pPr>
        <w:spacing w:after="0" w:line="240" w:lineRule="auto"/>
        <w:ind w:left="0"/>
        <w:rPr>
          <w:sz w:val="22"/>
        </w:rPr>
      </w:pPr>
    </w:p>
    <w:p w14:paraId="72AAFEDA" w14:textId="441BAEE7" w:rsidR="00B32E98" w:rsidRDefault="00B32E98" w:rsidP="00B32E98">
      <w:pPr>
        <w:spacing w:after="0" w:line="240" w:lineRule="auto"/>
        <w:ind w:left="0" w:firstLine="0"/>
        <w:rPr>
          <w:sz w:val="22"/>
        </w:rPr>
      </w:pPr>
      <w:r>
        <w:rPr>
          <w:sz w:val="22"/>
        </w:rPr>
        <w:t>Do klinického skúšania boli zapojení pacienti s atriálnou fibriláciou a ACS a/alebo PCI, u ktorých bola plánovaná</w:t>
      </w:r>
      <w:r w:rsidR="00CF571F">
        <w:rPr>
          <w:sz w:val="22"/>
        </w:rPr>
        <w:t xml:space="preserve"> </w:t>
      </w:r>
      <w:r>
        <w:rPr>
          <w:sz w:val="22"/>
        </w:rPr>
        <w:t>liečba inhibítorom P2Y12, s alebo bez ASA a perorálnou antikoagulačnou liečbou (buď apixabánom,</w:t>
      </w:r>
      <w:r w:rsidR="00CF571F">
        <w:rPr>
          <w:sz w:val="22"/>
        </w:rPr>
        <w:t xml:space="preserve"> </w:t>
      </w:r>
      <w:r>
        <w:rPr>
          <w:sz w:val="22"/>
        </w:rPr>
        <w:t xml:space="preserve">alebo VKA) </w:t>
      </w:r>
      <w:r w:rsidR="00330A35">
        <w:rPr>
          <w:sz w:val="22"/>
        </w:rPr>
        <w:t>počas</w:t>
      </w:r>
      <w:r>
        <w:rPr>
          <w:sz w:val="22"/>
        </w:rPr>
        <w:t xml:space="preserve"> 6 mesiacov. Súbežné podávanie ASA zvýšilo riziko ISTH (International Society on</w:t>
      </w:r>
      <w:r w:rsidR="002013DA">
        <w:rPr>
          <w:sz w:val="22"/>
        </w:rPr>
        <w:t xml:space="preserve"> </w:t>
      </w:r>
      <w:r>
        <w:rPr>
          <w:sz w:val="22"/>
        </w:rPr>
        <w:t>Thrombosis and Hemostasis) závažného krvácania alebo klinicky relevantného nezávažného krvácania (Clinically Relevant Non-Major, CRNM) u</w:t>
      </w:r>
      <w:r w:rsidR="002013DA">
        <w:rPr>
          <w:sz w:val="22"/>
        </w:rPr>
        <w:t xml:space="preserve"> </w:t>
      </w:r>
      <w:r w:rsidR="002824D6">
        <w:rPr>
          <w:sz w:val="22"/>
        </w:rPr>
        <w:t>pacientov liečených apixabánom zo 16,4 % ročne na 33,1 % ročne (pozri časť 5.1).</w:t>
      </w:r>
    </w:p>
    <w:p w14:paraId="090231A2" w14:textId="77777777" w:rsidR="00B32E98" w:rsidRPr="007E6137" w:rsidRDefault="00B32E98" w:rsidP="00833B71">
      <w:pPr>
        <w:spacing w:after="0" w:line="240" w:lineRule="auto"/>
        <w:ind w:left="0" w:firstLine="0"/>
        <w:rPr>
          <w:sz w:val="22"/>
        </w:rPr>
      </w:pPr>
    </w:p>
    <w:p w14:paraId="7F5A84C2" w14:textId="7791D570" w:rsidR="00B07789" w:rsidRPr="00A731E1" w:rsidRDefault="00D25089" w:rsidP="00833B71">
      <w:pPr>
        <w:spacing w:after="0" w:line="240" w:lineRule="auto"/>
        <w:ind w:left="0"/>
        <w:rPr>
          <w:sz w:val="22"/>
        </w:rPr>
      </w:pPr>
      <w:r>
        <w:rPr>
          <w:sz w:val="22"/>
        </w:rPr>
        <w:t xml:space="preserve">V klinickom skúšaní u vysokorizikových pacientov po akútnom koronárnom syndróme bez atriálnej fibrilácie charakterizovaných viacerými srdcovými a nesrdcovými komorbiditami, ktorí dostávali ASA alebo kombináciu ASA a klopidogrelu, sa zaznamenalo významné zvýšenie rizika ISTH (International Society on Thrombosis and Haemostasis) závažného krvácania pri apixabáne (5,13 % za rok) v porovnaní s placebom (2,04 % za rok). </w:t>
      </w:r>
    </w:p>
    <w:p w14:paraId="4EA3F0E0" w14:textId="77777777" w:rsidR="00B07789" w:rsidRPr="00A731E1" w:rsidRDefault="00D25089" w:rsidP="00833B71">
      <w:pPr>
        <w:spacing w:after="0" w:line="240" w:lineRule="auto"/>
        <w:ind w:left="0" w:firstLine="0"/>
        <w:rPr>
          <w:sz w:val="22"/>
        </w:rPr>
      </w:pPr>
      <w:r>
        <w:rPr>
          <w:sz w:val="22"/>
        </w:rPr>
        <w:t xml:space="preserve"> </w:t>
      </w:r>
    </w:p>
    <w:p w14:paraId="025C9885" w14:textId="449102A3" w:rsidR="00B07789" w:rsidRPr="00A731E1" w:rsidRDefault="00D25089" w:rsidP="00833B71">
      <w:pPr>
        <w:pStyle w:val="Nadpis2"/>
        <w:spacing w:after="0" w:line="240" w:lineRule="auto"/>
        <w:ind w:left="0"/>
        <w:rPr>
          <w:sz w:val="22"/>
        </w:rPr>
      </w:pPr>
      <w:r>
        <w:rPr>
          <w:sz w:val="22"/>
        </w:rPr>
        <w:t xml:space="preserve">Použitie trombolytík </w:t>
      </w:r>
      <w:r w:rsidR="00330A35">
        <w:rPr>
          <w:sz w:val="22"/>
        </w:rPr>
        <w:t>v</w:t>
      </w:r>
      <w:r>
        <w:rPr>
          <w:sz w:val="22"/>
        </w:rPr>
        <w:t xml:space="preserve"> liečb</w:t>
      </w:r>
      <w:r w:rsidR="00330A35">
        <w:rPr>
          <w:sz w:val="22"/>
        </w:rPr>
        <w:t>e</w:t>
      </w:r>
      <w:r>
        <w:rPr>
          <w:sz w:val="22"/>
        </w:rPr>
        <w:t xml:space="preserve"> akútnej ischemickej </w:t>
      </w:r>
      <w:r w:rsidR="00330A35">
        <w:rPr>
          <w:sz w:val="22"/>
        </w:rPr>
        <w:t xml:space="preserve">cievnej </w:t>
      </w:r>
      <w:r>
        <w:rPr>
          <w:sz w:val="22"/>
        </w:rPr>
        <w:t>mozgovej príhody</w:t>
      </w:r>
      <w:r>
        <w:rPr>
          <w:sz w:val="22"/>
          <w:u w:val="none"/>
        </w:rPr>
        <w:t xml:space="preserve"> </w:t>
      </w:r>
    </w:p>
    <w:p w14:paraId="3553E34F" w14:textId="624A49D3" w:rsidR="00B07789" w:rsidRPr="00A731E1" w:rsidRDefault="00D25089" w:rsidP="00833B71">
      <w:pPr>
        <w:spacing w:after="0" w:line="240" w:lineRule="auto"/>
        <w:ind w:left="0"/>
        <w:rPr>
          <w:sz w:val="22"/>
        </w:rPr>
      </w:pPr>
      <w:r>
        <w:rPr>
          <w:sz w:val="22"/>
        </w:rPr>
        <w:t xml:space="preserve">S použitím trombolytík </w:t>
      </w:r>
      <w:r w:rsidR="00330A35">
        <w:rPr>
          <w:sz w:val="22"/>
        </w:rPr>
        <w:t>v</w:t>
      </w:r>
      <w:r>
        <w:rPr>
          <w:sz w:val="22"/>
        </w:rPr>
        <w:t xml:space="preserve"> liečb</w:t>
      </w:r>
      <w:r w:rsidR="00330A35">
        <w:rPr>
          <w:sz w:val="22"/>
        </w:rPr>
        <w:t>e</w:t>
      </w:r>
      <w:r>
        <w:rPr>
          <w:sz w:val="22"/>
        </w:rPr>
        <w:t xml:space="preserve"> akútnej ischemickej </w:t>
      </w:r>
      <w:r w:rsidR="00330A35">
        <w:rPr>
          <w:sz w:val="22"/>
        </w:rPr>
        <w:t xml:space="preserve">cievnej </w:t>
      </w:r>
      <w:r>
        <w:rPr>
          <w:sz w:val="22"/>
        </w:rPr>
        <w:t xml:space="preserve">mozgovej príhody u pacientov, ktorým sa podáva apixabán, existujú len veľmi obmedzené skúsenosti (pozri časť 4.5). </w:t>
      </w:r>
    </w:p>
    <w:p w14:paraId="6E4421FE" w14:textId="77777777" w:rsidR="00B07789" w:rsidRPr="00A731E1" w:rsidRDefault="00D25089" w:rsidP="00833B71">
      <w:pPr>
        <w:spacing w:after="0" w:line="240" w:lineRule="auto"/>
        <w:ind w:left="0" w:firstLine="0"/>
        <w:rPr>
          <w:sz w:val="22"/>
        </w:rPr>
      </w:pPr>
      <w:r>
        <w:rPr>
          <w:sz w:val="22"/>
        </w:rPr>
        <w:t xml:space="preserve"> </w:t>
      </w:r>
    </w:p>
    <w:p w14:paraId="46D90B61" w14:textId="77777777" w:rsidR="00B07789" w:rsidRPr="00A731E1" w:rsidRDefault="00D25089" w:rsidP="00833B71">
      <w:pPr>
        <w:pStyle w:val="Nadpis2"/>
        <w:spacing w:after="0" w:line="240" w:lineRule="auto"/>
        <w:ind w:left="0"/>
        <w:rPr>
          <w:sz w:val="22"/>
        </w:rPr>
      </w:pPr>
      <w:r>
        <w:rPr>
          <w:sz w:val="22"/>
        </w:rPr>
        <w:t>Pacienti s protetickými srdcovými chlopňami</w:t>
      </w:r>
      <w:r>
        <w:rPr>
          <w:sz w:val="22"/>
          <w:u w:val="none"/>
        </w:rPr>
        <w:t xml:space="preserve"> </w:t>
      </w:r>
    </w:p>
    <w:p w14:paraId="0F9656B1" w14:textId="0C181755" w:rsidR="00B07789" w:rsidRPr="00A731E1" w:rsidRDefault="00D25089" w:rsidP="00833B71">
      <w:pPr>
        <w:spacing w:after="0" w:line="240" w:lineRule="auto"/>
        <w:ind w:left="0"/>
        <w:rPr>
          <w:sz w:val="22"/>
        </w:rPr>
      </w:pPr>
      <w:r>
        <w:rPr>
          <w:sz w:val="22"/>
        </w:rPr>
        <w:t xml:space="preserve">Bezpečnosť a účinnosť </w:t>
      </w:r>
      <w:r w:rsidR="00330A35">
        <w:rPr>
          <w:sz w:val="22"/>
        </w:rPr>
        <w:t>Polapixu</w:t>
      </w:r>
      <w:r w:rsidR="004D1985">
        <w:rPr>
          <w:sz w:val="22"/>
        </w:rPr>
        <w:t xml:space="preserve"> </w:t>
      </w:r>
      <w:r>
        <w:rPr>
          <w:sz w:val="22"/>
        </w:rPr>
        <w:t>sa neskúmali u pacientov s protetickými srdcovými chlopňami s atriálnou fibriláciou alebo bez nej. Z tohto dôvodu sa u týchto paci</w:t>
      </w:r>
      <w:r w:rsidR="002013DA">
        <w:rPr>
          <w:sz w:val="22"/>
        </w:rPr>
        <w:t>entov použitie Polapixu</w:t>
      </w:r>
      <w:r>
        <w:rPr>
          <w:sz w:val="22"/>
        </w:rPr>
        <w:t xml:space="preserve"> neodporúča. </w:t>
      </w:r>
    </w:p>
    <w:p w14:paraId="15887E99" w14:textId="27F7AA6B" w:rsidR="00B07789" w:rsidRDefault="00D25089" w:rsidP="00833B71">
      <w:pPr>
        <w:spacing w:after="0" w:line="240" w:lineRule="auto"/>
        <w:ind w:left="0" w:firstLine="0"/>
        <w:rPr>
          <w:sz w:val="22"/>
        </w:rPr>
      </w:pPr>
      <w:r>
        <w:rPr>
          <w:sz w:val="22"/>
        </w:rPr>
        <w:t xml:space="preserve"> </w:t>
      </w:r>
    </w:p>
    <w:p w14:paraId="7A950AE7" w14:textId="77777777" w:rsidR="0076665A" w:rsidRPr="000E7AF5" w:rsidRDefault="0076665A" w:rsidP="0076665A">
      <w:pPr>
        <w:spacing w:after="0" w:line="240" w:lineRule="auto"/>
        <w:ind w:left="0" w:firstLine="0"/>
        <w:rPr>
          <w:sz w:val="22"/>
          <w:u w:val="single"/>
        </w:rPr>
      </w:pPr>
      <w:r>
        <w:rPr>
          <w:sz w:val="22"/>
          <w:u w:val="single"/>
        </w:rPr>
        <w:t>Pacienti s antifosfolipidovým syndrómom</w:t>
      </w:r>
    </w:p>
    <w:p w14:paraId="63518011" w14:textId="13602DA2" w:rsidR="0076665A" w:rsidRDefault="0076665A" w:rsidP="0076665A">
      <w:pPr>
        <w:spacing w:after="0" w:line="240" w:lineRule="auto"/>
        <w:ind w:left="0" w:firstLine="0"/>
        <w:rPr>
          <w:sz w:val="22"/>
        </w:rPr>
      </w:pPr>
      <w:r>
        <w:rPr>
          <w:sz w:val="22"/>
        </w:rPr>
        <w:t>Priame perorálne antikoagulanciá (direct acting oral anticoagulants, DOAC), ako je apixabán, sa neodporúčajú pacientom</w:t>
      </w:r>
      <w:r w:rsidR="00CF571F">
        <w:rPr>
          <w:sz w:val="22"/>
        </w:rPr>
        <w:t xml:space="preserve"> </w:t>
      </w:r>
      <w:r>
        <w:rPr>
          <w:sz w:val="22"/>
        </w:rPr>
        <w:t>s trombózou v anamnéze, u ktorých je diagnostikovaný antifosfolipidový syndróm. Najmä u</w:t>
      </w:r>
      <w:r w:rsidR="00CF571F">
        <w:rPr>
          <w:sz w:val="22"/>
        </w:rPr>
        <w:t xml:space="preserve"> </w:t>
      </w:r>
      <w:r>
        <w:rPr>
          <w:sz w:val="22"/>
        </w:rPr>
        <w:t>pacientov, ktorí sú trojito pozitívni (na lupus</w:t>
      </w:r>
      <w:r w:rsidR="00330A35">
        <w:rPr>
          <w:sz w:val="22"/>
        </w:rPr>
        <w:t xml:space="preserve"> </w:t>
      </w:r>
      <w:r>
        <w:rPr>
          <w:sz w:val="22"/>
        </w:rPr>
        <w:t>antikoagulans, antikardiolipínové protilátky a protilátky proti beta-2-glykoproteínu I), môže liečba DOAC súvisieť so zvýšenou mierou rekurentných trombotických udalostí v porovnaní s liečbou antagonistami vitamínu K.</w:t>
      </w:r>
    </w:p>
    <w:p w14:paraId="348AF27E" w14:textId="77777777" w:rsidR="0076665A" w:rsidRPr="007E6137" w:rsidRDefault="0076665A" w:rsidP="00833B71">
      <w:pPr>
        <w:spacing w:after="0" w:line="240" w:lineRule="auto"/>
        <w:ind w:left="0" w:firstLine="0"/>
        <w:rPr>
          <w:sz w:val="22"/>
        </w:rPr>
      </w:pPr>
    </w:p>
    <w:p w14:paraId="306D7333" w14:textId="3FF60876" w:rsidR="00B07789" w:rsidRPr="00A731E1" w:rsidRDefault="00D25089" w:rsidP="00833B71">
      <w:pPr>
        <w:pStyle w:val="Nadpis2"/>
        <w:spacing w:after="0" w:line="240" w:lineRule="auto"/>
        <w:ind w:left="0"/>
        <w:rPr>
          <w:sz w:val="22"/>
        </w:rPr>
      </w:pPr>
      <w:r>
        <w:rPr>
          <w:sz w:val="22"/>
        </w:rPr>
        <w:t xml:space="preserve">Chirurgický zákrok a invazívne </w:t>
      </w:r>
      <w:r w:rsidR="006571DA">
        <w:rPr>
          <w:sz w:val="22"/>
        </w:rPr>
        <w:t>výkony</w:t>
      </w:r>
      <w:r w:rsidR="006571DA">
        <w:rPr>
          <w:sz w:val="22"/>
          <w:u w:val="none"/>
        </w:rPr>
        <w:t xml:space="preserve"> </w:t>
      </w:r>
    </w:p>
    <w:p w14:paraId="71E9272B" w14:textId="5CAF804A" w:rsidR="00B07789" w:rsidRPr="00A731E1" w:rsidRDefault="002013DA" w:rsidP="00833B71">
      <w:pPr>
        <w:spacing w:after="0" w:line="240" w:lineRule="auto"/>
        <w:ind w:left="0"/>
        <w:rPr>
          <w:sz w:val="22"/>
        </w:rPr>
      </w:pPr>
      <w:r>
        <w:rPr>
          <w:sz w:val="22"/>
        </w:rPr>
        <w:t>Užívanie Polapixu</w:t>
      </w:r>
      <w:r w:rsidR="00635B73">
        <w:rPr>
          <w:sz w:val="22"/>
        </w:rPr>
        <w:t xml:space="preserve"> sa má ukončiť najmenej 48 hodín pred elektívnym chirurgickým zákrokom alebo invazívnymi </w:t>
      </w:r>
      <w:r w:rsidR="006571DA">
        <w:rPr>
          <w:sz w:val="22"/>
        </w:rPr>
        <w:t xml:space="preserve">výkonmi </w:t>
      </w:r>
      <w:r w:rsidR="00635B73">
        <w:rPr>
          <w:sz w:val="22"/>
        </w:rPr>
        <w:t xml:space="preserve">so stredným alebo vysokým rizikom krvácania. Zahŕňa to zákroky, pre ktoré nemožno vylúčiť pravdepodobnosť klinicky významného krvácania alebo pre ktoré by bolo riziko krvácania neprípustné. </w:t>
      </w:r>
    </w:p>
    <w:p w14:paraId="18908CF1" w14:textId="77777777" w:rsidR="00B07789" w:rsidRPr="00A731E1" w:rsidRDefault="00D25089" w:rsidP="00833B71">
      <w:pPr>
        <w:spacing w:after="0" w:line="240" w:lineRule="auto"/>
        <w:ind w:left="0" w:firstLine="0"/>
        <w:rPr>
          <w:sz w:val="22"/>
        </w:rPr>
      </w:pPr>
      <w:r>
        <w:rPr>
          <w:sz w:val="22"/>
        </w:rPr>
        <w:t xml:space="preserve"> </w:t>
      </w:r>
    </w:p>
    <w:p w14:paraId="7C7BB7D0" w14:textId="53D98686" w:rsidR="00B07789" w:rsidRPr="00A731E1" w:rsidRDefault="002013DA" w:rsidP="00833B71">
      <w:pPr>
        <w:spacing w:after="0" w:line="240" w:lineRule="auto"/>
        <w:ind w:left="0"/>
        <w:rPr>
          <w:sz w:val="22"/>
        </w:rPr>
      </w:pPr>
      <w:r>
        <w:rPr>
          <w:sz w:val="22"/>
        </w:rPr>
        <w:t>Užívanie Polapixu</w:t>
      </w:r>
      <w:r w:rsidR="00635B73">
        <w:rPr>
          <w:sz w:val="22"/>
        </w:rPr>
        <w:t xml:space="preserve"> sa má ukončiť najmenej 24 hodín pred elektívnym chirurgickým zákrokom alebo invazívnymi </w:t>
      </w:r>
      <w:r w:rsidR="006571DA">
        <w:rPr>
          <w:sz w:val="22"/>
        </w:rPr>
        <w:t xml:space="preserve">výkonmi </w:t>
      </w:r>
      <w:r w:rsidR="00635B73">
        <w:rPr>
          <w:sz w:val="22"/>
        </w:rPr>
        <w:t xml:space="preserve">s nízkym rizikom krvácania. Zahŕňa to zákroky, pri ktorých sa očakáva akékoľvek minimálne alebo ľahko zvládnuteľné krvácanie v nekritických miestach. </w:t>
      </w:r>
    </w:p>
    <w:p w14:paraId="3147A498" w14:textId="77777777" w:rsidR="00B07789" w:rsidRPr="00A731E1" w:rsidRDefault="00D25089" w:rsidP="00833B71">
      <w:pPr>
        <w:spacing w:after="0" w:line="240" w:lineRule="auto"/>
        <w:ind w:left="0" w:firstLine="0"/>
        <w:rPr>
          <w:sz w:val="22"/>
        </w:rPr>
      </w:pPr>
      <w:r>
        <w:rPr>
          <w:sz w:val="22"/>
        </w:rPr>
        <w:t xml:space="preserve"> </w:t>
      </w:r>
    </w:p>
    <w:p w14:paraId="248222C7" w14:textId="44D80150" w:rsidR="00B07789" w:rsidRPr="00A731E1" w:rsidRDefault="00D25089" w:rsidP="00833B71">
      <w:pPr>
        <w:spacing w:after="0" w:line="240" w:lineRule="auto"/>
        <w:ind w:left="0"/>
        <w:rPr>
          <w:sz w:val="22"/>
        </w:rPr>
      </w:pPr>
      <w:r>
        <w:rPr>
          <w:sz w:val="22"/>
        </w:rPr>
        <w:t xml:space="preserve">Ak chirurgický zákrok alebo invazívne </w:t>
      </w:r>
      <w:r w:rsidR="006571DA">
        <w:rPr>
          <w:sz w:val="22"/>
        </w:rPr>
        <w:t xml:space="preserve">výkony </w:t>
      </w:r>
      <w:r>
        <w:rPr>
          <w:sz w:val="22"/>
        </w:rPr>
        <w:t xml:space="preserve">nie je možné odložiť, je potrebná primeraná opatrnosť s prihliadnutím na zvýšené riziko krvácania. Toto riziko krvácania sa má zvážiť oproti naliehavosti zákroku. </w:t>
      </w:r>
    </w:p>
    <w:p w14:paraId="2F7CF1AE" w14:textId="77777777" w:rsidR="00B07789" w:rsidRPr="00A731E1" w:rsidRDefault="00D25089" w:rsidP="00833B71">
      <w:pPr>
        <w:spacing w:after="0" w:line="240" w:lineRule="auto"/>
        <w:ind w:left="0" w:firstLine="0"/>
        <w:rPr>
          <w:sz w:val="22"/>
        </w:rPr>
      </w:pPr>
      <w:r>
        <w:rPr>
          <w:b/>
          <w:sz w:val="22"/>
        </w:rPr>
        <w:t xml:space="preserve"> </w:t>
      </w:r>
    </w:p>
    <w:p w14:paraId="67505B54" w14:textId="0F6D3A0D" w:rsidR="00B07789" w:rsidRDefault="002013DA" w:rsidP="00833B71">
      <w:pPr>
        <w:spacing w:after="0" w:line="240" w:lineRule="auto"/>
        <w:ind w:left="0"/>
        <w:rPr>
          <w:sz w:val="22"/>
        </w:rPr>
      </w:pPr>
      <w:r>
        <w:rPr>
          <w:sz w:val="22"/>
        </w:rPr>
        <w:t>Polapix</w:t>
      </w:r>
      <w:r w:rsidR="00635B73">
        <w:rPr>
          <w:sz w:val="22"/>
        </w:rPr>
        <w:t xml:space="preserve"> sa môže začať znovu užívať čo najskôr po invazívn</w:t>
      </w:r>
      <w:r w:rsidR="006571DA">
        <w:rPr>
          <w:sz w:val="22"/>
        </w:rPr>
        <w:t>om výkone</w:t>
      </w:r>
      <w:r w:rsidR="00635B73">
        <w:rPr>
          <w:sz w:val="22"/>
        </w:rPr>
        <w:t xml:space="preserve"> alebo chirurgickom zákroku za podmienky, že to dovolí klinický stav a ak je ustálená primeraná hemostáza (informácie o kardioverzii pozri časť 4.2). </w:t>
      </w:r>
    </w:p>
    <w:p w14:paraId="2F752CAB" w14:textId="3D3F560B" w:rsidR="0076665A" w:rsidRPr="007E6137" w:rsidRDefault="0076665A" w:rsidP="00833B71">
      <w:pPr>
        <w:spacing w:after="0" w:line="240" w:lineRule="auto"/>
        <w:ind w:left="0"/>
        <w:rPr>
          <w:sz w:val="22"/>
        </w:rPr>
      </w:pPr>
    </w:p>
    <w:p w14:paraId="41D4A722" w14:textId="4997FAF9" w:rsidR="0076665A" w:rsidRPr="00A731E1" w:rsidRDefault="0076665A">
      <w:pPr>
        <w:spacing w:after="0" w:line="240" w:lineRule="auto"/>
        <w:ind w:left="0"/>
        <w:rPr>
          <w:sz w:val="22"/>
        </w:rPr>
      </w:pPr>
      <w:r>
        <w:rPr>
          <w:sz w:val="22"/>
        </w:rPr>
        <w:t>U pacientov podstupujúcich katetrizačnú abláciu z dôvodu atriálnej fibril</w:t>
      </w:r>
      <w:r w:rsidR="00CF571F">
        <w:rPr>
          <w:sz w:val="22"/>
        </w:rPr>
        <w:t>ácie sa liečba Polapixom</w:t>
      </w:r>
      <w:r>
        <w:rPr>
          <w:sz w:val="22"/>
        </w:rPr>
        <w:t xml:space="preserve"> nemusí prerušovať (pozri časti 4.2, 4.3 a 4.5).</w:t>
      </w:r>
    </w:p>
    <w:p w14:paraId="10CC8B6C" w14:textId="77777777" w:rsidR="00B07789" w:rsidRPr="00A731E1" w:rsidRDefault="00D25089" w:rsidP="00833B71">
      <w:pPr>
        <w:spacing w:after="0" w:line="240" w:lineRule="auto"/>
        <w:ind w:left="0" w:firstLine="0"/>
        <w:rPr>
          <w:sz w:val="22"/>
        </w:rPr>
      </w:pPr>
      <w:r>
        <w:rPr>
          <w:sz w:val="22"/>
        </w:rPr>
        <w:t xml:space="preserve"> </w:t>
      </w:r>
    </w:p>
    <w:p w14:paraId="120D62E9" w14:textId="77777777" w:rsidR="00B07789" w:rsidRPr="00347294" w:rsidRDefault="00D25089" w:rsidP="00833B71">
      <w:pPr>
        <w:pStyle w:val="Nadpis2"/>
        <w:spacing w:after="0" w:line="240" w:lineRule="auto"/>
        <w:ind w:left="0"/>
        <w:rPr>
          <w:sz w:val="22"/>
        </w:rPr>
      </w:pPr>
      <w:r w:rsidRPr="00347294">
        <w:rPr>
          <w:sz w:val="22"/>
        </w:rPr>
        <w:t>Dočasné prerušenie liečby</w:t>
      </w:r>
      <w:r w:rsidRPr="00347294">
        <w:rPr>
          <w:sz w:val="22"/>
          <w:u w:val="none"/>
        </w:rPr>
        <w:t xml:space="preserve"> </w:t>
      </w:r>
    </w:p>
    <w:p w14:paraId="269852B9" w14:textId="24E11435" w:rsidR="00B07789" w:rsidRPr="00A731E1" w:rsidRDefault="00D25089" w:rsidP="00833B71">
      <w:pPr>
        <w:spacing w:after="0" w:line="240" w:lineRule="auto"/>
        <w:ind w:left="0"/>
        <w:rPr>
          <w:sz w:val="22"/>
        </w:rPr>
      </w:pPr>
      <w:r w:rsidRPr="00CC5089">
        <w:rPr>
          <w:sz w:val="22"/>
        </w:rPr>
        <w:t>Prerušenie podávania antikoagul</w:t>
      </w:r>
      <w:r w:rsidR="00CF571F" w:rsidRPr="00CC5089">
        <w:rPr>
          <w:sz w:val="22"/>
        </w:rPr>
        <w:t>ancií, vrátane Polapixu</w:t>
      </w:r>
      <w:r w:rsidRPr="007D7480">
        <w:rPr>
          <w:sz w:val="22"/>
        </w:rPr>
        <w:t>, pre aktívne krvácanie, elektívny chirurgický zákrok alebo invazívne</w:t>
      </w:r>
      <w:r w:rsidR="00347294">
        <w:rPr>
          <w:sz w:val="22"/>
        </w:rPr>
        <w:t xml:space="preserve"> výkony</w:t>
      </w:r>
      <w:r w:rsidRPr="00347294">
        <w:rPr>
          <w:sz w:val="22"/>
        </w:rPr>
        <w:t xml:space="preserve">, vystavuje pacientov zvýšenému riziku trombózy. Prerušeniam liečby sa má zabrániť, a ak sa musí z akéhokoľvek dôvodu podávanie antikoagulancia </w:t>
      </w:r>
      <w:r w:rsidR="00347294">
        <w:rPr>
          <w:sz w:val="22"/>
        </w:rPr>
        <w:t xml:space="preserve">Polapix </w:t>
      </w:r>
      <w:r w:rsidRPr="00347294">
        <w:rPr>
          <w:sz w:val="22"/>
        </w:rPr>
        <w:t>dočasne prerušiť, liečba sa má čo najskôr znovu začať.</w:t>
      </w:r>
      <w:r>
        <w:rPr>
          <w:sz w:val="22"/>
        </w:rPr>
        <w:t xml:space="preserve"> </w:t>
      </w:r>
    </w:p>
    <w:p w14:paraId="3CAA4106" w14:textId="4E69BD0F" w:rsidR="00B07789" w:rsidRDefault="00B07789" w:rsidP="00833B71">
      <w:pPr>
        <w:spacing w:after="0" w:line="240" w:lineRule="auto"/>
        <w:ind w:left="0" w:firstLine="0"/>
        <w:rPr>
          <w:sz w:val="22"/>
        </w:rPr>
      </w:pPr>
    </w:p>
    <w:p w14:paraId="5A0B101B" w14:textId="77777777" w:rsidR="00D151BC" w:rsidRPr="00D151BC" w:rsidRDefault="00D151BC" w:rsidP="00833B71">
      <w:pPr>
        <w:spacing w:after="0" w:line="240" w:lineRule="auto"/>
        <w:ind w:left="0" w:firstLine="0"/>
        <w:rPr>
          <w:sz w:val="22"/>
          <w:u w:val="single"/>
        </w:rPr>
      </w:pPr>
      <w:r w:rsidRPr="00D151BC">
        <w:rPr>
          <w:sz w:val="22"/>
          <w:u w:val="single"/>
        </w:rPr>
        <w:t xml:space="preserve">Spinálna/epidurálna anestézia alebo punkcia </w:t>
      </w:r>
    </w:p>
    <w:p w14:paraId="4113E3FA" w14:textId="69D0F803" w:rsidR="00D151BC" w:rsidRDefault="00D151BC" w:rsidP="00833B71">
      <w:pPr>
        <w:spacing w:after="0" w:line="240" w:lineRule="auto"/>
        <w:ind w:left="0" w:firstLine="0"/>
        <w:rPr>
          <w:sz w:val="22"/>
        </w:rPr>
      </w:pPr>
      <w:r w:rsidRPr="00D151BC">
        <w:rPr>
          <w:sz w:val="22"/>
        </w:rPr>
        <w:t>Pri použití neuraxiálnej anestézie (spinálna/epidurálna anestézia) alebo spinálnej/epidurálnej punkcie sú pacienti liečení antitrombotikami na prevenciu trombembolických komplikácií vystavení riziku epidurálneho alebo spinálneho hematómu, čo môže viesť k dlhodobej alebo permanentnej paralýze. Riziko vzniku týchto udalostí sa môže zvýšiť pri zavedení epidurálnych katétrov v pooperačnom období alebo pri súbežnom používaní liekov, ktoré ovplyvňujú hemostázu. Zavedené epidurálne alebo intratekálne katétre sa musia odstrániť minimálne 5 hodín pred pr</w:t>
      </w:r>
      <w:r>
        <w:rPr>
          <w:sz w:val="22"/>
        </w:rPr>
        <w:t>vou dávkou Polapixu</w:t>
      </w:r>
      <w:r w:rsidRPr="00D151BC">
        <w:rPr>
          <w:sz w:val="22"/>
        </w:rPr>
        <w:t xml:space="preserve">. Riziko môže zvýšiť aj traumatizujúca alebo opakovaná epidurálna alebo spinálna punkcia. U pacientov je nutné často sledovať </w:t>
      </w:r>
      <w:r w:rsidR="00347294">
        <w:rPr>
          <w:sz w:val="22"/>
        </w:rPr>
        <w:t>prejavy</w:t>
      </w:r>
      <w:r w:rsidR="00347294" w:rsidRPr="00D151BC">
        <w:rPr>
          <w:sz w:val="22"/>
        </w:rPr>
        <w:t xml:space="preserve"> </w:t>
      </w:r>
      <w:r w:rsidRPr="00D151BC">
        <w:rPr>
          <w:sz w:val="22"/>
        </w:rPr>
        <w:t xml:space="preserve">a príznaky neurologického poškodenia (napr. necitlivosť alebo slabosť nôh, dysfunkcia čriev alebo močového mechúra). Ak sa zaznamená neurologická porucha, je nevyhnutná urgentná diagnostika a liečba. Pred neuraxiálnou intervenciou má lekár u pacientov s antikoagulačnou liečbou alebo u pacientov, ktorým sa má antikoagulačná liečba podať z dôvodu tromboprofylaxie, zvážiť potenciálny prínos oproti riziku. </w:t>
      </w:r>
    </w:p>
    <w:p w14:paraId="15CF8F1C" w14:textId="77777777" w:rsidR="00D151BC" w:rsidRDefault="00D151BC" w:rsidP="00833B71">
      <w:pPr>
        <w:spacing w:after="0" w:line="240" w:lineRule="auto"/>
        <w:ind w:left="0" w:firstLine="0"/>
        <w:rPr>
          <w:sz w:val="22"/>
        </w:rPr>
      </w:pPr>
    </w:p>
    <w:p w14:paraId="4986D65E" w14:textId="514EB865" w:rsidR="00D151BC" w:rsidRPr="00D151BC" w:rsidRDefault="00D151BC" w:rsidP="00833B71">
      <w:pPr>
        <w:spacing w:after="0" w:line="240" w:lineRule="auto"/>
        <w:ind w:left="0" w:firstLine="0"/>
        <w:rPr>
          <w:sz w:val="22"/>
        </w:rPr>
      </w:pPr>
      <w:r w:rsidRPr="00D151BC">
        <w:rPr>
          <w:sz w:val="22"/>
        </w:rPr>
        <w:t xml:space="preserve">Neexistujú žiadne klinické skúsenosti s používaním apixabánu spolu so zavedenými intratekálnymi alebo epidurálnymi katétrami. V prípade takejto potreby a vychádzajúc z farmakokinetických údajov, musí uplynúť interval 20 – 30 hodín (t. j. 2 x biologický polčas) medzi poslednou dávkou apixabánu a odstránením katétra a minimálne jedna dávka sa má vynechať pred odstránením katétra. Nasledujúca dávka apixabánu sa môže podať minimálne 5 hodín po odstránení katétra. Tak ako </w:t>
      </w:r>
      <w:r w:rsidR="00347294">
        <w:rPr>
          <w:sz w:val="22"/>
        </w:rPr>
        <w:t>pri</w:t>
      </w:r>
      <w:r w:rsidRPr="00D151BC">
        <w:rPr>
          <w:sz w:val="22"/>
        </w:rPr>
        <w:t xml:space="preserve"> všetkých nových antikoagulanci</w:t>
      </w:r>
      <w:r w:rsidR="00347294">
        <w:rPr>
          <w:sz w:val="22"/>
        </w:rPr>
        <w:t>ách</w:t>
      </w:r>
      <w:r w:rsidRPr="00D151BC">
        <w:rPr>
          <w:sz w:val="22"/>
        </w:rPr>
        <w:t xml:space="preserve"> sú skúsenosti s neuraxiálnou blokádou obmedzené</w:t>
      </w:r>
      <w:r w:rsidR="00347294">
        <w:rPr>
          <w:sz w:val="22"/>
        </w:rPr>
        <w:t>,</w:t>
      </w:r>
      <w:r w:rsidRPr="00D151BC">
        <w:rPr>
          <w:sz w:val="22"/>
        </w:rPr>
        <w:t xml:space="preserve"> a preto sa odporúča veľká opatrnosť pri používaní apixabánu za prítomnosti neuraxiálnej blokády.</w:t>
      </w:r>
    </w:p>
    <w:p w14:paraId="5E75766B" w14:textId="77777777" w:rsidR="00D151BC" w:rsidRPr="00A731E1" w:rsidRDefault="00D151BC" w:rsidP="00833B71">
      <w:pPr>
        <w:spacing w:after="0" w:line="240" w:lineRule="auto"/>
        <w:ind w:left="0" w:firstLine="0"/>
        <w:rPr>
          <w:sz w:val="22"/>
        </w:rPr>
      </w:pPr>
    </w:p>
    <w:p w14:paraId="6A8D5766" w14:textId="18BC595D" w:rsidR="00B07789" w:rsidRPr="00A731E1" w:rsidRDefault="00D25089" w:rsidP="006A6015">
      <w:pPr>
        <w:pStyle w:val="Nadpis2"/>
        <w:spacing w:after="0" w:line="240" w:lineRule="auto"/>
        <w:ind w:left="10"/>
        <w:rPr>
          <w:sz w:val="22"/>
        </w:rPr>
      </w:pPr>
      <w:r>
        <w:rPr>
          <w:sz w:val="22"/>
        </w:rPr>
        <w:t>Hemodynamicky nestabilní pacienti s PE alebo pacienti, u ktorých sa vyžaduje trombolýza alebo pľúcna embolektómia</w:t>
      </w:r>
    </w:p>
    <w:p w14:paraId="4B5EC430" w14:textId="37A4070F" w:rsidR="00B07789" w:rsidRPr="00A731E1" w:rsidRDefault="002013DA" w:rsidP="006A6015">
      <w:pPr>
        <w:spacing w:after="0" w:line="240" w:lineRule="auto"/>
        <w:ind w:left="10"/>
        <w:rPr>
          <w:sz w:val="22"/>
        </w:rPr>
      </w:pPr>
      <w:r>
        <w:rPr>
          <w:sz w:val="22"/>
        </w:rPr>
        <w:t>Polapix</w:t>
      </w:r>
      <w:r w:rsidR="00635B73">
        <w:rPr>
          <w:sz w:val="22"/>
        </w:rPr>
        <w:t xml:space="preserve"> sa neodporúča ako alternatíva k nefrakcionovanému heparínu u pacientov s pľúcnou embóliou, ktorí sú hemodynamicky nestabilní alebo môžu podstúpiť trombolýzu alebo pľúcnu embolektómiu, pretože sa bezpečnosť a účinnosť apixabánu v týchto klinických situáciách nestanovili.</w:t>
      </w:r>
    </w:p>
    <w:p w14:paraId="0D994101" w14:textId="77777777" w:rsidR="00B07789" w:rsidRPr="007E6137" w:rsidRDefault="00B07789" w:rsidP="00432C41">
      <w:pPr>
        <w:spacing w:after="0" w:line="240" w:lineRule="auto"/>
        <w:ind w:left="0" w:firstLine="0"/>
        <w:rPr>
          <w:sz w:val="22"/>
        </w:rPr>
      </w:pPr>
    </w:p>
    <w:p w14:paraId="4B5F757D" w14:textId="6D31B0C3" w:rsidR="00B07789" w:rsidRPr="00A731E1" w:rsidRDefault="00D25089" w:rsidP="00432C41">
      <w:pPr>
        <w:pStyle w:val="Nadpis2"/>
        <w:spacing w:after="0" w:line="240" w:lineRule="auto"/>
        <w:ind w:left="0"/>
        <w:rPr>
          <w:sz w:val="22"/>
        </w:rPr>
      </w:pPr>
      <w:r>
        <w:rPr>
          <w:sz w:val="22"/>
        </w:rPr>
        <w:t>Pacienti s aktívnou rakovin</w:t>
      </w:r>
      <w:r w:rsidR="00A97587">
        <w:rPr>
          <w:sz w:val="22"/>
        </w:rPr>
        <w:t>ou</w:t>
      </w:r>
      <w:r>
        <w:rPr>
          <w:sz w:val="22"/>
          <w:u w:val="none"/>
        </w:rPr>
        <w:t xml:space="preserve"> </w:t>
      </w:r>
    </w:p>
    <w:p w14:paraId="282B2A1B" w14:textId="26572586" w:rsidR="00B07789" w:rsidRPr="00A731E1" w:rsidRDefault="00D25089" w:rsidP="00432C41">
      <w:pPr>
        <w:spacing w:after="0" w:line="240" w:lineRule="auto"/>
        <w:ind w:left="0"/>
        <w:rPr>
          <w:sz w:val="22"/>
        </w:rPr>
      </w:pPr>
      <w:r>
        <w:rPr>
          <w:sz w:val="22"/>
        </w:rPr>
        <w:t>Účinnosť a bezpečnosť apixabánu pri liečbe DVT, liečbe PE a na prevenciu rekurentnej DVT a PE (VTEt) u pacientov s aktívnou rakovin</w:t>
      </w:r>
      <w:r w:rsidR="00A97587">
        <w:rPr>
          <w:sz w:val="22"/>
        </w:rPr>
        <w:t>ou</w:t>
      </w:r>
      <w:r>
        <w:rPr>
          <w:sz w:val="22"/>
        </w:rPr>
        <w:t xml:space="preserve"> neboli stanovené.</w:t>
      </w:r>
    </w:p>
    <w:p w14:paraId="1AFB24A7" w14:textId="77777777" w:rsidR="00B07789" w:rsidRPr="007E6137" w:rsidRDefault="00B07789" w:rsidP="00432C41">
      <w:pPr>
        <w:spacing w:after="0" w:line="240" w:lineRule="auto"/>
        <w:ind w:left="0" w:firstLine="0"/>
        <w:rPr>
          <w:sz w:val="22"/>
        </w:rPr>
      </w:pPr>
    </w:p>
    <w:p w14:paraId="2FB9E227" w14:textId="77777777" w:rsidR="00B07789" w:rsidRPr="00A731E1" w:rsidRDefault="00D25089" w:rsidP="006A6015">
      <w:pPr>
        <w:pStyle w:val="Nadpis2"/>
        <w:spacing w:after="0" w:line="240" w:lineRule="auto"/>
        <w:ind w:left="10"/>
        <w:rPr>
          <w:sz w:val="22"/>
        </w:rPr>
      </w:pPr>
      <w:r>
        <w:rPr>
          <w:sz w:val="22"/>
        </w:rPr>
        <w:t>Pacienti s poruchou funkcie obličiek</w:t>
      </w:r>
    </w:p>
    <w:p w14:paraId="0925B096" w14:textId="6AFFE76F" w:rsidR="00B07789" w:rsidRPr="00A731E1" w:rsidRDefault="00D25089" w:rsidP="006A6015">
      <w:pPr>
        <w:spacing w:after="0" w:line="240" w:lineRule="auto"/>
        <w:ind w:left="10"/>
        <w:rPr>
          <w:sz w:val="22"/>
        </w:rPr>
      </w:pPr>
      <w:r>
        <w:rPr>
          <w:sz w:val="22"/>
        </w:rPr>
        <w:t>Obmedzené klinické údaje naznačujú, že plazmatické koncentrácie apixabánu sú zvýšené u pacientov s</w:t>
      </w:r>
      <w:r w:rsidR="00EC0EB2">
        <w:rPr>
          <w:sz w:val="22"/>
        </w:rPr>
        <w:t>o</w:t>
      </w:r>
      <w:r>
        <w:rPr>
          <w:sz w:val="22"/>
        </w:rPr>
        <w:t xml:space="preserve"> </w:t>
      </w:r>
      <w:r w:rsidR="00EC0EB2">
        <w:rPr>
          <w:sz w:val="22"/>
        </w:rPr>
        <w:t xml:space="preserve">závažnou </w:t>
      </w:r>
      <w:r>
        <w:rPr>
          <w:sz w:val="22"/>
        </w:rPr>
        <w:t xml:space="preserve">poruchou funkcie obličiek (klírens kreatinínu 15 – 29 ml/min), ktorá môže viesť k zvýšenému riziku krvácania. Na </w:t>
      </w:r>
      <w:r w:rsidR="000005EA">
        <w:rPr>
          <w:sz w:val="22"/>
        </w:rPr>
        <w:t xml:space="preserve">prevenciu VTE pri elektívnom chirurgickom zákroku na výmenu </w:t>
      </w:r>
      <w:r w:rsidR="00F3297A">
        <w:rPr>
          <w:sz w:val="22"/>
        </w:rPr>
        <w:t>b</w:t>
      </w:r>
      <w:r w:rsidR="000005EA">
        <w:rPr>
          <w:sz w:val="22"/>
        </w:rPr>
        <w:t>edrového alebo kolenného kĺbu (VTEp)</w:t>
      </w:r>
      <w:r w:rsidR="00F3297A">
        <w:rPr>
          <w:sz w:val="22"/>
        </w:rPr>
        <w:t>,</w:t>
      </w:r>
      <w:r w:rsidR="00432C41">
        <w:rPr>
          <w:sz w:val="22"/>
        </w:rPr>
        <w:t xml:space="preserve"> </w:t>
      </w:r>
      <w:r>
        <w:rPr>
          <w:sz w:val="22"/>
        </w:rPr>
        <w:t xml:space="preserve">liečbu DVT, liečbu PE a prevenciu rekurentnej DVT a PE (VTEt) sa má apixabán používať s opatrnosťou u pacientov so závažnou poruchou funkcie obličiek (klírens kreatinínu 15 – 29 ml/min) (pozri časti 4.2 a 5.2). </w:t>
      </w:r>
    </w:p>
    <w:p w14:paraId="05F429BC" w14:textId="77777777" w:rsidR="00B07789" w:rsidRPr="00A731E1" w:rsidRDefault="00D25089" w:rsidP="00833B71">
      <w:pPr>
        <w:spacing w:after="0" w:line="240" w:lineRule="auto"/>
        <w:ind w:left="0" w:firstLine="0"/>
        <w:rPr>
          <w:sz w:val="22"/>
        </w:rPr>
      </w:pPr>
      <w:r>
        <w:rPr>
          <w:sz w:val="22"/>
        </w:rPr>
        <w:t xml:space="preserve"> </w:t>
      </w:r>
    </w:p>
    <w:p w14:paraId="02F1D077" w14:textId="36D508CA" w:rsidR="00B07789" w:rsidRPr="00A731E1" w:rsidRDefault="00D25089" w:rsidP="006A6015">
      <w:pPr>
        <w:spacing w:after="0" w:line="240" w:lineRule="auto"/>
        <w:ind w:left="10"/>
        <w:rPr>
          <w:sz w:val="22"/>
        </w:rPr>
      </w:pPr>
      <w:r>
        <w:rPr>
          <w:sz w:val="22"/>
        </w:rPr>
        <w:t>Na prevenciu cievnej mozgovej príhody a systémovej embólie u pacientov s NVAF majú pacienti s</w:t>
      </w:r>
      <w:r w:rsidR="00EC0EB2">
        <w:rPr>
          <w:sz w:val="22"/>
        </w:rPr>
        <w:t>o</w:t>
      </w:r>
      <w:r>
        <w:rPr>
          <w:sz w:val="22"/>
        </w:rPr>
        <w:t xml:space="preserve"> </w:t>
      </w:r>
      <w:r w:rsidR="00EC0EB2">
        <w:rPr>
          <w:sz w:val="22"/>
        </w:rPr>
        <w:t>závažnou</w:t>
      </w:r>
      <w:r>
        <w:rPr>
          <w:sz w:val="22"/>
        </w:rPr>
        <w:t xml:space="preserve"> poruchou funkcie obličiek (klírens kreatinínu 15 – 29 ml/min) a pacienti so sérovou hladinou </w:t>
      </w:r>
      <w:r>
        <w:rPr>
          <w:sz w:val="22"/>
        </w:rPr>
        <w:lastRenderedPageBreak/>
        <w:t xml:space="preserve">kreatinínu ≥ 1,5 mg/dl (133 mikromol/l) súvisiacou s vekom ≥ 80 rokov alebo telesnou hmotnosťou ≤ 60 kg dostávať nižšiu dávku apixabánu 2,5 mg dvakrát denne (pozri časť 4.2). </w:t>
      </w:r>
    </w:p>
    <w:p w14:paraId="11D71D6E" w14:textId="77777777" w:rsidR="00B07789" w:rsidRPr="00A731E1" w:rsidRDefault="00D25089" w:rsidP="00833B71">
      <w:pPr>
        <w:spacing w:after="0" w:line="240" w:lineRule="auto"/>
        <w:ind w:left="0" w:firstLine="0"/>
        <w:rPr>
          <w:sz w:val="22"/>
        </w:rPr>
      </w:pPr>
      <w:r>
        <w:rPr>
          <w:sz w:val="22"/>
        </w:rPr>
        <w:t xml:space="preserve"> </w:t>
      </w:r>
    </w:p>
    <w:p w14:paraId="0490C149" w14:textId="77777777" w:rsidR="00B07789" w:rsidRPr="00A731E1" w:rsidRDefault="00D25089" w:rsidP="006A6015">
      <w:pPr>
        <w:spacing w:after="0" w:line="240" w:lineRule="auto"/>
        <w:ind w:left="10"/>
        <w:rPr>
          <w:sz w:val="22"/>
        </w:rPr>
      </w:pPr>
      <w:r>
        <w:rPr>
          <w:sz w:val="22"/>
        </w:rPr>
        <w:t xml:space="preserve">U pacientov s klírensom kreatinínu ≤ 15 ml/min alebo u pacientov podstupujúcich dialýzu neexistujú žiadne klinické skúsenosti, preto sa apixabán neodporúča (pozri časti 4.2 a 5.2). </w:t>
      </w:r>
    </w:p>
    <w:p w14:paraId="4053BA1A" w14:textId="77777777" w:rsidR="00B07789" w:rsidRPr="007E6137" w:rsidRDefault="00B07789" w:rsidP="00432C41">
      <w:pPr>
        <w:spacing w:after="0" w:line="240" w:lineRule="auto"/>
        <w:ind w:left="0" w:firstLine="0"/>
        <w:rPr>
          <w:sz w:val="22"/>
        </w:rPr>
      </w:pPr>
    </w:p>
    <w:p w14:paraId="67175434" w14:textId="77777777" w:rsidR="00B07789" w:rsidRPr="00A731E1" w:rsidRDefault="00D25089" w:rsidP="00432C41">
      <w:pPr>
        <w:pStyle w:val="Nadpis2"/>
        <w:spacing w:after="0" w:line="240" w:lineRule="auto"/>
        <w:ind w:left="10"/>
        <w:rPr>
          <w:sz w:val="22"/>
        </w:rPr>
      </w:pPr>
      <w:r>
        <w:rPr>
          <w:sz w:val="22"/>
        </w:rPr>
        <w:t>Starší pacienti</w:t>
      </w:r>
      <w:r>
        <w:rPr>
          <w:sz w:val="22"/>
          <w:u w:val="none"/>
        </w:rPr>
        <w:t xml:space="preserve"> </w:t>
      </w:r>
    </w:p>
    <w:p w14:paraId="05064A27" w14:textId="77777777" w:rsidR="00B07789" w:rsidRPr="00A731E1" w:rsidRDefault="00D25089" w:rsidP="00432C41">
      <w:pPr>
        <w:spacing w:after="0" w:line="240" w:lineRule="auto"/>
        <w:ind w:left="10"/>
        <w:rPr>
          <w:sz w:val="22"/>
        </w:rPr>
      </w:pPr>
      <w:r>
        <w:rPr>
          <w:sz w:val="22"/>
        </w:rPr>
        <w:t xml:space="preserve">Zvyšujúci sa vek môže zvýšiť riziko krvácania (pozri časť 5.2). </w:t>
      </w:r>
    </w:p>
    <w:p w14:paraId="5D5765ED" w14:textId="77777777" w:rsidR="00B07789" w:rsidRPr="007E6137" w:rsidRDefault="00B07789" w:rsidP="00432C41">
      <w:pPr>
        <w:spacing w:after="0" w:line="240" w:lineRule="auto"/>
        <w:ind w:left="0" w:firstLine="0"/>
        <w:rPr>
          <w:sz w:val="22"/>
        </w:rPr>
      </w:pPr>
    </w:p>
    <w:p w14:paraId="7CEE11EE" w14:textId="70C9FCEA" w:rsidR="00B07789" w:rsidRPr="00A731E1" w:rsidRDefault="00D25089" w:rsidP="006A6015">
      <w:pPr>
        <w:spacing w:after="0" w:line="240" w:lineRule="auto"/>
        <w:ind w:left="10"/>
        <w:rPr>
          <w:sz w:val="22"/>
        </w:rPr>
      </w:pPr>
      <w:r>
        <w:rPr>
          <w:sz w:val="22"/>
        </w:rPr>
        <w:t>Súb</w:t>
      </w:r>
      <w:r w:rsidR="002013DA">
        <w:rPr>
          <w:sz w:val="22"/>
        </w:rPr>
        <w:t>ežné podávanie Polapixu</w:t>
      </w:r>
      <w:r>
        <w:rPr>
          <w:sz w:val="22"/>
        </w:rPr>
        <w:t xml:space="preserve"> s ASA u starších pacientov sa má navyše používať opatrne z dôvodu potenciálne vyššieho rizika krvácania. </w:t>
      </w:r>
    </w:p>
    <w:p w14:paraId="5432D9AF" w14:textId="77777777" w:rsidR="00B07789" w:rsidRPr="007E6137" w:rsidRDefault="00B07789" w:rsidP="00432C41">
      <w:pPr>
        <w:spacing w:after="0" w:line="240" w:lineRule="auto"/>
        <w:ind w:left="0" w:firstLine="0"/>
        <w:rPr>
          <w:sz w:val="22"/>
        </w:rPr>
      </w:pPr>
    </w:p>
    <w:p w14:paraId="3DD60317" w14:textId="77777777" w:rsidR="00B07789" w:rsidRPr="00A731E1" w:rsidRDefault="00D25089" w:rsidP="006A6015">
      <w:pPr>
        <w:spacing w:after="0" w:line="240" w:lineRule="auto"/>
        <w:ind w:left="10"/>
        <w:rPr>
          <w:sz w:val="22"/>
        </w:rPr>
      </w:pPr>
      <w:r>
        <w:rPr>
          <w:sz w:val="22"/>
          <w:u w:val="single" w:color="000000"/>
        </w:rPr>
        <w:t>Telesná hmotnosť</w:t>
      </w:r>
      <w:r>
        <w:rPr>
          <w:sz w:val="22"/>
        </w:rPr>
        <w:t xml:space="preserve"> </w:t>
      </w:r>
    </w:p>
    <w:p w14:paraId="56414E23" w14:textId="77777777" w:rsidR="00B07789" w:rsidRPr="00A731E1" w:rsidRDefault="00D25089" w:rsidP="006A6015">
      <w:pPr>
        <w:spacing w:after="0" w:line="240" w:lineRule="auto"/>
        <w:ind w:left="10"/>
        <w:rPr>
          <w:sz w:val="22"/>
        </w:rPr>
      </w:pPr>
      <w:r>
        <w:rPr>
          <w:sz w:val="22"/>
        </w:rPr>
        <w:t xml:space="preserve">Nízka telesná hmotnosť (&lt; 60 kg) môže zvýšiť riziko krvácania (pozri časť 5.2). </w:t>
      </w:r>
    </w:p>
    <w:p w14:paraId="225F8B2E" w14:textId="77777777" w:rsidR="00B07789" w:rsidRPr="007E6137" w:rsidRDefault="00B07789" w:rsidP="00432C41">
      <w:pPr>
        <w:spacing w:after="0" w:line="240" w:lineRule="auto"/>
        <w:ind w:left="0" w:firstLine="0"/>
        <w:rPr>
          <w:sz w:val="22"/>
        </w:rPr>
      </w:pPr>
    </w:p>
    <w:p w14:paraId="466B1DDB" w14:textId="77777777" w:rsidR="00B07789" w:rsidRPr="00A731E1" w:rsidRDefault="00D25089" w:rsidP="00466D21">
      <w:pPr>
        <w:pStyle w:val="Nadpis2"/>
        <w:spacing w:after="0" w:line="240" w:lineRule="auto"/>
        <w:ind w:left="10"/>
        <w:rPr>
          <w:sz w:val="22"/>
        </w:rPr>
      </w:pPr>
      <w:r>
        <w:rPr>
          <w:sz w:val="22"/>
        </w:rPr>
        <w:t>Pacienti s poruchou funkcie pečene</w:t>
      </w:r>
    </w:p>
    <w:p w14:paraId="1665329A" w14:textId="1D318F2C" w:rsidR="00B07789" w:rsidRPr="00A731E1" w:rsidRDefault="00CF571F" w:rsidP="00466D21">
      <w:pPr>
        <w:spacing w:after="0" w:line="240" w:lineRule="auto"/>
        <w:ind w:left="10"/>
        <w:rPr>
          <w:sz w:val="22"/>
        </w:rPr>
      </w:pPr>
      <w:r>
        <w:rPr>
          <w:sz w:val="22"/>
        </w:rPr>
        <w:t>Polapix</w:t>
      </w:r>
      <w:r w:rsidR="00635B73">
        <w:rPr>
          <w:sz w:val="22"/>
        </w:rPr>
        <w:t xml:space="preserve"> je kontraindikovaný u pacientov s ochorením pečene spojeným s koagulopatiou a klinicky významným rizikom krvácania (pozri časť 4.3).</w:t>
      </w:r>
    </w:p>
    <w:p w14:paraId="435301D5" w14:textId="77777777" w:rsidR="00B07789" w:rsidRPr="007E6137" w:rsidRDefault="00B07789" w:rsidP="00432C41">
      <w:pPr>
        <w:spacing w:after="0" w:line="240" w:lineRule="auto"/>
        <w:ind w:left="0" w:firstLine="0"/>
        <w:rPr>
          <w:sz w:val="22"/>
        </w:rPr>
      </w:pPr>
    </w:p>
    <w:p w14:paraId="627A1195" w14:textId="25BEF0F8" w:rsidR="00B07789" w:rsidRPr="00A731E1" w:rsidRDefault="00D25089" w:rsidP="006A6015">
      <w:pPr>
        <w:spacing w:after="0" w:line="240" w:lineRule="auto"/>
        <w:ind w:left="10"/>
        <w:rPr>
          <w:sz w:val="22"/>
        </w:rPr>
      </w:pPr>
      <w:r>
        <w:rPr>
          <w:sz w:val="22"/>
        </w:rPr>
        <w:t>Neodporúča sa u pacientov s</w:t>
      </w:r>
      <w:r w:rsidR="009437AE">
        <w:rPr>
          <w:sz w:val="22"/>
        </w:rPr>
        <w:t>o</w:t>
      </w:r>
      <w:r>
        <w:rPr>
          <w:sz w:val="22"/>
        </w:rPr>
        <w:t xml:space="preserve"> </w:t>
      </w:r>
      <w:r w:rsidR="009437AE">
        <w:rPr>
          <w:sz w:val="22"/>
        </w:rPr>
        <w:t xml:space="preserve">závažnou </w:t>
      </w:r>
      <w:r>
        <w:rPr>
          <w:sz w:val="22"/>
        </w:rPr>
        <w:t>poruchou funkcie pečene (pozri časť 5.2).</w:t>
      </w:r>
    </w:p>
    <w:p w14:paraId="00016CBB" w14:textId="77777777" w:rsidR="00B07789" w:rsidRPr="00A731E1" w:rsidRDefault="00D25089" w:rsidP="00432C41">
      <w:pPr>
        <w:spacing w:after="0" w:line="240" w:lineRule="auto"/>
        <w:ind w:left="0" w:firstLine="0"/>
        <w:rPr>
          <w:sz w:val="22"/>
        </w:rPr>
      </w:pPr>
      <w:r>
        <w:rPr>
          <w:sz w:val="22"/>
        </w:rPr>
        <w:t xml:space="preserve"> </w:t>
      </w:r>
    </w:p>
    <w:p w14:paraId="51B4EF1D" w14:textId="11FC741B" w:rsidR="00B07789" w:rsidRPr="00A731E1" w:rsidRDefault="00D25089" w:rsidP="006A6015">
      <w:pPr>
        <w:spacing w:after="0" w:line="240" w:lineRule="auto"/>
        <w:ind w:left="10"/>
        <w:rPr>
          <w:sz w:val="22"/>
        </w:rPr>
      </w:pPr>
      <w:r>
        <w:rPr>
          <w:sz w:val="22"/>
        </w:rPr>
        <w:t xml:space="preserve">U pacientov s </w:t>
      </w:r>
      <w:r w:rsidR="009437AE">
        <w:rPr>
          <w:sz w:val="22"/>
        </w:rPr>
        <w:t xml:space="preserve">miernou </w:t>
      </w:r>
      <w:r>
        <w:rPr>
          <w:sz w:val="22"/>
        </w:rPr>
        <w:t xml:space="preserve">alebo stredne </w:t>
      </w:r>
      <w:r w:rsidR="009437AE">
        <w:rPr>
          <w:sz w:val="22"/>
        </w:rPr>
        <w:t>závažnou</w:t>
      </w:r>
      <w:r>
        <w:rPr>
          <w:sz w:val="22"/>
        </w:rPr>
        <w:t xml:space="preserve"> poruchou funkcie pečene (Childovo-Pughovo skóre A alebo B) sa má používať s opatrnosťou (pozri časti 4.2 a 5.2)</w:t>
      </w:r>
    </w:p>
    <w:p w14:paraId="254619AF" w14:textId="77777777" w:rsidR="00B07789" w:rsidRPr="007E6137" w:rsidRDefault="00B07789" w:rsidP="00432C41">
      <w:pPr>
        <w:spacing w:after="0" w:line="240" w:lineRule="auto"/>
        <w:ind w:left="0" w:firstLine="0"/>
        <w:rPr>
          <w:sz w:val="22"/>
        </w:rPr>
      </w:pPr>
    </w:p>
    <w:p w14:paraId="0D54105D" w14:textId="38AA8584" w:rsidR="00B07789" w:rsidRDefault="00D25089" w:rsidP="00432C41">
      <w:pPr>
        <w:spacing w:after="0" w:line="240" w:lineRule="auto"/>
        <w:ind w:left="10"/>
        <w:rPr>
          <w:sz w:val="22"/>
        </w:rPr>
      </w:pPr>
      <w:r>
        <w:rPr>
          <w:sz w:val="22"/>
        </w:rPr>
        <w:t>Pacienti so zvýšenou hladinou pečeňových enzýmov ALT/AST &gt; 2 x ULN alebo celkového bilirubínu ≥ 1,5 x ULN boli vylúčení z klinických štúdi</w:t>
      </w:r>
      <w:r w:rsidR="00CF571F">
        <w:rPr>
          <w:sz w:val="22"/>
        </w:rPr>
        <w:t>í. Preto sa má Polapix</w:t>
      </w:r>
      <w:r>
        <w:rPr>
          <w:sz w:val="22"/>
        </w:rPr>
        <w:t xml:space="preserve"> u týchto pacientov používať s opatrnosťou (pozri časť 5.2). Pred začatím liečby </w:t>
      </w:r>
      <w:r w:rsidR="009437AE">
        <w:rPr>
          <w:sz w:val="22"/>
        </w:rPr>
        <w:t>Polapixom</w:t>
      </w:r>
      <w:r w:rsidR="00432C41">
        <w:rPr>
          <w:sz w:val="22"/>
        </w:rPr>
        <w:t xml:space="preserve"> </w:t>
      </w:r>
      <w:r>
        <w:rPr>
          <w:sz w:val="22"/>
        </w:rPr>
        <w:t>sa má uskutočniť vyšetrenie funkcie pečene.</w:t>
      </w:r>
    </w:p>
    <w:p w14:paraId="6D0485B1" w14:textId="77777777" w:rsidR="007A4B0F" w:rsidRPr="007E6137" w:rsidRDefault="007A4B0F" w:rsidP="00833B71">
      <w:pPr>
        <w:spacing w:after="0" w:line="240" w:lineRule="auto"/>
        <w:ind w:left="0" w:right="183"/>
        <w:rPr>
          <w:sz w:val="22"/>
        </w:rPr>
      </w:pPr>
    </w:p>
    <w:p w14:paraId="6189C332" w14:textId="77777777" w:rsidR="007A4B0F" w:rsidRDefault="00D25089" w:rsidP="00833B71">
      <w:pPr>
        <w:spacing w:after="0" w:line="240" w:lineRule="auto"/>
        <w:ind w:left="0" w:firstLine="0"/>
        <w:rPr>
          <w:sz w:val="22"/>
        </w:rPr>
      </w:pPr>
      <w:r>
        <w:rPr>
          <w:sz w:val="22"/>
          <w:u w:val="single" w:color="000000"/>
        </w:rPr>
        <w:t>Interakcia s inhibítormi cytochrómu P450 3A4 (CYP3A4) a P</w:t>
      </w:r>
      <w:r>
        <w:rPr>
          <w:sz w:val="22"/>
          <w:u w:val="single" w:color="000000"/>
        </w:rPr>
        <w:noBreakHyphen/>
        <w:t>glykoproteínu (P</w:t>
      </w:r>
      <w:r>
        <w:rPr>
          <w:sz w:val="22"/>
          <w:u w:val="single" w:color="000000"/>
        </w:rPr>
        <w:noBreakHyphen/>
        <w:t>gp)</w:t>
      </w:r>
    </w:p>
    <w:p w14:paraId="7D124494" w14:textId="72E31F03" w:rsidR="00B07789" w:rsidRPr="00A731E1" w:rsidRDefault="00CF571F" w:rsidP="00833B71">
      <w:pPr>
        <w:spacing w:after="0" w:line="240" w:lineRule="auto"/>
        <w:ind w:left="0" w:firstLine="0"/>
        <w:rPr>
          <w:sz w:val="22"/>
        </w:rPr>
      </w:pPr>
      <w:r>
        <w:rPr>
          <w:sz w:val="22"/>
        </w:rPr>
        <w:t>Použitie Polapixu</w:t>
      </w:r>
      <w:r w:rsidR="00D25089">
        <w:rPr>
          <w:sz w:val="22"/>
        </w:rPr>
        <w:t xml:space="preserve"> sa neodporúča u pacientov súbežne užívajúcich systémovú liečbu silnými inhibítormi CYP3A4 a P</w:t>
      </w:r>
      <w:r w:rsidR="00D25089">
        <w:rPr>
          <w:sz w:val="22"/>
        </w:rPr>
        <w:noBreakHyphen/>
        <w:t>gp, ako azolové antimykotiká (napr. ketokonazol, itrakonazol, vorikonazol a po</w:t>
      </w:r>
      <w:r w:rsidR="009437AE">
        <w:rPr>
          <w:sz w:val="22"/>
        </w:rPr>
        <w:t>s</w:t>
      </w:r>
      <w:r w:rsidR="00D25089">
        <w:rPr>
          <w:sz w:val="22"/>
        </w:rPr>
        <w:t xml:space="preserve">akonazol) a inhibítory HIV proteáz (napr. ritonavir). Tieto lieky môžu zvýšiť expozíciu apixabánu dvojnásobne (pozri časť 4.5), </w:t>
      </w:r>
      <w:r w:rsidR="009437AE">
        <w:rPr>
          <w:sz w:val="22"/>
        </w:rPr>
        <w:t xml:space="preserve">alebo ešte viac </w:t>
      </w:r>
      <w:r w:rsidR="00D25089">
        <w:rPr>
          <w:sz w:val="22"/>
        </w:rPr>
        <w:t xml:space="preserve">v prítomnosti ďalších faktorov, ktoré zvyšujú expozíciu apixabánu (napr. </w:t>
      </w:r>
      <w:r w:rsidR="009437AE">
        <w:rPr>
          <w:sz w:val="22"/>
        </w:rPr>
        <w:t xml:space="preserve">závažná </w:t>
      </w:r>
      <w:r w:rsidR="00D25089">
        <w:rPr>
          <w:sz w:val="22"/>
        </w:rPr>
        <w:t>porucha funkcie obličiek)</w:t>
      </w:r>
      <w:r w:rsidR="009437AE">
        <w:rPr>
          <w:sz w:val="22"/>
        </w:rPr>
        <w:t>.</w:t>
      </w:r>
    </w:p>
    <w:p w14:paraId="40DDE5CA" w14:textId="77777777" w:rsidR="00B07789" w:rsidRPr="007E6137" w:rsidRDefault="00B07789" w:rsidP="00833B71">
      <w:pPr>
        <w:spacing w:after="0" w:line="240" w:lineRule="auto"/>
        <w:ind w:left="0" w:firstLine="0"/>
        <w:rPr>
          <w:sz w:val="22"/>
        </w:rPr>
      </w:pPr>
    </w:p>
    <w:p w14:paraId="1BC55253" w14:textId="77777777" w:rsidR="00B07789" w:rsidRPr="00A731E1" w:rsidRDefault="00D25089" w:rsidP="00047544">
      <w:pPr>
        <w:pStyle w:val="Nadpis2"/>
        <w:spacing w:after="0" w:line="240" w:lineRule="auto"/>
        <w:ind w:left="10"/>
        <w:rPr>
          <w:sz w:val="22"/>
        </w:rPr>
      </w:pPr>
      <w:r>
        <w:rPr>
          <w:sz w:val="22"/>
        </w:rPr>
        <w:t>Interakcia s induktormi CYP3A4 a P</w:t>
      </w:r>
      <w:r>
        <w:rPr>
          <w:sz w:val="22"/>
        </w:rPr>
        <w:noBreakHyphen/>
        <w:t>gp</w:t>
      </w:r>
    </w:p>
    <w:p w14:paraId="7BF3E8C1" w14:textId="0E299DDE" w:rsidR="00B07789" w:rsidRPr="00A731E1" w:rsidRDefault="00D25089" w:rsidP="00047544">
      <w:pPr>
        <w:spacing w:after="0" w:line="240" w:lineRule="auto"/>
        <w:ind w:left="10"/>
        <w:rPr>
          <w:sz w:val="22"/>
        </w:rPr>
      </w:pPr>
      <w:r>
        <w:rPr>
          <w:sz w:val="22"/>
        </w:rPr>
        <w:t>Sú</w:t>
      </w:r>
      <w:r w:rsidR="00CF571F">
        <w:rPr>
          <w:sz w:val="22"/>
        </w:rPr>
        <w:t>bežné použitie Polapixu</w:t>
      </w:r>
      <w:r>
        <w:rPr>
          <w:sz w:val="22"/>
        </w:rPr>
        <w:t xml:space="preserve"> so silnými induktormi CYP3A4 a P</w:t>
      </w:r>
      <w:r>
        <w:rPr>
          <w:sz w:val="22"/>
        </w:rPr>
        <w:noBreakHyphen/>
        <w:t>gp (napr. rifampicín, fenytoín, karbamazepín, fenobarbital alebo ľubovník bodkovaný) môže viesť k ~50 % zníženiu expozície apixabánu. V klinickom skúšaní u pacientov s atriálnou fibriláciou sa pozorovala znížená účinnosť a vyššie riziko krvácania v porovnaní so samotným podaním apixabánu, ak sa apixabán podával spolu so silnými induktormi CYP3A4 a P</w:t>
      </w:r>
      <w:r>
        <w:rPr>
          <w:sz w:val="22"/>
        </w:rPr>
        <w:noBreakHyphen/>
        <w:t>gp.</w:t>
      </w:r>
    </w:p>
    <w:p w14:paraId="57353391" w14:textId="77777777" w:rsidR="00B07789" w:rsidRPr="007E6137" w:rsidRDefault="00B07789" w:rsidP="00833B71">
      <w:pPr>
        <w:spacing w:after="0" w:line="240" w:lineRule="auto"/>
        <w:ind w:left="0" w:firstLine="0"/>
        <w:rPr>
          <w:sz w:val="22"/>
        </w:rPr>
      </w:pPr>
    </w:p>
    <w:p w14:paraId="2F081A78" w14:textId="6D9A1727" w:rsidR="00B07789" w:rsidRPr="00A731E1" w:rsidRDefault="00D25089" w:rsidP="00047544">
      <w:pPr>
        <w:keepNext/>
        <w:spacing w:after="0" w:line="240" w:lineRule="auto"/>
        <w:ind w:left="10"/>
        <w:rPr>
          <w:sz w:val="22"/>
        </w:rPr>
      </w:pPr>
      <w:r>
        <w:rPr>
          <w:sz w:val="22"/>
        </w:rPr>
        <w:t>Na pacientov užívajúcich súbežnú systémovú liečbu silnými induktormi CYP3A4 a  P</w:t>
      </w:r>
      <w:r>
        <w:rPr>
          <w:sz w:val="22"/>
        </w:rPr>
        <w:noBreakHyphen/>
        <w:t>gp sa vzťahujú nasledujúce odporúčania (pozri časť 4.5):</w:t>
      </w:r>
    </w:p>
    <w:p w14:paraId="64EC2A6F" w14:textId="77E73391" w:rsidR="00B07789" w:rsidRPr="003531E1" w:rsidRDefault="00A43D4A" w:rsidP="00432C41">
      <w:pPr>
        <w:pStyle w:val="Odsekzoznamu"/>
        <w:keepNext/>
        <w:numPr>
          <w:ilvl w:val="0"/>
          <w:numId w:val="7"/>
        </w:numPr>
        <w:spacing w:after="0" w:line="240" w:lineRule="auto"/>
        <w:ind w:left="0" w:hanging="567"/>
        <w:rPr>
          <w:sz w:val="22"/>
        </w:rPr>
      </w:pPr>
      <w:r>
        <w:rPr>
          <w:sz w:val="22"/>
        </w:rPr>
        <w:t xml:space="preserve">na prevenciu VTE pri elektívnom chirurgickom zákroku na výmenu bedrového alebo kolenného kĺbu, </w:t>
      </w:r>
      <w:r w:rsidR="00D25089">
        <w:rPr>
          <w:sz w:val="22"/>
        </w:rPr>
        <w:t>na prevenciu cievnej mozgovej príhody a systémovej embólie u pacientov s NVAF a na prevenciu rekurentnej DVT a PE sa má apixabán používať s opatrnosťou;</w:t>
      </w:r>
    </w:p>
    <w:p w14:paraId="5324D10B" w14:textId="4B771446" w:rsidR="00B07789" w:rsidRDefault="00D25089" w:rsidP="00432C41">
      <w:pPr>
        <w:pStyle w:val="Odsekzoznamu"/>
        <w:numPr>
          <w:ilvl w:val="0"/>
          <w:numId w:val="7"/>
        </w:numPr>
        <w:spacing w:after="0" w:line="240" w:lineRule="auto"/>
        <w:ind w:left="0" w:hanging="567"/>
        <w:rPr>
          <w:sz w:val="22"/>
        </w:rPr>
      </w:pPr>
      <w:r>
        <w:rPr>
          <w:sz w:val="22"/>
        </w:rPr>
        <w:t xml:space="preserve">na liečbu DVT a liečbu PE sa apixabán nemá používať, pretože sa účinnosť môže </w:t>
      </w:r>
      <w:r w:rsidR="006B0E77">
        <w:rPr>
          <w:sz w:val="22"/>
        </w:rPr>
        <w:t>znížiť</w:t>
      </w:r>
      <w:r>
        <w:rPr>
          <w:sz w:val="22"/>
        </w:rPr>
        <w:t>.</w:t>
      </w:r>
    </w:p>
    <w:p w14:paraId="04F2A7CD" w14:textId="77777777" w:rsidR="00D151BC" w:rsidRDefault="00D151BC" w:rsidP="00432C41">
      <w:pPr>
        <w:spacing w:after="0" w:line="240" w:lineRule="auto"/>
        <w:ind w:left="0"/>
        <w:rPr>
          <w:sz w:val="22"/>
        </w:rPr>
      </w:pPr>
    </w:p>
    <w:p w14:paraId="7223F2E4" w14:textId="77777777" w:rsidR="00D151BC" w:rsidRPr="00D151BC" w:rsidRDefault="00D151BC" w:rsidP="00047544">
      <w:pPr>
        <w:spacing w:after="0" w:line="240" w:lineRule="auto"/>
        <w:ind w:left="10"/>
        <w:rPr>
          <w:sz w:val="22"/>
          <w:u w:val="single"/>
        </w:rPr>
      </w:pPr>
      <w:r w:rsidRPr="00D151BC">
        <w:rPr>
          <w:sz w:val="22"/>
          <w:u w:val="single"/>
        </w:rPr>
        <w:t xml:space="preserve">Chirurgický výkon pre fraktúru bedrového kĺbu </w:t>
      </w:r>
    </w:p>
    <w:p w14:paraId="1C475032" w14:textId="682A0811" w:rsidR="00D151BC" w:rsidRPr="00EE68B4" w:rsidRDefault="00D151BC" w:rsidP="00047544">
      <w:pPr>
        <w:spacing w:after="0" w:line="240" w:lineRule="auto"/>
        <w:ind w:left="10"/>
        <w:rPr>
          <w:sz w:val="22"/>
        </w:rPr>
      </w:pPr>
      <w:r w:rsidRPr="00EE68B4">
        <w:rPr>
          <w:sz w:val="22"/>
        </w:rPr>
        <w:t>V klinických štúdiách na hodnotenie účinnosti a bezpečnosti u pacientov, ktorí absolvujú chirurgický výkon pre fraktúru bedrového kĺbu sa apixabán neskúmal. Preto sa u týchto pacientov neodporúča.</w:t>
      </w:r>
    </w:p>
    <w:p w14:paraId="46748257" w14:textId="77777777" w:rsidR="00B07789" w:rsidRPr="00D151BC" w:rsidRDefault="00B07789" w:rsidP="00833B71">
      <w:pPr>
        <w:spacing w:after="0" w:line="240" w:lineRule="auto"/>
        <w:ind w:left="0" w:firstLine="0"/>
        <w:rPr>
          <w:sz w:val="22"/>
          <w:u w:val="single"/>
        </w:rPr>
      </w:pPr>
    </w:p>
    <w:p w14:paraId="5F50928D" w14:textId="77777777" w:rsidR="00D151BC" w:rsidRDefault="00D151BC" w:rsidP="00EE68B4">
      <w:pPr>
        <w:pStyle w:val="Nadpis2"/>
        <w:spacing w:after="0" w:line="240" w:lineRule="auto"/>
        <w:ind w:left="0" w:firstLine="0"/>
        <w:rPr>
          <w:sz w:val="22"/>
        </w:rPr>
      </w:pPr>
    </w:p>
    <w:p w14:paraId="7EB91A4B" w14:textId="77777777" w:rsidR="00B07789" w:rsidRPr="00A731E1" w:rsidRDefault="00D25089" w:rsidP="00047544">
      <w:pPr>
        <w:pStyle w:val="Nadpis2"/>
        <w:spacing w:after="0" w:line="240" w:lineRule="auto"/>
        <w:ind w:left="10"/>
        <w:rPr>
          <w:sz w:val="22"/>
        </w:rPr>
      </w:pPr>
      <w:r>
        <w:rPr>
          <w:sz w:val="22"/>
        </w:rPr>
        <w:t>Laboratórne parametre</w:t>
      </w:r>
      <w:r>
        <w:rPr>
          <w:sz w:val="22"/>
          <w:u w:val="none"/>
        </w:rPr>
        <w:t xml:space="preserve"> </w:t>
      </w:r>
    </w:p>
    <w:p w14:paraId="1E32B585" w14:textId="77777777" w:rsidR="00B07789" w:rsidRPr="00A731E1" w:rsidRDefault="00D25089" w:rsidP="00047544">
      <w:pPr>
        <w:spacing w:after="0" w:line="240" w:lineRule="auto"/>
        <w:ind w:left="10"/>
        <w:rPr>
          <w:sz w:val="22"/>
        </w:rPr>
      </w:pPr>
      <w:r>
        <w:rPr>
          <w:sz w:val="22"/>
        </w:rPr>
        <w:t>Parametre zrážavosti [napr. protrombínový čas (prothrombin time, PT), INR a aktivovaný čiastočný tromboplastínový čas (activated partial thromboplastin time, aPTT)] sú ovplyvnené tak, ako sa predpokladá podľa mechanizmu účinku apixabánu. Zmeny pozorované v týchto testoch zrážavosti pri očakávaných terapeutických dávkach sú malé a podliehajú vysokému stupňu variability (pozri časť 5.1).</w:t>
      </w:r>
    </w:p>
    <w:p w14:paraId="1A6A75FA" w14:textId="77777777" w:rsidR="00B07789" w:rsidRPr="007E6137" w:rsidRDefault="00B07789" w:rsidP="00833B71">
      <w:pPr>
        <w:spacing w:after="0" w:line="240" w:lineRule="auto"/>
        <w:ind w:left="0" w:firstLine="0"/>
        <w:rPr>
          <w:sz w:val="22"/>
        </w:rPr>
      </w:pPr>
    </w:p>
    <w:p w14:paraId="013CB651" w14:textId="77777777" w:rsidR="00F255BA" w:rsidRPr="00A731E1" w:rsidRDefault="00F255BA" w:rsidP="00047544">
      <w:pPr>
        <w:pStyle w:val="Nadpis2"/>
        <w:spacing w:after="0" w:line="240" w:lineRule="auto"/>
        <w:ind w:left="10"/>
        <w:rPr>
          <w:sz w:val="22"/>
        </w:rPr>
      </w:pPr>
      <w:r>
        <w:rPr>
          <w:sz w:val="22"/>
        </w:rPr>
        <w:t>Informácie o pomocných látkach</w:t>
      </w:r>
    </w:p>
    <w:p w14:paraId="112AE146" w14:textId="227DEC8C" w:rsidR="00F255BA" w:rsidRPr="00710C94" w:rsidRDefault="00CF571F" w:rsidP="00047544">
      <w:pPr>
        <w:spacing w:after="0" w:line="240" w:lineRule="auto"/>
        <w:ind w:left="10"/>
        <w:rPr>
          <w:sz w:val="22"/>
        </w:rPr>
      </w:pPr>
      <w:r>
        <w:rPr>
          <w:sz w:val="22"/>
        </w:rPr>
        <w:t>Polapix</w:t>
      </w:r>
      <w:r w:rsidR="00F255BA">
        <w:rPr>
          <w:sz w:val="22"/>
        </w:rPr>
        <w:t xml:space="preserve"> obsahuje laktózu. Pacienti so zriedkavými dedičnými problémami galaktózovej intolerancie, celkovým deficitom laktázy alebo glukózo-galaktózovou malabsorpciou nesmú užívať tento liek. </w:t>
      </w:r>
    </w:p>
    <w:p w14:paraId="30CF2AE8" w14:textId="77777777" w:rsidR="00710C94" w:rsidRPr="007E6137" w:rsidRDefault="00710C94" w:rsidP="00047544">
      <w:pPr>
        <w:spacing w:after="0" w:line="240" w:lineRule="auto"/>
        <w:ind w:left="10"/>
        <w:rPr>
          <w:sz w:val="22"/>
        </w:rPr>
      </w:pPr>
    </w:p>
    <w:p w14:paraId="76DD7BDD" w14:textId="77777777" w:rsidR="00710C94" w:rsidRPr="00710C94" w:rsidRDefault="00710C94" w:rsidP="00047544">
      <w:pPr>
        <w:spacing w:after="0" w:line="240" w:lineRule="auto"/>
        <w:ind w:left="10"/>
        <w:rPr>
          <w:sz w:val="22"/>
        </w:rPr>
      </w:pPr>
      <w:r>
        <w:rPr>
          <w:sz w:val="22"/>
        </w:rPr>
        <w:t>Tento liek obsahuje menej ako 1 mmol sodíka (23 mg) v jednej tablete, t. j. v podstate zanedbateľné množstvo sodíka.</w:t>
      </w:r>
    </w:p>
    <w:p w14:paraId="0B5CA324" w14:textId="3ADFFDD9" w:rsidR="00B07789" w:rsidRPr="00A731E1" w:rsidRDefault="00710C94" w:rsidP="00833B71">
      <w:pPr>
        <w:spacing w:after="0" w:line="240" w:lineRule="auto"/>
        <w:ind w:left="0" w:firstLine="0"/>
        <w:rPr>
          <w:sz w:val="22"/>
        </w:rPr>
      </w:pPr>
      <w:r>
        <w:rPr>
          <w:sz w:val="22"/>
        </w:rPr>
        <w:t xml:space="preserve"> </w:t>
      </w:r>
    </w:p>
    <w:p w14:paraId="7BEB43C9" w14:textId="77777777" w:rsidR="00B07789" w:rsidRPr="00A731E1" w:rsidRDefault="00D25089" w:rsidP="001F3856">
      <w:pPr>
        <w:tabs>
          <w:tab w:val="center" w:pos="3792"/>
        </w:tabs>
        <w:spacing w:after="0" w:line="240" w:lineRule="auto"/>
        <w:ind w:left="567" w:hanging="567"/>
        <w:rPr>
          <w:sz w:val="22"/>
        </w:rPr>
      </w:pPr>
      <w:r>
        <w:rPr>
          <w:b/>
          <w:sz w:val="22"/>
        </w:rPr>
        <w:t xml:space="preserve">4.5 </w:t>
      </w:r>
      <w:r>
        <w:rPr>
          <w:b/>
          <w:sz w:val="22"/>
        </w:rPr>
        <w:tab/>
        <w:t>Liekové a iné interakcie</w:t>
      </w:r>
      <w:r>
        <w:rPr>
          <w:sz w:val="22"/>
        </w:rPr>
        <w:t xml:space="preserve"> </w:t>
      </w:r>
    </w:p>
    <w:p w14:paraId="0B948091" w14:textId="77777777" w:rsidR="00B07789" w:rsidRPr="00A731E1" w:rsidRDefault="00D25089" w:rsidP="00833B71">
      <w:pPr>
        <w:spacing w:after="0" w:line="240" w:lineRule="auto"/>
        <w:ind w:left="0" w:firstLine="0"/>
        <w:rPr>
          <w:sz w:val="22"/>
        </w:rPr>
      </w:pPr>
      <w:r>
        <w:rPr>
          <w:sz w:val="22"/>
        </w:rPr>
        <w:t xml:space="preserve"> </w:t>
      </w:r>
    </w:p>
    <w:p w14:paraId="5B14E89B" w14:textId="77777777" w:rsidR="00B07789" w:rsidRPr="00A731E1" w:rsidRDefault="00D25089" w:rsidP="00047544">
      <w:pPr>
        <w:pStyle w:val="Nadpis2"/>
        <w:spacing w:after="0" w:line="240" w:lineRule="auto"/>
        <w:ind w:left="10"/>
        <w:rPr>
          <w:sz w:val="22"/>
        </w:rPr>
      </w:pPr>
      <w:r>
        <w:rPr>
          <w:sz w:val="22"/>
        </w:rPr>
        <w:t>Inhibítory CYP3A4 a P</w:t>
      </w:r>
      <w:r>
        <w:rPr>
          <w:sz w:val="22"/>
        </w:rPr>
        <w:noBreakHyphen/>
        <w:t>gp</w:t>
      </w:r>
      <w:r>
        <w:rPr>
          <w:sz w:val="22"/>
          <w:u w:val="none"/>
        </w:rPr>
        <w:t xml:space="preserve"> </w:t>
      </w:r>
    </w:p>
    <w:p w14:paraId="4C2C6969" w14:textId="77777777" w:rsidR="00B07789" w:rsidRPr="00A731E1" w:rsidRDefault="00D25089" w:rsidP="00047544">
      <w:pPr>
        <w:spacing w:after="0" w:line="240" w:lineRule="auto"/>
        <w:ind w:left="10"/>
        <w:rPr>
          <w:sz w:val="22"/>
        </w:rPr>
      </w:pPr>
      <w:r>
        <w:rPr>
          <w:sz w:val="22"/>
        </w:rPr>
        <w:t>Súbežné podávanie apixabánu s ketokonazolom (400 mg jedenkrát denne), silným inhibítorom CYP3A4 a P</w:t>
      </w:r>
      <w:r>
        <w:rPr>
          <w:sz w:val="22"/>
        </w:rPr>
        <w:noBreakHyphen/>
        <w:t>gp, viedlo k dvojnásobnému zvýšeniu priemernej AUC apixabánu a 1,6</w:t>
      </w:r>
      <w:r>
        <w:rPr>
          <w:sz w:val="22"/>
        </w:rPr>
        <w:noBreakHyphen/>
        <w:t>násobnému zvýšeniu priemernej C</w:t>
      </w:r>
      <w:r w:rsidRPr="00E86B07">
        <w:rPr>
          <w:sz w:val="22"/>
          <w:vertAlign w:val="subscript"/>
        </w:rPr>
        <w:t>max</w:t>
      </w:r>
      <w:r>
        <w:rPr>
          <w:sz w:val="22"/>
        </w:rPr>
        <w:t xml:space="preserve"> apixabánu.</w:t>
      </w:r>
    </w:p>
    <w:p w14:paraId="5ED4B896" w14:textId="77777777" w:rsidR="00B07789" w:rsidRPr="007E6137" w:rsidRDefault="00B07789" w:rsidP="00047544">
      <w:pPr>
        <w:spacing w:after="0" w:line="240" w:lineRule="auto"/>
        <w:ind w:left="0" w:firstLine="0"/>
        <w:rPr>
          <w:sz w:val="22"/>
        </w:rPr>
      </w:pPr>
    </w:p>
    <w:p w14:paraId="21BA2B5C" w14:textId="3251AADB" w:rsidR="00B07789" w:rsidRPr="00A731E1" w:rsidRDefault="00CF571F" w:rsidP="00047544">
      <w:pPr>
        <w:spacing w:after="0" w:line="240" w:lineRule="auto"/>
        <w:ind w:left="10"/>
        <w:rPr>
          <w:sz w:val="22"/>
        </w:rPr>
      </w:pPr>
      <w:r>
        <w:rPr>
          <w:sz w:val="22"/>
        </w:rPr>
        <w:t>Použitie Polapixu</w:t>
      </w:r>
      <w:r w:rsidR="00D25089">
        <w:rPr>
          <w:sz w:val="22"/>
        </w:rPr>
        <w:t xml:space="preserve"> sa neodporúča u pacientov súbežne užívajúcich systémovú liečbu silnými inhibítormi CYP3A4 a P</w:t>
      </w:r>
      <w:r w:rsidR="00D25089">
        <w:rPr>
          <w:sz w:val="22"/>
        </w:rPr>
        <w:noBreakHyphen/>
        <w:t>gp, ako azolové antimykotiká (napr. ketokonazol, itrakonazol, vorikonazol a po</w:t>
      </w:r>
      <w:r w:rsidR="007B6381">
        <w:rPr>
          <w:sz w:val="22"/>
        </w:rPr>
        <w:t>s</w:t>
      </w:r>
      <w:r w:rsidR="00D25089">
        <w:rPr>
          <w:sz w:val="22"/>
        </w:rPr>
        <w:t>akonazol) a inhibítory HIV proteáz (napr. ritonavir) (pozri časť 4.4.)</w:t>
      </w:r>
    </w:p>
    <w:p w14:paraId="7E1E2C3B" w14:textId="77777777" w:rsidR="00B07789" w:rsidRPr="007E6137" w:rsidRDefault="00B07789" w:rsidP="00047544">
      <w:pPr>
        <w:spacing w:after="0" w:line="240" w:lineRule="auto"/>
        <w:ind w:left="0" w:firstLine="0"/>
        <w:rPr>
          <w:sz w:val="22"/>
        </w:rPr>
      </w:pPr>
    </w:p>
    <w:p w14:paraId="6693BC08" w14:textId="623A704E" w:rsidR="00B07789" w:rsidRPr="00A731E1" w:rsidRDefault="00D25089" w:rsidP="00047544">
      <w:pPr>
        <w:spacing w:after="0" w:line="240" w:lineRule="auto"/>
        <w:ind w:left="10"/>
        <w:rPr>
          <w:sz w:val="22"/>
        </w:rPr>
      </w:pPr>
      <w:r>
        <w:rPr>
          <w:sz w:val="22"/>
        </w:rPr>
        <w:t>Predpokladá sa, že liečivá, ktoré sa nepovažujú za silné inhibítory CYP3A4 a P</w:t>
      </w:r>
      <w:r>
        <w:rPr>
          <w:sz w:val="22"/>
        </w:rPr>
        <w:noBreakHyphen/>
        <w:t>gp (napr. amiodarón, klaritromycín, diltiazem, flukonazol, naproxén, chinidín, verapamil), zvyšujú plazmatickú koncentráciu apixabánu v menšom rozsahu. Nevyžaduje sa úprava dávky apixabánu, keď sa podáva súbežne s l</w:t>
      </w:r>
      <w:r w:rsidR="007B6381">
        <w:rPr>
          <w:sz w:val="22"/>
        </w:rPr>
        <w:t>iečivami</w:t>
      </w:r>
      <w:r>
        <w:rPr>
          <w:sz w:val="22"/>
        </w:rPr>
        <w:t>, ktoré nie sú silnými inhibítormi CYP3A4 a P</w:t>
      </w:r>
      <w:r>
        <w:rPr>
          <w:sz w:val="22"/>
        </w:rPr>
        <w:noBreakHyphen/>
        <w:t>gp. Napríklad diltiazem (360 mg jedenkrát denne), ktorý sa považuje za stredne silný inhibítor CYP3A4 a slabý inhibítor P</w:t>
      </w:r>
      <w:r>
        <w:rPr>
          <w:sz w:val="22"/>
        </w:rPr>
        <w:noBreakHyphen/>
        <w:t>gp, viedol k 1,4</w:t>
      </w:r>
      <w:r>
        <w:rPr>
          <w:sz w:val="22"/>
        </w:rPr>
        <w:noBreakHyphen/>
        <w:t>násobnému zvýšeniu priemernej AUC apixabánu a 1,3</w:t>
      </w:r>
      <w:r>
        <w:rPr>
          <w:sz w:val="22"/>
        </w:rPr>
        <w:noBreakHyphen/>
        <w:t>násobnému zvýšeniu C</w:t>
      </w:r>
      <w:r>
        <w:rPr>
          <w:sz w:val="22"/>
          <w:vertAlign w:val="subscript"/>
        </w:rPr>
        <w:t>max</w:t>
      </w:r>
      <w:r>
        <w:rPr>
          <w:sz w:val="22"/>
        </w:rPr>
        <w:t>. Naproxén (jednorazová dávka 500 mg), inhibítor P</w:t>
      </w:r>
      <w:r>
        <w:rPr>
          <w:sz w:val="22"/>
        </w:rPr>
        <w:noBreakHyphen/>
        <w:t>gp, ale nie inhibítor CYP3A4, viedol k 1,5</w:t>
      </w:r>
      <w:r>
        <w:rPr>
          <w:sz w:val="22"/>
        </w:rPr>
        <w:noBreakHyphen/>
        <w:t>násobnému zvýšeniu priemernej AUC a 1,6</w:t>
      </w:r>
      <w:r>
        <w:rPr>
          <w:sz w:val="22"/>
        </w:rPr>
        <w:noBreakHyphen/>
        <w:t>násobnému zvýšeniu priemernej C</w:t>
      </w:r>
      <w:r>
        <w:rPr>
          <w:sz w:val="22"/>
          <w:vertAlign w:val="subscript"/>
        </w:rPr>
        <w:t>max</w:t>
      </w:r>
      <w:r>
        <w:rPr>
          <w:sz w:val="22"/>
        </w:rPr>
        <w:t xml:space="preserve"> apixabánu. Klaritromycín (500 mg dvakrát denne), inhibítor P</w:t>
      </w:r>
      <w:r>
        <w:rPr>
          <w:sz w:val="22"/>
        </w:rPr>
        <w:noBreakHyphen/>
        <w:t>gp a silný inhibítor CYP3A4, viedol k 1,6</w:t>
      </w:r>
      <w:r>
        <w:rPr>
          <w:sz w:val="22"/>
        </w:rPr>
        <w:noBreakHyphen/>
        <w:t>násobnému zvýšeniu priemernej AUC a 1,3</w:t>
      </w:r>
      <w:r>
        <w:rPr>
          <w:sz w:val="22"/>
        </w:rPr>
        <w:noBreakHyphen/>
        <w:t>násobnému zvýšeniu priemernej C</w:t>
      </w:r>
      <w:r>
        <w:rPr>
          <w:sz w:val="22"/>
          <w:vertAlign w:val="subscript"/>
        </w:rPr>
        <w:t>max</w:t>
      </w:r>
      <w:r>
        <w:rPr>
          <w:sz w:val="22"/>
        </w:rPr>
        <w:t xml:space="preserve"> apixabánu. </w:t>
      </w:r>
    </w:p>
    <w:p w14:paraId="4CA16EA0" w14:textId="77777777" w:rsidR="00B07789" w:rsidRPr="00A731E1" w:rsidRDefault="00D25089" w:rsidP="00833B71">
      <w:pPr>
        <w:spacing w:after="0" w:line="240" w:lineRule="auto"/>
        <w:ind w:left="0" w:firstLine="0"/>
        <w:rPr>
          <w:sz w:val="22"/>
        </w:rPr>
      </w:pPr>
      <w:r>
        <w:rPr>
          <w:sz w:val="22"/>
        </w:rPr>
        <w:t xml:space="preserve"> </w:t>
      </w:r>
    </w:p>
    <w:p w14:paraId="681DC34B" w14:textId="77777777" w:rsidR="00B07789" w:rsidRPr="00A731E1" w:rsidRDefault="00D25089" w:rsidP="00047544">
      <w:pPr>
        <w:pStyle w:val="Nadpis2"/>
        <w:spacing w:after="0" w:line="240" w:lineRule="auto"/>
        <w:ind w:left="10"/>
        <w:rPr>
          <w:sz w:val="22"/>
        </w:rPr>
      </w:pPr>
      <w:r>
        <w:rPr>
          <w:sz w:val="22"/>
        </w:rPr>
        <w:t>Induktory CYP3A4 a P</w:t>
      </w:r>
      <w:r>
        <w:rPr>
          <w:sz w:val="22"/>
        </w:rPr>
        <w:noBreakHyphen/>
        <w:t>gp</w:t>
      </w:r>
      <w:r>
        <w:rPr>
          <w:sz w:val="22"/>
          <w:u w:val="none"/>
        </w:rPr>
        <w:t xml:space="preserve"> </w:t>
      </w:r>
    </w:p>
    <w:p w14:paraId="58DA05E9" w14:textId="1A041BA0" w:rsidR="00B07789" w:rsidRPr="00A731E1" w:rsidRDefault="00D25089" w:rsidP="00047544">
      <w:pPr>
        <w:spacing w:after="0" w:line="240" w:lineRule="auto"/>
        <w:ind w:left="10"/>
        <w:rPr>
          <w:sz w:val="22"/>
        </w:rPr>
      </w:pPr>
      <w:r>
        <w:rPr>
          <w:sz w:val="22"/>
        </w:rPr>
        <w:t>Súbežné podávanie apixabánu s rifampicínom, silným induktorom CYP3A4 a P</w:t>
      </w:r>
      <w:r>
        <w:rPr>
          <w:sz w:val="22"/>
        </w:rPr>
        <w:noBreakHyphen/>
        <w:t>gp, viedlo k približne 54 % zníženiu priemernej AUC a 42 % zníženiu priemernej C</w:t>
      </w:r>
      <w:r>
        <w:rPr>
          <w:sz w:val="22"/>
          <w:vertAlign w:val="subscript"/>
        </w:rPr>
        <w:t>max</w:t>
      </w:r>
      <w:r>
        <w:rPr>
          <w:sz w:val="22"/>
        </w:rPr>
        <w:t xml:space="preserve"> apixabánu. Súbežné používanie apixabánu s inými silnými induktormi CYP3A4 a P</w:t>
      </w:r>
      <w:r>
        <w:rPr>
          <w:sz w:val="22"/>
        </w:rPr>
        <w:noBreakHyphen/>
        <w:t>gp (napr. fenytoín, karbamazepín, fenobarbital alebo ľubovník bodkovaný) môže tiež viesť k zníženiu plazmatických koncentrácií apixabánu. Pri súbežnej liečbe takýmito liekmi sa nevyžaduje úprava dávky apixabánu, avšak u pacientov užívajúcich súbežnú systémovú liečbu silnými induktormi CYP3A4 a P</w:t>
      </w:r>
      <w:r>
        <w:rPr>
          <w:sz w:val="22"/>
        </w:rPr>
        <w:noBreakHyphen/>
        <w:t xml:space="preserve">gp sa má apixabán </w:t>
      </w:r>
      <w:r w:rsidR="00A43D4A">
        <w:rPr>
          <w:sz w:val="22"/>
        </w:rPr>
        <w:t xml:space="preserve">na prevenciu VTE pri elektívnom chirurgickom zákroku na výmenu bedrového alebo kolenného kĺbu, </w:t>
      </w:r>
      <w:r>
        <w:rPr>
          <w:sz w:val="22"/>
        </w:rPr>
        <w:t xml:space="preserve">na prevenciu cievnej mozgovej príhody a systémovej embólie u pacientov s NVAF a na prevenciu rekurentnej DVT a PE používať s opatrnosťou. </w:t>
      </w:r>
    </w:p>
    <w:p w14:paraId="3F21AA8A" w14:textId="77777777" w:rsidR="00B07789" w:rsidRPr="00A731E1" w:rsidRDefault="00D25089" w:rsidP="00833B71">
      <w:pPr>
        <w:spacing w:after="0" w:line="240" w:lineRule="auto"/>
        <w:ind w:left="0" w:firstLine="0"/>
        <w:rPr>
          <w:sz w:val="22"/>
        </w:rPr>
      </w:pPr>
      <w:r>
        <w:rPr>
          <w:sz w:val="22"/>
        </w:rPr>
        <w:t xml:space="preserve"> </w:t>
      </w:r>
    </w:p>
    <w:p w14:paraId="09984362" w14:textId="76F3561F" w:rsidR="00B07789" w:rsidRPr="00A731E1" w:rsidRDefault="00D25089" w:rsidP="00047544">
      <w:pPr>
        <w:spacing w:after="0" w:line="240" w:lineRule="auto"/>
        <w:ind w:left="10"/>
        <w:rPr>
          <w:sz w:val="22"/>
        </w:rPr>
      </w:pPr>
      <w:r>
        <w:rPr>
          <w:sz w:val="22"/>
        </w:rPr>
        <w:t>Apixabán sa neodporúča na liečbu DVT a PE u pacientov užívajúcich súbežnú systémovú liečbu silnými induktormi CYP3A4 a P</w:t>
      </w:r>
      <w:r>
        <w:rPr>
          <w:sz w:val="22"/>
        </w:rPr>
        <w:noBreakHyphen/>
        <w:t xml:space="preserve">gp, pretože sa účinnosť môže </w:t>
      </w:r>
      <w:r w:rsidR="007B6381">
        <w:rPr>
          <w:sz w:val="22"/>
        </w:rPr>
        <w:t xml:space="preserve">znížiť </w:t>
      </w:r>
      <w:r>
        <w:rPr>
          <w:sz w:val="22"/>
        </w:rPr>
        <w:t>(pozri časť 4.4).</w:t>
      </w:r>
    </w:p>
    <w:p w14:paraId="315DB283" w14:textId="77777777" w:rsidR="00B07789" w:rsidRPr="007E6137" w:rsidRDefault="00B07789" w:rsidP="00833B71">
      <w:pPr>
        <w:spacing w:after="0" w:line="240" w:lineRule="auto"/>
        <w:ind w:left="0" w:firstLine="0"/>
        <w:rPr>
          <w:sz w:val="22"/>
        </w:rPr>
      </w:pPr>
    </w:p>
    <w:p w14:paraId="72960FFF" w14:textId="4A1F1E5C" w:rsidR="00B07789" w:rsidRPr="00A731E1" w:rsidRDefault="00D25089" w:rsidP="00047544">
      <w:pPr>
        <w:pStyle w:val="Nadpis2"/>
        <w:spacing w:after="0" w:line="240" w:lineRule="auto"/>
        <w:ind w:left="10"/>
        <w:rPr>
          <w:sz w:val="22"/>
        </w:rPr>
      </w:pPr>
      <w:r>
        <w:rPr>
          <w:sz w:val="22"/>
        </w:rPr>
        <w:t>Antikoagulanciá, inhibítory agregácie trombocytov, SSRI/SNRI a NSAID</w:t>
      </w:r>
    </w:p>
    <w:p w14:paraId="24AF7A57" w14:textId="74E7DD5C" w:rsidR="0068674C" w:rsidRPr="0068674C" w:rsidRDefault="00D25089" w:rsidP="00047544">
      <w:pPr>
        <w:spacing w:after="0" w:line="240" w:lineRule="auto"/>
        <w:ind w:left="10"/>
        <w:rPr>
          <w:sz w:val="22"/>
        </w:rPr>
      </w:pPr>
      <w:r>
        <w:rPr>
          <w:sz w:val="22"/>
        </w:rPr>
        <w:t>Z dôvodu zvýšeného rizika krvácania je súbežná liečba inými antikoagulanciami kontraindikovaná, s výnimkou špecifických okolností vyžadujúcich zmenu antikoagulačnej liečby, keď sa UFH</w:t>
      </w:r>
      <w:r w:rsidR="00047544">
        <w:rPr>
          <w:sz w:val="22"/>
        </w:rPr>
        <w:t xml:space="preserve"> podáva</w:t>
      </w:r>
    </w:p>
    <w:p w14:paraId="01F0A3A0" w14:textId="7E241744" w:rsidR="00B07789" w:rsidRPr="00A731E1" w:rsidRDefault="0068674C" w:rsidP="00047544">
      <w:pPr>
        <w:spacing w:after="0" w:line="240" w:lineRule="auto"/>
        <w:ind w:left="10"/>
        <w:rPr>
          <w:sz w:val="22"/>
        </w:rPr>
      </w:pPr>
      <w:r>
        <w:rPr>
          <w:sz w:val="22"/>
        </w:rPr>
        <w:lastRenderedPageBreak/>
        <w:t xml:space="preserve">v dávkach potrebných na zachovanie otvoreného centrálneho venózneho alebo </w:t>
      </w:r>
      <w:r w:rsidR="007B6381">
        <w:rPr>
          <w:sz w:val="22"/>
        </w:rPr>
        <w:t xml:space="preserve">artériového </w:t>
      </w:r>
      <w:r>
        <w:rPr>
          <w:sz w:val="22"/>
        </w:rPr>
        <w:t>katétra alebo keď sa UFH podáva</w:t>
      </w:r>
      <w:r w:rsidR="00CF571F">
        <w:rPr>
          <w:sz w:val="22"/>
        </w:rPr>
        <w:t xml:space="preserve"> </w:t>
      </w:r>
      <w:r>
        <w:rPr>
          <w:sz w:val="22"/>
        </w:rPr>
        <w:t>počas katetrizačnej ablácie z dôvodu atriálnej fibrilácie (pozri časť 4.3).</w:t>
      </w:r>
    </w:p>
    <w:p w14:paraId="07C1D984" w14:textId="77777777" w:rsidR="00B07789" w:rsidRPr="00A731E1" w:rsidRDefault="00D25089" w:rsidP="00833B71">
      <w:pPr>
        <w:spacing w:after="0" w:line="240" w:lineRule="auto"/>
        <w:ind w:left="0" w:firstLine="0"/>
        <w:rPr>
          <w:sz w:val="22"/>
        </w:rPr>
      </w:pPr>
      <w:r>
        <w:rPr>
          <w:sz w:val="22"/>
        </w:rPr>
        <w:t xml:space="preserve"> </w:t>
      </w:r>
    </w:p>
    <w:p w14:paraId="32C24CC3" w14:textId="7798A958" w:rsidR="00B07789" w:rsidRPr="00A731E1" w:rsidRDefault="00D25089" w:rsidP="00047544">
      <w:pPr>
        <w:spacing w:after="0" w:line="240" w:lineRule="auto"/>
        <w:ind w:left="10"/>
        <w:rPr>
          <w:sz w:val="22"/>
        </w:rPr>
      </w:pPr>
      <w:r>
        <w:rPr>
          <w:sz w:val="22"/>
        </w:rPr>
        <w:t xml:space="preserve">Po kombinovanom podaní enoxaparínu (v jednorazovej dávke 40 mg) s apixabánom (v jednorazovej dávke 5 mg) sa pozoroval aditívny účinok na aktivitu antifaktora Xa. </w:t>
      </w:r>
    </w:p>
    <w:p w14:paraId="63079AF6" w14:textId="77777777" w:rsidR="00B07789" w:rsidRPr="00A731E1" w:rsidRDefault="00D25089" w:rsidP="00833B71">
      <w:pPr>
        <w:spacing w:after="0" w:line="240" w:lineRule="auto"/>
        <w:ind w:left="0" w:firstLine="0"/>
        <w:rPr>
          <w:sz w:val="22"/>
        </w:rPr>
      </w:pPr>
      <w:r>
        <w:rPr>
          <w:sz w:val="22"/>
        </w:rPr>
        <w:t xml:space="preserve"> </w:t>
      </w:r>
    </w:p>
    <w:p w14:paraId="35D0C0EC" w14:textId="653A517B" w:rsidR="00B07789" w:rsidRDefault="00D25089" w:rsidP="00047544">
      <w:pPr>
        <w:spacing w:after="0" w:line="240" w:lineRule="auto"/>
        <w:ind w:left="10"/>
        <w:rPr>
          <w:sz w:val="22"/>
        </w:rPr>
      </w:pPr>
      <w:r>
        <w:rPr>
          <w:sz w:val="22"/>
        </w:rPr>
        <w:t>Keď sa apixabán podal súbežne s 325 mg ASA jedenkrá</w:t>
      </w:r>
      <w:r w:rsidR="00E8372B">
        <w:rPr>
          <w:sz w:val="22"/>
        </w:rPr>
        <w:t xml:space="preserve">t denne, farmakokinetické alebo </w:t>
      </w:r>
      <w:r>
        <w:rPr>
          <w:sz w:val="22"/>
        </w:rPr>
        <w:t>farmako</w:t>
      </w:r>
      <w:r w:rsidR="00E8372B">
        <w:rPr>
          <w:sz w:val="22"/>
        </w:rPr>
        <w:t>-</w:t>
      </w:r>
      <w:r>
        <w:rPr>
          <w:sz w:val="22"/>
        </w:rPr>
        <w:t xml:space="preserve">dynamické interakcie neboli zjavné. </w:t>
      </w:r>
    </w:p>
    <w:p w14:paraId="5DF30205" w14:textId="77777777" w:rsidR="00A43D4A" w:rsidRDefault="00A43D4A" w:rsidP="00833B71">
      <w:pPr>
        <w:spacing w:after="0" w:line="240" w:lineRule="auto"/>
        <w:ind w:left="0"/>
        <w:rPr>
          <w:sz w:val="22"/>
        </w:rPr>
      </w:pPr>
    </w:p>
    <w:p w14:paraId="4EA16C3B" w14:textId="75EDE063" w:rsidR="00A43D4A" w:rsidRPr="00A731E1" w:rsidRDefault="00A43D4A" w:rsidP="00047544">
      <w:pPr>
        <w:spacing w:after="0" w:line="240" w:lineRule="auto"/>
        <w:ind w:left="10"/>
        <w:rPr>
          <w:sz w:val="22"/>
        </w:rPr>
      </w:pPr>
      <w:r w:rsidRPr="00A43D4A">
        <w:rPr>
          <w:sz w:val="22"/>
        </w:rPr>
        <w:t>Súbežné podanie apixabánu s klopidogrelom (75 mg jedenkrát denne) alebo s kombináciou 75 mg klopidogrelu a 162 mg ASA jedenkrát denne alebo s prasugrelom (60 mg, po ktorých nasledovalo 10 mg jedenkrát denne) v klinických štúdiách fázy I nevykazovalo významný vzostup v čase krvácania ani ďalšiu inhibíciu agregácie krvných doštičiek v porovnaní s podaním antiagregancií bez apixabánu. Vzostupy testov zrážavosti (PT, INR a aPTT) sa zhodovali s účinkami samotného apixabánu.</w:t>
      </w:r>
    </w:p>
    <w:p w14:paraId="2D16E228" w14:textId="499D8DDA" w:rsidR="00B07789" w:rsidRPr="00A731E1" w:rsidRDefault="00B07789" w:rsidP="00A43D4A">
      <w:pPr>
        <w:spacing w:after="0" w:line="240" w:lineRule="auto"/>
        <w:ind w:left="0" w:firstLine="0"/>
        <w:rPr>
          <w:sz w:val="22"/>
        </w:rPr>
      </w:pPr>
    </w:p>
    <w:p w14:paraId="61EED359" w14:textId="057E9705" w:rsidR="00B07789" w:rsidRPr="00A731E1" w:rsidRDefault="00D25089" w:rsidP="00047544">
      <w:pPr>
        <w:spacing w:after="0" w:line="240" w:lineRule="auto"/>
        <w:ind w:left="10"/>
        <w:rPr>
          <w:sz w:val="22"/>
        </w:rPr>
      </w:pPr>
      <w:r>
        <w:rPr>
          <w:sz w:val="22"/>
        </w:rPr>
        <w:t>Naproxén (500 mg), inhibítor P</w:t>
      </w:r>
      <w:r>
        <w:rPr>
          <w:sz w:val="22"/>
        </w:rPr>
        <w:noBreakHyphen/>
        <w:t>gp, spôsobil 1,5</w:t>
      </w:r>
      <w:r>
        <w:rPr>
          <w:sz w:val="22"/>
        </w:rPr>
        <w:noBreakHyphen/>
        <w:t>násobné zvýšenie priemernej AUC a 1,6</w:t>
      </w:r>
      <w:r>
        <w:rPr>
          <w:sz w:val="22"/>
        </w:rPr>
        <w:noBreakHyphen/>
        <w:t>násobné zvýšenie C</w:t>
      </w:r>
      <w:r>
        <w:rPr>
          <w:sz w:val="22"/>
          <w:vertAlign w:val="subscript"/>
        </w:rPr>
        <w:t>max</w:t>
      </w:r>
      <w:r>
        <w:rPr>
          <w:sz w:val="22"/>
        </w:rPr>
        <w:t xml:space="preserve"> apixabánu. Korešpondujúce zvýšenia v testoch zrážavosti sa pozorovali pri apixabáne Nepozorovali sa zmeny v účinku naproxénu na agregáciu trombocytov indukovan</w:t>
      </w:r>
      <w:r w:rsidR="000F01C9">
        <w:rPr>
          <w:sz w:val="22"/>
        </w:rPr>
        <w:t>ou</w:t>
      </w:r>
      <w:r>
        <w:rPr>
          <w:sz w:val="22"/>
        </w:rPr>
        <w:t xml:space="preserve"> kyselinou arachidónovou a po súbežnom podaní apixabánu s naproxénom sa nepozorovalo klinicky významné predĺženie času krvácania.</w:t>
      </w:r>
    </w:p>
    <w:p w14:paraId="222EEDBA" w14:textId="77777777" w:rsidR="00B07789" w:rsidRPr="007E6137" w:rsidRDefault="00B07789" w:rsidP="00833B71">
      <w:pPr>
        <w:spacing w:after="0" w:line="240" w:lineRule="auto"/>
        <w:ind w:left="0" w:firstLine="0"/>
        <w:rPr>
          <w:sz w:val="22"/>
        </w:rPr>
      </w:pPr>
    </w:p>
    <w:p w14:paraId="7D62BDBA" w14:textId="7E8D4D63" w:rsidR="00B07789" w:rsidRPr="00A731E1" w:rsidRDefault="00D25089" w:rsidP="00047544">
      <w:pPr>
        <w:spacing w:after="0" w:line="240" w:lineRule="auto"/>
        <w:ind w:left="10"/>
        <w:rPr>
          <w:sz w:val="22"/>
        </w:rPr>
      </w:pPr>
      <w:r>
        <w:rPr>
          <w:sz w:val="22"/>
        </w:rPr>
        <w:t xml:space="preserve">Napriek týmto zisteniam sa môžu vyskytnúť </w:t>
      </w:r>
      <w:r w:rsidR="000F01C9">
        <w:rPr>
          <w:sz w:val="22"/>
        </w:rPr>
        <w:t xml:space="preserve">osoby </w:t>
      </w:r>
      <w:r>
        <w:rPr>
          <w:sz w:val="22"/>
        </w:rPr>
        <w:t xml:space="preserve">so silnejšou farmakodynamickou odpoveďou na súbežné podávanie </w:t>
      </w:r>
      <w:r w:rsidR="000F01C9">
        <w:rPr>
          <w:sz w:val="22"/>
        </w:rPr>
        <w:t>antiagregancií</w:t>
      </w:r>
      <w:r>
        <w:rPr>
          <w:sz w:val="22"/>
        </w:rPr>
        <w:t xml:space="preserve"> s apixabánom. Pri súbežnom podávan</w:t>
      </w:r>
      <w:r w:rsidR="00E8372B">
        <w:rPr>
          <w:sz w:val="22"/>
        </w:rPr>
        <w:t>í Polapixu</w:t>
      </w:r>
      <w:r>
        <w:rPr>
          <w:sz w:val="22"/>
        </w:rPr>
        <w:t xml:space="preserve"> s</w:t>
      </w:r>
      <w:r w:rsidR="000F01C9">
        <w:rPr>
          <w:sz w:val="22"/>
        </w:rPr>
        <w:t>o</w:t>
      </w:r>
      <w:r>
        <w:rPr>
          <w:sz w:val="22"/>
        </w:rPr>
        <w:t xml:space="preserve"> SSRI/SNRI, NSAID, ASA a/alebo inhibítormi P2Y12 je potrebná opatrnosť, pretože tieto lie</w:t>
      </w:r>
      <w:r w:rsidR="000F01C9">
        <w:rPr>
          <w:sz w:val="22"/>
        </w:rPr>
        <w:t>čivá</w:t>
      </w:r>
      <w:r>
        <w:rPr>
          <w:sz w:val="22"/>
        </w:rPr>
        <w:t xml:space="preserve"> obvykle zvyšujú riziko krvácania (pozri časť 4.4).</w:t>
      </w:r>
    </w:p>
    <w:p w14:paraId="70302BA5" w14:textId="77777777" w:rsidR="002824D6" w:rsidRDefault="002824D6" w:rsidP="00833B71">
      <w:pPr>
        <w:spacing w:after="0" w:line="240" w:lineRule="auto"/>
        <w:ind w:left="0" w:firstLine="0"/>
        <w:rPr>
          <w:sz w:val="22"/>
        </w:rPr>
      </w:pPr>
    </w:p>
    <w:p w14:paraId="769431E4" w14:textId="5A896C57" w:rsidR="00E8372B" w:rsidRPr="00A731E1" w:rsidRDefault="00C61C25" w:rsidP="00C61C25">
      <w:pPr>
        <w:spacing w:after="0" w:line="240" w:lineRule="auto"/>
        <w:ind w:left="0" w:firstLine="0"/>
        <w:rPr>
          <w:sz w:val="22"/>
        </w:rPr>
      </w:pPr>
      <w:r w:rsidRPr="00C61C25">
        <w:rPr>
          <w:sz w:val="22"/>
        </w:rPr>
        <w:t>Skúsenosti so súbežným podávaním s inými inhibítormi agregácie trombocytov (ako sú antagonisty receptora GPIIb/IIIa, dipyridamol, dextrán alebo sulfinpyrazón) alebo trombolytikami sú obmedzené. Keďže takéto liečivá zvyšujú riziko krvácania, neodporúča sa súbežné podávanie týchto liekov s Polapixom (pozri časť 4.4).</w:t>
      </w:r>
      <w:r w:rsidRPr="007E6137" w:rsidDel="00C61C25">
        <w:rPr>
          <w:sz w:val="22"/>
        </w:rPr>
        <w:t xml:space="preserve"> </w:t>
      </w:r>
    </w:p>
    <w:p w14:paraId="47C7A76E" w14:textId="77777777" w:rsidR="00B07789" w:rsidRPr="007E6137" w:rsidRDefault="00B07789" w:rsidP="00833B71">
      <w:pPr>
        <w:spacing w:after="0" w:line="240" w:lineRule="auto"/>
        <w:ind w:left="0" w:firstLine="0"/>
        <w:rPr>
          <w:sz w:val="22"/>
        </w:rPr>
      </w:pPr>
    </w:p>
    <w:p w14:paraId="516EF75C" w14:textId="77777777" w:rsidR="00B07789" w:rsidRPr="00A731E1" w:rsidRDefault="00D25089" w:rsidP="00047544">
      <w:pPr>
        <w:pStyle w:val="Nadpis2"/>
        <w:spacing w:after="0" w:line="240" w:lineRule="auto"/>
        <w:ind w:left="10"/>
        <w:rPr>
          <w:sz w:val="22"/>
        </w:rPr>
      </w:pPr>
      <w:r>
        <w:rPr>
          <w:sz w:val="22"/>
        </w:rPr>
        <w:t>Iné súbežné liečby</w:t>
      </w:r>
    </w:p>
    <w:p w14:paraId="29145A71" w14:textId="0DDED072" w:rsidR="00B07789" w:rsidRPr="00A731E1" w:rsidRDefault="00D25089" w:rsidP="00047544">
      <w:pPr>
        <w:spacing w:after="0" w:line="240" w:lineRule="auto"/>
        <w:ind w:left="10"/>
        <w:rPr>
          <w:sz w:val="22"/>
        </w:rPr>
      </w:pPr>
      <w:r>
        <w:rPr>
          <w:sz w:val="22"/>
        </w:rPr>
        <w:t>Nepozorovali sa žiadne klinicky významné farmakokinetické alebo farmakodynamické interakcie pri súbežnom podávaní apixabánu s atenololom alebo famotidínom. Súbežné podávanie 10 mg apixabánu so 100 mg atenololu nemalo klinicky významný účinok na farmakokinetiku apixabánu.</w:t>
      </w:r>
      <w:r w:rsidR="00E8372B">
        <w:rPr>
          <w:sz w:val="22"/>
        </w:rPr>
        <w:t xml:space="preserve"> </w:t>
      </w:r>
    </w:p>
    <w:p w14:paraId="0CDE689C" w14:textId="40EB330B" w:rsidR="00B07789" w:rsidRPr="00A731E1" w:rsidRDefault="00D25089" w:rsidP="00047544">
      <w:pPr>
        <w:spacing w:after="0" w:line="240" w:lineRule="auto"/>
        <w:ind w:left="10"/>
        <w:rPr>
          <w:sz w:val="22"/>
        </w:rPr>
      </w:pPr>
      <w:r>
        <w:rPr>
          <w:sz w:val="22"/>
        </w:rPr>
        <w:t>Po súbežnom podaní týchto dvoch liečiv bola priemerná AUC apixabánu nižšia o 15 % a C</w:t>
      </w:r>
      <w:r>
        <w:rPr>
          <w:sz w:val="22"/>
          <w:vertAlign w:val="subscript"/>
        </w:rPr>
        <w:t>max</w:t>
      </w:r>
      <w:r w:rsidR="00E8372B">
        <w:rPr>
          <w:sz w:val="22"/>
        </w:rPr>
        <w:t xml:space="preserve"> nižšia 18 %, </w:t>
      </w:r>
      <w:r w:rsidR="000F01C9">
        <w:rPr>
          <w:sz w:val="22"/>
        </w:rPr>
        <w:t xml:space="preserve">ako keď sa podával </w:t>
      </w:r>
      <w:r>
        <w:rPr>
          <w:sz w:val="22"/>
        </w:rPr>
        <w:t>samostatne. Podanie 10 mg apixabánu so 40 mg famotidínu nemalo žiadny účinok na AUC alebo C</w:t>
      </w:r>
      <w:r>
        <w:rPr>
          <w:sz w:val="22"/>
          <w:vertAlign w:val="subscript"/>
        </w:rPr>
        <w:t>max</w:t>
      </w:r>
      <w:r>
        <w:rPr>
          <w:sz w:val="22"/>
        </w:rPr>
        <w:t xml:space="preserve"> apixabánu.</w:t>
      </w:r>
    </w:p>
    <w:p w14:paraId="4B5FEE0E" w14:textId="77777777" w:rsidR="00B07789" w:rsidRPr="007E6137" w:rsidRDefault="00B07789" w:rsidP="00833B71">
      <w:pPr>
        <w:spacing w:after="0" w:line="240" w:lineRule="auto"/>
        <w:ind w:left="0" w:firstLine="0"/>
        <w:rPr>
          <w:sz w:val="22"/>
        </w:rPr>
      </w:pPr>
    </w:p>
    <w:p w14:paraId="3A3C7091" w14:textId="77777777" w:rsidR="00B07789" w:rsidRPr="00A731E1" w:rsidRDefault="00D25089" w:rsidP="00047544">
      <w:pPr>
        <w:pStyle w:val="Nadpis2"/>
        <w:spacing w:after="0" w:line="240" w:lineRule="auto"/>
        <w:ind w:left="10"/>
        <w:rPr>
          <w:sz w:val="22"/>
        </w:rPr>
      </w:pPr>
      <w:r>
        <w:rPr>
          <w:sz w:val="22"/>
        </w:rPr>
        <w:t>Účinok apixabánu na iné lieky</w:t>
      </w:r>
    </w:p>
    <w:p w14:paraId="3BB75094" w14:textId="7379FCC6" w:rsidR="00B07789" w:rsidRPr="00A731E1" w:rsidRDefault="00D25089" w:rsidP="00047544">
      <w:pPr>
        <w:spacing w:after="0" w:line="240" w:lineRule="auto"/>
        <w:ind w:left="10"/>
        <w:rPr>
          <w:sz w:val="22"/>
        </w:rPr>
      </w:pPr>
      <w:r>
        <w:rPr>
          <w:sz w:val="22"/>
        </w:rPr>
        <w:t xml:space="preserve">Štúdie </w:t>
      </w:r>
      <w:r>
        <w:rPr>
          <w:i/>
          <w:iCs/>
          <w:sz w:val="22"/>
        </w:rPr>
        <w:t>in vitro</w:t>
      </w:r>
      <w:r>
        <w:rPr>
          <w:sz w:val="22"/>
        </w:rPr>
        <w:t xml:space="preserve"> preukázali, že apixabán nemá žiadny inhibičný účinok na aktivitu CYP1A2, CYP2A6, CYP2B6, CYP2C8, CYP2C9, CYP2D6 alebo CYP3A4 (IC50 &gt; 45 µM) a má slabý inhibičný účinok na aktivitu CYP2C19 (IC50 &gt; 20 µM) pri koncentráciách, ktoré sú významne v</w:t>
      </w:r>
      <w:r w:rsidR="003103E5">
        <w:rPr>
          <w:sz w:val="22"/>
        </w:rPr>
        <w:t>yššie</w:t>
      </w:r>
      <w:r>
        <w:rPr>
          <w:sz w:val="22"/>
        </w:rPr>
        <w:t xml:space="preserve"> ako najvyššie plazmatické koncentrácie pozorované u pacientov. Apixabán neindukoval CYP1A2, CYP2B6, CYP3A4/5 pri koncentrácii do 20 µM. Preto sa neočakáva, že by apixabán ovplyvňoval metabolický klírens súbežne podaných lie</w:t>
      </w:r>
      <w:r w:rsidR="003103E5">
        <w:rPr>
          <w:sz w:val="22"/>
        </w:rPr>
        <w:t>čiv</w:t>
      </w:r>
      <w:r>
        <w:rPr>
          <w:sz w:val="22"/>
        </w:rPr>
        <w:t>, ktoré sú metabolizované týmito enzýmami. Apixabán nie je významným inhibítorom P</w:t>
      </w:r>
      <w:r>
        <w:rPr>
          <w:sz w:val="22"/>
        </w:rPr>
        <w:noBreakHyphen/>
        <w:t>gp.</w:t>
      </w:r>
    </w:p>
    <w:p w14:paraId="029B18CF" w14:textId="77777777" w:rsidR="00B07789" w:rsidRPr="00A731E1" w:rsidRDefault="00D25089" w:rsidP="00833B71">
      <w:pPr>
        <w:spacing w:after="0" w:line="240" w:lineRule="auto"/>
        <w:ind w:left="0" w:firstLine="0"/>
        <w:rPr>
          <w:sz w:val="22"/>
        </w:rPr>
      </w:pPr>
      <w:r>
        <w:rPr>
          <w:sz w:val="22"/>
        </w:rPr>
        <w:t xml:space="preserve"> </w:t>
      </w:r>
    </w:p>
    <w:p w14:paraId="131364EA" w14:textId="29E332E4" w:rsidR="00B07789" w:rsidRPr="00A731E1" w:rsidRDefault="00D25089" w:rsidP="00047544">
      <w:pPr>
        <w:spacing w:after="0" w:line="240" w:lineRule="auto"/>
        <w:ind w:left="10"/>
        <w:rPr>
          <w:sz w:val="22"/>
        </w:rPr>
      </w:pPr>
      <w:r>
        <w:rPr>
          <w:sz w:val="22"/>
        </w:rPr>
        <w:t xml:space="preserve">V štúdiách so zdravými </w:t>
      </w:r>
      <w:r w:rsidR="003103E5">
        <w:rPr>
          <w:sz w:val="22"/>
        </w:rPr>
        <w:t xml:space="preserve">účastníkmi </w:t>
      </w:r>
      <w:r>
        <w:rPr>
          <w:sz w:val="22"/>
        </w:rPr>
        <w:t>(pozri nižšie), apixabán významne nemenil farmakokinetiku digoxínu, naproxénu alebo atenololu.</w:t>
      </w:r>
    </w:p>
    <w:p w14:paraId="6A1322D3" w14:textId="77777777" w:rsidR="00B07789" w:rsidRDefault="00B07789" w:rsidP="00833B71">
      <w:pPr>
        <w:spacing w:after="0" w:line="240" w:lineRule="auto"/>
        <w:ind w:left="0" w:firstLine="0"/>
        <w:rPr>
          <w:sz w:val="22"/>
        </w:rPr>
      </w:pPr>
    </w:p>
    <w:p w14:paraId="3C57D1AB" w14:textId="77777777" w:rsidR="00047544" w:rsidRDefault="00047544" w:rsidP="00833B71">
      <w:pPr>
        <w:spacing w:after="0" w:line="240" w:lineRule="auto"/>
        <w:ind w:left="0" w:firstLine="0"/>
        <w:rPr>
          <w:sz w:val="22"/>
        </w:rPr>
      </w:pPr>
    </w:p>
    <w:p w14:paraId="10134F10" w14:textId="77777777" w:rsidR="00047544" w:rsidRPr="007E6137" w:rsidRDefault="00047544" w:rsidP="00833B71">
      <w:pPr>
        <w:spacing w:after="0" w:line="240" w:lineRule="auto"/>
        <w:ind w:left="0" w:firstLine="0"/>
        <w:rPr>
          <w:sz w:val="22"/>
        </w:rPr>
      </w:pPr>
    </w:p>
    <w:p w14:paraId="7B2BE3DF" w14:textId="77777777" w:rsidR="00B07789" w:rsidRPr="00A731E1" w:rsidRDefault="00D25089" w:rsidP="00047544">
      <w:pPr>
        <w:spacing w:after="0" w:line="240" w:lineRule="auto"/>
        <w:ind w:left="10"/>
        <w:rPr>
          <w:sz w:val="22"/>
        </w:rPr>
      </w:pPr>
      <w:r>
        <w:rPr>
          <w:i/>
          <w:sz w:val="22"/>
        </w:rPr>
        <w:lastRenderedPageBreak/>
        <w:t>Digoxín</w:t>
      </w:r>
    </w:p>
    <w:p w14:paraId="5DD1DF71" w14:textId="77777777" w:rsidR="00B07789" w:rsidRPr="00A731E1" w:rsidRDefault="00D25089" w:rsidP="00047544">
      <w:pPr>
        <w:spacing w:after="0" w:line="240" w:lineRule="auto"/>
        <w:ind w:left="10"/>
        <w:rPr>
          <w:sz w:val="22"/>
        </w:rPr>
      </w:pPr>
      <w:r>
        <w:rPr>
          <w:sz w:val="22"/>
        </w:rPr>
        <w:t>Súbežné podanie apixabánu (20 mg jedenkrát denne) a digoxínu (0,25 mg jedenkrát denne), substrátu P</w:t>
      </w:r>
      <w:r>
        <w:rPr>
          <w:sz w:val="22"/>
        </w:rPr>
        <w:noBreakHyphen/>
        <w:t>gp, neovplyvnilo AUC alebo C</w:t>
      </w:r>
      <w:r>
        <w:rPr>
          <w:sz w:val="22"/>
          <w:vertAlign w:val="subscript"/>
        </w:rPr>
        <w:t>max</w:t>
      </w:r>
      <w:r>
        <w:rPr>
          <w:sz w:val="22"/>
        </w:rPr>
        <w:t xml:space="preserve"> digoxínu. Preto apixabán neinhibuje transport substrátu sprostredkovaného P</w:t>
      </w:r>
      <w:r>
        <w:rPr>
          <w:sz w:val="22"/>
        </w:rPr>
        <w:noBreakHyphen/>
        <w:t>gp.</w:t>
      </w:r>
    </w:p>
    <w:p w14:paraId="5775CE96" w14:textId="77777777" w:rsidR="00B07789" w:rsidRPr="007E6137" w:rsidRDefault="00B07789" w:rsidP="00833B71">
      <w:pPr>
        <w:spacing w:after="0" w:line="240" w:lineRule="auto"/>
        <w:ind w:left="0" w:firstLine="0"/>
        <w:rPr>
          <w:sz w:val="22"/>
        </w:rPr>
      </w:pPr>
    </w:p>
    <w:p w14:paraId="5D8336D8" w14:textId="77777777" w:rsidR="00B07789" w:rsidRPr="00A731E1" w:rsidRDefault="00D25089" w:rsidP="00047544">
      <w:pPr>
        <w:spacing w:after="0" w:line="240" w:lineRule="auto"/>
        <w:ind w:left="10"/>
        <w:rPr>
          <w:sz w:val="22"/>
        </w:rPr>
      </w:pPr>
      <w:r>
        <w:rPr>
          <w:i/>
          <w:sz w:val="22"/>
        </w:rPr>
        <w:t>Naproxén</w:t>
      </w:r>
    </w:p>
    <w:p w14:paraId="0DDBDAF5" w14:textId="77777777" w:rsidR="00B07789" w:rsidRPr="00A731E1" w:rsidRDefault="00D25089" w:rsidP="00047544">
      <w:pPr>
        <w:spacing w:after="0" w:line="240" w:lineRule="auto"/>
        <w:ind w:left="10"/>
        <w:rPr>
          <w:sz w:val="22"/>
        </w:rPr>
      </w:pPr>
      <w:r>
        <w:rPr>
          <w:sz w:val="22"/>
        </w:rPr>
        <w:t>Súbežné podanie jednorazovej dávky apixabánu (10 mg) a naproxénu (500 mg), bežne používaného NSAID, nemalo žiadny účinok na AUC alebo C</w:t>
      </w:r>
      <w:r w:rsidRPr="00E86B07">
        <w:rPr>
          <w:sz w:val="22"/>
          <w:vertAlign w:val="subscript"/>
        </w:rPr>
        <w:t>max</w:t>
      </w:r>
      <w:r>
        <w:rPr>
          <w:sz w:val="22"/>
        </w:rPr>
        <w:t xml:space="preserve"> naproxénu.</w:t>
      </w:r>
    </w:p>
    <w:p w14:paraId="466B9E5A" w14:textId="77777777" w:rsidR="00B07789" w:rsidRPr="007E6137" w:rsidRDefault="00B07789" w:rsidP="00833B71">
      <w:pPr>
        <w:spacing w:after="0" w:line="240" w:lineRule="auto"/>
        <w:ind w:left="0" w:firstLine="0"/>
        <w:rPr>
          <w:sz w:val="22"/>
        </w:rPr>
      </w:pPr>
    </w:p>
    <w:p w14:paraId="29A6C920" w14:textId="77777777" w:rsidR="00B07789" w:rsidRPr="00A731E1" w:rsidRDefault="00D25089" w:rsidP="00047544">
      <w:pPr>
        <w:spacing w:after="0" w:line="240" w:lineRule="auto"/>
        <w:ind w:left="10"/>
        <w:rPr>
          <w:sz w:val="22"/>
        </w:rPr>
      </w:pPr>
      <w:r>
        <w:rPr>
          <w:i/>
          <w:sz w:val="22"/>
        </w:rPr>
        <w:t>Atenolol</w:t>
      </w:r>
      <w:r>
        <w:rPr>
          <w:sz w:val="22"/>
        </w:rPr>
        <w:t xml:space="preserve"> </w:t>
      </w:r>
    </w:p>
    <w:p w14:paraId="7E7E8FB6" w14:textId="77777777" w:rsidR="00B07789" w:rsidRPr="00A731E1" w:rsidRDefault="00D25089" w:rsidP="00047544">
      <w:pPr>
        <w:spacing w:after="0" w:line="240" w:lineRule="auto"/>
        <w:ind w:left="10"/>
        <w:rPr>
          <w:sz w:val="22"/>
        </w:rPr>
      </w:pPr>
      <w:r>
        <w:rPr>
          <w:sz w:val="22"/>
        </w:rPr>
        <w:t>Súbežné podanie jednorazovej dávky apixabánu (10 mg) a atenololu (100 mg), bežného betablokátora, nezmenilo farmakokinetiku atenololu.</w:t>
      </w:r>
    </w:p>
    <w:p w14:paraId="585C3712" w14:textId="77777777" w:rsidR="00B07789" w:rsidRPr="00A731E1" w:rsidRDefault="00D25089" w:rsidP="00833B71">
      <w:pPr>
        <w:spacing w:after="0" w:line="240" w:lineRule="auto"/>
        <w:ind w:left="0" w:firstLine="0"/>
        <w:rPr>
          <w:sz w:val="22"/>
        </w:rPr>
      </w:pPr>
      <w:r>
        <w:rPr>
          <w:b/>
          <w:sz w:val="22"/>
        </w:rPr>
        <w:t xml:space="preserve"> </w:t>
      </w:r>
    </w:p>
    <w:p w14:paraId="64B9946A" w14:textId="77777777" w:rsidR="00B07789" w:rsidRPr="00A731E1" w:rsidRDefault="00D25089" w:rsidP="00047544">
      <w:pPr>
        <w:pStyle w:val="Nadpis2"/>
        <w:spacing w:after="0" w:line="240" w:lineRule="auto"/>
        <w:ind w:left="10"/>
        <w:rPr>
          <w:sz w:val="22"/>
        </w:rPr>
      </w:pPr>
      <w:r>
        <w:rPr>
          <w:sz w:val="22"/>
        </w:rPr>
        <w:t>Aktívne uhlie</w:t>
      </w:r>
    </w:p>
    <w:p w14:paraId="3E7F8F68" w14:textId="77777777" w:rsidR="00B07789" w:rsidRPr="00A731E1" w:rsidRDefault="00D25089" w:rsidP="00047544">
      <w:pPr>
        <w:spacing w:after="0" w:line="240" w:lineRule="auto"/>
        <w:ind w:left="10"/>
        <w:rPr>
          <w:sz w:val="22"/>
        </w:rPr>
      </w:pPr>
      <w:r>
        <w:rPr>
          <w:sz w:val="22"/>
        </w:rPr>
        <w:t>Podanie aktívneho uhlia znižuje expozíciu apixabánu (pozri časť 4.9).</w:t>
      </w:r>
    </w:p>
    <w:p w14:paraId="3EAD6E03" w14:textId="77777777" w:rsidR="00B07789" w:rsidRPr="007E6137" w:rsidRDefault="00B07789" w:rsidP="000E7AF5">
      <w:pPr>
        <w:keepNext/>
        <w:spacing w:after="0" w:line="240" w:lineRule="auto"/>
        <w:ind w:left="0" w:firstLine="0"/>
        <w:rPr>
          <w:sz w:val="22"/>
        </w:rPr>
      </w:pPr>
    </w:p>
    <w:p w14:paraId="1E622BC7" w14:textId="77777777" w:rsidR="00B07789" w:rsidRPr="00A731E1" w:rsidRDefault="00D25089" w:rsidP="000E7AF5">
      <w:pPr>
        <w:keepNext/>
        <w:tabs>
          <w:tab w:val="center" w:pos="2065"/>
        </w:tabs>
        <w:spacing w:after="0" w:line="240" w:lineRule="auto"/>
        <w:ind w:left="567" w:hanging="567"/>
        <w:rPr>
          <w:sz w:val="22"/>
        </w:rPr>
      </w:pPr>
      <w:r>
        <w:rPr>
          <w:b/>
          <w:sz w:val="22"/>
        </w:rPr>
        <w:t>4.6</w:t>
      </w:r>
      <w:r>
        <w:rPr>
          <w:b/>
          <w:sz w:val="22"/>
        </w:rPr>
        <w:tab/>
        <w:t xml:space="preserve">Fertilita, gravidita a laktácia </w:t>
      </w:r>
    </w:p>
    <w:p w14:paraId="37363E18" w14:textId="77777777" w:rsidR="00B07789" w:rsidRPr="00A731E1" w:rsidRDefault="00D25089" w:rsidP="000E7AF5">
      <w:pPr>
        <w:keepNext/>
        <w:spacing w:after="0" w:line="240" w:lineRule="auto"/>
        <w:ind w:left="0" w:firstLine="0"/>
        <w:rPr>
          <w:sz w:val="22"/>
        </w:rPr>
      </w:pPr>
      <w:r>
        <w:rPr>
          <w:sz w:val="22"/>
        </w:rPr>
        <w:t xml:space="preserve"> </w:t>
      </w:r>
    </w:p>
    <w:p w14:paraId="36F8FF87" w14:textId="77777777" w:rsidR="00B07789" w:rsidRPr="00A731E1" w:rsidRDefault="00D25089" w:rsidP="00047544">
      <w:pPr>
        <w:pStyle w:val="Nadpis2"/>
        <w:keepLines w:val="0"/>
        <w:spacing w:after="0" w:line="240" w:lineRule="auto"/>
        <w:ind w:left="10"/>
        <w:rPr>
          <w:sz w:val="22"/>
        </w:rPr>
      </w:pPr>
      <w:r>
        <w:rPr>
          <w:sz w:val="22"/>
        </w:rPr>
        <w:t>Gravidita</w:t>
      </w:r>
    </w:p>
    <w:p w14:paraId="096FAB99" w14:textId="77777777" w:rsidR="00B07789" w:rsidRPr="00A731E1" w:rsidRDefault="00D25089" w:rsidP="00047544">
      <w:pPr>
        <w:keepNext/>
        <w:spacing w:after="0" w:line="240" w:lineRule="auto"/>
        <w:ind w:left="10"/>
        <w:rPr>
          <w:sz w:val="22"/>
        </w:rPr>
      </w:pPr>
      <w:r>
        <w:rPr>
          <w:sz w:val="22"/>
        </w:rPr>
        <w:t>Nie sú k dispozícii žiadne údaje o použití apixabánu u gravidných žien. Štúdie na zvieratách nenaznačujú priame alebo nepriame škodlivé účinky z hľadiska reprodukčnej toxicity. Neodporúča sa užívať apixabán počas gravidity.</w:t>
      </w:r>
    </w:p>
    <w:p w14:paraId="1C16BFFC" w14:textId="77777777" w:rsidR="00B07789" w:rsidRPr="00A731E1" w:rsidRDefault="00D25089" w:rsidP="000E7AF5">
      <w:pPr>
        <w:keepNext/>
        <w:spacing w:after="0" w:line="240" w:lineRule="auto"/>
        <w:ind w:left="0" w:firstLine="0"/>
        <w:rPr>
          <w:sz w:val="22"/>
        </w:rPr>
      </w:pPr>
      <w:r>
        <w:rPr>
          <w:sz w:val="22"/>
        </w:rPr>
        <w:t xml:space="preserve"> </w:t>
      </w:r>
    </w:p>
    <w:p w14:paraId="2FCFF140" w14:textId="77777777" w:rsidR="00B07789" w:rsidRPr="00A731E1" w:rsidRDefault="00D25089" w:rsidP="00047544">
      <w:pPr>
        <w:pStyle w:val="Nadpis2"/>
        <w:keepLines w:val="0"/>
        <w:spacing w:after="0" w:line="240" w:lineRule="auto"/>
        <w:ind w:left="10"/>
        <w:rPr>
          <w:sz w:val="22"/>
        </w:rPr>
      </w:pPr>
      <w:r>
        <w:rPr>
          <w:sz w:val="22"/>
        </w:rPr>
        <w:t>Dojčenie</w:t>
      </w:r>
    </w:p>
    <w:p w14:paraId="576701C2" w14:textId="77777777" w:rsidR="00B07789" w:rsidRPr="00A731E1" w:rsidRDefault="00D25089" w:rsidP="00047544">
      <w:pPr>
        <w:keepNext/>
        <w:spacing w:after="0" w:line="240" w:lineRule="auto"/>
        <w:ind w:left="10"/>
        <w:rPr>
          <w:sz w:val="22"/>
        </w:rPr>
      </w:pPr>
      <w:r>
        <w:rPr>
          <w:sz w:val="22"/>
        </w:rPr>
        <w:t>Nie je známe, či sa apixabán alebo jeho metabolity vylučujú do materského mlieka u ľudí. Dostupné údaje u zvierat preukázali vylučovanie apixabánu do mlieka. V mlieku potkanov sa zistil vysoký pomer hladiny apixabánu v mlieku voči plazme (C</w:t>
      </w:r>
      <w:r>
        <w:rPr>
          <w:sz w:val="22"/>
          <w:vertAlign w:val="subscript"/>
        </w:rPr>
        <w:t>max</w:t>
      </w:r>
      <w:r>
        <w:rPr>
          <w:sz w:val="22"/>
        </w:rPr>
        <w:t xml:space="preserve"> okolo 8, AUC okolo 30), pravdepodobne z dôvodu aktívneho transportu do mlieka. Riziko pre novorodencov a dojčatá nemožno vylúčiť.</w:t>
      </w:r>
    </w:p>
    <w:p w14:paraId="25BB63B1" w14:textId="77777777" w:rsidR="00B07789" w:rsidRPr="007E6137" w:rsidRDefault="00B07789" w:rsidP="00833B71">
      <w:pPr>
        <w:spacing w:after="0" w:line="240" w:lineRule="auto"/>
        <w:ind w:left="0" w:firstLine="0"/>
        <w:rPr>
          <w:sz w:val="22"/>
        </w:rPr>
      </w:pPr>
    </w:p>
    <w:p w14:paraId="20EC4C94" w14:textId="77777777" w:rsidR="00B07789" w:rsidRPr="00A731E1" w:rsidRDefault="00D25089" w:rsidP="00047544">
      <w:pPr>
        <w:spacing w:after="0" w:line="240" w:lineRule="auto"/>
        <w:ind w:left="10"/>
        <w:rPr>
          <w:sz w:val="22"/>
        </w:rPr>
      </w:pPr>
      <w:r>
        <w:rPr>
          <w:sz w:val="22"/>
        </w:rPr>
        <w:t>Musí sa rozhodnúť, či ukončiť dojčenie alebo či ukončiť/prerušiť liečbu apixabánom.</w:t>
      </w:r>
    </w:p>
    <w:p w14:paraId="244283FD" w14:textId="77777777" w:rsidR="00B07789" w:rsidRPr="007E6137" w:rsidRDefault="00B07789" w:rsidP="00833B71">
      <w:pPr>
        <w:spacing w:after="0" w:line="240" w:lineRule="auto"/>
        <w:ind w:left="0" w:firstLine="0"/>
        <w:rPr>
          <w:sz w:val="22"/>
        </w:rPr>
      </w:pPr>
    </w:p>
    <w:p w14:paraId="26CE398F" w14:textId="77777777" w:rsidR="00B07789" w:rsidRPr="00A731E1" w:rsidRDefault="00D25089" w:rsidP="00047544">
      <w:pPr>
        <w:pStyle w:val="Nadpis2"/>
        <w:spacing w:after="0" w:line="240" w:lineRule="auto"/>
        <w:ind w:left="10"/>
        <w:rPr>
          <w:sz w:val="22"/>
        </w:rPr>
      </w:pPr>
      <w:r>
        <w:rPr>
          <w:sz w:val="22"/>
        </w:rPr>
        <w:t>Fertilita</w:t>
      </w:r>
      <w:r>
        <w:rPr>
          <w:sz w:val="22"/>
          <w:u w:val="none"/>
        </w:rPr>
        <w:t xml:space="preserve"> </w:t>
      </w:r>
    </w:p>
    <w:p w14:paraId="5082E2B6" w14:textId="77777777" w:rsidR="00B07789" w:rsidRPr="00A731E1" w:rsidRDefault="00D25089" w:rsidP="00047544">
      <w:pPr>
        <w:spacing w:after="0" w:line="240" w:lineRule="auto"/>
        <w:ind w:left="10"/>
        <w:rPr>
          <w:sz w:val="22"/>
        </w:rPr>
      </w:pPr>
      <w:r>
        <w:rPr>
          <w:sz w:val="22"/>
        </w:rPr>
        <w:t xml:space="preserve">Štúdie na zvieratách, ktorým sa podával apixabán, nepreukázali žiadny účinok na fertilitu (pozri časť 5.3). </w:t>
      </w:r>
    </w:p>
    <w:p w14:paraId="4840500F" w14:textId="77777777" w:rsidR="00B07789" w:rsidRPr="00A731E1" w:rsidRDefault="00D25089" w:rsidP="00833B71">
      <w:pPr>
        <w:spacing w:after="0" w:line="240" w:lineRule="auto"/>
        <w:ind w:left="0" w:firstLine="0"/>
        <w:rPr>
          <w:sz w:val="22"/>
        </w:rPr>
      </w:pPr>
      <w:r>
        <w:rPr>
          <w:sz w:val="22"/>
        </w:rPr>
        <w:t xml:space="preserve"> </w:t>
      </w:r>
    </w:p>
    <w:p w14:paraId="664C3786" w14:textId="77777777" w:rsidR="00B07789" w:rsidRPr="00A731E1" w:rsidRDefault="00D25089" w:rsidP="001F3856">
      <w:pPr>
        <w:tabs>
          <w:tab w:val="center" w:pos="2498"/>
        </w:tabs>
        <w:spacing w:after="0" w:line="240" w:lineRule="auto"/>
        <w:ind w:left="709" w:hanging="709"/>
        <w:rPr>
          <w:sz w:val="22"/>
        </w:rPr>
      </w:pPr>
      <w:r>
        <w:rPr>
          <w:b/>
          <w:sz w:val="22"/>
        </w:rPr>
        <w:t xml:space="preserve">4.7 </w:t>
      </w:r>
      <w:r>
        <w:rPr>
          <w:b/>
          <w:sz w:val="22"/>
        </w:rPr>
        <w:tab/>
        <w:t>Ovplyvnenie schopnosti viesť vozidlá a obsluhovať stroje</w:t>
      </w:r>
      <w:r>
        <w:rPr>
          <w:sz w:val="22"/>
        </w:rPr>
        <w:t xml:space="preserve"> </w:t>
      </w:r>
    </w:p>
    <w:p w14:paraId="14FAF4FC" w14:textId="77777777" w:rsidR="00B07789" w:rsidRPr="00A731E1" w:rsidRDefault="00D25089" w:rsidP="00833B71">
      <w:pPr>
        <w:spacing w:after="0" w:line="240" w:lineRule="auto"/>
        <w:ind w:left="0" w:firstLine="0"/>
        <w:rPr>
          <w:sz w:val="22"/>
        </w:rPr>
      </w:pPr>
      <w:r>
        <w:rPr>
          <w:sz w:val="22"/>
        </w:rPr>
        <w:t xml:space="preserve"> </w:t>
      </w:r>
    </w:p>
    <w:p w14:paraId="7A953133" w14:textId="339765AC" w:rsidR="00B07789" w:rsidRPr="00A731E1" w:rsidRDefault="00E8372B" w:rsidP="00047544">
      <w:pPr>
        <w:spacing w:after="0" w:line="240" w:lineRule="auto"/>
        <w:ind w:left="10"/>
        <w:rPr>
          <w:sz w:val="22"/>
        </w:rPr>
      </w:pPr>
      <w:r>
        <w:rPr>
          <w:sz w:val="22"/>
        </w:rPr>
        <w:t>Polapix</w:t>
      </w:r>
      <w:r w:rsidR="00635B73">
        <w:rPr>
          <w:sz w:val="22"/>
        </w:rPr>
        <w:t xml:space="preserve"> nemá alebo má zanedbateľný vplyv na schopnosť viesť vozidlá a obsluhovať stroje. </w:t>
      </w:r>
    </w:p>
    <w:p w14:paraId="488D6092" w14:textId="7E639238" w:rsidR="00B07789" w:rsidRPr="007E6137" w:rsidRDefault="00B07789" w:rsidP="00833B71">
      <w:pPr>
        <w:spacing w:after="0" w:line="240" w:lineRule="auto"/>
        <w:ind w:left="0" w:firstLine="0"/>
        <w:rPr>
          <w:sz w:val="22"/>
        </w:rPr>
      </w:pPr>
    </w:p>
    <w:p w14:paraId="72BEA25E" w14:textId="77777777" w:rsidR="00B07789" w:rsidRPr="00A731E1" w:rsidRDefault="00D25089" w:rsidP="001F3856">
      <w:pPr>
        <w:keepNext/>
        <w:tabs>
          <w:tab w:val="center" w:pos="1425"/>
        </w:tabs>
        <w:spacing w:after="0" w:line="240" w:lineRule="auto"/>
        <w:ind w:left="567" w:hanging="567"/>
        <w:rPr>
          <w:sz w:val="22"/>
        </w:rPr>
      </w:pPr>
      <w:r>
        <w:rPr>
          <w:b/>
          <w:sz w:val="22"/>
        </w:rPr>
        <w:t>4.8</w:t>
      </w:r>
      <w:r>
        <w:rPr>
          <w:b/>
          <w:sz w:val="22"/>
        </w:rPr>
        <w:tab/>
        <w:t xml:space="preserve">Nežiaduce účinky </w:t>
      </w:r>
    </w:p>
    <w:p w14:paraId="1667EE7B" w14:textId="77777777" w:rsidR="00B07789" w:rsidRPr="00A731E1" w:rsidRDefault="00D25089" w:rsidP="002F7708">
      <w:pPr>
        <w:keepNext/>
        <w:spacing w:after="0" w:line="240" w:lineRule="auto"/>
        <w:ind w:left="0" w:firstLine="0"/>
        <w:rPr>
          <w:sz w:val="22"/>
        </w:rPr>
      </w:pPr>
      <w:r>
        <w:rPr>
          <w:sz w:val="22"/>
        </w:rPr>
        <w:t xml:space="preserve"> </w:t>
      </w:r>
    </w:p>
    <w:p w14:paraId="2C34A1C0" w14:textId="77777777" w:rsidR="00B07789" w:rsidRPr="00A731E1" w:rsidRDefault="00D25089" w:rsidP="00047544">
      <w:pPr>
        <w:pStyle w:val="Nadpis2"/>
        <w:spacing w:after="0" w:line="240" w:lineRule="auto"/>
        <w:ind w:left="10"/>
        <w:rPr>
          <w:sz w:val="22"/>
        </w:rPr>
      </w:pPr>
      <w:r>
        <w:rPr>
          <w:sz w:val="22"/>
        </w:rPr>
        <w:t>Súhrn bezpečnostného profilu</w:t>
      </w:r>
      <w:r>
        <w:rPr>
          <w:sz w:val="22"/>
          <w:u w:val="none"/>
        </w:rPr>
        <w:t xml:space="preserve"> </w:t>
      </w:r>
    </w:p>
    <w:p w14:paraId="7A2E1E02" w14:textId="7DE00EE6" w:rsidR="00B07789" w:rsidRPr="00A731E1" w:rsidRDefault="00D25089" w:rsidP="00047544">
      <w:pPr>
        <w:spacing w:after="0" w:line="240" w:lineRule="auto"/>
        <w:ind w:left="10"/>
        <w:rPr>
          <w:sz w:val="22"/>
        </w:rPr>
      </w:pPr>
      <w:r>
        <w:rPr>
          <w:sz w:val="22"/>
        </w:rPr>
        <w:t xml:space="preserve">Bezpečnosť apixabánu sa skúmala v </w:t>
      </w:r>
      <w:r w:rsidR="00C61C25">
        <w:rPr>
          <w:sz w:val="22"/>
        </w:rPr>
        <w:t>7</w:t>
      </w:r>
      <w:r>
        <w:rPr>
          <w:sz w:val="22"/>
        </w:rPr>
        <w:t xml:space="preserve"> klinických štúdiách fázy III zahŕňajúcich viac ako </w:t>
      </w:r>
      <w:r w:rsidR="00C61C25">
        <w:rPr>
          <w:sz w:val="22"/>
        </w:rPr>
        <w:t>21</w:t>
      </w:r>
      <w:r>
        <w:rPr>
          <w:sz w:val="22"/>
        </w:rPr>
        <w:t xml:space="preserve"> 000 pacientov: </w:t>
      </w:r>
      <w:r w:rsidR="00C61C25">
        <w:rPr>
          <w:sz w:val="22"/>
        </w:rPr>
        <w:t xml:space="preserve">viac ako 5 000 pacientov v štúdiách VTEp počas priemernej celkovej expozície 20 dní, </w:t>
      </w:r>
      <w:r>
        <w:rPr>
          <w:sz w:val="22"/>
        </w:rPr>
        <w:t xml:space="preserve">viac ako 11 000 pacientov v štúdiách NVAF počas priemernej celkovej expozície 1,7 roka a viac ako 4 000 pacientov v štúdiách liečby VTE (VTEt) počas priemernej celkovej expozície 221 dní (pozri časť 5.1). </w:t>
      </w:r>
    </w:p>
    <w:p w14:paraId="56423C12" w14:textId="77777777" w:rsidR="00B07789" w:rsidRPr="00A731E1" w:rsidRDefault="00D25089" w:rsidP="00833B71">
      <w:pPr>
        <w:spacing w:after="0" w:line="240" w:lineRule="auto"/>
        <w:ind w:left="0" w:firstLine="0"/>
        <w:rPr>
          <w:sz w:val="22"/>
        </w:rPr>
      </w:pPr>
      <w:r>
        <w:rPr>
          <w:sz w:val="22"/>
        </w:rPr>
        <w:t xml:space="preserve"> </w:t>
      </w:r>
    </w:p>
    <w:p w14:paraId="4607566E" w14:textId="77777777" w:rsidR="00B07789" w:rsidRPr="00A731E1" w:rsidRDefault="00D25089" w:rsidP="00047544">
      <w:pPr>
        <w:spacing w:after="0" w:line="240" w:lineRule="auto"/>
        <w:ind w:left="10"/>
        <w:rPr>
          <w:sz w:val="22"/>
        </w:rPr>
      </w:pPr>
      <w:r>
        <w:rPr>
          <w:sz w:val="22"/>
        </w:rPr>
        <w:t xml:space="preserve">Častými nežiaducimi reakciami boli krvácanie, kontúzia, epistaxa a hematóm (profil nežiaducich reakcií a frekvencie podľa indikácie pozri v tabuľke 2). </w:t>
      </w:r>
    </w:p>
    <w:p w14:paraId="52741197" w14:textId="77777777" w:rsidR="00C61C25" w:rsidRDefault="00C61C25" w:rsidP="00833B71">
      <w:pPr>
        <w:spacing w:after="0" w:line="240" w:lineRule="auto"/>
        <w:ind w:left="0" w:firstLine="0"/>
        <w:rPr>
          <w:sz w:val="22"/>
        </w:rPr>
      </w:pPr>
    </w:p>
    <w:p w14:paraId="228B9646" w14:textId="79867D51" w:rsidR="00B07789" w:rsidRPr="00A731E1" w:rsidRDefault="00C61C25" w:rsidP="00833B71">
      <w:pPr>
        <w:spacing w:after="0" w:line="240" w:lineRule="auto"/>
        <w:ind w:left="0" w:firstLine="0"/>
        <w:rPr>
          <w:sz w:val="22"/>
        </w:rPr>
      </w:pPr>
      <w:r>
        <w:rPr>
          <w:sz w:val="22"/>
        </w:rPr>
        <w:t>V štúdiách VTEp sa celkovo u 11 % z pacientov liečených 2,5 mg apixabánu dvakrát denne objavili nežiaduce reakcie. V štúdiách apixabánu oproti enoxaparínu bol celkový výskyt nežiaducich reakcií súvisiacich s krvácaním pri apixabáne 10 %.</w:t>
      </w:r>
      <w:r w:rsidR="00D25089">
        <w:rPr>
          <w:sz w:val="22"/>
        </w:rPr>
        <w:t xml:space="preserve"> </w:t>
      </w:r>
    </w:p>
    <w:p w14:paraId="37828835" w14:textId="77777777" w:rsidR="00C61C25" w:rsidRDefault="00C61C25" w:rsidP="00047544">
      <w:pPr>
        <w:spacing w:after="0" w:line="240" w:lineRule="auto"/>
        <w:ind w:left="10"/>
        <w:rPr>
          <w:sz w:val="22"/>
        </w:rPr>
      </w:pPr>
    </w:p>
    <w:p w14:paraId="6010CCE0" w14:textId="77777777" w:rsidR="00B07789" w:rsidRPr="00A731E1" w:rsidRDefault="00D25089" w:rsidP="00047544">
      <w:pPr>
        <w:spacing w:after="0" w:line="240" w:lineRule="auto"/>
        <w:ind w:left="10"/>
        <w:rPr>
          <w:sz w:val="22"/>
        </w:rPr>
      </w:pPr>
      <w:r>
        <w:rPr>
          <w:sz w:val="22"/>
        </w:rPr>
        <w:t>V štúdiách NVAF bol celkový výskyt nežiaducich reakcií súvisiacich s krvácaním pri apixabáne 24,3 % v štúdii apixabánu oproti warfarínu a 9,6 % v štúdii s apixabánom oproti kyseline acetylsalicylovej. V štúdii apixabánu oproti warfarínu bol výskyt závažných ISTH krvácaní gastrointestinálneho traktu (zahŕňajúcich hornú časť GI, dolnú časť GI a rektálne krvácanie) pri apixabáne 0,76 %/rok. Výskyt závažného intraokulárneho ISTH krvácania bol pri apixabáne 0,18 %/rok.</w:t>
      </w:r>
    </w:p>
    <w:p w14:paraId="7F909838" w14:textId="77777777" w:rsidR="00B07789" w:rsidRPr="007E6137" w:rsidRDefault="00B07789" w:rsidP="00833B71">
      <w:pPr>
        <w:spacing w:after="0" w:line="240" w:lineRule="auto"/>
        <w:ind w:left="0" w:firstLine="0"/>
        <w:rPr>
          <w:sz w:val="22"/>
        </w:rPr>
      </w:pPr>
    </w:p>
    <w:p w14:paraId="692C9D4B" w14:textId="77777777" w:rsidR="00B07789" w:rsidRPr="00A731E1" w:rsidRDefault="00D25089" w:rsidP="00047544">
      <w:pPr>
        <w:spacing w:after="0" w:line="240" w:lineRule="auto"/>
        <w:ind w:left="10"/>
        <w:rPr>
          <w:sz w:val="22"/>
        </w:rPr>
      </w:pPr>
      <w:r>
        <w:rPr>
          <w:sz w:val="22"/>
        </w:rPr>
        <w:t>V štúdiách VTEt bol celkový výskyt nežiaducich reakcií súvisiacich s krvácaním pri apixabáne 15,6 % v štúdii apixabánu oproti enoxaparínu/warfarínu a 13,3 % v štúdii apixabánu oproti placebu (pozri časť 5.1).</w:t>
      </w:r>
    </w:p>
    <w:p w14:paraId="6F9B374F" w14:textId="77777777" w:rsidR="00B07789" w:rsidRPr="007E6137" w:rsidRDefault="00B07789" w:rsidP="00833B71">
      <w:pPr>
        <w:spacing w:after="0" w:line="240" w:lineRule="auto"/>
        <w:ind w:left="0" w:firstLine="0"/>
        <w:rPr>
          <w:sz w:val="22"/>
        </w:rPr>
      </w:pPr>
    </w:p>
    <w:p w14:paraId="30A5D593" w14:textId="17A87DBA" w:rsidR="005F6250" w:rsidRPr="00A731E1" w:rsidRDefault="00C61C25" w:rsidP="00833B71">
      <w:pPr>
        <w:spacing w:after="0" w:line="240" w:lineRule="auto"/>
        <w:ind w:left="0" w:firstLine="0"/>
        <w:rPr>
          <w:sz w:val="22"/>
          <w:u w:val="single"/>
        </w:rPr>
      </w:pPr>
      <w:r>
        <w:rPr>
          <w:sz w:val="22"/>
          <w:u w:val="single"/>
        </w:rPr>
        <w:t xml:space="preserve">Zoznam </w:t>
      </w:r>
      <w:r w:rsidR="005F6250">
        <w:rPr>
          <w:sz w:val="22"/>
          <w:u w:val="single"/>
        </w:rPr>
        <w:t>nežiaducich reakcií</w:t>
      </w:r>
      <w:r>
        <w:rPr>
          <w:sz w:val="22"/>
          <w:u w:val="single"/>
        </w:rPr>
        <w:t xml:space="preserve"> v tabuľke</w:t>
      </w:r>
    </w:p>
    <w:p w14:paraId="64FF3640" w14:textId="2CC09B0C" w:rsidR="00B07789" w:rsidRPr="00A731E1" w:rsidRDefault="005F6250" w:rsidP="00833B71">
      <w:pPr>
        <w:spacing w:after="0" w:line="240" w:lineRule="auto"/>
        <w:ind w:left="0" w:firstLine="0"/>
        <w:rPr>
          <w:sz w:val="22"/>
        </w:rPr>
      </w:pPr>
      <w:r>
        <w:rPr>
          <w:sz w:val="22"/>
        </w:rPr>
        <w:t xml:space="preserve">Tabuľka 2 uvádza nežiaduce reakcie zoradené do skupín podľa </w:t>
      </w:r>
      <w:r w:rsidR="00697D04">
        <w:rPr>
          <w:sz w:val="22"/>
        </w:rPr>
        <w:t xml:space="preserve">tried </w:t>
      </w:r>
      <w:r>
        <w:rPr>
          <w:sz w:val="22"/>
        </w:rPr>
        <w:t xml:space="preserve">orgánových systémov a frekvencie </w:t>
      </w:r>
      <w:r w:rsidR="00697D04">
        <w:rPr>
          <w:sz w:val="22"/>
        </w:rPr>
        <w:t xml:space="preserve">použitím </w:t>
      </w:r>
      <w:r>
        <w:rPr>
          <w:sz w:val="22"/>
        </w:rPr>
        <w:t>nasled</w:t>
      </w:r>
      <w:r w:rsidR="00697D04">
        <w:rPr>
          <w:sz w:val="22"/>
        </w:rPr>
        <w:t>ovnej</w:t>
      </w:r>
      <w:r>
        <w:rPr>
          <w:sz w:val="22"/>
        </w:rPr>
        <w:t xml:space="preserve"> </w:t>
      </w:r>
      <w:r w:rsidR="00697D04">
        <w:rPr>
          <w:sz w:val="22"/>
        </w:rPr>
        <w:t>konvencie</w:t>
      </w:r>
      <w:r>
        <w:rPr>
          <w:sz w:val="22"/>
        </w:rPr>
        <w:t>: veľmi časté (≥</w:t>
      </w:r>
      <w:r w:rsidR="00697D04">
        <w:rPr>
          <w:sz w:val="22"/>
        </w:rPr>
        <w:t xml:space="preserve"> </w:t>
      </w:r>
      <w:r>
        <w:rPr>
          <w:sz w:val="22"/>
        </w:rPr>
        <w:t>1/10); časté (≥</w:t>
      </w:r>
      <w:r w:rsidR="00697D04">
        <w:rPr>
          <w:sz w:val="22"/>
        </w:rPr>
        <w:t xml:space="preserve"> </w:t>
      </w:r>
      <w:r>
        <w:rPr>
          <w:sz w:val="22"/>
        </w:rPr>
        <w:t>1/100 až &lt;</w:t>
      </w:r>
      <w:r w:rsidR="00697D04">
        <w:rPr>
          <w:sz w:val="22"/>
        </w:rPr>
        <w:t xml:space="preserve"> </w:t>
      </w:r>
      <w:r>
        <w:rPr>
          <w:sz w:val="22"/>
        </w:rPr>
        <w:t>1/10); menej časté (≥</w:t>
      </w:r>
      <w:r w:rsidR="00697D04">
        <w:rPr>
          <w:sz w:val="22"/>
        </w:rPr>
        <w:t xml:space="preserve"> </w:t>
      </w:r>
      <w:r>
        <w:rPr>
          <w:sz w:val="22"/>
        </w:rPr>
        <w:t>1/1 000 až &lt;</w:t>
      </w:r>
      <w:r w:rsidR="00697D04">
        <w:rPr>
          <w:sz w:val="22"/>
        </w:rPr>
        <w:t xml:space="preserve"> </w:t>
      </w:r>
      <w:r>
        <w:rPr>
          <w:sz w:val="22"/>
        </w:rPr>
        <w:t>1/100); zriedkavé (≥</w:t>
      </w:r>
      <w:r w:rsidR="00697D04">
        <w:rPr>
          <w:sz w:val="22"/>
        </w:rPr>
        <w:t xml:space="preserve"> </w:t>
      </w:r>
      <w:r>
        <w:rPr>
          <w:sz w:val="22"/>
        </w:rPr>
        <w:t>1/10 000 až &lt;</w:t>
      </w:r>
      <w:r w:rsidR="00697D04">
        <w:rPr>
          <w:sz w:val="22"/>
        </w:rPr>
        <w:t xml:space="preserve"> </w:t>
      </w:r>
      <w:r>
        <w:rPr>
          <w:sz w:val="22"/>
        </w:rPr>
        <w:t>1/1 000); veľmi zriedkavé (&lt;</w:t>
      </w:r>
      <w:r w:rsidR="00697D04">
        <w:rPr>
          <w:sz w:val="22"/>
        </w:rPr>
        <w:t xml:space="preserve"> </w:t>
      </w:r>
      <w:r>
        <w:rPr>
          <w:sz w:val="22"/>
        </w:rPr>
        <w:t>1/10 000); neznáme (</w:t>
      </w:r>
      <w:r w:rsidR="00697D04">
        <w:rPr>
          <w:sz w:val="22"/>
        </w:rPr>
        <w:t xml:space="preserve">frekvencia sa nedá odhadnúť </w:t>
      </w:r>
      <w:r>
        <w:rPr>
          <w:sz w:val="22"/>
        </w:rPr>
        <w:t>z dostupných údajov) pre</w:t>
      </w:r>
      <w:r w:rsidR="00CA7D89">
        <w:rPr>
          <w:sz w:val="22"/>
        </w:rPr>
        <w:t xml:space="preserve"> VTEp,</w:t>
      </w:r>
      <w:r>
        <w:rPr>
          <w:sz w:val="22"/>
        </w:rPr>
        <w:t xml:space="preserve"> NVAF a VTEt.</w:t>
      </w:r>
    </w:p>
    <w:p w14:paraId="2DD12AE4" w14:textId="77777777" w:rsidR="00B07789" w:rsidRPr="00A731E1" w:rsidRDefault="00D25089" w:rsidP="00833B71">
      <w:pPr>
        <w:spacing w:after="0" w:line="240" w:lineRule="auto"/>
        <w:ind w:left="0" w:firstLine="0"/>
        <w:rPr>
          <w:sz w:val="22"/>
        </w:rPr>
      </w:pPr>
      <w:r>
        <w:rPr>
          <w:sz w:val="22"/>
        </w:rPr>
        <w:t xml:space="preserve"> </w:t>
      </w:r>
    </w:p>
    <w:p w14:paraId="4C67270C" w14:textId="77777777" w:rsidR="00B07789" w:rsidRPr="00513BD2" w:rsidRDefault="00D25089" w:rsidP="00047544">
      <w:pPr>
        <w:keepNext/>
        <w:spacing w:after="0" w:line="240" w:lineRule="auto"/>
        <w:ind w:left="10"/>
        <w:rPr>
          <w:b/>
          <w:sz w:val="22"/>
        </w:rPr>
      </w:pPr>
      <w:r>
        <w:rPr>
          <w:b/>
          <w:sz w:val="22"/>
        </w:rPr>
        <w:t xml:space="preserve">Tabuľka 2 </w:t>
      </w:r>
    </w:p>
    <w:tbl>
      <w:tblPr>
        <w:tblStyle w:val="TableGrid"/>
        <w:tblW w:w="0" w:type="auto"/>
        <w:tblInd w:w="0" w:type="dxa"/>
        <w:tblCellMar>
          <w:top w:w="53" w:type="dxa"/>
          <w:left w:w="101" w:type="dxa"/>
          <w:right w:w="54" w:type="dxa"/>
        </w:tblCellMar>
        <w:tblLook w:val="04A0" w:firstRow="1" w:lastRow="0" w:firstColumn="1" w:lastColumn="0" w:noHBand="0" w:noVBand="1"/>
      </w:tblPr>
      <w:tblGrid>
        <w:gridCol w:w="3540"/>
        <w:gridCol w:w="1985"/>
        <w:gridCol w:w="1984"/>
        <w:gridCol w:w="1887"/>
      </w:tblGrid>
      <w:tr w:rsidR="009605AC" w:rsidRPr="005261E7" w14:paraId="53D0C796" w14:textId="3300D2A0" w:rsidTr="009605AC">
        <w:trPr>
          <w:cantSplit/>
          <w:trHeight w:val="1486"/>
        </w:trPr>
        <w:tc>
          <w:tcPr>
            <w:tcW w:w="3540" w:type="dxa"/>
            <w:tcBorders>
              <w:top w:val="single" w:sz="4" w:space="0" w:color="000000"/>
              <w:left w:val="single" w:sz="3" w:space="0" w:color="000000"/>
              <w:bottom w:val="single" w:sz="3" w:space="0" w:color="000000"/>
              <w:right w:val="single" w:sz="4" w:space="0" w:color="000000"/>
            </w:tcBorders>
          </w:tcPr>
          <w:p w14:paraId="2C51D65F" w14:textId="77777777" w:rsidR="009605AC" w:rsidRPr="00A731E1" w:rsidRDefault="009605AC" w:rsidP="00833B71">
            <w:pPr>
              <w:keepNext/>
              <w:spacing w:after="0" w:line="240" w:lineRule="auto"/>
              <w:ind w:left="0" w:firstLine="0"/>
              <w:rPr>
                <w:sz w:val="22"/>
              </w:rPr>
            </w:pPr>
            <w:r>
              <w:rPr>
                <w:b/>
                <w:sz w:val="22"/>
              </w:rPr>
              <w:t xml:space="preserve">Trieda orgánových systémov </w:t>
            </w:r>
          </w:p>
        </w:tc>
        <w:tc>
          <w:tcPr>
            <w:tcW w:w="1985" w:type="dxa"/>
            <w:tcBorders>
              <w:top w:val="single" w:sz="4" w:space="0" w:color="000000"/>
              <w:left w:val="single" w:sz="3" w:space="0" w:color="000000"/>
              <w:bottom w:val="single" w:sz="3" w:space="0" w:color="000000"/>
              <w:right w:val="single" w:sz="3" w:space="0" w:color="000000"/>
            </w:tcBorders>
          </w:tcPr>
          <w:p w14:paraId="468D2D50" w14:textId="294736D4" w:rsidR="009605AC" w:rsidRDefault="009605AC" w:rsidP="00833B71">
            <w:pPr>
              <w:keepNext/>
              <w:spacing w:after="0" w:line="240" w:lineRule="auto"/>
              <w:ind w:left="0" w:hanging="5"/>
              <w:jc w:val="center"/>
              <w:rPr>
                <w:b/>
                <w:sz w:val="22"/>
              </w:rPr>
            </w:pPr>
            <w:r>
              <w:rPr>
                <w:b/>
                <w:sz w:val="22"/>
              </w:rPr>
              <w:t>Prevencia VTE u dospelých pacientov, ktorí podstúpili elektívny chirurgický zákrok na výmenu bedrového alebo kolenného kĺbu (VTEp)</w:t>
            </w:r>
          </w:p>
        </w:tc>
        <w:tc>
          <w:tcPr>
            <w:tcW w:w="1984" w:type="dxa"/>
            <w:tcBorders>
              <w:top w:val="single" w:sz="4" w:space="0" w:color="000000"/>
              <w:left w:val="single" w:sz="3" w:space="0" w:color="000000"/>
              <w:bottom w:val="single" w:sz="3" w:space="0" w:color="000000"/>
              <w:right w:val="single" w:sz="4" w:space="0" w:color="000000"/>
            </w:tcBorders>
          </w:tcPr>
          <w:p w14:paraId="5A99BA46" w14:textId="57BB4684" w:rsidR="009605AC" w:rsidRPr="00A731E1" w:rsidRDefault="009605AC" w:rsidP="00833B71">
            <w:pPr>
              <w:keepNext/>
              <w:spacing w:after="0" w:line="240" w:lineRule="auto"/>
              <w:ind w:left="0" w:hanging="5"/>
              <w:jc w:val="center"/>
              <w:rPr>
                <w:sz w:val="22"/>
              </w:rPr>
            </w:pPr>
            <w:r>
              <w:rPr>
                <w:b/>
                <w:sz w:val="22"/>
              </w:rPr>
              <w:t xml:space="preserve">Prevencia cievnej mozgovej príhody a systémovej embólie u dospelých pacientov s NVAF s jedným alebo viacerými rizikovými faktormi (NVAF) </w:t>
            </w:r>
          </w:p>
        </w:tc>
        <w:tc>
          <w:tcPr>
            <w:tcW w:w="1887" w:type="dxa"/>
            <w:tcBorders>
              <w:top w:val="single" w:sz="4" w:space="0" w:color="000000"/>
              <w:left w:val="single" w:sz="4" w:space="0" w:color="000000"/>
              <w:bottom w:val="single" w:sz="3" w:space="0" w:color="000000"/>
              <w:right w:val="single" w:sz="3" w:space="0" w:color="000000"/>
            </w:tcBorders>
          </w:tcPr>
          <w:p w14:paraId="568BFF5F" w14:textId="77777777" w:rsidR="009605AC" w:rsidRPr="00A731E1" w:rsidRDefault="009605AC" w:rsidP="00833B71">
            <w:pPr>
              <w:keepNext/>
              <w:spacing w:after="0" w:line="240" w:lineRule="auto"/>
              <w:ind w:left="0" w:firstLine="0"/>
              <w:jc w:val="center"/>
              <w:rPr>
                <w:sz w:val="22"/>
              </w:rPr>
            </w:pPr>
            <w:r>
              <w:rPr>
                <w:b/>
                <w:sz w:val="22"/>
              </w:rPr>
              <w:t xml:space="preserve">Liečba DVT a PE a prevencia rekurentnej DVT a PE (VTEt) </w:t>
            </w:r>
          </w:p>
        </w:tc>
      </w:tr>
      <w:tr w:rsidR="009605AC" w:rsidRPr="005261E7" w14:paraId="21F61DC4" w14:textId="41B633DF" w:rsidTr="009605AC">
        <w:trPr>
          <w:cantSplit/>
          <w:trHeight w:val="485"/>
        </w:trPr>
        <w:tc>
          <w:tcPr>
            <w:tcW w:w="0" w:type="auto"/>
            <w:gridSpan w:val="4"/>
            <w:tcBorders>
              <w:top w:val="single" w:sz="3" w:space="0" w:color="000000"/>
              <w:left w:val="single" w:sz="3" w:space="0" w:color="000000"/>
              <w:bottom w:val="single" w:sz="3" w:space="0" w:color="000000"/>
              <w:right w:val="single" w:sz="3" w:space="0" w:color="000000"/>
            </w:tcBorders>
          </w:tcPr>
          <w:p w14:paraId="0B85AACC" w14:textId="31103D77" w:rsidR="009605AC" w:rsidRPr="00A731E1" w:rsidRDefault="009605AC" w:rsidP="00833B71">
            <w:pPr>
              <w:keepNext/>
              <w:spacing w:after="0" w:line="240" w:lineRule="auto"/>
              <w:ind w:left="0" w:firstLine="0"/>
              <w:rPr>
                <w:sz w:val="22"/>
              </w:rPr>
            </w:pPr>
            <w:r>
              <w:rPr>
                <w:i/>
                <w:sz w:val="22"/>
              </w:rPr>
              <w:t xml:space="preserve">Poruchy krvi a lymfatického systému </w:t>
            </w:r>
          </w:p>
        </w:tc>
      </w:tr>
      <w:tr w:rsidR="009605AC" w:rsidRPr="00A731E1" w14:paraId="4EF9BF40" w14:textId="00C0C7C5" w:rsidTr="009605AC">
        <w:trPr>
          <w:cantSplit/>
          <w:trHeight w:val="247"/>
        </w:trPr>
        <w:tc>
          <w:tcPr>
            <w:tcW w:w="3540" w:type="dxa"/>
            <w:tcBorders>
              <w:top w:val="single" w:sz="3" w:space="0" w:color="000000"/>
              <w:left w:val="single" w:sz="3" w:space="0" w:color="000000"/>
              <w:bottom w:val="single" w:sz="3" w:space="0" w:color="000000"/>
              <w:right w:val="single" w:sz="4" w:space="0" w:color="000000"/>
            </w:tcBorders>
          </w:tcPr>
          <w:p w14:paraId="79E0B0E1" w14:textId="77777777" w:rsidR="009605AC" w:rsidRPr="00A731E1" w:rsidRDefault="009605AC" w:rsidP="00833B71">
            <w:pPr>
              <w:keepNext/>
              <w:spacing w:after="0" w:line="240" w:lineRule="auto"/>
              <w:ind w:left="0" w:firstLine="0"/>
              <w:rPr>
                <w:sz w:val="22"/>
              </w:rPr>
            </w:pPr>
            <w:r>
              <w:rPr>
                <w:sz w:val="22"/>
              </w:rPr>
              <w:t xml:space="preserve">Anémia </w:t>
            </w:r>
          </w:p>
        </w:tc>
        <w:tc>
          <w:tcPr>
            <w:tcW w:w="1985" w:type="dxa"/>
            <w:tcBorders>
              <w:top w:val="single" w:sz="3" w:space="0" w:color="000000"/>
              <w:left w:val="single" w:sz="3" w:space="0" w:color="000000"/>
              <w:bottom w:val="single" w:sz="3" w:space="0" w:color="000000"/>
              <w:right w:val="single" w:sz="3" w:space="0" w:color="000000"/>
            </w:tcBorders>
          </w:tcPr>
          <w:p w14:paraId="154457D1" w14:textId="7B49D047" w:rsidR="009605AC" w:rsidRDefault="009605AC" w:rsidP="00833B71">
            <w:pPr>
              <w:keepNext/>
              <w:spacing w:after="0" w:line="240" w:lineRule="auto"/>
              <w:ind w:left="0" w:firstLine="0"/>
              <w:jc w:val="center"/>
              <w:rPr>
                <w:sz w:val="22"/>
              </w:rPr>
            </w:pPr>
            <w:r>
              <w:rPr>
                <w:sz w:val="22"/>
              </w:rPr>
              <w:t>Časté</w:t>
            </w:r>
          </w:p>
        </w:tc>
        <w:tc>
          <w:tcPr>
            <w:tcW w:w="1984" w:type="dxa"/>
            <w:tcBorders>
              <w:top w:val="single" w:sz="3" w:space="0" w:color="000000"/>
              <w:left w:val="single" w:sz="3" w:space="0" w:color="000000"/>
              <w:bottom w:val="single" w:sz="3" w:space="0" w:color="000000"/>
              <w:right w:val="single" w:sz="4" w:space="0" w:color="000000"/>
            </w:tcBorders>
            <w:vAlign w:val="center"/>
          </w:tcPr>
          <w:p w14:paraId="3BEEAF49" w14:textId="07099275" w:rsidR="009605AC" w:rsidRPr="00A731E1" w:rsidRDefault="009605AC" w:rsidP="00833B71">
            <w:pPr>
              <w:keepNext/>
              <w:spacing w:after="0" w:line="240" w:lineRule="auto"/>
              <w:ind w:left="0" w:firstLine="0"/>
              <w:jc w:val="center"/>
              <w:rPr>
                <w:sz w:val="22"/>
              </w:rPr>
            </w:pPr>
            <w:r>
              <w:rPr>
                <w:sz w:val="22"/>
              </w:rPr>
              <w:t xml:space="preserve">Časté </w:t>
            </w:r>
          </w:p>
        </w:tc>
        <w:tc>
          <w:tcPr>
            <w:tcW w:w="1887" w:type="dxa"/>
            <w:tcBorders>
              <w:top w:val="single" w:sz="3" w:space="0" w:color="000000"/>
              <w:left w:val="single" w:sz="4" w:space="0" w:color="000000"/>
              <w:bottom w:val="single" w:sz="3" w:space="0" w:color="000000"/>
              <w:right w:val="single" w:sz="3" w:space="0" w:color="000000"/>
            </w:tcBorders>
            <w:vAlign w:val="center"/>
          </w:tcPr>
          <w:p w14:paraId="4EC74D9F" w14:textId="77777777" w:rsidR="009605AC" w:rsidRPr="00A731E1" w:rsidRDefault="009605AC" w:rsidP="00833B71">
            <w:pPr>
              <w:keepNext/>
              <w:spacing w:after="0" w:line="240" w:lineRule="auto"/>
              <w:ind w:left="0" w:right="49" w:firstLine="0"/>
              <w:jc w:val="center"/>
              <w:rPr>
                <w:sz w:val="22"/>
              </w:rPr>
            </w:pPr>
            <w:r>
              <w:rPr>
                <w:sz w:val="22"/>
              </w:rPr>
              <w:t xml:space="preserve">Časté </w:t>
            </w:r>
          </w:p>
        </w:tc>
      </w:tr>
      <w:tr w:rsidR="009605AC" w:rsidRPr="00A731E1" w14:paraId="212210D3" w14:textId="2064B435" w:rsidTr="009605AC">
        <w:trPr>
          <w:cantSplit/>
          <w:trHeight w:val="247"/>
        </w:trPr>
        <w:tc>
          <w:tcPr>
            <w:tcW w:w="3540" w:type="dxa"/>
            <w:tcBorders>
              <w:top w:val="single" w:sz="3" w:space="0" w:color="000000"/>
              <w:left w:val="single" w:sz="3" w:space="0" w:color="000000"/>
              <w:bottom w:val="single" w:sz="3" w:space="0" w:color="000000"/>
              <w:right w:val="single" w:sz="4" w:space="0" w:color="000000"/>
            </w:tcBorders>
          </w:tcPr>
          <w:p w14:paraId="5E2AE911" w14:textId="77777777" w:rsidR="009605AC" w:rsidRPr="00A731E1" w:rsidRDefault="009605AC" w:rsidP="00833B71">
            <w:pPr>
              <w:spacing w:after="0" w:line="240" w:lineRule="auto"/>
              <w:ind w:left="0" w:firstLine="0"/>
              <w:rPr>
                <w:sz w:val="22"/>
              </w:rPr>
            </w:pPr>
            <w:r>
              <w:rPr>
                <w:sz w:val="22"/>
              </w:rPr>
              <w:t xml:space="preserve">Trombocytopénia </w:t>
            </w:r>
          </w:p>
        </w:tc>
        <w:tc>
          <w:tcPr>
            <w:tcW w:w="1985" w:type="dxa"/>
            <w:tcBorders>
              <w:top w:val="single" w:sz="3" w:space="0" w:color="000000"/>
              <w:left w:val="single" w:sz="3" w:space="0" w:color="000000"/>
              <w:bottom w:val="single" w:sz="3" w:space="0" w:color="000000"/>
              <w:right w:val="single" w:sz="3" w:space="0" w:color="000000"/>
            </w:tcBorders>
          </w:tcPr>
          <w:p w14:paraId="12D53FEE" w14:textId="2607F293" w:rsidR="009605AC" w:rsidRDefault="009E1FE5" w:rsidP="00833B71">
            <w:pPr>
              <w:spacing w:after="0" w:line="240" w:lineRule="auto"/>
              <w:ind w:left="0" w:firstLine="0"/>
              <w:jc w:val="center"/>
              <w:rPr>
                <w:sz w:val="22"/>
              </w:rPr>
            </w:pPr>
            <w:r>
              <w:rPr>
                <w:sz w:val="22"/>
              </w:rPr>
              <w:t>Menej časté</w:t>
            </w:r>
          </w:p>
        </w:tc>
        <w:tc>
          <w:tcPr>
            <w:tcW w:w="1984" w:type="dxa"/>
            <w:tcBorders>
              <w:top w:val="single" w:sz="3" w:space="0" w:color="000000"/>
              <w:left w:val="single" w:sz="3" w:space="0" w:color="000000"/>
              <w:bottom w:val="single" w:sz="3" w:space="0" w:color="000000"/>
              <w:right w:val="single" w:sz="4" w:space="0" w:color="000000"/>
            </w:tcBorders>
            <w:vAlign w:val="center"/>
          </w:tcPr>
          <w:p w14:paraId="2F3C23D1" w14:textId="79E9A113" w:rsidR="009605AC" w:rsidRPr="00A731E1" w:rsidRDefault="009605AC" w:rsidP="00833B71">
            <w:pPr>
              <w:spacing w:after="0" w:line="240" w:lineRule="auto"/>
              <w:ind w:left="0" w:firstLine="0"/>
              <w:jc w:val="center"/>
              <w:rPr>
                <w:sz w:val="22"/>
              </w:rPr>
            </w:pPr>
            <w:r>
              <w:rPr>
                <w:sz w:val="22"/>
              </w:rPr>
              <w:t xml:space="preserve">Menej časté </w:t>
            </w:r>
          </w:p>
        </w:tc>
        <w:tc>
          <w:tcPr>
            <w:tcW w:w="1887" w:type="dxa"/>
            <w:tcBorders>
              <w:top w:val="single" w:sz="3" w:space="0" w:color="000000"/>
              <w:left w:val="single" w:sz="4" w:space="0" w:color="000000"/>
              <w:bottom w:val="single" w:sz="3" w:space="0" w:color="000000"/>
              <w:right w:val="single" w:sz="3" w:space="0" w:color="000000"/>
            </w:tcBorders>
            <w:vAlign w:val="center"/>
          </w:tcPr>
          <w:p w14:paraId="3136DF52" w14:textId="77777777" w:rsidR="009605AC" w:rsidRPr="00A731E1" w:rsidRDefault="009605AC" w:rsidP="00833B71">
            <w:pPr>
              <w:spacing w:after="0" w:line="240" w:lineRule="auto"/>
              <w:ind w:left="0" w:right="50" w:firstLine="0"/>
              <w:jc w:val="center"/>
              <w:rPr>
                <w:sz w:val="22"/>
              </w:rPr>
            </w:pPr>
            <w:r>
              <w:rPr>
                <w:sz w:val="22"/>
              </w:rPr>
              <w:t xml:space="preserve">Časté </w:t>
            </w:r>
          </w:p>
        </w:tc>
      </w:tr>
      <w:tr w:rsidR="009605AC" w:rsidRPr="00A731E1" w14:paraId="2D3E601A" w14:textId="18236685" w:rsidTr="009605AC">
        <w:trPr>
          <w:cantSplit/>
          <w:trHeight w:val="432"/>
        </w:trPr>
        <w:tc>
          <w:tcPr>
            <w:tcW w:w="0" w:type="auto"/>
            <w:gridSpan w:val="4"/>
            <w:tcBorders>
              <w:top w:val="single" w:sz="3" w:space="0" w:color="000000"/>
              <w:left w:val="single" w:sz="3" w:space="0" w:color="000000"/>
              <w:bottom w:val="single" w:sz="4" w:space="0" w:color="000000"/>
              <w:right w:val="single" w:sz="3" w:space="0" w:color="000000"/>
            </w:tcBorders>
          </w:tcPr>
          <w:p w14:paraId="32EC45CC" w14:textId="1A0241D7" w:rsidR="009605AC" w:rsidRPr="00A731E1" w:rsidRDefault="009605AC" w:rsidP="00833B71">
            <w:pPr>
              <w:spacing w:after="0" w:line="240" w:lineRule="auto"/>
              <w:ind w:left="0" w:firstLine="0"/>
              <w:rPr>
                <w:sz w:val="22"/>
              </w:rPr>
            </w:pPr>
            <w:r>
              <w:rPr>
                <w:i/>
                <w:sz w:val="22"/>
              </w:rPr>
              <w:t xml:space="preserve">Poruchy imunitného systému </w:t>
            </w:r>
          </w:p>
        </w:tc>
      </w:tr>
      <w:tr w:rsidR="009605AC" w:rsidRPr="00A731E1" w14:paraId="1C9A3106" w14:textId="7EDF4696" w:rsidTr="001926C5">
        <w:trPr>
          <w:cantSplit/>
          <w:trHeight w:val="495"/>
        </w:trPr>
        <w:tc>
          <w:tcPr>
            <w:tcW w:w="3540" w:type="dxa"/>
            <w:tcBorders>
              <w:top w:val="single" w:sz="4" w:space="0" w:color="000000"/>
              <w:left w:val="single" w:sz="3" w:space="0" w:color="000000"/>
              <w:bottom w:val="single" w:sz="4" w:space="0" w:color="000000"/>
              <w:right w:val="single" w:sz="4" w:space="0" w:color="000000"/>
            </w:tcBorders>
          </w:tcPr>
          <w:p w14:paraId="4CF999BD" w14:textId="77777777" w:rsidR="009605AC" w:rsidRPr="00A731E1" w:rsidRDefault="009605AC" w:rsidP="00833B71">
            <w:pPr>
              <w:spacing w:after="0" w:line="240" w:lineRule="auto"/>
              <w:ind w:left="0" w:firstLine="0"/>
              <w:rPr>
                <w:sz w:val="22"/>
              </w:rPr>
            </w:pPr>
            <w:r>
              <w:rPr>
                <w:sz w:val="22"/>
              </w:rPr>
              <w:t xml:space="preserve">Precitlivenosť, alergický edém a anafylaxia </w:t>
            </w:r>
          </w:p>
        </w:tc>
        <w:tc>
          <w:tcPr>
            <w:tcW w:w="1985" w:type="dxa"/>
            <w:tcBorders>
              <w:top w:val="single" w:sz="4" w:space="0" w:color="000000"/>
              <w:left w:val="single" w:sz="3" w:space="0" w:color="000000"/>
              <w:bottom w:val="single" w:sz="4" w:space="0" w:color="000000"/>
              <w:right w:val="single" w:sz="3" w:space="0" w:color="000000"/>
            </w:tcBorders>
            <w:vAlign w:val="center"/>
          </w:tcPr>
          <w:p w14:paraId="0857C2B9" w14:textId="698DD808" w:rsidR="009605AC" w:rsidRDefault="009E1FE5" w:rsidP="001926C5">
            <w:pPr>
              <w:spacing w:after="0" w:line="240" w:lineRule="auto"/>
              <w:ind w:left="0" w:firstLine="0"/>
              <w:jc w:val="center"/>
              <w:rPr>
                <w:sz w:val="22"/>
              </w:rPr>
            </w:pPr>
            <w:r>
              <w:rPr>
                <w:sz w:val="22"/>
              </w:rPr>
              <w:t>Zriedkavé</w:t>
            </w:r>
          </w:p>
        </w:tc>
        <w:tc>
          <w:tcPr>
            <w:tcW w:w="1984" w:type="dxa"/>
            <w:tcBorders>
              <w:top w:val="single" w:sz="4" w:space="0" w:color="000000"/>
              <w:left w:val="single" w:sz="3" w:space="0" w:color="000000"/>
              <w:bottom w:val="single" w:sz="4" w:space="0" w:color="000000"/>
              <w:right w:val="single" w:sz="4" w:space="0" w:color="000000"/>
            </w:tcBorders>
            <w:vAlign w:val="center"/>
          </w:tcPr>
          <w:p w14:paraId="1E8BCEC4" w14:textId="39E7B000" w:rsidR="009605AC" w:rsidRPr="00A731E1" w:rsidRDefault="009605AC" w:rsidP="00833B71">
            <w:pPr>
              <w:spacing w:after="0" w:line="240" w:lineRule="auto"/>
              <w:ind w:left="0" w:firstLine="0"/>
              <w:jc w:val="center"/>
              <w:rPr>
                <w:sz w:val="22"/>
              </w:rPr>
            </w:pPr>
            <w:r>
              <w:rPr>
                <w:sz w:val="22"/>
              </w:rPr>
              <w:t xml:space="preserve">Menej časté </w:t>
            </w:r>
          </w:p>
        </w:tc>
        <w:tc>
          <w:tcPr>
            <w:tcW w:w="1887" w:type="dxa"/>
            <w:tcBorders>
              <w:top w:val="single" w:sz="4" w:space="0" w:color="000000"/>
              <w:left w:val="single" w:sz="4" w:space="0" w:color="000000"/>
              <w:bottom w:val="single" w:sz="4" w:space="0" w:color="000000"/>
              <w:right w:val="single" w:sz="3" w:space="0" w:color="000000"/>
            </w:tcBorders>
            <w:vAlign w:val="center"/>
          </w:tcPr>
          <w:p w14:paraId="7487E647" w14:textId="77777777" w:rsidR="009605AC" w:rsidRPr="00A731E1" w:rsidRDefault="009605AC" w:rsidP="00833B71">
            <w:pPr>
              <w:spacing w:after="0" w:line="240" w:lineRule="auto"/>
              <w:ind w:left="0" w:right="50" w:firstLine="0"/>
              <w:jc w:val="center"/>
              <w:rPr>
                <w:sz w:val="22"/>
              </w:rPr>
            </w:pPr>
            <w:r>
              <w:rPr>
                <w:sz w:val="22"/>
              </w:rPr>
              <w:t xml:space="preserve">Menej časté </w:t>
            </w:r>
          </w:p>
        </w:tc>
      </w:tr>
      <w:tr w:rsidR="009605AC" w:rsidRPr="00A731E1" w14:paraId="5C22697D" w14:textId="6820120C" w:rsidTr="009605AC">
        <w:trPr>
          <w:cantSplit/>
          <w:trHeight w:val="247"/>
        </w:trPr>
        <w:tc>
          <w:tcPr>
            <w:tcW w:w="3540" w:type="dxa"/>
            <w:tcBorders>
              <w:top w:val="single" w:sz="4" w:space="0" w:color="000000"/>
              <w:left w:val="single" w:sz="3" w:space="0" w:color="000000"/>
              <w:bottom w:val="single" w:sz="4" w:space="0" w:color="000000"/>
              <w:right w:val="single" w:sz="4" w:space="0" w:color="000000"/>
            </w:tcBorders>
          </w:tcPr>
          <w:p w14:paraId="62577723" w14:textId="77777777" w:rsidR="009605AC" w:rsidRPr="00A731E1" w:rsidRDefault="009605AC" w:rsidP="00833B71">
            <w:pPr>
              <w:spacing w:after="0" w:line="240" w:lineRule="auto"/>
              <w:ind w:left="0" w:firstLine="0"/>
              <w:rPr>
                <w:sz w:val="22"/>
              </w:rPr>
            </w:pPr>
            <w:r>
              <w:rPr>
                <w:sz w:val="22"/>
              </w:rPr>
              <w:t xml:space="preserve">Svrbenie </w:t>
            </w:r>
          </w:p>
        </w:tc>
        <w:tc>
          <w:tcPr>
            <w:tcW w:w="1985" w:type="dxa"/>
            <w:tcBorders>
              <w:top w:val="single" w:sz="4" w:space="0" w:color="000000"/>
              <w:left w:val="single" w:sz="3" w:space="0" w:color="000000"/>
              <w:bottom w:val="single" w:sz="4" w:space="0" w:color="000000"/>
              <w:right w:val="single" w:sz="3" w:space="0" w:color="000000"/>
            </w:tcBorders>
          </w:tcPr>
          <w:p w14:paraId="110D7613" w14:textId="01A5A8F1" w:rsidR="009605AC" w:rsidRDefault="009E1FE5" w:rsidP="00833B71">
            <w:pPr>
              <w:spacing w:after="0" w:line="240" w:lineRule="auto"/>
              <w:ind w:left="0" w:firstLine="0"/>
              <w:jc w:val="center"/>
              <w:rPr>
                <w:sz w:val="22"/>
              </w:rPr>
            </w:pPr>
            <w:r>
              <w:rPr>
                <w:sz w:val="22"/>
              </w:rPr>
              <w:t>Menej časté</w:t>
            </w:r>
          </w:p>
        </w:tc>
        <w:tc>
          <w:tcPr>
            <w:tcW w:w="1984" w:type="dxa"/>
            <w:tcBorders>
              <w:top w:val="single" w:sz="4" w:space="0" w:color="000000"/>
              <w:left w:val="single" w:sz="3" w:space="0" w:color="000000"/>
              <w:bottom w:val="single" w:sz="4" w:space="0" w:color="000000"/>
              <w:right w:val="single" w:sz="4" w:space="0" w:color="000000"/>
            </w:tcBorders>
            <w:vAlign w:val="center"/>
          </w:tcPr>
          <w:p w14:paraId="50827040" w14:textId="29D5FB11" w:rsidR="009605AC" w:rsidRPr="00A731E1" w:rsidRDefault="009605AC" w:rsidP="00833B71">
            <w:pPr>
              <w:spacing w:after="0" w:line="240" w:lineRule="auto"/>
              <w:ind w:left="0" w:firstLine="0"/>
              <w:jc w:val="center"/>
              <w:rPr>
                <w:sz w:val="22"/>
              </w:rPr>
            </w:pPr>
            <w:r>
              <w:rPr>
                <w:sz w:val="22"/>
              </w:rPr>
              <w:t xml:space="preserve">Menej časté </w:t>
            </w:r>
          </w:p>
        </w:tc>
        <w:tc>
          <w:tcPr>
            <w:tcW w:w="1887" w:type="dxa"/>
            <w:tcBorders>
              <w:top w:val="single" w:sz="4" w:space="0" w:color="000000"/>
              <w:left w:val="single" w:sz="4" w:space="0" w:color="000000"/>
              <w:bottom w:val="single" w:sz="4" w:space="0" w:color="000000"/>
              <w:right w:val="single" w:sz="3" w:space="0" w:color="000000"/>
            </w:tcBorders>
            <w:vAlign w:val="center"/>
          </w:tcPr>
          <w:p w14:paraId="37192EBA" w14:textId="77777777" w:rsidR="009605AC" w:rsidRPr="00A731E1" w:rsidRDefault="009605AC" w:rsidP="00833B71">
            <w:pPr>
              <w:spacing w:after="0" w:line="240" w:lineRule="auto"/>
              <w:ind w:left="0" w:right="51" w:firstLine="0"/>
              <w:jc w:val="center"/>
              <w:rPr>
                <w:sz w:val="22"/>
              </w:rPr>
            </w:pPr>
            <w:r>
              <w:rPr>
                <w:sz w:val="22"/>
              </w:rPr>
              <w:t xml:space="preserve">Menej časté* </w:t>
            </w:r>
          </w:p>
        </w:tc>
      </w:tr>
      <w:tr w:rsidR="009605AC" w:rsidRPr="00A731E1" w14:paraId="3DBADDF4" w14:textId="7D540EB7" w:rsidTr="009605AC">
        <w:trPr>
          <w:cantSplit/>
          <w:trHeight w:val="462"/>
        </w:trPr>
        <w:tc>
          <w:tcPr>
            <w:tcW w:w="0" w:type="auto"/>
            <w:gridSpan w:val="4"/>
            <w:tcBorders>
              <w:top w:val="single" w:sz="4" w:space="0" w:color="000000"/>
              <w:left w:val="single" w:sz="3" w:space="0" w:color="000000"/>
              <w:bottom w:val="single" w:sz="3" w:space="0" w:color="000000"/>
              <w:right w:val="single" w:sz="3" w:space="0" w:color="000000"/>
            </w:tcBorders>
          </w:tcPr>
          <w:p w14:paraId="2F35CB09" w14:textId="4C776189" w:rsidR="009605AC" w:rsidRPr="00A731E1" w:rsidRDefault="009605AC" w:rsidP="00833B71">
            <w:pPr>
              <w:spacing w:after="0" w:line="240" w:lineRule="auto"/>
              <w:ind w:left="0" w:firstLine="0"/>
              <w:rPr>
                <w:sz w:val="22"/>
              </w:rPr>
            </w:pPr>
            <w:r>
              <w:rPr>
                <w:i/>
                <w:sz w:val="22"/>
              </w:rPr>
              <w:t xml:space="preserve">Poruchy nervového systému </w:t>
            </w:r>
          </w:p>
        </w:tc>
      </w:tr>
      <w:tr w:rsidR="009605AC" w:rsidRPr="00A731E1" w14:paraId="37DAED4C" w14:textId="5FA66BBB" w:rsidTr="009605AC">
        <w:trPr>
          <w:cantSplit/>
          <w:trHeight w:val="247"/>
        </w:trPr>
        <w:tc>
          <w:tcPr>
            <w:tcW w:w="3540" w:type="dxa"/>
            <w:tcBorders>
              <w:top w:val="single" w:sz="3" w:space="0" w:color="000000"/>
              <w:left w:val="single" w:sz="3" w:space="0" w:color="000000"/>
              <w:bottom w:val="single" w:sz="4" w:space="0" w:color="000000"/>
              <w:right w:val="single" w:sz="4" w:space="0" w:color="000000"/>
            </w:tcBorders>
          </w:tcPr>
          <w:p w14:paraId="44E1B0A2" w14:textId="77777777" w:rsidR="009605AC" w:rsidRPr="00A731E1" w:rsidRDefault="009605AC" w:rsidP="00833B71">
            <w:pPr>
              <w:spacing w:after="0" w:line="240" w:lineRule="auto"/>
              <w:ind w:left="0" w:firstLine="0"/>
              <w:rPr>
                <w:sz w:val="22"/>
              </w:rPr>
            </w:pPr>
            <w:r>
              <w:rPr>
                <w:sz w:val="22"/>
              </w:rPr>
              <w:t>Krvácanie do mozgu</w:t>
            </w:r>
            <w:r>
              <w:rPr>
                <w:sz w:val="22"/>
                <w:vertAlign w:val="superscript"/>
              </w:rPr>
              <w:t>†</w:t>
            </w:r>
            <w:r>
              <w:rPr>
                <w:sz w:val="22"/>
              </w:rPr>
              <w:t xml:space="preserve"> </w:t>
            </w:r>
          </w:p>
        </w:tc>
        <w:tc>
          <w:tcPr>
            <w:tcW w:w="1985" w:type="dxa"/>
            <w:tcBorders>
              <w:top w:val="single" w:sz="3" w:space="0" w:color="000000"/>
              <w:left w:val="single" w:sz="3" w:space="0" w:color="000000"/>
              <w:bottom w:val="single" w:sz="4" w:space="0" w:color="000000"/>
              <w:right w:val="single" w:sz="3" w:space="0" w:color="000000"/>
            </w:tcBorders>
          </w:tcPr>
          <w:p w14:paraId="54641F91" w14:textId="28259308" w:rsidR="009605AC" w:rsidRDefault="009E1FE5" w:rsidP="00833B71">
            <w:pPr>
              <w:spacing w:after="0" w:line="240" w:lineRule="auto"/>
              <w:ind w:left="0" w:firstLine="0"/>
              <w:jc w:val="center"/>
              <w:rPr>
                <w:sz w:val="22"/>
              </w:rPr>
            </w:pPr>
            <w:r>
              <w:rPr>
                <w:sz w:val="22"/>
              </w:rPr>
              <w:t>Neznáme</w:t>
            </w:r>
          </w:p>
        </w:tc>
        <w:tc>
          <w:tcPr>
            <w:tcW w:w="1984" w:type="dxa"/>
            <w:tcBorders>
              <w:top w:val="single" w:sz="3" w:space="0" w:color="000000"/>
              <w:left w:val="single" w:sz="3" w:space="0" w:color="000000"/>
              <w:bottom w:val="single" w:sz="4" w:space="0" w:color="000000"/>
              <w:right w:val="single" w:sz="4" w:space="0" w:color="000000"/>
            </w:tcBorders>
            <w:vAlign w:val="center"/>
          </w:tcPr>
          <w:p w14:paraId="21420C46" w14:textId="780AE0EF" w:rsidR="009605AC" w:rsidRPr="00A731E1" w:rsidRDefault="009605AC" w:rsidP="00833B71">
            <w:pPr>
              <w:spacing w:after="0" w:line="240" w:lineRule="auto"/>
              <w:ind w:left="0" w:firstLine="0"/>
              <w:jc w:val="center"/>
              <w:rPr>
                <w:sz w:val="22"/>
              </w:rPr>
            </w:pPr>
            <w:r>
              <w:rPr>
                <w:sz w:val="22"/>
              </w:rPr>
              <w:t xml:space="preserve">Menej časté </w:t>
            </w:r>
          </w:p>
        </w:tc>
        <w:tc>
          <w:tcPr>
            <w:tcW w:w="1887" w:type="dxa"/>
            <w:tcBorders>
              <w:top w:val="single" w:sz="3" w:space="0" w:color="000000"/>
              <w:left w:val="single" w:sz="4" w:space="0" w:color="000000"/>
              <w:bottom w:val="single" w:sz="4" w:space="0" w:color="000000"/>
              <w:right w:val="single" w:sz="3" w:space="0" w:color="000000"/>
            </w:tcBorders>
            <w:vAlign w:val="center"/>
          </w:tcPr>
          <w:p w14:paraId="7DDD8F99" w14:textId="77777777" w:rsidR="009605AC" w:rsidRPr="00A731E1" w:rsidRDefault="009605AC" w:rsidP="00833B71">
            <w:pPr>
              <w:spacing w:after="0" w:line="240" w:lineRule="auto"/>
              <w:ind w:left="0" w:right="51" w:firstLine="0"/>
              <w:jc w:val="center"/>
              <w:rPr>
                <w:sz w:val="22"/>
              </w:rPr>
            </w:pPr>
            <w:r>
              <w:rPr>
                <w:sz w:val="22"/>
              </w:rPr>
              <w:t xml:space="preserve">Zriedkavé </w:t>
            </w:r>
          </w:p>
        </w:tc>
      </w:tr>
      <w:tr w:rsidR="009605AC" w:rsidRPr="00A731E1" w14:paraId="5B8F432C" w14:textId="594FFADD" w:rsidTr="009605AC">
        <w:trPr>
          <w:cantSplit/>
          <w:trHeight w:val="461"/>
        </w:trPr>
        <w:tc>
          <w:tcPr>
            <w:tcW w:w="0" w:type="auto"/>
            <w:gridSpan w:val="4"/>
            <w:tcBorders>
              <w:top w:val="single" w:sz="4" w:space="0" w:color="000000"/>
              <w:left w:val="single" w:sz="3" w:space="0" w:color="000000"/>
              <w:bottom w:val="single" w:sz="4" w:space="0" w:color="000000"/>
              <w:right w:val="single" w:sz="3" w:space="0" w:color="000000"/>
            </w:tcBorders>
          </w:tcPr>
          <w:p w14:paraId="64CE5B3E" w14:textId="201BE980" w:rsidR="009605AC" w:rsidRPr="00A731E1" w:rsidRDefault="009605AC" w:rsidP="00833B71">
            <w:pPr>
              <w:spacing w:after="0" w:line="240" w:lineRule="auto"/>
              <w:ind w:left="0" w:firstLine="0"/>
              <w:rPr>
                <w:sz w:val="22"/>
              </w:rPr>
            </w:pPr>
            <w:r>
              <w:rPr>
                <w:i/>
                <w:sz w:val="22"/>
              </w:rPr>
              <w:t xml:space="preserve">Poruchy oka </w:t>
            </w:r>
          </w:p>
        </w:tc>
      </w:tr>
      <w:tr w:rsidR="009605AC" w:rsidRPr="00A731E1" w14:paraId="46992B8E" w14:textId="7FCF5556" w:rsidTr="001926C5">
        <w:trPr>
          <w:cantSplit/>
          <w:trHeight w:val="495"/>
        </w:trPr>
        <w:tc>
          <w:tcPr>
            <w:tcW w:w="3540" w:type="dxa"/>
            <w:tcBorders>
              <w:top w:val="single" w:sz="4" w:space="0" w:color="000000"/>
              <w:left w:val="single" w:sz="3" w:space="0" w:color="000000"/>
              <w:bottom w:val="single" w:sz="3" w:space="0" w:color="000000"/>
              <w:right w:val="single" w:sz="4" w:space="0" w:color="000000"/>
            </w:tcBorders>
          </w:tcPr>
          <w:p w14:paraId="2210CD2C" w14:textId="77777777" w:rsidR="009605AC" w:rsidRPr="00A731E1" w:rsidRDefault="009605AC" w:rsidP="00833B71">
            <w:pPr>
              <w:spacing w:after="0" w:line="240" w:lineRule="auto"/>
              <w:ind w:left="0" w:firstLine="0"/>
              <w:rPr>
                <w:sz w:val="22"/>
              </w:rPr>
            </w:pPr>
            <w:r>
              <w:rPr>
                <w:sz w:val="22"/>
              </w:rPr>
              <w:t xml:space="preserve">Krvácanie do oka (vrátane spojovkového krvácania) </w:t>
            </w:r>
          </w:p>
        </w:tc>
        <w:tc>
          <w:tcPr>
            <w:tcW w:w="1985" w:type="dxa"/>
            <w:tcBorders>
              <w:top w:val="single" w:sz="4" w:space="0" w:color="000000"/>
              <w:left w:val="single" w:sz="3" w:space="0" w:color="000000"/>
              <w:bottom w:val="single" w:sz="3" w:space="0" w:color="000000"/>
              <w:right w:val="single" w:sz="3" w:space="0" w:color="000000"/>
            </w:tcBorders>
            <w:vAlign w:val="center"/>
          </w:tcPr>
          <w:p w14:paraId="206EC1D8" w14:textId="736CAB11" w:rsidR="009605AC" w:rsidRDefault="009E1FE5" w:rsidP="001926C5">
            <w:pPr>
              <w:spacing w:after="0" w:line="240" w:lineRule="auto"/>
              <w:ind w:left="0" w:firstLine="0"/>
              <w:jc w:val="center"/>
              <w:rPr>
                <w:sz w:val="22"/>
              </w:rPr>
            </w:pPr>
            <w:r>
              <w:rPr>
                <w:sz w:val="22"/>
              </w:rPr>
              <w:t>Zriedkavé</w:t>
            </w:r>
          </w:p>
        </w:tc>
        <w:tc>
          <w:tcPr>
            <w:tcW w:w="1984" w:type="dxa"/>
            <w:tcBorders>
              <w:top w:val="single" w:sz="4" w:space="0" w:color="000000"/>
              <w:left w:val="single" w:sz="3" w:space="0" w:color="000000"/>
              <w:bottom w:val="single" w:sz="3" w:space="0" w:color="000000"/>
              <w:right w:val="single" w:sz="4" w:space="0" w:color="000000"/>
            </w:tcBorders>
            <w:vAlign w:val="center"/>
          </w:tcPr>
          <w:p w14:paraId="799BD0D2" w14:textId="5B4C7D46" w:rsidR="009605AC" w:rsidRPr="00A731E1" w:rsidRDefault="009605AC" w:rsidP="00833B71">
            <w:pPr>
              <w:spacing w:after="0" w:line="240" w:lineRule="auto"/>
              <w:ind w:left="0" w:firstLine="0"/>
              <w:jc w:val="center"/>
              <w:rPr>
                <w:sz w:val="22"/>
              </w:rPr>
            </w:pPr>
            <w:r>
              <w:rPr>
                <w:sz w:val="22"/>
              </w:rPr>
              <w:t xml:space="preserve">Časté </w:t>
            </w:r>
          </w:p>
        </w:tc>
        <w:tc>
          <w:tcPr>
            <w:tcW w:w="1887" w:type="dxa"/>
            <w:tcBorders>
              <w:top w:val="single" w:sz="4" w:space="0" w:color="000000"/>
              <w:left w:val="single" w:sz="4" w:space="0" w:color="000000"/>
              <w:bottom w:val="single" w:sz="3" w:space="0" w:color="000000"/>
              <w:right w:val="single" w:sz="3" w:space="0" w:color="000000"/>
            </w:tcBorders>
            <w:vAlign w:val="center"/>
          </w:tcPr>
          <w:p w14:paraId="69A6FF33" w14:textId="77777777" w:rsidR="009605AC" w:rsidRPr="00A731E1" w:rsidRDefault="009605AC" w:rsidP="00833B71">
            <w:pPr>
              <w:spacing w:after="0" w:line="240" w:lineRule="auto"/>
              <w:ind w:left="0" w:right="51" w:firstLine="0"/>
              <w:jc w:val="center"/>
              <w:rPr>
                <w:sz w:val="22"/>
              </w:rPr>
            </w:pPr>
            <w:r>
              <w:rPr>
                <w:sz w:val="22"/>
              </w:rPr>
              <w:t xml:space="preserve">Menej časté </w:t>
            </w:r>
          </w:p>
        </w:tc>
      </w:tr>
      <w:tr w:rsidR="009605AC" w:rsidRPr="00A731E1" w14:paraId="223C66D0" w14:textId="20242DC9" w:rsidTr="009605AC">
        <w:trPr>
          <w:cantSplit/>
          <w:trHeight w:val="493"/>
        </w:trPr>
        <w:tc>
          <w:tcPr>
            <w:tcW w:w="0" w:type="auto"/>
            <w:gridSpan w:val="4"/>
            <w:tcBorders>
              <w:top w:val="single" w:sz="3" w:space="0" w:color="000000"/>
              <w:left w:val="single" w:sz="3" w:space="0" w:color="000000"/>
              <w:bottom w:val="single" w:sz="3" w:space="0" w:color="000000"/>
              <w:right w:val="single" w:sz="3" w:space="0" w:color="000000"/>
            </w:tcBorders>
          </w:tcPr>
          <w:p w14:paraId="7D28D33B" w14:textId="540F4606" w:rsidR="009605AC" w:rsidRPr="00A731E1" w:rsidRDefault="009605AC" w:rsidP="00833B71">
            <w:pPr>
              <w:spacing w:after="0" w:line="240" w:lineRule="auto"/>
              <w:ind w:left="0" w:firstLine="0"/>
              <w:rPr>
                <w:sz w:val="22"/>
              </w:rPr>
            </w:pPr>
            <w:r>
              <w:rPr>
                <w:i/>
                <w:sz w:val="22"/>
              </w:rPr>
              <w:t xml:space="preserve">Poruchy ciev </w:t>
            </w:r>
          </w:p>
        </w:tc>
      </w:tr>
      <w:tr w:rsidR="009605AC" w:rsidRPr="00A731E1" w14:paraId="200C26A4" w14:textId="5D266E84" w:rsidTr="009605AC">
        <w:trPr>
          <w:cantSplit/>
          <w:trHeight w:val="247"/>
        </w:trPr>
        <w:tc>
          <w:tcPr>
            <w:tcW w:w="3540" w:type="dxa"/>
            <w:tcBorders>
              <w:top w:val="single" w:sz="3" w:space="0" w:color="000000"/>
              <w:left w:val="single" w:sz="3" w:space="0" w:color="000000"/>
              <w:bottom w:val="single" w:sz="3" w:space="0" w:color="000000"/>
              <w:right w:val="single" w:sz="4" w:space="0" w:color="000000"/>
            </w:tcBorders>
          </w:tcPr>
          <w:p w14:paraId="0240EE17" w14:textId="77777777" w:rsidR="009605AC" w:rsidRPr="00A731E1" w:rsidRDefault="009605AC" w:rsidP="00833B71">
            <w:pPr>
              <w:spacing w:after="0" w:line="240" w:lineRule="auto"/>
              <w:ind w:left="0" w:firstLine="0"/>
              <w:rPr>
                <w:sz w:val="22"/>
              </w:rPr>
            </w:pPr>
            <w:r>
              <w:rPr>
                <w:sz w:val="22"/>
              </w:rPr>
              <w:t xml:space="preserve">Krvácanie, hematómy </w:t>
            </w:r>
          </w:p>
        </w:tc>
        <w:tc>
          <w:tcPr>
            <w:tcW w:w="1985" w:type="dxa"/>
            <w:tcBorders>
              <w:top w:val="single" w:sz="3" w:space="0" w:color="000000"/>
              <w:left w:val="single" w:sz="3" w:space="0" w:color="000000"/>
              <w:bottom w:val="single" w:sz="3" w:space="0" w:color="000000"/>
              <w:right w:val="single" w:sz="3" w:space="0" w:color="000000"/>
            </w:tcBorders>
          </w:tcPr>
          <w:p w14:paraId="586CB4C7" w14:textId="2CD5A8AD" w:rsidR="009605AC" w:rsidRDefault="009E1FE5" w:rsidP="00833B71">
            <w:pPr>
              <w:spacing w:after="0" w:line="240" w:lineRule="auto"/>
              <w:ind w:left="0" w:firstLine="0"/>
              <w:jc w:val="center"/>
              <w:rPr>
                <w:sz w:val="22"/>
              </w:rPr>
            </w:pPr>
            <w:r>
              <w:rPr>
                <w:sz w:val="22"/>
              </w:rPr>
              <w:t>Časté</w:t>
            </w:r>
          </w:p>
        </w:tc>
        <w:tc>
          <w:tcPr>
            <w:tcW w:w="1984" w:type="dxa"/>
            <w:tcBorders>
              <w:top w:val="single" w:sz="3" w:space="0" w:color="000000"/>
              <w:left w:val="single" w:sz="3" w:space="0" w:color="000000"/>
              <w:bottom w:val="single" w:sz="3" w:space="0" w:color="000000"/>
              <w:right w:val="single" w:sz="4" w:space="0" w:color="000000"/>
            </w:tcBorders>
            <w:vAlign w:val="center"/>
          </w:tcPr>
          <w:p w14:paraId="0FFAA87F" w14:textId="78AE7934" w:rsidR="009605AC" w:rsidRPr="00A731E1" w:rsidRDefault="009605AC" w:rsidP="00833B71">
            <w:pPr>
              <w:spacing w:after="0" w:line="240" w:lineRule="auto"/>
              <w:ind w:left="0" w:firstLine="0"/>
              <w:jc w:val="center"/>
              <w:rPr>
                <w:sz w:val="22"/>
              </w:rPr>
            </w:pPr>
            <w:r>
              <w:rPr>
                <w:sz w:val="22"/>
              </w:rPr>
              <w:t xml:space="preserve">Časté </w:t>
            </w:r>
          </w:p>
        </w:tc>
        <w:tc>
          <w:tcPr>
            <w:tcW w:w="1887" w:type="dxa"/>
            <w:tcBorders>
              <w:top w:val="single" w:sz="3" w:space="0" w:color="000000"/>
              <w:left w:val="single" w:sz="4" w:space="0" w:color="000000"/>
              <w:bottom w:val="single" w:sz="3" w:space="0" w:color="000000"/>
              <w:right w:val="single" w:sz="3" w:space="0" w:color="000000"/>
            </w:tcBorders>
            <w:vAlign w:val="center"/>
          </w:tcPr>
          <w:p w14:paraId="1E1ED633" w14:textId="77777777" w:rsidR="009605AC" w:rsidRPr="00A731E1" w:rsidRDefault="009605AC" w:rsidP="00833B71">
            <w:pPr>
              <w:spacing w:after="0" w:line="240" w:lineRule="auto"/>
              <w:ind w:left="0" w:right="49" w:firstLine="0"/>
              <w:jc w:val="center"/>
              <w:rPr>
                <w:sz w:val="22"/>
              </w:rPr>
            </w:pPr>
            <w:r>
              <w:rPr>
                <w:sz w:val="22"/>
              </w:rPr>
              <w:t xml:space="preserve">Časté </w:t>
            </w:r>
          </w:p>
        </w:tc>
      </w:tr>
      <w:tr w:rsidR="009605AC" w:rsidRPr="00A731E1" w14:paraId="3F277095" w14:textId="6741BF62" w:rsidTr="001926C5">
        <w:trPr>
          <w:cantSplit/>
          <w:trHeight w:val="495"/>
        </w:trPr>
        <w:tc>
          <w:tcPr>
            <w:tcW w:w="3540" w:type="dxa"/>
            <w:tcBorders>
              <w:top w:val="single" w:sz="3" w:space="0" w:color="000000"/>
              <w:left w:val="single" w:sz="3" w:space="0" w:color="000000"/>
              <w:bottom w:val="single" w:sz="4" w:space="0" w:color="000000"/>
              <w:right w:val="single" w:sz="4" w:space="0" w:color="000000"/>
            </w:tcBorders>
          </w:tcPr>
          <w:p w14:paraId="0D331954" w14:textId="77777777" w:rsidR="009605AC" w:rsidRPr="00A731E1" w:rsidRDefault="009605AC" w:rsidP="00833B71">
            <w:pPr>
              <w:spacing w:after="0" w:line="240" w:lineRule="auto"/>
              <w:ind w:left="0" w:firstLine="0"/>
              <w:rPr>
                <w:sz w:val="22"/>
              </w:rPr>
            </w:pPr>
            <w:r>
              <w:rPr>
                <w:sz w:val="22"/>
              </w:rPr>
              <w:t xml:space="preserve">Hypotenzia (vrátane procedurálnej hypotenzie) </w:t>
            </w:r>
          </w:p>
        </w:tc>
        <w:tc>
          <w:tcPr>
            <w:tcW w:w="1985" w:type="dxa"/>
            <w:tcBorders>
              <w:top w:val="single" w:sz="3" w:space="0" w:color="000000"/>
              <w:left w:val="single" w:sz="3" w:space="0" w:color="000000"/>
              <w:bottom w:val="single" w:sz="4" w:space="0" w:color="000000"/>
              <w:right w:val="single" w:sz="3" w:space="0" w:color="000000"/>
            </w:tcBorders>
            <w:vAlign w:val="center"/>
          </w:tcPr>
          <w:p w14:paraId="4B68A23A" w14:textId="1BB4BB22" w:rsidR="009605AC" w:rsidRDefault="009E1FE5" w:rsidP="001926C5">
            <w:pPr>
              <w:spacing w:after="0" w:line="240" w:lineRule="auto"/>
              <w:ind w:left="0" w:firstLine="0"/>
              <w:jc w:val="center"/>
              <w:rPr>
                <w:sz w:val="22"/>
              </w:rPr>
            </w:pPr>
            <w:r>
              <w:rPr>
                <w:sz w:val="22"/>
              </w:rPr>
              <w:t>Menej časté</w:t>
            </w:r>
          </w:p>
        </w:tc>
        <w:tc>
          <w:tcPr>
            <w:tcW w:w="1984" w:type="dxa"/>
            <w:tcBorders>
              <w:top w:val="single" w:sz="3" w:space="0" w:color="000000"/>
              <w:left w:val="single" w:sz="3" w:space="0" w:color="000000"/>
              <w:bottom w:val="single" w:sz="4" w:space="0" w:color="000000"/>
              <w:right w:val="single" w:sz="4" w:space="0" w:color="000000"/>
            </w:tcBorders>
            <w:vAlign w:val="center"/>
          </w:tcPr>
          <w:p w14:paraId="7C5F6462" w14:textId="5D601DEB" w:rsidR="009605AC" w:rsidRPr="00A731E1" w:rsidRDefault="009605AC" w:rsidP="00833B71">
            <w:pPr>
              <w:spacing w:after="0" w:line="240" w:lineRule="auto"/>
              <w:ind w:left="0" w:firstLine="0"/>
              <w:jc w:val="center"/>
              <w:rPr>
                <w:sz w:val="22"/>
              </w:rPr>
            </w:pPr>
            <w:r>
              <w:rPr>
                <w:sz w:val="22"/>
              </w:rPr>
              <w:t xml:space="preserve">Časté </w:t>
            </w:r>
          </w:p>
        </w:tc>
        <w:tc>
          <w:tcPr>
            <w:tcW w:w="1887" w:type="dxa"/>
            <w:tcBorders>
              <w:top w:val="single" w:sz="3" w:space="0" w:color="000000"/>
              <w:left w:val="single" w:sz="4" w:space="0" w:color="000000"/>
              <w:bottom w:val="single" w:sz="4" w:space="0" w:color="000000"/>
              <w:right w:val="single" w:sz="3" w:space="0" w:color="000000"/>
            </w:tcBorders>
            <w:vAlign w:val="center"/>
          </w:tcPr>
          <w:p w14:paraId="729AFEA2" w14:textId="77777777" w:rsidR="009605AC" w:rsidRPr="00A731E1" w:rsidRDefault="009605AC" w:rsidP="00833B71">
            <w:pPr>
              <w:spacing w:after="0" w:line="240" w:lineRule="auto"/>
              <w:ind w:left="0" w:right="51" w:firstLine="0"/>
              <w:jc w:val="center"/>
              <w:rPr>
                <w:sz w:val="22"/>
              </w:rPr>
            </w:pPr>
            <w:r>
              <w:rPr>
                <w:sz w:val="22"/>
              </w:rPr>
              <w:t xml:space="preserve">Menej časté </w:t>
            </w:r>
          </w:p>
        </w:tc>
      </w:tr>
      <w:tr w:rsidR="009605AC" w:rsidRPr="00A731E1" w14:paraId="3EABB930" w14:textId="2B9FF3FD" w:rsidTr="009605AC">
        <w:trPr>
          <w:cantSplit/>
          <w:trHeight w:val="259"/>
        </w:trPr>
        <w:tc>
          <w:tcPr>
            <w:tcW w:w="3540" w:type="dxa"/>
            <w:tcBorders>
              <w:top w:val="single" w:sz="4" w:space="0" w:color="000000"/>
              <w:left w:val="single" w:sz="3" w:space="0" w:color="000000"/>
              <w:bottom w:val="single" w:sz="4" w:space="0" w:color="000000"/>
              <w:right w:val="single" w:sz="4" w:space="0" w:color="000000"/>
            </w:tcBorders>
          </w:tcPr>
          <w:p w14:paraId="6716D4F9" w14:textId="77777777" w:rsidR="009605AC" w:rsidRPr="00A731E1" w:rsidRDefault="009605AC" w:rsidP="00833B71">
            <w:pPr>
              <w:spacing w:after="0" w:line="240" w:lineRule="auto"/>
              <w:ind w:left="0" w:firstLine="0"/>
              <w:rPr>
                <w:sz w:val="22"/>
              </w:rPr>
            </w:pPr>
            <w:r>
              <w:rPr>
                <w:sz w:val="22"/>
              </w:rPr>
              <w:t xml:space="preserve">Intraabdominálne krvácanie </w:t>
            </w:r>
          </w:p>
        </w:tc>
        <w:tc>
          <w:tcPr>
            <w:tcW w:w="1985" w:type="dxa"/>
            <w:tcBorders>
              <w:top w:val="single" w:sz="4" w:space="0" w:color="000000"/>
              <w:left w:val="single" w:sz="3" w:space="0" w:color="000000"/>
              <w:bottom w:val="single" w:sz="4" w:space="0" w:color="000000"/>
              <w:right w:val="single" w:sz="3" w:space="0" w:color="000000"/>
            </w:tcBorders>
          </w:tcPr>
          <w:p w14:paraId="7887C192" w14:textId="4AE8CF99" w:rsidR="009605AC" w:rsidRDefault="009E1FE5" w:rsidP="00833B71">
            <w:pPr>
              <w:spacing w:after="0" w:line="240" w:lineRule="auto"/>
              <w:ind w:left="0" w:firstLine="0"/>
              <w:jc w:val="center"/>
              <w:rPr>
                <w:sz w:val="22"/>
              </w:rPr>
            </w:pPr>
            <w:r>
              <w:rPr>
                <w:sz w:val="22"/>
              </w:rPr>
              <w:t>Neznáme</w:t>
            </w:r>
          </w:p>
        </w:tc>
        <w:tc>
          <w:tcPr>
            <w:tcW w:w="1984" w:type="dxa"/>
            <w:tcBorders>
              <w:top w:val="single" w:sz="4" w:space="0" w:color="000000"/>
              <w:left w:val="single" w:sz="3" w:space="0" w:color="000000"/>
              <w:bottom w:val="single" w:sz="4" w:space="0" w:color="000000"/>
              <w:right w:val="single" w:sz="4" w:space="0" w:color="000000"/>
            </w:tcBorders>
            <w:vAlign w:val="center"/>
          </w:tcPr>
          <w:p w14:paraId="71F55448" w14:textId="08246D74" w:rsidR="009605AC" w:rsidRPr="00A731E1" w:rsidRDefault="009605AC" w:rsidP="00833B71">
            <w:pPr>
              <w:spacing w:after="0" w:line="240" w:lineRule="auto"/>
              <w:ind w:left="0" w:firstLine="0"/>
              <w:jc w:val="center"/>
              <w:rPr>
                <w:sz w:val="22"/>
              </w:rPr>
            </w:pPr>
            <w:r>
              <w:rPr>
                <w:sz w:val="22"/>
              </w:rPr>
              <w:t>Menej časté</w:t>
            </w:r>
          </w:p>
        </w:tc>
        <w:tc>
          <w:tcPr>
            <w:tcW w:w="1887" w:type="dxa"/>
            <w:tcBorders>
              <w:top w:val="single" w:sz="4" w:space="0" w:color="000000"/>
              <w:left w:val="single" w:sz="4" w:space="0" w:color="000000"/>
              <w:bottom w:val="single" w:sz="4" w:space="0" w:color="000000"/>
              <w:right w:val="single" w:sz="3" w:space="0" w:color="000000"/>
            </w:tcBorders>
            <w:vAlign w:val="center"/>
          </w:tcPr>
          <w:p w14:paraId="6BAF49B6" w14:textId="77777777" w:rsidR="009605AC" w:rsidRPr="00A731E1" w:rsidRDefault="009605AC" w:rsidP="00833B71">
            <w:pPr>
              <w:spacing w:after="0" w:line="240" w:lineRule="auto"/>
              <w:ind w:left="0" w:right="50" w:firstLine="0"/>
              <w:jc w:val="center"/>
              <w:rPr>
                <w:sz w:val="22"/>
              </w:rPr>
            </w:pPr>
            <w:r>
              <w:rPr>
                <w:sz w:val="22"/>
              </w:rPr>
              <w:t>Neznáme</w:t>
            </w:r>
          </w:p>
        </w:tc>
      </w:tr>
      <w:tr w:rsidR="009605AC" w:rsidRPr="005261E7" w14:paraId="6D738096" w14:textId="24A6D1AE" w:rsidTr="009605AC">
        <w:trPr>
          <w:cantSplit/>
          <w:trHeight w:val="445"/>
        </w:trPr>
        <w:tc>
          <w:tcPr>
            <w:tcW w:w="0" w:type="auto"/>
            <w:gridSpan w:val="4"/>
            <w:tcBorders>
              <w:top w:val="single" w:sz="4" w:space="0" w:color="000000"/>
              <w:left w:val="single" w:sz="3" w:space="0" w:color="000000"/>
              <w:bottom w:val="single" w:sz="3" w:space="0" w:color="000000"/>
              <w:right w:val="single" w:sz="3" w:space="0" w:color="000000"/>
            </w:tcBorders>
          </w:tcPr>
          <w:p w14:paraId="5CEC39D5" w14:textId="0B19F45B" w:rsidR="009605AC" w:rsidRPr="00A731E1" w:rsidRDefault="009605AC" w:rsidP="00833B71">
            <w:pPr>
              <w:spacing w:after="0" w:line="240" w:lineRule="auto"/>
              <w:ind w:left="0" w:firstLine="0"/>
              <w:rPr>
                <w:sz w:val="22"/>
              </w:rPr>
            </w:pPr>
            <w:r>
              <w:rPr>
                <w:i/>
                <w:sz w:val="22"/>
              </w:rPr>
              <w:lastRenderedPageBreak/>
              <w:t xml:space="preserve">Poruchy dýchacej sústavy, hrudníka a mediastína </w:t>
            </w:r>
          </w:p>
        </w:tc>
      </w:tr>
      <w:tr w:rsidR="009605AC" w:rsidRPr="00A731E1" w14:paraId="3675A1C0" w14:textId="1C072926" w:rsidTr="009605AC">
        <w:trPr>
          <w:cantSplit/>
          <w:trHeight w:val="247"/>
        </w:trPr>
        <w:tc>
          <w:tcPr>
            <w:tcW w:w="3540" w:type="dxa"/>
            <w:tcBorders>
              <w:top w:val="single" w:sz="3" w:space="0" w:color="000000"/>
              <w:left w:val="single" w:sz="3" w:space="0" w:color="000000"/>
              <w:bottom w:val="single" w:sz="3" w:space="0" w:color="000000"/>
              <w:right w:val="single" w:sz="4" w:space="0" w:color="000000"/>
            </w:tcBorders>
          </w:tcPr>
          <w:p w14:paraId="0318DD07" w14:textId="77777777" w:rsidR="009605AC" w:rsidRPr="00A731E1" w:rsidRDefault="009605AC" w:rsidP="00833B71">
            <w:pPr>
              <w:spacing w:after="0" w:line="240" w:lineRule="auto"/>
              <w:ind w:left="0" w:firstLine="0"/>
              <w:rPr>
                <w:sz w:val="22"/>
              </w:rPr>
            </w:pPr>
            <w:r>
              <w:rPr>
                <w:sz w:val="22"/>
              </w:rPr>
              <w:t xml:space="preserve">Epistaxa </w:t>
            </w:r>
          </w:p>
        </w:tc>
        <w:tc>
          <w:tcPr>
            <w:tcW w:w="1985" w:type="dxa"/>
            <w:tcBorders>
              <w:top w:val="single" w:sz="3" w:space="0" w:color="000000"/>
              <w:left w:val="single" w:sz="3" w:space="0" w:color="000000"/>
              <w:bottom w:val="single" w:sz="3" w:space="0" w:color="000000"/>
              <w:right w:val="single" w:sz="3" w:space="0" w:color="000000"/>
            </w:tcBorders>
          </w:tcPr>
          <w:p w14:paraId="0C56B217" w14:textId="6071001D" w:rsidR="009605AC" w:rsidRDefault="009E1FE5" w:rsidP="00833B71">
            <w:pPr>
              <w:spacing w:after="0" w:line="240" w:lineRule="auto"/>
              <w:ind w:left="0" w:firstLine="0"/>
              <w:jc w:val="center"/>
              <w:rPr>
                <w:sz w:val="22"/>
              </w:rPr>
            </w:pPr>
            <w:r>
              <w:rPr>
                <w:sz w:val="22"/>
              </w:rPr>
              <w:t>Menej časté</w:t>
            </w:r>
          </w:p>
        </w:tc>
        <w:tc>
          <w:tcPr>
            <w:tcW w:w="1984" w:type="dxa"/>
            <w:tcBorders>
              <w:top w:val="single" w:sz="3" w:space="0" w:color="000000"/>
              <w:left w:val="single" w:sz="3" w:space="0" w:color="000000"/>
              <w:bottom w:val="single" w:sz="3" w:space="0" w:color="000000"/>
              <w:right w:val="single" w:sz="4" w:space="0" w:color="000000"/>
            </w:tcBorders>
            <w:vAlign w:val="center"/>
          </w:tcPr>
          <w:p w14:paraId="6BE4039F" w14:textId="47E737DB" w:rsidR="009605AC" w:rsidRPr="00A731E1" w:rsidRDefault="009605AC" w:rsidP="00833B71">
            <w:pPr>
              <w:spacing w:after="0" w:line="240" w:lineRule="auto"/>
              <w:ind w:left="0" w:firstLine="0"/>
              <w:jc w:val="center"/>
              <w:rPr>
                <w:sz w:val="22"/>
              </w:rPr>
            </w:pPr>
            <w:r>
              <w:rPr>
                <w:sz w:val="22"/>
              </w:rPr>
              <w:t xml:space="preserve">Časté </w:t>
            </w:r>
          </w:p>
        </w:tc>
        <w:tc>
          <w:tcPr>
            <w:tcW w:w="1887" w:type="dxa"/>
            <w:tcBorders>
              <w:top w:val="single" w:sz="3" w:space="0" w:color="000000"/>
              <w:left w:val="single" w:sz="4" w:space="0" w:color="000000"/>
              <w:bottom w:val="single" w:sz="3" w:space="0" w:color="000000"/>
              <w:right w:val="single" w:sz="3" w:space="0" w:color="000000"/>
            </w:tcBorders>
            <w:vAlign w:val="center"/>
          </w:tcPr>
          <w:p w14:paraId="256BDFCE" w14:textId="77777777" w:rsidR="009605AC" w:rsidRPr="00A731E1" w:rsidRDefault="009605AC" w:rsidP="00833B71">
            <w:pPr>
              <w:spacing w:after="0" w:line="240" w:lineRule="auto"/>
              <w:ind w:left="0" w:right="17" w:firstLine="0"/>
              <w:jc w:val="center"/>
              <w:rPr>
                <w:sz w:val="22"/>
              </w:rPr>
            </w:pPr>
            <w:r>
              <w:rPr>
                <w:sz w:val="22"/>
              </w:rPr>
              <w:t xml:space="preserve">Časté </w:t>
            </w:r>
          </w:p>
        </w:tc>
      </w:tr>
      <w:tr w:rsidR="009605AC" w:rsidRPr="00A731E1" w14:paraId="03B20C45" w14:textId="10E73875" w:rsidTr="009605AC">
        <w:trPr>
          <w:cantSplit/>
          <w:trHeight w:val="247"/>
        </w:trPr>
        <w:tc>
          <w:tcPr>
            <w:tcW w:w="3540" w:type="dxa"/>
            <w:tcBorders>
              <w:top w:val="single" w:sz="3" w:space="0" w:color="000000"/>
              <w:left w:val="single" w:sz="3" w:space="0" w:color="000000"/>
              <w:bottom w:val="single" w:sz="3" w:space="0" w:color="000000"/>
              <w:right w:val="single" w:sz="4" w:space="0" w:color="000000"/>
            </w:tcBorders>
          </w:tcPr>
          <w:p w14:paraId="59CB1A44" w14:textId="77777777" w:rsidR="009605AC" w:rsidRPr="00A731E1" w:rsidRDefault="009605AC" w:rsidP="00833B71">
            <w:pPr>
              <w:spacing w:after="0" w:line="240" w:lineRule="auto"/>
              <w:ind w:left="0" w:firstLine="0"/>
              <w:rPr>
                <w:sz w:val="22"/>
              </w:rPr>
            </w:pPr>
            <w:r>
              <w:rPr>
                <w:sz w:val="22"/>
              </w:rPr>
              <w:t xml:space="preserve">Hemoptýza </w:t>
            </w:r>
          </w:p>
        </w:tc>
        <w:tc>
          <w:tcPr>
            <w:tcW w:w="1985" w:type="dxa"/>
            <w:tcBorders>
              <w:top w:val="single" w:sz="3" w:space="0" w:color="000000"/>
              <w:left w:val="single" w:sz="3" w:space="0" w:color="000000"/>
              <w:bottom w:val="single" w:sz="3" w:space="0" w:color="000000"/>
              <w:right w:val="single" w:sz="3" w:space="0" w:color="000000"/>
            </w:tcBorders>
          </w:tcPr>
          <w:p w14:paraId="55B907E7" w14:textId="26E6575D" w:rsidR="009605AC" w:rsidRDefault="009E1FE5" w:rsidP="00833B71">
            <w:pPr>
              <w:spacing w:after="0" w:line="240" w:lineRule="auto"/>
              <w:ind w:left="0" w:firstLine="0"/>
              <w:jc w:val="center"/>
              <w:rPr>
                <w:sz w:val="22"/>
              </w:rPr>
            </w:pPr>
            <w:r>
              <w:rPr>
                <w:sz w:val="22"/>
              </w:rPr>
              <w:t>Zriedkavé</w:t>
            </w:r>
          </w:p>
        </w:tc>
        <w:tc>
          <w:tcPr>
            <w:tcW w:w="1984" w:type="dxa"/>
            <w:tcBorders>
              <w:top w:val="single" w:sz="3" w:space="0" w:color="000000"/>
              <w:left w:val="single" w:sz="3" w:space="0" w:color="000000"/>
              <w:bottom w:val="single" w:sz="3" w:space="0" w:color="000000"/>
              <w:right w:val="single" w:sz="4" w:space="0" w:color="000000"/>
            </w:tcBorders>
            <w:vAlign w:val="center"/>
          </w:tcPr>
          <w:p w14:paraId="5FBB8289" w14:textId="74FAD48C" w:rsidR="009605AC" w:rsidRPr="00A731E1" w:rsidRDefault="009605AC" w:rsidP="00833B71">
            <w:pPr>
              <w:spacing w:after="0" w:line="240" w:lineRule="auto"/>
              <w:ind w:left="0" w:firstLine="0"/>
              <w:jc w:val="center"/>
              <w:rPr>
                <w:sz w:val="22"/>
              </w:rPr>
            </w:pPr>
            <w:r>
              <w:rPr>
                <w:sz w:val="22"/>
              </w:rPr>
              <w:t xml:space="preserve">Menej časté </w:t>
            </w:r>
          </w:p>
        </w:tc>
        <w:tc>
          <w:tcPr>
            <w:tcW w:w="1887" w:type="dxa"/>
            <w:tcBorders>
              <w:top w:val="single" w:sz="3" w:space="0" w:color="000000"/>
              <w:left w:val="single" w:sz="4" w:space="0" w:color="000000"/>
              <w:bottom w:val="single" w:sz="3" w:space="0" w:color="000000"/>
              <w:right w:val="single" w:sz="3" w:space="0" w:color="000000"/>
            </w:tcBorders>
            <w:vAlign w:val="center"/>
          </w:tcPr>
          <w:p w14:paraId="378BA7D3" w14:textId="77777777" w:rsidR="009605AC" w:rsidRPr="00A731E1" w:rsidRDefault="009605AC" w:rsidP="00833B71">
            <w:pPr>
              <w:spacing w:after="0" w:line="240" w:lineRule="auto"/>
              <w:ind w:left="0" w:right="50" w:firstLine="0"/>
              <w:jc w:val="center"/>
              <w:rPr>
                <w:sz w:val="22"/>
              </w:rPr>
            </w:pPr>
            <w:r>
              <w:rPr>
                <w:sz w:val="22"/>
              </w:rPr>
              <w:t xml:space="preserve">Menej časté </w:t>
            </w:r>
          </w:p>
        </w:tc>
      </w:tr>
      <w:tr w:rsidR="009605AC" w:rsidRPr="00A731E1" w14:paraId="49062E2D" w14:textId="337F799B" w:rsidTr="009605AC">
        <w:trPr>
          <w:cantSplit/>
          <w:trHeight w:val="247"/>
        </w:trPr>
        <w:tc>
          <w:tcPr>
            <w:tcW w:w="3540" w:type="dxa"/>
            <w:tcBorders>
              <w:top w:val="single" w:sz="3" w:space="0" w:color="000000"/>
              <w:left w:val="single" w:sz="3" w:space="0" w:color="000000"/>
              <w:bottom w:val="single" w:sz="4" w:space="0" w:color="000000"/>
              <w:right w:val="single" w:sz="4" w:space="0" w:color="000000"/>
            </w:tcBorders>
          </w:tcPr>
          <w:p w14:paraId="608D5289" w14:textId="77777777" w:rsidR="009605AC" w:rsidRPr="00A731E1" w:rsidRDefault="009605AC" w:rsidP="00833B71">
            <w:pPr>
              <w:spacing w:after="0" w:line="240" w:lineRule="auto"/>
              <w:ind w:left="0" w:firstLine="0"/>
              <w:rPr>
                <w:sz w:val="22"/>
              </w:rPr>
            </w:pPr>
            <w:r>
              <w:rPr>
                <w:sz w:val="22"/>
              </w:rPr>
              <w:t xml:space="preserve">Krvácanie do respiračného traktu </w:t>
            </w:r>
          </w:p>
        </w:tc>
        <w:tc>
          <w:tcPr>
            <w:tcW w:w="1985" w:type="dxa"/>
            <w:tcBorders>
              <w:top w:val="single" w:sz="3" w:space="0" w:color="000000"/>
              <w:left w:val="single" w:sz="3" w:space="0" w:color="000000"/>
              <w:bottom w:val="single" w:sz="4" w:space="0" w:color="000000"/>
              <w:right w:val="single" w:sz="3" w:space="0" w:color="000000"/>
            </w:tcBorders>
          </w:tcPr>
          <w:p w14:paraId="29CB4F68" w14:textId="6C9224E9" w:rsidR="009605AC" w:rsidRDefault="009E1FE5" w:rsidP="00833B71">
            <w:pPr>
              <w:spacing w:after="0" w:line="240" w:lineRule="auto"/>
              <w:ind w:left="0" w:firstLine="0"/>
              <w:jc w:val="center"/>
              <w:rPr>
                <w:sz w:val="22"/>
              </w:rPr>
            </w:pPr>
            <w:r>
              <w:rPr>
                <w:sz w:val="22"/>
              </w:rPr>
              <w:t>Neznáme</w:t>
            </w:r>
          </w:p>
        </w:tc>
        <w:tc>
          <w:tcPr>
            <w:tcW w:w="1984" w:type="dxa"/>
            <w:tcBorders>
              <w:top w:val="single" w:sz="3" w:space="0" w:color="000000"/>
              <w:left w:val="single" w:sz="3" w:space="0" w:color="000000"/>
              <w:bottom w:val="single" w:sz="4" w:space="0" w:color="000000"/>
              <w:right w:val="single" w:sz="4" w:space="0" w:color="000000"/>
            </w:tcBorders>
            <w:vAlign w:val="center"/>
          </w:tcPr>
          <w:p w14:paraId="28A436B3" w14:textId="36710B4D" w:rsidR="009605AC" w:rsidRPr="00A731E1" w:rsidRDefault="009605AC" w:rsidP="00833B71">
            <w:pPr>
              <w:spacing w:after="0" w:line="240" w:lineRule="auto"/>
              <w:ind w:left="0" w:firstLine="0"/>
              <w:jc w:val="center"/>
              <w:rPr>
                <w:sz w:val="22"/>
              </w:rPr>
            </w:pPr>
            <w:r>
              <w:rPr>
                <w:sz w:val="22"/>
              </w:rPr>
              <w:t xml:space="preserve">Zriedkavé </w:t>
            </w:r>
          </w:p>
        </w:tc>
        <w:tc>
          <w:tcPr>
            <w:tcW w:w="1887" w:type="dxa"/>
            <w:tcBorders>
              <w:top w:val="single" w:sz="3" w:space="0" w:color="000000"/>
              <w:left w:val="single" w:sz="4" w:space="0" w:color="000000"/>
              <w:bottom w:val="single" w:sz="4" w:space="0" w:color="000000"/>
              <w:right w:val="single" w:sz="3" w:space="0" w:color="000000"/>
            </w:tcBorders>
            <w:vAlign w:val="center"/>
          </w:tcPr>
          <w:p w14:paraId="3ED33E34" w14:textId="77777777" w:rsidR="009605AC" w:rsidRPr="00A731E1" w:rsidRDefault="009605AC" w:rsidP="00833B71">
            <w:pPr>
              <w:spacing w:after="0" w:line="240" w:lineRule="auto"/>
              <w:ind w:left="0" w:right="54" w:firstLine="0"/>
              <w:jc w:val="center"/>
              <w:rPr>
                <w:sz w:val="22"/>
              </w:rPr>
            </w:pPr>
            <w:r>
              <w:rPr>
                <w:sz w:val="22"/>
              </w:rPr>
              <w:t xml:space="preserve">Zriedkavé </w:t>
            </w:r>
          </w:p>
        </w:tc>
      </w:tr>
      <w:tr w:rsidR="009605AC" w:rsidRPr="00A731E1" w14:paraId="12642FAC" w14:textId="252921A0" w:rsidTr="009605AC">
        <w:trPr>
          <w:cantSplit/>
          <w:trHeight w:val="444"/>
        </w:trPr>
        <w:tc>
          <w:tcPr>
            <w:tcW w:w="0" w:type="auto"/>
            <w:gridSpan w:val="4"/>
            <w:tcBorders>
              <w:top w:val="single" w:sz="4" w:space="0" w:color="000000"/>
              <w:left w:val="single" w:sz="3" w:space="0" w:color="000000"/>
              <w:bottom w:val="single" w:sz="3" w:space="0" w:color="000000"/>
              <w:right w:val="single" w:sz="3" w:space="0" w:color="000000"/>
            </w:tcBorders>
          </w:tcPr>
          <w:p w14:paraId="0D2653A9" w14:textId="77B218BA" w:rsidR="009605AC" w:rsidRPr="00A731E1" w:rsidRDefault="009605AC" w:rsidP="00833B71">
            <w:pPr>
              <w:spacing w:after="0" w:line="240" w:lineRule="auto"/>
              <w:ind w:left="0" w:firstLine="0"/>
              <w:rPr>
                <w:sz w:val="22"/>
              </w:rPr>
            </w:pPr>
            <w:r>
              <w:rPr>
                <w:i/>
                <w:sz w:val="22"/>
              </w:rPr>
              <w:t xml:space="preserve">Poruchy gastrointestinálneho traktu </w:t>
            </w:r>
          </w:p>
        </w:tc>
      </w:tr>
      <w:tr w:rsidR="009605AC" w:rsidRPr="00A731E1" w14:paraId="2506AB9D" w14:textId="147EB418" w:rsidTr="009605AC">
        <w:trPr>
          <w:cantSplit/>
          <w:trHeight w:val="247"/>
        </w:trPr>
        <w:tc>
          <w:tcPr>
            <w:tcW w:w="3540" w:type="dxa"/>
            <w:tcBorders>
              <w:top w:val="single" w:sz="3" w:space="0" w:color="000000"/>
              <w:left w:val="single" w:sz="3" w:space="0" w:color="000000"/>
              <w:bottom w:val="single" w:sz="3" w:space="0" w:color="000000"/>
              <w:right w:val="single" w:sz="4" w:space="0" w:color="000000"/>
            </w:tcBorders>
          </w:tcPr>
          <w:p w14:paraId="28859295" w14:textId="77777777" w:rsidR="009605AC" w:rsidRPr="00A731E1" w:rsidRDefault="009605AC" w:rsidP="00833B71">
            <w:pPr>
              <w:spacing w:after="0" w:line="240" w:lineRule="auto"/>
              <w:ind w:left="0" w:firstLine="0"/>
              <w:rPr>
                <w:sz w:val="22"/>
              </w:rPr>
            </w:pPr>
            <w:r>
              <w:rPr>
                <w:sz w:val="22"/>
              </w:rPr>
              <w:t xml:space="preserve">Nevoľnosť </w:t>
            </w:r>
          </w:p>
        </w:tc>
        <w:tc>
          <w:tcPr>
            <w:tcW w:w="1985" w:type="dxa"/>
            <w:tcBorders>
              <w:top w:val="single" w:sz="3" w:space="0" w:color="000000"/>
              <w:left w:val="single" w:sz="3" w:space="0" w:color="000000"/>
              <w:bottom w:val="single" w:sz="3" w:space="0" w:color="000000"/>
              <w:right w:val="single" w:sz="3" w:space="0" w:color="000000"/>
            </w:tcBorders>
          </w:tcPr>
          <w:p w14:paraId="216D85AF" w14:textId="169B287B" w:rsidR="009605AC" w:rsidRDefault="009E1FE5" w:rsidP="00833B71">
            <w:pPr>
              <w:spacing w:after="0" w:line="240" w:lineRule="auto"/>
              <w:ind w:left="0" w:firstLine="0"/>
              <w:jc w:val="center"/>
              <w:rPr>
                <w:sz w:val="22"/>
              </w:rPr>
            </w:pPr>
            <w:r>
              <w:rPr>
                <w:sz w:val="22"/>
              </w:rPr>
              <w:t>Časté</w:t>
            </w:r>
          </w:p>
        </w:tc>
        <w:tc>
          <w:tcPr>
            <w:tcW w:w="1984" w:type="dxa"/>
            <w:tcBorders>
              <w:top w:val="single" w:sz="3" w:space="0" w:color="000000"/>
              <w:left w:val="single" w:sz="3" w:space="0" w:color="000000"/>
              <w:bottom w:val="single" w:sz="3" w:space="0" w:color="000000"/>
              <w:right w:val="single" w:sz="4" w:space="0" w:color="000000"/>
            </w:tcBorders>
            <w:vAlign w:val="center"/>
          </w:tcPr>
          <w:p w14:paraId="27552157" w14:textId="6793854B" w:rsidR="009605AC" w:rsidRPr="00A731E1" w:rsidRDefault="009605AC" w:rsidP="00833B71">
            <w:pPr>
              <w:spacing w:after="0" w:line="240" w:lineRule="auto"/>
              <w:ind w:left="0" w:firstLine="0"/>
              <w:jc w:val="center"/>
              <w:rPr>
                <w:sz w:val="22"/>
              </w:rPr>
            </w:pPr>
            <w:r>
              <w:rPr>
                <w:sz w:val="22"/>
              </w:rPr>
              <w:t xml:space="preserve">Časté </w:t>
            </w:r>
          </w:p>
        </w:tc>
        <w:tc>
          <w:tcPr>
            <w:tcW w:w="1887" w:type="dxa"/>
            <w:tcBorders>
              <w:top w:val="single" w:sz="3" w:space="0" w:color="000000"/>
              <w:left w:val="single" w:sz="4" w:space="0" w:color="000000"/>
              <w:bottom w:val="single" w:sz="3" w:space="0" w:color="000000"/>
              <w:right w:val="single" w:sz="3" w:space="0" w:color="000000"/>
            </w:tcBorders>
            <w:vAlign w:val="center"/>
          </w:tcPr>
          <w:p w14:paraId="07ECDDD3" w14:textId="77777777" w:rsidR="009605AC" w:rsidRPr="00A731E1" w:rsidRDefault="009605AC" w:rsidP="00833B71">
            <w:pPr>
              <w:spacing w:after="0" w:line="240" w:lineRule="auto"/>
              <w:ind w:left="0" w:right="50" w:firstLine="0"/>
              <w:jc w:val="center"/>
              <w:rPr>
                <w:sz w:val="22"/>
              </w:rPr>
            </w:pPr>
            <w:r>
              <w:rPr>
                <w:sz w:val="22"/>
              </w:rPr>
              <w:t xml:space="preserve">Časté </w:t>
            </w:r>
          </w:p>
        </w:tc>
      </w:tr>
      <w:tr w:rsidR="009605AC" w:rsidRPr="00A731E1" w14:paraId="41FC50D2" w14:textId="48512F3A" w:rsidTr="009605AC">
        <w:trPr>
          <w:cantSplit/>
          <w:trHeight w:val="259"/>
        </w:trPr>
        <w:tc>
          <w:tcPr>
            <w:tcW w:w="3540" w:type="dxa"/>
            <w:tcBorders>
              <w:top w:val="single" w:sz="3" w:space="0" w:color="000000"/>
              <w:left w:val="single" w:sz="3" w:space="0" w:color="000000"/>
              <w:bottom w:val="single" w:sz="3" w:space="0" w:color="000000"/>
              <w:right w:val="single" w:sz="4" w:space="0" w:color="000000"/>
            </w:tcBorders>
          </w:tcPr>
          <w:p w14:paraId="0BF27636" w14:textId="77777777" w:rsidR="009605AC" w:rsidRPr="00A731E1" w:rsidRDefault="009605AC" w:rsidP="00833B71">
            <w:pPr>
              <w:spacing w:after="0" w:line="240" w:lineRule="auto"/>
              <w:ind w:left="0" w:firstLine="0"/>
              <w:rPr>
                <w:sz w:val="22"/>
              </w:rPr>
            </w:pPr>
            <w:r>
              <w:rPr>
                <w:sz w:val="22"/>
              </w:rPr>
              <w:t xml:space="preserve">Gastrointestinálne krvácanie </w:t>
            </w:r>
          </w:p>
        </w:tc>
        <w:tc>
          <w:tcPr>
            <w:tcW w:w="1985" w:type="dxa"/>
            <w:tcBorders>
              <w:top w:val="single" w:sz="3" w:space="0" w:color="000000"/>
              <w:left w:val="single" w:sz="3" w:space="0" w:color="000000"/>
              <w:bottom w:val="single" w:sz="3" w:space="0" w:color="000000"/>
              <w:right w:val="single" w:sz="3" w:space="0" w:color="000000"/>
            </w:tcBorders>
          </w:tcPr>
          <w:p w14:paraId="17A2E6F6" w14:textId="39165513" w:rsidR="009605AC" w:rsidRDefault="009E1FE5" w:rsidP="00833B71">
            <w:pPr>
              <w:spacing w:after="0" w:line="240" w:lineRule="auto"/>
              <w:ind w:left="0" w:firstLine="0"/>
              <w:jc w:val="center"/>
              <w:rPr>
                <w:sz w:val="22"/>
              </w:rPr>
            </w:pPr>
            <w:r>
              <w:rPr>
                <w:sz w:val="22"/>
              </w:rPr>
              <w:t>Menej časté</w:t>
            </w:r>
          </w:p>
        </w:tc>
        <w:tc>
          <w:tcPr>
            <w:tcW w:w="1984" w:type="dxa"/>
            <w:tcBorders>
              <w:top w:val="single" w:sz="3" w:space="0" w:color="000000"/>
              <w:left w:val="single" w:sz="3" w:space="0" w:color="000000"/>
              <w:bottom w:val="single" w:sz="3" w:space="0" w:color="000000"/>
              <w:right w:val="single" w:sz="4" w:space="0" w:color="000000"/>
            </w:tcBorders>
            <w:vAlign w:val="center"/>
          </w:tcPr>
          <w:p w14:paraId="6FADB6BA" w14:textId="01AE5296" w:rsidR="009605AC" w:rsidRPr="00A731E1" w:rsidRDefault="009605AC" w:rsidP="00833B71">
            <w:pPr>
              <w:spacing w:after="0" w:line="240" w:lineRule="auto"/>
              <w:ind w:left="0" w:firstLine="0"/>
              <w:jc w:val="center"/>
              <w:rPr>
                <w:sz w:val="22"/>
              </w:rPr>
            </w:pPr>
            <w:r>
              <w:rPr>
                <w:sz w:val="22"/>
              </w:rPr>
              <w:t xml:space="preserve">Časté </w:t>
            </w:r>
          </w:p>
        </w:tc>
        <w:tc>
          <w:tcPr>
            <w:tcW w:w="1887" w:type="dxa"/>
            <w:tcBorders>
              <w:top w:val="single" w:sz="3" w:space="0" w:color="000000"/>
              <w:left w:val="single" w:sz="4" w:space="0" w:color="000000"/>
              <w:bottom w:val="single" w:sz="3" w:space="0" w:color="000000"/>
              <w:right w:val="single" w:sz="3" w:space="0" w:color="000000"/>
            </w:tcBorders>
            <w:vAlign w:val="center"/>
          </w:tcPr>
          <w:p w14:paraId="7647F7DA" w14:textId="77777777" w:rsidR="009605AC" w:rsidRPr="00A731E1" w:rsidRDefault="009605AC" w:rsidP="00833B71">
            <w:pPr>
              <w:spacing w:after="0" w:line="240" w:lineRule="auto"/>
              <w:ind w:left="0" w:right="50" w:firstLine="0"/>
              <w:jc w:val="center"/>
              <w:rPr>
                <w:sz w:val="22"/>
              </w:rPr>
            </w:pPr>
            <w:r>
              <w:rPr>
                <w:sz w:val="22"/>
              </w:rPr>
              <w:t xml:space="preserve">Časté </w:t>
            </w:r>
          </w:p>
        </w:tc>
      </w:tr>
      <w:tr w:rsidR="009605AC" w:rsidRPr="00A731E1" w14:paraId="2AB0F7E8" w14:textId="6B9F7472" w:rsidTr="009605AC">
        <w:trPr>
          <w:cantSplit/>
          <w:trHeight w:val="247"/>
        </w:trPr>
        <w:tc>
          <w:tcPr>
            <w:tcW w:w="3540" w:type="dxa"/>
            <w:tcBorders>
              <w:top w:val="single" w:sz="3" w:space="0" w:color="000000"/>
              <w:left w:val="single" w:sz="3" w:space="0" w:color="000000"/>
              <w:bottom w:val="single" w:sz="3" w:space="0" w:color="000000"/>
              <w:right w:val="single" w:sz="4" w:space="0" w:color="000000"/>
            </w:tcBorders>
          </w:tcPr>
          <w:p w14:paraId="07B54E0D" w14:textId="77777777" w:rsidR="009605AC" w:rsidRPr="00A731E1" w:rsidRDefault="009605AC" w:rsidP="00833B71">
            <w:pPr>
              <w:spacing w:after="0" w:line="240" w:lineRule="auto"/>
              <w:ind w:left="0" w:firstLine="0"/>
              <w:rPr>
                <w:sz w:val="22"/>
              </w:rPr>
            </w:pPr>
            <w:r>
              <w:rPr>
                <w:sz w:val="22"/>
              </w:rPr>
              <w:t xml:space="preserve">Hemoroidálne krvácanie </w:t>
            </w:r>
          </w:p>
        </w:tc>
        <w:tc>
          <w:tcPr>
            <w:tcW w:w="1985" w:type="dxa"/>
            <w:tcBorders>
              <w:top w:val="single" w:sz="3" w:space="0" w:color="000000"/>
              <w:left w:val="single" w:sz="3" w:space="0" w:color="000000"/>
              <w:bottom w:val="single" w:sz="3" w:space="0" w:color="000000"/>
              <w:right w:val="single" w:sz="3" w:space="0" w:color="000000"/>
            </w:tcBorders>
          </w:tcPr>
          <w:p w14:paraId="4773886A" w14:textId="7F140BDF" w:rsidR="009605AC" w:rsidRDefault="009E1FE5" w:rsidP="00833B71">
            <w:pPr>
              <w:spacing w:after="0" w:line="240" w:lineRule="auto"/>
              <w:ind w:left="0" w:firstLine="0"/>
              <w:jc w:val="center"/>
              <w:rPr>
                <w:sz w:val="22"/>
              </w:rPr>
            </w:pPr>
            <w:r>
              <w:rPr>
                <w:sz w:val="22"/>
              </w:rPr>
              <w:t>Neznáme</w:t>
            </w:r>
          </w:p>
        </w:tc>
        <w:tc>
          <w:tcPr>
            <w:tcW w:w="1984" w:type="dxa"/>
            <w:tcBorders>
              <w:top w:val="single" w:sz="3" w:space="0" w:color="000000"/>
              <w:left w:val="single" w:sz="3" w:space="0" w:color="000000"/>
              <w:bottom w:val="single" w:sz="3" w:space="0" w:color="000000"/>
              <w:right w:val="single" w:sz="4" w:space="0" w:color="000000"/>
            </w:tcBorders>
            <w:vAlign w:val="center"/>
          </w:tcPr>
          <w:p w14:paraId="51800052" w14:textId="5F833420" w:rsidR="009605AC" w:rsidRPr="00A731E1" w:rsidRDefault="009605AC" w:rsidP="00833B71">
            <w:pPr>
              <w:spacing w:after="0" w:line="240" w:lineRule="auto"/>
              <w:ind w:left="0" w:firstLine="0"/>
              <w:jc w:val="center"/>
              <w:rPr>
                <w:sz w:val="22"/>
              </w:rPr>
            </w:pPr>
            <w:r>
              <w:rPr>
                <w:sz w:val="22"/>
              </w:rPr>
              <w:t xml:space="preserve">Menej časté </w:t>
            </w:r>
          </w:p>
        </w:tc>
        <w:tc>
          <w:tcPr>
            <w:tcW w:w="1887" w:type="dxa"/>
            <w:tcBorders>
              <w:top w:val="single" w:sz="3" w:space="0" w:color="000000"/>
              <w:left w:val="single" w:sz="4" w:space="0" w:color="000000"/>
              <w:bottom w:val="single" w:sz="3" w:space="0" w:color="000000"/>
              <w:right w:val="single" w:sz="3" w:space="0" w:color="000000"/>
            </w:tcBorders>
            <w:vAlign w:val="center"/>
          </w:tcPr>
          <w:p w14:paraId="36991B16" w14:textId="77777777" w:rsidR="009605AC" w:rsidRPr="00A731E1" w:rsidRDefault="009605AC" w:rsidP="00833B71">
            <w:pPr>
              <w:spacing w:after="0" w:line="240" w:lineRule="auto"/>
              <w:ind w:left="0" w:right="49" w:firstLine="0"/>
              <w:jc w:val="center"/>
              <w:rPr>
                <w:sz w:val="22"/>
              </w:rPr>
            </w:pPr>
            <w:r>
              <w:rPr>
                <w:sz w:val="22"/>
              </w:rPr>
              <w:t xml:space="preserve">Menej časté </w:t>
            </w:r>
          </w:p>
        </w:tc>
      </w:tr>
      <w:tr w:rsidR="009605AC" w:rsidRPr="00A731E1" w14:paraId="3A3061CC" w14:textId="2E7C9160" w:rsidTr="009605AC">
        <w:trPr>
          <w:cantSplit/>
          <w:trHeight w:val="247"/>
        </w:trPr>
        <w:tc>
          <w:tcPr>
            <w:tcW w:w="3540" w:type="dxa"/>
            <w:tcBorders>
              <w:top w:val="single" w:sz="3" w:space="0" w:color="000000"/>
              <w:left w:val="single" w:sz="3" w:space="0" w:color="000000"/>
              <w:bottom w:val="single" w:sz="3" w:space="0" w:color="000000"/>
              <w:right w:val="single" w:sz="4" w:space="0" w:color="000000"/>
            </w:tcBorders>
          </w:tcPr>
          <w:p w14:paraId="62233BBF" w14:textId="77777777" w:rsidR="009605AC" w:rsidRPr="00A731E1" w:rsidRDefault="009605AC" w:rsidP="00833B71">
            <w:pPr>
              <w:spacing w:after="0" w:line="240" w:lineRule="auto"/>
              <w:ind w:left="0" w:firstLine="0"/>
              <w:rPr>
                <w:sz w:val="22"/>
              </w:rPr>
            </w:pPr>
            <w:r>
              <w:rPr>
                <w:sz w:val="22"/>
              </w:rPr>
              <w:t xml:space="preserve">Krvácanie z úst </w:t>
            </w:r>
          </w:p>
        </w:tc>
        <w:tc>
          <w:tcPr>
            <w:tcW w:w="1985" w:type="dxa"/>
            <w:tcBorders>
              <w:top w:val="single" w:sz="3" w:space="0" w:color="000000"/>
              <w:left w:val="single" w:sz="3" w:space="0" w:color="000000"/>
              <w:bottom w:val="single" w:sz="3" w:space="0" w:color="000000"/>
              <w:right w:val="single" w:sz="3" w:space="0" w:color="000000"/>
            </w:tcBorders>
          </w:tcPr>
          <w:p w14:paraId="16F78BD7" w14:textId="2792A796" w:rsidR="009605AC" w:rsidRDefault="009E1FE5" w:rsidP="00833B71">
            <w:pPr>
              <w:spacing w:after="0" w:line="240" w:lineRule="auto"/>
              <w:ind w:left="0" w:firstLine="0"/>
              <w:jc w:val="center"/>
              <w:rPr>
                <w:sz w:val="22"/>
              </w:rPr>
            </w:pPr>
            <w:r>
              <w:rPr>
                <w:sz w:val="22"/>
              </w:rPr>
              <w:t>Neznáme</w:t>
            </w:r>
          </w:p>
        </w:tc>
        <w:tc>
          <w:tcPr>
            <w:tcW w:w="1984" w:type="dxa"/>
            <w:tcBorders>
              <w:top w:val="single" w:sz="3" w:space="0" w:color="000000"/>
              <w:left w:val="single" w:sz="3" w:space="0" w:color="000000"/>
              <w:bottom w:val="single" w:sz="3" w:space="0" w:color="000000"/>
              <w:right w:val="single" w:sz="4" w:space="0" w:color="000000"/>
            </w:tcBorders>
            <w:vAlign w:val="center"/>
          </w:tcPr>
          <w:p w14:paraId="7CB7FEA0" w14:textId="36452DB7" w:rsidR="009605AC" w:rsidRPr="00A731E1" w:rsidRDefault="009605AC" w:rsidP="00833B71">
            <w:pPr>
              <w:spacing w:after="0" w:line="240" w:lineRule="auto"/>
              <w:ind w:left="0" w:firstLine="0"/>
              <w:jc w:val="center"/>
              <w:rPr>
                <w:sz w:val="22"/>
              </w:rPr>
            </w:pPr>
            <w:r>
              <w:rPr>
                <w:sz w:val="22"/>
              </w:rPr>
              <w:t xml:space="preserve">Menej časté </w:t>
            </w:r>
          </w:p>
        </w:tc>
        <w:tc>
          <w:tcPr>
            <w:tcW w:w="1887" w:type="dxa"/>
            <w:tcBorders>
              <w:top w:val="single" w:sz="3" w:space="0" w:color="000000"/>
              <w:left w:val="single" w:sz="4" w:space="0" w:color="000000"/>
              <w:bottom w:val="single" w:sz="3" w:space="0" w:color="000000"/>
              <w:right w:val="single" w:sz="3" w:space="0" w:color="000000"/>
            </w:tcBorders>
            <w:vAlign w:val="center"/>
          </w:tcPr>
          <w:p w14:paraId="39B04413" w14:textId="77777777" w:rsidR="009605AC" w:rsidRPr="00A731E1" w:rsidRDefault="009605AC" w:rsidP="00833B71">
            <w:pPr>
              <w:spacing w:after="0" w:line="240" w:lineRule="auto"/>
              <w:ind w:left="0" w:right="49" w:firstLine="0"/>
              <w:jc w:val="center"/>
              <w:rPr>
                <w:sz w:val="22"/>
              </w:rPr>
            </w:pPr>
            <w:r>
              <w:rPr>
                <w:sz w:val="22"/>
              </w:rPr>
              <w:t xml:space="preserve">Časté </w:t>
            </w:r>
          </w:p>
        </w:tc>
      </w:tr>
      <w:tr w:rsidR="009605AC" w:rsidRPr="00A731E1" w14:paraId="6C79FB54" w14:textId="21A267C1" w:rsidTr="009605AC">
        <w:trPr>
          <w:cantSplit/>
          <w:trHeight w:val="247"/>
        </w:trPr>
        <w:tc>
          <w:tcPr>
            <w:tcW w:w="3540" w:type="dxa"/>
            <w:tcBorders>
              <w:top w:val="single" w:sz="3" w:space="0" w:color="000000"/>
              <w:left w:val="single" w:sz="3" w:space="0" w:color="000000"/>
              <w:bottom w:val="single" w:sz="3" w:space="0" w:color="000000"/>
              <w:right w:val="single" w:sz="4" w:space="0" w:color="000000"/>
            </w:tcBorders>
          </w:tcPr>
          <w:p w14:paraId="6D24A13A" w14:textId="77777777" w:rsidR="009605AC" w:rsidRPr="00A731E1" w:rsidRDefault="009605AC" w:rsidP="00833B71">
            <w:pPr>
              <w:spacing w:after="0" w:line="240" w:lineRule="auto"/>
              <w:ind w:left="0" w:firstLine="0"/>
              <w:rPr>
                <w:sz w:val="22"/>
              </w:rPr>
            </w:pPr>
            <w:r>
              <w:rPr>
                <w:sz w:val="22"/>
              </w:rPr>
              <w:t xml:space="preserve">Hematochézia </w:t>
            </w:r>
          </w:p>
        </w:tc>
        <w:tc>
          <w:tcPr>
            <w:tcW w:w="1985" w:type="dxa"/>
            <w:tcBorders>
              <w:top w:val="single" w:sz="3" w:space="0" w:color="000000"/>
              <w:left w:val="single" w:sz="3" w:space="0" w:color="000000"/>
              <w:bottom w:val="single" w:sz="3" w:space="0" w:color="000000"/>
              <w:right w:val="single" w:sz="3" w:space="0" w:color="000000"/>
            </w:tcBorders>
          </w:tcPr>
          <w:p w14:paraId="278AA2B0" w14:textId="4033FA29" w:rsidR="009605AC" w:rsidRDefault="009E1FE5" w:rsidP="00833B71">
            <w:pPr>
              <w:spacing w:after="0" w:line="240" w:lineRule="auto"/>
              <w:ind w:left="0" w:firstLine="0"/>
              <w:jc w:val="center"/>
              <w:rPr>
                <w:sz w:val="22"/>
              </w:rPr>
            </w:pPr>
            <w:r>
              <w:rPr>
                <w:sz w:val="22"/>
              </w:rPr>
              <w:t>Menej časté</w:t>
            </w:r>
          </w:p>
        </w:tc>
        <w:tc>
          <w:tcPr>
            <w:tcW w:w="1984" w:type="dxa"/>
            <w:tcBorders>
              <w:top w:val="single" w:sz="3" w:space="0" w:color="000000"/>
              <w:left w:val="single" w:sz="3" w:space="0" w:color="000000"/>
              <w:bottom w:val="single" w:sz="3" w:space="0" w:color="000000"/>
              <w:right w:val="single" w:sz="4" w:space="0" w:color="000000"/>
            </w:tcBorders>
            <w:vAlign w:val="center"/>
          </w:tcPr>
          <w:p w14:paraId="314A3145" w14:textId="31BC8016" w:rsidR="009605AC" w:rsidRPr="00A731E1" w:rsidRDefault="009605AC" w:rsidP="00833B71">
            <w:pPr>
              <w:spacing w:after="0" w:line="240" w:lineRule="auto"/>
              <w:ind w:left="0" w:firstLine="0"/>
              <w:jc w:val="center"/>
              <w:rPr>
                <w:sz w:val="22"/>
              </w:rPr>
            </w:pPr>
            <w:r>
              <w:rPr>
                <w:sz w:val="22"/>
              </w:rPr>
              <w:t xml:space="preserve">Menej časté </w:t>
            </w:r>
          </w:p>
        </w:tc>
        <w:tc>
          <w:tcPr>
            <w:tcW w:w="1887" w:type="dxa"/>
            <w:tcBorders>
              <w:top w:val="single" w:sz="3" w:space="0" w:color="000000"/>
              <w:left w:val="single" w:sz="4" w:space="0" w:color="000000"/>
              <w:bottom w:val="single" w:sz="3" w:space="0" w:color="000000"/>
              <w:right w:val="single" w:sz="3" w:space="0" w:color="000000"/>
            </w:tcBorders>
            <w:vAlign w:val="center"/>
          </w:tcPr>
          <w:p w14:paraId="06510002" w14:textId="77777777" w:rsidR="009605AC" w:rsidRPr="00A731E1" w:rsidRDefault="009605AC" w:rsidP="00833B71">
            <w:pPr>
              <w:spacing w:after="0" w:line="240" w:lineRule="auto"/>
              <w:ind w:left="0" w:right="50" w:firstLine="0"/>
              <w:jc w:val="center"/>
              <w:rPr>
                <w:sz w:val="22"/>
              </w:rPr>
            </w:pPr>
            <w:r>
              <w:rPr>
                <w:sz w:val="22"/>
              </w:rPr>
              <w:t xml:space="preserve">Menej časté </w:t>
            </w:r>
          </w:p>
        </w:tc>
      </w:tr>
      <w:tr w:rsidR="009605AC" w:rsidRPr="00A731E1" w14:paraId="05F32010" w14:textId="50A8FAA9" w:rsidTr="001926C5">
        <w:trPr>
          <w:cantSplit/>
          <w:trHeight w:val="247"/>
        </w:trPr>
        <w:tc>
          <w:tcPr>
            <w:tcW w:w="3540" w:type="dxa"/>
            <w:tcBorders>
              <w:top w:val="single" w:sz="3" w:space="0" w:color="000000"/>
              <w:left w:val="single" w:sz="3" w:space="0" w:color="000000"/>
              <w:bottom w:val="single" w:sz="4" w:space="0" w:color="000000"/>
              <w:right w:val="single" w:sz="4" w:space="0" w:color="000000"/>
            </w:tcBorders>
          </w:tcPr>
          <w:p w14:paraId="1EABC4F9" w14:textId="77777777" w:rsidR="009605AC" w:rsidRPr="00A731E1" w:rsidRDefault="009605AC" w:rsidP="00833B71">
            <w:pPr>
              <w:spacing w:after="0" w:line="240" w:lineRule="auto"/>
              <w:ind w:left="0" w:firstLine="0"/>
              <w:rPr>
                <w:sz w:val="22"/>
              </w:rPr>
            </w:pPr>
            <w:r>
              <w:rPr>
                <w:sz w:val="22"/>
              </w:rPr>
              <w:t xml:space="preserve">Rektálne krvácanie, gingiválne krvácanie </w:t>
            </w:r>
          </w:p>
        </w:tc>
        <w:tc>
          <w:tcPr>
            <w:tcW w:w="1985" w:type="dxa"/>
            <w:tcBorders>
              <w:top w:val="single" w:sz="3" w:space="0" w:color="000000"/>
              <w:left w:val="single" w:sz="3" w:space="0" w:color="000000"/>
              <w:bottom w:val="single" w:sz="4" w:space="0" w:color="000000"/>
              <w:right w:val="single" w:sz="3" w:space="0" w:color="000000"/>
            </w:tcBorders>
            <w:vAlign w:val="center"/>
          </w:tcPr>
          <w:p w14:paraId="097CA2B5" w14:textId="129A3D29" w:rsidR="009605AC" w:rsidRDefault="009E1FE5" w:rsidP="001926C5">
            <w:pPr>
              <w:spacing w:after="0" w:line="240" w:lineRule="auto"/>
              <w:ind w:left="0" w:firstLine="0"/>
              <w:jc w:val="center"/>
              <w:rPr>
                <w:sz w:val="22"/>
              </w:rPr>
            </w:pPr>
            <w:r>
              <w:rPr>
                <w:sz w:val="22"/>
              </w:rPr>
              <w:t>Zriedkavé</w:t>
            </w:r>
          </w:p>
        </w:tc>
        <w:tc>
          <w:tcPr>
            <w:tcW w:w="1984" w:type="dxa"/>
            <w:tcBorders>
              <w:top w:val="single" w:sz="3" w:space="0" w:color="000000"/>
              <w:left w:val="single" w:sz="3" w:space="0" w:color="000000"/>
              <w:bottom w:val="single" w:sz="4" w:space="0" w:color="000000"/>
              <w:right w:val="single" w:sz="4" w:space="0" w:color="000000"/>
            </w:tcBorders>
            <w:vAlign w:val="center"/>
          </w:tcPr>
          <w:p w14:paraId="3EB036E2" w14:textId="0C8FF37C" w:rsidR="009605AC" w:rsidRPr="00A731E1" w:rsidRDefault="009605AC" w:rsidP="00833B71">
            <w:pPr>
              <w:spacing w:after="0" w:line="240" w:lineRule="auto"/>
              <w:ind w:left="0" w:firstLine="0"/>
              <w:jc w:val="center"/>
              <w:rPr>
                <w:sz w:val="22"/>
              </w:rPr>
            </w:pPr>
            <w:r>
              <w:rPr>
                <w:sz w:val="22"/>
              </w:rPr>
              <w:t xml:space="preserve">Časté </w:t>
            </w:r>
          </w:p>
        </w:tc>
        <w:tc>
          <w:tcPr>
            <w:tcW w:w="1887" w:type="dxa"/>
            <w:tcBorders>
              <w:top w:val="single" w:sz="3" w:space="0" w:color="000000"/>
              <w:left w:val="single" w:sz="4" w:space="0" w:color="000000"/>
              <w:bottom w:val="single" w:sz="4" w:space="0" w:color="000000"/>
              <w:right w:val="single" w:sz="3" w:space="0" w:color="000000"/>
            </w:tcBorders>
            <w:vAlign w:val="center"/>
          </w:tcPr>
          <w:p w14:paraId="09365F4F" w14:textId="77777777" w:rsidR="009605AC" w:rsidRPr="00A731E1" w:rsidRDefault="009605AC" w:rsidP="00833B71">
            <w:pPr>
              <w:spacing w:after="0" w:line="240" w:lineRule="auto"/>
              <w:ind w:left="0" w:right="50" w:firstLine="0"/>
              <w:jc w:val="center"/>
              <w:rPr>
                <w:sz w:val="22"/>
              </w:rPr>
            </w:pPr>
            <w:r>
              <w:rPr>
                <w:sz w:val="22"/>
              </w:rPr>
              <w:t xml:space="preserve">Časté </w:t>
            </w:r>
          </w:p>
        </w:tc>
      </w:tr>
      <w:tr w:rsidR="009605AC" w:rsidRPr="00A731E1" w14:paraId="40832C6C" w14:textId="40CBD0D8" w:rsidTr="009605AC">
        <w:trPr>
          <w:cantSplit/>
          <w:trHeight w:val="259"/>
        </w:trPr>
        <w:tc>
          <w:tcPr>
            <w:tcW w:w="3540" w:type="dxa"/>
            <w:tcBorders>
              <w:top w:val="single" w:sz="4" w:space="0" w:color="000000"/>
              <w:left w:val="single" w:sz="3" w:space="0" w:color="000000"/>
              <w:bottom w:val="single" w:sz="3" w:space="0" w:color="000000"/>
              <w:right w:val="single" w:sz="4" w:space="0" w:color="000000"/>
            </w:tcBorders>
          </w:tcPr>
          <w:p w14:paraId="5B21A86E" w14:textId="77777777" w:rsidR="009605AC" w:rsidRPr="00A731E1" w:rsidRDefault="009605AC" w:rsidP="00833B71">
            <w:pPr>
              <w:spacing w:after="0" w:line="240" w:lineRule="auto"/>
              <w:ind w:left="0" w:firstLine="0"/>
              <w:rPr>
                <w:sz w:val="22"/>
              </w:rPr>
            </w:pPr>
            <w:r>
              <w:rPr>
                <w:sz w:val="22"/>
              </w:rPr>
              <w:t xml:space="preserve">Retroperitoneálne krvácanie </w:t>
            </w:r>
          </w:p>
        </w:tc>
        <w:tc>
          <w:tcPr>
            <w:tcW w:w="1985" w:type="dxa"/>
            <w:tcBorders>
              <w:top w:val="single" w:sz="4" w:space="0" w:color="000000"/>
              <w:left w:val="single" w:sz="3" w:space="0" w:color="000000"/>
              <w:bottom w:val="single" w:sz="3" w:space="0" w:color="000000"/>
              <w:right w:val="single" w:sz="3" w:space="0" w:color="000000"/>
            </w:tcBorders>
          </w:tcPr>
          <w:p w14:paraId="37FB0F18" w14:textId="3A48E9A2" w:rsidR="009605AC" w:rsidRDefault="009E1FE5" w:rsidP="00833B71">
            <w:pPr>
              <w:spacing w:after="0" w:line="240" w:lineRule="auto"/>
              <w:ind w:left="0" w:firstLine="0"/>
              <w:jc w:val="center"/>
              <w:rPr>
                <w:sz w:val="22"/>
              </w:rPr>
            </w:pPr>
            <w:r>
              <w:rPr>
                <w:sz w:val="22"/>
              </w:rPr>
              <w:t>Neznáme</w:t>
            </w:r>
          </w:p>
        </w:tc>
        <w:tc>
          <w:tcPr>
            <w:tcW w:w="1984" w:type="dxa"/>
            <w:tcBorders>
              <w:top w:val="single" w:sz="4" w:space="0" w:color="000000"/>
              <w:left w:val="single" w:sz="3" w:space="0" w:color="000000"/>
              <w:bottom w:val="single" w:sz="3" w:space="0" w:color="000000"/>
              <w:right w:val="single" w:sz="4" w:space="0" w:color="000000"/>
            </w:tcBorders>
            <w:vAlign w:val="center"/>
          </w:tcPr>
          <w:p w14:paraId="35475AA7" w14:textId="0D7AB83F" w:rsidR="009605AC" w:rsidRPr="00A731E1" w:rsidRDefault="009605AC" w:rsidP="00833B71">
            <w:pPr>
              <w:spacing w:after="0" w:line="240" w:lineRule="auto"/>
              <w:ind w:left="0" w:firstLine="0"/>
              <w:jc w:val="center"/>
              <w:rPr>
                <w:sz w:val="22"/>
              </w:rPr>
            </w:pPr>
            <w:r>
              <w:rPr>
                <w:sz w:val="22"/>
              </w:rPr>
              <w:t xml:space="preserve">Zriedkavé </w:t>
            </w:r>
          </w:p>
        </w:tc>
        <w:tc>
          <w:tcPr>
            <w:tcW w:w="1887" w:type="dxa"/>
            <w:tcBorders>
              <w:top w:val="single" w:sz="4" w:space="0" w:color="000000"/>
              <w:left w:val="single" w:sz="4" w:space="0" w:color="000000"/>
              <w:bottom w:val="single" w:sz="3" w:space="0" w:color="000000"/>
              <w:right w:val="single" w:sz="3" w:space="0" w:color="000000"/>
            </w:tcBorders>
            <w:vAlign w:val="center"/>
          </w:tcPr>
          <w:p w14:paraId="0D6D9894" w14:textId="77777777" w:rsidR="009605AC" w:rsidRPr="00A731E1" w:rsidRDefault="009605AC" w:rsidP="00833B71">
            <w:pPr>
              <w:spacing w:after="0" w:line="240" w:lineRule="auto"/>
              <w:ind w:left="0" w:right="49" w:firstLine="0"/>
              <w:jc w:val="center"/>
              <w:rPr>
                <w:sz w:val="22"/>
              </w:rPr>
            </w:pPr>
            <w:r>
              <w:rPr>
                <w:sz w:val="22"/>
              </w:rPr>
              <w:t xml:space="preserve">Neznáme </w:t>
            </w:r>
          </w:p>
        </w:tc>
      </w:tr>
      <w:tr w:rsidR="009605AC" w:rsidRPr="00A731E1" w14:paraId="18120891" w14:textId="39C84C3C" w:rsidTr="009605AC">
        <w:trPr>
          <w:cantSplit/>
          <w:trHeight w:val="567"/>
        </w:trPr>
        <w:tc>
          <w:tcPr>
            <w:tcW w:w="0" w:type="auto"/>
            <w:gridSpan w:val="4"/>
            <w:tcBorders>
              <w:top w:val="single" w:sz="3" w:space="0" w:color="000000"/>
              <w:left w:val="single" w:sz="3" w:space="0" w:color="000000"/>
              <w:bottom w:val="single" w:sz="4" w:space="0" w:color="000000"/>
              <w:right w:val="single" w:sz="3" w:space="0" w:color="000000"/>
            </w:tcBorders>
          </w:tcPr>
          <w:p w14:paraId="034C1018" w14:textId="357EED20" w:rsidR="009605AC" w:rsidRPr="00A731E1" w:rsidRDefault="009605AC" w:rsidP="00833B71">
            <w:pPr>
              <w:spacing w:after="0" w:line="240" w:lineRule="auto"/>
              <w:ind w:left="0" w:firstLine="0"/>
              <w:rPr>
                <w:sz w:val="22"/>
              </w:rPr>
            </w:pPr>
            <w:r>
              <w:rPr>
                <w:i/>
                <w:sz w:val="22"/>
              </w:rPr>
              <w:t xml:space="preserve">Poruchy pečene a žlčových ciest </w:t>
            </w:r>
          </w:p>
        </w:tc>
      </w:tr>
      <w:tr w:rsidR="009605AC" w:rsidRPr="00A731E1" w14:paraId="558A0346" w14:textId="1FC8E3A2" w:rsidTr="001926C5">
        <w:trPr>
          <w:cantSplit/>
          <w:trHeight w:val="991"/>
        </w:trPr>
        <w:tc>
          <w:tcPr>
            <w:tcW w:w="3540" w:type="dxa"/>
            <w:tcBorders>
              <w:top w:val="single" w:sz="4" w:space="0" w:color="000000"/>
              <w:left w:val="single" w:sz="3" w:space="0" w:color="000000"/>
              <w:bottom w:val="single" w:sz="3" w:space="0" w:color="000000"/>
              <w:right w:val="single" w:sz="4" w:space="0" w:color="000000"/>
            </w:tcBorders>
          </w:tcPr>
          <w:p w14:paraId="114E220C" w14:textId="77777777" w:rsidR="00047544" w:rsidRDefault="00EB1332" w:rsidP="00EB1332">
            <w:pPr>
              <w:spacing w:after="0" w:line="240" w:lineRule="auto"/>
              <w:ind w:left="0" w:firstLine="0"/>
              <w:rPr>
                <w:sz w:val="22"/>
              </w:rPr>
            </w:pPr>
            <w:r>
              <w:rPr>
                <w:sz w:val="22"/>
              </w:rPr>
              <w:t>T</w:t>
            </w:r>
            <w:r w:rsidR="009605AC">
              <w:rPr>
                <w:sz w:val="22"/>
              </w:rPr>
              <w:t>est funkcií pečene</w:t>
            </w:r>
            <w:r>
              <w:rPr>
                <w:sz w:val="22"/>
              </w:rPr>
              <w:t xml:space="preserve"> mimo normy</w:t>
            </w:r>
            <w:r w:rsidR="009605AC">
              <w:rPr>
                <w:sz w:val="22"/>
              </w:rPr>
              <w:t xml:space="preserve">, zvýšená aspartátaminotransferáza, zvýšená hladina alkalickej fosfatázy </w:t>
            </w:r>
          </w:p>
          <w:p w14:paraId="06DF5DBA" w14:textId="7D7CDEED" w:rsidR="009605AC" w:rsidRPr="00A731E1" w:rsidRDefault="009605AC" w:rsidP="00EB1332">
            <w:pPr>
              <w:spacing w:after="0" w:line="240" w:lineRule="auto"/>
              <w:ind w:left="0" w:firstLine="0"/>
              <w:rPr>
                <w:sz w:val="22"/>
              </w:rPr>
            </w:pPr>
            <w:r>
              <w:rPr>
                <w:sz w:val="22"/>
              </w:rPr>
              <w:t xml:space="preserve">v krvi, zvýšený bilirubín v krvi </w:t>
            </w:r>
          </w:p>
        </w:tc>
        <w:tc>
          <w:tcPr>
            <w:tcW w:w="1985" w:type="dxa"/>
            <w:tcBorders>
              <w:top w:val="single" w:sz="4" w:space="0" w:color="000000"/>
              <w:left w:val="single" w:sz="3" w:space="0" w:color="000000"/>
              <w:bottom w:val="single" w:sz="3" w:space="0" w:color="000000"/>
              <w:right w:val="single" w:sz="3" w:space="0" w:color="000000"/>
            </w:tcBorders>
            <w:vAlign w:val="center"/>
          </w:tcPr>
          <w:p w14:paraId="3AF813E0" w14:textId="48DE6239" w:rsidR="00EB1332" w:rsidRDefault="00EB1332" w:rsidP="001926C5">
            <w:pPr>
              <w:spacing w:after="0" w:line="240" w:lineRule="auto"/>
              <w:ind w:left="0" w:firstLine="0"/>
              <w:jc w:val="center"/>
              <w:rPr>
                <w:sz w:val="22"/>
              </w:rPr>
            </w:pPr>
            <w:r>
              <w:rPr>
                <w:sz w:val="22"/>
              </w:rPr>
              <w:t>Menej časté</w:t>
            </w:r>
          </w:p>
        </w:tc>
        <w:tc>
          <w:tcPr>
            <w:tcW w:w="1984" w:type="dxa"/>
            <w:tcBorders>
              <w:top w:val="single" w:sz="4" w:space="0" w:color="000000"/>
              <w:left w:val="single" w:sz="3" w:space="0" w:color="000000"/>
              <w:bottom w:val="single" w:sz="3" w:space="0" w:color="000000"/>
              <w:right w:val="single" w:sz="4" w:space="0" w:color="000000"/>
            </w:tcBorders>
            <w:vAlign w:val="center"/>
          </w:tcPr>
          <w:p w14:paraId="421B51C8" w14:textId="186A241C" w:rsidR="009605AC" w:rsidRPr="00A731E1" w:rsidRDefault="009605AC" w:rsidP="00833B71">
            <w:pPr>
              <w:spacing w:after="0" w:line="240" w:lineRule="auto"/>
              <w:ind w:left="0" w:firstLine="0"/>
              <w:jc w:val="center"/>
              <w:rPr>
                <w:sz w:val="22"/>
              </w:rPr>
            </w:pPr>
            <w:r>
              <w:rPr>
                <w:sz w:val="22"/>
              </w:rPr>
              <w:t>Menej časté</w:t>
            </w:r>
          </w:p>
        </w:tc>
        <w:tc>
          <w:tcPr>
            <w:tcW w:w="1887" w:type="dxa"/>
            <w:tcBorders>
              <w:top w:val="single" w:sz="4" w:space="0" w:color="000000"/>
              <w:left w:val="single" w:sz="4" w:space="0" w:color="000000"/>
              <w:bottom w:val="single" w:sz="3" w:space="0" w:color="000000"/>
              <w:right w:val="single" w:sz="3" w:space="0" w:color="000000"/>
            </w:tcBorders>
            <w:vAlign w:val="center"/>
          </w:tcPr>
          <w:p w14:paraId="2D1D3BC0" w14:textId="77777777" w:rsidR="009605AC" w:rsidRPr="00A731E1" w:rsidRDefault="009605AC" w:rsidP="00833B71">
            <w:pPr>
              <w:spacing w:after="0" w:line="240" w:lineRule="auto"/>
              <w:ind w:left="0" w:right="52" w:firstLine="0"/>
              <w:jc w:val="center"/>
              <w:rPr>
                <w:sz w:val="22"/>
              </w:rPr>
            </w:pPr>
            <w:r>
              <w:rPr>
                <w:sz w:val="22"/>
              </w:rPr>
              <w:t>Menej časté</w:t>
            </w:r>
          </w:p>
        </w:tc>
      </w:tr>
      <w:tr w:rsidR="009605AC" w:rsidRPr="00A731E1" w14:paraId="5F69F041" w14:textId="19F4C726" w:rsidTr="009605AC">
        <w:trPr>
          <w:cantSplit/>
          <w:trHeight w:val="247"/>
        </w:trPr>
        <w:tc>
          <w:tcPr>
            <w:tcW w:w="3540" w:type="dxa"/>
            <w:tcBorders>
              <w:top w:val="single" w:sz="3" w:space="0" w:color="000000"/>
              <w:left w:val="single" w:sz="3" w:space="0" w:color="000000"/>
              <w:bottom w:val="single" w:sz="4" w:space="0" w:color="000000"/>
              <w:right w:val="single" w:sz="4" w:space="0" w:color="000000"/>
            </w:tcBorders>
          </w:tcPr>
          <w:p w14:paraId="2AAC7C0F" w14:textId="77777777" w:rsidR="009605AC" w:rsidRPr="00A731E1" w:rsidRDefault="009605AC" w:rsidP="00833B71">
            <w:pPr>
              <w:spacing w:after="0" w:line="240" w:lineRule="auto"/>
              <w:ind w:left="0" w:firstLine="0"/>
              <w:rPr>
                <w:sz w:val="22"/>
              </w:rPr>
            </w:pPr>
            <w:r>
              <w:rPr>
                <w:sz w:val="22"/>
              </w:rPr>
              <w:t>Zvýšená gama</w:t>
            </w:r>
            <w:r>
              <w:rPr>
                <w:sz w:val="22"/>
              </w:rPr>
              <w:noBreakHyphen/>
              <w:t xml:space="preserve">glutamyltransferáza </w:t>
            </w:r>
          </w:p>
        </w:tc>
        <w:tc>
          <w:tcPr>
            <w:tcW w:w="1985" w:type="dxa"/>
            <w:tcBorders>
              <w:top w:val="single" w:sz="3" w:space="0" w:color="000000"/>
              <w:left w:val="single" w:sz="3" w:space="0" w:color="000000"/>
              <w:bottom w:val="single" w:sz="4" w:space="0" w:color="000000"/>
              <w:right w:val="single" w:sz="3" w:space="0" w:color="000000"/>
            </w:tcBorders>
          </w:tcPr>
          <w:p w14:paraId="7AF5E3F0" w14:textId="66ED3CE3" w:rsidR="009605AC" w:rsidRDefault="009E1FE5" w:rsidP="00833B71">
            <w:pPr>
              <w:spacing w:after="0" w:line="240" w:lineRule="auto"/>
              <w:ind w:left="0" w:firstLine="0"/>
              <w:jc w:val="center"/>
              <w:rPr>
                <w:sz w:val="22"/>
              </w:rPr>
            </w:pPr>
            <w:r>
              <w:rPr>
                <w:sz w:val="22"/>
              </w:rPr>
              <w:t>Menej časté</w:t>
            </w:r>
          </w:p>
        </w:tc>
        <w:tc>
          <w:tcPr>
            <w:tcW w:w="1984" w:type="dxa"/>
            <w:tcBorders>
              <w:top w:val="single" w:sz="3" w:space="0" w:color="000000"/>
              <w:left w:val="single" w:sz="3" w:space="0" w:color="000000"/>
              <w:bottom w:val="single" w:sz="4" w:space="0" w:color="000000"/>
              <w:right w:val="single" w:sz="4" w:space="0" w:color="000000"/>
            </w:tcBorders>
            <w:vAlign w:val="center"/>
          </w:tcPr>
          <w:p w14:paraId="362006F1" w14:textId="5A1F39B6" w:rsidR="009605AC" w:rsidRPr="00A731E1" w:rsidRDefault="009605AC" w:rsidP="00833B71">
            <w:pPr>
              <w:spacing w:after="0" w:line="240" w:lineRule="auto"/>
              <w:ind w:left="0" w:firstLine="0"/>
              <w:jc w:val="center"/>
              <w:rPr>
                <w:sz w:val="22"/>
              </w:rPr>
            </w:pPr>
            <w:r>
              <w:rPr>
                <w:sz w:val="22"/>
              </w:rPr>
              <w:t>Časté</w:t>
            </w:r>
          </w:p>
        </w:tc>
        <w:tc>
          <w:tcPr>
            <w:tcW w:w="1887" w:type="dxa"/>
            <w:tcBorders>
              <w:top w:val="single" w:sz="3" w:space="0" w:color="000000"/>
              <w:left w:val="single" w:sz="4" w:space="0" w:color="000000"/>
              <w:bottom w:val="single" w:sz="4" w:space="0" w:color="000000"/>
              <w:right w:val="single" w:sz="3" w:space="0" w:color="000000"/>
            </w:tcBorders>
            <w:vAlign w:val="center"/>
          </w:tcPr>
          <w:p w14:paraId="05B72DEF" w14:textId="77777777" w:rsidR="009605AC" w:rsidRPr="00A731E1" w:rsidRDefault="009605AC" w:rsidP="00833B71">
            <w:pPr>
              <w:spacing w:after="0" w:line="240" w:lineRule="auto"/>
              <w:ind w:left="0" w:right="50" w:firstLine="0"/>
              <w:jc w:val="center"/>
              <w:rPr>
                <w:sz w:val="22"/>
              </w:rPr>
            </w:pPr>
            <w:r>
              <w:rPr>
                <w:sz w:val="22"/>
              </w:rPr>
              <w:t>Časté</w:t>
            </w:r>
          </w:p>
        </w:tc>
      </w:tr>
      <w:tr w:rsidR="009605AC" w:rsidRPr="00A731E1" w14:paraId="32E68DA9" w14:textId="412F5A2B" w:rsidTr="009605AC">
        <w:trPr>
          <w:cantSplit/>
          <w:trHeight w:val="259"/>
        </w:trPr>
        <w:tc>
          <w:tcPr>
            <w:tcW w:w="3540" w:type="dxa"/>
            <w:tcBorders>
              <w:top w:val="single" w:sz="4" w:space="0" w:color="000000"/>
              <w:left w:val="single" w:sz="3" w:space="0" w:color="000000"/>
              <w:bottom w:val="single" w:sz="4" w:space="0" w:color="000000"/>
              <w:right w:val="single" w:sz="4" w:space="0" w:color="000000"/>
            </w:tcBorders>
          </w:tcPr>
          <w:p w14:paraId="7E32E3EC" w14:textId="77777777" w:rsidR="009605AC" w:rsidRPr="00A731E1" w:rsidRDefault="009605AC" w:rsidP="00833B71">
            <w:pPr>
              <w:spacing w:after="0" w:line="240" w:lineRule="auto"/>
              <w:ind w:left="0" w:firstLine="0"/>
              <w:rPr>
                <w:sz w:val="22"/>
              </w:rPr>
            </w:pPr>
            <w:r>
              <w:rPr>
                <w:sz w:val="22"/>
              </w:rPr>
              <w:t xml:space="preserve">Zvýšená alanínaminotransferáza </w:t>
            </w:r>
          </w:p>
        </w:tc>
        <w:tc>
          <w:tcPr>
            <w:tcW w:w="1985" w:type="dxa"/>
            <w:tcBorders>
              <w:top w:val="single" w:sz="4" w:space="0" w:color="000000"/>
              <w:left w:val="single" w:sz="3" w:space="0" w:color="000000"/>
              <w:bottom w:val="single" w:sz="4" w:space="0" w:color="000000"/>
              <w:right w:val="single" w:sz="3" w:space="0" w:color="000000"/>
            </w:tcBorders>
          </w:tcPr>
          <w:p w14:paraId="31DF5C85" w14:textId="3645BEAF" w:rsidR="009605AC" w:rsidRDefault="009E1FE5" w:rsidP="00833B71">
            <w:pPr>
              <w:spacing w:after="0" w:line="240" w:lineRule="auto"/>
              <w:ind w:left="0" w:firstLine="0"/>
              <w:jc w:val="center"/>
              <w:rPr>
                <w:sz w:val="22"/>
              </w:rPr>
            </w:pPr>
            <w:r>
              <w:rPr>
                <w:sz w:val="22"/>
              </w:rPr>
              <w:t>Menej časté</w:t>
            </w:r>
          </w:p>
        </w:tc>
        <w:tc>
          <w:tcPr>
            <w:tcW w:w="1984" w:type="dxa"/>
            <w:tcBorders>
              <w:top w:val="single" w:sz="4" w:space="0" w:color="000000"/>
              <w:left w:val="single" w:sz="3" w:space="0" w:color="000000"/>
              <w:bottom w:val="single" w:sz="4" w:space="0" w:color="000000"/>
              <w:right w:val="single" w:sz="4" w:space="0" w:color="000000"/>
            </w:tcBorders>
            <w:vAlign w:val="center"/>
          </w:tcPr>
          <w:p w14:paraId="015ECDAC" w14:textId="463672CF" w:rsidR="009605AC" w:rsidRPr="00A731E1" w:rsidRDefault="009605AC" w:rsidP="00833B71">
            <w:pPr>
              <w:spacing w:after="0" w:line="240" w:lineRule="auto"/>
              <w:ind w:left="0" w:firstLine="0"/>
              <w:jc w:val="center"/>
              <w:rPr>
                <w:sz w:val="22"/>
              </w:rPr>
            </w:pPr>
            <w:r>
              <w:rPr>
                <w:sz w:val="22"/>
              </w:rPr>
              <w:t>Menej časté</w:t>
            </w:r>
          </w:p>
        </w:tc>
        <w:tc>
          <w:tcPr>
            <w:tcW w:w="1887" w:type="dxa"/>
            <w:tcBorders>
              <w:top w:val="single" w:sz="4" w:space="0" w:color="000000"/>
              <w:left w:val="single" w:sz="4" w:space="0" w:color="000000"/>
              <w:bottom w:val="single" w:sz="4" w:space="0" w:color="000000"/>
              <w:right w:val="single" w:sz="3" w:space="0" w:color="000000"/>
            </w:tcBorders>
            <w:vAlign w:val="center"/>
          </w:tcPr>
          <w:p w14:paraId="2D04F98E" w14:textId="77777777" w:rsidR="009605AC" w:rsidRPr="00A731E1" w:rsidRDefault="009605AC" w:rsidP="00833B71">
            <w:pPr>
              <w:spacing w:after="0" w:line="240" w:lineRule="auto"/>
              <w:ind w:left="0" w:right="50" w:firstLine="0"/>
              <w:jc w:val="center"/>
              <w:rPr>
                <w:sz w:val="22"/>
              </w:rPr>
            </w:pPr>
            <w:r>
              <w:rPr>
                <w:sz w:val="22"/>
              </w:rPr>
              <w:t>Časté</w:t>
            </w:r>
          </w:p>
        </w:tc>
      </w:tr>
      <w:tr w:rsidR="009605AC" w:rsidRPr="005261E7" w14:paraId="01CCF867" w14:textId="16613ADF" w:rsidTr="009605AC">
        <w:trPr>
          <w:cantSplit/>
          <w:trHeight w:val="487"/>
        </w:trPr>
        <w:tc>
          <w:tcPr>
            <w:tcW w:w="0" w:type="auto"/>
            <w:gridSpan w:val="4"/>
            <w:tcBorders>
              <w:top w:val="single" w:sz="4" w:space="0" w:color="000000"/>
              <w:left w:val="single" w:sz="3" w:space="0" w:color="000000"/>
              <w:bottom w:val="single" w:sz="4" w:space="0" w:color="000000"/>
              <w:right w:val="single" w:sz="3" w:space="0" w:color="000000"/>
            </w:tcBorders>
          </w:tcPr>
          <w:p w14:paraId="51D55FE7" w14:textId="60ED34AE" w:rsidR="009605AC" w:rsidRPr="00A731E1" w:rsidRDefault="009605AC" w:rsidP="00833B71">
            <w:pPr>
              <w:spacing w:after="0" w:line="240" w:lineRule="auto"/>
              <w:ind w:left="0" w:firstLine="0"/>
              <w:rPr>
                <w:sz w:val="22"/>
              </w:rPr>
            </w:pPr>
            <w:r>
              <w:rPr>
                <w:i/>
                <w:sz w:val="22"/>
              </w:rPr>
              <w:t xml:space="preserve">Poruchy kože a podkožného tkaniva </w:t>
            </w:r>
          </w:p>
        </w:tc>
      </w:tr>
      <w:tr w:rsidR="009605AC" w:rsidRPr="00A731E1" w14:paraId="6BD2E527" w14:textId="75B063BB" w:rsidTr="009605AC">
        <w:trPr>
          <w:cantSplit/>
          <w:trHeight w:val="247"/>
        </w:trPr>
        <w:tc>
          <w:tcPr>
            <w:tcW w:w="3540" w:type="dxa"/>
            <w:tcBorders>
              <w:top w:val="single" w:sz="4" w:space="0" w:color="000000"/>
              <w:left w:val="single" w:sz="3" w:space="0" w:color="000000"/>
              <w:bottom w:val="single" w:sz="4" w:space="0" w:color="000000"/>
              <w:right w:val="single" w:sz="4" w:space="0" w:color="000000"/>
            </w:tcBorders>
          </w:tcPr>
          <w:p w14:paraId="2F622A30" w14:textId="77777777" w:rsidR="009605AC" w:rsidRPr="00A731E1" w:rsidRDefault="009605AC" w:rsidP="00833B71">
            <w:pPr>
              <w:spacing w:after="0" w:line="240" w:lineRule="auto"/>
              <w:ind w:left="0" w:firstLine="0"/>
              <w:rPr>
                <w:sz w:val="22"/>
              </w:rPr>
            </w:pPr>
            <w:r>
              <w:rPr>
                <w:sz w:val="22"/>
              </w:rPr>
              <w:t>Kožná vyrážka</w:t>
            </w:r>
            <w:r>
              <w:rPr>
                <w:i/>
                <w:sz w:val="22"/>
              </w:rPr>
              <w:t xml:space="preserve"> </w:t>
            </w:r>
          </w:p>
        </w:tc>
        <w:tc>
          <w:tcPr>
            <w:tcW w:w="1985" w:type="dxa"/>
            <w:tcBorders>
              <w:top w:val="single" w:sz="4" w:space="0" w:color="000000"/>
              <w:left w:val="single" w:sz="3" w:space="0" w:color="000000"/>
              <w:bottom w:val="single" w:sz="4" w:space="0" w:color="000000"/>
              <w:right w:val="single" w:sz="3" w:space="0" w:color="000000"/>
            </w:tcBorders>
          </w:tcPr>
          <w:p w14:paraId="7F9CB1CC" w14:textId="22455C61" w:rsidR="009605AC" w:rsidRDefault="009E1FE5" w:rsidP="00833B71">
            <w:pPr>
              <w:spacing w:after="0" w:line="240" w:lineRule="auto"/>
              <w:ind w:left="0" w:firstLine="0"/>
              <w:jc w:val="center"/>
              <w:rPr>
                <w:sz w:val="22"/>
              </w:rPr>
            </w:pPr>
            <w:r>
              <w:rPr>
                <w:sz w:val="22"/>
              </w:rPr>
              <w:t>Neznáme</w:t>
            </w:r>
          </w:p>
        </w:tc>
        <w:tc>
          <w:tcPr>
            <w:tcW w:w="1984" w:type="dxa"/>
            <w:tcBorders>
              <w:top w:val="single" w:sz="4" w:space="0" w:color="000000"/>
              <w:left w:val="single" w:sz="3" w:space="0" w:color="000000"/>
              <w:bottom w:val="single" w:sz="4" w:space="0" w:color="000000"/>
              <w:right w:val="single" w:sz="4" w:space="0" w:color="000000"/>
            </w:tcBorders>
            <w:vAlign w:val="center"/>
          </w:tcPr>
          <w:p w14:paraId="63F931B4" w14:textId="4558ED84" w:rsidR="009605AC" w:rsidRPr="00A731E1" w:rsidRDefault="009605AC" w:rsidP="00833B71">
            <w:pPr>
              <w:spacing w:after="0" w:line="240" w:lineRule="auto"/>
              <w:ind w:left="0" w:firstLine="0"/>
              <w:jc w:val="center"/>
              <w:rPr>
                <w:sz w:val="22"/>
              </w:rPr>
            </w:pPr>
            <w:r>
              <w:rPr>
                <w:sz w:val="22"/>
              </w:rPr>
              <w:t>Menej časté</w:t>
            </w:r>
          </w:p>
        </w:tc>
        <w:tc>
          <w:tcPr>
            <w:tcW w:w="1887" w:type="dxa"/>
            <w:tcBorders>
              <w:top w:val="single" w:sz="4" w:space="0" w:color="000000"/>
              <w:left w:val="single" w:sz="4" w:space="0" w:color="000000"/>
              <w:bottom w:val="single" w:sz="4" w:space="0" w:color="000000"/>
              <w:right w:val="single" w:sz="3" w:space="0" w:color="000000"/>
            </w:tcBorders>
            <w:vAlign w:val="center"/>
          </w:tcPr>
          <w:p w14:paraId="69F4B50F" w14:textId="77777777" w:rsidR="009605AC" w:rsidRPr="00A731E1" w:rsidRDefault="009605AC" w:rsidP="00833B71">
            <w:pPr>
              <w:spacing w:after="0" w:line="240" w:lineRule="auto"/>
              <w:ind w:left="0" w:right="51" w:firstLine="0"/>
              <w:jc w:val="center"/>
              <w:rPr>
                <w:sz w:val="22"/>
              </w:rPr>
            </w:pPr>
            <w:r>
              <w:rPr>
                <w:sz w:val="22"/>
              </w:rPr>
              <w:t>Časté</w:t>
            </w:r>
          </w:p>
        </w:tc>
      </w:tr>
      <w:tr w:rsidR="009605AC" w:rsidRPr="00A731E1" w14:paraId="7DD3425D" w14:textId="0D103DDD" w:rsidTr="009605AC">
        <w:trPr>
          <w:cantSplit/>
          <w:trHeight w:val="259"/>
        </w:trPr>
        <w:tc>
          <w:tcPr>
            <w:tcW w:w="3540" w:type="dxa"/>
            <w:tcBorders>
              <w:top w:val="single" w:sz="4" w:space="0" w:color="000000"/>
              <w:left w:val="single" w:sz="3" w:space="0" w:color="000000"/>
              <w:bottom w:val="single" w:sz="4" w:space="0" w:color="000000"/>
              <w:right w:val="single" w:sz="4" w:space="0" w:color="000000"/>
            </w:tcBorders>
          </w:tcPr>
          <w:p w14:paraId="1D67E72C" w14:textId="71D34C47" w:rsidR="009605AC" w:rsidRPr="00A731E1" w:rsidRDefault="009605AC" w:rsidP="00833B71">
            <w:pPr>
              <w:spacing w:after="0" w:line="240" w:lineRule="auto"/>
              <w:ind w:left="0" w:firstLine="0"/>
              <w:rPr>
                <w:sz w:val="22"/>
              </w:rPr>
            </w:pPr>
            <w:r>
              <w:rPr>
                <w:sz w:val="22"/>
              </w:rPr>
              <w:t xml:space="preserve">Alopécia </w:t>
            </w:r>
          </w:p>
        </w:tc>
        <w:tc>
          <w:tcPr>
            <w:tcW w:w="1985" w:type="dxa"/>
            <w:tcBorders>
              <w:top w:val="single" w:sz="4" w:space="0" w:color="000000"/>
              <w:left w:val="single" w:sz="3" w:space="0" w:color="000000"/>
              <w:bottom w:val="single" w:sz="4" w:space="0" w:color="000000"/>
              <w:right w:val="single" w:sz="3" w:space="0" w:color="000000"/>
            </w:tcBorders>
          </w:tcPr>
          <w:p w14:paraId="613E7287" w14:textId="425E8EBF" w:rsidR="009605AC" w:rsidRDefault="009E1FE5" w:rsidP="00833B71">
            <w:pPr>
              <w:spacing w:after="0" w:line="240" w:lineRule="auto"/>
              <w:ind w:left="0" w:firstLine="0"/>
              <w:jc w:val="center"/>
              <w:rPr>
                <w:sz w:val="22"/>
              </w:rPr>
            </w:pPr>
            <w:r>
              <w:rPr>
                <w:sz w:val="22"/>
              </w:rPr>
              <w:t>Zriedkavé</w:t>
            </w:r>
          </w:p>
        </w:tc>
        <w:tc>
          <w:tcPr>
            <w:tcW w:w="1984" w:type="dxa"/>
            <w:tcBorders>
              <w:top w:val="single" w:sz="4" w:space="0" w:color="000000"/>
              <w:left w:val="single" w:sz="3" w:space="0" w:color="000000"/>
              <w:bottom w:val="single" w:sz="4" w:space="0" w:color="000000"/>
              <w:right w:val="single" w:sz="4" w:space="0" w:color="000000"/>
            </w:tcBorders>
            <w:vAlign w:val="center"/>
          </w:tcPr>
          <w:p w14:paraId="361C5568" w14:textId="395DDEF0" w:rsidR="009605AC" w:rsidRPr="00A731E1" w:rsidRDefault="009605AC" w:rsidP="00833B71">
            <w:pPr>
              <w:spacing w:after="0" w:line="240" w:lineRule="auto"/>
              <w:ind w:left="0" w:firstLine="0"/>
              <w:jc w:val="center"/>
              <w:rPr>
                <w:sz w:val="22"/>
              </w:rPr>
            </w:pPr>
            <w:r>
              <w:rPr>
                <w:sz w:val="22"/>
              </w:rPr>
              <w:t>Menej časté</w:t>
            </w:r>
          </w:p>
        </w:tc>
        <w:tc>
          <w:tcPr>
            <w:tcW w:w="1887" w:type="dxa"/>
            <w:tcBorders>
              <w:top w:val="single" w:sz="4" w:space="0" w:color="000000"/>
              <w:left w:val="single" w:sz="4" w:space="0" w:color="000000"/>
              <w:bottom w:val="single" w:sz="4" w:space="0" w:color="000000"/>
              <w:right w:val="single" w:sz="3" w:space="0" w:color="000000"/>
            </w:tcBorders>
            <w:vAlign w:val="center"/>
          </w:tcPr>
          <w:p w14:paraId="78054920" w14:textId="075D3EBD" w:rsidR="009605AC" w:rsidRPr="00A731E1" w:rsidRDefault="009605AC" w:rsidP="00833B71">
            <w:pPr>
              <w:spacing w:after="0" w:line="240" w:lineRule="auto"/>
              <w:ind w:left="0" w:right="51" w:firstLine="0"/>
              <w:jc w:val="center"/>
              <w:rPr>
                <w:sz w:val="22"/>
              </w:rPr>
            </w:pPr>
            <w:r>
              <w:rPr>
                <w:sz w:val="22"/>
              </w:rPr>
              <w:t>Menej časté</w:t>
            </w:r>
          </w:p>
        </w:tc>
      </w:tr>
      <w:tr w:rsidR="009605AC" w:rsidRPr="005261E7" w14:paraId="6EA28D32" w14:textId="08984849" w:rsidTr="009605AC">
        <w:trPr>
          <w:cantSplit/>
          <w:trHeight w:val="457"/>
        </w:trPr>
        <w:tc>
          <w:tcPr>
            <w:tcW w:w="0" w:type="auto"/>
            <w:gridSpan w:val="4"/>
            <w:tcBorders>
              <w:top w:val="single" w:sz="4" w:space="0" w:color="000000"/>
              <w:left w:val="single" w:sz="3" w:space="0" w:color="000000"/>
              <w:bottom w:val="single" w:sz="4" w:space="0" w:color="000000"/>
              <w:right w:val="single" w:sz="3" w:space="0" w:color="000000"/>
            </w:tcBorders>
          </w:tcPr>
          <w:p w14:paraId="14ADE7CE" w14:textId="33BCA0FA" w:rsidR="009605AC" w:rsidRPr="00A731E1" w:rsidRDefault="009605AC" w:rsidP="00833B71">
            <w:pPr>
              <w:spacing w:after="0" w:line="240" w:lineRule="auto"/>
              <w:ind w:left="0" w:firstLine="0"/>
              <w:rPr>
                <w:sz w:val="22"/>
              </w:rPr>
            </w:pPr>
            <w:r>
              <w:rPr>
                <w:i/>
                <w:sz w:val="22"/>
              </w:rPr>
              <w:t xml:space="preserve">Poruchy kostrovej a svalovej sústavy a spojivového tkaniva </w:t>
            </w:r>
          </w:p>
        </w:tc>
      </w:tr>
      <w:tr w:rsidR="009605AC" w:rsidRPr="00A731E1" w14:paraId="7F29DAE3" w14:textId="5857F6F5" w:rsidTr="009605AC">
        <w:trPr>
          <w:cantSplit/>
          <w:trHeight w:val="247"/>
        </w:trPr>
        <w:tc>
          <w:tcPr>
            <w:tcW w:w="3540" w:type="dxa"/>
            <w:tcBorders>
              <w:top w:val="single" w:sz="4" w:space="0" w:color="000000"/>
              <w:left w:val="single" w:sz="3" w:space="0" w:color="000000"/>
              <w:bottom w:val="single" w:sz="4" w:space="0" w:color="000000"/>
              <w:right w:val="single" w:sz="4" w:space="0" w:color="000000"/>
            </w:tcBorders>
          </w:tcPr>
          <w:p w14:paraId="6D0F9C51" w14:textId="77777777" w:rsidR="009605AC" w:rsidRPr="00A731E1" w:rsidRDefault="009605AC" w:rsidP="00833B71">
            <w:pPr>
              <w:spacing w:after="0" w:line="240" w:lineRule="auto"/>
              <w:ind w:left="0" w:firstLine="0"/>
              <w:rPr>
                <w:sz w:val="22"/>
              </w:rPr>
            </w:pPr>
            <w:r>
              <w:rPr>
                <w:sz w:val="22"/>
              </w:rPr>
              <w:t>Krvácanie do svalov</w:t>
            </w:r>
            <w:r>
              <w:rPr>
                <w:i/>
                <w:sz w:val="22"/>
              </w:rPr>
              <w:t xml:space="preserve"> </w:t>
            </w:r>
          </w:p>
        </w:tc>
        <w:tc>
          <w:tcPr>
            <w:tcW w:w="1985" w:type="dxa"/>
            <w:tcBorders>
              <w:top w:val="single" w:sz="4" w:space="0" w:color="000000"/>
              <w:left w:val="single" w:sz="3" w:space="0" w:color="000000"/>
              <w:bottom w:val="single" w:sz="4" w:space="0" w:color="000000"/>
              <w:right w:val="single" w:sz="3" w:space="0" w:color="000000"/>
            </w:tcBorders>
          </w:tcPr>
          <w:p w14:paraId="24E4D246" w14:textId="7B9233DF" w:rsidR="009605AC" w:rsidRDefault="009E1FE5" w:rsidP="00833B71">
            <w:pPr>
              <w:spacing w:after="0" w:line="240" w:lineRule="auto"/>
              <w:ind w:left="0" w:firstLine="0"/>
              <w:jc w:val="center"/>
              <w:rPr>
                <w:sz w:val="22"/>
              </w:rPr>
            </w:pPr>
            <w:r>
              <w:rPr>
                <w:sz w:val="22"/>
              </w:rPr>
              <w:t>Zriedkavé</w:t>
            </w:r>
          </w:p>
        </w:tc>
        <w:tc>
          <w:tcPr>
            <w:tcW w:w="1984" w:type="dxa"/>
            <w:tcBorders>
              <w:top w:val="single" w:sz="4" w:space="0" w:color="000000"/>
              <w:left w:val="single" w:sz="3" w:space="0" w:color="000000"/>
              <w:bottom w:val="single" w:sz="4" w:space="0" w:color="000000"/>
              <w:right w:val="single" w:sz="4" w:space="0" w:color="000000"/>
            </w:tcBorders>
            <w:vAlign w:val="center"/>
          </w:tcPr>
          <w:p w14:paraId="0AECB1A9" w14:textId="32453A92" w:rsidR="009605AC" w:rsidRPr="00A731E1" w:rsidRDefault="009605AC" w:rsidP="00833B71">
            <w:pPr>
              <w:spacing w:after="0" w:line="240" w:lineRule="auto"/>
              <w:ind w:left="0" w:firstLine="0"/>
              <w:jc w:val="center"/>
              <w:rPr>
                <w:sz w:val="22"/>
              </w:rPr>
            </w:pPr>
            <w:r>
              <w:rPr>
                <w:sz w:val="22"/>
              </w:rPr>
              <w:t xml:space="preserve">Zriedkavé </w:t>
            </w:r>
          </w:p>
        </w:tc>
        <w:tc>
          <w:tcPr>
            <w:tcW w:w="1887" w:type="dxa"/>
            <w:tcBorders>
              <w:top w:val="single" w:sz="4" w:space="0" w:color="000000"/>
              <w:left w:val="single" w:sz="4" w:space="0" w:color="000000"/>
              <w:bottom w:val="single" w:sz="4" w:space="0" w:color="000000"/>
              <w:right w:val="single" w:sz="3" w:space="0" w:color="000000"/>
            </w:tcBorders>
            <w:vAlign w:val="center"/>
          </w:tcPr>
          <w:p w14:paraId="356858F7" w14:textId="57A049DF" w:rsidR="009605AC" w:rsidRPr="00A731E1" w:rsidRDefault="009605AC" w:rsidP="00833B71">
            <w:pPr>
              <w:spacing w:after="0" w:line="240" w:lineRule="auto"/>
              <w:ind w:left="0" w:right="51" w:firstLine="0"/>
              <w:jc w:val="center"/>
              <w:rPr>
                <w:sz w:val="22"/>
              </w:rPr>
            </w:pPr>
            <w:r>
              <w:rPr>
                <w:sz w:val="22"/>
              </w:rPr>
              <w:t xml:space="preserve">Menej časté </w:t>
            </w:r>
          </w:p>
        </w:tc>
      </w:tr>
      <w:tr w:rsidR="009605AC" w:rsidRPr="00A731E1" w14:paraId="57CF64D1" w14:textId="2F28870C" w:rsidTr="009605AC">
        <w:trPr>
          <w:cantSplit/>
          <w:trHeight w:val="247"/>
        </w:trPr>
        <w:tc>
          <w:tcPr>
            <w:tcW w:w="0" w:type="auto"/>
            <w:gridSpan w:val="4"/>
            <w:tcBorders>
              <w:top w:val="single" w:sz="4" w:space="0" w:color="000000"/>
              <w:left w:val="single" w:sz="3" w:space="0" w:color="000000"/>
              <w:bottom w:val="single" w:sz="3" w:space="0" w:color="000000"/>
              <w:right w:val="single" w:sz="3" w:space="0" w:color="000000"/>
            </w:tcBorders>
          </w:tcPr>
          <w:p w14:paraId="03BF2A88" w14:textId="79639C18" w:rsidR="009605AC" w:rsidRPr="00A731E1" w:rsidRDefault="009605AC" w:rsidP="00833B71">
            <w:pPr>
              <w:spacing w:after="0" w:line="240" w:lineRule="auto"/>
              <w:ind w:left="0" w:firstLine="0"/>
              <w:rPr>
                <w:sz w:val="22"/>
              </w:rPr>
            </w:pPr>
            <w:r>
              <w:rPr>
                <w:i/>
                <w:sz w:val="22"/>
              </w:rPr>
              <w:t xml:space="preserve">Poruchy obličiek a močových ciest </w:t>
            </w:r>
          </w:p>
        </w:tc>
      </w:tr>
      <w:tr w:rsidR="009605AC" w:rsidRPr="00A731E1" w14:paraId="0AABA5D8" w14:textId="46097466" w:rsidTr="009605AC">
        <w:trPr>
          <w:cantSplit/>
          <w:trHeight w:val="263"/>
        </w:trPr>
        <w:tc>
          <w:tcPr>
            <w:tcW w:w="3540" w:type="dxa"/>
            <w:tcBorders>
              <w:top w:val="single" w:sz="3" w:space="0" w:color="000000"/>
              <w:left w:val="single" w:sz="3" w:space="0" w:color="000000"/>
              <w:bottom w:val="single" w:sz="3" w:space="0" w:color="000000"/>
              <w:right w:val="single" w:sz="4" w:space="0" w:color="000000"/>
            </w:tcBorders>
          </w:tcPr>
          <w:p w14:paraId="4A5B95B8" w14:textId="77777777" w:rsidR="009605AC" w:rsidRPr="00A731E1" w:rsidRDefault="009605AC" w:rsidP="00833B71">
            <w:pPr>
              <w:spacing w:after="0" w:line="240" w:lineRule="auto"/>
              <w:ind w:left="0" w:firstLine="0"/>
              <w:rPr>
                <w:sz w:val="22"/>
              </w:rPr>
            </w:pPr>
            <w:r>
              <w:rPr>
                <w:sz w:val="22"/>
              </w:rPr>
              <w:t xml:space="preserve">Hematúria </w:t>
            </w:r>
          </w:p>
        </w:tc>
        <w:tc>
          <w:tcPr>
            <w:tcW w:w="1985" w:type="dxa"/>
            <w:tcBorders>
              <w:top w:val="single" w:sz="3" w:space="0" w:color="000000"/>
              <w:left w:val="single" w:sz="3" w:space="0" w:color="000000"/>
              <w:bottom w:val="single" w:sz="3" w:space="0" w:color="000000"/>
              <w:right w:val="single" w:sz="3" w:space="0" w:color="000000"/>
            </w:tcBorders>
          </w:tcPr>
          <w:p w14:paraId="4F6D8BE7" w14:textId="32DCF2E4" w:rsidR="009605AC" w:rsidRDefault="009E1FE5" w:rsidP="00833B71">
            <w:pPr>
              <w:spacing w:after="0" w:line="240" w:lineRule="auto"/>
              <w:ind w:left="0" w:firstLine="0"/>
              <w:jc w:val="center"/>
              <w:rPr>
                <w:sz w:val="22"/>
              </w:rPr>
            </w:pPr>
            <w:r>
              <w:rPr>
                <w:sz w:val="22"/>
              </w:rPr>
              <w:t>Menej časté</w:t>
            </w:r>
          </w:p>
        </w:tc>
        <w:tc>
          <w:tcPr>
            <w:tcW w:w="1984" w:type="dxa"/>
            <w:tcBorders>
              <w:top w:val="single" w:sz="3" w:space="0" w:color="000000"/>
              <w:left w:val="single" w:sz="3" w:space="0" w:color="000000"/>
              <w:bottom w:val="single" w:sz="3" w:space="0" w:color="000000"/>
              <w:right w:val="single" w:sz="4" w:space="0" w:color="000000"/>
            </w:tcBorders>
            <w:vAlign w:val="center"/>
          </w:tcPr>
          <w:p w14:paraId="368B8DFC" w14:textId="259E92AC" w:rsidR="009605AC" w:rsidRPr="00A731E1" w:rsidRDefault="009605AC" w:rsidP="00833B71">
            <w:pPr>
              <w:spacing w:after="0" w:line="240" w:lineRule="auto"/>
              <w:ind w:left="0" w:firstLine="0"/>
              <w:jc w:val="center"/>
              <w:rPr>
                <w:sz w:val="22"/>
              </w:rPr>
            </w:pPr>
            <w:r>
              <w:rPr>
                <w:sz w:val="22"/>
              </w:rPr>
              <w:t xml:space="preserve">Časté </w:t>
            </w:r>
          </w:p>
        </w:tc>
        <w:tc>
          <w:tcPr>
            <w:tcW w:w="1887" w:type="dxa"/>
            <w:tcBorders>
              <w:top w:val="single" w:sz="3" w:space="0" w:color="000000"/>
              <w:left w:val="single" w:sz="4" w:space="0" w:color="000000"/>
              <w:bottom w:val="single" w:sz="3" w:space="0" w:color="000000"/>
              <w:right w:val="single" w:sz="3" w:space="0" w:color="000000"/>
            </w:tcBorders>
            <w:vAlign w:val="center"/>
          </w:tcPr>
          <w:p w14:paraId="22D2C3BB" w14:textId="77777777" w:rsidR="009605AC" w:rsidRPr="00A731E1" w:rsidRDefault="009605AC" w:rsidP="00833B71">
            <w:pPr>
              <w:spacing w:after="0" w:line="240" w:lineRule="auto"/>
              <w:ind w:left="0" w:right="50" w:firstLine="0"/>
              <w:jc w:val="center"/>
              <w:rPr>
                <w:sz w:val="22"/>
              </w:rPr>
            </w:pPr>
            <w:r>
              <w:rPr>
                <w:sz w:val="22"/>
              </w:rPr>
              <w:t xml:space="preserve">Časté </w:t>
            </w:r>
          </w:p>
        </w:tc>
      </w:tr>
      <w:tr w:rsidR="009605AC" w:rsidRPr="005261E7" w14:paraId="5E27C10B" w14:textId="2718DEA1" w:rsidTr="009605AC">
        <w:trPr>
          <w:cantSplit/>
          <w:trHeight w:val="535"/>
        </w:trPr>
        <w:tc>
          <w:tcPr>
            <w:tcW w:w="0" w:type="auto"/>
            <w:gridSpan w:val="4"/>
            <w:tcBorders>
              <w:top w:val="single" w:sz="3" w:space="0" w:color="000000"/>
              <w:left w:val="single" w:sz="3" w:space="0" w:color="000000"/>
              <w:bottom w:val="single" w:sz="3" w:space="0" w:color="000000"/>
              <w:right w:val="single" w:sz="3" w:space="0" w:color="000000"/>
            </w:tcBorders>
          </w:tcPr>
          <w:p w14:paraId="7605F8D4" w14:textId="389CF855" w:rsidR="009605AC" w:rsidRPr="00A731E1" w:rsidRDefault="009605AC" w:rsidP="00833B71">
            <w:pPr>
              <w:spacing w:after="0" w:line="240" w:lineRule="auto"/>
              <w:ind w:left="0" w:firstLine="0"/>
              <w:rPr>
                <w:sz w:val="22"/>
              </w:rPr>
            </w:pPr>
            <w:r>
              <w:rPr>
                <w:i/>
                <w:sz w:val="22"/>
              </w:rPr>
              <w:t xml:space="preserve">Poruchy reprodukčného systému a prsníkov </w:t>
            </w:r>
          </w:p>
        </w:tc>
      </w:tr>
      <w:tr w:rsidR="009605AC" w:rsidRPr="00A731E1" w14:paraId="52F16EE0" w14:textId="242A9289" w:rsidTr="001926C5">
        <w:trPr>
          <w:cantSplit/>
          <w:trHeight w:val="503"/>
        </w:trPr>
        <w:tc>
          <w:tcPr>
            <w:tcW w:w="3540" w:type="dxa"/>
            <w:tcBorders>
              <w:top w:val="single" w:sz="3" w:space="0" w:color="000000"/>
              <w:left w:val="single" w:sz="3" w:space="0" w:color="000000"/>
              <w:bottom w:val="single" w:sz="4" w:space="0" w:color="000000"/>
              <w:right w:val="single" w:sz="4" w:space="0" w:color="000000"/>
            </w:tcBorders>
          </w:tcPr>
          <w:p w14:paraId="3625AFB8" w14:textId="77777777" w:rsidR="009605AC" w:rsidRPr="00A731E1" w:rsidRDefault="009605AC" w:rsidP="00833B71">
            <w:pPr>
              <w:spacing w:after="0" w:line="240" w:lineRule="auto"/>
              <w:ind w:left="0" w:firstLine="0"/>
              <w:rPr>
                <w:sz w:val="22"/>
              </w:rPr>
            </w:pPr>
            <w:r>
              <w:rPr>
                <w:sz w:val="22"/>
              </w:rPr>
              <w:t xml:space="preserve">Abnormálne vaginálne krvácanie, urogenitálne krvácanie </w:t>
            </w:r>
          </w:p>
        </w:tc>
        <w:tc>
          <w:tcPr>
            <w:tcW w:w="1985" w:type="dxa"/>
            <w:tcBorders>
              <w:top w:val="single" w:sz="3" w:space="0" w:color="000000"/>
              <w:left w:val="single" w:sz="3" w:space="0" w:color="000000"/>
              <w:bottom w:val="single" w:sz="4" w:space="0" w:color="000000"/>
              <w:right w:val="single" w:sz="3" w:space="0" w:color="000000"/>
            </w:tcBorders>
            <w:vAlign w:val="center"/>
          </w:tcPr>
          <w:p w14:paraId="512E31CC" w14:textId="615ED87D" w:rsidR="009605AC" w:rsidRDefault="009E1FE5" w:rsidP="001926C5">
            <w:pPr>
              <w:spacing w:after="0" w:line="240" w:lineRule="auto"/>
              <w:ind w:left="0" w:firstLine="0"/>
              <w:jc w:val="center"/>
              <w:rPr>
                <w:sz w:val="22"/>
              </w:rPr>
            </w:pPr>
            <w:r>
              <w:rPr>
                <w:sz w:val="22"/>
              </w:rPr>
              <w:t>Menej časté</w:t>
            </w:r>
          </w:p>
        </w:tc>
        <w:tc>
          <w:tcPr>
            <w:tcW w:w="1984" w:type="dxa"/>
            <w:tcBorders>
              <w:top w:val="single" w:sz="3" w:space="0" w:color="000000"/>
              <w:left w:val="single" w:sz="3" w:space="0" w:color="000000"/>
              <w:bottom w:val="single" w:sz="4" w:space="0" w:color="000000"/>
              <w:right w:val="single" w:sz="4" w:space="0" w:color="000000"/>
            </w:tcBorders>
            <w:vAlign w:val="center"/>
          </w:tcPr>
          <w:p w14:paraId="5ED2EED3" w14:textId="1BC434E7" w:rsidR="009605AC" w:rsidRPr="00A731E1" w:rsidRDefault="009605AC" w:rsidP="00833B71">
            <w:pPr>
              <w:spacing w:after="0" w:line="240" w:lineRule="auto"/>
              <w:ind w:left="0" w:firstLine="0"/>
              <w:jc w:val="center"/>
              <w:rPr>
                <w:sz w:val="22"/>
              </w:rPr>
            </w:pPr>
            <w:r>
              <w:rPr>
                <w:sz w:val="22"/>
              </w:rPr>
              <w:t xml:space="preserve">Menej časté </w:t>
            </w:r>
          </w:p>
        </w:tc>
        <w:tc>
          <w:tcPr>
            <w:tcW w:w="1887" w:type="dxa"/>
            <w:tcBorders>
              <w:top w:val="single" w:sz="3" w:space="0" w:color="000000"/>
              <w:left w:val="single" w:sz="4" w:space="0" w:color="000000"/>
              <w:bottom w:val="single" w:sz="4" w:space="0" w:color="000000"/>
              <w:right w:val="single" w:sz="3" w:space="0" w:color="000000"/>
            </w:tcBorders>
            <w:vAlign w:val="center"/>
          </w:tcPr>
          <w:p w14:paraId="5D20EB58" w14:textId="10FC9FC0" w:rsidR="009605AC" w:rsidRPr="00A731E1" w:rsidRDefault="009605AC" w:rsidP="00833B71">
            <w:pPr>
              <w:spacing w:after="0" w:line="240" w:lineRule="auto"/>
              <w:ind w:left="0" w:right="50" w:firstLine="0"/>
              <w:jc w:val="center"/>
              <w:rPr>
                <w:sz w:val="22"/>
              </w:rPr>
            </w:pPr>
            <w:r>
              <w:rPr>
                <w:sz w:val="22"/>
              </w:rPr>
              <w:t xml:space="preserve">Časté </w:t>
            </w:r>
          </w:p>
        </w:tc>
      </w:tr>
      <w:tr w:rsidR="009605AC" w:rsidRPr="005261E7" w14:paraId="51792B8B" w14:textId="2979FB68" w:rsidTr="009605AC">
        <w:trPr>
          <w:cantSplit/>
          <w:trHeight w:val="508"/>
        </w:trPr>
        <w:tc>
          <w:tcPr>
            <w:tcW w:w="0" w:type="auto"/>
            <w:gridSpan w:val="4"/>
            <w:tcBorders>
              <w:top w:val="single" w:sz="4" w:space="0" w:color="000000"/>
              <w:left w:val="single" w:sz="3" w:space="0" w:color="000000"/>
              <w:bottom w:val="single" w:sz="3" w:space="0" w:color="000000"/>
              <w:right w:val="single" w:sz="3" w:space="0" w:color="000000"/>
            </w:tcBorders>
          </w:tcPr>
          <w:p w14:paraId="13377466" w14:textId="74393B91" w:rsidR="009605AC" w:rsidRPr="00A731E1" w:rsidRDefault="009605AC" w:rsidP="00833B71">
            <w:pPr>
              <w:spacing w:after="0" w:line="240" w:lineRule="auto"/>
              <w:ind w:left="0" w:firstLine="0"/>
              <w:rPr>
                <w:sz w:val="22"/>
              </w:rPr>
            </w:pPr>
            <w:r>
              <w:rPr>
                <w:i/>
                <w:sz w:val="22"/>
              </w:rPr>
              <w:t xml:space="preserve">Celkové poruchy a reakcie v mieste podania </w:t>
            </w:r>
          </w:p>
        </w:tc>
      </w:tr>
      <w:tr w:rsidR="009605AC" w:rsidRPr="00A731E1" w14:paraId="43AA410C" w14:textId="102D9544" w:rsidTr="009605AC">
        <w:trPr>
          <w:cantSplit/>
          <w:trHeight w:val="251"/>
        </w:trPr>
        <w:tc>
          <w:tcPr>
            <w:tcW w:w="3540" w:type="dxa"/>
            <w:tcBorders>
              <w:top w:val="single" w:sz="3" w:space="0" w:color="000000"/>
              <w:left w:val="single" w:sz="3" w:space="0" w:color="000000"/>
              <w:bottom w:val="single" w:sz="3" w:space="0" w:color="000000"/>
              <w:right w:val="single" w:sz="4" w:space="0" w:color="000000"/>
            </w:tcBorders>
          </w:tcPr>
          <w:p w14:paraId="30886012" w14:textId="77777777" w:rsidR="009605AC" w:rsidRPr="00A731E1" w:rsidRDefault="009605AC" w:rsidP="00833B71">
            <w:pPr>
              <w:spacing w:after="0" w:line="240" w:lineRule="auto"/>
              <w:ind w:left="0" w:firstLine="0"/>
              <w:rPr>
                <w:sz w:val="22"/>
              </w:rPr>
            </w:pPr>
            <w:r>
              <w:rPr>
                <w:sz w:val="22"/>
              </w:rPr>
              <w:t xml:space="preserve">Krvácanie v mieste aplikácie </w:t>
            </w:r>
          </w:p>
        </w:tc>
        <w:tc>
          <w:tcPr>
            <w:tcW w:w="1985" w:type="dxa"/>
            <w:tcBorders>
              <w:top w:val="single" w:sz="3" w:space="0" w:color="000000"/>
              <w:left w:val="single" w:sz="3" w:space="0" w:color="000000"/>
              <w:bottom w:val="single" w:sz="3" w:space="0" w:color="000000"/>
              <w:right w:val="single" w:sz="3" w:space="0" w:color="000000"/>
            </w:tcBorders>
          </w:tcPr>
          <w:p w14:paraId="17840751" w14:textId="46BCC080" w:rsidR="009605AC" w:rsidRDefault="009E1FE5" w:rsidP="00833B71">
            <w:pPr>
              <w:spacing w:after="0" w:line="240" w:lineRule="auto"/>
              <w:ind w:left="0" w:firstLine="0"/>
              <w:jc w:val="center"/>
              <w:rPr>
                <w:sz w:val="22"/>
              </w:rPr>
            </w:pPr>
            <w:r>
              <w:rPr>
                <w:sz w:val="22"/>
              </w:rPr>
              <w:t>Neznáme</w:t>
            </w:r>
          </w:p>
        </w:tc>
        <w:tc>
          <w:tcPr>
            <w:tcW w:w="1984" w:type="dxa"/>
            <w:tcBorders>
              <w:top w:val="single" w:sz="3" w:space="0" w:color="000000"/>
              <w:left w:val="single" w:sz="3" w:space="0" w:color="000000"/>
              <w:bottom w:val="single" w:sz="3" w:space="0" w:color="000000"/>
              <w:right w:val="single" w:sz="4" w:space="0" w:color="000000"/>
            </w:tcBorders>
            <w:vAlign w:val="center"/>
          </w:tcPr>
          <w:p w14:paraId="7ADA4D94" w14:textId="25BB24EB" w:rsidR="009605AC" w:rsidRPr="00A731E1" w:rsidRDefault="009605AC" w:rsidP="00833B71">
            <w:pPr>
              <w:spacing w:after="0" w:line="240" w:lineRule="auto"/>
              <w:ind w:left="0" w:firstLine="0"/>
              <w:jc w:val="center"/>
              <w:rPr>
                <w:sz w:val="22"/>
              </w:rPr>
            </w:pPr>
            <w:r>
              <w:rPr>
                <w:sz w:val="22"/>
              </w:rPr>
              <w:t xml:space="preserve">Menej časté </w:t>
            </w:r>
          </w:p>
        </w:tc>
        <w:tc>
          <w:tcPr>
            <w:tcW w:w="1887" w:type="dxa"/>
            <w:tcBorders>
              <w:top w:val="single" w:sz="3" w:space="0" w:color="000000"/>
              <w:left w:val="single" w:sz="4" w:space="0" w:color="000000"/>
              <w:bottom w:val="single" w:sz="3" w:space="0" w:color="000000"/>
              <w:right w:val="single" w:sz="3" w:space="0" w:color="000000"/>
            </w:tcBorders>
            <w:vAlign w:val="center"/>
          </w:tcPr>
          <w:p w14:paraId="23DF2C11" w14:textId="77777777" w:rsidR="009605AC" w:rsidRPr="00A731E1" w:rsidRDefault="009605AC" w:rsidP="00833B71">
            <w:pPr>
              <w:spacing w:after="0" w:line="240" w:lineRule="auto"/>
              <w:ind w:left="0" w:right="51" w:firstLine="0"/>
              <w:jc w:val="center"/>
              <w:rPr>
                <w:sz w:val="22"/>
              </w:rPr>
            </w:pPr>
            <w:r>
              <w:rPr>
                <w:sz w:val="22"/>
              </w:rPr>
              <w:t xml:space="preserve">Menej časté </w:t>
            </w:r>
          </w:p>
        </w:tc>
      </w:tr>
      <w:tr w:rsidR="009605AC" w:rsidRPr="00A731E1" w14:paraId="6CEE761F" w14:textId="5EE7BD4B" w:rsidTr="009605AC">
        <w:trPr>
          <w:cantSplit/>
          <w:trHeight w:val="454"/>
        </w:trPr>
        <w:tc>
          <w:tcPr>
            <w:tcW w:w="0" w:type="auto"/>
            <w:gridSpan w:val="4"/>
            <w:tcBorders>
              <w:top w:val="single" w:sz="3" w:space="0" w:color="000000"/>
              <w:left w:val="single" w:sz="3" w:space="0" w:color="000000"/>
              <w:bottom w:val="single" w:sz="3" w:space="0" w:color="000000"/>
              <w:right w:val="single" w:sz="3" w:space="0" w:color="000000"/>
            </w:tcBorders>
          </w:tcPr>
          <w:p w14:paraId="758E3E07" w14:textId="3F196DE4" w:rsidR="009605AC" w:rsidRPr="00A731E1" w:rsidRDefault="009605AC" w:rsidP="00833B71">
            <w:pPr>
              <w:spacing w:after="0" w:line="240" w:lineRule="auto"/>
              <w:ind w:left="0" w:firstLine="0"/>
              <w:rPr>
                <w:sz w:val="22"/>
              </w:rPr>
            </w:pPr>
            <w:r>
              <w:rPr>
                <w:i/>
                <w:sz w:val="22"/>
              </w:rPr>
              <w:t xml:space="preserve">Laboratórne a funkčné vyšetrenia </w:t>
            </w:r>
          </w:p>
        </w:tc>
      </w:tr>
      <w:tr w:rsidR="009605AC" w:rsidRPr="00A731E1" w14:paraId="391650C5" w14:textId="2737B551" w:rsidTr="009605AC">
        <w:trPr>
          <w:cantSplit/>
          <w:trHeight w:val="251"/>
        </w:trPr>
        <w:tc>
          <w:tcPr>
            <w:tcW w:w="3540" w:type="dxa"/>
            <w:tcBorders>
              <w:top w:val="single" w:sz="3" w:space="0" w:color="000000"/>
              <w:left w:val="single" w:sz="3" w:space="0" w:color="000000"/>
              <w:bottom w:val="single" w:sz="3" w:space="0" w:color="000000"/>
              <w:right w:val="single" w:sz="4" w:space="0" w:color="000000"/>
            </w:tcBorders>
          </w:tcPr>
          <w:p w14:paraId="13366C8A" w14:textId="77777777" w:rsidR="009605AC" w:rsidRPr="00A731E1" w:rsidRDefault="009605AC" w:rsidP="00833B71">
            <w:pPr>
              <w:spacing w:after="0" w:line="240" w:lineRule="auto"/>
              <w:ind w:left="0" w:firstLine="0"/>
              <w:rPr>
                <w:sz w:val="22"/>
              </w:rPr>
            </w:pPr>
            <w:r>
              <w:rPr>
                <w:sz w:val="22"/>
              </w:rPr>
              <w:t xml:space="preserve">Pozitívny test na okultné krvácanie </w:t>
            </w:r>
          </w:p>
        </w:tc>
        <w:tc>
          <w:tcPr>
            <w:tcW w:w="1985" w:type="dxa"/>
            <w:tcBorders>
              <w:top w:val="single" w:sz="3" w:space="0" w:color="000000"/>
              <w:left w:val="single" w:sz="3" w:space="0" w:color="000000"/>
              <w:bottom w:val="single" w:sz="3" w:space="0" w:color="000000"/>
              <w:right w:val="single" w:sz="3" w:space="0" w:color="000000"/>
            </w:tcBorders>
          </w:tcPr>
          <w:p w14:paraId="7B3FBD8D" w14:textId="59C2F014" w:rsidR="009605AC" w:rsidRDefault="009E1FE5" w:rsidP="00833B71">
            <w:pPr>
              <w:spacing w:after="0" w:line="240" w:lineRule="auto"/>
              <w:ind w:left="0" w:firstLine="0"/>
              <w:jc w:val="center"/>
              <w:rPr>
                <w:sz w:val="22"/>
              </w:rPr>
            </w:pPr>
            <w:r>
              <w:rPr>
                <w:sz w:val="22"/>
              </w:rPr>
              <w:t>Neznáme</w:t>
            </w:r>
          </w:p>
        </w:tc>
        <w:tc>
          <w:tcPr>
            <w:tcW w:w="1984" w:type="dxa"/>
            <w:tcBorders>
              <w:top w:val="single" w:sz="3" w:space="0" w:color="000000"/>
              <w:left w:val="single" w:sz="3" w:space="0" w:color="000000"/>
              <w:bottom w:val="single" w:sz="3" w:space="0" w:color="000000"/>
              <w:right w:val="single" w:sz="4" w:space="0" w:color="000000"/>
            </w:tcBorders>
            <w:vAlign w:val="center"/>
          </w:tcPr>
          <w:p w14:paraId="29EEA58D" w14:textId="186524C1" w:rsidR="009605AC" w:rsidRPr="00A731E1" w:rsidRDefault="009605AC" w:rsidP="00833B71">
            <w:pPr>
              <w:spacing w:after="0" w:line="240" w:lineRule="auto"/>
              <w:ind w:left="0" w:firstLine="0"/>
              <w:jc w:val="center"/>
              <w:rPr>
                <w:sz w:val="22"/>
              </w:rPr>
            </w:pPr>
            <w:r>
              <w:rPr>
                <w:sz w:val="22"/>
              </w:rPr>
              <w:t xml:space="preserve">Menej časté </w:t>
            </w:r>
          </w:p>
        </w:tc>
        <w:tc>
          <w:tcPr>
            <w:tcW w:w="1887" w:type="dxa"/>
            <w:tcBorders>
              <w:top w:val="single" w:sz="3" w:space="0" w:color="000000"/>
              <w:left w:val="single" w:sz="4" w:space="0" w:color="000000"/>
              <w:bottom w:val="single" w:sz="3" w:space="0" w:color="000000"/>
              <w:right w:val="single" w:sz="3" w:space="0" w:color="000000"/>
            </w:tcBorders>
            <w:vAlign w:val="center"/>
          </w:tcPr>
          <w:p w14:paraId="4351EDA3" w14:textId="77777777" w:rsidR="009605AC" w:rsidRPr="00A731E1" w:rsidRDefault="009605AC" w:rsidP="00833B71">
            <w:pPr>
              <w:spacing w:after="0" w:line="240" w:lineRule="auto"/>
              <w:ind w:left="0" w:right="47" w:firstLine="0"/>
              <w:jc w:val="center"/>
              <w:rPr>
                <w:sz w:val="22"/>
              </w:rPr>
            </w:pPr>
            <w:r>
              <w:rPr>
                <w:sz w:val="22"/>
              </w:rPr>
              <w:t xml:space="preserve">Menej časté </w:t>
            </w:r>
          </w:p>
        </w:tc>
      </w:tr>
      <w:tr w:rsidR="009605AC" w:rsidRPr="005261E7" w14:paraId="3DA5EC2C" w14:textId="1C14AB09" w:rsidTr="009605AC">
        <w:trPr>
          <w:cantSplit/>
          <w:trHeight w:val="465"/>
        </w:trPr>
        <w:tc>
          <w:tcPr>
            <w:tcW w:w="0" w:type="auto"/>
            <w:gridSpan w:val="4"/>
            <w:tcBorders>
              <w:top w:val="single" w:sz="3" w:space="0" w:color="000000"/>
              <w:left w:val="single" w:sz="3" w:space="0" w:color="000000"/>
              <w:bottom w:val="single" w:sz="3" w:space="0" w:color="000000"/>
              <w:right w:val="single" w:sz="3" w:space="0" w:color="000000"/>
            </w:tcBorders>
          </w:tcPr>
          <w:p w14:paraId="28256524" w14:textId="5757C853" w:rsidR="009605AC" w:rsidRPr="00A731E1" w:rsidRDefault="009605AC" w:rsidP="00833B71">
            <w:pPr>
              <w:spacing w:after="0" w:line="240" w:lineRule="auto"/>
              <w:ind w:left="0" w:firstLine="0"/>
              <w:rPr>
                <w:sz w:val="22"/>
              </w:rPr>
            </w:pPr>
            <w:r>
              <w:rPr>
                <w:i/>
                <w:sz w:val="22"/>
              </w:rPr>
              <w:t xml:space="preserve">Úrazy, otravy a komplikácie liečebného postupu </w:t>
            </w:r>
          </w:p>
        </w:tc>
      </w:tr>
      <w:tr w:rsidR="009605AC" w:rsidRPr="00A731E1" w14:paraId="67CAAA1A" w14:textId="6CFD1C96" w:rsidTr="009605AC">
        <w:trPr>
          <w:cantSplit/>
          <w:trHeight w:val="247"/>
        </w:trPr>
        <w:tc>
          <w:tcPr>
            <w:tcW w:w="3540" w:type="dxa"/>
            <w:tcBorders>
              <w:top w:val="single" w:sz="3" w:space="0" w:color="000000"/>
              <w:left w:val="single" w:sz="3" w:space="0" w:color="000000"/>
              <w:bottom w:val="single" w:sz="3" w:space="0" w:color="000000"/>
              <w:right w:val="single" w:sz="4" w:space="0" w:color="000000"/>
            </w:tcBorders>
          </w:tcPr>
          <w:p w14:paraId="21622283" w14:textId="77777777" w:rsidR="009605AC" w:rsidRPr="00A731E1" w:rsidRDefault="009605AC" w:rsidP="00833B71">
            <w:pPr>
              <w:spacing w:after="0" w:line="240" w:lineRule="auto"/>
              <w:ind w:left="0" w:firstLine="0"/>
              <w:rPr>
                <w:sz w:val="22"/>
              </w:rPr>
            </w:pPr>
            <w:r>
              <w:rPr>
                <w:sz w:val="22"/>
              </w:rPr>
              <w:t xml:space="preserve">Kontúzia </w:t>
            </w:r>
          </w:p>
        </w:tc>
        <w:tc>
          <w:tcPr>
            <w:tcW w:w="1985" w:type="dxa"/>
            <w:tcBorders>
              <w:top w:val="single" w:sz="3" w:space="0" w:color="000000"/>
              <w:left w:val="single" w:sz="3" w:space="0" w:color="000000"/>
              <w:bottom w:val="single" w:sz="3" w:space="0" w:color="000000"/>
              <w:right w:val="single" w:sz="3" w:space="0" w:color="000000"/>
            </w:tcBorders>
          </w:tcPr>
          <w:p w14:paraId="26CDFBF2" w14:textId="42DC193A" w:rsidR="009605AC" w:rsidRDefault="009E1FE5" w:rsidP="00833B71">
            <w:pPr>
              <w:spacing w:after="0" w:line="240" w:lineRule="auto"/>
              <w:ind w:left="0" w:firstLine="0"/>
              <w:jc w:val="center"/>
              <w:rPr>
                <w:sz w:val="22"/>
              </w:rPr>
            </w:pPr>
            <w:r>
              <w:rPr>
                <w:sz w:val="22"/>
              </w:rPr>
              <w:t>Časté</w:t>
            </w:r>
          </w:p>
        </w:tc>
        <w:tc>
          <w:tcPr>
            <w:tcW w:w="1984" w:type="dxa"/>
            <w:tcBorders>
              <w:top w:val="single" w:sz="3" w:space="0" w:color="000000"/>
              <w:left w:val="single" w:sz="3" w:space="0" w:color="000000"/>
              <w:bottom w:val="single" w:sz="3" w:space="0" w:color="000000"/>
              <w:right w:val="single" w:sz="4" w:space="0" w:color="000000"/>
            </w:tcBorders>
            <w:vAlign w:val="center"/>
          </w:tcPr>
          <w:p w14:paraId="4CD2BCDA" w14:textId="52D74063" w:rsidR="009605AC" w:rsidRPr="00A731E1" w:rsidRDefault="009605AC" w:rsidP="00833B71">
            <w:pPr>
              <w:spacing w:after="0" w:line="240" w:lineRule="auto"/>
              <w:ind w:left="0" w:firstLine="0"/>
              <w:jc w:val="center"/>
              <w:rPr>
                <w:sz w:val="22"/>
              </w:rPr>
            </w:pPr>
            <w:r>
              <w:rPr>
                <w:sz w:val="22"/>
              </w:rPr>
              <w:t>Časté</w:t>
            </w:r>
          </w:p>
        </w:tc>
        <w:tc>
          <w:tcPr>
            <w:tcW w:w="1887" w:type="dxa"/>
            <w:tcBorders>
              <w:top w:val="single" w:sz="3" w:space="0" w:color="000000"/>
              <w:left w:val="single" w:sz="4" w:space="0" w:color="000000"/>
              <w:bottom w:val="single" w:sz="3" w:space="0" w:color="000000"/>
              <w:right w:val="single" w:sz="3" w:space="0" w:color="000000"/>
            </w:tcBorders>
            <w:vAlign w:val="center"/>
          </w:tcPr>
          <w:p w14:paraId="4BA3D90D" w14:textId="77777777" w:rsidR="009605AC" w:rsidRPr="00A731E1" w:rsidRDefault="009605AC" w:rsidP="00833B71">
            <w:pPr>
              <w:spacing w:after="0" w:line="240" w:lineRule="auto"/>
              <w:ind w:left="0" w:right="48" w:firstLine="0"/>
              <w:jc w:val="center"/>
              <w:rPr>
                <w:sz w:val="22"/>
              </w:rPr>
            </w:pPr>
            <w:r>
              <w:rPr>
                <w:sz w:val="22"/>
              </w:rPr>
              <w:t>Časté</w:t>
            </w:r>
          </w:p>
        </w:tc>
      </w:tr>
      <w:tr w:rsidR="009605AC" w:rsidRPr="00A731E1" w14:paraId="51630D53" w14:textId="0B26FF1C" w:rsidTr="001926C5">
        <w:trPr>
          <w:cantSplit/>
          <w:trHeight w:val="1733"/>
        </w:trPr>
        <w:tc>
          <w:tcPr>
            <w:tcW w:w="3540" w:type="dxa"/>
            <w:tcBorders>
              <w:top w:val="single" w:sz="3" w:space="0" w:color="000000"/>
              <w:left w:val="single" w:sz="3" w:space="0" w:color="000000"/>
              <w:bottom w:val="single" w:sz="4" w:space="0" w:color="000000"/>
              <w:right w:val="single" w:sz="4" w:space="0" w:color="000000"/>
            </w:tcBorders>
          </w:tcPr>
          <w:p w14:paraId="64EC943D" w14:textId="59F7D55A" w:rsidR="009605AC" w:rsidRPr="00A731E1" w:rsidRDefault="009605AC" w:rsidP="00833B71">
            <w:pPr>
              <w:spacing w:after="0" w:line="240" w:lineRule="auto"/>
              <w:ind w:left="0" w:firstLine="0"/>
              <w:rPr>
                <w:sz w:val="22"/>
              </w:rPr>
            </w:pPr>
            <w:r>
              <w:rPr>
                <w:sz w:val="22"/>
              </w:rPr>
              <w:lastRenderedPageBreak/>
              <w:t>Hemorágia po zákroku (vrátane postprocedurálneho hematómu, krvácania z rán, hematómu v mieste prepichnutia cievy a krvácanie v mieste zavedenia katétra),</w:t>
            </w:r>
            <w:r w:rsidR="00C460BC">
              <w:rPr>
                <w:sz w:val="22"/>
              </w:rPr>
              <w:t xml:space="preserve"> </w:t>
            </w:r>
            <w:r>
              <w:rPr>
                <w:sz w:val="22"/>
              </w:rPr>
              <w:t xml:space="preserve">sekrécia z rany, krvácanie v mieste incízie (vrátane hematómu v mieste incízie), operačná hemorágia </w:t>
            </w:r>
          </w:p>
        </w:tc>
        <w:tc>
          <w:tcPr>
            <w:tcW w:w="1985" w:type="dxa"/>
            <w:tcBorders>
              <w:top w:val="single" w:sz="3" w:space="0" w:color="000000"/>
              <w:left w:val="single" w:sz="3" w:space="0" w:color="000000"/>
              <w:bottom w:val="single" w:sz="4" w:space="0" w:color="000000"/>
              <w:right w:val="single" w:sz="3" w:space="0" w:color="000000"/>
            </w:tcBorders>
            <w:vAlign w:val="center"/>
          </w:tcPr>
          <w:p w14:paraId="10D1EDE8" w14:textId="10C09533" w:rsidR="009605AC" w:rsidRDefault="009E1FE5" w:rsidP="001926C5">
            <w:pPr>
              <w:spacing w:after="0" w:line="240" w:lineRule="auto"/>
              <w:ind w:left="0" w:firstLine="0"/>
              <w:jc w:val="center"/>
              <w:rPr>
                <w:sz w:val="22"/>
              </w:rPr>
            </w:pPr>
            <w:r>
              <w:rPr>
                <w:sz w:val="22"/>
              </w:rPr>
              <w:t>Menej časté</w:t>
            </w:r>
          </w:p>
        </w:tc>
        <w:tc>
          <w:tcPr>
            <w:tcW w:w="1984" w:type="dxa"/>
            <w:tcBorders>
              <w:top w:val="single" w:sz="3" w:space="0" w:color="000000"/>
              <w:left w:val="single" w:sz="3" w:space="0" w:color="000000"/>
              <w:bottom w:val="single" w:sz="4" w:space="0" w:color="000000"/>
              <w:right w:val="single" w:sz="4" w:space="0" w:color="000000"/>
            </w:tcBorders>
            <w:vAlign w:val="center"/>
          </w:tcPr>
          <w:p w14:paraId="62FFDE78" w14:textId="47472E8F" w:rsidR="009605AC" w:rsidRPr="00A731E1" w:rsidRDefault="009605AC" w:rsidP="00833B71">
            <w:pPr>
              <w:spacing w:after="0" w:line="240" w:lineRule="auto"/>
              <w:ind w:left="0" w:firstLine="0"/>
              <w:jc w:val="center"/>
              <w:rPr>
                <w:sz w:val="22"/>
              </w:rPr>
            </w:pPr>
            <w:r>
              <w:rPr>
                <w:sz w:val="22"/>
              </w:rPr>
              <w:t>Menej časté</w:t>
            </w:r>
          </w:p>
        </w:tc>
        <w:tc>
          <w:tcPr>
            <w:tcW w:w="1887" w:type="dxa"/>
            <w:tcBorders>
              <w:top w:val="single" w:sz="3" w:space="0" w:color="000000"/>
              <w:left w:val="single" w:sz="4" w:space="0" w:color="000000"/>
              <w:bottom w:val="single" w:sz="4" w:space="0" w:color="000000"/>
              <w:right w:val="single" w:sz="3" w:space="0" w:color="000000"/>
            </w:tcBorders>
            <w:vAlign w:val="center"/>
          </w:tcPr>
          <w:p w14:paraId="0D069A88" w14:textId="77777777" w:rsidR="009605AC" w:rsidRPr="00A731E1" w:rsidRDefault="009605AC" w:rsidP="00833B71">
            <w:pPr>
              <w:spacing w:after="0" w:line="240" w:lineRule="auto"/>
              <w:ind w:left="0" w:right="51" w:firstLine="0"/>
              <w:jc w:val="center"/>
              <w:rPr>
                <w:sz w:val="22"/>
              </w:rPr>
            </w:pPr>
            <w:r>
              <w:rPr>
                <w:sz w:val="22"/>
              </w:rPr>
              <w:t>Menej časté</w:t>
            </w:r>
          </w:p>
        </w:tc>
      </w:tr>
      <w:tr w:rsidR="009605AC" w:rsidRPr="00A731E1" w14:paraId="213A3517" w14:textId="40C3277C" w:rsidTr="009605AC">
        <w:trPr>
          <w:cantSplit/>
          <w:trHeight w:val="251"/>
        </w:trPr>
        <w:tc>
          <w:tcPr>
            <w:tcW w:w="3540" w:type="dxa"/>
            <w:tcBorders>
              <w:top w:val="single" w:sz="4" w:space="0" w:color="000000"/>
              <w:left w:val="single" w:sz="3" w:space="0" w:color="000000"/>
              <w:bottom w:val="single" w:sz="4" w:space="0" w:color="000000"/>
              <w:right w:val="single" w:sz="4" w:space="0" w:color="000000"/>
            </w:tcBorders>
          </w:tcPr>
          <w:p w14:paraId="600312A6" w14:textId="77777777" w:rsidR="009605AC" w:rsidRPr="00A731E1" w:rsidRDefault="009605AC" w:rsidP="00833B71">
            <w:pPr>
              <w:spacing w:after="0" w:line="240" w:lineRule="auto"/>
              <w:ind w:left="0" w:firstLine="0"/>
              <w:rPr>
                <w:sz w:val="22"/>
              </w:rPr>
            </w:pPr>
            <w:r>
              <w:rPr>
                <w:sz w:val="22"/>
              </w:rPr>
              <w:t xml:space="preserve">Traumatická hemorágia </w:t>
            </w:r>
          </w:p>
        </w:tc>
        <w:tc>
          <w:tcPr>
            <w:tcW w:w="1985" w:type="dxa"/>
            <w:tcBorders>
              <w:top w:val="single" w:sz="4" w:space="0" w:color="000000"/>
              <w:left w:val="single" w:sz="3" w:space="0" w:color="000000"/>
              <w:bottom w:val="single" w:sz="4" w:space="0" w:color="000000"/>
              <w:right w:val="single" w:sz="3" w:space="0" w:color="000000"/>
            </w:tcBorders>
          </w:tcPr>
          <w:p w14:paraId="0C7941A9" w14:textId="75A2F973" w:rsidR="009605AC" w:rsidRDefault="009E1FE5" w:rsidP="00833B71">
            <w:pPr>
              <w:spacing w:after="0" w:line="240" w:lineRule="auto"/>
              <w:ind w:left="0" w:firstLine="0"/>
              <w:jc w:val="center"/>
              <w:rPr>
                <w:sz w:val="22"/>
              </w:rPr>
            </w:pPr>
            <w:r>
              <w:rPr>
                <w:sz w:val="22"/>
              </w:rPr>
              <w:t>Neznáme</w:t>
            </w:r>
          </w:p>
        </w:tc>
        <w:tc>
          <w:tcPr>
            <w:tcW w:w="1984" w:type="dxa"/>
            <w:tcBorders>
              <w:top w:val="single" w:sz="4" w:space="0" w:color="000000"/>
              <w:left w:val="single" w:sz="3" w:space="0" w:color="000000"/>
              <w:bottom w:val="single" w:sz="4" w:space="0" w:color="000000"/>
              <w:right w:val="single" w:sz="4" w:space="0" w:color="000000"/>
            </w:tcBorders>
            <w:vAlign w:val="center"/>
          </w:tcPr>
          <w:p w14:paraId="70EF60EA" w14:textId="60A09B78" w:rsidR="009605AC" w:rsidRPr="00A731E1" w:rsidRDefault="009605AC" w:rsidP="00833B71">
            <w:pPr>
              <w:spacing w:after="0" w:line="240" w:lineRule="auto"/>
              <w:ind w:left="0" w:firstLine="0"/>
              <w:jc w:val="center"/>
              <w:rPr>
                <w:sz w:val="22"/>
              </w:rPr>
            </w:pPr>
            <w:r>
              <w:rPr>
                <w:sz w:val="22"/>
              </w:rPr>
              <w:t>Menej časté</w:t>
            </w:r>
          </w:p>
        </w:tc>
        <w:tc>
          <w:tcPr>
            <w:tcW w:w="1887" w:type="dxa"/>
            <w:tcBorders>
              <w:top w:val="single" w:sz="4" w:space="0" w:color="000000"/>
              <w:left w:val="single" w:sz="4" w:space="0" w:color="000000"/>
              <w:bottom w:val="single" w:sz="4" w:space="0" w:color="000000"/>
              <w:right w:val="single" w:sz="3" w:space="0" w:color="000000"/>
            </w:tcBorders>
            <w:vAlign w:val="center"/>
          </w:tcPr>
          <w:p w14:paraId="2A65DF74" w14:textId="77777777" w:rsidR="009605AC" w:rsidRPr="00A731E1" w:rsidRDefault="009605AC" w:rsidP="00833B71">
            <w:pPr>
              <w:spacing w:after="0" w:line="240" w:lineRule="auto"/>
              <w:ind w:left="0" w:right="54" w:firstLine="0"/>
              <w:jc w:val="center"/>
              <w:rPr>
                <w:sz w:val="22"/>
              </w:rPr>
            </w:pPr>
            <w:r>
              <w:rPr>
                <w:sz w:val="22"/>
              </w:rPr>
              <w:t>Menej časté</w:t>
            </w:r>
          </w:p>
        </w:tc>
      </w:tr>
    </w:tbl>
    <w:p w14:paraId="511385ED" w14:textId="77777777" w:rsidR="00B07789" w:rsidRPr="00A731E1" w:rsidRDefault="00D25089" w:rsidP="00650FC6">
      <w:pPr>
        <w:spacing w:after="0" w:line="240" w:lineRule="auto"/>
        <w:ind w:left="10"/>
        <w:rPr>
          <w:sz w:val="22"/>
        </w:rPr>
      </w:pPr>
      <w:r>
        <w:rPr>
          <w:sz w:val="22"/>
        </w:rPr>
        <w:t xml:space="preserve">*V štúdii CV185057 (dlhodobá prevencia VTE) sa nevyskytol generalizovaný pruritus </w:t>
      </w:r>
    </w:p>
    <w:p w14:paraId="7505B561" w14:textId="08489629" w:rsidR="00B07789" w:rsidRPr="00A731E1" w:rsidRDefault="00D25089" w:rsidP="00650FC6">
      <w:pPr>
        <w:spacing w:after="0" w:line="240" w:lineRule="auto"/>
        <w:ind w:left="10"/>
        <w:rPr>
          <w:sz w:val="22"/>
        </w:rPr>
      </w:pPr>
      <w:r>
        <w:rPr>
          <w:sz w:val="22"/>
        </w:rPr>
        <w:t xml:space="preserve">†Termín „krvácanie do mozgu“ zahŕňa všetky intrakraniálne alebo intraspinálne krvácania (napr. hemoragickú </w:t>
      </w:r>
      <w:r w:rsidR="003F457A">
        <w:rPr>
          <w:sz w:val="22"/>
        </w:rPr>
        <w:t xml:space="preserve">cievnu </w:t>
      </w:r>
      <w:r>
        <w:rPr>
          <w:sz w:val="22"/>
        </w:rPr>
        <w:t>mozgovú príhodu alebo krvácanie do oblasti putamenu</w:t>
      </w:r>
      <w:r w:rsidR="003F457A">
        <w:rPr>
          <w:sz w:val="22"/>
        </w:rPr>
        <w:t>,</w:t>
      </w:r>
      <w:r w:rsidR="009E1FE5">
        <w:rPr>
          <w:sz w:val="22"/>
        </w:rPr>
        <w:t xml:space="preserve"> </w:t>
      </w:r>
      <w:r>
        <w:rPr>
          <w:sz w:val="22"/>
        </w:rPr>
        <w:t xml:space="preserve">mozočku, vnútrokomorové alebo subdurálne krvácania). </w:t>
      </w:r>
    </w:p>
    <w:p w14:paraId="770C33BC" w14:textId="77777777" w:rsidR="00B07789" w:rsidRPr="00A731E1" w:rsidRDefault="00D25089" w:rsidP="00833B71">
      <w:pPr>
        <w:spacing w:after="0" w:line="240" w:lineRule="auto"/>
        <w:ind w:left="0" w:firstLine="0"/>
        <w:rPr>
          <w:sz w:val="22"/>
        </w:rPr>
      </w:pPr>
      <w:r>
        <w:rPr>
          <w:sz w:val="22"/>
        </w:rPr>
        <w:t xml:space="preserve"> </w:t>
      </w:r>
    </w:p>
    <w:p w14:paraId="2A29A9E9" w14:textId="63B54D3A" w:rsidR="00B07789" w:rsidRPr="00A731E1" w:rsidRDefault="00D25089" w:rsidP="00650FC6">
      <w:pPr>
        <w:spacing w:after="0" w:line="240" w:lineRule="auto"/>
        <w:ind w:left="10"/>
        <w:rPr>
          <w:sz w:val="22"/>
        </w:rPr>
      </w:pPr>
      <w:r>
        <w:rPr>
          <w:sz w:val="22"/>
        </w:rPr>
        <w:t xml:space="preserve">Použitie </w:t>
      </w:r>
      <w:r w:rsidR="003F457A">
        <w:rPr>
          <w:sz w:val="22"/>
        </w:rPr>
        <w:t>Polapixu</w:t>
      </w:r>
      <w:r w:rsidR="009E1FE5">
        <w:rPr>
          <w:sz w:val="22"/>
        </w:rPr>
        <w:t xml:space="preserve"> </w:t>
      </w:r>
      <w:r>
        <w:rPr>
          <w:sz w:val="22"/>
        </w:rPr>
        <w:t xml:space="preserve">sa môže spájať so zvýšeným rizikom skrytého alebo zjavného krvácania z akéhokoľvek tkaniva alebo orgánu, ktoré môže vyústiť do posthemoragickej anémie. </w:t>
      </w:r>
      <w:r w:rsidR="003F457A">
        <w:rPr>
          <w:sz w:val="22"/>
        </w:rPr>
        <w:t>Prejavy, p</w:t>
      </w:r>
      <w:r>
        <w:rPr>
          <w:sz w:val="22"/>
        </w:rPr>
        <w:t xml:space="preserve">ríznaky a závažnosť sa budú líšiť podľa lokality a stupňa alebo rozsahu krvácania (pozri časti 4.4 a 5.1). </w:t>
      </w:r>
    </w:p>
    <w:p w14:paraId="1B6817CE" w14:textId="77777777" w:rsidR="00B07789" w:rsidRPr="00A731E1" w:rsidRDefault="00D25089" w:rsidP="00833B71">
      <w:pPr>
        <w:spacing w:after="0" w:line="240" w:lineRule="auto"/>
        <w:ind w:left="0" w:firstLine="0"/>
        <w:rPr>
          <w:sz w:val="22"/>
        </w:rPr>
      </w:pPr>
      <w:r>
        <w:rPr>
          <w:sz w:val="22"/>
        </w:rPr>
        <w:t xml:space="preserve"> </w:t>
      </w:r>
    </w:p>
    <w:p w14:paraId="0365EA3E" w14:textId="77777777" w:rsidR="00B07789" w:rsidRPr="00A731E1" w:rsidRDefault="00D25089" w:rsidP="00650FC6">
      <w:pPr>
        <w:pStyle w:val="Nadpis2"/>
        <w:spacing w:after="0" w:line="240" w:lineRule="auto"/>
        <w:ind w:left="10"/>
        <w:rPr>
          <w:sz w:val="22"/>
        </w:rPr>
      </w:pPr>
      <w:r>
        <w:rPr>
          <w:sz w:val="22"/>
        </w:rPr>
        <w:t>Hlásenie podozrení na nežiaduce reakcie</w:t>
      </w:r>
      <w:r>
        <w:rPr>
          <w:sz w:val="22"/>
          <w:u w:val="none"/>
        </w:rPr>
        <w:t xml:space="preserve"> </w:t>
      </w:r>
    </w:p>
    <w:p w14:paraId="77D80D09" w14:textId="774B7F85" w:rsidR="00B07789" w:rsidRPr="00A731E1" w:rsidRDefault="00D25089" w:rsidP="00833B71">
      <w:pPr>
        <w:spacing w:after="0" w:line="240" w:lineRule="auto"/>
        <w:ind w:left="0" w:firstLine="0"/>
        <w:rPr>
          <w:sz w:val="22"/>
        </w:rPr>
      </w:pPr>
      <w:r>
        <w:rPr>
          <w:sz w:val="22"/>
        </w:rPr>
        <w:t>Hlásenie podozrení na nežiaduce reakcie po registrácii lieku je dôležité. Umožňuje priebežné monitorovanie pomeru prínosu a rizika lieku. Od zdravotníckych pracovníkov sa vyžaduje, aby hlásili akékoľvek podozrenia na</w:t>
      </w:r>
      <w:r w:rsidR="00E8372B">
        <w:rPr>
          <w:sz w:val="22"/>
        </w:rPr>
        <w:t xml:space="preserve"> nežiaduce reakcie na</w:t>
      </w:r>
      <w:r w:rsidR="009E1FE5">
        <w:rPr>
          <w:sz w:val="22"/>
        </w:rPr>
        <w:t xml:space="preserve"> </w:t>
      </w:r>
      <w:r w:rsidR="009E1FE5" w:rsidRPr="00F2138D">
        <w:rPr>
          <w:sz w:val="22"/>
          <w:highlight w:val="lightGray"/>
        </w:rPr>
        <w:t xml:space="preserve">národné </w:t>
      </w:r>
      <w:r w:rsidR="009E1FE5">
        <w:rPr>
          <w:sz w:val="22"/>
          <w:highlight w:val="lightGray"/>
        </w:rPr>
        <w:t>centrum</w:t>
      </w:r>
      <w:r w:rsidR="009E1FE5" w:rsidRPr="00F2138D">
        <w:rPr>
          <w:sz w:val="22"/>
          <w:highlight w:val="lightGray"/>
        </w:rPr>
        <w:t xml:space="preserve"> hlásenia uvedené v </w:t>
      </w:r>
      <w:hyperlink r:id="rId11" w:history="1">
        <w:r w:rsidR="009E1FE5" w:rsidRPr="00F2138D">
          <w:rPr>
            <w:rStyle w:val="Hypertextovprepojenie"/>
            <w:sz w:val="22"/>
            <w:highlight w:val="lightGray"/>
          </w:rPr>
          <w:t>Prílohe V</w:t>
        </w:r>
      </w:hyperlink>
      <w:r w:rsidR="009E1FE5">
        <w:rPr>
          <w:sz w:val="22"/>
        </w:rPr>
        <w:t xml:space="preserve">. </w:t>
      </w:r>
      <w:r w:rsidR="00E8372B">
        <w:rPr>
          <w:sz w:val="22"/>
        </w:rPr>
        <w:t xml:space="preserve"> </w:t>
      </w:r>
    </w:p>
    <w:p w14:paraId="3678FB2C" w14:textId="77777777" w:rsidR="00B07789" w:rsidRPr="00A731E1" w:rsidRDefault="00D25089" w:rsidP="00833B71">
      <w:pPr>
        <w:spacing w:after="0" w:line="240" w:lineRule="auto"/>
        <w:ind w:left="0" w:firstLine="0"/>
        <w:rPr>
          <w:sz w:val="22"/>
        </w:rPr>
      </w:pPr>
      <w:r>
        <w:rPr>
          <w:sz w:val="22"/>
        </w:rPr>
        <w:t xml:space="preserve"> </w:t>
      </w:r>
    </w:p>
    <w:p w14:paraId="5A4885D9" w14:textId="77777777" w:rsidR="00B07789" w:rsidRPr="00A731E1" w:rsidRDefault="00D25089" w:rsidP="001F3856">
      <w:pPr>
        <w:pStyle w:val="Nadpis3"/>
        <w:tabs>
          <w:tab w:val="center" w:pos="1002"/>
        </w:tabs>
        <w:spacing w:after="0" w:line="240" w:lineRule="auto"/>
        <w:ind w:left="567" w:hanging="567"/>
        <w:rPr>
          <w:sz w:val="22"/>
        </w:rPr>
      </w:pPr>
      <w:r>
        <w:rPr>
          <w:sz w:val="22"/>
        </w:rPr>
        <w:t>4.9</w:t>
      </w:r>
      <w:r>
        <w:rPr>
          <w:sz w:val="22"/>
        </w:rPr>
        <w:tab/>
        <w:t xml:space="preserve">Predávkovanie </w:t>
      </w:r>
    </w:p>
    <w:p w14:paraId="2B43BEE2" w14:textId="77777777" w:rsidR="00B07789" w:rsidRPr="00A731E1" w:rsidRDefault="00D25089" w:rsidP="00833B71">
      <w:pPr>
        <w:spacing w:after="0" w:line="240" w:lineRule="auto"/>
        <w:ind w:left="0" w:firstLine="0"/>
        <w:rPr>
          <w:sz w:val="22"/>
        </w:rPr>
      </w:pPr>
      <w:r>
        <w:rPr>
          <w:b/>
          <w:sz w:val="22"/>
        </w:rPr>
        <w:t xml:space="preserve"> </w:t>
      </w:r>
    </w:p>
    <w:p w14:paraId="60FEB0E7" w14:textId="471F0CD4" w:rsidR="00B07789" w:rsidRPr="00A731E1" w:rsidRDefault="00D25089" w:rsidP="00650FC6">
      <w:pPr>
        <w:spacing w:after="0" w:line="240" w:lineRule="auto"/>
        <w:ind w:left="10"/>
        <w:rPr>
          <w:sz w:val="22"/>
        </w:rPr>
      </w:pPr>
      <w:r>
        <w:rPr>
          <w:sz w:val="22"/>
        </w:rPr>
        <w:t>Predávkovanie apixabánom môže viesť ku zvýšenému riziku krvácania. V prípade komplikácií spôsobených krvácaním sa musí liečba ukončiť a vyšetriť zdroj krvácania. Je potrebné zvážiť začatie vhodnej liečby, napr. chirurgickej hemostázy, transfúzie čerstvej zmrazenej plazmy alebo pod</w:t>
      </w:r>
      <w:r w:rsidR="00CA08B9">
        <w:rPr>
          <w:sz w:val="22"/>
        </w:rPr>
        <w:t>anie</w:t>
      </w:r>
      <w:r>
        <w:rPr>
          <w:sz w:val="22"/>
        </w:rPr>
        <w:t xml:space="preserve"> </w:t>
      </w:r>
      <w:r w:rsidR="00CA08B9">
        <w:rPr>
          <w:sz w:val="22"/>
        </w:rPr>
        <w:t xml:space="preserve">liečiva </w:t>
      </w:r>
      <w:r>
        <w:rPr>
          <w:sz w:val="22"/>
        </w:rPr>
        <w:t xml:space="preserve">na zvrátenie účinku inhibítorov faktora Xa. </w:t>
      </w:r>
    </w:p>
    <w:p w14:paraId="25D56EBA" w14:textId="77777777" w:rsidR="00B07789" w:rsidRPr="00A731E1" w:rsidRDefault="00D25089" w:rsidP="00833B71">
      <w:pPr>
        <w:spacing w:after="0" w:line="240" w:lineRule="auto"/>
        <w:ind w:left="0" w:firstLine="0"/>
        <w:rPr>
          <w:sz w:val="22"/>
        </w:rPr>
      </w:pPr>
      <w:r>
        <w:rPr>
          <w:sz w:val="22"/>
        </w:rPr>
        <w:t xml:space="preserve"> </w:t>
      </w:r>
    </w:p>
    <w:p w14:paraId="0805A320" w14:textId="0D3BF311" w:rsidR="00B07789" w:rsidRPr="00A731E1" w:rsidRDefault="00D25089" w:rsidP="00650FC6">
      <w:pPr>
        <w:spacing w:after="0" w:line="240" w:lineRule="auto"/>
        <w:ind w:left="10"/>
        <w:rPr>
          <w:sz w:val="22"/>
        </w:rPr>
      </w:pPr>
      <w:r>
        <w:t xml:space="preserve">V kontrolovaných klinických štúdiách sa u zdravých </w:t>
      </w:r>
      <w:r w:rsidR="00CA08B9">
        <w:t>účastníkov</w:t>
      </w:r>
      <w:r>
        <w:t>, ktorým sa podával apixabán perorálne v dávkach do 50 mg denne počas 3 – 7 dní (25 mg dvakrát denne počas 7 dní alebo 50 mg jedenkrát denne počas 3 dní), neprejavili žiadne klinicky významné nežiaduce účinky.</w:t>
      </w:r>
      <w:r>
        <w:rPr>
          <w:sz w:val="22"/>
        </w:rPr>
        <w:t xml:space="preserve"> </w:t>
      </w:r>
    </w:p>
    <w:p w14:paraId="5B4FB606" w14:textId="77777777" w:rsidR="00B07789" w:rsidRPr="007E6137" w:rsidRDefault="00B07789" w:rsidP="00833B71">
      <w:pPr>
        <w:spacing w:after="0" w:line="240" w:lineRule="auto"/>
        <w:ind w:left="0" w:firstLine="0"/>
        <w:rPr>
          <w:sz w:val="22"/>
        </w:rPr>
      </w:pPr>
    </w:p>
    <w:p w14:paraId="1C06F540" w14:textId="31D1F52F" w:rsidR="00B07789" w:rsidRPr="00A731E1" w:rsidRDefault="00D25089" w:rsidP="00650FC6">
      <w:pPr>
        <w:spacing w:after="0" w:line="240" w:lineRule="auto"/>
        <w:ind w:left="10"/>
        <w:rPr>
          <w:sz w:val="22"/>
        </w:rPr>
      </w:pPr>
      <w:r w:rsidRPr="007D7480">
        <w:rPr>
          <w:sz w:val="22"/>
        </w:rPr>
        <w:t xml:space="preserve">U </w:t>
      </w:r>
      <w:r w:rsidRPr="00D94116">
        <w:rPr>
          <w:sz w:val="22"/>
        </w:rPr>
        <w:t xml:space="preserve">zdravých </w:t>
      </w:r>
      <w:r w:rsidR="00CA08B9" w:rsidRPr="00D94116">
        <w:rPr>
          <w:sz w:val="22"/>
        </w:rPr>
        <w:t>účastníkov</w:t>
      </w:r>
      <w:r w:rsidRPr="00D94116">
        <w:rPr>
          <w:sz w:val="22"/>
        </w:rPr>
        <w:t xml:space="preserve"> znížilo podanie aktívneho uhlia 2 a 6 hodín po požití </w:t>
      </w:r>
      <w:r w:rsidRPr="007D7480">
        <w:rPr>
          <w:sz w:val="22"/>
        </w:rPr>
        <w:t xml:space="preserve"> dávky</w:t>
      </w:r>
      <w:r w:rsidR="007D7480" w:rsidRPr="00EE68B4">
        <w:rPr>
          <w:sz w:val="22"/>
        </w:rPr>
        <w:t xml:space="preserve"> 20 mg</w:t>
      </w:r>
      <w:r w:rsidRPr="007D7480">
        <w:rPr>
          <w:sz w:val="22"/>
        </w:rPr>
        <w:t xml:space="preserve"> apixabánu priemernú AUC apixabánu o 50 % a 27 %, v uvedenom poradí, a nemalo žiadny vplyv na C</w:t>
      </w:r>
      <w:r w:rsidRPr="007D7480">
        <w:rPr>
          <w:sz w:val="22"/>
          <w:vertAlign w:val="subscript"/>
        </w:rPr>
        <w:t>max</w:t>
      </w:r>
      <w:r w:rsidRPr="007D7480">
        <w:rPr>
          <w:sz w:val="22"/>
        </w:rPr>
        <w:t xml:space="preserve">. </w:t>
      </w:r>
      <w:r w:rsidR="007D7480" w:rsidRPr="007D7480">
        <w:rPr>
          <w:sz w:val="22"/>
        </w:rPr>
        <w:t>Stredný polčas apixabánu klesol z 13,4 hodiny, keď bol apixabán podávaný samostatne, na 5,3 hodiny, keď bolo podané aktívne uhlie 2 hodiny po apixabáne, a na 4,9 hodiny, keď bolo podané po 6 hodinách.</w:t>
      </w:r>
      <w:r w:rsidRPr="007D7480">
        <w:rPr>
          <w:sz w:val="22"/>
        </w:rPr>
        <w:t>Podávanie aktívneho</w:t>
      </w:r>
      <w:r>
        <w:rPr>
          <w:sz w:val="22"/>
        </w:rPr>
        <w:t xml:space="preserve"> uhlia môže byť teda užitočné pri zvládaní predávkovania apixabánom alebo náhodn</w:t>
      </w:r>
      <w:r w:rsidR="00CA08B9">
        <w:rPr>
          <w:sz w:val="22"/>
        </w:rPr>
        <w:t>om</w:t>
      </w:r>
      <w:r>
        <w:rPr>
          <w:sz w:val="22"/>
        </w:rPr>
        <w:t xml:space="preserve"> požit</w:t>
      </w:r>
      <w:r w:rsidR="00CA08B9">
        <w:rPr>
          <w:sz w:val="22"/>
        </w:rPr>
        <w:t>í</w:t>
      </w:r>
      <w:r>
        <w:rPr>
          <w:sz w:val="22"/>
        </w:rPr>
        <w:t xml:space="preserve">. </w:t>
      </w:r>
    </w:p>
    <w:p w14:paraId="51FB4F65" w14:textId="77777777" w:rsidR="00B07789" w:rsidRPr="00A731E1" w:rsidRDefault="00D25089" w:rsidP="00833B71">
      <w:pPr>
        <w:spacing w:after="0" w:line="240" w:lineRule="auto"/>
        <w:ind w:left="0" w:firstLine="0"/>
        <w:rPr>
          <w:sz w:val="22"/>
        </w:rPr>
      </w:pPr>
      <w:r>
        <w:rPr>
          <w:sz w:val="22"/>
        </w:rPr>
        <w:t xml:space="preserve"> </w:t>
      </w:r>
    </w:p>
    <w:p w14:paraId="3121C9E8" w14:textId="393578E0" w:rsidR="00B07789" w:rsidRPr="00A731E1" w:rsidRDefault="00975B59" w:rsidP="00650FC6">
      <w:pPr>
        <w:spacing w:after="0" w:line="240" w:lineRule="auto"/>
        <w:ind w:left="10"/>
        <w:rPr>
          <w:sz w:val="22"/>
        </w:rPr>
      </w:pPr>
      <w:r>
        <w:rPr>
          <w:sz w:val="22"/>
        </w:rPr>
        <w:t xml:space="preserve">V situáciách, keď je kvôli život ohrozujúcemu alebo nekontrolovanému krvácaniu potrebné zvrátenie antikoagulácie, je k dispozícii </w:t>
      </w:r>
      <w:r w:rsidR="00CA08B9">
        <w:rPr>
          <w:sz w:val="22"/>
        </w:rPr>
        <w:t>liečivo</w:t>
      </w:r>
      <w:r>
        <w:rPr>
          <w:sz w:val="22"/>
        </w:rPr>
        <w:t xml:space="preserve"> na zvrátenie účinku inhibítorov faktora Xa (pozri časť 4.4) Možno zvážiť aj podanie koncentrátov protrombínového komplexu (prothrombin complex concentrates, PCC) alebo rekombinantného faktora VIIa. Zrušenie farmakodynamických účinkov </w:t>
      </w:r>
      <w:r w:rsidR="00CA08B9">
        <w:rPr>
          <w:sz w:val="22"/>
        </w:rPr>
        <w:t>Polapixu</w:t>
      </w:r>
      <w:r>
        <w:rPr>
          <w:sz w:val="22"/>
        </w:rPr>
        <w:t xml:space="preserve"> preukázané zmenami v teste na tvorbu trombínu bolo zrejmé na konci infúzie a začiatočné hodnoty boli dosiahnuté v priebehu 4 hodín po začatí 30 minú</w:t>
      </w:r>
      <w:r w:rsidR="00E8372B">
        <w:rPr>
          <w:sz w:val="22"/>
        </w:rPr>
        <w:t>tovej infúzie 4</w:t>
      </w:r>
      <w:r w:rsidR="00E8372B">
        <w:rPr>
          <w:sz w:val="22"/>
        </w:rPr>
        <w:noBreakHyphen/>
        <w:t xml:space="preserve">faktorového PCC u zdravých </w:t>
      </w:r>
      <w:r w:rsidR="00CA08B9">
        <w:rPr>
          <w:sz w:val="22"/>
        </w:rPr>
        <w:t>osôb</w:t>
      </w:r>
      <w:r w:rsidR="00E8372B">
        <w:rPr>
          <w:sz w:val="22"/>
        </w:rPr>
        <w:t>.</w:t>
      </w:r>
    </w:p>
    <w:p w14:paraId="784B988D" w14:textId="31B9C20E" w:rsidR="00B07789" w:rsidRPr="00A731E1" w:rsidRDefault="00D25089" w:rsidP="00650FC6">
      <w:pPr>
        <w:spacing w:after="0" w:line="240" w:lineRule="auto"/>
        <w:ind w:left="10"/>
        <w:rPr>
          <w:sz w:val="22"/>
        </w:rPr>
      </w:pPr>
      <w:r>
        <w:rPr>
          <w:sz w:val="22"/>
        </w:rPr>
        <w:t>Nie sú však žiadne klinické skúsenosti s použitím 4</w:t>
      </w:r>
      <w:r>
        <w:rPr>
          <w:sz w:val="22"/>
        </w:rPr>
        <w:noBreakHyphen/>
        <w:t xml:space="preserve">faktorových PCC na zastavenie krvácania u </w:t>
      </w:r>
      <w:r w:rsidR="00CA08B9">
        <w:rPr>
          <w:sz w:val="22"/>
        </w:rPr>
        <w:t>osôb</w:t>
      </w:r>
      <w:r>
        <w:rPr>
          <w:sz w:val="22"/>
        </w:rPr>
        <w:t>, ktor</w:t>
      </w:r>
      <w:r w:rsidR="00CA08B9">
        <w:rPr>
          <w:sz w:val="22"/>
        </w:rPr>
        <w:t>é</w:t>
      </w:r>
      <w:r>
        <w:rPr>
          <w:sz w:val="22"/>
        </w:rPr>
        <w:t xml:space="preserve"> dostali </w:t>
      </w:r>
      <w:r w:rsidR="00CA08B9">
        <w:rPr>
          <w:sz w:val="22"/>
        </w:rPr>
        <w:t>Polapix</w:t>
      </w:r>
      <w:r>
        <w:rPr>
          <w:sz w:val="22"/>
        </w:rPr>
        <w:t xml:space="preserve">]. V súčasnosti nie sú žiadne skúsenosti s použitím rekombinantného faktora VIIa u </w:t>
      </w:r>
      <w:r w:rsidR="00CA08B9">
        <w:rPr>
          <w:sz w:val="22"/>
        </w:rPr>
        <w:t xml:space="preserve">osôb </w:t>
      </w:r>
      <w:r>
        <w:rPr>
          <w:sz w:val="22"/>
        </w:rPr>
        <w:t xml:space="preserve">užívajúcich apixabán. Môže sa zvážiť opätovné dávkovanie rekombinantného faktora VIIa a titrovať ho v závislosti od zlepšenia krvácania. </w:t>
      </w:r>
    </w:p>
    <w:p w14:paraId="0728602C" w14:textId="77777777" w:rsidR="00B07789" w:rsidRPr="00A731E1" w:rsidRDefault="00D25089" w:rsidP="00833B71">
      <w:pPr>
        <w:spacing w:after="0" w:line="240" w:lineRule="auto"/>
        <w:ind w:left="0" w:firstLine="0"/>
        <w:rPr>
          <w:sz w:val="22"/>
        </w:rPr>
      </w:pPr>
      <w:r>
        <w:rPr>
          <w:sz w:val="22"/>
        </w:rPr>
        <w:t xml:space="preserve"> </w:t>
      </w:r>
    </w:p>
    <w:p w14:paraId="32FE30B5" w14:textId="77777777" w:rsidR="00B07789" w:rsidRPr="00A731E1" w:rsidRDefault="00D25089" w:rsidP="00650FC6">
      <w:pPr>
        <w:spacing w:after="0" w:line="240" w:lineRule="auto"/>
        <w:ind w:left="10"/>
        <w:rPr>
          <w:sz w:val="22"/>
        </w:rPr>
      </w:pPr>
      <w:r>
        <w:rPr>
          <w:sz w:val="22"/>
        </w:rPr>
        <w:t xml:space="preserve">V závislosti od lokálnej dostupnosti sa v prípade rozsiahleho krvácania môže zvážiť konzultácia experta na koaguláciu. </w:t>
      </w:r>
    </w:p>
    <w:p w14:paraId="5C9F567C" w14:textId="77777777" w:rsidR="00B07789" w:rsidRPr="00A731E1" w:rsidRDefault="00D25089" w:rsidP="00833B71">
      <w:pPr>
        <w:spacing w:after="0" w:line="240" w:lineRule="auto"/>
        <w:ind w:left="0" w:firstLine="0"/>
        <w:rPr>
          <w:sz w:val="22"/>
        </w:rPr>
      </w:pPr>
      <w:r>
        <w:rPr>
          <w:sz w:val="22"/>
        </w:rPr>
        <w:lastRenderedPageBreak/>
        <w:t xml:space="preserve"> </w:t>
      </w:r>
    </w:p>
    <w:p w14:paraId="67C5BEDE" w14:textId="77777777" w:rsidR="00B07789" w:rsidRPr="00A731E1" w:rsidRDefault="00D25089" w:rsidP="00650FC6">
      <w:pPr>
        <w:spacing w:after="0" w:line="240" w:lineRule="auto"/>
        <w:ind w:left="10"/>
        <w:rPr>
          <w:sz w:val="22"/>
        </w:rPr>
      </w:pPr>
      <w:r>
        <w:rPr>
          <w:sz w:val="22"/>
        </w:rPr>
        <w:t xml:space="preserve">Hemodialýza znížila AUC apixabánu o 14 % u pacientov s terminálnym štádiom ochorenia obličiek (ESRD), keď sa podávala jednorazová dávka apixabánu 5 mg perorálne. Preto je nepravdepodobné, že by hemodialýza bola účinným prostriedkom pri liečbe predávkovania apixabánom. </w:t>
      </w:r>
    </w:p>
    <w:p w14:paraId="2838331A" w14:textId="77777777" w:rsidR="00B07789" w:rsidRPr="00A731E1" w:rsidRDefault="00D25089" w:rsidP="00833B71">
      <w:pPr>
        <w:spacing w:after="0" w:line="240" w:lineRule="auto"/>
        <w:ind w:left="0" w:firstLine="0"/>
        <w:rPr>
          <w:sz w:val="22"/>
        </w:rPr>
      </w:pPr>
      <w:r>
        <w:rPr>
          <w:sz w:val="22"/>
        </w:rPr>
        <w:t xml:space="preserve"> </w:t>
      </w:r>
    </w:p>
    <w:p w14:paraId="0F0D27DE" w14:textId="77777777" w:rsidR="00B07789" w:rsidRPr="00A731E1" w:rsidRDefault="00D25089" w:rsidP="00F77A41">
      <w:pPr>
        <w:keepNext/>
        <w:spacing w:after="0" w:line="240" w:lineRule="auto"/>
        <w:ind w:left="0" w:firstLine="0"/>
        <w:rPr>
          <w:sz w:val="22"/>
        </w:rPr>
      </w:pPr>
      <w:r>
        <w:rPr>
          <w:sz w:val="22"/>
        </w:rPr>
        <w:t xml:space="preserve"> </w:t>
      </w:r>
    </w:p>
    <w:p w14:paraId="06BF24B4" w14:textId="77777777" w:rsidR="00B07789" w:rsidRPr="00A731E1" w:rsidRDefault="00D25089" w:rsidP="00F77A41">
      <w:pPr>
        <w:pStyle w:val="Nadpis1"/>
        <w:keepLines w:val="0"/>
        <w:tabs>
          <w:tab w:val="center" w:pos="2379"/>
        </w:tabs>
        <w:spacing w:after="0" w:line="240" w:lineRule="auto"/>
        <w:ind w:left="567" w:hanging="567"/>
        <w:rPr>
          <w:sz w:val="22"/>
        </w:rPr>
      </w:pPr>
      <w:r>
        <w:rPr>
          <w:sz w:val="22"/>
        </w:rPr>
        <w:t xml:space="preserve">5. </w:t>
      </w:r>
      <w:r>
        <w:rPr>
          <w:sz w:val="22"/>
        </w:rPr>
        <w:tab/>
        <w:t>FARMAKOLOGICKÉ VLASTNOSTI</w:t>
      </w:r>
      <w:r>
        <w:rPr>
          <w:b w:val="0"/>
          <w:sz w:val="22"/>
        </w:rPr>
        <w:t xml:space="preserve"> </w:t>
      </w:r>
    </w:p>
    <w:p w14:paraId="6DEFB194" w14:textId="77777777" w:rsidR="00B07789" w:rsidRPr="00A731E1" w:rsidRDefault="00D25089" w:rsidP="00F77A41">
      <w:pPr>
        <w:keepNext/>
        <w:spacing w:after="0" w:line="240" w:lineRule="auto"/>
        <w:ind w:left="0" w:firstLine="0"/>
        <w:rPr>
          <w:sz w:val="22"/>
        </w:rPr>
      </w:pPr>
      <w:r>
        <w:rPr>
          <w:sz w:val="22"/>
        </w:rPr>
        <w:t xml:space="preserve"> </w:t>
      </w:r>
    </w:p>
    <w:p w14:paraId="1F7C70B5" w14:textId="77777777" w:rsidR="00B07789" w:rsidRPr="00A731E1" w:rsidRDefault="00D25089" w:rsidP="00F77A41">
      <w:pPr>
        <w:keepNext/>
        <w:tabs>
          <w:tab w:val="center" w:pos="1895"/>
        </w:tabs>
        <w:spacing w:after="0" w:line="240" w:lineRule="auto"/>
        <w:ind w:left="567" w:hanging="567"/>
        <w:rPr>
          <w:sz w:val="22"/>
        </w:rPr>
      </w:pPr>
      <w:r>
        <w:rPr>
          <w:b/>
          <w:sz w:val="22"/>
        </w:rPr>
        <w:t>5.1</w:t>
      </w:r>
      <w:r>
        <w:rPr>
          <w:b/>
          <w:sz w:val="22"/>
        </w:rPr>
        <w:tab/>
        <w:t xml:space="preserve">Farmakodynamické vlastnosti </w:t>
      </w:r>
    </w:p>
    <w:p w14:paraId="03FC7FA3" w14:textId="77777777" w:rsidR="00B07789" w:rsidRPr="00A731E1" w:rsidRDefault="00D25089" w:rsidP="00F77A41">
      <w:pPr>
        <w:keepNext/>
        <w:spacing w:after="0" w:line="240" w:lineRule="auto"/>
        <w:ind w:left="0" w:firstLine="0"/>
        <w:rPr>
          <w:sz w:val="22"/>
        </w:rPr>
      </w:pPr>
      <w:r>
        <w:rPr>
          <w:sz w:val="22"/>
        </w:rPr>
        <w:t xml:space="preserve"> </w:t>
      </w:r>
    </w:p>
    <w:p w14:paraId="08B94651" w14:textId="77777777" w:rsidR="00B07789" w:rsidRPr="00A731E1" w:rsidRDefault="00D25089" w:rsidP="00650FC6">
      <w:pPr>
        <w:keepNext/>
        <w:spacing w:after="0" w:line="240" w:lineRule="auto"/>
        <w:ind w:left="10"/>
        <w:rPr>
          <w:sz w:val="22"/>
        </w:rPr>
      </w:pPr>
      <w:r>
        <w:rPr>
          <w:sz w:val="22"/>
        </w:rPr>
        <w:t xml:space="preserve">Farmakoterapeutická skupina: antitrombotiká, priame inhibítory faktora Xa, ATC kód: B01AF02 </w:t>
      </w:r>
    </w:p>
    <w:p w14:paraId="46CB4A72" w14:textId="77777777" w:rsidR="00B07789" w:rsidRPr="00A731E1" w:rsidRDefault="00D25089" w:rsidP="00833B71">
      <w:pPr>
        <w:spacing w:after="0" w:line="240" w:lineRule="auto"/>
        <w:ind w:left="0" w:firstLine="0"/>
        <w:rPr>
          <w:sz w:val="22"/>
        </w:rPr>
      </w:pPr>
      <w:r>
        <w:rPr>
          <w:sz w:val="22"/>
        </w:rPr>
        <w:t xml:space="preserve"> </w:t>
      </w:r>
    </w:p>
    <w:p w14:paraId="7FF3DA04" w14:textId="77777777" w:rsidR="00B07789" w:rsidRPr="00A731E1" w:rsidRDefault="00D25089" w:rsidP="00650FC6">
      <w:pPr>
        <w:pStyle w:val="Nadpis2"/>
        <w:spacing w:after="0" w:line="240" w:lineRule="auto"/>
        <w:ind w:left="10"/>
        <w:rPr>
          <w:sz w:val="22"/>
        </w:rPr>
      </w:pPr>
      <w:r>
        <w:rPr>
          <w:sz w:val="22"/>
        </w:rPr>
        <w:t>Mechanizmus účinku</w:t>
      </w:r>
      <w:r>
        <w:rPr>
          <w:sz w:val="22"/>
          <w:u w:val="none"/>
        </w:rPr>
        <w:t xml:space="preserve"> </w:t>
      </w:r>
    </w:p>
    <w:p w14:paraId="48FFCD27" w14:textId="10FA3BAD" w:rsidR="00B07789" w:rsidRPr="00A731E1" w:rsidRDefault="00D25089" w:rsidP="00650FC6">
      <w:pPr>
        <w:spacing w:after="0" w:line="240" w:lineRule="auto"/>
        <w:ind w:left="10"/>
        <w:rPr>
          <w:sz w:val="22"/>
        </w:rPr>
      </w:pPr>
      <w:r>
        <w:rPr>
          <w:sz w:val="22"/>
        </w:rPr>
        <w:t>Apixabán je silný, perorálny, reverzibilný, priamy a vysoko selektívny inhibítor faktora Xa. Na svoju antitrombotickú aktivitu si nevyžaduje antitrombín III. Apixabán inhibuje voľný a na krvnú zrazeninu viazaný faktor Xa a aktivitu protrombinázy. Apixabán nemá žiadne priame účinky na agregáciu krvných doštičiek, ale nepriamo inhibuje agregáciu krvných doštičiek vyvolanú trombínom. Inhibíciou faktora Xa apixabán zabraňuje tvorbe trombínu a vzniku trombu. Predklinické štúdie s apixabánom na zviera</w:t>
      </w:r>
      <w:r w:rsidR="007F17B0">
        <w:rPr>
          <w:sz w:val="22"/>
        </w:rPr>
        <w:t>cích modeloch</w:t>
      </w:r>
      <w:r>
        <w:rPr>
          <w:sz w:val="22"/>
        </w:rPr>
        <w:t xml:space="preserve"> preukázali antitrombotický účinok v prevencii </w:t>
      </w:r>
      <w:r w:rsidR="007F17B0">
        <w:rPr>
          <w:sz w:val="22"/>
        </w:rPr>
        <w:t xml:space="preserve">artériovej </w:t>
      </w:r>
      <w:r>
        <w:rPr>
          <w:sz w:val="22"/>
        </w:rPr>
        <w:t xml:space="preserve">a venóznej trombózy v dávkach, ktoré zachovávajú hemostázu. </w:t>
      </w:r>
    </w:p>
    <w:p w14:paraId="186E3B32" w14:textId="77777777" w:rsidR="00B07789" w:rsidRPr="00A731E1" w:rsidRDefault="00D25089" w:rsidP="00833B71">
      <w:pPr>
        <w:spacing w:after="0" w:line="240" w:lineRule="auto"/>
        <w:ind w:left="0" w:firstLine="0"/>
        <w:rPr>
          <w:sz w:val="22"/>
        </w:rPr>
      </w:pPr>
      <w:r>
        <w:rPr>
          <w:sz w:val="22"/>
        </w:rPr>
        <w:t xml:space="preserve"> </w:t>
      </w:r>
    </w:p>
    <w:p w14:paraId="57E1A176" w14:textId="77777777" w:rsidR="00B07789" w:rsidRPr="00A731E1" w:rsidRDefault="00D25089" w:rsidP="00650FC6">
      <w:pPr>
        <w:pStyle w:val="Nadpis2"/>
        <w:spacing w:after="0" w:line="240" w:lineRule="auto"/>
        <w:ind w:left="10"/>
        <w:rPr>
          <w:sz w:val="22"/>
        </w:rPr>
      </w:pPr>
      <w:r>
        <w:rPr>
          <w:sz w:val="22"/>
        </w:rPr>
        <w:t>Farmakodynamické účinky</w:t>
      </w:r>
      <w:r>
        <w:rPr>
          <w:sz w:val="22"/>
          <w:u w:val="none"/>
        </w:rPr>
        <w:t xml:space="preserve"> </w:t>
      </w:r>
    </w:p>
    <w:p w14:paraId="05FC23D5" w14:textId="0E4D64C4" w:rsidR="00B07789" w:rsidRPr="00A731E1" w:rsidRDefault="00D25089" w:rsidP="00650FC6">
      <w:pPr>
        <w:spacing w:after="0" w:line="240" w:lineRule="auto"/>
        <w:ind w:left="10"/>
        <w:rPr>
          <w:sz w:val="22"/>
        </w:rPr>
      </w:pPr>
      <w:r>
        <w:rPr>
          <w:sz w:val="22"/>
        </w:rPr>
        <w:t xml:space="preserve">Farmakodynamické účinky apixabánu reflektujú mechanizmus účinku (inhibícia FXa). V dôsledku inhibície FXa apixabán predlžuje testy zrážavosti, ako protrombínový čas (PT), INR a aktivovaný parciálny tromboplastínový čas (aPTT). Zmeny pozorované v týchto testoch zrážavosti v očakávaných terapeutických dávkach sú </w:t>
      </w:r>
      <w:r w:rsidRPr="00FF0224">
        <w:rPr>
          <w:sz w:val="22"/>
        </w:rPr>
        <w:t>malé a podliehajú vysokému stupňu variability. Neodporúčajú sa na hodnotenie farmakodynamických účinkov apixabánu. V teste  tvorb</w:t>
      </w:r>
      <w:r w:rsidR="007F17B0" w:rsidRPr="00FF0224">
        <w:rPr>
          <w:sz w:val="22"/>
        </w:rPr>
        <w:t>y</w:t>
      </w:r>
      <w:r w:rsidRPr="00FF0224">
        <w:rPr>
          <w:sz w:val="22"/>
        </w:rPr>
        <w:t xml:space="preserve"> trombínu znížil apixabán endogénn</w:t>
      </w:r>
      <w:r w:rsidR="00FF0224" w:rsidRPr="00EE68B4">
        <w:rPr>
          <w:sz w:val="22"/>
        </w:rPr>
        <w:t>y</w:t>
      </w:r>
      <w:r w:rsidRPr="00FF0224">
        <w:rPr>
          <w:sz w:val="22"/>
        </w:rPr>
        <w:t xml:space="preserve"> trombín</w:t>
      </w:r>
      <w:r w:rsidR="00FF0224" w:rsidRPr="00EE68B4">
        <w:rPr>
          <w:sz w:val="22"/>
        </w:rPr>
        <w:t>ový potenciál</w:t>
      </w:r>
      <w:r w:rsidRPr="00FF0224">
        <w:rPr>
          <w:sz w:val="22"/>
        </w:rPr>
        <w:t>,</w:t>
      </w:r>
      <w:r w:rsidR="00FF0224" w:rsidRPr="00EE68B4">
        <w:rPr>
          <w:sz w:val="22"/>
        </w:rPr>
        <w:t xml:space="preserve"> ktorý je</w:t>
      </w:r>
      <w:r w:rsidRPr="00FF0224">
        <w:rPr>
          <w:sz w:val="22"/>
        </w:rPr>
        <w:t xml:space="preserve"> mier</w:t>
      </w:r>
      <w:r w:rsidR="00FF0224" w:rsidRPr="00EE68B4">
        <w:rPr>
          <w:sz w:val="22"/>
        </w:rPr>
        <w:t>ou</w:t>
      </w:r>
      <w:r w:rsidRPr="00FF0224">
        <w:rPr>
          <w:sz w:val="22"/>
        </w:rPr>
        <w:t xml:space="preserve"> tvorby trombínu v ľudskej plazme.</w:t>
      </w:r>
      <w:r>
        <w:rPr>
          <w:sz w:val="22"/>
        </w:rPr>
        <w:t xml:space="preserve"> </w:t>
      </w:r>
    </w:p>
    <w:p w14:paraId="34F74E70" w14:textId="77777777" w:rsidR="00B07789" w:rsidRPr="00A731E1" w:rsidRDefault="00D25089" w:rsidP="00833B71">
      <w:pPr>
        <w:spacing w:after="0" w:line="240" w:lineRule="auto"/>
        <w:ind w:left="0" w:firstLine="0"/>
        <w:rPr>
          <w:sz w:val="22"/>
        </w:rPr>
      </w:pPr>
      <w:r>
        <w:rPr>
          <w:sz w:val="22"/>
        </w:rPr>
        <w:t xml:space="preserve"> </w:t>
      </w:r>
    </w:p>
    <w:p w14:paraId="0E88F109" w14:textId="1976B55F" w:rsidR="00B07789" w:rsidRPr="00A731E1" w:rsidRDefault="00D25089" w:rsidP="00650FC6">
      <w:pPr>
        <w:spacing w:after="0" w:line="240" w:lineRule="auto"/>
        <w:ind w:left="10" w:right="-235"/>
        <w:rPr>
          <w:sz w:val="22"/>
        </w:rPr>
      </w:pPr>
      <w:r>
        <w:rPr>
          <w:sz w:val="22"/>
        </w:rPr>
        <w:t>Apixabán vykazuje aj anti</w:t>
      </w:r>
      <w:r>
        <w:rPr>
          <w:sz w:val="22"/>
        </w:rPr>
        <w:noBreakHyphen/>
        <w:t xml:space="preserve">FXa aktivitu, čo je zrejmé zo zníženia enzýmovej aktivity faktora Xa v mnohých komerčných </w:t>
      </w:r>
      <w:r w:rsidR="00E267FD">
        <w:rPr>
          <w:sz w:val="22"/>
        </w:rPr>
        <w:t xml:space="preserve">kitoch </w:t>
      </w:r>
      <w:r>
        <w:rPr>
          <w:sz w:val="22"/>
        </w:rPr>
        <w:t>anti</w:t>
      </w:r>
      <w:r>
        <w:rPr>
          <w:sz w:val="22"/>
        </w:rPr>
        <w:noBreakHyphen/>
        <w:t xml:space="preserve">FXa, avšak výsledky medzi jednotlivými </w:t>
      </w:r>
      <w:r w:rsidR="00E267FD">
        <w:rPr>
          <w:sz w:val="22"/>
        </w:rPr>
        <w:t xml:space="preserve">kitmi </w:t>
      </w:r>
      <w:r>
        <w:rPr>
          <w:sz w:val="22"/>
        </w:rPr>
        <w:t xml:space="preserve">sa líšia. Údaje z klinických štúdií sú dostupné len </w:t>
      </w:r>
      <w:r w:rsidR="00FF0224">
        <w:rPr>
          <w:sz w:val="22"/>
        </w:rPr>
        <w:t xml:space="preserve">pre </w:t>
      </w:r>
      <w:r w:rsidR="00FF0224" w:rsidRPr="00FF0224">
        <w:rPr>
          <w:sz w:val="22"/>
        </w:rPr>
        <w:t>heparínovú</w:t>
      </w:r>
      <w:r w:rsidRPr="00FF0224">
        <w:rPr>
          <w:sz w:val="22"/>
        </w:rPr>
        <w:t xml:space="preserve"> chromogénn</w:t>
      </w:r>
      <w:r w:rsidR="00FF0224" w:rsidRPr="00EE68B4">
        <w:rPr>
          <w:sz w:val="22"/>
        </w:rPr>
        <w:t>u analýzu</w:t>
      </w:r>
      <w:r>
        <w:rPr>
          <w:sz w:val="22"/>
        </w:rPr>
        <w:t xml:space="preserve"> Rotachrom® Heparin. Anti</w:t>
      </w:r>
      <w:r>
        <w:rPr>
          <w:sz w:val="22"/>
        </w:rPr>
        <w:noBreakHyphen/>
        <w:t xml:space="preserve">FXa aktivita </w:t>
      </w:r>
      <w:r w:rsidR="00FF0224">
        <w:rPr>
          <w:sz w:val="22"/>
        </w:rPr>
        <w:t>je priamo lineárne závislá</w:t>
      </w:r>
      <w:r>
        <w:rPr>
          <w:sz w:val="22"/>
        </w:rPr>
        <w:t xml:space="preserve"> </w:t>
      </w:r>
      <w:r w:rsidR="00FF0224">
        <w:rPr>
          <w:sz w:val="22"/>
        </w:rPr>
        <w:t>od</w:t>
      </w:r>
      <w:r>
        <w:rPr>
          <w:sz w:val="22"/>
        </w:rPr>
        <w:t xml:space="preserve"> plazmatick</w:t>
      </w:r>
      <w:r w:rsidR="00FF0224">
        <w:rPr>
          <w:sz w:val="22"/>
        </w:rPr>
        <w:t>ej</w:t>
      </w:r>
      <w:r>
        <w:rPr>
          <w:sz w:val="22"/>
        </w:rPr>
        <w:t xml:space="preserve"> koncentráci</w:t>
      </w:r>
      <w:r w:rsidR="00FF0224">
        <w:rPr>
          <w:sz w:val="22"/>
        </w:rPr>
        <w:t>e</w:t>
      </w:r>
      <w:r>
        <w:rPr>
          <w:sz w:val="22"/>
        </w:rPr>
        <w:t xml:space="preserve"> apixabánu</w:t>
      </w:r>
      <w:r w:rsidR="00FF0224">
        <w:rPr>
          <w:sz w:val="22"/>
        </w:rPr>
        <w:t xml:space="preserve"> a dosahuje</w:t>
      </w:r>
      <w:r>
        <w:rPr>
          <w:sz w:val="22"/>
        </w:rPr>
        <w:t xml:space="preserve"> </w:t>
      </w:r>
      <w:r w:rsidRPr="00FF0224">
        <w:rPr>
          <w:sz w:val="22"/>
        </w:rPr>
        <w:t>maximáln</w:t>
      </w:r>
      <w:r w:rsidR="00FF0224" w:rsidRPr="00FF0224">
        <w:rPr>
          <w:sz w:val="22"/>
        </w:rPr>
        <w:t>e</w:t>
      </w:r>
      <w:r w:rsidRPr="00FF0224">
        <w:rPr>
          <w:sz w:val="22"/>
        </w:rPr>
        <w:t xml:space="preserve"> hodnot</w:t>
      </w:r>
      <w:r w:rsidR="00FF0224" w:rsidRPr="00EE68B4">
        <w:rPr>
          <w:sz w:val="22"/>
        </w:rPr>
        <w:t>y</w:t>
      </w:r>
      <w:r w:rsidRPr="00FF0224">
        <w:rPr>
          <w:sz w:val="22"/>
        </w:rPr>
        <w:t xml:space="preserve"> v čase maximálnych </w:t>
      </w:r>
      <w:r w:rsidR="00E267FD" w:rsidRPr="00FF0224">
        <w:rPr>
          <w:sz w:val="22"/>
        </w:rPr>
        <w:t xml:space="preserve">plazmatických </w:t>
      </w:r>
      <w:r w:rsidRPr="00C33B1E">
        <w:rPr>
          <w:sz w:val="22"/>
        </w:rPr>
        <w:t>koncentrácií apixabánu. Vzťah</w:t>
      </w:r>
      <w:r>
        <w:rPr>
          <w:sz w:val="22"/>
        </w:rPr>
        <w:t xml:space="preserve"> medzi plazmatickými koncentráciami apixabánu a anti</w:t>
      </w:r>
      <w:r>
        <w:rPr>
          <w:sz w:val="22"/>
        </w:rPr>
        <w:noBreakHyphen/>
        <w:t>FXa aktivitou je približne lineárny v širokom rozpätí dáv</w:t>
      </w:r>
      <w:r w:rsidR="00282308">
        <w:rPr>
          <w:sz w:val="22"/>
        </w:rPr>
        <w:t>ok</w:t>
      </w:r>
      <w:r>
        <w:rPr>
          <w:sz w:val="22"/>
        </w:rPr>
        <w:t xml:space="preserve"> apixabánu. </w:t>
      </w:r>
    </w:p>
    <w:p w14:paraId="3693B1A6" w14:textId="77777777" w:rsidR="00B07789" w:rsidRPr="00A731E1" w:rsidRDefault="00D25089" w:rsidP="00833B71">
      <w:pPr>
        <w:spacing w:after="0" w:line="240" w:lineRule="auto"/>
        <w:ind w:left="0" w:firstLine="0"/>
        <w:rPr>
          <w:sz w:val="22"/>
        </w:rPr>
      </w:pPr>
      <w:r>
        <w:rPr>
          <w:sz w:val="22"/>
        </w:rPr>
        <w:t xml:space="preserve"> </w:t>
      </w:r>
    </w:p>
    <w:p w14:paraId="5B12FCCD" w14:textId="077F6A4D" w:rsidR="00B07789" w:rsidRDefault="00D25089" w:rsidP="00833B71">
      <w:pPr>
        <w:spacing w:after="0" w:line="240" w:lineRule="auto"/>
        <w:ind w:left="0"/>
        <w:rPr>
          <w:sz w:val="22"/>
        </w:rPr>
      </w:pPr>
      <w:r>
        <w:rPr>
          <w:sz w:val="22"/>
        </w:rPr>
        <w:t xml:space="preserve">Tabuľka 3 zobrazuje </w:t>
      </w:r>
      <w:r w:rsidR="00C176CF">
        <w:rPr>
          <w:sz w:val="22"/>
        </w:rPr>
        <w:t xml:space="preserve">predpokladanú </w:t>
      </w:r>
      <w:r>
        <w:rPr>
          <w:sz w:val="22"/>
        </w:rPr>
        <w:t xml:space="preserve">expozíciu v </w:t>
      </w:r>
      <w:r w:rsidRPr="00FF0224">
        <w:rPr>
          <w:sz w:val="22"/>
        </w:rPr>
        <w:t xml:space="preserve">rovnovážnom </w:t>
      </w:r>
      <w:r w:rsidRPr="00265FFF">
        <w:rPr>
          <w:sz w:val="22"/>
        </w:rPr>
        <w:t>stave a</w:t>
      </w:r>
      <w:r w:rsidR="00C176CF">
        <w:rPr>
          <w:sz w:val="22"/>
        </w:rPr>
        <w:t> aktivitu proti faktoru</w:t>
      </w:r>
      <w:r w:rsidR="007C57B2">
        <w:rPr>
          <w:sz w:val="22"/>
        </w:rPr>
        <w:t xml:space="preserve"> Xa pre každú indikáciu. </w:t>
      </w:r>
      <w:r>
        <w:rPr>
          <w:sz w:val="22"/>
        </w:rPr>
        <w:t xml:space="preserve"> </w:t>
      </w:r>
      <w:r w:rsidR="007C57B2">
        <w:rPr>
          <w:sz w:val="22"/>
        </w:rPr>
        <w:t>U pacientov užívajúcich apixabán na prevenciu VTE po náhrade bedrového alebo kolenného kĺbu výsledky ukazujú menej než 1,6-násobn</w:t>
      </w:r>
      <w:r w:rsidR="00C5587F">
        <w:rPr>
          <w:sz w:val="22"/>
        </w:rPr>
        <w:t>é</w:t>
      </w:r>
      <w:r w:rsidR="007C57B2">
        <w:rPr>
          <w:sz w:val="22"/>
        </w:rPr>
        <w:t xml:space="preserve"> </w:t>
      </w:r>
      <w:r w:rsidR="00C5587F">
        <w:rPr>
          <w:sz w:val="22"/>
        </w:rPr>
        <w:t>kolísanie</w:t>
      </w:r>
      <w:r w:rsidR="007C57B2">
        <w:rPr>
          <w:sz w:val="22"/>
        </w:rPr>
        <w:t xml:space="preserve"> </w:t>
      </w:r>
      <w:r w:rsidR="00CD760F">
        <w:rPr>
          <w:sz w:val="22"/>
        </w:rPr>
        <w:t>medzi</w:t>
      </w:r>
      <w:r w:rsidR="007C57B2">
        <w:rPr>
          <w:sz w:val="22"/>
        </w:rPr>
        <w:t xml:space="preserve"> maximáln</w:t>
      </w:r>
      <w:r w:rsidR="00CD760F">
        <w:rPr>
          <w:sz w:val="22"/>
        </w:rPr>
        <w:t>ymi</w:t>
      </w:r>
      <w:r w:rsidR="007C57B2">
        <w:rPr>
          <w:sz w:val="22"/>
        </w:rPr>
        <w:t xml:space="preserve"> </w:t>
      </w:r>
      <w:r w:rsidR="00CD760F">
        <w:rPr>
          <w:sz w:val="22"/>
        </w:rPr>
        <w:t>a</w:t>
      </w:r>
      <w:r w:rsidR="007C57B2">
        <w:rPr>
          <w:sz w:val="22"/>
        </w:rPr>
        <w:t> minimáln</w:t>
      </w:r>
      <w:r w:rsidR="00CD760F">
        <w:rPr>
          <w:sz w:val="22"/>
        </w:rPr>
        <w:t>ymi</w:t>
      </w:r>
      <w:r w:rsidR="007C57B2">
        <w:rPr>
          <w:sz w:val="22"/>
        </w:rPr>
        <w:t xml:space="preserve"> </w:t>
      </w:r>
      <w:r w:rsidR="00CD760F">
        <w:rPr>
          <w:sz w:val="22"/>
        </w:rPr>
        <w:t>hodnotami</w:t>
      </w:r>
      <w:r w:rsidR="007C57B2">
        <w:rPr>
          <w:sz w:val="22"/>
        </w:rPr>
        <w:t xml:space="preserve">. </w:t>
      </w:r>
      <w:r>
        <w:rPr>
          <w:sz w:val="22"/>
        </w:rPr>
        <w:t xml:space="preserve">U pacientov s nevalvulárnou fibriláciou predsiení užívajúcich apixabán na prevenciu cievnej mozgovej </w:t>
      </w:r>
      <w:r w:rsidRPr="00265FFF">
        <w:rPr>
          <w:sz w:val="22"/>
        </w:rPr>
        <w:t>príhody a systémovej embólie výsledky ukazujú menej ako 1,7</w:t>
      </w:r>
      <w:r w:rsidRPr="00265FFF">
        <w:rPr>
          <w:sz w:val="22"/>
        </w:rPr>
        <w:noBreakHyphen/>
        <w:t>násobn</w:t>
      </w:r>
      <w:r w:rsidR="00265FFF" w:rsidRPr="00265FFF">
        <w:rPr>
          <w:sz w:val="22"/>
        </w:rPr>
        <w:t>é</w:t>
      </w:r>
      <w:r w:rsidRPr="00265FFF">
        <w:rPr>
          <w:sz w:val="22"/>
        </w:rPr>
        <w:t xml:space="preserve"> </w:t>
      </w:r>
      <w:r w:rsidR="00265FFF" w:rsidRPr="00265FFF">
        <w:rPr>
          <w:sz w:val="22"/>
        </w:rPr>
        <w:t>kolísanie medzi</w:t>
      </w:r>
      <w:r w:rsidRPr="00265FFF">
        <w:rPr>
          <w:sz w:val="22"/>
        </w:rPr>
        <w:t xml:space="preserve"> maximáln</w:t>
      </w:r>
      <w:r w:rsidR="00265FFF" w:rsidRPr="00EE68B4">
        <w:rPr>
          <w:sz w:val="22"/>
        </w:rPr>
        <w:t>ymi</w:t>
      </w:r>
      <w:r w:rsidRPr="00265FFF">
        <w:rPr>
          <w:sz w:val="22"/>
        </w:rPr>
        <w:t xml:space="preserve"> </w:t>
      </w:r>
      <w:r w:rsidR="00265FFF" w:rsidRPr="00EE68B4">
        <w:rPr>
          <w:sz w:val="22"/>
        </w:rPr>
        <w:t>a</w:t>
      </w:r>
      <w:r w:rsidRPr="00265FFF">
        <w:rPr>
          <w:sz w:val="22"/>
        </w:rPr>
        <w:t xml:space="preserve"> minimáln</w:t>
      </w:r>
      <w:r w:rsidR="00265FFF" w:rsidRPr="00EE68B4">
        <w:rPr>
          <w:sz w:val="22"/>
        </w:rPr>
        <w:t>ymi</w:t>
      </w:r>
      <w:r w:rsidRPr="00265FFF">
        <w:rPr>
          <w:sz w:val="22"/>
        </w:rPr>
        <w:t xml:space="preserve"> </w:t>
      </w:r>
      <w:r w:rsidR="00265FFF" w:rsidRPr="00EE68B4">
        <w:rPr>
          <w:sz w:val="22"/>
        </w:rPr>
        <w:t>hodnotami</w:t>
      </w:r>
      <w:r w:rsidRPr="00265FFF">
        <w:rPr>
          <w:sz w:val="22"/>
        </w:rPr>
        <w:t>.</w:t>
      </w:r>
      <w:r>
        <w:rPr>
          <w:sz w:val="22"/>
        </w:rPr>
        <w:t xml:space="preserve"> U pacientov užívajúcich apixabán na liečbu DVT a PE alebo na prevenciu rekurentnej DVT a PE výsledky ukazujú menej ako 2,2</w:t>
      </w:r>
      <w:r>
        <w:rPr>
          <w:sz w:val="22"/>
        </w:rPr>
        <w:noBreakHyphen/>
        <w:t>násobn</w:t>
      </w:r>
      <w:r w:rsidR="00265FFF">
        <w:rPr>
          <w:sz w:val="22"/>
        </w:rPr>
        <w:t>é</w:t>
      </w:r>
      <w:r>
        <w:rPr>
          <w:sz w:val="22"/>
        </w:rPr>
        <w:t xml:space="preserve"> </w:t>
      </w:r>
      <w:r w:rsidR="00265FFF">
        <w:rPr>
          <w:sz w:val="22"/>
        </w:rPr>
        <w:t>kolísanie medzi</w:t>
      </w:r>
      <w:r>
        <w:rPr>
          <w:sz w:val="22"/>
        </w:rPr>
        <w:t xml:space="preserve"> maximáln</w:t>
      </w:r>
      <w:r w:rsidR="00265FFF">
        <w:rPr>
          <w:sz w:val="22"/>
        </w:rPr>
        <w:t>ymi</w:t>
      </w:r>
      <w:r>
        <w:rPr>
          <w:sz w:val="22"/>
        </w:rPr>
        <w:t xml:space="preserve"> </w:t>
      </w:r>
      <w:r w:rsidR="00265FFF">
        <w:rPr>
          <w:sz w:val="22"/>
        </w:rPr>
        <w:t xml:space="preserve">a </w:t>
      </w:r>
      <w:r>
        <w:rPr>
          <w:sz w:val="22"/>
        </w:rPr>
        <w:t>minimáln</w:t>
      </w:r>
      <w:r w:rsidR="00265FFF">
        <w:rPr>
          <w:sz w:val="22"/>
        </w:rPr>
        <w:t>ymi</w:t>
      </w:r>
      <w:r>
        <w:rPr>
          <w:sz w:val="22"/>
        </w:rPr>
        <w:t xml:space="preserve"> </w:t>
      </w:r>
      <w:r w:rsidR="00265FFF">
        <w:rPr>
          <w:sz w:val="22"/>
        </w:rPr>
        <w:t>hodnotami</w:t>
      </w:r>
      <w:r>
        <w:rPr>
          <w:sz w:val="22"/>
        </w:rPr>
        <w:t xml:space="preserve">. </w:t>
      </w:r>
    </w:p>
    <w:p w14:paraId="027939F7" w14:textId="77777777" w:rsidR="003A14E3" w:rsidRPr="007E6137" w:rsidRDefault="003A14E3" w:rsidP="00833B71">
      <w:pPr>
        <w:spacing w:after="0" w:line="240" w:lineRule="auto"/>
        <w:ind w:left="0"/>
        <w:rPr>
          <w:sz w:val="22"/>
        </w:rPr>
      </w:pPr>
    </w:p>
    <w:p w14:paraId="7FB16502" w14:textId="3E1DC6DE" w:rsidR="003A14E3" w:rsidRPr="00A731E1" w:rsidRDefault="003A14E3" w:rsidP="00833B71">
      <w:pPr>
        <w:keepNext/>
        <w:spacing w:after="0" w:line="240" w:lineRule="auto"/>
        <w:ind w:left="0"/>
        <w:rPr>
          <w:sz w:val="22"/>
        </w:rPr>
      </w:pPr>
      <w:r>
        <w:rPr>
          <w:b/>
          <w:sz w:val="22"/>
        </w:rPr>
        <w:t xml:space="preserve">Tabuľka 3: </w:t>
      </w:r>
      <w:r w:rsidR="00265FFF">
        <w:rPr>
          <w:b/>
          <w:sz w:val="22"/>
        </w:rPr>
        <w:t xml:space="preserve">Predpokladaná </w:t>
      </w:r>
      <w:r>
        <w:rPr>
          <w:b/>
          <w:sz w:val="22"/>
        </w:rPr>
        <w:t>expozícia apixabánu v rovnovážnom stave a anti</w:t>
      </w:r>
      <w:r>
        <w:rPr>
          <w:b/>
          <w:sz w:val="22"/>
        </w:rPr>
        <w:noBreakHyphen/>
        <w:t xml:space="preserve"> Xa aktivita</w:t>
      </w:r>
    </w:p>
    <w:tbl>
      <w:tblPr>
        <w:tblStyle w:val="TableGrid"/>
        <w:tblpPr w:leftFromText="141" w:rightFromText="141" w:vertAnchor="text" w:horzAnchor="margin" w:tblpY="39"/>
        <w:tblW w:w="9494" w:type="dxa"/>
        <w:tblInd w:w="0" w:type="dxa"/>
        <w:tblCellMar>
          <w:top w:w="110" w:type="dxa"/>
          <w:left w:w="101" w:type="dxa"/>
          <w:right w:w="64" w:type="dxa"/>
        </w:tblCellMar>
        <w:tblLook w:val="04A0" w:firstRow="1" w:lastRow="0" w:firstColumn="1" w:lastColumn="0" w:noHBand="0" w:noVBand="1"/>
      </w:tblPr>
      <w:tblGrid>
        <w:gridCol w:w="1888"/>
        <w:gridCol w:w="1890"/>
        <w:gridCol w:w="1894"/>
        <w:gridCol w:w="1911"/>
        <w:gridCol w:w="1911"/>
      </w:tblGrid>
      <w:tr w:rsidR="00362F65" w:rsidRPr="005261E7" w14:paraId="651A14DD" w14:textId="77777777" w:rsidTr="00313F87">
        <w:trPr>
          <w:trHeight w:val="836"/>
        </w:trPr>
        <w:tc>
          <w:tcPr>
            <w:tcW w:w="1888" w:type="dxa"/>
            <w:tcBorders>
              <w:top w:val="single" w:sz="3" w:space="0" w:color="000000"/>
              <w:left w:val="single" w:sz="3" w:space="0" w:color="000000"/>
              <w:bottom w:val="single" w:sz="3" w:space="0" w:color="000000"/>
              <w:right w:val="single" w:sz="4" w:space="0" w:color="000000"/>
            </w:tcBorders>
          </w:tcPr>
          <w:p w14:paraId="537D0B58" w14:textId="77777777" w:rsidR="00362F65" w:rsidRPr="00A731E1" w:rsidRDefault="00362F65" w:rsidP="00833B71">
            <w:pPr>
              <w:keepNext/>
              <w:spacing w:after="0" w:line="240" w:lineRule="auto"/>
              <w:ind w:left="0" w:firstLine="0"/>
              <w:rPr>
                <w:sz w:val="22"/>
              </w:rPr>
            </w:pPr>
            <w:bookmarkStart w:id="1" w:name="_Hlk23851061"/>
          </w:p>
        </w:tc>
        <w:tc>
          <w:tcPr>
            <w:tcW w:w="1890" w:type="dxa"/>
            <w:tcBorders>
              <w:top w:val="single" w:sz="3" w:space="0" w:color="000000"/>
              <w:left w:val="single" w:sz="4" w:space="0" w:color="000000"/>
              <w:bottom w:val="single" w:sz="3" w:space="0" w:color="000000"/>
              <w:right w:val="single" w:sz="3" w:space="0" w:color="000000"/>
            </w:tcBorders>
          </w:tcPr>
          <w:p w14:paraId="6399405D" w14:textId="77777777" w:rsidR="00211FA6" w:rsidRDefault="00362F65" w:rsidP="002901A4">
            <w:pPr>
              <w:keepNext/>
              <w:spacing w:after="0" w:line="240" w:lineRule="auto"/>
              <w:ind w:left="0" w:right="-54" w:firstLine="0"/>
              <w:jc w:val="center"/>
              <w:rPr>
                <w:b/>
                <w:sz w:val="22"/>
              </w:rPr>
            </w:pPr>
            <w:r>
              <w:rPr>
                <w:b/>
                <w:sz w:val="22"/>
              </w:rPr>
              <w:t>Apix. C</w:t>
            </w:r>
            <w:r>
              <w:rPr>
                <w:b/>
                <w:sz w:val="22"/>
                <w:vertAlign w:val="subscript"/>
              </w:rPr>
              <w:t>max</w:t>
            </w:r>
            <w:r>
              <w:rPr>
                <w:b/>
                <w:sz w:val="22"/>
              </w:rPr>
              <w:t xml:space="preserve"> </w:t>
            </w:r>
          </w:p>
          <w:p w14:paraId="7F29050F" w14:textId="09470A27" w:rsidR="00362F65" w:rsidRPr="00A731E1" w:rsidRDefault="00362F65" w:rsidP="002901A4">
            <w:pPr>
              <w:keepNext/>
              <w:spacing w:after="0" w:line="240" w:lineRule="auto"/>
              <w:ind w:left="0" w:right="-54" w:firstLine="0"/>
              <w:jc w:val="center"/>
              <w:rPr>
                <w:sz w:val="22"/>
              </w:rPr>
            </w:pPr>
            <w:r>
              <w:rPr>
                <w:b/>
                <w:sz w:val="22"/>
              </w:rPr>
              <w:t xml:space="preserve">(ng/ml) </w:t>
            </w:r>
          </w:p>
        </w:tc>
        <w:tc>
          <w:tcPr>
            <w:tcW w:w="1894" w:type="dxa"/>
            <w:tcBorders>
              <w:top w:val="single" w:sz="3" w:space="0" w:color="000000"/>
              <w:left w:val="single" w:sz="3" w:space="0" w:color="000000"/>
              <w:bottom w:val="single" w:sz="3" w:space="0" w:color="000000"/>
              <w:right w:val="single" w:sz="4" w:space="0" w:color="000000"/>
            </w:tcBorders>
          </w:tcPr>
          <w:p w14:paraId="63B40556" w14:textId="77777777" w:rsidR="00362F65" w:rsidRPr="00A731E1" w:rsidRDefault="00362F65" w:rsidP="002901A4">
            <w:pPr>
              <w:keepNext/>
              <w:spacing w:after="0" w:line="240" w:lineRule="auto"/>
              <w:ind w:left="0" w:right="45" w:firstLine="0"/>
              <w:jc w:val="center"/>
              <w:rPr>
                <w:sz w:val="22"/>
              </w:rPr>
            </w:pPr>
            <w:r>
              <w:rPr>
                <w:b/>
                <w:sz w:val="22"/>
              </w:rPr>
              <w:t>Apix. C</w:t>
            </w:r>
            <w:r>
              <w:rPr>
                <w:b/>
                <w:sz w:val="22"/>
                <w:vertAlign w:val="subscript"/>
              </w:rPr>
              <w:t>min</w:t>
            </w:r>
            <w:r>
              <w:rPr>
                <w:b/>
                <w:sz w:val="22"/>
              </w:rPr>
              <w:t xml:space="preserve"> (ng/ml) </w:t>
            </w:r>
          </w:p>
        </w:tc>
        <w:tc>
          <w:tcPr>
            <w:tcW w:w="1911" w:type="dxa"/>
            <w:tcBorders>
              <w:top w:val="single" w:sz="3" w:space="0" w:color="000000"/>
              <w:left w:val="single" w:sz="4" w:space="0" w:color="000000"/>
              <w:bottom w:val="single" w:sz="3" w:space="0" w:color="000000"/>
              <w:right w:val="single" w:sz="4" w:space="0" w:color="000000"/>
            </w:tcBorders>
          </w:tcPr>
          <w:p w14:paraId="0C3D9BDF" w14:textId="409FD4EC" w:rsidR="00362F65" w:rsidRPr="00A731E1" w:rsidRDefault="00362F65" w:rsidP="002901A4">
            <w:pPr>
              <w:keepNext/>
              <w:spacing w:after="0" w:line="240" w:lineRule="auto"/>
              <w:ind w:left="0" w:firstLine="0"/>
              <w:jc w:val="center"/>
              <w:rPr>
                <w:sz w:val="22"/>
              </w:rPr>
            </w:pPr>
            <w:r>
              <w:rPr>
                <w:b/>
                <w:sz w:val="22"/>
              </w:rPr>
              <w:t xml:space="preserve">Apix. </w:t>
            </w:r>
            <w:r w:rsidR="00211FA6">
              <w:rPr>
                <w:b/>
                <w:sz w:val="22"/>
              </w:rPr>
              <w:t>a</w:t>
            </w:r>
            <w:r>
              <w:rPr>
                <w:b/>
                <w:sz w:val="22"/>
              </w:rPr>
              <w:t xml:space="preserve">nti- </w:t>
            </w:r>
          </w:p>
          <w:p w14:paraId="32917582" w14:textId="77777777" w:rsidR="00362F65" w:rsidRPr="00A731E1" w:rsidRDefault="00362F65" w:rsidP="002901A4">
            <w:pPr>
              <w:keepNext/>
              <w:spacing w:after="0" w:line="240" w:lineRule="auto"/>
              <w:ind w:left="0" w:firstLine="0"/>
              <w:jc w:val="center"/>
              <w:rPr>
                <w:sz w:val="22"/>
              </w:rPr>
            </w:pPr>
            <w:r>
              <w:rPr>
                <w:b/>
                <w:sz w:val="22"/>
              </w:rPr>
              <w:t xml:space="preserve">Xa aktivita, max. </w:t>
            </w:r>
          </w:p>
          <w:p w14:paraId="1155B83F" w14:textId="77777777" w:rsidR="00362F65" w:rsidRPr="00A731E1" w:rsidRDefault="00362F65" w:rsidP="002901A4">
            <w:pPr>
              <w:keepNext/>
              <w:spacing w:after="0" w:line="240" w:lineRule="auto"/>
              <w:ind w:left="0" w:firstLine="0"/>
              <w:jc w:val="center"/>
              <w:rPr>
                <w:sz w:val="22"/>
              </w:rPr>
            </w:pPr>
            <w:r>
              <w:rPr>
                <w:b/>
                <w:sz w:val="22"/>
              </w:rPr>
              <w:t xml:space="preserve">(IU/ml) </w:t>
            </w:r>
          </w:p>
        </w:tc>
        <w:tc>
          <w:tcPr>
            <w:tcW w:w="1911" w:type="dxa"/>
            <w:tcBorders>
              <w:top w:val="single" w:sz="3" w:space="0" w:color="000000"/>
              <w:left w:val="single" w:sz="4" w:space="0" w:color="000000"/>
              <w:bottom w:val="single" w:sz="3" w:space="0" w:color="000000"/>
              <w:right w:val="single" w:sz="3" w:space="0" w:color="000000"/>
            </w:tcBorders>
          </w:tcPr>
          <w:p w14:paraId="208A0F52" w14:textId="0A348636" w:rsidR="00362F65" w:rsidRPr="00A731E1" w:rsidRDefault="00362F65" w:rsidP="002901A4">
            <w:pPr>
              <w:keepNext/>
              <w:spacing w:after="0" w:line="240" w:lineRule="auto"/>
              <w:ind w:left="0" w:right="-31" w:firstLine="0"/>
              <w:jc w:val="center"/>
              <w:rPr>
                <w:sz w:val="22"/>
              </w:rPr>
            </w:pPr>
            <w:r>
              <w:rPr>
                <w:b/>
                <w:sz w:val="22"/>
              </w:rPr>
              <w:t xml:space="preserve">Apix. </w:t>
            </w:r>
            <w:r w:rsidR="00211FA6">
              <w:rPr>
                <w:b/>
                <w:sz w:val="22"/>
              </w:rPr>
              <w:t>a</w:t>
            </w:r>
            <w:r>
              <w:rPr>
                <w:b/>
                <w:sz w:val="22"/>
              </w:rPr>
              <w:t xml:space="preserve">nti- </w:t>
            </w:r>
          </w:p>
          <w:p w14:paraId="6B7A8CBC" w14:textId="77777777" w:rsidR="00362F65" w:rsidRPr="00A731E1" w:rsidRDefault="00362F65" w:rsidP="002901A4">
            <w:pPr>
              <w:keepNext/>
              <w:spacing w:after="0" w:line="240" w:lineRule="auto"/>
              <w:ind w:left="0" w:right="-31" w:firstLine="0"/>
              <w:jc w:val="center"/>
              <w:rPr>
                <w:sz w:val="22"/>
              </w:rPr>
            </w:pPr>
            <w:r>
              <w:rPr>
                <w:b/>
                <w:sz w:val="22"/>
              </w:rPr>
              <w:t xml:space="preserve">Xa aktivita, min. </w:t>
            </w:r>
          </w:p>
          <w:p w14:paraId="5776013B" w14:textId="77777777" w:rsidR="00362F65" w:rsidRPr="00A731E1" w:rsidRDefault="00362F65" w:rsidP="002901A4">
            <w:pPr>
              <w:keepNext/>
              <w:spacing w:after="0" w:line="240" w:lineRule="auto"/>
              <w:ind w:left="0" w:right="-31" w:firstLine="0"/>
              <w:jc w:val="center"/>
              <w:rPr>
                <w:sz w:val="22"/>
              </w:rPr>
            </w:pPr>
            <w:r>
              <w:rPr>
                <w:b/>
                <w:sz w:val="22"/>
              </w:rPr>
              <w:t xml:space="preserve">(IU/ml) </w:t>
            </w:r>
          </w:p>
        </w:tc>
      </w:tr>
      <w:tr w:rsidR="00362F65" w:rsidRPr="00A731E1" w14:paraId="58C3C4CF" w14:textId="77777777" w:rsidTr="00313F87">
        <w:trPr>
          <w:trHeight w:val="360"/>
        </w:trPr>
        <w:tc>
          <w:tcPr>
            <w:tcW w:w="1888" w:type="dxa"/>
            <w:tcBorders>
              <w:top w:val="single" w:sz="3" w:space="0" w:color="000000"/>
              <w:left w:val="single" w:sz="3" w:space="0" w:color="000000"/>
              <w:bottom w:val="single" w:sz="3" w:space="0" w:color="000000"/>
              <w:right w:val="single" w:sz="4" w:space="0" w:color="000000"/>
            </w:tcBorders>
          </w:tcPr>
          <w:p w14:paraId="349F59B9" w14:textId="77777777" w:rsidR="00362F65" w:rsidRPr="00A731E1" w:rsidRDefault="00362F65" w:rsidP="00833B71">
            <w:pPr>
              <w:keepNext/>
              <w:spacing w:after="0" w:line="240" w:lineRule="auto"/>
              <w:ind w:left="0" w:firstLine="0"/>
              <w:rPr>
                <w:sz w:val="22"/>
              </w:rPr>
            </w:pPr>
            <w:r>
              <w:rPr>
                <w:sz w:val="22"/>
              </w:rPr>
              <w:t xml:space="preserve"> </w:t>
            </w:r>
          </w:p>
        </w:tc>
        <w:tc>
          <w:tcPr>
            <w:tcW w:w="7606" w:type="dxa"/>
            <w:gridSpan w:val="4"/>
            <w:tcBorders>
              <w:top w:val="single" w:sz="3" w:space="0" w:color="000000"/>
              <w:left w:val="single" w:sz="4" w:space="0" w:color="000000"/>
              <w:bottom w:val="single" w:sz="3" w:space="0" w:color="000000"/>
              <w:right w:val="single" w:sz="3" w:space="0" w:color="000000"/>
            </w:tcBorders>
          </w:tcPr>
          <w:p w14:paraId="6041D636" w14:textId="44BD327A" w:rsidR="00362F65" w:rsidRPr="00A731E1" w:rsidRDefault="00362F65" w:rsidP="00650FC6">
            <w:pPr>
              <w:keepNext/>
              <w:spacing w:after="0" w:line="240" w:lineRule="auto"/>
              <w:ind w:left="0" w:right="-31" w:firstLine="0"/>
              <w:jc w:val="center"/>
              <w:rPr>
                <w:sz w:val="22"/>
              </w:rPr>
            </w:pPr>
            <w:r>
              <w:rPr>
                <w:sz w:val="22"/>
              </w:rPr>
              <w:t>Medián [5., 95. percentil]</w:t>
            </w:r>
          </w:p>
        </w:tc>
      </w:tr>
      <w:tr w:rsidR="00313F87" w:rsidRPr="00A731E1" w14:paraId="799133B4" w14:textId="77777777" w:rsidTr="001055EE">
        <w:trPr>
          <w:trHeight w:val="342"/>
        </w:trPr>
        <w:tc>
          <w:tcPr>
            <w:tcW w:w="9494" w:type="dxa"/>
            <w:gridSpan w:val="5"/>
            <w:tcBorders>
              <w:top w:val="single" w:sz="4" w:space="0" w:color="000000"/>
              <w:left w:val="single" w:sz="3" w:space="0" w:color="000000"/>
              <w:bottom w:val="single" w:sz="3" w:space="0" w:color="000000"/>
              <w:right w:val="single" w:sz="3" w:space="0" w:color="000000"/>
            </w:tcBorders>
          </w:tcPr>
          <w:p w14:paraId="3A480FC1" w14:textId="646B3634" w:rsidR="00313F87" w:rsidRPr="00313F87" w:rsidRDefault="00BB4AC0" w:rsidP="00313F87">
            <w:pPr>
              <w:spacing w:after="0" w:line="240" w:lineRule="auto"/>
              <w:ind w:left="0" w:right="-31" w:firstLine="0"/>
              <w:rPr>
                <w:i/>
                <w:sz w:val="22"/>
              </w:rPr>
            </w:pPr>
            <w:r>
              <w:rPr>
                <w:i/>
                <w:sz w:val="22"/>
              </w:rPr>
              <w:lastRenderedPageBreak/>
              <w:t>Prevencia VTE: elektívny chirurgický výkon na nahradenie bedrového alebo kolenného kĺbu</w:t>
            </w:r>
          </w:p>
        </w:tc>
      </w:tr>
      <w:tr w:rsidR="00313F87" w:rsidRPr="00A731E1" w14:paraId="75FF44D9" w14:textId="77777777" w:rsidTr="00313F87">
        <w:trPr>
          <w:trHeight w:val="342"/>
        </w:trPr>
        <w:tc>
          <w:tcPr>
            <w:tcW w:w="1888" w:type="dxa"/>
            <w:tcBorders>
              <w:top w:val="single" w:sz="4" w:space="0" w:color="000000"/>
              <w:left w:val="single" w:sz="3" w:space="0" w:color="000000"/>
              <w:bottom w:val="single" w:sz="3" w:space="0" w:color="000000"/>
              <w:right w:val="single" w:sz="4" w:space="0" w:color="000000"/>
            </w:tcBorders>
          </w:tcPr>
          <w:p w14:paraId="14D042A9" w14:textId="000B57B7" w:rsidR="00313F87" w:rsidRDefault="00BB4AC0" w:rsidP="00833B71">
            <w:pPr>
              <w:spacing w:after="0" w:line="240" w:lineRule="auto"/>
              <w:ind w:left="0" w:right="-153" w:firstLine="0"/>
              <w:rPr>
                <w:sz w:val="22"/>
              </w:rPr>
            </w:pPr>
            <w:r>
              <w:rPr>
                <w:sz w:val="22"/>
              </w:rPr>
              <w:t>2,5 mg dvakrát denne</w:t>
            </w:r>
          </w:p>
        </w:tc>
        <w:tc>
          <w:tcPr>
            <w:tcW w:w="1890" w:type="dxa"/>
            <w:tcBorders>
              <w:top w:val="single" w:sz="4" w:space="0" w:color="000000"/>
              <w:left w:val="single" w:sz="4" w:space="0" w:color="000000"/>
              <w:bottom w:val="single" w:sz="3" w:space="0" w:color="000000"/>
              <w:right w:val="single" w:sz="3" w:space="0" w:color="000000"/>
            </w:tcBorders>
          </w:tcPr>
          <w:p w14:paraId="149A13FB" w14:textId="5189CC12" w:rsidR="00313F87" w:rsidRDefault="00BB4AC0" w:rsidP="002901A4">
            <w:pPr>
              <w:spacing w:after="0" w:line="240" w:lineRule="auto"/>
              <w:ind w:left="1" w:right="-54" w:firstLine="0"/>
              <w:jc w:val="center"/>
              <w:rPr>
                <w:sz w:val="22"/>
              </w:rPr>
            </w:pPr>
            <w:r>
              <w:rPr>
                <w:sz w:val="22"/>
              </w:rPr>
              <w:t>77 [41, 146]</w:t>
            </w:r>
          </w:p>
        </w:tc>
        <w:tc>
          <w:tcPr>
            <w:tcW w:w="1894" w:type="dxa"/>
            <w:tcBorders>
              <w:top w:val="single" w:sz="4" w:space="0" w:color="000000"/>
              <w:left w:val="single" w:sz="3" w:space="0" w:color="000000"/>
              <w:bottom w:val="single" w:sz="3" w:space="0" w:color="000000"/>
              <w:right w:val="single" w:sz="4" w:space="0" w:color="000000"/>
            </w:tcBorders>
          </w:tcPr>
          <w:p w14:paraId="75FD3BB4" w14:textId="1006CB89" w:rsidR="00313F87" w:rsidRDefault="00484A17" w:rsidP="002901A4">
            <w:pPr>
              <w:spacing w:after="0" w:line="240" w:lineRule="auto"/>
              <w:ind w:left="0" w:right="45" w:firstLine="0"/>
              <w:jc w:val="center"/>
              <w:rPr>
                <w:sz w:val="22"/>
              </w:rPr>
            </w:pPr>
            <w:r>
              <w:rPr>
                <w:sz w:val="22"/>
              </w:rPr>
              <w:t>51 [23, 109</w:t>
            </w:r>
            <w:r w:rsidR="00BB4AC0">
              <w:rPr>
                <w:sz w:val="22"/>
              </w:rPr>
              <w:t>]</w:t>
            </w:r>
          </w:p>
        </w:tc>
        <w:tc>
          <w:tcPr>
            <w:tcW w:w="1911" w:type="dxa"/>
            <w:tcBorders>
              <w:top w:val="single" w:sz="4" w:space="0" w:color="000000"/>
              <w:left w:val="single" w:sz="4" w:space="0" w:color="000000"/>
              <w:bottom w:val="single" w:sz="3" w:space="0" w:color="000000"/>
              <w:right w:val="single" w:sz="4" w:space="0" w:color="000000"/>
            </w:tcBorders>
          </w:tcPr>
          <w:p w14:paraId="0EE85916" w14:textId="1AB9D1F4" w:rsidR="00313F87" w:rsidRDefault="00484A17" w:rsidP="002901A4">
            <w:pPr>
              <w:spacing w:after="0" w:line="240" w:lineRule="auto"/>
              <w:ind w:left="0" w:firstLine="0"/>
              <w:jc w:val="center"/>
              <w:rPr>
                <w:sz w:val="22"/>
              </w:rPr>
            </w:pPr>
            <w:r>
              <w:rPr>
                <w:sz w:val="22"/>
              </w:rPr>
              <w:t>1,3 [0,67; 2,4</w:t>
            </w:r>
            <w:r w:rsidR="00BB4AC0">
              <w:rPr>
                <w:sz w:val="22"/>
              </w:rPr>
              <w:t>]</w:t>
            </w:r>
          </w:p>
        </w:tc>
        <w:tc>
          <w:tcPr>
            <w:tcW w:w="1911" w:type="dxa"/>
            <w:tcBorders>
              <w:top w:val="single" w:sz="4" w:space="0" w:color="000000"/>
              <w:left w:val="single" w:sz="4" w:space="0" w:color="000000"/>
              <w:bottom w:val="single" w:sz="3" w:space="0" w:color="000000"/>
              <w:right w:val="single" w:sz="3" w:space="0" w:color="000000"/>
            </w:tcBorders>
          </w:tcPr>
          <w:p w14:paraId="02AE5BAA" w14:textId="2BBE6A27" w:rsidR="00313F87" w:rsidRDefault="00484A17" w:rsidP="002901A4">
            <w:pPr>
              <w:spacing w:after="0" w:line="240" w:lineRule="auto"/>
              <w:ind w:left="0" w:right="-31" w:firstLine="0"/>
              <w:jc w:val="center"/>
              <w:rPr>
                <w:sz w:val="22"/>
              </w:rPr>
            </w:pPr>
            <w:r>
              <w:rPr>
                <w:sz w:val="22"/>
              </w:rPr>
              <w:t>0,84 [0,37; 1,8</w:t>
            </w:r>
            <w:r w:rsidR="00BB4AC0">
              <w:rPr>
                <w:sz w:val="22"/>
              </w:rPr>
              <w:t>]</w:t>
            </w:r>
          </w:p>
        </w:tc>
      </w:tr>
      <w:tr w:rsidR="00313F87" w:rsidRPr="00A731E1" w14:paraId="6BC0CC0E" w14:textId="77777777" w:rsidTr="001055EE">
        <w:trPr>
          <w:trHeight w:val="342"/>
        </w:trPr>
        <w:tc>
          <w:tcPr>
            <w:tcW w:w="9494" w:type="dxa"/>
            <w:gridSpan w:val="5"/>
            <w:tcBorders>
              <w:top w:val="single" w:sz="4" w:space="0" w:color="000000"/>
              <w:left w:val="single" w:sz="3" w:space="0" w:color="000000"/>
              <w:bottom w:val="single" w:sz="3" w:space="0" w:color="000000"/>
              <w:right w:val="single" w:sz="3" w:space="0" w:color="000000"/>
            </w:tcBorders>
          </w:tcPr>
          <w:p w14:paraId="0A61FA02" w14:textId="32F443BC" w:rsidR="00313F87" w:rsidRDefault="00313F87" w:rsidP="00313F87">
            <w:pPr>
              <w:spacing w:after="0" w:line="240" w:lineRule="auto"/>
              <w:ind w:left="0" w:right="-31" w:firstLine="0"/>
              <w:rPr>
                <w:sz w:val="22"/>
              </w:rPr>
            </w:pPr>
            <w:r>
              <w:rPr>
                <w:i/>
                <w:sz w:val="22"/>
              </w:rPr>
              <w:t>Prevencia cievnej mozgovej príhody a systémovej embólie: NVAF</w:t>
            </w:r>
          </w:p>
        </w:tc>
      </w:tr>
      <w:tr w:rsidR="00362F65" w:rsidRPr="00A731E1" w14:paraId="2DE080C2" w14:textId="77777777" w:rsidTr="00313F87">
        <w:trPr>
          <w:trHeight w:val="342"/>
        </w:trPr>
        <w:tc>
          <w:tcPr>
            <w:tcW w:w="1888" w:type="dxa"/>
            <w:tcBorders>
              <w:top w:val="single" w:sz="4" w:space="0" w:color="000000"/>
              <w:left w:val="single" w:sz="3" w:space="0" w:color="000000"/>
              <w:bottom w:val="single" w:sz="3" w:space="0" w:color="000000"/>
              <w:right w:val="single" w:sz="4" w:space="0" w:color="000000"/>
            </w:tcBorders>
          </w:tcPr>
          <w:p w14:paraId="38775AAD" w14:textId="77777777" w:rsidR="00362F65" w:rsidRPr="00A731E1" w:rsidRDefault="00362F65" w:rsidP="00833B71">
            <w:pPr>
              <w:spacing w:after="0" w:line="240" w:lineRule="auto"/>
              <w:ind w:left="0" w:right="-153" w:firstLine="0"/>
              <w:rPr>
                <w:sz w:val="22"/>
              </w:rPr>
            </w:pPr>
            <w:r>
              <w:rPr>
                <w:sz w:val="22"/>
              </w:rPr>
              <w:t>2,5 mg dvakrát denne*</w:t>
            </w:r>
          </w:p>
        </w:tc>
        <w:tc>
          <w:tcPr>
            <w:tcW w:w="1890" w:type="dxa"/>
            <w:tcBorders>
              <w:top w:val="single" w:sz="4" w:space="0" w:color="000000"/>
              <w:left w:val="single" w:sz="4" w:space="0" w:color="000000"/>
              <w:bottom w:val="single" w:sz="3" w:space="0" w:color="000000"/>
              <w:right w:val="single" w:sz="3" w:space="0" w:color="000000"/>
            </w:tcBorders>
          </w:tcPr>
          <w:p w14:paraId="55DE6474" w14:textId="77777777" w:rsidR="00362F65" w:rsidRPr="00A731E1" w:rsidRDefault="00362F65" w:rsidP="002901A4">
            <w:pPr>
              <w:spacing w:after="0" w:line="240" w:lineRule="auto"/>
              <w:ind w:left="1" w:right="-54" w:firstLine="0"/>
              <w:jc w:val="center"/>
              <w:rPr>
                <w:sz w:val="22"/>
              </w:rPr>
            </w:pPr>
            <w:r>
              <w:rPr>
                <w:sz w:val="22"/>
              </w:rPr>
              <w:t xml:space="preserve">123 [69, 221] </w:t>
            </w:r>
          </w:p>
        </w:tc>
        <w:tc>
          <w:tcPr>
            <w:tcW w:w="1894" w:type="dxa"/>
            <w:tcBorders>
              <w:top w:val="single" w:sz="4" w:space="0" w:color="000000"/>
              <w:left w:val="single" w:sz="3" w:space="0" w:color="000000"/>
              <w:bottom w:val="single" w:sz="3" w:space="0" w:color="000000"/>
              <w:right w:val="single" w:sz="4" w:space="0" w:color="000000"/>
            </w:tcBorders>
          </w:tcPr>
          <w:p w14:paraId="4FC0AC87" w14:textId="77777777" w:rsidR="00362F65" w:rsidRPr="00A731E1" w:rsidRDefault="00362F65" w:rsidP="002901A4">
            <w:pPr>
              <w:spacing w:after="0" w:line="240" w:lineRule="auto"/>
              <w:ind w:left="0" w:right="45" w:firstLine="0"/>
              <w:jc w:val="center"/>
              <w:rPr>
                <w:sz w:val="22"/>
              </w:rPr>
            </w:pPr>
            <w:r>
              <w:rPr>
                <w:sz w:val="22"/>
              </w:rPr>
              <w:t xml:space="preserve">79 [34; 162] </w:t>
            </w:r>
          </w:p>
        </w:tc>
        <w:tc>
          <w:tcPr>
            <w:tcW w:w="1911" w:type="dxa"/>
            <w:tcBorders>
              <w:top w:val="single" w:sz="4" w:space="0" w:color="000000"/>
              <w:left w:val="single" w:sz="4" w:space="0" w:color="000000"/>
              <w:bottom w:val="single" w:sz="3" w:space="0" w:color="000000"/>
              <w:right w:val="single" w:sz="4" w:space="0" w:color="000000"/>
            </w:tcBorders>
          </w:tcPr>
          <w:p w14:paraId="2DA79095" w14:textId="77777777" w:rsidR="00362F65" w:rsidRPr="00A731E1" w:rsidRDefault="00362F65" w:rsidP="002901A4">
            <w:pPr>
              <w:spacing w:after="0" w:line="240" w:lineRule="auto"/>
              <w:ind w:left="0" w:firstLine="0"/>
              <w:jc w:val="center"/>
              <w:rPr>
                <w:sz w:val="22"/>
              </w:rPr>
            </w:pPr>
            <w:r>
              <w:rPr>
                <w:sz w:val="22"/>
              </w:rPr>
              <w:t xml:space="preserve">1,8 [1,0; 3,3] </w:t>
            </w:r>
          </w:p>
        </w:tc>
        <w:tc>
          <w:tcPr>
            <w:tcW w:w="1911" w:type="dxa"/>
            <w:tcBorders>
              <w:top w:val="single" w:sz="4" w:space="0" w:color="000000"/>
              <w:left w:val="single" w:sz="4" w:space="0" w:color="000000"/>
              <w:bottom w:val="single" w:sz="3" w:space="0" w:color="000000"/>
              <w:right w:val="single" w:sz="3" w:space="0" w:color="000000"/>
            </w:tcBorders>
          </w:tcPr>
          <w:p w14:paraId="1062804B" w14:textId="77777777" w:rsidR="00362F65" w:rsidRPr="00A731E1" w:rsidRDefault="00362F65" w:rsidP="002901A4">
            <w:pPr>
              <w:spacing w:after="0" w:line="240" w:lineRule="auto"/>
              <w:ind w:left="0" w:right="-31" w:firstLine="0"/>
              <w:jc w:val="center"/>
              <w:rPr>
                <w:sz w:val="22"/>
              </w:rPr>
            </w:pPr>
            <w:r>
              <w:rPr>
                <w:sz w:val="22"/>
              </w:rPr>
              <w:t xml:space="preserve">1,2 [0,51; 2,4] </w:t>
            </w:r>
          </w:p>
        </w:tc>
      </w:tr>
      <w:tr w:rsidR="00362F65" w:rsidRPr="00A731E1" w14:paraId="3E56CF26" w14:textId="77777777" w:rsidTr="00313F87">
        <w:trPr>
          <w:trHeight w:val="360"/>
        </w:trPr>
        <w:tc>
          <w:tcPr>
            <w:tcW w:w="1888" w:type="dxa"/>
            <w:tcBorders>
              <w:top w:val="single" w:sz="3" w:space="0" w:color="000000"/>
              <w:left w:val="single" w:sz="3" w:space="0" w:color="000000"/>
              <w:bottom w:val="single" w:sz="3" w:space="0" w:color="000000"/>
              <w:right w:val="single" w:sz="4" w:space="0" w:color="000000"/>
            </w:tcBorders>
          </w:tcPr>
          <w:p w14:paraId="18B85F35" w14:textId="77777777" w:rsidR="00362F65" w:rsidRPr="00A731E1" w:rsidRDefault="00362F65" w:rsidP="00833B71">
            <w:pPr>
              <w:spacing w:after="0" w:line="240" w:lineRule="auto"/>
              <w:ind w:left="0" w:firstLine="0"/>
              <w:rPr>
                <w:sz w:val="22"/>
              </w:rPr>
            </w:pPr>
            <w:r>
              <w:rPr>
                <w:sz w:val="22"/>
              </w:rPr>
              <w:t xml:space="preserve">5 mg dvakrát denne </w:t>
            </w:r>
          </w:p>
        </w:tc>
        <w:tc>
          <w:tcPr>
            <w:tcW w:w="1890" w:type="dxa"/>
            <w:tcBorders>
              <w:top w:val="single" w:sz="3" w:space="0" w:color="000000"/>
              <w:left w:val="single" w:sz="4" w:space="0" w:color="000000"/>
              <w:bottom w:val="single" w:sz="3" w:space="0" w:color="000000"/>
              <w:right w:val="single" w:sz="3" w:space="0" w:color="000000"/>
            </w:tcBorders>
          </w:tcPr>
          <w:p w14:paraId="742927BA" w14:textId="77777777" w:rsidR="00362F65" w:rsidRPr="00A731E1" w:rsidRDefault="00362F65" w:rsidP="002901A4">
            <w:pPr>
              <w:spacing w:after="0" w:line="240" w:lineRule="auto"/>
              <w:ind w:left="1" w:right="-54" w:firstLine="0"/>
              <w:jc w:val="center"/>
              <w:rPr>
                <w:sz w:val="22"/>
              </w:rPr>
            </w:pPr>
            <w:r>
              <w:rPr>
                <w:sz w:val="22"/>
              </w:rPr>
              <w:t xml:space="preserve">171 [91; 321] </w:t>
            </w:r>
          </w:p>
        </w:tc>
        <w:tc>
          <w:tcPr>
            <w:tcW w:w="1894" w:type="dxa"/>
            <w:tcBorders>
              <w:top w:val="single" w:sz="3" w:space="0" w:color="000000"/>
              <w:left w:val="single" w:sz="3" w:space="0" w:color="000000"/>
              <w:bottom w:val="single" w:sz="3" w:space="0" w:color="000000"/>
              <w:right w:val="single" w:sz="4" w:space="0" w:color="000000"/>
            </w:tcBorders>
          </w:tcPr>
          <w:p w14:paraId="69E6029A" w14:textId="77777777" w:rsidR="00362F65" w:rsidRPr="00A731E1" w:rsidRDefault="00362F65" w:rsidP="002901A4">
            <w:pPr>
              <w:spacing w:after="0" w:line="240" w:lineRule="auto"/>
              <w:ind w:left="0" w:right="45" w:firstLine="0"/>
              <w:jc w:val="center"/>
              <w:rPr>
                <w:sz w:val="22"/>
              </w:rPr>
            </w:pPr>
            <w:r>
              <w:rPr>
                <w:sz w:val="22"/>
              </w:rPr>
              <w:t xml:space="preserve">103 [41; 230] </w:t>
            </w:r>
          </w:p>
        </w:tc>
        <w:tc>
          <w:tcPr>
            <w:tcW w:w="1911" w:type="dxa"/>
            <w:tcBorders>
              <w:top w:val="single" w:sz="3" w:space="0" w:color="000000"/>
              <w:left w:val="single" w:sz="4" w:space="0" w:color="000000"/>
              <w:bottom w:val="single" w:sz="3" w:space="0" w:color="000000"/>
              <w:right w:val="single" w:sz="4" w:space="0" w:color="000000"/>
            </w:tcBorders>
          </w:tcPr>
          <w:p w14:paraId="37FECDD9" w14:textId="77777777" w:rsidR="00362F65" w:rsidRPr="00A731E1" w:rsidRDefault="00362F65" w:rsidP="002901A4">
            <w:pPr>
              <w:spacing w:after="0" w:line="240" w:lineRule="auto"/>
              <w:ind w:left="0" w:firstLine="0"/>
              <w:jc w:val="center"/>
              <w:rPr>
                <w:sz w:val="22"/>
              </w:rPr>
            </w:pPr>
            <w:r>
              <w:rPr>
                <w:sz w:val="22"/>
              </w:rPr>
              <w:t xml:space="preserve">2,6 [1,4; 4,8] </w:t>
            </w:r>
          </w:p>
        </w:tc>
        <w:tc>
          <w:tcPr>
            <w:tcW w:w="1911" w:type="dxa"/>
            <w:tcBorders>
              <w:top w:val="single" w:sz="3" w:space="0" w:color="000000"/>
              <w:left w:val="single" w:sz="4" w:space="0" w:color="000000"/>
              <w:bottom w:val="single" w:sz="3" w:space="0" w:color="000000"/>
              <w:right w:val="single" w:sz="3" w:space="0" w:color="000000"/>
            </w:tcBorders>
          </w:tcPr>
          <w:p w14:paraId="452BD9FE" w14:textId="77777777" w:rsidR="00362F65" w:rsidRPr="00A731E1" w:rsidRDefault="00362F65" w:rsidP="002901A4">
            <w:pPr>
              <w:spacing w:after="0" w:line="240" w:lineRule="auto"/>
              <w:ind w:left="0" w:right="-31" w:firstLine="0"/>
              <w:jc w:val="center"/>
              <w:rPr>
                <w:sz w:val="22"/>
              </w:rPr>
            </w:pPr>
            <w:r>
              <w:rPr>
                <w:sz w:val="22"/>
              </w:rPr>
              <w:t xml:space="preserve">1,5 [0,61; 3,4] </w:t>
            </w:r>
          </w:p>
        </w:tc>
      </w:tr>
      <w:tr w:rsidR="00362F65" w:rsidRPr="005261E7" w14:paraId="2988883F" w14:textId="77777777" w:rsidTr="00313F87">
        <w:trPr>
          <w:trHeight w:val="361"/>
        </w:trPr>
        <w:tc>
          <w:tcPr>
            <w:tcW w:w="9494" w:type="dxa"/>
            <w:gridSpan w:val="5"/>
            <w:tcBorders>
              <w:top w:val="single" w:sz="3" w:space="0" w:color="000000"/>
              <w:left w:val="single" w:sz="3" w:space="0" w:color="000000"/>
              <w:bottom w:val="single" w:sz="4" w:space="0" w:color="000000"/>
              <w:right w:val="single" w:sz="3" w:space="0" w:color="000000"/>
            </w:tcBorders>
          </w:tcPr>
          <w:p w14:paraId="2355B189" w14:textId="77777777" w:rsidR="00362F65" w:rsidRPr="00A731E1" w:rsidRDefault="00362F65" w:rsidP="002901A4">
            <w:pPr>
              <w:spacing w:after="0" w:line="240" w:lineRule="auto"/>
              <w:ind w:left="0" w:right="-31" w:firstLine="0"/>
              <w:rPr>
                <w:sz w:val="22"/>
              </w:rPr>
            </w:pPr>
            <w:r>
              <w:rPr>
                <w:i/>
                <w:sz w:val="22"/>
              </w:rPr>
              <w:t>Liečba DVT, liečba PE a prevencia rekurentnej DVT a PE (VTEt)</w:t>
            </w:r>
            <w:r>
              <w:rPr>
                <w:sz w:val="22"/>
              </w:rPr>
              <w:t xml:space="preserve"> </w:t>
            </w:r>
          </w:p>
        </w:tc>
      </w:tr>
      <w:tr w:rsidR="00362F65" w:rsidRPr="00A731E1" w14:paraId="28E2D69A" w14:textId="77777777" w:rsidTr="00313F87">
        <w:trPr>
          <w:trHeight w:val="360"/>
        </w:trPr>
        <w:tc>
          <w:tcPr>
            <w:tcW w:w="1888" w:type="dxa"/>
            <w:tcBorders>
              <w:top w:val="single" w:sz="4" w:space="0" w:color="000000"/>
              <w:left w:val="single" w:sz="3" w:space="0" w:color="000000"/>
              <w:bottom w:val="single" w:sz="4" w:space="0" w:color="000000"/>
              <w:right w:val="single" w:sz="4" w:space="0" w:color="000000"/>
            </w:tcBorders>
          </w:tcPr>
          <w:p w14:paraId="75DFAA8E" w14:textId="77777777" w:rsidR="00362F65" w:rsidRPr="00A731E1" w:rsidRDefault="00362F65" w:rsidP="00833B71">
            <w:pPr>
              <w:spacing w:after="0" w:line="240" w:lineRule="auto"/>
              <w:ind w:left="0" w:firstLine="0"/>
              <w:rPr>
                <w:sz w:val="22"/>
              </w:rPr>
            </w:pPr>
            <w:r>
              <w:rPr>
                <w:sz w:val="22"/>
              </w:rPr>
              <w:t xml:space="preserve">2,5 mg dvakrát denne </w:t>
            </w:r>
          </w:p>
        </w:tc>
        <w:tc>
          <w:tcPr>
            <w:tcW w:w="1890" w:type="dxa"/>
            <w:tcBorders>
              <w:top w:val="single" w:sz="4" w:space="0" w:color="000000"/>
              <w:left w:val="single" w:sz="4" w:space="0" w:color="000000"/>
              <w:bottom w:val="single" w:sz="4" w:space="0" w:color="000000"/>
              <w:right w:val="single" w:sz="3" w:space="0" w:color="000000"/>
            </w:tcBorders>
          </w:tcPr>
          <w:p w14:paraId="209F0957" w14:textId="77777777" w:rsidR="00362F65" w:rsidRPr="00A731E1" w:rsidRDefault="00362F65" w:rsidP="002901A4">
            <w:pPr>
              <w:spacing w:after="0" w:line="240" w:lineRule="auto"/>
              <w:ind w:left="0" w:right="-54" w:firstLine="0"/>
              <w:jc w:val="center"/>
              <w:rPr>
                <w:sz w:val="22"/>
              </w:rPr>
            </w:pPr>
            <w:r>
              <w:rPr>
                <w:sz w:val="22"/>
              </w:rPr>
              <w:t xml:space="preserve">67 [30; 153] </w:t>
            </w:r>
          </w:p>
        </w:tc>
        <w:tc>
          <w:tcPr>
            <w:tcW w:w="1894" w:type="dxa"/>
            <w:tcBorders>
              <w:top w:val="single" w:sz="4" w:space="0" w:color="000000"/>
              <w:left w:val="single" w:sz="3" w:space="0" w:color="000000"/>
              <w:bottom w:val="single" w:sz="4" w:space="0" w:color="000000"/>
              <w:right w:val="single" w:sz="4" w:space="0" w:color="000000"/>
            </w:tcBorders>
          </w:tcPr>
          <w:p w14:paraId="10361CE9" w14:textId="77777777" w:rsidR="00362F65" w:rsidRPr="00A731E1" w:rsidRDefault="00362F65" w:rsidP="002901A4">
            <w:pPr>
              <w:spacing w:after="0" w:line="240" w:lineRule="auto"/>
              <w:ind w:left="0" w:right="45" w:firstLine="0"/>
              <w:jc w:val="center"/>
              <w:rPr>
                <w:sz w:val="22"/>
              </w:rPr>
            </w:pPr>
            <w:r>
              <w:rPr>
                <w:sz w:val="22"/>
              </w:rPr>
              <w:t xml:space="preserve">32 [11; 90] </w:t>
            </w:r>
          </w:p>
        </w:tc>
        <w:tc>
          <w:tcPr>
            <w:tcW w:w="1911" w:type="dxa"/>
            <w:tcBorders>
              <w:top w:val="single" w:sz="4" w:space="0" w:color="000000"/>
              <w:left w:val="single" w:sz="4" w:space="0" w:color="000000"/>
              <w:bottom w:val="single" w:sz="4" w:space="0" w:color="000000"/>
              <w:right w:val="single" w:sz="4" w:space="0" w:color="000000"/>
            </w:tcBorders>
          </w:tcPr>
          <w:p w14:paraId="06FFC302" w14:textId="77777777" w:rsidR="00362F65" w:rsidRPr="00A731E1" w:rsidRDefault="00362F65" w:rsidP="002901A4">
            <w:pPr>
              <w:spacing w:after="0" w:line="240" w:lineRule="auto"/>
              <w:ind w:left="0" w:firstLine="0"/>
              <w:jc w:val="center"/>
              <w:rPr>
                <w:sz w:val="22"/>
              </w:rPr>
            </w:pPr>
            <w:r>
              <w:rPr>
                <w:sz w:val="22"/>
              </w:rPr>
              <w:t xml:space="preserve">1,0 [0,46; 2,5] </w:t>
            </w:r>
          </w:p>
        </w:tc>
        <w:tc>
          <w:tcPr>
            <w:tcW w:w="1911" w:type="dxa"/>
            <w:tcBorders>
              <w:top w:val="single" w:sz="4" w:space="0" w:color="000000"/>
              <w:left w:val="single" w:sz="4" w:space="0" w:color="000000"/>
              <w:bottom w:val="single" w:sz="4" w:space="0" w:color="000000"/>
              <w:right w:val="single" w:sz="3" w:space="0" w:color="000000"/>
            </w:tcBorders>
          </w:tcPr>
          <w:p w14:paraId="1CE8C539" w14:textId="77777777" w:rsidR="00362F65" w:rsidRPr="00A731E1" w:rsidRDefault="00362F65" w:rsidP="002901A4">
            <w:pPr>
              <w:spacing w:after="0" w:line="240" w:lineRule="auto"/>
              <w:ind w:left="0" w:right="-31" w:firstLine="0"/>
              <w:jc w:val="center"/>
              <w:rPr>
                <w:sz w:val="22"/>
              </w:rPr>
            </w:pPr>
            <w:r>
              <w:rPr>
                <w:sz w:val="22"/>
              </w:rPr>
              <w:t xml:space="preserve">0,49 [0,17; 1,4] </w:t>
            </w:r>
          </w:p>
        </w:tc>
      </w:tr>
      <w:tr w:rsidR="00362F65" w:rsidRPr="00A731E1" w14:paraId="22C0C321" w14:textId="77777777" w:rsidTr="00313F87">
        <w:trPr>
          <w:trHeight w:val="360"/>
        </w:trPr>
        <w:tc>
          <w:tcPr>
            <w:tcW w:w="1888" w:type="dxa"/>
            <w:tcBorders>
              <w:top w:val="single" w:sz="4" w:space="0" w:color="000000"/>
              <w:left w:val="single" w:sz="3" w:space="0" w:color="000000"/>
              <w:bottom w:val="single" w:sz="4" w:space="0" w:color="000000"/>
              <w:right w:val="single" w:sz="4" w:space="0" w:color="000000"/>
            </w:tcBorders>
          </w:tcPr>
          <w:p w14:paraId="214FA2F2" w14:textId="77777777" w:rsidR="00362F65" w:rsidRPr="00A731E1" w:rsidRDefault="00362F65" w:rsidP="00833B71">
            <w:pPr>
              <w:spacing w:after="0" w:line="240" w:lineRule="auto"/>
              <w:ind w:left="0" w:firstLine="0"/>
              <w:rPr>
                <w:sz w:val="22"/>
              </w:rPr>
            </w:pPr>
            <w:r>
              <w:rPr>
                <w:sz w:val="22"/>
              </w:rPr>
              <w:t xml:space="preserve">5 mg dvakrát denne </w:t>
            </w:r>
          </w:p>
        </w:tc>
        <w:tc>
          <w:tcPr>
            <w:tcW w:w="1890" w:type="dxa"/>
            <w:tcBorders>
              <w:top w:val="single" w:sz="4" w:space="0" w:color="000000"/>
              <w:left w:val="single" w:sz="4" w:space="0" w:color="000000"/>
              <w:bottom w:val="single" w:sz="4" w:space="0" w:color="000000"/>
              <w:right w:val="single" w:sz="3" w:space="0" w:color="000000"/>
            </w:tcBorders>
          </w:tcPr>
          <w:p w14:paraId="072ADEF5" w14:textId="77777777" w:rsidR="00362F65" w:rsidRPr="00A731E1" w:rsidRDefault="00362F65" w:rsidP="002901A4">
            <w:pPr>
              <w:spacing w:after="0" w:line="240" w:lineRule="auto"/>
              <w:ind w:left="0" w:right="-54" w:firstLine="0"/>
              <w:jc w:val="center"/>
              <w:rPr>
                <w:sz w:val="22"/>
              </w:rPr>
            </w:pPr>
            <w:r>
              <w:rPr>
                <w:sz w:val="22"/>
              </w:rPr>
              <w:t xml:space="preserve">132 [59; 302] </w:t>
            </w:r>
          </w:p>
        </w:tc>
        <w:tc>
          <w:tcPr>
            <w:tcW w:w="1894" w:type="dxa"/>
            <w:tcBorders>
              <w:top w:val="single" w:sz="4" w:space="0" w:color="000000"/>
              <w:left w:val="single" w:sz="3" w:space="0" w:color="000000"/>
              <w:bottom w:val="single" w:sz="4" w:space="0" w:color="000000"/>
              <w:right w:val="single" w:sz="4" w:space="0" w:color="000000"/>
            </w:tcBorders>
          </w:tcPr>
          <w:p w14:paraId="12B80398" w14:textId="77777777" w:rsidR="00362F65" w:rsidRPr="00A731E1" w:rsidRDefault="00362F65" w:rsidP="002901A4">
            <w:pPr>
              <w:spacing w:after="0" w:line="240" w:lineRule="auto"/>
              <w:ind w:left="0" w:right="45" w:firstLine="0"/>
              <w:jc w:val="center"/>
              <w:rPr>
                <w:sz w:val="22"/>
              </w:rPr>
            </w:pPr>
            <w:r>
              <w:rPr>
                <w:sz w:val="22"/>
              </w:rPr>
              <w:t xml:space="preserve">63 [22; 177] </w:t>
            </w:r>
          </w:p>
        </w:tc>
        <w:tc>
          <w:tcPr>
            <w:tcW w:w="1911" w:type="dxa"/>
            <w:tcBorders>
              <w:top w:val="single" w:sz="4" w:space="0" w:color="000000"/>
              <w:left w:val="single" w:sz="4" w:space="0" w:color="000000"/>
              <w:bottom w:val="single" w:sz="4" w:space="0" w:color="000000"/>
              <w:right w:val="single" w:sz="4" w:space="0" w:color="000000"/>
            </w:tcBorders>
          </w:tcPr>
          <w:p w14:paraId="386EA69A" w14:textId="77777777" w:rsidR="00362F65" w:rsidRPr="00A731E1" w:rsidRDefault="00362F65" w:rsidP="002901A4">
            <w:pPr>
              <w:spacing w:after="0" w:line="240" w:lineRule="auto"/>
              <w:ind w:left="0" w:firstLine="0"/>
              <w:jc w:val="center"/>
              <w:rPr>
                <w:sz w:val="22"/>
              </w:rPr>
            </w:pPr>
            <w:r>
              <w:rPr>
                <w:sz w:val="22"/>
              </w:rPr>
              <w:t xml:space="preserve">2,1 [0,91; 5,2] </w:t>
            </w:r>
          </w:p>
        </w:tc>
        <w:tc>
          <w:tcPr>
            <w:tcW w:w="1911" w:type="dxa"/>
            <w:tcBorders>
              <w:top w:val="single" w:sz="4" w:space="0" w:color="000000"/>
              <w:left w:val="single" w:sz="4" w:space="0" w:color="000000"/>
              <w:bottom w:val="single" w:sz="4" w:space="0" w:color="000000"/>
              <w:right w:val="single" w:sz="3" w:space="0" w:color="000000"/>
            </w:tcBorders>
          </w:tcPr>
          <w:p w14:paraId="07FA2742" w14:textId="77777777" w:rsidR="00362F65" w:rsidRPr="00A731E1" w:rsidRDefault="00362F65" w:rsidP="002901A4">
            <w:pPr>
              <w:spacing w:after="0" w:line="240" w:lineRule="auto"/>
              <w:ind w:left="0" w:right="-31" w:firstLine="0"/>
              <w:jc w:val="center"/>
              <w:rPr>
                <w:sz w:val="22"/>
              </w:rPr>
            </w:pPr>
            <w:r>
              <w:rPr>
                <w:sz w:val="22"/>
              </w:rPr>
              <w:t xml:space="preserve">1,0 [0,33; 2,9] </w:t>
            </w:r>
          </w:p>
        </w:tc>
      </w:tr>
      <w:tr w:rsidR="00362F65" w:rsidRPr="00A731E1" w14:paraId="78A306F6" w14:textId="77777777" w:rsidTr="00313F87">
        <w:trPr>
          <w:trHeight w:val="361"/>
        </w:trPr>
        <w:tc>
          <w:tcPr>
            <w:tcW w:w="1888" w:type="dxa"/>
            <w:tcBorders>
              <w:top w:val="single" w:sz="4" w:space="0" w:color="000000"/>
              <w:left w:val="single" w:sz="3" w:space="0" w:color="000000"/>
              <w:bottom w:val="single" w:sz="4" w:space="0" w:color="000000"/>
              <w:right w:val="single" w:sz="4" w:space="0" w:color="000000"/>
            </w:tcBorders>
          </w:tcPr>
          <w:p w14:paraId="580A8CA6" w14:textId="77777777" w:rsidR="00362F65" w:rsidRPr="00A731E1" w:rsidRDefault="00362F65" w:rsidP="00833B71">
            <w:pPr>
              <w:spacing w:after="0" w:line="240" w:lineRule="auto"/>
              <w:ind w:left="0" w:firstLine="0"/>
              <w:rPr>
                <w:sz w:val="22"/>
              </w:rPr>
            </w:pPr>
            <w:r>
              <w:rPr>
                <w:sz w:val="22"/>
              </w:rPr>
              <w:t xml:space="preserve">10 mg dvakrát denne </w:t>
            </w:r>
          </w:p>
        </w:tc>
        <w:tc>
          <w:tcPr>
            <w:tcW w:w="1890" w:type="dxa"/>
            <w:tcBorders>
              <w:top w:val="single" w:sz="4" w:space="0" w:color="000000"/>
              <w:left w:val="single" w:sz="4" w:space="0" w:color="000000"/>
              <w:bottom w:val="single" w:sz="4" w:space="0" w:color="000000"/>
              <w:right w:val="single" w:sz="3" w:space="0" w:color="000000"/>
            </w:tcBorders>
          </w:tcPr>
          <w:p w14:paraId="27C296F8" w14:textId="77777777" w:rsidR="00362F65" w:rsidRPr="00A731E1" w:rsidRDefault="00362F65" w:rsidP="002901A4">
            <w:pPr>
              <w:spacing w:after="0" w:line="240" w:lineRule="auto"/>
              <w:ind w:left="0" w:right="-54" w:firstLine="0"/>
              <w:jc w:val="center"/>
              <w:rPr>
                <w:sz w:val="22"/>
              </w:rPr>
            </w:pPr>
            <w:r>
              <w:rPr>
                <w:sz w:val="22"/>
              </w:rPr>
              <w:t xml:space="preserve">251 [111; 572] </w:t>
            </w:r>
          </w:p>
        </w:tc>
        <w:tc>
          <w:tcPr>
            <w:tcW w:w="1894" w:type="dxa"/>
            <w:tcBorders>
              <w:top w:val="single" w:sz="4" w:space="0" w:color="000000"/>
              <w:left w:val="single" w:sz="3" w:space="0" w:color="000000"/>
              <w:bottom w:val="single" w:sz="4" w:space="0" w:color="000000"/>
              <w:right w:val="single" w:sz="4" w:space="0" w:color="000000"/>
            </w:tcBorders>
          </w:tcPr>
          <w:p w14:paraId="6F2679B0" w14:textId="77777777" w:rsidR="00362F65" w:rsidRPr="00A731E1" w:rsidRDefault="00362F65" w:rsidP="002901A4">
            <w:pPr>
              <w:spacing w:after="0" w:line="240" w:lineRule="auto"/>
              <w:ind w:left="0" w:right="45" w:firstLine="0"/>
              <w:jc w:val="center"/>
              <w:rPr>
                <w:sz w:val="22"/>
              </w:rPr>
            </w:pPr>
            <w:r>
              <w:rPr>
                <w:sz w:val="22"/>
              </w:rPr>
              <w:t xml:space="preserve">120 [41; 335] </w:t>
            </w:r>
          </w:p>
        </w:tc>
        <w:tc>
          <w:tcPr>
            <w:tcW w:w="1911" w:type="dxa"/>
            <w:tcBorders>
              <w:top w:val="single" w:sz="4" w:space="0" w:color="000000"/>
              <w:left w:val="single" w:sz="4" w:space="0" w:color="000000"/>
              <w:bottom w:val="single" w:sz="4" w:space="0" w:color="000000"/>
              <w:right w:val="single" w:sz="4" w:space="0" w:color="000000"/>
            </w:tcBorders>
          </w:tcPr>
          <w:p w14:paraId="32174DB9" w14:textId="77777777" w:rsidR="00362F65" w:rsidRPr="00A731E1" w:rsidRDefault="00362F65" w:rsidP="002901A4">
            <w:pPr>
              <w:spacing w:after="0" w:line="240" w:lineRule="auto"/>
              <w:ind w:left="0" w:firstLine="0"/>
              <w:jc w:val="center"/>
              <w:rPr>
                <w:sz w:val="22"/>
              </w:rPr>
            </w:pPr>
            <w:r>
              <w:rPr>
                <w:sz w:val="22"/>
              </w:rPr>
              <w:t xml:space="preserve">4,2 [1,8; 10,8] </w:t>
            </w:r>
          </w:p>
        </w:tc>
        <w:tc>
          <w:tcPr>
            <w:tcW w:w="1911" w:type="dxa"/>
            <w:tcBorders>
              <w:top w:val="single" w:sz="4" w:space="0" w:color="000000"/>
              <w:left w:val="single" w:sz="4" w:space="0" w:color="000000"/>
              <w:bottom w:val="single" w:sz="4" w:space="0" w:color="000000"/>
              <w:right w:val="single" w:sz="3" w:space="0" w:color="000000"/>
            </w:tcBorders>
          </w:tcPr>
          <w:p w14:paraId="430D848E" w14:textId="77777777" w:rsidR="00362F65" w:rsidRPr="00A731E1" w:rsidRDefault="00362F65" w:rsidP="002901A4">
            <w:pPr>
              <w:spacing w:after="0" w:line="240" w:lineRule="auto"/>
              <w:ind w:left="0" w:right="-31" w:firstLine="0"/>
              <w:jc w:val="center"/>
              <w:rPr>
                <w:sz w:val="22"/>
              </w:rPr>
            </w:pPr>
            <w:r>
              <w:rPr>
                <w:sz w:val="22"/>
              </w:rPr>
              <w:t xml:space="preserve">1,9 [0,64; 5,8] </w:t>
            </w:r>
          </w:p>
        </w:tc>
      </w:tr>
    </w:tbl>
    <w:bookmarkEnd w:id="1"/>
    <w:p w14:paraId="214F013B" w14:textId="04E7709A" w:rsidR="00B07789" w:rsidRPr="00A731E1" w:rsidRDefault="00D25089" w:rsidP="00833B71">
      <w:pPr>
        <w:spacing w:after="0" w:line="240" w:lineRule="auto"/>
        <w:ind w:left="0"/>
        <w:rPr>
          <w:sz w:val="22"/>
        </w:rPr>
      </w:pPr>
      <w:r>
        <w:rPr>
          <w:sz w:val="22"/>
        </w:rPr>
        <w:t xml:space="preserve">* Populácia s </w:t>
      </w:r>
      <w:r w:rsidR="00265FFF">
        <w:rPr>
          <w:sz w:val="22"/>
        </w:rPr>
        <w:t xml:space="preserve">upravenou </w:t>
      </w:r>
      <w:r>
        <w:rPr>
          <w:sz w:val="22"/>
        </w:rPr>
        <w:t>dávkou</w:t>
      </w:r>
      <w:r w:rsidR="00265FFF">
        <w:rPr>
          <w:sz w:val="22"/>
        </w:rPr>
        <w:t xml:space="preserve"> na základe</w:t>
      </w:r>
      <w:r>
        <w:rPr>
          <w:sz w:val="22"/>
        </w:rPr>
        <w:t xml:space="preserve"> 2 z 3 kritérií zníženia dávky v štúdii ARISTOTLE. </w:t>
      </w:r>
    </w:p>
    <w:p w14:paraId="6EEF03A1" w14:textId="77777777" w:rsidR="00B07789" w:rsidRPr="00A731E1" w:rsidRDefault="00D25089" w:rsidP="00833B71">
      <w:pPr>
        <w:spacing w:after="0" w:line="240" w:lineRule="auto"/>
        <w:ind w:left="0" w:firstLine="0"/>
        <w:rPr>
          <w:sz w:val="22"/>
        </w:rPr>
      </w:pPr>
      <w:r>
        <w:rPr>
          <w:sz w:val="22"/>
        </w:rPr>
        <w:t xml:space="preserve"> </w:t>
      </w:r>
    </w:p>
    <w:p w14:paraId="626B3777" w14:textId="0B286A81" w:rsidR="00B07789" w:rsidRPr="00A731E1" w:rsidRDefault="00D25089" w:rsidP="00650FC6">
      <w:pPr>
        <w:spacing w:after="0" w:line="240" w:lineRule="auto"/>
        <w:ind w:left="10"/>
        <w:rPr>
          <w:sz w:val="22"/>
        </w:rPr>
      </w:pPr>
      <w:r>
        <w:rPr>
          <w:sz w:val="22"/>
        </w:rPr>
        <w:t>Hoci  liečba apixabánom nevyžaduje pravidelné monitorovanie expo</w:t>
      </w:r>
      <w:r w:rsidRPr="00EF7480">
        <w:rPr>
          <w:sz w:val="22"/>
        </w:rPr>
        <w:t>zície, kalibrovaný kvantitatívny test  antifaktor Xa môže</w:t>
      </w:r>
      <w:r>
        <w:rPr>
          <w:sz w:val="22"/>
        </w:rPr>
        <w:t xml:space="preserve"> byť užitočný vo výnimočných situáciách, ke</w:t>
      </w:r>
      <w:r w:rsidR="003C7E3E">
        <w:rPr>
          <w:sz w:val="22"/>
        </w:rPr>
        <w:t>ď</w:t>
      </w:r>
      <w:r>
        <w:rPr>
          <w:sz w:val="22"/>
        </w:rPr>
        <w:t xml:space="preserve"> z</w:t>
      </w:r>
      <w:r w:rsidR="003C7E3E">
        <w:rPr>
          <w:sz w:val="22"/>
        </w:rPr>
        <w:t>istenie</w:t>
      </w:r>
      <w:r>
        <w:rPr>
          <w:sz w:val="22"/>
        </w:rPr>
        <w:t xml:space="preserve"> expozície apixabánu môže pomôcť kvalifikovanému klinickému rozhodnutiu (napr. predávkovanie a urgentný chirurgický výkon). </w:t>
      </w:r>
    </w:p>
    <w:p w14:paraId="463BB35C" w14:textId="77777777" w:rsidR="00B07789" w:rsidRPr="00A731E1" w:rsidRDefault="00D25089" w:rsidP="000E7AF5">
      <w:pPr>
        <w:keepNext/>
        <w:spacing w:after="0" w:line="240" w:lineRule="auto"/>
        <w:ind w:left="0" w:firstLine="0"/>
        <w:rPr>
          <w:sz w:val="22"/>
        </w:rPr>
      </w:pPr>
      <w:r>
        <w:rPr>
          <w:sz w:val="22"/>
        </w:rPr>
        <w:t xml:space="preserve"> </w:t>
      </w:r>
    </w:p>
    <w:p w14:paraId="7B5CB62C" w14:textId="77777777" w:rsidR="00B07789" w:rsidRPr="00A731E1" w:rsidRDefault="00D25089" w:rsidP="00650FC6">
      <w:pPr>
        <w:pStyle w:val="Nadpis2"/>
        <w:keepLines w:val="0"/>
        <w:spacing w:after="0" w:line="240" w:lineRule="auto"/>
        <w:ind w:left="10"/>
        <w:rPr>
          <w:sz w:val="22"/>
        </w:rPr>
      </w:pPr>
      <w:r>
        <w:rPr>
          <w:sz w:val="22"/>
        </w:rPr>
        <w:t>Klinická účinnosť a bezpečnosť</w:t>
      </w:r>
      <w:r>
        <w:rPr>
          <w:sz w:val="22"/>
          <w:u w:val="none"/>
        </w:rPr>
        <w:t xml:space="preserve"> </w:t>
      </w:r>
    </w:p>
    <w:p w14:paraId="05E701FA" w14:textId="694615C1" w:rsidR="004E2EDA" w:rsidRPr="000E7AF5" w:rsidRDefault="00D25089" w:rsidP="000E7AF5">
      <w:pPr>
        <w:keepNext/>
        <w:spacing w:after="0" w:line="240" w:lineRule="auto"/>
        <w:ind w:left="0" w:firstLine="0"/>
        <w:rPr>
          <w:sz w:val="22"/>
        </w:rPr>
      </w:pPr>
      <w:r>
        <w:rPr>
          <w:sz w:val="22"/>
        </w:rPr>
        <w:t xml:space="preserve"> </w:t>
      </w:r>
    </w:p>
    <w:p w14:paraId="571636C1" w14:textId="77777777" w:rsidR="000F14D2" w:rsidRPr="000F14D2" w:rsidRDefault="0021474E" w:rsidP="00650FC6">
      <w:pPr>
        <w:keepNext/>
        <w:spacing w:after="0" w:line="240" w:lineRule="auto"/>
        <w:ind w:left="11" w:hanging="11"/>
        <w:rPr>
          <w:i/>
          <w:sz w:val="22"/>
          <w:u w:val="single"/>
        </w:rPr>
      </w:pPr>
      <w:r w:rsidRPr="000F14D2">
        <w:rPr>
          <w:i/>
          <w:sz w:val="22"/>
          <w:u w:val="single"/>
        </w:rPr>
        <w:t>Prevencia VTE (VTEp): elektívny chirurgický výkon na nahradenie bedrového alebo kolenného kĺbu</w:t>
      </w:r>
    </w:p>
    <w:p w14:paraId="6DA591D4" w14:textId="288A9116" w:rsidR="000F14D2" w:rsidRDefault="0021474E" w:rsidP="00650FC6">
      <w:pPr>
        <w:keepNext/>
        <w:spacing w:after="0" w:line="240" w:lineRule="auto"/>
        <w:ind w:left="11" w:hanging="11"/>
        <w:rPr>
          <w:sz w:val="22"/>
        </w:rPr>
      </w:pPr>
      <w:r w:rsidRPr="000F14D2">
        <w:rPr>
          <w:sz w:val="22"/>
        </w:rPr>
        <w:t xml:space="preserve">Klinický program s apixabánom bol navrhnutý tak, aby ukázal účinnosť a bezpečnosť apixabánu v prevencii VTE u širokého spektra dospelých pacientov absolvujúcich elektívny chirurgický výkon na náhradu bedrového alebo kolenného kĺbu. Celkové množstvo 8 464 pacientov sa randomizovalo do dvoch pivotných, dvojito zaslepených, medzinárodných štúdií porovnávajúcich 2,5 mg apixabánu podávaného perorálne dvakrát denne (4 236 pacientov) alebo 40 mg enoxaparínu podávaného jedenkrát denne (4 228 pacientov). Zahrnutých bolo 1 262 (618 v skupine s apixabánom) 75-ročných alebo starších pacientov, 1 004 pacientov (499 v skupine s apixabánom) s nízkou telesnou hmotnosťou (≤ 60 kg), 1 495 pacientov (743 v skupine s apixabánom) s BMI ≥ 33 kg/m2 a 415 pacientov (203 v skupine s apixabánom) so stredne </w:t>
      </w:r>
      <w:r w:rsidR="00EF7480">
        <w:rPr>
          <w:sz w:val="22"/>
        </w:rPr>
        <w:t>závažnou</w:t>
      </w:r>
      <w:r w:rsidR="00EF7480" w:rsidRPr="000F14D2">
        <w:rPr>
          <w:sz w:val="22"/>
        </w:rPr>
        <w:t xml:space="preserve"> </w:t>
      </w:r>
      <w:r w:rsidRPr="000F14D2">
        <w:rPr>
          <w:sz w:val="22"/>
        </w:rPr>
        <w:t xml:space="preserve">poruchou funkcie obličiek. </w:t>
      </w:r>
    </w:p>
    <w:p w14:paraId="1F161D60" w14:textId="77777777" w:rsidR="000F14D2" w:rsidRDefault="000F14D2">
      <w:pPr>
        <w:keepNext/>
        <w:spacing w:after="0" w:line="240" w:lineRule="auto"/>
        <w:ind w:left="0" w:hanging="11"/>
        <w:rPr>
          <w:sz w:val="22"/>
        </w:rPr>
      </w:pPr>
    </w:p>
    <w:p w14:paraId="2E71ADAA" w14:textId="2167A058" w:rsidR="000F14D2" w:rsidRDefault="0021474E" w:rsidP="00650FC6">
      <w:pPr>
        <w:keepNext/>
        <w:spacing w:after="0" w:line="240" w:lineRule="auto"/>
        <w:ind w:left="11" w:hanging="11"/>
        <w:rPr>
          <w:sz w:val="22"/>
        </w:rPr>
      </w:pPr>
      <w:r w:rsidRPr="000F14D2">
        <w:rPr>
          <w:sz w:val="22"/>
        </w:rPr>
        <w:t xml:space="preserve">Štúdie ADVANCE-3 sa zúčastnilo 5 407 pacientov absolvujúcich elektívny chirurgický výkon na náhradu bedrového kĺbu a štúdie ADVANCE-2 sa zúčastnilo 3 057 pacientov absolvujúcich elektívny chirurgický výkon na náhradu kolenného kĺbu. </w:t>
      </w:r>
      <w:r w:rsidR="00EF7480">
        <w:rPr>
          <w:sz w:val="22"/>
        </w:rPr>
        <w:t>Účastníci</w:t>
      </w:r>
      <w:r w:rsidR="00EF7480" w:rsidRPr="000F14D2">
        <w:rPr>
          <w:sz w:val="22"/>
        </w:rPr>
        <w:t xml:space="preserve"> </w:t>
      </w:r>
      <w:r w:rsidRPr="000F14D2">
        <w:rPr>
          <w:sz w:val="22"/>
        </w:rPr>
        <w:t>dostávali buď 2,5 mg apixabánu perorálne dvakrát denne (p.o. BID), alebo 40 mg enoxaparín</w:t>
      </w:r>
      <w:r w:rsidR="00EF7480">
        <w:rPr>
          <w:sz w:val="22"/>
        </w:rPr>
        <w:t>u</w:t>
      </w:r>
      <w:r w:rsidRPr="000F14D2">
        <w:rPr>
          <w:sz w:val="22"/>
        </w:rPr>
        <w:t xml:space="preserve"> subkutánne jedenkrát denne (s.c. </w:t>
      </w:r>
      <w:r w:rsidR="00EF7480">
        <w:rPr>
          <w:sz w:val="22"/>
        </w:rPr>
        <w:t>O</w:t>
      </w:r>
      <w:r w:rsidRPr="000F14D2">
        <w:rPr>
          <w:sz w:val="22"/>
        </w:rPr>
        <w:t xml:space="preserve">D). Prvá dávka apixabánu sa podávala 12 – 24 hodín po operácii, zatiaľ čo enoxaparín sa začal podávať 9 – 15 hodín pred operáciou. Apixabán aj enoxaparín sa v štúdii ADVANCE-3 podávali 32 – 38 dní a v štúdii ADVANCE-2 10-14 dní. </w:t>
      </w:r>
    </w:p>
    <w:p w14:paraId="1C5F1DA8" w14:textId="77777777" w:rsidR="000F14D2" w:rsidRDefault="000F14D2">
      <w:pPr>
        <w:keepNext/>
        <w:spacing w:after="0" w:line="240" w:lineRule="auto"/>
        <w:ind w:left="0" w:hanging="11"/>
        <w:rPr>
          <w:sz w:val="22"/>
        </w:rPr>
      </w:pPr>
    </w:p>
    <w:p w14:paraId="08017F17" w14:textId="1F7F198D" w:rsidR="000F14D2" w:rsidRDefault="0021474E" w:rsidP="00650FC6">
      <w:pPr>
        <w:keepNext/>
        <w:spacing w:after="0" w:line="240" w:lineRule="auto"/>
        <w:ind w:left="11" w:hanging="11"/>
        <w:rPr>
          <w:sz w:val="22"/>
        </w:rPr>
      </w:pPr>
      <w:r w:rsidRPr="000F14D2">
        <w:rPr>
          <w:sz w:val="22"/>
        </w:rPr>
        <w:t xml:space="preserve">Podľa anamnestických údajov populácie skúmanej v štúdiách ADVANCE-3 a ADVANCE-2 (8 464 pacientov) malo 46 % hypertenziu, 10 % hyperlipidémiu, 9 % diabetes a 8 % </w:t>
      </w:r>
      <w:r w:rsidR="00EF7480">
        <w:rPr>
          <w:sz w:val="22"/>
        </w:rPr>
        <w:t>ischemickú chorobu srdca</w:t>
      </w:r>
      <w:r w:rsidRPr="000F14D2">
        <w:rPr>
          <w:sz w:val="22"/>
        </w:rPr>
        <w:t xml:space="preserve">. </w:t>
      </w:r>
    </w:p>
    <w:p w14:paraId="7B0A7E74" w14:textId="77777777" w:rsidR="000F14D2" w:rsidRDefault="000F14D2">
      <w:pPr>
        <w:keepNext/>
        <w:spacing w:after="0" w:line="240" w:lineRule="auto"/>
        <w:ind w:left="0" w:hanging="11"/>
        <w:rPr>
          <w:sz w:val="22"/>
        </w:rPr>
      </w:pPr>
    </w:p>
    <w:p w14:paraId="40004D6B" w14:textId="26DD6068" w:rsidR="0021474E" w:rsidRPr="000F14D2" w:rsidRDefault="0021474E" w:rsidP="00650FC6">
      <w:pPr>
        <w:keepNext/>
        <w:spacing w:after="0" w:line="240" w:lineRule="auto"/>
        <w:ind w:left="11" w:hanging="11"/>
        <w:rPr>
          <w:sz w:val="22"/>
        </w:rPr>
      </w:pPr>
      <w:r w:rsidRPr="000F14D2">
        <w:rPr>
          <w:sz w:val="22"/>
        </w:rPr>
        <w:t xml:space="preserve">V porovnaní s enoxaparínom pri elektívnej náhrade bedrového alebo kolenného kĺbu preukázal </w:t>
      </w:r>
      <w:r w:rsidR="00605709">
        <w:rPr>
          <w:sz w:val="22"/>
        </w:rPr>
        <w:t xml:space="preserve">apixabán </w:t>
      </w:r>
      <w:r w:rsidRPr="000F14D2">
        <w:rPr>
          <w:sz w:val="22"/>
        </w:rPr>
        <w:t xml:space="preserve">štatisticky vyššie zníženie primárneho </w:t>
      </w:r>
      <w:r w:rsidR="00EF7480">
        <w:rPr>
          <w:sz w:val="22"/>
        </w:rPr>
        <w:t>cieľového</w:t>
      </w:r>
      <w:r w:rsidR="00EF7480" w:rsidRPr="000F14D2">
        <w:rPr>
          <w:sz w:val="22"/>
        </w:rPr>
        <w:t xml:space="preserve"> </w:t>
      </w:r>
      <w:r w:rsidRPr="000F14D2">
        <w:rPr>
          <w:sz w:val="22"/>
        </w:rPr>
        <w:t>ukazovateľa, zloženého zo všetkých VTE  úmrtí</w:t>
      </w:r>
      <w:r w:rsidR="00605709">
        <w:rPr>
          <w:sz w:val="22"/>
        </w:rPr>
        <w:t xml:space="preserve"> zo </w:t>
      </w:r>
      <w:r w:rsidR="00605709">
        <w:rPr>
          <w:sz w:val="22"/>
        </w:rPr>
        <w:lastRenderedPageBreak/>
        <w:t>všetkých príčin</w:t>
      </w:r>
      <w:r w:rsidRPr="000F14D2">
        <w:rPr>
          <w:sz w:val="22"/>
        </w:rPr>
        <w:t xml:space="preserve"> a hlavného </w:t>
      </w:r>
      <w:r w:rsidR="00EF7480">
        <w:rPr>
          <w:sz w:val="22"/>
        </w:rPr>
        <w:t>cieľového</w:t>
      </w:r>
      <w:r w:rsidR="00EF7480" w:rsidRPr="000F14D2">
        <w:rPr>
          <w:sz w:val="22"/>
        </w:rPr>
        <w:t xml:space="preserve"> </w:t>
      </w:r>
      <w:r w:rsidRPr="000F14D2">
        <w:rPr>
          <w:sz w:val="22"/>
        </w:rPr>
        <w:t xml:space="preserve">ukazovateľa </w:t>
      </w:r>
      <w:r w:rsidR="00605709">
        <w:rPr>
          <w:sz w:val="22"/>
        </w:rPr>
        <w:t xml:space="preserve">závažná </w:t>
      </w:r>
      <w:r w:rsidRPr="000F14D2">
        <w:rPr>
          <w:sz w:val="22"/>
        </w:rPr>
        <w:t>VTE, zloženého z proximálnej DVT</w:t>
      </w:r>
      <w:r w:rsidR="00605709">
        <w:rPr>
          <w:sz w:val="22"/>
        </w:rPr>
        <w:t>,</w:t>
      </w:r>
      <w:r w:rsidRPr="000F14D2">
        <w:rPr>
          <w:sz w:val="22"/>
        </w:rPr>
        <w:t xml:space="preserve"> nefatálnej PE a úmrtia v súvislosti s VTE (pozri tabuľku 4).</w:t>
      </w:r>
    </w:p>
    <w:p w14:paraId="4B986C51" w14:textId="77777777" w:rsidR="0021474E" w:rsidRPr="000F14D2" w:rsidRDefault="0021474E">
      <w:pPr>
        <w:keepNext/>
        <w:spacing w:after="0" w:line="240" w:lineRule="auto"/>
        <w:ind w:left="0" w:hanging="11"/>
        <w:rPr>
          <w:sz w:val="22"/>
        </w:rPr>
      </w:pPr>
    </w:p>
    <w:p w14:paraId="017C2056" w14:textId="35CF2715" w:rsidR="00897619" w:rsidRPr="00897619" w:rsidRDefault="000F14D2" w:rsidP="00897619">
      <w:pPr>
        <w:keepNext/>
        <w:spacing w:after="0" w:line="240" w:lineRule="auto"/>
        <w:ind w:left="0" w:hanging="11"/>
        <w:rPr>
          <w:b/>
          <w:sz w:val="22"/>
        </w:rPr>
      </w:pPr>
      <w:r w:rsidRPr="00897619">
        <w:rPr>
          <w:b/>
          <w:sz w:val="22"/>
        </w:rPr>
        <w:t>Tabuľka 4: Výsledky účinnosti z pivotných štúdií fázy III</w:t>
      </w:r>
    </w:p>
    <w:tbl>
      <w:tblPr>
        <w:tblStyle w:val="Mriekatabuky"/>
        <w:tblW w:w="0" w:type="auto"/>
        <w:tblLook w:val="04A0" w:firstRow="1" w:lastRow="0" w:firstColumn="1" w:lastColumn="0" w:noHBand="0" w:noVBand="1"/>
      </w:tblPr>
      <w:tblGrid>
        <w:gridCol w:w="1833"/>
        <w:gridCol w:w="1337"/>
        <w:gridCol w:w="1434"/>
        <w:gridCol w:w="1001"/>
        <w:gridCol w:w="1325"/>
        <w:gridCol w:w="1441"/>
        <w:gridCol w:w="1023"/>
      </w:tblGrid>
      <w:tr w:rsidR="00897619" w:rsidRPr="004903AC" w14:paraId="7C7E8BD9" w14:textId="77777777" w:rsidTr="008A37E3">
        <w:trPr>
          <w:cantSplit/>
          <w:trHeight w:val="297"/>
        </w:trPr>
        <w:tc>
          <w:tcPr>
            <w:tcW w:w="1906" w:type="dxa"/>
            <w:vAlign w:val="center"/>
          </w:tcPr>
          <w:p w14:paraId="11F12BC8" w14:textId="62A6AD43" w:rsidR="00897619" w:rsidRPr="004903AC" w:rsidRDefault="002B3E3E" w:rsidP="008A37E3">
            <w:pPr>
              <w:keepNext/>
              <w:spacing w:after="0" w:line="240" w:lineRule="auto"/>
              <w:ind w:left="0" w:firstLine="0"/>
              <w:rPr>
                <w:sz w:val="22"/>
                <w:lang w:val="en-US"/>
              </w:rPr>
            </w:pPr>
            <w:r>
              <w:rPr>
                <w:b/>
                <w:sz w:val="22"/>
                <w:lang w:val="en-US"/>
              </w:rPr>
              <w:t>Štúdia</w:t>
            </w:r>
          </w:p>
        </w:tc>
        <w:tc>
          <w:tcPr>
            <w:tcW w:w="4014" w:type="dxa"/>
            <w:gridSpan w:val="3"/>
            <w:vAlign w:val="center"/>
          </w:tcPr>
          <w:p w14:paraId="6C295565" w14:textId="5645749A" w:rsidR="00897619" w:rsidRPr="004903AC" w:rsidRDefault="002B3E3E" w:rsidP="008A37E3">
            <w:pPr>
              <w:keepNext/>
              <w:spacing w:after="0" w:line="240" w:lineRule="auto"/>
              <w:ind w:left="0" w:firstLine="0"/>
              <w:jc w:val="center"/>
              <w:rPr>
                <w:sz w:val="22"/>
                <w:lang w:val="en-US"/>
              </w:rPr>
            </w:pPr>
            <w:r>
              <w:rPr>
                <w:b/>
                <w:sz w:val="22"/>
                <w:lang w:val="en-US"/>
              </w:rPr>
              <w:t>ADVANCE</w:t>
            </w:r>
            <w:r>
              <w:rPr>
                <w:b/>
                <w:sz w:val="22"/>
                <w:lang w:val="en-US"/>
              </w:rPr>
              <w:noBreakHyphen/>
              <w:t>3 (bedrový kĺb</w:t>
            </w:r>
            <w:r w:rsidR="00897619" w:rsidRPr="004903AC">
              <w:rPr>
                <w:b/>
                <w:sz w:val="22"/>
                <w:lang w:val="en-US"/>
              </w:rPr>
              <w:t>)</w:t>
            </w:r>
          </w:p>
        </w:tc>
        <w:tc>
          <w:tcPr>
            <w:tcW w:w="4042" w:type="dxa"/>
            <w:gridSpan w:val="3"/>
            <w:vAlign w:val="center"/>
          </w:tcPr>
          <w:p w14:paraId="08BE02D0" w14:textId="5D3B8A8D" w:rsidR="00897619" w:rsidRPr="004903AC" w:rsidRDefault="002B3E3E" w:rsidP="008A37E3">
            <w:pPr>
              <w:keepNext/>
              <w:spacing w:after="0" w:line="240" w:lineRule="auto"/>
              <w:ind w:left="0" w:firstLine="0"/>
              <w:jc w:val="center"/>
              <w:rPr>
                <w:sz w:val="22"/>
                <w:lang w:val="en-US"/>
              </w:rPr>
            </w:pPr>
            <w:r>
              <w:rPr>
                <w:b/>
                <w:sz w:val="22"/>
                <w:lang w:val="en-US"/>
              </w:rPr>
              <w:t>ADVANCE</w:t>
            </w:r>
            <w:r>
              <w:rPr>
                <w:b/>
                <w:sz w:val="22"/>
                <w:lang w:val="en-US"/>
              </w:rPr>
              <w:noBreakHyphen/>
              <w:t>2 (koleno</w:t>
            </w:r>
            <w:r w:rsidR="00897619" w:rsidRPr="004903AC">
              <w:rPr>
                <w:b/>
                <w:sz w:val="22"/>
                <w:lang w:val="en-US"/>
              </w:rPr>
              <w:t>)</w:t>
            </w:r>
          </w:p>
        </w:tc>
      </w:tr>
      <w:tr w:rsidR="00897619" w:rsidRPr="004903AC" w14:paraId="4C136EBC" w14:textId="77777777" w:rsidTr="008A37E3">
        <w:trPr>
          <w:cantSplit/>
        </w:trPr>
        <w:tc>
          <w:tcPr>
            <w:tcW w:w="1906" w:type="dxa"/>
            <w:vAlign w:val="center"/>
          </w:tcPr>
          <w:p w14:paraId="1DC7FD12" w14:textId="4FF3D29F" w:rsidR="00897619" w:rsidRPr="004903AC" w:rsidRDefault="002B3E3E" w:rsidP="008A37E3">
            <w:pPr>
              <w:keepNext/>
              <w:spacing w:after="0" w:line="240" w:lineRule="auto"/>
              <w:ind w:left="0" w:firstLine="0"/>
              <w:rPr>
                <w:sz w:val="22"/>
                <w:lang w:val="en-US"/>
              </w:rPr>
            </w:pPr>
            <w:r>
              <w:rPr>
                <w:sz w:val="22"/>
                <w:lang w:val="en-US"/>
              </w:rPr>
              <w:t>Terapeutická dávka v štúdii Dĺžka liečby</w:t>
            </w:r>
          </w:p>
        </w:tc>
        <w:tc>
          <w:tcPr>
            <w:tcW w:w="1464" w:type="dxa"/>
            <w:vAlign w:val="center"/>
          </w:tcPr>
          <w:p w14:paraId="1C444B1F" w14:textId="15C82D88" w:rsidR="00897619" w:rsidRPr="004903AC" w:rsidRDefault="00897619" w:rsidP="008A37E3">
            <w:pPr>
              <w:keepNext/>
              <w:spacing w:after="0" w:line="240" w:lineRule="auto"/>
              <w:ind w:left="0" w:firstLine="0"/>
              <w:jc w:val="center"/>
              <w:rPr>
                <w:sz w:val="22"/>
                <w:lang w:val="en-US"/>
              </w:rPr>
            </w:pPr>
            <w:r w:rsidRPr="004903AC">
              <w:rPr>
                <w:sz w:val="22"/>
                <w:lang w:val="en-US"/>
              </w:rPr>
              <w:t>Apixab</w:t>
            </w:r>
            <w:r w:rsidR="00EF7480">
              <w:rPr>
                <w:sz w:val="22"/>
                <w:lang w:val="en-US"/>
              </w:rPr>
              <w:t>á</w:t>
            </w:r>
            <w:r w:rsidRPr="004903AC">
              <w:rPr>
                <w:sz w:val="22"/>
                <w:lang w:val="en-US"/>
              </w:rPr>
              <w:t>n</w:t>
            </w:r>
          </w:p>
          <w:p w14:paraId="0302A4DB" w14:textId="4C566E66" w:rsidR="00897619" w:rsidRPr="004903AC" w:rsidRDefault="00897619" w:rsidP="008A37E3">
            <w:pPr>
              <w:keepNext/>
              <w:spacing w:after="0" w:line="240" w:lineRule="auto"/>
              <w:ind w:left="0" w:firstLine="0"/>
              <w:jc w:val="center"/>
              <w:rPr>
                <w:sz w:val="22"/>
                <w:lang w:val="en-US"/>
              </w:rPr>
            </w:pPr>
            <w:r w:rsidRPr="004903AC">
              <w:rPr>
                <w:sz w:val="22"/>
                <w:lang w:val="en-US"/>
              </w:rPr>
              <w:t>2.5 mg p</w:t>
            </w:r>
            <w:r w:rsidR="002B3E3E">
              <w:rPr>
                <w:sz w:val="22"/>
                <w:lang w:val="en-US"/>
              </w:rPr>
              <w:t>.</w:t>
            </w:r>
            <w:r w:rsidRPr="004903AC">
              <w:rPr>
                <w:sz w:val="22"/>
                <w:lang w:val="en-US"/>
              </w:rPr>
              <w:t>o</w:t>
            </w:r>
            <w:r w:rsidR="002B3E3E">
              <w:rPr>
                <w:sz w:val="22"/>
                <w:lang w:val="en-US"/>
              </w:rPr>
              <w:t>. dvakrát denne</w:t>
            </w:r>
            <w:r w:rsidRPr="004903AC">
              <w:rPr>
                <w:sz w:val="22"/>
                <w:lang w:val="en-US"/>
              </w:rPr>
              <w:t xml:space="preserve"> 35 ± 3 d</w:t>
            </w:r>
            <w:r w:rsidR="002B3E3E">
              <w:rPr>
                <w:sz w:val="22"/>
                <w:lang w:val="en-US"/>
              </w:rPr>
              <w:t>ni</w:t>
            </w:r>
          </w:p>
        </w:tc>
        <w:tc>
          <w:tcPr>
            <w:tcW w:w="1549" w:type="dxa"/>
            <w:vAlign w:val="center"/>
          </w:tcPr>
          <w:p w14:paraId="177B08B4" w14:textId="74A8024A" w:rsidR="00897619" w:rsidRPr="004903AC" w:rsidRDefault="002B3E3E" w:rsidP="008A37E3">
            <w:pPr>
              <w:keepNext/>
              <w:spacing w:after="0" w:line="240" w:lineRule="auto"/>
              <w:ind w:left="0" w:firstLine="0"/>
              <w:jc w:val="center"/>
              <w:rPr>
                <w:sz w:val="22"/>
                <w:lang w:val="en-US"/>
              </w:rPr>
            </w:pPr>
            <w:r>
              <w:rPr>
                <w:sz w:val="22"/>
                <w:lang w:val="en-US"/>
              </w:rPr>
              <w:t>Enoxaparí</w:t>
            </w:r>
            <w:r w:rsidR="00897619" w:rsidRPr="004903AC">
              <w:rPr>
                <w:sz w:val="22"/>
                <w:lang w:val="en-US"/>
              </w:rPr>
              <w:t>n 40 mg s</w:t>
            </w:r>
            <w:r>
              <w:rPr>
                <w:sz w:val="22"/>
                <w:lang w:val="en-US"/>
              </w:rPr>
              <w:t>.</w:t>
            </w:r>
            <w:r w:rsidR="00897619" w:rsidRPr="004903AC">
              <w:rPr>
                <w:sz w:val="22"/>
                <w:lang w:val="en-US"/>
              </w:rPr>
              <w:t>c</w:t>
            </w:r>
            <w:r>
              <w:rPr>
                <w:sz w:val="22"/>
                <w:lang w:val="en-US"/>
              </w:rPr>
              <w:t>. jedenkrát denne</w:t>
            </w:r>
            <w:r w:rsidR="00897619" w:rsidRPr="004903AC">
              <w:rPr>
                <w:sz w:val="22"/>
                <w:lang w:val="en-US"/>
              </w:rPr>
              <w:t xml:space="preserve"> 35 ± 3 d</w:t>
            </w:r>
            <w:r>
              <w:rPr>
                <w:sz w:val="22"/>
                <w:lang w:val="en-US"/>
              </w:rPr>
              <w:t>ni</w:t>
            </w:r>
          </w:p>
        </w:tc>
        <w:tc>
          <w:tcPr>
            <w:tcW w:w="1001" w:type="dxa"/>
            <w:vAlign w:val="center"/>
          </w:tcPr>
          <w:p w14:paraId="66099C22" w14:textId="1C0D79C5" w:rsidR="00897619" w:rsidRPr="004903AC" w:rsidRDefault="00C42C08" w:rsidP="008A37E3">
            <w:pPr>
              <w:keepNext/>
              <w:spacing w:after="0" w:line="240" w:lineRule="auto"/>
              <w:ind w:left="0" w:firstLine="0"/>
              <w:jc w:val="center"/>
              <w:rPr>
                <w:sz w:val="22"/>
                <w:lang w:val="en-US"/>
              </w:rPr>
            </w:pPr>
            <w:r>
              <w:rPr>
                <w:sz w:val="22"/>
                <w:lang w:val="en-US"/>
              </w:rPr>
              <w:t>h</w:t>
            </w:r>
            <w:r w:rsidR="002B3E3E">
              <w:rPr>
                <w:sz w:val="22"/>
                <w:lang w:val="en-US"/>
              </w:rPr>
              <w:t>odnota</w:t>
            </w:r>
            <w:r w:rsidR="00777D3E">
              <w:rPr>
                <w:sz w:val="22"/>
                <w:lang w:val="en-US"/>
              </w:rPr>
              <w:t xml:space="preserve"> p</w:t>
            </w:r>
          </w:p>
        </w:tc>
        <w:tc>
          <w:tcPr>
            <w:tcW w:w="1446" w:type="dxa"/>
            <w:vAlign w:val="center"/>
          </w:tcPr>
          <w:p w14:paraId="19B7C4C8" w14:textId="78B57572" w:rsidR="00897619" w:rsidRPr="004903AC" w:rsidRDefault="00897619" w:rsidP="008A37E3">
            <w:pPr>
              <w:keepNext/>
              <w:spacing w:after="0" w:line="240" w:lineRule="auto"/>
              <w:ind w:left="0" w:firstLine="0"/>
              <w:jc w:val="center"/>
              <w:rPr>
                <w:sz w:val="22"/>
                <w:lang w:val="en-US"/>
              </w:rPr>
            </w:pPr>
            <w:r w:rsidRPr="004903AC">
              <w:rPr>
                <w:sz w:val="22"/>
                <w:lang w:val="en-US"/>
              </w:rPr>
              <w:t>Apixab</w:t>
            </w:r>
            <w:r w:rsidR="00EF7480">
              <w:rPr>
                <w:sz w:val="22"/>
                <w:lang w:val="en-US"/>
              </w:rPr>
              <w:t>á</w:t>
            </w:r>
            <w:r w:rsidRPr="004903AC">
              <w:rPr>
                <w:sz w:val="22"/>
                <w:lang w:val="en-US"/>
              </w:rPr>
              <w:t>n</w:t>
            </w:r>
          </w:p>
          <w:p w14:paraId="3A04ECDF" w14:textId="2AD62722" w:rsidR="00897619" w:rsidRPr="004903AC" w:rsidRDefault="00897619" w:rsidP="008A37E3">
            <w:pPr>
              <w:keepNext/>
              <w:spacing w:after="0" w:line="240" w:lineRule="auto"/>
              <w:ind w:left="0" w:firstLine="0"/>
              <w:jc w:val="center"/>
              <w:rPr>
                <w:sz w:val="22"/>
                <w:lang w:val="en-US"/>
              </w:rPr>
            </w:pPr>
            <w:r w:rsidRPr="004903AC">
              <w:rPr>
                <w:sz w:val="22"/>
                <w:lang w:val="en-US"/>
              </w:rPr>
              <w:t>2.5 mg p</w:t>
            </w:r>
            <w:r w:rsidR="002B3E3E">
              <w:rPr>
                <w:sz w:val="22"/>
                <w:lang w:val="en-US"/>
              </w:rPr>
              <w:t>.</w:t>
            </w:r>
            <w:r w:rsidRPr="004903AC">
              <w:rPr>
                <w:sz w:val="22"/>
                <w:lang w:val="en-US"/>
              </w:rPr>
              <w:t>o</w:t>
            </w:r>
            <w:r w:rsidR="002B3E3E">
              <w:rPr>
                <w:sz w:val="22"/>
                <w:lang w:val="en-US"/>
              </w:rPr>
              <w:t>. dvakrát denne</w:t>
            </w:r>
            <w:r w:rsidRPr="004903AC">
              <w:rPr>
                <w:sz w:val="22"/>
                <w:lang w:val="en-US"/>
              </w:rPr>
              <w:t xml:space="preserve"> 12 ± 2 d</w:t>
            </w:r>
            <w:r w:rsidR="002B3E3E">
              <w:rPr>
                <w:sz w:val="22"/>
                <w:lang w:val="en-US"/>
              </w:rPr>
              <w:t>ni</w:t>
            </w:r>
          </w:p>
        </w:tc>
        <w:tc>
          <w:tcPr>
            <w:tcW w:w="1560" w:type="dxa"/>
            <w:vAlign w:val="center"/>
          </w:tcPr>
          <w:p w14:paraId="69FFF409" w14:textId="4A4B2C2D" w:rsidR="00897619" w:rsidRPr="004903AC" w:rsidRDefault="002B3E3E" w:rsidP="008A37E3">
            <w:pPr>
              <w:keepNext/>
              <w:spacing w:after="0" w:line="240" w:lineRule="auto"/>
              <w:ind w:left="0" w:firstLine="0"/>
              <w:jc w:val="center"/>
              <w:rPr>
                <w:sz w:val="22"/>
                <w:lang w:val="en-US"/>
              </w:rPr>
            </w:pPr>
            <w:r>
              <w:rPr>
                <w:sz w:val="22"/>
                <w:lang w:val="en-US"/>
              </w:rPr>
              <w:t>Enoxaparí</w:t>
            </w:r>
            <w:r w:rsidR="00897619" w:rsidRPr="004903AC">
              <w:rPr>
                <w:sz w:val="22"/>
                <w:lang w:val="en-US"/>
              </w:rPr>
              <w:t>n 40 mg s</w:t>
            </w:r>
            <w:r>
              <w:rPr>
                <w:sz w:val="22"/>
                <w:lang w:val="en-US"/>
              </w:rPr>
              <w:t>.</w:t>
            </w:r>
            <w:r w:rsidR="00897619" w:rsidRPr="004903AC">
              <w:rPr>
                <w:sz w:val="22"/>
                <w:lang w:val="en-US"/>
              </w:rPr>
              <w:t>c</w:t>
            </w:r>
            <w:r>
              <w:rPr>
                <w:sz w:val="22"/>
                <w:lang w:val="en-US"/>
              </w:rPr>
              <w:t>. jedenkrát denne</w:t>
            </w:r>
            <w:r w:rsidR="00897619" w:rsidRPr="004903AC">
              <w:rPr>
                <w:sz w:val="22"/>
                <w:lang w:val="en-US"/>
              </w:rPr>
              <w:t xml:space="preserve"> 12 ± 2 d</w:t>
            </w:r>
            <w:r>
              <w:rPr>
                <w:sz w:val="22"/>
                <w:lang w:val="en-US"/>
              </w:rPr>
              <w:t>ni</w:t>
            </w:r>
          </w:p>
        </w:tc>
        <w:tc>
          <w:tcPr>
            <w:tcW w:w="1036" w:type="dxa"/>
            <w:vAlign w:val="center"/>
          </w:tcPr>
          <w:p w14:paraId="1B41F2FC" w14:textId="46084D0D" w:rsidR="00897619" w:rsidRPr="004903AC" w:rsidRDefault="00777D3E" w:rsidP="008A37E3">
            <w:pPr>
              <w:keepNext/>
              <w:spacing w:after="0" w:line="240" w:lineRule="auto"/>
              <w:ind w:left="0" w:firstLine="0"/>
              <w:jc w:val="center"/>
              <w:rPr>
                <w:sz w:val="22"/>
                <w:lang w:val="en-US"/>
              </w:rPr>
            </w:pPr>
            <w:r>
              <w:rPr>
                <w:sz w:val="22"/>
                <w:lang w:val="en-US"/>
              </w:rPr>
              <w:t>hodnota p</w:t>
            </w:r>
          </w:p>
        </w:tc>
      </w:tr>
      <w:tr w:rsidR="00897619" w:rsidRPr="004903AC" w14:paraId="357CDA94" w14:textId="77777777" w:rsidTr="008A37E3">
        <w:trPr>
          <w:cantSplit/>
          <w:trHeight w:val="374"/>
        </w:trPr>
        <w:tc>
          <w:tcPr>
            <w:tcW w:w="9962" w:type="dxa"/>
            <w:gridSpan w:val="7"/>
            <w:vAlign w:val="center"/>
          </w:tcPr>
          <w:p w14:paraId="208BFD30" w14:textId="46635126" w:rsidR="00897619" w:rsidRPr="004903AC" w:rsidRDefault="002B3E3E" w:rsidP="00605709">
            <w:pPr>
              <w:keepNext/>
              <w:spacing w:after="0" w:line="240" w:lineRule="auto"/>
              <w:ind w:left="0" w:firstLine="0"/>
              <w:rPr>
                <w:b/>
                <w:sz w:val="22"/>
                <w:lang w:val="en-US"/>
              </w:rPr>
            </w:pPr>
            <w:r>
              <w:rPr>
                <w:sz w:val="22"/>
                <w:lang w:val="en-US"/>
              </w:rPr>
              <w:t>Celkov</w:t>
            </w:r>
            <w:r w:rsidR="00605709">
              <w:rPr>
                <w:sz w:val="22"/>
                <w:lang w:val="en-US"/>
              </w:rPr>
              <w:t>á</w:t>
            </w:r>
            <w:r>
              <w:rPr>
                <w:sz w:val="22"/>
                <w:lang w:val="en-US"/>
              </w:rPr>
              <w:t xml:space="preserve"> VTE/ úmrt</w:t>
            </w:r>
            <w:r w:rsidR="00605709">
              <w:rPr>
                <w:sz w:val="22"/>
                <w:lang w:val="en-US"/>
              </w:rPr>
              <w:t>ie zo všetkých príčin</w:t>
            </w:r>
          </w:p>
        </w:tc>
      </w:tr>
      <w:tr w:rsidR="00897619" w:rsidRPr="004903AC" w14:paraId="5398B087" w14:textId="77777777" w:rsidTr="008A37E3">
        <w:trPr>
          <w:cantSplit/>
        </w:trPr>
        <w:tc>
          <w:tcPr>
            <w:tcW w:w="1906" w:type="dxa"/>
            <w:vAlign w:val="center"/>
          </w:tcPr>
          <w:p w14:paraId="11DA25D4" w14:textId="345F99B7" w:rsidR="00897619" w:rsidRPr="004903AC" w:rsidRDefault="002B3E3E" w:rsidP="00605709">
            <w:pPr>
              <w:spacing w:after="0" w:line="240" w:lineRule="auto"/>
              <w:ind w:left="0" w:firstLine="0"/>
              <w:rPr>
                <w:sz w:val="22"/>
                <w:lang w:val="en-US"/>
              </w:rPr>
            </w:pPr>
            <w:r>
              <w:rPr>
                <w:sz w:val="22"/>
                <w:lang w:val="en-US"/>
              </w:rPr>
              <w:t xml:space="preserve">Počet príhod/pacientov </w:t>
            </w:r>
            <w:r w:rsidR="00605709">
              <w:rPr>
                <w:sz w:val="22"/>
                <w:lang w:val="en-US"/>
              </w:rPr>
              <w:t>V</w:t>
            </w:r>
            <w:r>
              <w:rPr>
                <w:sz w:val="22"/>
                <w:lang w:val="en-US"/>
              </w:rPr>
              <w:t>ýskyt príhod</w:t>
            </w:r>
          </w:p>
        </w:tc>
        <w:tc>
          <w:tcPr>
            <w:tcW w:w="1464" w:type="dxa"/>
            <w:vAlign w:val="center"/>
          </w:tcPr>
          <w:p w14:paraId="78E9E31F" w14:textId="5298BFAC" w:rsidR="00897619" w:rsidRPr="004903AC" w:rsidRDefault="00897619" w:rsidP="008A37E3">
            <w:pPr>
              <w:spacing w:after="0" w:line="240" w:lineRule="auto"/>
              <w:ind w:left="0" w:firstLine="0"/>
              <w:jc w:val="center"/>
              <w:rPr>
                <w:sz w:val="22"/>
                <w:lang w:val="en-US"/>
              </w:rPr>
            </w:pPr>
            <w:r w:rsidRPr="004903AC">
              <w:rPr>
                <w:sz w:val="22"/>
                <w:lang w:val="en-US"/>
              </w:rPr>
              <w:t>27/1</w:t>
            </w:r>
            <w:r w:rsidR="00EF7480">
              <w:rPr>
                <w:sz w:val="22"/>
                <w:lang w:val="en-US"/>
              </w:rPr>
              <w:t xml:space="preserve"> </w:t>
            </w:r>
            <w:r w:rsidRPr="004903AC">
              <w:rPr>
                <w:sz w:val="22"/>
                <w:lang w:val="en-US"/>
              </w:rPr>
              <w:t>949</w:t>
            </w:r>
          </w:p>
          <w:p w14:paraId="3FBB0370" w14:textId="48FDFA2F" w:rsidR="00897619" w:rsidRPr="004903AC" w:rsidRDefault="00897619" w:rsidP="008A37E3">
            <w:pPr>
              <w:spacing w:after="0" w:line="240" w:lineRule="auto"/>
              <w:ind w:left="0" w:firstLine="0"/>
              <w:jc w:val="center"/>
              <w:rPr>
                <w:sz w:val="22"/>
                <w:lang w:val="en-US"/>
              </w:rPr>
            </w:pPr>
            <w:r w:rsidRPr="004903AC">
              <w:rPr>
                <w:sz w:val="22"/>
                <w:lang w:val="en-US"/>
              </w:rPr>
              <w:t>1</w:t>
            </w:r>
            <w:r w:rsidR="00EF7480">
              <w:rPr>
                <w:sz w:val="22"/>
                <w:lang w:val="en-US"/>
              </w:rPr>
              <w:t>,</w:t>
            </w:r>
            <w:r w:rsidRPr="004903AC">
              <w:rPr>
                <w:sz w:val="22"/>
                <w:lang w:val="en-US"/>
              </w:rPr>
              <w:t>39%</w:t>
            </w:r>
          </w:p>
        </w:tc>
        <w:tc>
          <w:tcPr>
            <w:tcW w:w="1549" w:type="dxa"/>
            <w:vAlign w:val="center"/>
          </w:tcPr>
          <w:p w14:paraId="047FBE2D" w14:textId="5273A89A" w:rsidR="00897619" w:rsidRPr="004903AC" w:rsidRDefault="00897619" w:rsidP="008A37E3">
            <w:pPr>
              <w:spacing w:after="0" w:line="240" w:lineRule="auto"/>
              <w:ind w:left="0" w:firstLine="0"/>
              <w:jc w:val="center"/>
              <w:rPr>
                <w:sz w:val="22"/>
                <w:lang w:val="en-US"/>
              </w:rPr>
            </w:pPr>
            <w:r w:rsidRPr="004903AC">
              <w:rPr>
                <w:sz w:val="22"/>
                <w:lang w:val="en-US"/>
              </w:rPr>
              <w:t>74/1</w:t>
            </w:r>
            <w:r w:rsidR="00EF7480">
              <w:rPr>
                <w:sz w:val="22"/>
                <w:lang w:val="en-US"/>
              </w:rPr>
              <w:t xml:space="preserve"> </w:t>
            </w:r>
            <w:r w:rsidRPr="004903AC">
              <w:rPr>
                <w:sz w:val="22"/>
                <w:lang w:val="en-US"/>
              </w:rPr>
              <w:t>917</w:t>
            </w:r>
          </w:p>
          <w:p w14:paraId="33AF79B3" w14:textId="3A17F962" w:rsidR="00897619" w:rsidRPr="004903AC" w:rsidRDefault="00897619" w:rsidP="008A37E3">
            <w:pPr>
              <w:spacing w:after="0" w:line="240" w:lineRule="auto"/>
              <w:ind w:left="0" w:firstLine="0"/>
              <w:jc w:val="center"/>
              <w:rPr>
                <w:sz w:val="22"/>
                <w:lang w:val="en-US"/>
              </w:rPr>
            </w:pPr>
            <w:r w:rsidRPr="004903AC">
              <w:rPr>
                <w:sz w:val="22"/>
                <w:lang w:val="en-US"/>
              </w:rPr>
              <w:t>3</w:t>
            </w:r>
            <w:r w:rsidR="00EF7480">
              <w:rPr>
                <w:sz w:val="22"/>
                <w:lang w:val="en-US"/>
              </w:rPr>
              <w:t>,</w:t>
            </w:r>
            <w:r w:rsidRPr="004903AC">
              <w:rPr>
                <w:sz w:val="22"/>
                <w:lang w:val="en-US"/>
              </w:rPr>
              <w:t>86%</w:t>
            </w:r>
          </w:p>
        </w:tc>
        <w:tc>
          <w:tcPr>
            <w:tcW w:w="1001" w:type="dxa"/>
            <w:vMerge w:val="restart"/>
            <w:vAlign w:val="center"/>
          </w:tcPr>
          <w:p w14:paraId="6DDC8817" w14:textId="44C6EB7C" w:rsidR="00897619" w:rsidRPr="004903AC" w:rsidRDefault="00897619" w:rsidP="008A37E3">
            <w:pPr>
              <w:keepNext/>
              <w:spacing w:after="0" w:line="240" w:lineRule="auto"/>
              <w:ind w:left="0" w:firstLine="0"/>
              <w:jc w:val="center"/>
              <w:rPr>
                <w:b/>
                <w:sz w:val="22"/>
                <w:lang w:val="en-US"/>
              </w:rPr>
            </w:pPr>
            <w:r w:rsidRPr="004903AC">
              <w:rPr>
                <w:sz w:val="22"/>
                <w:lang w:val="en-US"/>
              </w:rPr>
              <w:t>&lt; 0</w:t>
            </w:r>
            <w:r w:rsidR="00EF7480">
              <w:rPr>
                <w:sz w:val="22"/>
                <w:lang w:val="en-US"/>
              </w:rPr>
              <w:t>,</w:t>
            </w:r>
            <w:r w:rsidRPr="004903AC">
              <w:rPr>
                <w:sz w:val="22"/>
                <w:lang w:val="en-US"/>
              </w:rPr>
              <w:t>0001</w:t>
            </w:r>
          </w:p>
        </w:tc>
        <w:tc>
          <w:tcPr>
            <w:tcW w:w="1446" w:type="dxa"/>
            <w:vAlign w:val="center"/>
          </w:tcPr>
          <w:p w14:paraId="405DBFCF" w14:textId="77777777" w:rsidR="00897619" w:rsidRPr="004903AC" w:rsidRDefault="00897619" w:rsidP="008A37E3">
            <w:pPr>
              <w:spacing w:after="0" w:line="240" w:lineRule="auto"/>
              <w:ind w:left="0" w:firstLine="0"/>
              <w:jc w:val="center"/>
              <w:rPr>
                <w:sz w:val="22"/>
                <w:lang w:val="en-US"/>
              </w:rPr>
            </w:pPr>
            <w:r w:rsidRPr="004903AC">
              <w:rPr>
                <w:sz w:val="22"/>
                <w:lang w:val="en-US"/>
              </w:rPr>
              <w:t>147/976</w:t>
            </w:r>
          </w:p>
          <w:p w14:paraId="67943FF0" w14:textId="1E44C772" w:rsidR="00897619" w:rsidRPr="004903AC" w:rsidRDefault="00897619" w:rsidP="008A37E3">
            <w:pPr>
              <w:spacing w:after="0" w:line="240" w:lineRule="auto"/>
              <w:ind w:left="0" w:firstLine="0"/>
              <w:jc w:val="center"/>
              <w:rPr>
                <w:sz w:val="22"/>
                <w:lang w:val="en-US"/>
              </w:rPr>
            </w:pPr>
            <w:r w:rsidRPr="004903AC">
              <w:rPr>
                <w:sz w:val="22"/>
                <w:lang w:val="en-US"/>
              </w:rPr>
              <w:t>15</w:t>
            </w:r>
            <w:r w:rsidR="00EF7480">
              <w:rPr>
                <w:sz w:val="22"/>
                <w:lang w:val="en-US"/>
              </w:rPr>
              <w:t>,</w:t>
            </w:r>
            <w:r w:rsidRPr="004903AC">
              <w:rPr>
                <w:sz w:val="22"/>
                <w:lang w:val="en-US"/>
              </w:rPr>
              <w:t>06%</w:t>
            </w:r>
          </w:p>
        </w:tc>
        <w:tc>
          <w:tcPr>
            <w:tcW w:w="1560" w:type="dxa"/>
            <w:vAlign w:val="center"/>
          </w:tcPr>
          <w:p w14:paraId="3D65CEED" w14:textId="77777777" w:rsidR="00897619" w:rsidRPr="004903AC" w:rsidRDefault="00897619" w:rsidP="008A37E3">
            <w:pPr>
              <w:spacing w:after="0" w:line="240" w:lineRule="auto"/>
              <w:ind w:left="0" w:firstLine="0"/>
              <w:jc w:val="center"/>
              <w:rPr>
                <w:sz w:val="22"/>
                <w:lang w:val="en-US"/>
              </w:rPr>
            </w:pPr>
            <w:r w:rsidRPr="004903AC">
              <w:rPr>
                <w:sz w:val="22"/>
                <w:lang w:val="en-US"/>
              </w:rPr>
              <w:t>243/997</w:t>
            </w:r>
          </w:p>
          <w:p w14:paraId="05C033CA" w14:textId="4FA41A42" w:rsidR="00897619" w:rsidRPr="004903AC" w:rsidRDefault="00897619" w:rsidP="008A37E3">
            <w:pPr>
              <w:spacing w:after="0" w:line="240" w:lineRule="auto"/>
              <w:ind w:left="0" w:firstLine="0"/>
              <w:jc w:val="center"/>
              <w:rPr>
                <w:sz w:val="22"/>
                <w:lang w:val="en-US"/>
              </w:rPr>
            </w:pPr>
            <w:r w:rsidRPr="004903AC">
              <w:rPr>
                <w:sz w:val="22"/>
                <w:lang w:val="en-US"/>
              </w:rPr>
              <w:t>24</w:t>
            </w:r>
            <w:r w:rsidR="00EF7480">
              <w:rPr>
                <w:sz w:val="22"/>
                <w:lang w:val="en-US"/>
              </w:rPr>
              <w:t>,</w:t>
            </w:r>
            <w:r w:rsidRPr="004903AC">
              <w:rPr>
                <w:sz w:val="22"/>
                <w:lang w:val="en-US"/>
              </w:rPr>
              <w:t>37%</w:t>
            </w:r>
          </w:p>
        </w:tc>
        <w:tc>
          <w:tcPr>
            <w:tcW w:w="1036" w:type="dxa"/>
            <w:vMerge w:val="restart"/>
            <w:vAlign w:val="center"/>
          </w:tcPr>
          <w:p w14:paraId="398F901E" w14:textId="65903881" w:rsidR="00897619" w:rsidRPr="004903AC" w:rsidRDefault="00897619" w:rsidP="008A37E3">
            <w:pPr>
              <w:keepNext/>
              <w:spacing w:after="0" w:line="240" w:lineRule="auto"/>
              <w:ind w:left="0" w:firstLine="0"/>
              <w:jc w:val="center"/>
              <w:rPr>
                <w:b/>
                <w:sz w:val="22"/>
                <w:lang w:val="en-US"/>
              </w:rPr>
            </w:pPr>
            <w:r w:rsidRPr="004903AC">
              <w:rPr>
                <w:sz w:val="22"/>
                <w:lang w:val="en-US"/>
              </w:rPr>
              <w:t>&lt; 0</w:t>
            </w:r>
            <w:r w:rsidR="00EF7480">
              <w:rPr>
                <w:sz w:val="22"/>
                <w:lang w:val="en-US"/>
              </w:rPr>
              <w:t>,</w:t>
            </w:r>
            <w:r w:rsidRPr="004903AC">
              <w:rPr>
                <w:sz w:val="22"/>
                <w:lang w:val="en-US"/>
              </w:rPr>
              <w:t>0001</w:t>
            </w:r>
          </w:p>
        </w:tc>
      </w:tr>
      <w:tr w:rsidR="00897619" w:rsidRPr="004903AC" w14:paraId="39681605" w14:textId="77777777" w:rsidTr="008A37E3">
        <w:trPr>
          <w:cantSplit/>
        </w:trPr>
        <w:tc>
          <w:tcPr>
            <w:tcW w:w="1906" w:type="dxa"/>
            <w:vAlign w:val="center"/>
          </w:tcPr>
          <w:p w14:paraId="23B91EE2" w14:textId="68D4A798" w:rsidR="00897619" w:rsidRPr="004903AC" w:rsidRDefault="002B3E3E" w:rsidP="008A37E3">
            <w:pPr>
              <w:spacing w:after="0" w:line="240" w:lineRule="auto"/>
              <w:ind w:left="0" w:firstLine="0"/>
              <w:rPr>
                <w:sz w:val="22"/>
                <w:lang w:val="en-US"/>
              </w:rPr>
            </w:pPr>
            <w:r>
              <w:rPr>
                <w:sz w:val="22"/>
                <w:lang w:val="en-US"/>
              </w:rPr>
              <w:t xml:space="preserve">Relatívne riziko </w:t>
            </w:r>
            <w:r w:rsidR="00897619" w:rsidRPr="004903AC">
              <w:rPr>
                <w:sz w:val="22"/>
                <w:lang w:val="en-US"/>
              </w:rPr>
              <w:t>95% I</w:t>
            </w:r>
            <w:r w:rsidR="00605709">
              <w:rPr>
                <w:sz w:val="22"/>
                <w:lang w:val="en-US"/>
              </w:rPr>
              <w:t>S</w:t>
            </w:r>
            <w:r w:rsidR="00897619" w:rsidRPr="004903AC">
              <w:rPr>
                <w:sz w:val="22"/>
                <w:lang w:val="en-US"/>
              </w:rPr>
              <w:t xml:space="preserve"> </w:t>
            </w:r>
          </w:p>
        </w:tc>
        <w:tc>
          <w:tcPr>
            <w:tcW w:w="1464" w:type="dxa"/>
            <w:vAlign w:val="center"/>
          </w:tcPr>
          <w:p w14:paraId="0FE296E7" w14:textId="412E604A" w:rsidR="00897619" w:rsidRPr="004903AC" w:rsidRDefault="00897619" w:rsidP="008A37E3">
            <w:pPr>
              <w:spacing w:after="0" w:line="240" w:lineRule="auto"/>
              <w:ind w:left="0" w:firstLine="0"/>
              <w:jc w:val="center"/>
              <w:rPr>
                <w:sz w:val="22"/>
                <w:lang w:val="en-US"/>
              </w:rPr>
            </w:pPr>
            <w:r w:rsidRPr="004903AC">
              <w:rPr>
                <w:sz w:val="22"/>
                <w:lang w:val="en-US"/>
              </w:rPr>
              <w:t>0</w:t>
            </w:r>
            <w:r w:rsidR="00EF7480">
              <w:rPr>
                <w:sz w:val="22"/>
                <w:lang w:val="en-US"/>
              </w:rPr>
              <w:t>,</w:t>
            </w:r>
            <w:r w:rsidRPr="004903AC">
              <w:rPr>
                <w:sz w:val="22"/>
                <w:lang w:val="en-US"/>
              </w:rPr>
              <w:t>36</w:t>
            </w:r>
          </w:p>
          <w:p w14:paraId="02C3C462" w14:textId="265A06A4" w:rsidR="00897619" w:rsidRPr="004903AC" w:rsidRDefault="00897619" w:rsidP="008A37E3">
            <w:pPr>
              <w:spacing w:after="0" w:line="240" w:lineRule="auto"/>
              <w:ind w:left="0" w:firstLine="0"/>
              <w:jc w:val="center"/>
              <w:rPr>
                <w:sz w:val="22"/>
                <w:lang w:val="en-US"/>
              </w:rPr>
            </w:pPr>
            <w:r w:rsidRPr="004903AC">
              <w:rPr>
                <w:sz w:val="22"/>
                <w:lang w:val="en-US"/>
              </w:rPr>
              <w:t>(0</w:t>
            </w:r>
            <w:r w:rsidR="00EF7480">
              <w:rPr>
                <w:sz w:val="22"/>
                <w:lang w:val="en-US"/>
              </w:rPr>
              <w:t>,</w:t>
            </w:r>
            <w:r w:rsidRPr="004903AC">
              <w:rPr>
                <w:sz w:val="22"/>
                <w:lang w:val="en-US"/>
              </w:rPr>
              <w:t>22</w:t>
            </w:r>
            <w:r w:rsidR="00EF7480">
              <w:rPr>
                <w:sz w:val="22"/>
                <w:lang w:val="en-US"/>
              </w:rPr>
              <w:t>;</w:t>
            </w:r>
            <w:r w:rsidRPr="004903AC">
              <w:rPr>
                <w:sz w:val="22"/>
                <w:lang w:val="en-US"/>
              </w:rPr>
              <w:t xml:space="preserve"> 0</w:t>
            </w:r>
            <w:r w:rsidR="00EF7480">
              <w:rPr>
                <w:sz w:val="22"/>
                <w:lang w:val="en-US"/>
              </w:rPr>
              <w:t>,</w:t>
            </w:r>
            <w:r w:rsidRPr="004903AC">
              <w:rPr>
                <w:sz w:val="22"/>
                <w:lang w:val="en-US"/>
              </w:rPr>
              <w:t>54)</w:t>
            </w:r>
          </w:p>
        </w:tc>
        <w:tc>
          <w:tcPr>
            <w:tcW w:w="1549" w:type="dxa"/>
            <w:vAlign w:val="center"/>
          </w:tcPr>
          <w:p w14:paraId="2B519A60" w14:textId="77777777" w:rsidR="00897619" w:rsidRPr="004903AC" w:rsidRDefault="00897619" w:rsidP="008A37E3">
            <w:pPr>
              <w:spacing w:after="0" w:line="240" w:lineRule="auto"/>
              <w:ind w:left="0" w:firstLine="0"/>
              <w:jc w:val="center"/>
              <w:rPr>
                <w:sz w:val="22"/>
                <w:lang w:val="en-US"/>
              </w:rPr>
            </w:pPr>
          </w:p>
        </w:tc>
        <w:tc>
          <w:tcPr>
            <w:tcW w:w="1001" w:type="dxa"/>
            <w:vMerge/>
            <w:vAlign w:val="center"/>
          </w:tcPr>
          <w:p w14:paraId="749C263F" w14:textId="77777777" w:rsidR="00897619" w:rsidRPr="004903AC" w:rsidRDefault="00897619" w:rsidP="008A37E3">
            <w:pPr>
              <w:keepNext/>
              <w:spacing w:after="0" w:line="240" w:lineRule="auto"/>
              <w:ind w:left="0" w:firstLine="0"/>
              <w:jc w:val="center"/>
              <w:rPr>
                <w:b/>
                <w:sz w:val="22"/>
                <w:lang w:val="en-US"/>
              </w:rPr>
            </w:pPr>
          </w:p>
        </w:tc>
        <w:tc>
          <w:tcPr>
            <w:tcW w:w="1446" w:type="dxa"/>
            <w:vAlign w:val="center"/>
          </w:tcPr>
          <w:p w14:paraId="257439C5" w14:textId="77777777" w:rsidR="00897619" w:rsidRPr="004903AC" w:rsidRDefault="00897619" w:rsidP="008A37E3">
            <w:pPr>
              <w:spacing w:after="0" w:line="240" w:lineRule="auto"/>
              <w:ind w:left="0" w:firstLine="0"/>
              <w:jc w:val="center"/>
              <w:rPr>
                <w:sz w:val="22"/>
                <w:lang w:val="en-US"/>
              </w:rPr>
            </w:pPr>
            <w:r w:rsidRPr="004903AC">
              <w:rPr>
                <w:sz w:val="22"/>
                <w:lang w:val="en-US"/>
              </w:rPr>
              <w:t>0.62</w:t>
            </w:r>
          </w:p>
          <w:p w14:paraId="76D91035" w14:textId="6ED24F69" w:rsidR="00897619" w:rsidRPr="004903AC" w:rsidRDefault="00897619" w:rsidP="008A37E3">
            <w:pPr>
              <w:spacing w:after="0" w:line="240" w:lineRule="auto"/>
              <w:ind w:left="0" w:firstLine="0"/>
              <w:jc w:val="center"/>
              <w:rPr>
                <w:sz w:val="22"/>
                <w:lang w:val="en-US"/>
              </w:rPr>
            </w:pPr>
            <w:r w:rsidRPr="004903AC">
              <w:rPr>
                <w:sz w:val="22"/>
                <w:lang w:val="en-US"/>
              </w:rPr>
              <w:t>(0</w:t>
            </w:r>
            <w:r w:rsidR="00EF7480">
              <w:rPr>
                <w:sz w:val="22"/>
                <w:lang w:val="en-US"/>
              </w:rPr>
              <w:t>,</w:t>
            </w:r>
            <w:r w:rsidRPr="004903AC">
              <w:rPr>
                <w:sz w:val="22"/>
                <w:lang w:val="en-US"/>
              </w:rPr>
              <w:t>51</w:t>
            </w:r>
            <w:r w:rsidR="00EF7480">
              <w:rPr>
                <w:sz w:val="22"/>
                <w:lang w:val="en-US"/>
              </w:rPr>
              <w:t>;</w:t>
            </w:r>
            <w:r w:rsidRPr="004903AC">
              <w:rPr>
                <w:sz w:val="22"/>
                <w:lang w:val="en-US"/>
              </w:rPr>
              <w:t xml:space="preserve"> 0</w:t>
            </w:r>
            <w:r w:rsidR="00EF7480">
              <w:rPr>
                <w:sz w:val="22"/>
                <w:lang w:val="en-US"/>
              </w:rPr>
              <w:t>,</w:t>
            </w:r>
            <w:r w:rsidRPr="004903AC">
              <w:rPr>
                <w:sz w:val="22"/>
                <w:lang w:val="en-US"/>
              </w:rPr>
              <w:t>74)</w:t>
            </w:r>
          </w:p>
        </w:tc>
        <w:tc>
          <w:tcPr>
            <w:tcW w:w="1560" w:type="dxa"/>
            <w:vAlign w:val="center"/>
          </w:tcPr>
          <w:p w14:paraId="004FB2B3" w14:textId="77777777" w:rsidR="00897619" w:rsidRPr="004903AC" w:rsidRDefault="00897619" w:rsidP="008A37E3">
            <w:pPr>
              <w:spacing w:after="0" w:line="240" w:lineRule="auto"/>
              <w:ind w:left="0" w:firstLine="0"/>
              <w:jc w:val="center"/>
              <w:rPr>
                <w:sz w:val="22"/>
                <w:lang w:val="en-US"/>
              </w:rPr>
            </w:pPr>
          </w:p>
        </w:tc>
        <w:tc>
          <w:tcPr>
            <w:tcW w:w="1036" w:type="dxa"/>
            <w:vMerge/>
            <w:vAlign w:val="center"/>
          </w:tcPr>
          <w:p w14:paraId="0C8730CE" w14:textId="77777777" w:rsidR="00897619" w:rsidRPr="004903AC" w:rsidRDefault="00897619" w:rsidP="008A37E3">
            <w:pPr>
              <w:keepNext/>
              <w:spacing w:after="0" w:line="240" w:lineRule="auto"/>
              <w:ind w:left="0" w:firstLine="0"/>
              <w:jc w:val="center"/>
              <w:rPr>
                <w:b/>
                <w:sz w:val="22"/>
                <w:lang w:val="en-US"/>
              </w:rPr>
            </w:pPr>
          </w:p>
        </w:tc>
      </w:tr>
      <w:tr w:rsidR="00897619" w:rsidRPr="004903AC" w14:paraId="4861C217" w14:textId="77777777" w:rsidTr="008A37E3">
        <w:trPr>
          <w:cantSplit/>
          <w:trHeight w:val="336"/>
        </w:trPr>
        <w:tc>
          <w:tcPr>
            <w:tcW w:w="9962" w:type="dxa"/>
            <w:gridSpan w:val="7"/>
            <w:vAlign w:val="center"/>
          </w:tcPr>
          <w:p w14:paraId="69219519" w14:textId="153D6CE1" w:rsidR="00897619" w:rsidRPr="004903AC" w:rsidRDefault="00605709" w:rsidP="008A37E3">
            <w:pPr>
              <w:keepNext/>
              <w:spacing w:after="0" w:line="240" w:lineRule="auto"/>
              <w:ind w:left="0" w:firstLine="0"/>
              <w:rPr>
                <w:b/>
                <w:sz w:val="22"/>
                <w:lang w:val="en-US"/>
              </w:rPr>
            </w:pPr>
            <w:r>
              <w:rPr>
                <w:sz w:val="22"/>
                <w:lang w:val="en-US"/>
              </w:rPr>
              <w:t>Závažná</w:t>
            </w:r>
            <w:r w:rsidR="00897619" w:rsidRPr="004903AC">
              <w:rPr>
                <w:sz w:val="22"/>
                <w:lang w:val="en-US"/>
              </w:rPr>
              <w:t xml:space="preserve"> VTE</w:t>
            </w:r>
          </w:p>
        </w:tc>
      </w:tr>
      <w:tr w:rsidR="00897619" w:rsidRPr="004903AC" w14:paraId="1B332136" w14:textId="77777777" w:rsidTr="008A37E3">
        <w:trPr>
          <w:cantSplit/>
        </w:trPr>
        <w:tc>
          <w:tcPr>
            <w:tcW w:w="1906" w:type="dxa"/>
            <w:vAlign w:val="center"/>
          </w:tcPr>
          <w:p w14:paraId="695FB64F" w14:textId="216F6D95" w:rsidR="00897619" w:rsidRPr="004903AC" w:rsidRDefault="002B3E3E" w:rsidP="00605709">
            <w:pPr>
              <w:spacing w:after="0" w:line="240" w:lineRule="auto"/>
              <w:ind w:left="0" w:firstLine="0"/>
              <w:rPr>
                <w:sz w:val="22"/>
                <w:lang w:val="en-US"/>
              </w:rPr>
            </w:pPr>
            <w:r>
              <w:rPr>
                <w:sz w:val="22"/>
                <w:lang w:val="en-US"/>
              </w:rPr>
              <w:t xml:space="preserve">Počet príhod/pacientov </w:t>
            </w:r>
            <w:r w:rsidR="00605709">
              <w:rPr>
                <w:sz w:val="22"/>
                <w:lang w:val="en-US"/>
              </w:rPr>
              <w:t>V</w:t>
            </w:r>
            <w:r>
              <w:rPr>
                <w:sz w:val="22"/>
                <w:lang w:val="en-US"/>
              </w:rPr>
              <w:t>ýskyt príhod</w:t>
            </w:r>
          </w:p>
        </w:tc>
        <w:tc>
          <w:tcPr>
            <w:tcW w:w="1464" w:type="dxa"/>
            <w:vAlign w:val="center"/>
          </w:tcPr>
          <w:p w14:paraId="17E1D941" w14:textId="4ACBA267" w:rsidR="00897619" w:rsidRPr="004903AC" w:rsidRDefault="00897619" w:rsidP="008A37E3">
            <w:pPr>
              <w:spacing w:after="0" w:line="240" w:lineRule="auto"/>
              <w:ind w:left="0" w:firstLine="0"/>
              <w:jc w:val="center"/>
              <w:rPr>
                <w:sz w:val="22"/>
                <w:lang w:val="en-US"/>
              </w:rPr>
            </w:pPr>
            <w:r w:rsidRPr="004903AC">
              <w:rPr>
                <w:sz w:val="22"/>
                <w:lang w:val="en-US"/>
              </w:rPr>
              <w:t>10/2</w:t>
            </w:r>
            <w:r w:rsidR="00EF7480">
              <w:rPr>
                <w:sz w:val="22"/>
                <w:lang w:val="en-US"/>
              </w:rPr>
              <w:t xml:space="preserve"> </w:t>
            </w:r>
            <w:r w:rsidRPr="004903AC">
              <w:rPr>
                <w:sz w:val="22"/>
                <w:lang w:val="en-US"/>
              </w:rPr>
              <w:t>199</w:t>
            </w:r>
          </w:p>
          <w:p w14:paraId="4E58634F" w14:textId="012228E1" w:rsidR="00897619" w:rsidRPr="004903AC" w:rsidRDefault="00897619" w:rsidP="008A37E3">
            <w:pPr>
              <w:spacing w:after="0" w:line="240" w:lineRule="auto"/>
              <w:ind w:left="0" w:firstLine="0"/>
              <w:jc w:val="center"/>
              <w:rPr>
                <w:sz w:val="22"/>
                <w:lang w:val="en-US"/>
              </w:rPr>
            </w:pPr>
            <w:r w:rsidRPr="004903AC">
              <w:rPr>
                <w:sz w:val="22"/>
                <w:lang w:val="en-US"/>
              </w:rPr>
              <w:t>0</w:t>
            </w:r>
            <w:r w:rsidR="00EF7480">
              <w:rPr>
                <w:sz w:val="22"/>
                <w:lang w:val="en-US"/>
              </w:rPr>
              <w:t>,</w:t>
            </w:r>
            <w:r w:rsidRPr="004903AC">
              <w:rPr>
                <w:sz w:val="22"/>
                <w:lang w:val="en-US"/>
              </w:rPr>
              <w:t>45%</w:t>
            </w:r>
          </w:p>
        </w:tc>
        <w:tc>
          <w:tcPr>
            <w:tcW w:w="1549" w:type="dxa"/>
            <w:vAlign w:val="center"/>
          </w:tcPr>
          <w:p w14:paraId="2FE6BF97" w14:textId="168702F4" w:rsidR="00897619" w:rsidRPr="004903AC" w:rsidRDefault="00897619" w:rsidP="008A37E3">
            <w:pPr>
              <w:spacing w:after="0" w:line="240" w:lineRule="auto"/>
              <w:ind w:left="0" w:firstLine="0"/>
              <w:jc w:val="center"/>
              <w:rPr>
                <w:sz w:val="22"/>
                <w:lang w:val="en-US"/>
              </w:rPr>
            </w:pPr>
            <w:r w:rsidRPr="004903AC">
              <w:rPr>
                <w:sz w:val="22"/>
                <w:lang w:val="en-US"/>
              </w:rPr>
              <w:t>25/2195</w:t>
            </w:r>
          </w:p>
          <w:p w14:paraId="4250E14B" w14:textId="5488FB7E" w:rsidR="00897619" w:rsidRPr="004903AC" w:rsidRDefault="00897619" w:rsidP="008A37E3">
            <w:pPr>
              <w:spacing w:after="0" w:line="240" w:lineRule="auto"/>
              <w:ind w:left="0" w:firstLine="0"/>
              <w:jc w:val="center"/>
              <w:rPr>
                <w:sz w:val="22"/>
                <w:lang w:val="en-US"/>
              </w:rPr>
            </w:pPr>
            <w:r w:rsidRPr="004903AC">
              <w:rPr>
                <w:sz w:val="22"/>
                <w:lang w:val="en-US"/>
              </w:rPr>
              <w:t>1</w:t>
            </w:r>
            <w:r w:rsidR="00EF7480">
              <w:rPr>
                <w:sz w:val="22"/>
                <w:lang w:val="en-US"/>
              </w:rPr>
              <w:t>,</w:t>
            </w:r>
            <w:r w:rsidRPr="004903AC">
              <w:rPr>
                <w:sz w:val="22"/>
                <w:lang w:val="en-US"/>
              </w:rPr>
              <w:t>14%</w:t>
            </w:r>
          </w:p>
        </w:tc>
        <w:tc>
          <w:tcPr>
            <w:tcW w:w="1001" w:type="dxa"/>
            <w:vMerge w:val="restart"/>
            <w:vAlign w:val="center"/>
          </w:tcPr>
          <w:p w14:paraId="33DFC121" w14:textId="2625069A" w:rsidR="00897619" w:rsidRPr="004903AC" w:rsidRDefault="00897619" w:rsidP="008A37E3">
            <w:pPr>
              <w:spacing w:after="0" w:line="240" w:lineRule="auto"/>
              <w:ind w:left="0" w:firstLine="0"/>
              <w:jc w:val="center"/>
              <w:rPr>
                <w:sz w:val="22"/>
                <w:lang w:val="en-US"/>
              </w:rPr>
            </w:pPr>
            <w:r w:rsidRPr="004903AC">
              <w:rPr>
                <w:sz w:val="22"/>
                <w:lang w:val="en-US"/>
              </w:rPr>
              <w:t>0</w:t>
            </w:r>
            <w:r w:rsidR="00EF7480">
              <w:rPr>
                <w:sz w:val="22"/>
                <w:lang w:val="en-US"/>
              </w:rPr>
              <w:t>,</w:t>
            </w:r>
            <w:r w:rsidRPr="004903AC">
              <w:rPr>
                <w:sz w:val="22"/>
                <w:lang w:val="en-US"/>
              </w:rPr>
              <w:t>0107</w:t>
            </w:r>
          </w:p>
        </w:tc>
        <w:tc>
          <w:tcPr>
            <w:tcW w:w="1446" w:type="dxa"/>
            <w:vAlign w:val="center"/>
          </w:tcPr>
          <w:p w14:paraId="2A00E263" w14:textId="757AFA70" w:rsidR="00897619" w:rsidRPr="004903AC" w:rsidRDefault="00897619" w:rsidP="008A37E3">
            <w:pPr>
              <w:spacing w:after="0" w:line="240" w:lineRule="auto"/>
              <w:ind w:left="0" w:firstLine="0"/>
              <w:jc w:val="center"/>
              <w:rPr>
                <w:sz w:val="22"/>
                <w:lang w:val="en-US"/>
              </w:rPr>
            </w:pPr>
            <w:r w:rsidRPr="004903AC">
              <w:rPr>
                <w:sz w:val="22"/>
                <w:lang w:val="en-US"/>
              </w:rPr>
              <w:t>13/1</w:t>
            </w:r>
            <w:r w:rsidR="00EF7480">
              <w:rPr>
                <w:sz w:val="22"/>
                <w:lang w:val="en-US"/>
              </w:rPr>
              <w:t xml:space="preserve"> </w:t>
            </w:r>
            <w:r w:rsidRPr="004903AC">
              <w:rPr>
                <w:sz w:val="22"/>
                <w:lang w:val="en-US"/>
              </w:rPr>
              <w:t>195</w:t>
            </w:r>
          </w:p>
          <w:p w14:paraId="7EF9A9CE" w14:textId="09E6993F" w:rsidR="00897619" w:rsidRPr="004903AC" w:rsidRDefault="00897619" w:rsidP="008A37E3">
            <w:pPr>
              <w:spacing w:after="0" w:line="240" w:lineRule="auto"/>
              <w:ind w:left="0" w:firstLine="0"/>
              <w:jc w:val="center"/>
              <w:rPr>
                <w:sz w:val="22"/>
                <w:lang w:val="en-US"/>
              </w:rPr>
            </w:pPr>
            <w:r w:rsidRPr="004903AC">
              <w:rPr>
                <w:sz w:val="22"/>
                <w:lang w:val="en-US"/>
              </w:rPr>
              <w:t>1</w:t>
            </w:r>
            <w:r w:rsidR="00EF7480">
              <w:rPr>
                <w:sz w:val="22"/>
                <w:lang w:val="en-US"/>
              </w:rPr>
              <w:t>,</w:t>
            </w:r>
            <w:r w:rsidRPr="004903AC">
              <w:rPr>
                <w:sz w:val="22"/>
                <w:lang w:val="en-US"/>
              </w:rPr>
              <w:t>09%</w:t>
            </w:r>
          </w:p>
        </w:tc>
        <w:tc>
          <w:tcPr>
            <w:tcW w:w="1560" w:type="dxa"/>
            <w:vAlign w:val="center"/>
          </w:tcPr>
          <w:p w14:paraId="4AF44CBB" w14:textId="6E91B16B" w:rsidR="00897619" w:rsidRPr="004903AC" w:rsidRDefault="00897619" w:rsidP="008A37E3">
            <w:pPr>
              <w:spacing w:after="0" w:line="240" w:lineRule="auto"/>
              <w:ind w:left="0" w:firstLine="0"/>
              <w:jc w:val="center"/>
              <w:rPr>
                <w:sz w:val="22"/>
                <w:lang w:val="en-US"/>
              </w:rPr>
            </w:pPr>
            <w:r w:rsidRPr="004903AC">
              <w:rPr>
                <w:sz w:val="22"/>
                <w:lang w:val="en-US"/>
              </w:rPr>
              <w:t>26/1</w:t>
            </w:r>
            <w:r w:rsidR="00EF7480">
              <w:rPr>
                <w:sz w:val="22"/>
                <w:lang w:val="en-US"/>
              </w:rPr>
              <w:t>,</w:t>
            </w:r>
            <w:r w:rsidRPr="004903AC">
              <w:rPr>
                <w:sz w:val="22"/>
                <w:lang w:val="en-US"/>
              </w:rPr>
              <w:t>199</w:t>
            </w:r>
          </w:p>
          <w:p w14:paraId="19307661" w14:textId="6650442A" w:rsidR="00897619" w:rsidRPr="004903AC" w:rsidRDefault="00897619" w:rsidP="008A37E3">
            <w:pPr>
              <w:spacing w:after="0" w:line="240" w:lineRule="auto"/>
              <w:ind w:left="0" w:firstLine="0"/>
              <w:jc w:val="center"/>
              <w:rPr>
                <w:sz w:val="22"/>
                <w:lang w:val="en-US"/>
              </w:rPr>
            </w:pPr>
            <w:r w:rsidRPr="004903AC">
              <w:rPr>
                <w:sz w:val="22"/>
                <w:lang w:val="en-US"/>
              </w:rPr>
              <w:t>2</w:t>
            </w:r>
            <w:r w:rsidR="00EF7480">
              <w:rPr>
                <w:sz w:val="22"/>
                <w:lang w:val="en-US"/>
              </w:rPr>
              <w:t>,</w:t>
            </w:r>
            <w:r w:rsidRPr="004903AC">
              <w:rPr>
                <w:sz w:val="22"/>
                <w:lang w:val="en-US"/>
              </w:rPr>
              <w:t>17%</w:t>
            </w:r>
          </w:p>
        </w:tc>
        <w:tc>
          <w:tcPr>
            <w:tcW w:w="1036" w:type="dxa"/>
            <w:vMerge w:val="restart"/>
            <w:vAlign w:val="center"/>
          </w:tcPr>
          <w:p w14:paraId="733A35E9" w14:textId="3053E77C" w:rsidR="00897619" w:rsidRPr="004903AC" w:rsidRDefault="00897619" w:rsidP="008A37E3">
            <w:pPr>
              <w:keepNext/>
              <w:spacing w:after="0" w:line="240" w:lineRule="auto"/>
              <w:ind w:left="0" w:firstLine="0"/>
              <w:jc w:val="center"/>
              <w:rPr>
                <w:b/>
                <w:sz w:val="22"/>
                <w:lang w:val="en-US"/>
              </w:rPr>
            </w:pPr>
            <w:r w:rsidRPr="004903AC">
              <w:rPr>
                <w:sz w:val="22"/>
                <w:lang w:val="en-US"/>
              </w:rPr>
              <w:t>0</w:t>
            </w:r>
            <w:r w:rsidR="00EF7480">
              <w:rPr>
                <w:sz w:val="22"/>
                <w:lang w:val="en-US"/>
              </w:rPr>
              <w:t>,</w:t>
            </w:r>
            <w:r w:rsidRPr="004903AC">
              <w:rPr>
                <w:sz w:val="22"/>
                <w:lang w:val="en-US"/>
              </w:rPr>
              <w:t>0373</w:t>
            </w:r>
          </w:p>
        </w:tc>
      </w:tr>
      <w:tr w:rsidR="00897619" w:rsidRPr="004903AC" w14:paraId="1D139E78" w14:textId="77777777" w:rsidTr="008A37E3">
        <w:trPr>
          <w:cantSplit/>
        </w:trPr>
        <w:tc>
          <w:tcPr>
            <w:tcW w:w="1906" w:type="dxa"/>
            <w:vAlign w:val="center"/>
          </w:tcPr>
          <w:p w14:paraId="138DC7F2" w14:textId="1DE44CED" w:rsidR="00897619" w:rsidRPr="004903AC" w:rsidRDefault="00897619" w:rsidP="008A37E3">
            <w:pPr>
              <w:spacing w:after="0" w:line="240" w:lineRule="auto"/>
              <w:ind w:left="0" w:firstLine="0"/>
              <w:rPr>
                <w:sz w:val="22"/>
                <w:lang w:val="en-US"/>
              </w:rPr>
            </w:pPr>
            <w:r w:rsidRPr="004903AC">
              <w:rPr>
                <w:sz w:val="22"/>
                <w:lang w:val="en-US"/>
              </w:rPr>
              <w:t>Relat</w:t>
            </w:r>
            <w:r w:rsidR="002B3E3E">
              <w:rPr>
                <w:sz w:val="22"/>
                <w:lang w:val="en-US"/>
              </w:rPr>
              <w:t>ívne riziko</w:t>
            </w:r>
            <w:r w:rsidRPr="004903AC">
              <w:rPr>
                <w:sz w:val="22"/>
                <w:lang w:val="en-US"/>
              </w:rPr>
              <w:t xml:space="preserve"> 95% I</w:t>
            </w:r>
            <w:r w:rsidR="00EF7480">
              <w:rPr>
                <w:sz w:val="22"/>
                <w:lang w:val="en-US"/>
              </w:rPr>
              <w:t>S</w:t>
            </w:r>
            <w:r w:rsidRPr="004903AC">
              <w:rPr>
                <w:sz w:val="22"/>
                <w:lang w:val="en-US"/>
              </w:rPr>
              <w:t xml:space="preserve"> </w:t>
            </w:r>
          </w:p>
        </w:tc>
        <w:tc>
          <w:tcPr>
            <w:tcW w:w="1464" w:type="dxa"/>
            <w:vAlign w:val="center"/>
          </w:tcPr>
          <w:p w14:paraId="413C52A6" w14:textId="5A67E182" w:rsidR="00897619" w:rsidRPr="004903AC" w:rsidRDefault="00897619" w:rsidP="008A37E3">
            <w:pPr>
              <w:spacing w:after="0" w:line="240" w:lineRule="auto"/>
              <w:ind w:left="0" w:firstLine="0"/>
              <w:jc w:val="center"/>
              <w:rPr>
                <w:sz w:val="22"/>
                <w:lang w:val="en-US"/>
              </w:rPr>
            </w:pPr>
            <w:r w:rsidRPr="004903AC">
              <w:rPr>
                <w:sz w:val="22"/>
                <w:lang w:val="en-US"/>
              </w:rPr>
              <w:t>0</w:t>
            </w:r>
            <w:r w:rsidR="00EF7480">
              <w:rPr>
                <w:sz w:val="22"/>
                <w:lang w:val="en-US"/>
              </w:rPr>
              <w:t>,</w:t>
            </w:r>
            <w:r w:rsidRPr="004903AC">
              <w:rPr>
                <w:sz w:val="22"/>
                <w:lang w:val="en-US"/>
              </w:rPr>
              <w:t>40</w:t>
            </w:r>
          </w:p>
          <w:p w14:paraId="423B8BF0" w14:textId="631A7B2F" w:rsidR="00897619" w:rsidRPr="004903AC" w:rsidRDefault="00897619" w:rsidP="008A37E3">
            <w:pPr>
              <w:spacing w:after="0" w:line="240" w:lineRule="auto"/>
              <w:ind w:left="0" w:firstLine="0"/>
              <w:jc w:val="center"/>
              <w:rPr>
                <w:sz w:val="22"/>
                <w:lang w:val="en-US"/>
              </w:rPr>
            </w:pPr>
            <w:r w:rsidRPr="004903AC">
              <w:rPr>
                <w:sz w:val="22"/>
                <w:lang w:val="en-US"/>
              </w:rPr>
              <w:t>(0</w:t>
            </w:r>
            <w:r w:rsidR="00EF7480">
              <w:rPr>
                <w:sz w:val="22"/>
                <w:lang w:val="en-US"/>
              </w:rPr>
              <w:t>,</w:t>
            </w:r>
            <w:r w:rsidRPr="004903AC">
              <w:rPr>
                <w:sz w:val="22"/>
                <w:lang w:val="en-US"/>
              </w:rPr>
              <w:t>15</w:t>
            </w:r>
            <w:r w:rsidR="00EF7480">
              <w:rPr>
                <w:sz w:val="22"/>
                <w:lang w:val="en-US"/>
              </w:rPr>
              <w:t>;</w:t>
            </w:r>
            <w:r w:rsidRPr="004903AC">
              <w:rPr>
                <w:sz w:val="22"/>
                <w:lang w:val="en-US"/>
              </w:rPr>
              <w:t xml:space="preserve"> 0</w:t>
            </w:r>
            <w:r w:rsidR="00EF7480">
              <w:rPr>
                <w:sz w:val="22"/>
                <w:lang w:val="en-US"/>
              </w:rPr>
              <w:t>,</w:t>
            </w:r>
            <w:r w:rsidRPr="004903AC">
              <w:rPr>
                <w:sz w:val="22"/>
                <w:lang w:val="en-US"/>
              </w:rPr>
              <w:t>80)</w:t>
            </w:r>
          </w:p>
        </w:tc>
        <w:tc>
          <w:tcPr>
            <w:tcW w:w="1549" w:type="dxa"/>
            <w:vAlign w:val="center"/>
          </w:tcPr>
          <w:p w14:paraId="017443AB" w14:textId="77777777" w:rsidR="00897619" w:rsidRPr="004903AC" w:rsidRDefault="00897619" w:rsidP="008A37E3">
            <w:pPr>
              <w:spacing w:after="0" w:line="240" w:lineRule="auto"/>
              <w:ind w:left="0" w:firstLine="0"/>
              <w:jc w:val="center"/>
              <w:rPr>
                <w:sz w:val="22"/>
                <w:lang w:val="en-US"/>
              </w:rPr>
            </w:pPr>
          </w:p>
        </w:tc>
        <w:tc>
          <w:tcPr>
            <w:tcW w:w="1001" w:type="dxa"/>
            <w:vMerge/>
            <w:vAlign w:val="center"/>
          </w:tcPr>
          <w:p w14:paraId="6454A38D" w14:textId="77777777" w:rsidR="00897619" w:rsidRPr="004903AC" w:rsidRDefault="00897619" w:rsidP="008A37E3">
            <w:pPr>
              <w:keepNext/>
              <w:spacing w:after="0" w:line="240" w:lineRule="auto"/>
              <w:ind w:left="0" w:firstLine="0"/>
              <w:jc w:val="center"/>
              <w:rPr>
                <w:b/>
                <w:sz w:val="22"/>
                <w:lang w:val="en-US"/>
              </w:rPr>
            </w:pPr>
          </w:p>
        </w:tc>
        <w:tc>
          <w:tcPr>
            <w:tcW w:w="1446" w:type="dxa"/>
            <w:vAlign w:val="center"/>
          </w:tcPr>
          <w:p w14:paraId="1E134D6A" w14:textId="09F4A959" w:rsidR="00897619" w:rsidRPr="004903AC" w:rsidRDefault="00897619" w:rsidP="008A37E3">
            <w:pPr>
              <w:spacing w:after="0" w:line="240" w:lineRule="auto"/>
              <w:ind w:left="0" w:firstLine="0"/>
              <w:jc w:val="center"/>
              <w:rPr>
                <w:sz w:val="22"/>
                <w:lang w:val="en-US"/>
              </w:rPr>
            </w:pPr>
            <w:r w:rsidRPr="004903AC">
              <w:rPr>
                <w:sz w:val="22"/>
                <w:lang w:val="en-US"/>
              </w:rPr>
              <w:t>0</w:t>
            </w:r>
            <w:r w:rsidR="00EF7480">
              <w:rPr>
                <w:sz w:val="22"/>
                <w:lang w:val="en-US"/>
              </w:rPr>
              <w:t>,</w:t>
            </w:r>
            <w:r w:rsidRPr="004903AC">
              <w:rPr>
                <w:sz w:val="22"/>
                <w:lang w:val="en-US"/>
              </w:rPr>
              <w:t>50</w:t>
            </w:r>
          </w:p>
          <w:p w14:paraId="658D9DBE" w14:textId="2CA2892A" w:rsidR="00897619" w:rsidRPr="004903AC" w:rsidRDefault="00897619" w:rsidP="008A37E3">
            <w:pPr>
              <w:spacing w:after="0" w:line="240" w:lineRule="auto"/>
              <w:ind w:left="0" w:firstLine="0"/>
              <w:jc w:val="center"/>
              <w:rPr>
                <w:sz w:val="22"/>
                <w:lang w:val="en-US"/>
              </w:rPr>
            </w:pPr>
            <w:r w:rsidRPr="004903AC">
              <w:rPr>
                <w:sz w:val="22"/>
                <w:lang w:val="en-US"/>
              </w:rPr>
              <w:t>(0</w:t>
            </w:r>
            <w:r w:rsidR="00EF7480">
              <w:rPr>
                <w:sz w:val="22"/>
                <w:lang w:val="en-US"/>
              </w:rPr>
              <w:t>,</w:t>
            </w:r>
            <w:r w:rsidRPr="004903AC">
              <w:rPr>
                <w:sz w:val="22"/>
                <w:lang w:val="en-US"/>
              </w:rPr>
              <w:t>26</w:t>
            </w:r>
            <w:r w:rsidR="00EF7480">
              <w:rPr>
                <w:sz w:val="22"/>
                <w:lang w:val="en-US"/>
              </w:rPr>
              <w:t>;</w:t>
            </w:r>
            <w:r w:rsidRPr="004903AC">
              <w:rPr>
                <w:sz w:val="22"/>
                <w:lang w:val="en-US"/>
              </w:rPr>
              <w:t xml:space="preserve"> 0</w:t>
            </w:r>
            <w:r w:rsidR="00EF7480">
              <w:rPr>
                <w:sz w:val="22"/>
                <w:lang w:val="en-US"/>
              </w:rPr>
              <w:t>,</w:t>
            </w:r>
            <w:r w:rsidRPr="004903AC">
              <w:rPr>
                <w:sz w:val="22"/>
                <w:lang w:val="en-US"/>
              </w:rPr>
              <w:t>97)</w:t>
            </w:r>
          </w:p>
        </w:tc>
        <w:tc>
          <w:tcPr>
            <w:tcW w:w="1560" w:type="dxa"/>
            <w:vAlign w:val="center"/>
          </w:tcPr>
          <w:p w14:paraId="04E971BF" w14:textId="77777777" w:rsidR="00897619" w:rsidRPr="004903AC" w:rsidRDefault="00897619" w:rsidP="008A37E3">
            <w:pPr>
              <w:spacing w:after="0" w:line="240" w:lineRule="auto"/>
              <w:ind w:left="0" w:firstLine="0"/>
              <w:jc w:val="center"/>
              <w:rPr>
                <w:sz w:val="22"/>
                <w:lang w:val="en-US"/>
              </w:rPr>
            </w:pPr>
          </w:p>
        </w:tc>
        <w:tc>
          <w:tcPr>
            <w:tcW w:w="1036" w:type="dxa"/>
            <w:vMerge/>
            <w:vAlign w:val="center"/>
          </w:tcPr>
          <w:p w14:paraId="0ABD5933" w14:textId="77777777" w:rsidR="00897619" w:rsidRPr="004903AC" w:rsidRDefault="00897619" w:rsidP="008A37E3">
            <w:pPr>
              <w:keepNext/>
              <w:spacing w:after="0" w:line="240" w:lineRule="auto"/>
              <w:ind w:left="0" w:firstLine="0"/>
              <w:rPr>
                <w:b/>
                <w:sz w:val="22"/>
                <w:lang w:val="en-US"/>
              </w:rPr>
            </w:pPr>
          </w:p>
        </w:tc>
      </w:tr>
    </w:tbl>
    <w:p w14:paraId="5DDA9741" w14:textId="77777777" w:rsidR="000F14D2" w:rsidRPr="00897619" w:rsidRDefault="000F14D2">
      <w:pPr>
        <w:keepNext/>
        <w:spacing w:after="0" w:line="240" w:lineRule="auto"/>
        <w:ind w:left="0" w:hanging="11"/>
        <w:rPr>
          <w:sz w:val="22"/>
        </w:rPr>
      </w:pPr>
    </w:p>
    <w:p w14:paraId="56BCA1B4" w14:textId="23B62632" w:rsidR="002B3E3E" w:rsidRPr="00D56390" w:rsidRDefault="002B3E3E" w:rsidP="00650FC6">
      <w:pPr>
        <w:keepNext/>
        <w:spacing w:after="0" w:line="240" w:lineRule="auto"/>
        <w:ind w:left="11" w:hanging="11"/>
        <w:rPr>
          <w:sz w:val="22"/>
        </w:rPr>
      </w:pPr>
      <w:r w:rsidRPr="00D56390">
        <w:rPr>
          <w:sz w:val="22"/>
        </w:rPr>
        <w:t xml:space="preserve">Bezpečnostné </w:t>
      </w:r>
      <w:r w:rsidR="00605709">
        <w:rPr>
          <w:sz w:val="22"/>
        </w:rPr>
        <w:t xml:space="preserve">cieľové </w:t>
      </w:r>
      <w:r w:rsidRPr="00D56390">
        <w:rPr>
          <w:sz w:val="22"/>
        </w:rPr>
        <w:t>ukazovatele</w:t>
      </w:r>
      <w:r w:rsidR="000F58DF">
        <w:rPr>
          <w:sz w:val="22"/>
        </w:rPr>
        <w:t xml:space="preserve"> </w:t>
      </w:r>
      <w:r w:rsidR="00777D3E">
        <w:rPr>
          <w:sz w:val="22"/>
        </w:rPr>
        <w:t>–</w:t>
      </w:r>
      <w:r w:rsidRPr="00D56390">
        <w:rPr>
          <w:sz w:val="22"/>
        </w:rPr>
        <w:t xml:space="preserve"> rozsiahl</w:t>
      </w:r>
      <w:r w:rsidR="00605709">
        <w:rPr>
          <w:sz w:val="22"/>
        </w:rPr>
        <w:t>e</w:t>
      </w:r>
      <w:r w:rsidRPr="00D56390">
        <w:rPr>
          <w:sz w:val="22"/>
        </w:rPr>
        <w:t xml:space="preserve"> krvácani</w:t>
      </w:r>
      <w:r w:rsidR="00605709">
        <w:rPr>
          <w:sz w:val="22"/>
        </w:rPr>
        <w:t>e</w:t>
      </w:r>
      <w:r w:rsidRPr="00D56390">
        <w:rPr>
          <w:sz w:val="22"/>
        </w:rPr>
        <w:t>, zložené zo závažného a</w:t>
      </w:r>
      <w:r w:rsidR="00777D3E">
        <w:rPr>
          <w:sz w:val="22"/>
        </w:rPr>
        <w:t> </w:t>
      </w:r>
      <w:r w:rsidRPr="00D56390">
        <w:rPr>
          <w:sz w:val="22"/>
        </w:rPr>
        <w:t>CRNM krvácania a</w:t>
      </w:r>
      <w:r w:rsidR="00777D3E">
        <w:rPr>
          <w:sz w:val="22"/>
        </w:rPr>
        <w:t> </w:t>
      </w:r>
      <w:r w:rsidRPr="00D56390">
        <w:rPr>
          <w:sz w:val="22"/>
        </w:rPr>
        <w:t>všetkých príhod krvácania ukazujú podobné hodnoty u</w:t>
      </w:r>
      <w:r w:rsidR="00777D3E">
        <w:rPr>
          <w:sz w:val="22"/>
        </w:rPr>
        <w:t> </w:t>
      </w:r>
      <w:r w:rsidRPr="00D56390">
        <w:rPr>
          <w:sz w:val="22"/>
        </w:rPr>
        <w:t>pacientov liečených 2,5 mg apixabánu v</w:t>
      </w:r>
      <w:r w:rsidR="00777D3E">
        <w:rPr>
          <w:sz w:val="22"/>
        </w:rPr>
        <w:t> </w:t>
      </w:r>
      <w:r w:rsidRPr="00D56390">
        <w:rPr>
          <w:sz w:val="22"/>
        </w:rPr>
        <w:t xml:space="preserve">porovnaní so 40 mg enoxaparínu (pozri tabuľku 5). Všetky kritériá krvácania zahŕňali </w:t>
      </w:r>
      <w:r w:rsidR="000F58DF">
        <w:rPr>
          <w:sz w:val="22"/>
        </w:rPr>
        <w:t xml:space="preserve">aj </w:t>
      </w:r>
      <w:r w:rsidRPr="00D56390">
        <w:rPr>
          <w:sz w:val="22"/>
        </w:rPr>
        <w:t>krvácanie v</w:t>
      </w:r>
      <w:r w:rsidR="00777D3E">
        <w:rPr>
          <w:sz w:val="22"/>
        </w:rPr>
        <w:t> </w:t>
      </w:r>
      <w:r w:rsidRPr="00D56390">
        <w:rPr>
          <w:sz w:val="22"/>
        </w:rPr>
        <w:t xml:space="preserve">mieste zákroku. </w:t>
      </w:r>
    </w:p>
    <w:p w14:paraId="5E71F21F" w14:textId="77777777" w:rsidR="002B3E3E" w:rsidRDefault="002B3E3E">
      <w:pPr>
        <w:keepNext/>
        <w:spacing w:after="0" w:line="240" w:lineRule="auto"/>
        <w:ind w:left="0" w:hanging="11"/>
      </w:pPr>
    </w:p>
    <w:p w14:paraId="556A139F" w14:textId="511D6DDE" w:rsidR="002B3E3E" w:rsidRPr="002B3E3E" w:rsidRDefault="002B3E3E" w:rsidP="00650FC6">
      <w:pPr>
        <w:keepNext/>
        <w:spacing w:after="0" w:line="240" w:lineRule="auto"/>
        <w:ind w:left="11" w:hanging="11"/>
        <w:rPr>
          <w:b/>
        </w:rPr>
      </w:pPr>
      <w:r w:rsidRPr="002B3E3E">
        <w:rPr>
          <w:b/>
        </w:rPr>
        <w:t>Tabuľka 5: Výsledky krvácania z</w:t>
      </w:r>
      <w:r w:rsidR="00777D3E">
        <w:rPr>
          <w:b/>
        </w:rPr>
        <w:t> </w:t>
      </w:r>
      <w:r w:rsidRPr="002B3E3E">
        <w:rPr>
          <w:b/>
        </w:rPr>
        <w:t>pivotných štúdií fázy III*</w:t>
      </w:r>
    </w:p>
    <w:tbl>
      <w:tblPr>
        <w:tblStyle w:val="TableGrid"/>
        <w:tblW w:w="5000" w:type="pct"/>
        <w:tblInd w:w="0" w:type="dxa"/>
        <w:tblCellMar>
          <w:top w:w="54" w:type="dxa"/>
          <w:left w:w="102" w:type="dxa"/>
          <w:right w:w="82" w:type="dxa"/>
        </w:tblCellMar>
        <w:tblLook w:val="04A0" w:firstRow="1" w:lastRow="0" w:firstColumn="1" w:lastColumn="0" w:noHBand="0" w:noVBand="1"/>
      </w:tblPr>
      <w:tblGrid>
        <w:gridCol w:w="2216"/>
        <w:gridCol w:w="1822"/>
        <w:gridCol w:w="1841"/>
        <w:gridCol w:w="1674"/>
        <w:gridCol w:w="1841"/>
      </w:tblGrid>
      <w:tr w:rsidR="00777D3E" w:rsidRPr="004903AC" w14:paraId="28A243AE" w14:textId="77777777" w:rsidTr="00777D3E">
        <w:trPr>
          <w:trHeight w:val="369"/>
        </w:trPr>
        <w:tc>
          <w:tcPr>
            <w:tcW w:w="1179" w:type="pct"/>
            <w:tcBorders>
              <w:top w:val="single" w:sz="4" w:space="0" w:color="000000"/>
              <w:left w:val="single" w:sz="4" w:space="0" w:color="000000"/>
              <w:bottom w:val="single" w:sz="4" w:space="0" w:color="000000"/>
              <w:right w:val="single" w:sz="4" w:space="0" w:color="000000"/>
            </w:tcBorders>
          </w:tcPr>
          <w:p w14:paraId="617F8F0E" w14:textId="77777777" w:rsidR="00777D3E" w:rsidRPr="004903AC" w:rsidRDefault="00777D3E" w:rsidP="008A37E3">
            <w:pPr>
              <w:keepNext/>
              <w:spacing w:after="0" w:line="240" w:lineRule="auto"/>
              <w:ind w:left="0" w:firstLine="0"/>
              <w:rPr>
                <w:sz w:val="22"/>
                <w:lang w:val="en-US"/>
              </w:rPr>
            </w:pPr>
            <w:r w:rsidRPr="004903AC">
              <w:rPr>
                <w:b/>
                <w:sz w:val="22"/>
                <w:lang w:val="en-US"/>
              </w:rPr>
              <w:t xml:space="preserve"> </w:t>
            </w:r>
          </w:p>
        </w:tc>
        <w:tc>
          <w:tcPr>
            <w:tcW w:w="1950" w:type="pct"/>
            <w:gridSpan w:val="2"/>
            <w:tcBorders>
              <w:top w:val="single" w:sz="4" w:space="0" w:color="000000"/>
              <w:left w:val="single" w:sz="4" w:space="0" w:color="000000"/>
              <w:bottom w:val="single" w:sz="4" w:space="0" w:color="000000"/>
              <w:right w:val="single" w:sz="3" w:space="0" w:color="000000"/>
            </w:tcBorders>
          </w:tcPr>
          <w:p w14:paraId="759FF32F" w14:textId="77777777" w:rsidR="00777D3E" w:rsidRPr="004903AC" w:rsidRDefault="00777D3E" w:rsidP="008A37E3">
            <w:pPr>
              <w:keepNext/>
              <w:spacing w:after="0" w:line="240" w:lineRule="auto"/>
              <w:ind w:left="0" w:firstLine="0"/>
              <w:jc w:val="center"/>
              <w:rPr>
                <w:sz w:val="22"/>
                <w:lang w:val="en-US"/>
              </w:rPr>
            </w:pPr>
            <w:r w:rsidRPr="004903AC">
              <w:rPr>
                <w:b/>
                <w:sz w:val="22"/>
                <w:lang w:val="en-US"/>
              </w:rPr>
              <w:t>ADVANCE-3</w:t>
            </w:r>
          </w:p>
        </w:tc>
        <w:tc>
          <w:tcPr>
            <w:tcW w:w="1871" w:type="pct"/>
            <w:gridSpan w:val="2"/>
            <w:tcBorders>
              <w:top w:val="single" w:sz="4" w:space="0" w:color="000000"/>
              <w:left w:val="single" w:sz="3" w:space="0" w:color="000000"/>
              <w:bottom w:val="single" w:sz="4" w:space="0" w:color="000000"/>
              <w:right w:val="single" w:sz="4" w:space="0" w:color="000000"/>
            </w:tcBorders>
          </w:tcPr>
          <w:p w14:paraId="14414FE2" w14:textId="0055F2C3" w:rsidR="00777D3E" w:rsidRPr="004903AC" w:rsidRDefault="00777D3E" w:rsidP="008A37E3">
            <w:pPr>
              <w:keepNext/>
              <w:spacing w:after="0" w:line="240" w:lineRule="auto"/>
              <w:ind w:left="0" w:firstLine="0"/>
              <w:jc w:val="center"/>
              <w:rPr>
                <w:sz w:val="22"/>
                <w:lang w:val="en-US"/>
              </w:rPr>
            </w:pPr>
            <w:r w:rsidRPr="004903AC">
              <w:rPr>
                <w:b/>
                <w:sz w:val="22"/>
                <w:lang w:val="en-US"/>
              </w:rPr>
              <w:t xml:space="preserve">ADVANCE-2 </w:t>
            </w:r>
          </w:p>
        </w:tc>
      </w:tr>
      <w:tr w:rsidR="00777D3E" w:rsidRPr="004903AC" w14:paraId="01E6288C" w14:textId="77777777" w:rsidTr="00777D3E">
        <w:trPr>
          <w:trHeight w:val="822"/>
        </w:trPr>
        <w:tc>
          <w:tcPr>
            <w:tcW w:w="1179" w:type="pct"/>
            <w:tcBorders>
              <w:top w:val="single" w:sz="4" w:space="0" w:color="000000"/>
              <w:left w:val="single" w:sz="4" w:space="0" w:color="000000"/>
              <w:bottom w:val="single" w:sz="4" w:space="0" w:color="000000"/>
              <w:right w:val="single" w:sz="4" w:space="0" w:color="000000"/>
            </w:tcBorders>
          </w:tcPr>
          <w:p w14:paraId="740B34FD" w14:textId="77777777" w:rsidR="00777D3E" w:rsidRPr="004903AC" w:rsidRDefault="00777D3E" w:rsidP="008A37E3">
            <w:pPr>
              <w:keepNext/>
              <w:spacing w:after="0" w:line="240" w:lineRule="auto"/>
              <w:ind w:left="0" w:firstLine="0"/>
              <w:rPr>
                <w:sz w:val="22"/>
                <w:lang w:val="en-US"/>
              </w:rPr>
            </w:pPr>
            <w:r w:rsidRPr="004903AC">
              <w:rPr>
                <w:sz w:val="22"/>
                <w:lang w:val="en-US"/>
              </w:rPr>
              <w:t xml:space="preserve"> </w:t>
            </w:r>
          </w:p>
        </w:tc>
        <w:tc>
          <w:tcPr>
            <w:tcW w:w="970" w:type="pct"/>
            <w:tcBorders>
              <w:top w:val="single" w:sz="4" w:space="0" w:color="000000"/>
              <w:left w:val="single" w:sz="4" w:space="0" w:color="000000"/>
              <w:bottom w:val="single" w:sz="4" w:space="0" w:color="000000"/>
              <w:right w:val="single" w:sz="3" w:space="0" w:color="000000"/>
            </w:tcBorders>
          </w:tcPr>
          <w:p w14:paraId="6CFCB263" w14:textId="6F28B59B" w:rsidR="00777D3E" w:rsidRPr="004903AC" w:rsidRDefault="00777D3E" w:rsidP="008A37E3">
            <w:pPr>
              <w:keepNext/>
              <w:spacing w:after="0" w:line="240" w:lineRule="auto"/>
              <w:ind w:left="0" w:firstLine="0"/>
              <w:jc w:val="center"/>
              <w:rPr>
                <w:sz w:val="22"/>
                <w:lang w:val="en-US"/>
              </w:rPr>
            </w:pPr>
            <w:r w:rsidRPr="004903AC">
              <w:rPr>
                <w:sz w:val="22"/>
                <w:lang w:val="en-US"/>
              </w:rPr>
              <w:t>Apixab</w:t>
            </w:r>
            <w:r>
              <w:rPr>
                <w:sz w:val="22"/>
                <w:lang w:val="en-US"/>
              </w:rPr>
              <w:t>á</w:t>
            </w:r>
            <w:r w:rsidRPr="004903AC">
              <w:rPr>
                <w:sz w:val="22"/>
                <w:lang w:val="en-US"/>
              </w:rPr>
              <w:t>n</w:t>
            </w:r>
          </w:p>
          <w:p w14:paraId="35547022" w14:textId="55B5EEBA" w:rsidR="00777D3E" w:rsidRPr="004903AC" w:rsidRDefault="00777D3E" w:rsidP="008A37E3">
            <w:pPr>
              <w:keepNext/>
              <w:spacing w:after="0" w:line="240" w:lineRule="auto"/>
              <w:ind w:left="0" w:firstLine="0"/>
              <w:jc w:val="center"/>
              <w:rPr>
                <w:sz w:val="22"/>
                <w:lang w:val="en-US"/>
              </w:rPr>
            </w:pPr>
            <w:r w:rsidRPr="004903AC">
              <w:rPr>
                <w:sz w:val="22"/>
                <w:lang w:val="en-US"/>
              </w:rPr>
              <w:t>2.5 mg p</w:t>
            </w:r>
            <w:r>
              <w:rPr>
                <w:sz w:val="22"/>
                <w:lang w:val="en-US"/>
              </w:rPr>
              <w:t>.</w:t>
            </w:r>
            <w:r w:rsidRPr="004903AC">
              <w:rPr>
                <w:sz w:val="22"/>
                <w:lang w:val="en-US"/>
              </w:rPr>
              <w:t>o</w:t>
            </w:r>
            <w:r>
              <w:rPr>
                <w:sz w:val="22"/>
                <w:lang w:val="en-US"/>
              </w:rPr>
              <w:t>. dvakrát denne</w:t>
            </w:r>
            <w:r w:rsidRPr="004903AC">
              <w:rPr>
                <w:sz w:val="22"/>
                <w:lang w:val="en-US"/>
              </w:rPr>
              <w:t xml:space="preserve"> 35 ± 3 d</w:t>
            </w:r>
            <w:r>
              <w:rPr>
                <w:sz w:val="22"/>
                <w:lang w:val="en-US"/>
              </w:rPr>
              <w:t>ni</w:t>
            </w:r>
          </w:p>
        </w:tc>
        <w:tc>
          <w:tcPr>
            <w:tcW w:w="980" w:type="pct"/>
            <w:tcBorders>
              <w:top w:val="single" w:sz="4" w:space="0" w:color="000000"/>
              <w:left w:val="single" w:sz="3" w:space="0" w:color="000000"/>
              <w:bottom w:val="single" w:sz="4" w:space="0" w:color="000000"/>
              <w:right w:val="single" w:sz="3" w:space="0" w:color="000000"/>
            </w:tcBorders>
          </w:tcPr>
          <w:p w14:paraId="035E9F0C" w14:textId="351C2799" w:rsidR="00777D3E" w:rsidRPr="004903AC" w:rsidRDefault="00777D3E" w:rsidP="008A37E3">
            <w:pPr>
              <w:keepNext/>
              <w:spacing w:after="0" w:line="240" w:lineRule="auto"/>
              <w:ind w:left="0" w:firstLine="0"/>
              <w:jc w:val="center"/>
              <w:rPr>
                <w:sz w:val="22"/>
                <w:lang w:val="en-US"/>
              </w:rPr>
            </w:pPr>
            <w:r>
              <w:rPr>
                <w:sz w:val="22"/>
                <w:lang w:val="en-US"/>
              </w:rPr>
              <w:t>Enoxaparí</w:t>
            </w:r>
            <w:r w:rsidRPr="004903AC">
              <w:rPr>
                <w:sz w:val="22"/>
                <w:lang w:val="en-US"/>
              </w:rPr>
              <w:t>n</w:t>
            </w:r>
          </w:p>
          <w:p w14:paraId="600848E7" w14:textId="2162CEAC" w:rsidR="00777D3E" w:rsidRPr="004903AC" w:rsidRDefault="00777D3E" w:rsidP="008A37E3">
            <w:pPr>
              <w:keepNext/>
              <w:spacing w:after="0" w:line="240" w:lineRule="auto"/>
              <w:ind w:left="0" w:firstLine="0"/>
              <w:jc w:val="center"/>
              <w:rPr>
                <w:sz w:val="22"/>
                <w:lang w:val="en-US"/>
              </w:rPr>
            </w:pPr>
            <w:r w:rsidRPr="004903AC">
              <w:rPr>
                <w:sz w:val="22"/>
                <w:lang w:val="en-US"/>
              </w:rPr>
              <w:t>40 mg s</w:t>
            </w:r>
            <w:r>
              <w:rPr>
                <w:sz w:val="22"/>
                <w:lang w:val="en-US"/>
              </w:rPr>
              <w:t>.</w:t>
            </w:r>
            <w:r w:rsidRPr="004903AC">
              <w:rPr>
                <w:sz w:val="22"/>
                <w:lang w:val="en-US"/>
              </w:rPr>
              <w:t>c</w:t>
            </w:r>
            <w:r>
              <w:rPr>
                <w:sz w:val="22"/>
                <w:lang w:val="en-US"/>
              </w:rPr>
              <w:t>. jedenkrát denne</w:t>
            </w:r>
            <w:r w:rsidRPr="004903AC">
              <w:rPr>
                <w:sz w:val="22"/>
                <w:lang w:val="en-US"/>
              </w:rPr>
              <w:t xml:space="preserve"> 35 ± 3 d</w:t>
            </w:r>
            <w:r>
              <w:rPr>
                <w:sz w:val="22"/>
                <w:lang w:val="en-US"/>
              </w:rPr>
              <w:t>ni</w:t>
            </w:r>
          </w:p>
        </w:tc>
        <w:tc>
          <w:tcPr>
            <w:tcW w:w="891" w:type="pct"/>
            <w:tcBorders>
              <w:top w:val="single" w:sz="4" w:space="0" w:color="000000"/>
              <w:left w:val="single" w:sz="3" w:space="0" w:color="000000"/>
              <w:bottom w:val="single" w:sz="4" w:space="0" w:color="000000"/>
              <w:right w:val="single" w:sz="3" w:space="0" w:color="000000"/>
            </w:tcBorders>
          </w:tcPr>
          <w:p w14:paraId="38E1B2F0" w14:textId="07CBF4C5" w:rsidR="00777D3E" w:rsidRPr="004903AC" w:rsidRDefault="00777D3E" w:rsidP="008A37E3">
            <w:pPr>
              <w:keepNext/>
              <w:spacing w:after="0" w:line="240" w:lineRule="auto"/>
              <w:ind w:left="0" w:firstLine="0"/>
              <w:jc w:val="center"/>
              <w:rPr>
                <w:sz w:val="22"/>
                <w:lang w:val="en-US"/>
              </w:rPr>
            </w:pPr>
            <w:r w:rsidRPr="004903AC">
              <w:rPr>
                <w:sz w:val="22"/>
                <w:lang w:val="en-US"/>
              </w:rPr>
              <w:t>Apixab</w:t>
            </w:r>
            <w:r>
              <w:rPr>
                <w:sz w:val="22"/>
                <w:lang w:val="en-US"/>
              </w:rPr>
              <w:t>á</w:t>
            </w:r>
            <w:r w:rsidRPr="004903AC">
              <w:rPr>
                <w:sz w:val="22"/>
                <w:lang w:val="en-US"/>
              </w:rPr>
              <w:t>n</w:t>
            </w:r>
          </w:p>
          <w:p w14:paraId="459A860A" w14:textId="0D577657" w:rsidR="00777D3E" w:rsidRPr="004903AC" w:rsidRDefault="00777D3E" w:rsidP="008A37E3">
            <w:pPr>
              <w:keepNext/>
              <w:spacing w:after="0" w:line="240" w:lineRule="auto"/>
              <w:ind w:left="0" w:firstLine="0"/>
              <w:jc w:val="center"/>
              <w:rPr>
                <w:sz w:val="22"/>
                <w:lang w:val="en-US"/>
              </w:rPr>
            </w:pPr>
            <w:r w:rsidRPr="004903AC">
              <w:rPr>
                <w:sz w:val="22"/>
                <w:lang w:val="en-US"/>
              </w:rPr>
              <w:t>2.5 mg p</w:t>
            </w:r>
            <w:r>
              <w:rPr>
                <w:sz w:val="22"/>
                <w:lang w:val="en-US"/>
              </w:rPr>
              <w:t>.</w:t>
            </w:r>
            <w:r w:rsidRPr="004903AC">
              <w:rPr>
                <w:sz w:val="22"/>
                <w:lang w:val="en-US"/>
              </w:rPr>
              <w:t>o</w:t>
            </w:r>
            <w:r>
              <w:rPr>
                <w:sz w:val="22"/>
                <w:lang w:val="en-US"/>
              </w:rPr>
              <w:t>. dvakrát denne</w:t>
            </w:r>
            <w:r w:rsidRPr="004903AC">
              <w:rPr>
                <w:sz w:val="22"/>
                <w:lang w:val="en-US"/>
              </w:rPr>
              <w:t xml:space="preserve"> 12 ± 2 d</w:t>
            </w:r>
            <w:r>
              <w:rPr>
                <w:sz w:val="22"/>
                <w:lang w:val="en-US"/>
              </w:rPr>
              <w:t>ni</w:t>
            </w:r>
          </w:p>
        </w:tc>
        <w:tc>
          <w:tcPr>
            <w:tcW w:w="980" w:type="pct"/>
            <w:tcBorders>
              <w:top w:val="single" w:sz="4" w:space="0" w:color="000000"/>
              <w:left w:val="single" w:sz="3" w:space="0" w:color="000000"/>
              <w:bottom w:val="single" w:sz="4" w:space="0" w:color="000000"/>
              <w:right w:val="single" w:sz="4" w:space="0" w:color="000000"/>
            </w:tcBorders>
          </w:tcPr>
          <w:p w14:paraId="54151A34" w14:textId="5D12F159" w:rsidR="00777D3E" w:rsidRPr="004903AC" w:rsidRDefault="00777D3E" w:rsidP="008A37E3">
            <w:pPr>
              <w:keepNext/>
              <w:spacing w:after="0" w:line="240" w:lineRule="auto"/>
              <w:ind w:left="0" w:firstLine="0"/>
              <w:jc w:val="center"/>
              <w:rPr>
                <w:sz w:val="22"/>
                <w:lang w:val="en-US"/>
              </w:rPr>
            </w:pPr>
            <w:r>
              <w:rPr>
                <w:sz w:val="22"/>
                <w:lang w:val="en-US"/>
              </w:rPr>
              <w:t>Enoxaparí</w:t>
            </w:r>
            <w:r w:rsidRPr="004903AC">
              <w:rPr>
                <w:sz w:val="22"/>
                <w:lang w:val="en-US"/>
              </w:rPr>
              <w:t>n</w:t>
            </w:r>
          </w:p>
          <w:p w14:paraId="489B1E4C" w14:textId="2B98D652" w:rsidR="00777D3E" w:rsidRPr="004903AC" w:rsidRDefault="00777D3E" w:rsidP="008A37E3">
            <w:pPr>
              <w:keepNext/>
              <w:spacing w:after="0" w:line="240" w:lineRule="auto"/>
              <w:ind w:left="0" w:firstLine="0"/>
              <w:jc w:val="center"/>
              <w:rPr>
                <w:sz w:val="22"/>
                <w:lang w:val="en-US"/>
              </w:rPr>
            </w:pPr>
            <w:r w:rsidRPr="004903AC">
              <w:rPr>
                <w:sz w:val="22"/>
                <w:lang w:val="en-US"/>
              </w:rPr>
              <w:t>40 mg s</w:t>
            </w:r>
            <w:r>
              <w:rPr>
                <w:sz w:val="22"/>
                <w:lang w:val="en-US"/>
              </w:rPr>
              <w:t>.</w:t>
            </w:r>
            <w:r w:rsidRPr="004903AC">
              <w:rPr>
                <w:sz w:val="22"/>
                <w:lang w:val="en-US"/>
              </w:rPr>
              <w:t>c</w:t>
            </w:r>
            <w:r>
              <w:rPr>
                <w:sz w:val="22"/>
                <w:lang w:val="en-US"/>
              </w:rPr>
              <w:t>. jedenkrát denne</w:t>
            </w:r>
            <w:r w:rsidRPr="004903AC">
              <w:rPr>
                <w:sz w:val="22"/>
                <w:lang w:val="en-US"/>
              </w:rPr>
              <w:t xml:space="preserve"> 12 ± 2 d</w:t>
            </w:r>
            <w:r>
              <w:rPr>
                <w:sz w:val="22"/>
                <w:lang w:val="en-US"/>
              </w:rPr>
              <w:t>ni</w:t>
            </w:r>
          </w:p>
        </w:tc>
      </w:tr>
      <w:tr w:rsidR="00777D3E" w:rsidRPr="004903AC" w14:paraId="0CE0274F" w14:textId="77777777" w:rsidTr="00777D3E">
        <w:trPr>
          <w:trHeight w:val="247"/>
        </w:trPr>
        <w:tc>
          <w:tcPr>
            <w:tcW w:w="1179" w:type="pct"/>
            <w:tcBorders>
              <w:top w:val="single" w:sz="4" w:space="0" w:color="000000"/>
              <w:left w:val="single" w:sz="4" w:space="0" w:color="000000"/>
              <w:bottom w:val="single" w:sz="4" w:space="0" w:color="000000"/>
              <w:right w:val="single" w:sz="4" w:space="0" w:color="000000"/>
            </w:tcBorders>
          </w:tcPr>
          <w:p w14:paraId="75AE3BA7" w14:textId="7EA92871" w:rsidR="00777D3E" w:rsidRPr="004903AC" w:rsidRDefault="00777D3E" w:rsidP="008A37E3">
            <w:pPr>
              <w:keepNext/>
              <w:spacing w:after="0" w:line="240" w:lineRule="auto"/>
              <w:ind w:left="0" w:firstLine="0"/>
              <w:rPr>
                <w:sz w:val="22"/>
                <w:lang w:val="en-US"/>
              </w:rPr>
            </w:pPr>
            <w:r>
              <w:rPr>
                <w:sz w:val="22"/>
                <w:lang w:val="en-US"/>
              </w:rPr>
              <w:t>Všetci liečení</w:t>
            </w:r>
          </w:p>
        </w:tc>
        <w:tc>
          <w:tcPr>
            <w:tcW w:w="970" w:type="pct"/>
            <w:tcBorders>
              <w:top w:val="single" w:sz="4" w:space="0" w:color="000000"/>
              <w:left w:val="single" w:sz="4" w:space="0" w:color="000000"/>
              <w:bottom w:val="single" w:sz="4" w:space="0" w:color="000000"/>
              <w:right w:val="single" w:sz="3" w:space="0" w:color="000000"/>
            </w:tcBorders>
          </w:tcPr>
          <w:p w14:paraId="383369BC" w14:textId="3679EDFA" w:rsidR="00777D3E" w:rsidRPr="004903AC" w:rsidRDefault="00777D3E" w:rsidP="008A37E3">
            <w:pPr>
              <w:keepNext/>
              <w:spacing w:after="0" w:line="240" w:lineRule="auto"/>
              <w:ind w:left="0" w:firstLine="0"/>
              <w:jc w:val="center"/>
              <w:rPr>
                <w:sz w:val="22"/>
                <w:lang w:val="en-US"/>
              </w:rPr>
            </w:pPr>
            <w:r w:rsidRPr="004903AC">
              <w:rPr>
                <w:sz w:val="22"/>
                <w:lang w:val="en-US"/>
              </w:rPr>
              <w:t>n = 2</w:t>
            </w:r>
            <w:r>
              <w:rPr>
                <w:sz w:val="22"/>
                <w:lang w:val="en-US"/>
              </w:rPr>
              <w:t xml:space="preserve"> </w:t>
            </w:r>
            <w:r w:rsidRPr="004903AC">
              <w:rPr>
                <w:sz w:val="22"/>
                <w:lang w:val="en-US"/>
              </w:rPr>
              <w:t>673</w:t>
            </w:r>
          </w:p>
        </w:tc>
        <w:tc>
          <w:tcPr>
            <w:tcW w:w="980" w:type="pct"/>
            <w:tcBorders>
              <w:top w:val="single" w:sz="4" w:space="0" w:color="000000"/>
              <w:left w:val="single" w:sz="3" w:space="0" w:color="000000"/>
              <w:bottom w:val="single" w:sz="4" w:space="0" w:color="000000"/>
              <w:right w:val="single" w:sz="3" w:space="0" w:color="000000"/>
            </w:tcBorders>
          </w:tcPr>
          <w:p w14:paraId="276C29A4" w14:textId="7EAB6370" w:rsidR="00777D3E" w:rsidRPr="004903AC" w:rsidRDefault="00777D3E" w:rsidP="008A37E3">
            <w:pPr>
              <w:keepNext/>
              <w:spacing w:after="0" w:line="240" w:lineRule="auto"/>
              <w:ind w:left="0" w:firstLine="0"/>
              <w:jc w:val="center"/>
              <w:rPr>
                <w:sz w:val="22"/>
                <w:lang w:val="en-US"/>
              </w:rPr>
            </w:pPr>
            <w:r w:rsidRPr="004903AC">
              <w:rPr>
                <w:sz w:val="22"/>
                <w:lang w:val="en-US"/>
              </w:rPr>
              <w:t>n = 2</w:t>
            </w:r>
            <w:r>
              <w:rPr>
                <w:sz w:val="22"/>
                <w:lang w:val="en-US"/>
              </w:rPr>
              <w:t xml:space="preserve"> </w:t>
            </w:r>
            <w:r w:rsidRPr="004903AC">
              <w:rPr>
                <w:sz w:val="22"/>
                <w:lang w:val="en-US"/>
              </w:rPr>
              <w:t>659</w:t>
            </w:r>
          </w:p>
        </w:tc>
        <w:tc>
          <w:tcPr>
            <w:tcW w:w="891" w:type="pct"/>
            <w:tcBorders>
              <w:top w:val="single" w:sz="4" w:space="0" w:color="000000"/>
              <w:left w:val="single" w:sz="3" w:space="0" w:color="000000"/>
              <w:bottom w:val="single" w:sz="4" w:space="0" w:color="000000"/>
              <w:right w:val="single" w:sz="3" w:space="0" w:color="000000"/>
            </w:tcBorders>
          </w:tcPr>
          <w:p w14:paraId="7B8631F8" w14:textId="1012B4CE" w:rsidR="00777D3E" w:rsidRPr="004903AC" w:rsidRDefault="00777D3E" w:rsidP="008A37E3">
            <w:pPr>
              <w:keepNext/>
              <w:spacing w:after="0" w:line="240" w:lineRule="auto"/>
              <w:ind w:left="0" w:firstLine="0"/>
              <w:jc w:val="center"/>
              <w:rPr>
                <w:sz w:val="22"/>
                <w:lang w:val="en-US"/>
              </w:rPr>
            </w:pPr>
            <w:r w:rsidRPr="004903AC">
              <w:rPr>
                <w:sz w:val="22"/>
                <w:lang w:val="en-US"/>
              </w:rPr>
              <w:t>n = 1</w:t>
            </w:r>
            <w:r>
              <w:rPr>
                <w:sz w:val="22"/>
                <w:lang w:val="en-US"/>
              </w:rPr>
              <w:t xml:space="preserve"> </w:t>
            </w:r>
            <w:r w:rsidRPr="004903AC">
              <w:rPr>
                <w:sz w:val="22"/>
                <w:lang w:val="en-US"/>
              </w:rPr>
              <w:t>501</w:t>
            </w:r>
          </w:p>
        </w:tc>
        <w:tc>
          <w:tcPr>
            <w:tcW w:w="980" w:type="pct"/>
            <w:tcBorders>
              <w:top w:val="single" w:sz="4" w:space="0" w:color="000000"/>
              <w:left w:val="single" w:sz="3" w:space="0" w:color="000000"/>
              <w:bottom w:val="single" w:sz="4" w:space="0" w:color="000000"/>
              <w:right w:val="single" w:sz="4" w:space="0" w:color="000000"/>
            </w:tcBorders>
          </w:tcPr>
          <w:p w14:paraId="6637FC8A" w14:textId="38AEF2B7" w:rsidR="00777D3E" w:rsidRPr="004903AC" w:rsidRDefault="00777D3E" w:rsidP="008A37E3">
            <w:pPr>
              <w:keepNext/>
              <w:spacing w:after="0" w:line="240" w:lineRule="auto"/>
              <w:ind w:left="0" w:firstLine="0"/>
              <w:jc w:val="center"/>
              <w:rPr>
                <w:sz w:val="22"/>
                <w:lang w:val="en-US"/>
              </w:rPr>
            </w:pPr>
            <w:r w:rsidRPr="004903AC">
              <w:rPr>
                <w:sz w:val="22"/>
                <w:lang w:val="en-US"/>
              </w:rPr>
              <w:t>n = 1</w:t>
            </w:r>
            <w:r>
              <w:rPr>
                <w:sz w:val="22"/>
                <w:lang w:val="en-US"/>
              </w:rPr>
              <w:t xml:space="preserve"> </w:t>
            </w:r>
            <w:r w:rsidRPr="004903AC">
              <w:rPr>
                <w:sz w:val="22"/>
                <w:lang w:val="en-US"/>
              </w:rPr>
              <w:t>508</w:t>
            </w:r>
          </w:p>
        </w:tc>
      </w:tr>
      <w:tr w:rsidR="00777D3E" w:rsidRPr="004903AC" w14:paraId="12D967DA" w14:textId="77777777" w:rsidTr="00777D3E">
        <w:trPr>
          <w:trHeight w:val="247"/>
        </w:trPr>
        <w:tc>
          <w:tcPr>
            <w:tcW w:w="5000" w:type="pct"/>
            <w:gridSpan w:val="5"/>
            <w:tcBorders>
              <w:top w:val="single" w:sz="4" w:space="0" w:color="000000"/>
              <w:left w:val="single" w:sz="4" w:space="0" w:color="000000"/>
              <w:bottom w:val="single" w:sz="4" w:space="0" w:color="000000"/>
              <w:right w:val="single" w:sz="4" w:space="0" w:color="000000"/>
            </w:tcBorders>
          </w:tcPr>
          <w:p w14:paraId="2095187E" w14:textId="102160C0" w:rsidR="00777D3E" w:rsidRPr="00777D3E" w:rsidRDefault="00777D3E" w:rsidP="00777D3E">
            <w:pPr>
              <w:keepNext/>
              <w:spacing w:after="0" w:line="240" w:lineRule="auto"/>
              <w:ind w:left="0" w:firstLine="0"/>
              <w:rPr>
                <w:b/>
                <w:i/>
                <w:sz w:val="22"/>
                <w:lang w:val="en-US"/>
              </w:rPr>
            </w:pPr>
            <w:r>
              <w:rPr>
                <w:b/>
                <w:i/>
                <w:sz w:val="22"/>
                <w:lang w:val="en-US"/>
              </w:rPr>
              <w:t>Obdobie liečby</w:t>
            </w:r>
            <w:r w:rsidRPr="00777D3E">
              <w:rPr>
                <w:b/>
                <w:i/>
                <w:sz w:val="22"/>
                <w:vertAlign w:val="superscript"/>
                <w:lang w:val="en-US"/>
              </w:rPr>
              <w:t>1</w:t>
            </w:r>
          </w:p>
        </w:tc>
      </w:tr>
      <w:tr w:rsidR="00777D3E" w:rsidRPr="004903AC" w14:paraId="3E0203DD" w14:textId="77777777" w:rsidTr="00777D3E">
        <w:trPr>
          <w:trHeight w:val="247"/>
        </w:trPr>
        <w:tc>
          <w:tcPr>
            <w:tcW w:w="1179" w:type="pct"/>
            <w:tcBorders>
              <w:top w:val="single" w:sz="4" w:space="0" w:color="000000"/>
              <w:left w:val="single" w:sz="4" w:space="0" w:color="000000"/>
              <w:bottom w:val="single" w:sz="4" w:space="0" w:color="000000"/>
              <w:right w:val="single" w:sz="4" w:space="0" w:color="000000"/>
            </w:tcBorders>
          </w:tcPr>
          <w:p w14:paraId="1B4BFBC8" w14:textId="328D35A9" w:rsidR="00777D3E" w:rsidRPr="004903AC" w:rsidRDefault="00777D3E" w:rsidP="008A37E3">
            <w:pPr>
              <w:spacing w:after="0" w:line="240" w:lineRule="auto"/>
              <w:ind w:left="0" w:firstLine="0"/>
              <w:rPr>
                <w:sz w:val="22"/>
                <w:lang w:val="en-US"/>
              </w:rPr>
            </w:pPr>
            <w:r>
              <w:rPr>
                <w:sz w:val="22"/>
                <w:lang w:val="en-US"/>
              </w:rPr>
              <w:t>Závažné</w:t>
            </w:r>
          </w:p>
        </w:tc>
        <w:tc>
          <w:tcPr>
            <w:tcW w:w="970" w:type="pct"/>
            <w:tcBorders>
              <w:top w:val="single" w:sz="4" w:space="0" w:color="000000"/>
              <w:left w:val="single" w:sz="4" w:space="0" w:color="000000"/>
              <w:bottom w:val="single" w:sz="4" w:space="0" w:color="000000"/>
              <w:right w:val="single" w:sz="3" w:space="0" w:color="000000"/>
            </w:tcBorders>
          </w:tcPr>
          <w:p w14:paraId="4D06D92F" w14:textId="2AA232F2" w:rsidR="00777D3E" w:rsidRPr="004903AC" w:rsidRDefault="00777D3E" w:rsidP="008A37E3">
            <w:pPr>
              <w:spacing w:after="0" w:line="240" w:lineRule="auto"/>
              <w:ind w:left="0" w:firstLine="0"/>
              <w:jc w:val="center"/>
              <w:rPr>
                <w:sz w:val="22"/>
                <w:lang w:val="en-US"/>
              </w:rPr>
            </w:pPr>
            <w:r w:rsidRPr="004903AC">
              <w:rPr>
                <w:sz w:val="22"/>
                <w:lang w:val="en-US"/>
              </w:rPr>
              <w:t>22 (0</w:t>
            </w:r>
            <w:proofErr w:type="gramStart"/>
            <w:r>
              <w:rPr>
                <w:sz w:val="22"/>
                <w:lang w:val="en-US"/>
              </w:rPr>
              <w:t>,</w:t>
            </w:r>
            <w:r w:rsidRPr="004903AC">
              <w:rPr>
                <w:sz w:val="22"/>
                <w:lang w:val="en-US"/>
              </w:rPr>
              <w:t>8</w:t>
            </w:r>
            <w:proofErr w:type="gramEnd"/>
            <w:r w:rsidRPr="004903AC">
              <w:rPr>
                <w:sz w:val="22"/>
                <w:lang w:val="en-US"/>
              </w:rPr>
              <w:t>%)</w:t>
            </w:r>
          </w:p>
        </w:tc>
        <w:tc>
          <w:tcPr>
            <w:tcW w:w="980" w:type="pct"/>
            <w:tcBorders>
              <w:top w:val="single" w:sz="4" w:space="0" w:color="000000"/>
              <w:left w:val="single" w:sz="3" w:space="0" w:color="000000"/>
              <w:bottom w:val="single" w:sz="4" w:space="0" w:color="000000"/>
              <w:right w:val="single" w:sz="3" w:space="0" w:color="000000"/>
            </w:tcBorders>
          </w:tcPr>
          <w:p w14:paraId="1AC6BC63" w14:textId="2B8926F0" w:rsidR="00777D3E" w:rsidRPr="004903AC" w:rsidRDefault="00777D3E" w:rsidP="008A37E3">
            <w:pPr>
              <w:spacing w:after="0" w:line="240" w:lineRule="auto"/>
              <w:ind w:left="0" w:firstLine="0"/>
              <w:jc w:val="center"/>
              <w:rPr>
                <w:sz w:val="22"/>
                <w:lang w:val="en-US"/>
              </w:rPr>
            </w:pPr>
            <w:r w:rsidRPr="004903AC">
              <w:rPr>
                <w:sz w:val="22"/>
                <w:lang w:val="en-US"/>
              </w:rPr>
              <w:t>18 (0</w:t>
            </w:r>
            <w:proofErr w:type="gramStart"/>
            <w:r>
              <w:rPr>
                <w:sz w:val="22"/>
                <w:lang w:val="en-US"/>
              </w:rPr>
              <w:t>,</w:t>
            </w:r>
            <w:r w:rsidRPr="004903AC">
              <w:rPr>
                <w:sz w:val="22"/>
                <w:lang w:val="en-US"/>
              </w:rPr>
              <w:t>7</w:t>
            </w:r>
            <w:proofErr w:type="gramEnd"/>
            <w:r w:rsidRPr="004903AC">
              <w:rPr>
                <w:sz w:val="22"/>
                <w:lang w:val="en-US"/>
              </w:rPr>
              <w:t>%)</w:t>
            </w:r>
          </w:p>
        </w:tc>
        <w:tc>
          <w:tcPr>
            <w:tcW w:w="891" w:type="pct"/>
            <w:tcBorders>
              <w:top w:val="single" w:sz="4" w:space="0" w:color="000000"/>
              <w:left w:val="single" w:sz="3" w:space="0" w:color="000000"/>
              <w:bottom w:val="single" w:sz="4" w:space="0" w:color="000000"/>
              <w:right w:val="single" w:sz="3" w:space="0" w:color="000000"/>
            </w:tcBorders>
          </w:tcPr>
          <w:p w14:paraId="5535F369" w14:textId="47A7816E" w:rsidR="00777D3E" w:rsidRPr="004903AC" w:rsidRDefault="00777D3E" w:rsidP="008A37E3">
            <w:pPr>
              <w:spacing w:after="0" w:line="240" w:lineRule="auto"/>
              <w:ind w:left="0" w:firstLine="0"/>
              <w:jc w:val="center"/>
              <w:rPr>
                <w:sz w:val="22"/>
                <w:lang w:val="en-US"/>
              </w:rPr>
            </w:pPr>
            <w:r w:rsidRPr="004903AC">
              <w:rPr>
                <w:sz w:val="22"/>
                <w:lang w:val="en-US"/>
              </w:rPr>
              <w:t>9 (0</w:t>
            </w:r>
            <w:proofErr w:type="gramStart"/>
            <w:r>
              <w:rPr>
                <w:sz w:val="22"/>
                <w:lang w:val="en-US"/>
              </w:rPr>
              <w:t>,</w:t>
            </w:r>
            <w:r w:rsidRPr="004903AC">
              <w:rPr>
                <w:sz w:val="22"/>
                <w:lang w:val="en-US"/>
              </w:rPr>
              <w:t>6</w:t>
            </w:r>
            <w:proofErr w:type="gramEnd"/>
            <w:r w:rsidRPr="004903AC">
              <w:rPr>
                <w:sz w:val="22"/>
                <w:lang w:val="en-US"/>
              </w:rPr>
              <w:t>%)</w:t>
            </w:r>
          </w:p>
        </w:tc>
        <w:tc>
          <w:tcPr>
            <w:tcW w:w="980" w:type="pct"/>
            <w:tcBorders>
              <w:top w:val="single" w:sz="4" w:space="0" w:color="000000"/>
              <w:left w:val="single" w:sz="3" w:space="0" w:color="000000"/>
              <w:bottom w:val="single" w:sz="4" w:space="0" w:color="000000"/>
              <w:right w:val="single" w:sz="4" w:space="0" w:color="000000"/>
            </w:tcBorders>
          </w:tcPr>
          <w:p w14:paraId="11C7EDFF" w14:textId="001D344E" w:rsidR="00777D3E" w:rsidRPr="004903AC" w:rsidRDefault="00777D3E" w:rsidP="008A37E3">
            <w:pPr>
              <w:spacing w:after="0" w:line="240" w:lineRule="auto"/>
              <w:ind w:left="0" w:firstLine="0"/>
              <w:jc w:val="center"/>
              <w:rPr>
                <w:sz w:val="22"/>
                <w:lang w:val="en-US"/>
              </w:rPr>
            </w:pPr>
            <w:r w:rsidRPr="004903AC">
              <w:rPr>
                <w:sz w:val="22"/>
                <w:lang w:val="en-US"/>
              </w:rPr>
              <w:t>14 (0</w:t>
            </w:r>
            <w:proofErr w:type="gramStart"/>
            <w:r>
              <w:rPr>
                <w:sz w:val="22"/>
                <w:lang w:val="en-US"/>
              </w:rPr>
              <w:t>,</w:t>
            </w:r>
            <w:r w:rsidRPr="004903AC">
              <w:rPr>
                <w:sz w:val="22"/>
                <w:lang w:val="en-US"/>
              </w:rPr>
              <w:t>9</w:t>
            </w:r>
            <w:proofErr w:type="gramEnd"/>
            <w:r w:rsidRPr="004903AC">
              <w:rPr>
                <w:sz w:val="22"/>
                <w:lang w:val="en-US"/>
              </w:rPr>
              <w:t>%)</w:t>
            </w:r>
          </w:p>
        </w:tc>
      </w:tr>
      <w:tr w:rsidR="00777D3E" w:rsidRPr="004903AC" w14:paraId="68B9B7E6" w14:textId="77777777" w:rsidTr="00777D3E">
        <w:trPr>
          <w:trHeight w:val="247"/>
        </w:trPr>
        <w:tc>
          <w:tcPr>
            <w:tcW w:w="1179" w:type="pct"/>
            <w:tcBorders>
              <w:top w:val="single" w:sz="4" w:space="0" w:color="000000"/>
              <w:left w:val="single" w:sz="4" w:space="0" w:color="000000"/>
              <w:bottom w:val="single" w:sz="4" w:space="0" w:color="000000"/>
              <w:right w:val="single" w:sz="4" w:space="0" w:color="000000"/>
            </w:tcBorders>
          </w:tcPr>
          <w:p w14:paraId="6E5AFFE9" w14:textId="1EBBA44F" w:rsidR="00777D3E" w:rsidRPr="004903AC" w:rsidRDefault="00777D3E" w:rsidP="008A37E3">
            <w:pPr>
              <w:spacing w:after="0" w:line="240" w:lineRule="auto"/>
              <w:ind w:left="0" w:firstLine="0"/>
              <w:rPr>
                <w:sz w:val="22"/>
                <w:lang w:val="en-US"/>
              </w:rPr>
            </w:pPr>
            <w:r>
              <w:rPr>
                <w:sz w:val="22"/>
                <w:lang w:val="en-US"/>
              </w:rPr>
              <w:t>Fatálne</w:t>
            </w:r>
          </w:p>
        </w:tc>
        <w:tc>
          <w:tcPr>
            <w:tcW w:w="970" w:type="pct"/>
            <w:tcBorders>
              <w:top w:val="single" w:sz="4" w:space="0" w:color="000000"/>
              <w:left w:val="single" w:sz="4" w:space="0" w:color="000000"/>
              <w:bottom w:val="single" w:sz="4" w:space="0" w:color="000000"/>
              <w:right w:val="single" w:sz="3" w:space="0" w:color="000000"/>
            </w:tcBorders>
          </w:tcPr>
          <w:p w14:paraId="34188A8D" w14:textId="77777777" w:rsidR="00777D3E" w:rsidRPr="004903AC" w:rsidRDefault="00777D3E" w:rsidP="008A37E3">
            <w:pPr>
              <w:spacing w:after="0" w:line="240" w:lineRule="auto"/>
              <w:ind w:left="0" w:firstLine="0"/>
              <w:jc w:val="center"/>
              <w:rPr>
                <w:sz w:val="22"/>
                <w:lang w:val="en-US"/>
              </w:rPr>
            </w:pPr>
            <w:r w:rsidRPr="004903AC">
              <w:rPr>
                <w:sz w:val="22"/>
                <w:lang w:val="en-US"/>
              </w:rPr>
              <w:t>0</w:t>
            </w:r>
          </w:p>
        </w:tc>
        <w:tc>
          <w:tcPr>
            <w:tcW w:w="980" w:type="pct"/>
            <w:tcBorders>
              <w:top w:val="single" w:sz="4" w:space="0" w:color="000000"/>
              <w:left w:val="single" w:sz="3" w:space="0" w:color="000000"/>
              <w:bottom w:val="single" w:sz="4" w:space="0" w:color="000000"/>
              <w:right w:val="single" w:sz="3" w:space="0" w:color="000000"/>
            </w:tcBorders>
          </w:tcPr>
          <w:p w14:paraId="2C881545" w14:textId="77777777" w:rsidR="00777D3E" w:rsidRPr="004903AC" w:rsidRDefault="00777D3E" w:rsidP="008A37E3">
            <w:pPr>
              <w:spacing w:after="0" w:line="240" w:lineRule="auto"/>
              <w:ind w:left="0" w:firstLine="0"/>
              <w:jc w:val="center"/>
              <w:rPr>
                <w:sz w:val="22"/>
                <w:lang w:val="en-US"/>
              </w:rPr>
            </w:pPr>
            <w:r w:rsidRPr="004903AC">
              <w:rPr>
                <w:sz w:val="22"/>
                <w:lang w:val="en-US"/>
              </w:rPr>
              <w:t>0</w:t>
            </w:r>
          </w:p>
        </w:tc>
        <w:tc>
          <w:tcPr>
            <w:tcW w:w="891" w:type="pct"/>
            <w:tcBorders>
              <w:top w:val="single" w:sz="4" w:space="0" w:color="000000"/>
              <w:left w:val="single" w:sz="3" w:space="0" w:color="000000"/>
              <w:bottom w:val="single" w:sz="4" w:space="0" w:color="000000"/>
              <w:right w:val="single" w:sz="3" w:space="0" w:color="000000"/>
            </w:tcBorders>
          </w:tcPr>
          <w:p w14:paraId="7BA4CDEE" w14:textId="5222300B" w:rsidR="00777D3E" w:rsidRPr="004903AC" w:rsidRDefault="00777D3E" w:rsidP="008A37E3">
            <w:pPr>
              <w:spacing w:after="0" w:line="240" w:lineRule="auto"/>
              <w:ind w:left="0" w:firstLine="0"/>
              <w:jc w:val="center"/>
              <w:rPr>
                <w:sz w:val="22"/>
                <w:lang w:val="en-US"/>
              </w:rPr>
            </w:pPr>
            <w:r w:rsidRPr="004903AC">
              <w:rPr>
                <w:sz w:val="22"/>
                <w:lang w:val="en-US"/>
              </w:rPr>
              <w:t>0</w:t>
            </w:r>
          </w:p>
        </w:tc>
        <w:tc>
          <w:tcPr>
            <w:tcW w:w="980" w:type="pct"/>
            <w:tcBorders>
              <w:top w:val="single" w:sz="4" w:space="0" w:color="000000"/>
              <w:left w:val="single" w:sz="3" w:space="0" w:color="000000"/>
              <w:bottom w:val="single" w:sz="4" w:space="0" w:color="000000"/>
              <w:right w:val="single" w:sz="4" w:space="0" w:color="000000"/>
            </w:tcBorders>
          </w:tcPr>
          <w:p w14:paraId="7C7D29CE" w14:textId="77777777" w:rsidR="00777D3E" w:rsidRPr="004903AC" w:rsidRDefault="00777D3E" w:rsidP="008A37E3">
            <w:pPr>
              <w:spacing w:after="0" w:line="240" w:lineRule="auto"/>
              <w:ind w:left="0" w:firstLine="0"/>
              <w:jc w:val="center"/>
              <w:rPr>
                <w:sz w:val="22"/>
                <w:lang w:val="en-US"/>
              </w:rPr>
            </w:pPr>
            <w:r w:rsidRPr="004903AC">
              <w:rPr>
                <w:sz w:val="22"/>
                <w:lang w:val="en-US"/>
              </w:rPr>
              <w:t>0</w:t>
            </w:r>
          </w:p>
        </w:tc>
      </w:tr>
      <w:tr w:rsidR="00777D3E" w:rsidRPr="004903AC" w14:paraId="0BB5F71C" w14:textId="77777777" w:rsidTr="00777D3E">
        <w:trPr>
          <w:trHeight w:val="247"/>
        </w:trPr>
        <w:tc>
          <w:tcPr>
            <w:tcW w:w="1179" w:type="pct"/>
            <w:tcBorders>
              <w:top w:val="single" w:sz="4" w:space="0" w:color="000000"/>
              <w:left w:val="single" w:sz="4" w:space="0" w:color="000000"/>
              <w:bottom w:val="single" w:sz="4" w:space="0" w:color="000000"/>
              <w:right w:val="single" w:sz="4" w:space="0" w:color="000000"/>
            </w:tcBorders>
          </w:tcPr>
          <w:p w14:paraId="37D0DA55" w14:textId="3BC66DE5" w:rsidR="00777D3E" w:rsidRPr="004903AC" w:rsidRDefault="00777D3E" w:rsidP="008A37E3">
            <w:pPr>
              <w:spacing w:after="0" w:line="240" w:lineRule="auto"/>
              <w:ind w:left="0" w:firstLine="0"/>
              <w:rPr>
                <w:sz w:val="22"/>
                <w:lang w:val="en-US"/>
              </w:rPr>
            </w:pPr>
            <w:r>
              <w:rPr>
                <w:sz w:val="22"/>
                <w:lang w:val="en-US"/>
              </w:rPr>
              <w:t>Závažné</w:t>
            </w:r>
            <w:r w:rsidRPr="004903AC">
              <w:rPr>
                <w:sz w:val="22"/>
                <w:lang w:val="en-US"/>
              </w:rPr>
              <w:t xml:space="preserve"> + CRNM </w:t>
            </w:r>
          </w:p>
        </w:tc>
        <w:tc>
          <w:tcPr>
            <w:tcW w:w="970" w:type="pct"/>
            <w:tcBorders>
              <w:top w:val="single" w:sz="4" w:space="0" w:color="000000"/>
              <w:left w:val="single" w:sz="4" w:space="0" w:color="000000"/>
              <w:bottom w:val="single" w:sz="4" w:space="0" w:color="000000"/>
              <w:right w:val="single" w:sz="3" w:space="0" w:color="000000"/>
            </w:tcBorders>
          </w:tcPr>
          <w:p w14:paraId="6254B84F" w14:textId="7B6C318E" w:rsidR="00777D3E" w:rsidRPr="004903AC" w:rsidRDefault="00777D3E" w:rsidP="008A37E3">
            <w:pPr>
              <w:spacing w:after="0" w:line="240" w:lineRule="auto"/>
              <w:ind w:left="0" w:firstLine="0"/>
              <w:jc w:val="center"/>
              <w:rPr>
                <w:sz w:val="22"/>
                <w:lang w:val="en-US"/>
              </w:rPr>
            </w:pPr>
            <w:r w:rsidRPr="004903AC">
              <w:rPr>
                <w:sz w:val="22"/>
                <w:lang w:val="en-US"/>
              </w:rPr>
              <w:t>129 (4</w:t>
            </w:r>
            <w:proofErr w:type="gramStart"/>
            <w:r>
              <w:rPr>
                <w:sz w:val="22"/>
                <w:lang w:val="en-US"/>
              </w:rPr>
              <w:t>,</w:t>
            </w:r>
            <w:r w:rsidRPr="004903AC">
              <w:rPr>
                <w:sz w:val="22"/>
                <w:lang w:val="en-US"/>
              </w:rPr>
              <w:t>8</w:t>
            </w:r>
            <w:proofErr w:type="gramEnd"/>
            <w:r w:rsidRPr="004903AC">
              <w:rPr>
                <w:sz w:val="22"/>
                <w:lang w:val="en-US"/>
              </w:rPr>
              <w:t>%)</w:t>
            </w:r>
          </w:p>
        </w:tc>
        <w:tc>
          <w:tcPr>
            <w:tcW w:w="980" w:type="pct"/>
            <w:tcBorders>
              <w:top w:val="single" w:sz="4" w:space="0" w:color="000000"/>
              <w:left w:val="single" w:sz="3" w:space="0" w:color="000000"/>
              <w:bottom w:val="single" w:sz="4" w:space="0" w:color="000000"/>
              <w:right w:val="single" w:sz="3" w:space="0" w:color="000000"/>
            </w:tcBorders>
          </w:tcPr>
          <w:p w14:paraId="672F88D6" w14:textId="00B60EA6" w:rsidR="00777D3E" w:rsidRPr="004903AC" w:rsidRDefault="00777D3E" w:rsidP="008A37E3">
            <w:pPr>
              <w:spacing w:after="0" w:line="240" w:lineRule="auto"/>
              <w:ind w:left="0" w:firstLine="0"/>
              <w:jc w:val="center"/>
              <w:rPr>
                <w:sz w:val="22"/>
                <w:lang w:val="en-US"/>
              </w:rPr>
            </w:pPr>
            <w:r w:rsidRPr="004903AC">
              <w:rPr>
                <w:sz w:val="22"/>
                <w:lang w:val="en-US"/>
              </w:rPr>
              <w:t>134 (5</w:t>
            </w:r>
            <w:proofErr w:type="gramStart"/>
            <w:r>
              <w:rPr>
                <w:sz w:val="22"/>
                <w:lang w:val="en-US"/>
              </w:rPr>
              <w:t>,</w:t>
            </w:r>
            <w:r w:rsidRPr="004903AC">
              <w:rPr>
                <w:sz w:val="22"/>
                <w:lang w:val="en-US"/>
              </w:rPr>
              <w:t>0</w:t>
            </w:r>
            <w:proofErr w:type="gramEnd"/>
            <w:r w:rsidRPr="004903AC">
              <w:rPr>
                <w:sz w:val="22"/>
                <w:lang w:val="en-US"/>
              </w:rPr>
              <w:t>%)</w:t>
            </w:r>
          </w:p>
        </w:tc>
        <w:tc>
          <w:tcPr>
            <w:tcW w:w="891" w:type="pct"/>
            <w:tcBorders>
              <w:top w:val="single" w:sz="4" w:space="0" w:color="000000"/>
              <w:left w:val="single" w:sz="3" w:space="0" w:color="000000"/>
              <w:bottom w:val="single" w:sz="4" w:space="0" w:color="000000"/>
              <w:right w:val="single" w:sz="3" w:space="0" w:color="000000"/>
            </w:tcBorders>
          </w:tcPr>
          <w:p w14:paraId="25A1674A" w14:textId="635CB41E" w:rsidR="00777D3E" w:rsidRPr="004903AC" w:rsidRDefault="00777D3E" w:rsidP="008A37E3">
            <w:pPr>
              <w:spacing w:after="0" w:line="240" w:lineRule="auto"/>
              <w:ind w:left="0" w:firstLine="0"/>
              <w:jc w:val="center"/>
              <w:rPr>
                <w:sz w:val="22"/>
                <w:lang w:val="en-US"/>
              </w:rPr>
            </w:pPr>
            <w:r w:rsidRPr="004903AC">
              <w:rPr>
                <w:sz w:val="22"/>
                <w:lang w:val="en-US"/>
              </w:rPr>
              <w:t>53 (3</w:t>
            </w:r>
            <w:proofErr w:type="gramStart"/>
            <w:r>
              <w:rPr>
                <w:sz w:val="22"/>
                <w:lang w:val="en-US"/>
              </w:rPr>
              <w:t>,</w:t>
            </w:r>
            <w:r w:rsidRPr="004903AC">
              <w:rPr>
                <w:sz w:val="22"/>
                <w:lang w:val="en-US"/>
              </w:rPr>
              <w:t>5</w:t>
            </w:r>
            <w:proofErr w:type="gramEnd"/>
            <w:r w:rsidRPr="004903AC">
              <w:rPr>
                <w:sz w:val="22"/>
                <w:lang w:val="en-US"/>
              </w:rPr>
              <w:t>%)</w:t>
            </w:r>
          </w:p>
        </w:tc>
        <w:tc>
          <w:tcPr>
            <w:tcW w:w="980" w:type="pct"/>
            <w:tcBorders>
              <w:top w:val="single" w:sz="4" w:space="0" w:color="000000"/>
              <w:left w:val="single" w:sz="3" w:space="0" w:color="000000"/>
              <w:bottom w:val="single" w:sz="4" w:space="0" w:color="000000"/>
              <w:right w:val="single" w:sz="4" w:space="0" w:color="000000"/>
            </w:tcBorders>
          </w:tcPr>
          <w:p w14:paraId="3C044ACA" w14:textId="7676DD7B" w:rsidR="00777D3E" w:rsidRPr="004903AC" w:rsidRDefault="00777D3E" w:rsidP="008A37E3">
            <w:pPr>
              <w:spacing w:after="0" w:line="240" w:lineRule="auto"/>
              <w:ind w:left="0" w:firstLine="0"/>
              <w:jc w:val="center"/>
              <w:rPr>
                <w:sz w:val="22"/>
                <w:lang w:val="en-US"/>
              </w:rPr>
            </w:pPr>
            <w:r w:rsidRPr="004903AC">
              <w:rPr>
                <w:sz w:val="22"/>
                <w:lang w:val="en-US"/>
              </w:rPr>
              <w:t>72 (4</w:t>
            </w:r>
            <w:proofErr w:type="gramStart"/>
            <w:r>
              <w:rPr>
                <w:sz w:val="22"/>
                <w:lang w:val="en-US"/>
              </w:rPr>
              <w:t>,</w:t>
            </w:r>
            <w:r w:rsidRPr="004903AC">
              <w:rPr>
                <w:sz w:val="22"/>
                <w:lang w:val="en-US"/>
              </w:rPr>
              <w:t>8</w:t>
            </w:r>
            <w:proofErr w:type="gramEnd"/>
            <w:r w:rsidRPr="004903AC">
              <w:rPr>
                <w:sz w:val="22"/>
                <w:lang w:val="en-US"/>
              </w:rPr>
              <w:t>%)</w:t>
            </w:r>
          </w:p>
        </w:tc>
      </w:tr>
      <w:tr w:rsidR="00777D3E" w:rsidRPr="004903AC" w14:paraId="584321F6" w14:textId="77777777" w:rsidTr="00777D3E">
        <w:trPr>
          <w:trHeight w:val="247"/>
        </w:trPr>
        <w:tc>
          <w:tcPr>
            <w:tcW w:w="1179" w:type="pct"/>
            <w:tcBorders>
              <w:top w:val="single" w:sz="4" w:space="0" w:color="000000"/>
              <w:left w:val="single" w:sz="4" w:space="0" w:color="000000"/>
              <w:bottom w:val="single" w:sz="4" w:space="0" w:color="000000"/>
              <w:right w:val="single" w:sz="4" w:space="0" w:color="000000"/>
            </w:tcBorders>
          </w:tcPr>
          <w:p w14:paraId="5ED5AAD6" w14:textId="5E81138A" w:rsidR="00777D3E" w:rsidRPr="004903AC" w:rsidRDefault="00777D3E" w:rsidP="008A37E3">
            <w:pPr>
              <w:spacing w:after="0" w:line="240" w:lineRule="auto"/>
              <w:ind w:left="0" w:firstLine="0"/>
              <w:rPr>
                <w:sz w:val="22"/>
                <w:lang w:val="en-US"/>
              </w:rPr>
            </w:pPr>
            <w:r>
              <w:rPr>
                <w:sz w:val="22"/>
                <w:lang w:val="en-US"/>
              </w:rPr>
              <w:t>Všetky</w:t>
            </w:r>
            <w:r w:rsidRPr="004903AC">
              <w:rPr>
                <w:sz w:val="22"/>
                <w:lang w:val="en-US"/>
              </w:rPr>
              <w:t xml:space="preserve"> </w:t>
            </w:r>
          </w:p>
        </w:tc>
        <w:tc>
          <w:tcPr>
            <w:tcW w:w="970" w:type="pct"/>
            <w:tcBorders>
              <w:top w:val="single" w:sz="4" w:space="0" w:color="000000"/>
              <w:left w:val="single" w:sz="4" w:space="0" w:color="000000"/>
              <w:bottom w:val="single" w:sz="4" w:space="0" w:color="000000"/>
              <w:right w:val="single" w:sz="3" w:space="0" w:color="000000"/>
            </w:tcBorders>
          </w:tcPr>
          <w:p w14:paraId="4607C063" w14:textId="491BA348" w:rsidR="00777D3E" w:rsidRPr="004903AC" w:rsidRDefault="00777D3E" w:rsidP="008A37E3">
            <w:pPr>
              <w:spacing w:after="0" w:line="240" w:lineRule="auto"/>
              <w:ind w:left="0" w:firstLine="0"/>
              <w:jc w:val="center"/>
              <w:rPr>
                <w:sz w:val="22"/>
                <w:lang w:val="en-US"/>
              </w:rPr>
            </w:pPr>
            <w:r w:rsidRPr="004903AC">
              <w:rPr>
                <w:sz w:val="22"/>
                <w:lang w:val="en-US"/>
              </w:rPr>
              <w:t>313 (11</w:t>
            </w:r>
            <w:proofErr w:type="gramStart"/>
            <w:r>
              <w:rPr>
                <w:sz w:val="22"/>
                <w:lang w:val="en-US"/>
              </w:rPr>
              <w:t>,</w:t>
            </w:r>
            <w:r w:rsidRPr="004903AC">
              <w:rPr>
                <w:sz w:val="22"/>
                <w:lang w:val="en-US"/>
              </w:rPr>
              <w:t>7</w:t>
            </w:r>
            <w:proofErr w:type="gramEnd"/>
            <w:r w:rsidRPr="004903AC">
              <w:rPr>
                <w:sz w:val="22"/>
                <w:lang w:val="en-US"/>
              </w:rPr>
              <w:t>%)</w:t>
            </w:r>
          </w:p>
        </w:tc>
        <w:tc>
          <w:tcPr>
            <w:tcW w:w="980" w:type="pct"/>
            <w:tcBorders>
              <w:top w:val="single" w:sz="4" w:space="0" w:color="000000"/>
              <w:left w:val="single" w:sz="3" w:space="0" w:color="000000"/>
              <w:bottom w:val="single" w:sz="4" w:space="0" w:color="000000"/>
              <w:right w:val="single" w:sz="3" w:space="0" w:color="000000"/>
            </w:tcBorders>
          </w:tcPr>
          <w:p w14:paraId="326C7E57" w14:textId="4453D4B4" w:rsidR="00777D3E" w:rsidRPr="004903AC" w:rsidRDefault="00777D3E" w:rsidP="008A37E3">
            <w:pPr>
              <w:spacing w:after="0" w:line="240" w:lineRule="auto"/>
              <w:ind w:left="0" w:firstLine="0"/>
              <w:jc w:val="center"/>
              <w:rPr>
                <w:sz w:val="22"/>
                <w:lang w:val="en-US"/>
              </w:rPr>
            </w:pPr>
            <w:r w:rsidRPr="004903AC">
              <w:rPr>
                <w:sz w:val="22"/>
                <w:lang w:val="en-US"/>
              </w:rPr>
              <w:t>334 (12</w:t>
            </w:r>
            <w:proofErr w:type="gramStart"/>
            <w:r>
              <w:rPr>
                <w:sz w:val="22"/>
                <w:lang w:val="en-US"/>
              </w:rPr>
              <w:t>,</w:t>
            </w:r>
            <w:r w:rsidRPr="004903AC">
              <w:rPr>
                <w:sz w:val="22"/>
                <w:lang w:val="en-US"/>
              </w:rPr>
              <w:t>6</w:t>
            </w:r>
            <w:proofErr w:type="gramEnd"/>
            <w:r w:rsidRPr="004903AC">
              <w:rPr>
                <w:sz w:val="22"/>
                <w:lang w:val="en-US"/>
              </w:rPr>
              <w:t>%)</w:t>
            </w:r>
          </w:p>
        </w:tc>
        <w:tc>
          <w:tcPr>
            <w:tcW w:w="891" w:type="pct"/>
            <w:tcBorders>
              <w:top w:val="single" w:sz="4" w:space="0" w:color="000000"/>
              <w:left w:val="single" w:sz="3" w:space="0" w:color="000000"/>
              <w:bottom w:val="single" w:sz="4" w:space="0" w:color="000000"/>
              <w:right w:val="single" w:sz="3" w:space="0" w:color="000000"/>
            </w:tcBorders>
          </w:tcPr>
          <w:p w14:paraId="0737AA6C" w14:textId="5F13C52C" w:rsidR="00777D3E" w:rsidRPr="004903AC" w:rsidRDefault="00777D3E" w:rsidP="008A37E3">
            <w:pPr>
              <w:spacing w:after="0" w:line="240" w:lineRule="auto"/>
              <w:ind w:left="0" w:firstLine="0"/>
              <w:jc w:val="center"/>
              <w:rPr>
                <w:sz w:val="22"/>
                <w:lang w:val="en-US"/>
              </w:rPr>
            </w:pPr>
            <w:r w:rsidRPr="004903AC">
              <w:rPr>
                <w:sz w:val="22"/>
                <w:lang w:val="en-US"/>
              </w:rPr>
              <w:t>104 (6</w:t>
            </w:r>
            <w:proofErr w:type="gramStart"/>
            <w:r>
              <w:rPr>
                <w:sz w:val="22"/>
                <w:lang w:val="en-US"/>
              </w:rPr>
              <w:t>,</w:t>
            </w:r>
            <w:r w:rsidRPr="004903AC">
              <w:rPr>
                <w:sz w:val="22"/>
                <w:lang w:val="en-US"/>
              </w:rPr>
              <w:t>9</w:t>
            </w:r>
            <w:proofErr w:type="gramEnd"/>
            <w:r w:rsidRPr="004903AC">
              <w:rPr>
                <w:sz w:val="22"/>
                <w:lang w:val="en-US"/>
              </w:rPr>
              <w:t>%)</w:t>
            </w:r>
          </w:p>
        </w:tc>
        <w:tc>
          <w:tcPr>
            <w:tcW w:w="980" w:type="pct"/>
            <w:tcBorders>
              <w:top w:val="single" w:sz="4" w:space="0" w:color="000000"/>
              <w:left w:val="single" w:sz="3" w:space="0" w:color="000000"/>
              <w:bottom w:val="single" w:sz="4" w:space="0" w:color="000000"/>
              <w:right w:val="single" w:sz="4" w:space="0" w:color="000000"/>
            </w:tcBorders>
          </w:tcPr>
          <w:p w14:paraId="7D91AA67" w14:textId="14800347" w:rsidR="00777D3E" w:rsidRPr="004903AC" w:rsidRDefault="00777D3E" w:rsidP="008A37E3">
            <w:pPr>
              <w:spacing w:after="0" w:line="240" w:lineRule="auto"/>
              <w:ind w:left="0" w:firstLine="0"/>
              <w:jc w:val="center"/>
              <w:rPr>
                <w:sz w:val="22"/>
                <w:lang w:val="en-US"/>
              </w:rPr>
            </w:pPr>
            <w:r w:rsidRPr="004903AC">
              <w:rPr>
                <w:sz w:val="22"/>
                <w:lang w:val="en-US"/>
              </w:rPr>
              <w:t>126 (8</w:t>
            </w:r>
            <w:proofErr w:type="gramStart"/>
            <w:r>
              <w:rPr>
                <w:sz w:val="22"/>
                <w:lang w:val="en-US"/>
              </w:rPr>
              <w:t>,</w:t>
            </w:r>
            <w:r w:rsidRPr="004903AC">
              <w:rPr>
                <w:sz w:val="22"/>
                <w:lang w:val="en-US"/>
              </w:rPr>
              <w:t>4</w:t>
            </w:r>
            <w:proofErr w:type="gramEnd"/>
            <w:r w:rsidRPr="004903AC">
              <w:rPr>
                <w:sz w:val="22"/>
                <w:lang w:val="en-US"/>
              </w:rPr>
              <w:t>%)</w:t>
            </w:r>
          </w:p>
        </w:tc>
      </w:tr>
      <w:tr w:rsidR="00777D3E" w:rsidRPr="004903AC" w14:paraId="539F58E0" w14:textId="77777777" w:rsidTr="00777D3E">
        <w:trPr>
          <w:trHeight w:val="247"/>
        </w:trPr>
        <w:tc>
          <w:tcPr>
            <w:tcW w:w="5000" w:type="pct"/>
            <w:gridSpan w:val="5"/>
            <w:tcBorders>
              <w:top w:val="single" w:sz="4" w:space="0" w:color="000000"/>
              <w:left w:val="single" w:sz="4" w:space="0" w:color="000000"/>
              <w:bottom w:val="single" w:sz="4" w:space="0" w:color="000000"/>
              <w:right w:val="single" w:sz="4" w:space="0" w:color="000000"/>
            </w:tcBorders>
          </w:tcPr>
          <w:p w14:paraId="4C54286A" w14:textId="7C7D5959" w:rsidR="00777D3E" w:rsidRPr="004903AC" w:rsidRDefault="00DE0B64" w:rsidP="00DE0B64">
            <w:pPr>
              <w:spacing w:after="0" w:line="240" w:lineRule="auto"/>
              <w:ind w:left="0" w:firstLine="0"/>
              <w:rPr>
                <w:sz w:val="22"/>
                <w:lang w:val="en-US"/>
              </w:rPr>
            </w:pPr>
            <w:r>
              <w:rPr>
                <w:b/>
                <w:i/>
                <w:sz w:val="22"/>
                <w:lang w:val="en-US"/>
              </w:rPr>
              <w:t>Pooperačné obdobie liečby</w:t>
            </w:r>
            <w:r>
              <w:rPr>
                <w:b/>
                <w:i/>
                <w:sz w:val="22"/>
                <w:vertAlign w:val="superscript"/>
                <w:lang w:val="en-US"/>
              </w:rPr>
              <w:t>2</w:t>
            </w:r>
          </w:p>
        </w:tc>
      </w:tr>
      <w:tr w:rsidR="00777D3E" w:rsidRPr="004903AC" w14:paraId="55BF9F56" w14:textId="77777777" w:rsidTr="00777D3E">
        <w:trPr>
          <w:trHeight w:val="247"/>
        </w:trPr>
        <w:tc>
          <w:tcPr>
            <w:tcW w:w="1179" w:type="pct"/>
            <w:tcBorders>
              <w:top w:val="single" w:sz="4" w:space="0" w:color="000000"/>
              <w:left w:val="single" w:sz="4" w:space="0" w:color="000000"/>
              <w:bottom w:val="single" w:sz="4" w:space="0" w:color="000000"/>
              <w:right w:val="single" w:sz="4" w:space="0" w:color="000000"/>
            </w:tcBorders>
          </w:tcPr>
          <w:p w14:paraId="138DC51D" w14:textId="2453EB6C" w:rsidR="00777D3E" w:rsidRPr="004903AC" w:rsidRDefault="00777D3E" w:rsidP="008A37E3">
            <w:pPr>
              <w:spacing w:after="0" w:line="240" w:lineRule="auto"/>
              <w:ind w:left="0" w:firstLine="0"/>
              <w:rPr>
                <w:sz w:val="22"/>
                <w:lang w:val="en-US"/>
              </w:rPr>
            </w:pPr>
            <w:r>
              <w:rPr>
                <w:sz w:val="22"/>
                <w:lang w:val="en-US"/>
              </w:rPr>
              <w:t>Závažné</w:t>
            </w:r>
            <w:r w:rsidRPr="004903AC">
              <w:rPr>
                <w:sz w:val="22"/>
                <w:lang w:val="en-US"/>
              </w:rPr>
              <w:t xml:space="preserve"> </w:t>
            </w:r>
          </w:p>
        </w:tc>
        <w:tc>
          <w:tcPr>
            <w:tcW w:w="970" w:type="pct"/>
            <w:tcBorders>
              <w:top w:val="single" w:sz="4" w:space="0" w:color="000000"/>
              <w:left w:val="single" w:sz="4" w:space="0" w:color="000000"/>
              <w:bottom w:val="single" w:sz="4" w:space="0" w:color="000000"/>
              <w:right w:val="single" w:sz="3" w:space="0" w:color="000000"/>
            </w:tcBorders>
          </w:tcPr>
          <w:p w14:paraId="40CF96CB" w14:textId="408006E3" w:rsidR="00777D3E" w:rsidRPr="004903AC" w:rsidRDefault="00777D3E" w:rsidP="008A37E3">
            <w:pPr>
              <w:spacing w:after="0" w:line="240" w:lineRule="auto"/>
              <w:ind w:left="0" w:firstLine="0"/>
              <w:jc w:val="center"/>
              <w:rPr>
                <w:sz w:val="22"/>
                <w:lang w:val="en-US"/>
              </w:rPr>
            </w:pPr>
            <w:r w:rsidRPr="004903AC">
              <w:rPr>
                <w:sz w:val="22"/>
                <w:lang w:val="en-US"/>
              </w:rPr>
              <w:t>9 (0</w:t>
            </w:r>
            <w:proofErr w:type="gramStart"/>
            <w:r>
              <w:rPr>
                <w:sz w:val="22"/>
                <w:lang w:val="en-US"/>
              </w:rPr>
              <w:t>,</w:t>
            </w:r>
            <w:r w:rsidRPr="004903AC">
              <w:rPr>
                <w:sz w:val="22"/>
                <w:lang w:val="en-US"/>
              </w:rPr>
              <w:t>3</w:t>
            </w:r>
            <w:proofErr w:type="gramEnd"/>
            <w:r w:rsidRPr="004903AC">
              <w:rPr>
                <w:sz w:val="22"/>
                <w:lang w:val="en-US"/>
              </w:rPr>
              <w:t>%)</w:t>
            </w:r>
          </w:p>
        </w:tc>
        <w:tc>
          <w:tcPr>
            <w:tcW w:w="980" w:type="pct"/>
            <w:tcBorders>
              <w:top w:val="single" w:sz="4" w:space="0" w:color="000000"/>
              <w:left w:val="single" w:sz="3" w:space="0" w:color="000000"/>
              <w:bottom w:val="single" w:sz="4" w:space="0" w:color="000000"/>
              <w:right w:val="single" w:sz="3" w:space="0" w:color="000000"/>
            </w:tcBorders>
          </w:tcPr>
          <w:p w14:paraId="76D8B87E" w14:textId="0A9502F1" w:rsidR="00777D3E" w:rsidRPr="004903AC" w:rsidRDefault="00777D3E" w:rsidP="008A37E3">
            <w:pPr>
              <w:spacing w:after="0" w:line="240" w:lineRule="auto"/>
              <w:ind w:left="0" w:firstLine="0"/>
              <w:jc w:val="center"/>
              <w:rPr>
                <w:sz w:val="22"/>
                <w:lang w:val="en-US"/>
              </w:rPr>
            </w:pPr>
            <w:r w:rsidRPr="004903AC">
              <w:rPr>
                <w:sz w:val="22"/>
                <w:lang w:val="en-US"/>
              </w:rPr>
              <w:t>11 (0</w:t>
            </w:r>
            <w:proofErr w:type="gramStart"/>
            <w:r>
              <w:rPr>
                <w:sz w:val="22"/>
                <w:lang w:val="en-US"/>
              </w:rPr>
              <w:t>,</w:t>
            </w:r>
            <w:r w:rsidRPr="004903AC">
              <w:rPr>
                <w:sz w:val="22"/>
                <w:lang w:val="en-US"/>
              </w:rPr>
              <w:t>4</w:t>
            </w:r>
            <w:proofErr w:type="gramEnd"/>
            <w:r w:rsidRPr="004903AC">
              <w:rPr>
                <w:sz w:val="22"/>
                <w:lang w:val="en-US"/>
              </w:rPr>
              <w:t>%)</w:t>
            </w:r>
          </w:p>
        </w:tc>
        <w:tc>
          <w:tcPr>
            <w:tcW w:w="891" w:type="pct"/>
            <w:tcBorders>
              <w:top w:val="single" w:sz="4" w:space="0" w:color="000000"/>
              <w:left w:val="single" w:sz="3" w:space="0" w:color="000000"/>
              <w:bottom w:val="single" w:sz="4" w:space="0" w:color="000000"/>
              <w:right w:val="single" w:sz="3" w:space="0" w:color="000000"/>
            </w:tcBorders>
          </w:tcPr>
          <w:p w14:paraId="732AB64D" w14:textId="119E8E2D" w:rsidR="00777D3E" w:rsidRPr="004903AC" w:rsidRDefault="00777D3E" w:rsidP="008A37E3">
            <w:pPr>
              <w:spacing w:after="0" w:line="240" w:lineRule="auto"/>
              <w:ind w:left="0" w:firstLine="0"/>
              <w:jc w:val="center"/>
              <w:rPr>
                <w:sz w:val="22"/>
                <w:lang w:val="en-US"/>
              </w:rPr>
            </w:pPr>
            <w:r w:rsidRPr="004903AC">
              <w:rPr>
                <w:sz w:val="22"/>
                <w:lang w:val="en-US"/>
              </w:rPr>
              <w:t>4 (0</w:t>
            </w:r>
            <w:proofErr w:type="gramStart"/>
            <w:r>
              <w:rPr>
                <w:sz w:val="22"/>
                <w:lang w:val="en-US"/>
              </w:rPr>
              <w:t>,</w:t>
            </w:r>
            <w:r w:rsidRPr="004903AC">
              <w:rPr>
                <w:sz w:val="22"/>
                <w:lang w:val="en-US"/>
              </w:rPr>
              <w:t>3</w:t>
            </w:r>
            <w:proofErr w:type="gramEnd"/>
            <w:r w:rsidRPr="004903AC">
              <w:rPr>
                <w:sz w:val="22"/>
                <w:lang w:val="en-US"/>
              </w:rPr>
              <w:t>%)</w:t>
            </w:r>
          </w:p>
        </w:tc>
        <w:tc>
          <w:tcPr>
            <w:tcW w:w="980" w:type="pct"/>
            <w:tcBorders>
              <w:top w:val="single" w:sz="4" w:space="0" w:color="000000"/>
              <w:left w:val="single" w:sz="3" w:space="0" w:color="000000"/>
              <w:bottom w:val="single" w:sz="4" w:space="0" w:color="000000"/>
              <w:right w:val="single" w:sz="4" w:space="0" w:color="000000"/>
            </w:tcBorders>
          </w:tcPr>
          <w:p w14:paraId="48A0A3FB" w14:textId="0AC117C9" w:rsidR="00777D3E" w:rsidRPr="004903AC" w:rsidRDefault="00777D3E" w:rsidP="008A37E3">
            <w:pPr>
              <w:spacing w:after="0" w:line="240" w:lineRule="auto"/>
              <w:ind w:left="0" w:firstLine="0"/>
              <w:jc w:val="center"/>
              <w:rPr>
                <w:sz w:val="22"/>
                <w:lang w:val="en-US"/>
              </w:rPr>
            </w:pPr>
            <w:r w:rsidRPr="004903AC">
              <w:rPr>
                <w:sz w:val="22"/>
                <w:lang w:val="en-US"/>
              </w:rPr>
              <w:t>9 (0</w:t>
            </w:r>
            <w:proofErr w:type="gramStart"/>
            <w:r>
              <w:rPr>
                <w:sz w:val="22"/>
                <w:lang w:val="en-US"/>
              </w:rPr>
              <w:t>,</w:t>
            </w:r>
            <w:r w:rsidRPr="004903AC">
              <w:rPr>
                <w:sz w:val="22"/>
                <w:lang w:val="en-US"/>
              </w:rPr>
              <w:t>6</w:t>
            </w:r>
            <w:proofErr w:type="gramEnd"/>
            <w:r w:rsidRPr="004903AC">
              <w:rPr>
                <w:sz w:val="22"/>
                <w:lang w:val="en-US"/>
              </w:rPr>
              <w:t>%)</w:t>
            </w:r>
          </w:p>
        </w:tc>
      </w:tr>
      <w:tr w:rsidR="00777D3E" w:rsidRPr="004903AC" w14:paraId="3E2DA86E" w14:textId="77777777" w:rsidTr="00777D3E">
        <w:trPr>
          <w:trHeight w:val="247"/>
        </w:trPr>
        <w:tc>
          <w:tcPr>
            <w:tcW w:w="1179" w:type="pct"/>
            <w:tcBorders>
              <w:top w:val="single" w:sz="4" w:space="0" w:color="000000"/>
              <w:left w:val="single" w:sz="4" w:space="0" w:color="000000"/>
              <w:bottom w:val="single" w:sz="4" w:space="0" w:color="000000"/>
              <w:right w:val="single" w:sz="4" w:space="0" w:color="000000"/>
            </w:tcBorders>
          </w:tcPr>
          <w:p w14:paraId="33508733" w14:textId="0DB4535F" w:rsidR="00777D3E" w:rsidRPr="004903AC" w:rsidRDefault="00777D3E" w:rsidP="008A37E3">
            <w:pPr>
              <w:spacing w:after="0" w:line="240" w:lineRule="auto"/>
              <w:ind w:left="0" w:firstLine="0"/>
              <w:rPr>
                <w:sz w:val="22"/>
                <w:lang w:val="en-US"/>
              </w:rPr>
            </w:pPr>
            <w:r>
              <w:rPr>
                <w:sz w:val="22"/>
                <w:lang w:val="en-US"/>
              </w:rPr>
              <w:t>Fatálne</w:t>
            </w:r>
            <w:r w:rsidRPr="004903AC">
              <w:rPr>
                <w:sz w:val="22"/>
                <w:lang w:val="en-US"/>
              </w:rPr>
              <w:t xml:space="preserve"> </w:t>
            </w:r>
          </w:p>
        </w:tc>
        <w:tc>
          <w:tcPr>
            <w:tcW w:w="970" w:type="pct"/>
            <w:tcBorders>
              <w:top w:val="single" w:sz="4" w:space="0" w:color="000000"/>
              <w:left w:val="single" w:sz="4" w:space="0" w:color="000000"/>
              <w:bottom w:val="single" w:sz="4" w:space="0" w:color="000000"/>
              <w:right w:val="single" w:sz="3" w:space="0" w:color="000000"/>
            </w:tcBorders>
          </w:tcPr>
          <w:p w14:paraId="335F8B04" w14:textId="77777777" w:rsidR="00777D3E" w:rsidRPr="004903AC" w:rsidRDefault="00777D3E" w:rsidP="008A37E3">
            <w:pPr>
              <w:spacing w:after="0" w:line="240" w:lineRule="auto"/>
              <w:ind w:left="0" w:firstLine="0"/>
              <w:jc w:val="center"/>
              <w:rPr>
                <w:sz w:val="22"/>
                <w:lang w:val="en-US"/>
              </w:rPr>
            </w:pPr>
            <w:r w:rsidRPr="004903AC">
              <w:rPr>
                <w:sz w:val="22"/>
                <w:lang w:val="en-US"/>
              </w:rPr>
              <w:t>0</w:t>
            </w:r>
          </w:p>
        </w:tc>
        <w:tc>
          <w:tcPr>
            <w:tcW w:w="980" w:type="pct"/>
            <w:tcBorders>
              <w:top w:val="single" w:sz="4" w:space="0" w:color="000000"/>
              <w:left w:val="single" w:sz="3" w:space="0" w:color="000000"/>
              <w:bottom w:val="single" w:sz="4" w:space="0" w:color="000000"/>
              <w:right w:val="single" w:sz="3" w:space="0" w:color="000000"/>
            </w:tcBorders>
          </w:tcPr>
          <w:p w14:paraId="7364E9F9" w14:textId="77777777" w:rsidR="00777D3E" w:rsidRPr="004903AC" w:rsidRDefault="00777D3E" w:rsidP="008A37E3">
            <w:pPr>
              <w:spacing w:after="0" w:line="240" w:lineRule="auto"/>
              <w:ind w:left="0" w:firstLine="0"/>
              <w:jc w:val="center"/>
              <w:rPr>
                <w:sz w:val="22"/>
                <w:lang w:val="en-US"/>
              </w:rPr>
            </w:pPr>
            <w:r w:rsidRPr="004903AC">
              <w:rPr>
                <w:sz w:val="22"/>
                <w:lang w:val="en-US"/>
              </w:rPr>
              <w:t>0</w:t>
            </w:r>
          </w:p>
        </w:tc>
        <w:tc>
          <w:tcPr>
            <w:tcW w:w="891" w:type="pct"/>
            <w:tcBorders>
              <w:top w:val="single" w:sz="4" w:space="0" w:color="000000"/>
              <w:left w:val="single" w:sz="3" w:space="0" w:color="000000"/>
              <w:bottom w:val="single" w:sz="4" w:space="0" w:color="000000"/>
              <w:right w:val="single" w:sz="3" w:space="0" w:color="000000"/>
            </w:tcBorders>
          </w:tcPr>
          <w:p w14:paraId="0170E747" w14:textId="7A8AE258" w:rsidR="00777D3E" w:rsidRPr="004903AC" w:rsidRDefault="00777D3E" w:rsidP="008A37E3">
            <w:pPr>
              <w:spacing w:after="0" w:line="240" w:lineRule="auto"/>
              <w:ind w:left="0" w:firstLine="0"/>
              <w:jc w:val="center"/>
              <w:rPr>
                <w:sz w:val="22"/>
                <w:lang w:val="en-US"/>
              </w:rPr>
            </w:pPr>
            <w:r w:rsidRPr="004903AC">
              <w:rPr>
                <w:sz w:val="22"/>
                <w:lang w:val="en-US"/>
              </w:rPr>
              <w:t>0</w:t>
            </w:r>
          </w:p>
        </w:tc>
        <w:tc>
          <w:tcPr>
            <w:tcW w:w="980" w:type="pct"/>
            <w:tcBorders>
              <w:top w:val="single" w:sz="4" w:space="0" w:color="000000"/>
              <w:left w:val="single" w:sz="3" w:space="0" w:color="000000"/>
              <w:bottom w:val="single" w:sz="4" w:space="0" w:color="000000"/>
              <w:right w:val="single" w:sz="4" w:space="0" w:color="000000"/>
            </w:tcBorders>
          </w:tcPr>
          <w:p w14:paraId="63653EF8" w14:textId="77777777" w:rsidR="00777D3E" w:rsidRPr="004903AC" w:rsidRDefault="00777D3E" w:rsidP="008A37E3">
            <w:pPr>
              <w:spacing w:after="0" w:line="240" w:lineRule="auto"/>
              <w:ind w:left="0" w:firstLine="0"/>
              <w:jc w:val="center"/>
              <w:rPr>
                <w:sz w:val="22"/>
                <w:lang w:val="en-US"/>
              </w:rPr>
            </w:pPr>
            <w:r w:rsidRPr="004903AC">
              <w:rPr>
                <w:sz w:val="22"/>
                <w:lang w:val="en-US"/>
              </w:rPr>
              <w:t>0</w:t>
            </w:r>
          </w:p>
        </w:tc>
      </w:tr>
      <w:tr w:rsidR="00777D3E" w:rsidRPr="004903AC" w14:paraId="51EA7C56" w14:textId="77777777" w:rsidTr="00777D3E">
        <w:trPr>
          <w:trHeight w:val="247"/>
        </w:trPr>
        <w:tc>
          <w:tcPr>
            <w:tcW w:w="1179" w:type="pct"/>
            <w:tcBorders>
              <w:top w:val="single" w:sz="4" w:space="0" w:color="000000"/>
              <w:left w:val="single" w:sz="4" w:space="0" w:color="000000"/>
              <w:bottom w:val="single" w:sz="4" w:space="0" w:color="000000"/>
              <w:right w:val="single" w:sz="4" w:space="0" w:color="000000"/>
            </w:tcBorders>
          </w:tcPr>
          <w:p w14:paraId="78A35E52" w14:textId="690E6F57" w:rsidR="00777D3E" w:rsidRPr="004903AC" w:rsidRDefault="00777D3E" w:rsidP="008A37E3">
            <w:pPr>
              <w:spacing w:after="0" w:line="240" w:lineRule="auto"/>
              <w:ind w:left="0" w:firstLine="0"/>
              <w:rPr>
                <w:sz w:val="22"/>
                <w:lang w:val="en-US"/>
              </w:rPr>
            </w:pPr>
            <w:r>
              <w:rPr>
                <w:sz w:val="22"/>
                <w:lang w:val="en-US"/>
              </w:rPr>
              <w:t>Závažné</w:t>
            </w:r>
            <w:r w:rsidRPr="004903AC">
              <w:rPr>
                <w:sz w:val="22"/>
                <w:lang w:val="en-US"/>
              </w:rPr>
              <w:t xml:space="preserve"> + CRNM </w:t>
            </w:r>
          </w:p>
        </w:tc>
        <w:tc>
          <w:tcPr>
            <w:tcW w:w="970" w:type="pct"/>
            <w:tcBorders>
              <w:top w:val="single" w:sz="4" w:space="0" w:color="000000"/>
              <w:left w:val="single" w:sz="4" w:space="0" w:color="000000"/>
              <w:bottom w:val="single" w:sz="4" w:space="0" w:color="000000"/>
              <w:right w:val="single" w:sz="3" w:space="0" w:color="000000"/>
            </w:tcBorders>
          </w:tcPr>
          <w:p w14:paraId="2E66723E" w14:textId="2CBA3FC7" w:rsidR="00777D3E" w:rsidRPr="004903AC" w:rsidRDefault="00777D3E" w:rsidP="008A37E3">
            <w:pPr>
              <w:spacing w:after="0" w:line="240" w:lineRule="auto"/>
              <w:ind w:left="0" w:firstLine="0"/>
              <w:jc w:val="center"/>
              <w:rPr>
                <w:sz w:val="22"/>
                <w:lang w:val="en-US"/>
              </w:rPr>
            </w:pPr>
            <w:r w:rsidRPr="004903AC">
              <w:rPr>
                <w:sz w:val="22"/>
                <w:lang w:val="en-US"/>
              </w:rPr>
              <w:t>96 (3</w:t>
            </w:r>
            <w:proofErr w:type="gramStart"/>
            <w:r>
              <w:rPr>
                <w:sz w:val="22"/>
                <w:lang w:val="en-US"/>
              </w:rPr>
              <w:t>,</w:t>
            </w:r>
            <w:r w:rsidRPr="004903AC">
              <w:rPr>
                <w:sz w:val="22"/>
                <w:lang w:val="en-US"/>
              </w:rPr>
              <w:t>6</w:t>
            </w:r>
            <w:proofErr w:type="gramEnd"/>
            <w:r w:rsidRPr="004903AC">
              <w:rPr>
                <w:sz w:val="22"/>
                <w:lang w:val="en-US"/>
              </w:rPr>
              <w:t>%)</w:t>
            </w:r>
          </w:p>
        </w:tc>
        <w:tc>
          <w:tcPr>
            <w:tcW w:w="980" w:type="pct"/>
            <w:tcBorders>
              <w:top w:val="single" w:sz="4" w:space="0" w:color="000000"/>
              <w:left w:val="single" w:sz="3" w:space="0" w:color="000000"/>
              <w:bottom w:val="single" w:sz="4" w:space="0" w:color="000000"/>
              <w:right w:val="single" w:sz="3" w:space="0" w:color="000000"/>
            </w:tcBorders>
          </w:tcPr>
          <w:p w14:paraId="2B397124" w14:textId="002D9342" w:rsidR="00777D3E" w:rsidRPr="004903AC" w:rsidRDefault="00777D3E" w:rsidP="008A37E3">
            <w:pPr>
              <w:spacing w:after="0" w:line="240" w:lineRule="auto"/>
              <w:ind w:left="0" w:firstLine="0"/>
              <w:jc w:val="center"/>
              <w:rPr>
                <w:sz w:val="22"/>
                <w:lang w:val="en-US"/>
              </w:rPr>
            </w:pPr>
            <w:r w:rsidRPr="004903AC">
              <w:rPr>
                <w:sz w:val="22"/>
                <w:lang w:val="en-US"/>
              </w:rPr>
              <w:t>115 (4</w:t>
            </w:r>
            <w:proofErr w:type="gramStart"/>
            <w:r>
              <w:rPr>
                <w:sz w:val="22"/>
                <w:lang w:val="en-US"/>
              </w:rPr>
              <w:t>,</w:t>
            </w:r>
            <w:r w:rsidRPr="004903AC">
              <w:rPr>
                <w:sz w:val="22"/>
                <w:lang w:val="en-US"/>
              </w:rPr>
              <w:t>3</w:t>
            </w:r>
            <w:proofErr w:type="gramEnd"/>
            <w:r w:rsidRPr="004903AC">
              <w:rPr>
                <w:sz w:val="22"/>
                <w:lang w:val="en-US"/>
              </w:rPr>
              <w:t>%)</w:t>
            </w:r>
          </w:p>
        </w:tc>
        <w:tc>
          <w:tcPr>
            <w:tcW w:w="891" w:type="pct"/>
            <w:tcBorders>
              <w:top w:val="single" w:sz="4" w:space="0" w:color="000000"/>
              <w:left w:val="single" w:sz="3" w:space="0" w:color="000000"/>
              <w:bottom w:val="single" w:sz="4" w:space="0" w:color="000000"/>
              <w:right w:val="single" w:sz="3" w:space="0" w:color="000000"/>
            </w:tcBorders>
          </w:tcPr>
          <w:p w14:paraId="55B649E5" w14:textId="6F76F5E8" w:rsidR="00777D3E" w:rsidRPr="004903AC" w:rsidRDefault="00777D3E" w:rsidP="008A37E3">
            <w:pPr>
              <w:spacing w:after="0" w:line="240" w:lineRule="auto"/>
              <w:ind w:left="0" w:firstLine="0"/>
              <w:jc w:val="center"/>
              <w:rPr>
                <w:sz w:val="22"/>
                <w:lang w:val="en-US"/>
              </w:rPr>
            </w:pPr>
            <w:r w:rsidRPr="004903AC">
              <w:rPr>
                <w:sz w:val="22"/>
                <w:lang w:val="en-US"/>
              </w:rPr>
              <w:t>41 (2</w:t>
            </w:r>
            <w:proofErr w:type="gramStart"/>
            <w:r>
              <w:rPr>
                <w:sz w:val="22"/>
                <w:lang w:val="en-US"/>
              </w:rPr>
              <w:t>,</w:t>
            </w:r>
            <w:r w:rsidRPr="004903AC">
              <w:rPr>
                <w:sz w:val="22"/>
                <w:lang w:val="en-US"/>
              </w:rPr>
              <w:t>7</w:t>
            </w:r>
            <w:proofErr w:type="gramEnd"/>
            <w:r w:rsidRPr="004903AC">
              <w:rPr>
                <w:sz w:val="22"/>
                <w:lang w:val="en-US"/>
              </w:rPr>
              <w:t>%)</w:t>
            </w:r>
          </w:p>
        </w:tc>
        <w:tc>
          <w:tcPr>
            <w:tcW w:w="980" w:type="pct"/>
            <w:tcBorders>
              <w:top w:val="single" w:sz="4" w:space="0" w:color="000000"/>
              <w:left w:val="single" w:sz="3" w:space="0" w:color="000000"/>
              <w:bottom w:val="single" w:sz="4" w:space="0" w:color="000000"/>
              <w:right w:val="single" w:sz="4" w:space="0" w:color="000000"/>
            </w:tcBorders>
          </w:tcPr>
          <w:p w14:paraId="4D3DAB89" w14:textId="41C4C88F" w:rsidR="00777D3E" w:rsidRPr="004903AC" w:rsidRDefault="00777D3E" w:rsidP="008A37E3">
            <w:pPr>
              <w:spacing w:after="0" w:line="240" w:lineRule="auto"/>
              <w:ind w:left="0" w:firstLine="0"/>
              <w:jc w:val="center"/>
              <w:rPr>
                <w:sz w:val="22"/>
                <w:lang w:val="en-US"/>
              </w:rPr>
            </w:pPr>
            <w:r w:rsidRPr="004903AC">
              <w:rPr>
                <w:sz w:val="22"/>
                <w:lang w:val="en-US"/>
              </w:rPr>
              <w:t>56 (3</w:t>
            </w:r>
            <w:proofErr w:type="gramStart"/>
            <w:r>
              <w:rPr>
                <w:sz w:val="22"/>
                <w:lang w:val="en-US"/>
              </w:rPr>
              <w:t>,</w:t>
            </w:r>
            <w:r w:rsidRPr="004903AC">
              <w:rPr>
                <w:sz w:val="22"/>
                <w:lang w:val="en-US"/>
              </w:rPr>
              <w:t>7</w:t>
            </w:r>
            <w:proofErr w:type="gramEnd"/>
            <w:r w:rsidRPr="004903AC">
              <w:rPr>
                <w:sz w:val="22"/>
                <w:lang w:val="en-US"/>
              </w:rPr>
              <w:t>%)</w:t>
            </w:r>
          </w:p>
        </w:tc>
      </w:tr>
      <w:tr w:rsidR="00777D3E" w:rsidRPr="004903AC" w14:paraId="6DA58EAC" w14:textId="77777777" w:rsidTr="00777D3E">
        <w:trPr>
          <w:trHeight w:val="248"/>
        </w:trPr>
        <w:tc>
          <w:tcPr>
            <w:tcW w:w="1179" w:type="pct"/>
            <w:tcBorders>
              <w:top w:val="single" w:sz="4" w:space="0" w:color="000000"/>
              <w:left w:val="single" w:sz="4" w:space="0" w:color="000000"/>
              <w:bottom w:val="single" w:sz="4" w:space="0" w:color="000000"/>
              <w:right w:val="single" w:sz="4" w:space="0" w:color="000000"/>
            </w:tcBorders>
          </w:tcPr>
          <w:p w14:paraId="2BB0D9B8" w14:textId="1200297E" w:rsidR="00777D3E" w:rsidRPr="004903AC" w:rsidRDefault="00777D3E" w:rsidP="008A37E3">
            <w:pPr>
              <w:spacing w:after="0" w:line="240" w:lineRule="auto"/>
              <w:ind w:left="0" w:firstLine="0"/>
              <w:rPr>
                <w:sz w:val="22"/>
                <w:lang w:val="en-US"/>
              </w:rPr>
            </w:pPr>
            <w:r>
              <w:rPr>
                <w:sz w:val="22"/>
                <w:lang w:val="en-US"/>
              </w:rPr>
              <w:t>Všetky</w:t>
            </w:r>
            <w:r w:rsidRPr="004903AC">
              <w:rPr>
                <w:sz w:val="22"/>
                <w:lang w:val="en-US"/>
              </w:rPr>
              <w:t xml:space="preserve"> </w:t>
            </w:r>
          </w:p>
        </w:tc>
        <w:tc>
          <w:tcPr>
            <w:tcW w:w="970" w:type="pct"/>
            <w:tcBorders>
              <w:top w:val="single" w:sz="4" w:space="0" w:color="000000"/>
              <w:left w:val="single" w:sz="4" w:space="0" w:color="000000"/>
              <w:bottom w:val="single" w:sz="4" w:space="0" w:color="000000"/>
              <w:right w:val="single" w:sz="3" w:space="0" w:color="000000"/>
            </w:tcBorders>
          </w:tcPr>
          <w:p w14:paraId="3A9D1F97" w14:textId="354EE0CE" w:rsidR="00777D3E" w:rsidRPr="004903AC" w:rsidRDefault="00777D3E" w:rsidP="008A37E3">
            <w:pPr>
              <w:spacing w:after="0" w:line="240" w:lineRule="auto"/>
              <w:ind w:left="0" w:firstLine="0"/>
              <w:jc w:val="center"/>
              <w:rPr>
                <w:sz w:val="22"/>
                <w:lang w:val="en-US"/>
              </w:rPr>
            </w:pPr>
            <w:r w:rsidRPr="004903AC">
              <w:rPr>
                <w:sz w:val="22"/>
                <w:lang w:val="en-US"/>
              </w:rPr>
              <w:t>261 (9</w:t>
            </w:r>
            <w:proofErr w:type="gramStart"/>
            <w:r>
              <w:rPr>
                <w:sz w:val="22"/>
                <w:lang w:val="en-US"/>
              </w:rPr>
              <w:t>,</w:t>
            </w:r>
            <w:r w:rsidRPr="004903AC">
              <w:rPr>
                <w:sz w:val="22"/>
                <w:lang w:val="en-US"/>
              </w:rPr>
              <w:t>8</w:t>
            </w:r>
            <w:proofErr w:type="gramEnd"/>
            <w:r w:rsidRPr="004903AC">
              <w:rPr>
                <w:sz w:val="22"/>
                <w:lang w:val="en-US"/>
              </w:rPr>
              <w:t>%)</w:t>
            </w:r>
          </w:p>
        </w:tc>
        <w:tc>
          <w:tcPr>
            <w:tcW w:w="980" w:type="pct"/>
            <w:tcBorders>
              <w:top w:val="single" w:sz="4" w:space="0" w:color="000000"/>
              <w:left w:val="single" w:sz="3" w:space="0" w:color="000000"/>
              <w:bottom w:val="single" w:sz="4" w:space="0" w:color="000000"/>
              <w:right w:val="single" w:sz="3" w:space="0" w:color="000000"/>
            </w:tcBorders>
          </w:tcPr>
          <w:p w14:paraId="38D1C317" w14:textId="2E1303EC" w:rsidR="00777D3E" w:rsidRPr="004903AC" w:rsidRDefault="00777D3E" w:rsidP="008A37E3">
            <w:pPr>
              <w:spacing w:after="0" w:line="240" w:lineRule="auto"/>
              <w:ind w:left="0" w:firstLine="0"/>
              <w:jc w:val="center"/>
              <w:rPr>
                <w:sz w:val="22"/>
                <w:lang w:val="en-US"/>
              </w:rPr>
            </w:pPr>
            <w:r w:rsidRPr="004903AC">
              <w:rPr>
                <w:sz w:val="22"/>
                <w:lang w:val="en-US"/>
              </w:rPr>
              <w:t>293 (11</w:t>
            </w:r>
            <w:proofErr w:type="gramStart"/>
            <w:r>
              <w:rPr>
                <w:sz w:val="22"/>
                <w:lang w:val="en-US"/>
              </w:rPr>
              <w:t>,</w:t>
            </w:r>
            <w:r w:rsidRPr="004903AC">
              <w:rPr>
                <w:sz w:val="22"/>
                <w:lang w:val="en-US"/>
              </w:rPr>
              <w:t>0</w:t>
            </w:r>
            <w:proofErr w:type="gramEnd"/>
            <w:r w:rsidRPr="004903AC">
              <w:rPr>
                <w:sz w:val="22"/>
                <w:lang w:val="en-US"/>
              </w:rPr>
              <w:t>%)</w:t>
            </w:r>
          </w:p>
        </w:tc>
        <w:tc>
          <w:tcPr>
            <w:tcW w:w="891" w:type="pct"/>
            <w:tcBorders>
              <w:top w:val="single" w:sz="4" w:space="0" w:color="000000"/>
              <w:left w:val="single" w:sz="3" w:space="0" w:color="000000"/>
              <w:bottom w:val="single" w:sz="4" w:space="0" w:color="000000"/>
              <w:right w:val="single" w:sz="3" w:space="0" w:color="000000"/>
            </w:tcBorders>
          </w:tcPr>
          <w:p w14:paraId="62361E06" w14:textId="2A8A3A58" w:rsidR="00777D3E" w:rsidRPr="004903AC" w:rsidRDefault="00777D3E" w:rsidP="008A37E3">
            <w:pPr>
              <w:spacing w:after="0" w:line="240" w:lineRule="auto"/>
              <w:ind w:left="0" w:firstLine="0"/>
              <w:jc w:val="center"/>
              <w:rPr>
                <w:sz w:val="22"/>
                <w:lang w:val="en-US"/>
              </w:rPr>
            </w:pPr>
            <w:r w:rsidRPr="004903AC">
              <w:rPr>
                <w:sz w:val="22"/>
                <w:lang w:val="en-US"/>
              </w:rPr>
              <w:t>89 (5</w:t>
            </w:r>
            <w:proofErr w:type="gramStart"/>
            <w:r>
              <w:rPr>
                <w:sz w:val="22"/>
                <w:lang w:val="en-US"/>
              </w:rPr>
              <w:t>,</w:t>
            </w:r>
            <w:r w:rsidRPr="004903AC">
              <w:rPr>
                <w:sz w:val="22"/>
                <w:lang w:val="en-US"/>
              </w:rPr>
              <w:t>9</w:t>
            </w:r>
            <w:proofErr w:type="gramEnd"/>
            <w:r w:rsidRPr="004903AC">
              <w:rPr>
                <w:sz w:val="22"/>
                <w:lang w:val="en-US"/>
              </w:rPr>
              <w:t>%)</w:t>
            </w:r>
          </w:p>
        </w:tc>
        <w:tc>
          <w:tcPr>
            <w:tcW w:w="980" w:type="pct"/>
            <w:tcBorders>
              <w:top w:val="single" w:sz="4" w:space="0" w:color="000000"/>
              <w:left w:val="single" w:sz="3" w:space="0" w:color="000000"/>
              <w:bottom w:val="single" w:sz="4" w:space="0" w:color="000000"/>
              <w:right w:val="single" w:sz="4" w:space="0" w:color="000000"/>
            </w:tcBorders>
          </w:tcPr>
          <w:p w14:paraId="512AAFC2" w14:textId="13ED11FF" w:rsidR="00777D3E" w:rsidRPr="004903AC" w:rsidRDefault="00777D3E" w:rsidP="008A37E3">
            <w:pPr>
              <w:spacing w:after="0" w:line="240" w:lineRule="auto"/>
              <w:ind w:left="0" w:firstLine="0"/>
              <w:jc w:val="center"/>
              <w:rPr>
                <w:sz w:val="22"/>
                <w:lang w:val="en-US"/>
              </w:rPr>
            </w:pPr>
            <w:r w:rsidRPr="004903AC">
              <w:rPr>
                <w:sz w:val="22"/>
                <w:lang w:val="en-US"/>
              </w:rPr>
              <w:t>103 (6</w:t>
            </w:r>
            <w:proofErr w:type="gramStart"/>
            <w:r>
              <w:rPr>
                <w:sz w:val="22"/>
                <w:lang w:val="en-US"/>
              </w:rPr>
              <w:t>,</w:t>
            </w:r>
            <w:r w:rsidRPr="004903AC">
              <w:rPr>
                <w:sz w:val="22"/>
                <w:lang w:val="en-US"/>
              </w:rPr>
              <w:t>8</w:t>
            </w:r>
            <w:proofErr w:type="gramEnd"/>
            <w:r w:rsidRPr="004903AC">
              <w:rPr>
                <w:sz w:val="22"/>
                <w:lang w:val="en-US"/>
              </w:rPr>
              <w:t>%)</w:t>
            </w:r>
          </w:p>
        </w:tc>
      </w:tr>
    </w:tbl>
    <w:p w14:paraId="4AB6A91A" w14:textId="77777777" w:rsidR="00605709" w:rsidRDefault="00D56390" w:rsidP="00650FC6">
      <w:pPr>
        <w:keepNext/>
        <w:spacing w:after="0" w:line="240" w:lineRule="auto"/>
        <w:ind w:left="11" w:hanging="11"/>
      </w:pPr>
      <w:r>
        <w:lastRenderedPageBreak/>
        <w:t xml:space="preserve">* Všetky kritériá na hodnotenie krvácania zahŕňali aj krvácanie v mieste zákroku. </w:t>
      </w:r>
    </w:p>
    <w:p w14:paraId="0757FA77" w14:textId="77777777" w:rsidR="00605709" w:rsidRDefault="00D56390" w:rsidP="00650FC6">
      <w:pPr>
        <w:keepNext/>
        <w:spacing w:after="0" w:line="240" w:lineRule="auto"/>
        <w:ind w:left="11" w:hanging="11"/>
      </w:pPr>
      <w:r w:rsidRPr="00EE68B4">
        <w:rPr>
          <w:vertAlign w:val="superscript"/>
        </w:rPr>
        <w:t>1</w:t>
      </w:r>
      <w:r>
        <w:t xml:space="preserve"> Zahŕňa príhody, ktoré sa objavili po prvej dávke enoxaparínu (pred operáciou). </w:t>
      </w:r>
    </w:p>
    <w:p w14:paraId="5462704B" w14:textId="553048CC" w:rsidR="002B3E3E" w:rsidRDefault="00D56390" w:rsidP="00650FC6">
      <w:pPr>
        <w:keepNext/>
        <w:spacing w:after="0" w:line="240" w:lineRule="auto"/>
        <w:ind w:left="11" w:hanging="11"/>
      </w:pPr>
      <w:r w:rsidRPr="00EE68B4">
        <w:rPr>
          <w:vertAlign w:val="superscript"/>
        </w:rPr>
        <w:t>2</w:t>
      </w:r>
      <w:r>
        <w:t xml:space="preserve"> Zahŕňa príhody, ktoré sa objavili po prvej dávke apixabánu (po operácii).</w:t>
      </w:r>
    </w:p>
    <w:p w14:paraId="09DFBE0A" w14:textId="77777777" w:rsidR="00D56390" w:rsidRDefault="00D56390">
      <w:pPr>
        <w:keepNext/>
        <w:spacing w:after="0" w:line="240" w:lineRule="auto"/>
        <w:ind w:left="0" w:hanging="11"/>
      </w:pPr>
    </w:p>
    <w:p w14:paraId="62108900" w14:textId="59A87AE5" w:rsidR="00D56390" w:rsidRPr="00D56390" w:rsidRDefault="00D56390" w:rsidP="00650FC6">
      <w:pPr>
        <w:keepNext/>
        <w:spacing w:after="0" w:line="240" w:lineRule="auto"/>
        <w:ind w:left="11" w:hanging="11"/>
        <w:rPr>
          <w:sz w:val="22"/>
        </w:rPr>
      </w:pPr>
      <w:r w:rsidRPr="00D56390">
        <w:rPr>
          <w:sz w:val="22"/>
        </w:rPr>
        <w:t>Celkový výskyt nežiaducich reakcií, ako krvácanie, anémia,  hlad</w:t>
      </w:r>
      <w:r w:rsidR="000F58DF">
        <w:rPr>
          <w:sz w:val="22"/>
        </w:rPr>
        <w:t>iny</w:t>
      </w:r>
      <w:r w:rsidRPr="00D56390">
        <w:rPr>
          <w:sz w:val="22"/>
        </w:rPr>
        <w:t xml:space="preserve"> transamináz</w:t>
      </w:r>
      <w:r w:rsidR="000F58DF">
        <w:rPr>
          <w:sz w:val="22"/>
        </w:rPr>
        <w:t xml:space="preserve"> mimo normy</w:t>
      </w:r>
      <w:r w:rsidRPr="00D56390">
        <w:rPr>
          <w:sz w:val="22"/>
        </w:rPr>
        <w:t xml:space="preserve"> (napr. hladiny ALT)</w:t>
      </w:r>
      <w:r w:rsidR="000F58DF">
        <w:rPr>
          <w:sz w:val="22"/>
        </w:rPr>
        <w:t>,</w:t>
      </w:r>
      <w:r w:rsidRPr="00D56390">
        <w:rPr>
          <w:sz w:val="22"/>
        </w:rPr>
        <w:t xml:space="preserve"> bol v štúdiách fázy II a III pri elektívnom chirurgickom výkone na nahradenie bedrového alebo kolenného kĺbu u pacientov liečených apixabánom numericky nižš</w:t>
      </w:r>
      <w:r w:rsidR="000F58DF">
        <w:rPr>
          <w:sz w:val="22"/>
        </w:rPr>
        <w:t>í</w:t>
      </w:r>
      <w:r w:rsidRPr="00D56390">
        <w:rPr>
          <w:sz w:val="22"/>
        </w:rPr>
        <w:t xml:space="preserve"> v porovnaní s enoxaparínom. </w:t>
      </w:r>
    </w:p>
    <w:p w14:paraId="45506BB2" w14:textId="77777777" w:rsidR="00D56390" w:rsidRPr="00D56390" w:rsidRDefault="00D56390">
      <w:pPr>
        <w:keepNext/>
        <w:spacing w:after="0" w:line="240" w:lineRule="auto"/>
        <w:ind w:left="0" w:hanging="11"/>
        <w:rPr>
          <w:sz w:val="22"/>
        </w:rPr>
      </w:pPr>
    </w:p>
    <w:p w14:paraId="678A2E18" w14:textId="4D72D976" w:rsidR="00D56390" w:rsidRPr="00D56390" w:rsidRDefault="00D56390" w:rsidP="00650FC6">
      <w:pPr>
        <w:keepNext/>
        <w:spacing w:after="0" w:line="240" w:lineRule="auto"/>
        <w:ind w:left="11" w:hanging="11"/>
        <w:rPr>
          <w:b/>
          <w:sz w:val="22"/>
        </w:rPr>
      </w:pPr>
      <w:r w:rsidRPr="00D56390">
        <w:rPr>
          <w:sz w:val="22"/>
        </w:rPr>
        <w:t>V štúdii s pacientmi absolvujúcimi náhradu kolenného kĺbu sa počas plánovaného obdobia liečby diagnostikovali v skupine s apixabánom 4 príhody PE oproti žiadnemu prípadu v skupine s enoxaparínom. K tomuto vyššiemu počtu PE nemožno poskytnúť žiadne vysvetlenie.</w:t>
      </w:r>
    </w:p>
    <w:p w14:paraId="12B577AB" w14:textId="77777777" w:rsidR="002B3E3E" w:rsidRDefault="002B3E3E">
      <w:pPr>
        <w:keepNext/>
        <w:spacing w:after="0" w:line="240" w:lineRule="auto"/>
        <w:ind w:left="0" w:hanging="11"/>
        <w:rPr>
          <w:i/>
          <w:sz w:val="22"/>
          <w:u w:val="single" w:color="000000"/>
        </w:rPr>
      </w:pPr>
    </w:p>
    <w:p w14:paraId="7002772B" w14:textId="17FE4683" w:rsidR="00884F62" w:rsidRDefault="00D25089" w:rsidP="00650FC6">
      <w:pPr>
        <w:keepNext/>
        <w:spacing w:after="0" w:line="240" w:lineRule="auto"/>
        <w:ind w:left="11" w:hanging="11"/>
        <w:rPr>
          <w:i/>
          <w:sz w:val="22"/>
        </w:rPr>
      </w:pPr>
      <w:r>
        <w:rPr>
          <w:i/>
          <w:sz w:val="22"/>
          <w:u w:val="single" w:color="000000"/>
        </w:rPr>
        <w:t xml:space="preserve">Prevencia </w:t>
      </w:r>
      <w:r w:rsidR="00857692">
        <w:rPr>
          <w:i/>
          <w:sz w:val="22"/>
          <w:u w:val="single" w:color="000000"/>
        </w:rPr>
        <w:t xml:space="preserve">cievnej </w:t>
      </w:r>
      <w:r>
        <w:rPr>
          <w:i/>
          <w:sz w:val="22"/>
          <w:u w:val="single" w:color="000000"/>
        </w:rPr>
        <w:t>mozgovej príhody a systémovej embólie u pacientov s nevalvulárnou fibriláciou predsiení (NVAF)</w:t>
      </w:r>
      <w:r>
        <w:rPr>
          <w:i/>
          <w:sz w:val="22"/>
        </w:rPr>
        <w:t xml:space="preserve"> </w:t>
      </w:r>
    </w:p>
    <w:p w14:paraId="29A29705" w14:textId="10E3CA43" w:rsidR="00B07789" w:rsidRPr="00A731E1" w:rsidRDefault="00D25089" w:rsidP="00650FC6">
      <w:pPr>
        <w:keepNext/>
        <w:spacing w:after="0" w:line="240" w:lineRule="auto"/>
        <w:ind w:left="11" w:hanging="11"/>
        <w:rPr>
          <w:sz w:val="22"/>
        </w:rPr>
      </w:pPr>
      <w:r>
        <w:rPr>
          <w:sz w:val="22"/>
        </w:rPr>
        <w:t xml:space="preserve">Celkovo 23 799 pacientov bolo randomizovaných do klinického programu (ARISTOTLE: porovnanie apixabánu a warfarínu, AVERROES: porovnanie apixabánu a ASA) zahŕňajúceho 11 927 pacientov randomiovaných na apixabán. Program bol navrhnutý na preukázanie účinnosti a bezpečnosti apixabánu na prevenciu </w:t>
      </w:r>
      <w:r w:rsidR="00857692">
        <w:rPr>
          <w:sz w:val="22"/>
        </w:rPr>
        <w:t xml:space="preserve">cievnej </w:t>
      </w:r>
      <w:r>
        <w:rPr>
          <w:sz w:val="22"/>
        </w:rPr>
        <w:t xml:space="preserve">mozgovej príhody a systémovej embólie u pacientov s nevalvulárnou fibriláciou predsiení (NVAF) a s jedným alebo viacerými ďalšími rizikovými faktormi, ako: </w:t>
      </w:r>
    </w:p>
    <w:p w14:paraId="5D8871F5" w14:textId="0DD32870" w:rsidR="00B07789" w:rsidRPr="00A731E1" w:rsidRDefault="00D25089" w:rsidP="002901A4">
      <w:pPr>
        <w:numPr>
          <w:ilvl w:val="0"/>
          <w:numId w:val="9"/>
        </w:numPr>
        <w:spacing w:after="0" w:line="240" w:lineRule="auto"/>
        <w:ind w:hanging="567"/>
        <w:rPr>
          <w:sz w:val="22"/>
        </w:rPr>
      </w:pPr>
      <w:r>
        <w:rPr>
          <w:sz w:val="22"/>
        </w:rPr>
        <w:t xml:space="preserve">predchádzajúca </w:t>
      </w:r>
      <w:r w:rsidR="00857692">
        <w:rPr>
          <w:sz w:val="22"/>
        </w:rPr>
        <w:t xml:space="preserve">cievna </w:t>
      </w:r>
      <w:r>
        <w:rPr>
          <w:sz w:val="22"/>
        </w:rPr>
        <w:t xml:space="preserve">mozgová príhoda alebo prechodný ischemický atak (TIA) </w:t>
      </w:r>
    </w:p>
    <w:p w14:paraId="5688A75C" w14:textId="77777777" w:rsidR="00B07789" w:rsidRPr="00A731E1" w:rsidRDefault="00D25089" w:rsidP="002901A4">
      <w:pPr>
        <w:numPr>
          <w:ilvl w:val="0"/>
          <w:numId w:val="9"/>
        </w:numPr>
        <w:spacing w:after="0" w:line="240" w:lineRule="auto"/>
        <w:ind w:hanging="567"/>
        <w:rPr>
          <w:sz w:val="22"/>
        </w:rPr>
      </w:pPr>
      <w:r>
        <w:rPr>
          <w:sz w:val="22"/>
        </w:rPr>
        <w:t xml:space="preserve">vek ≥ 75 rokov </w:t>
      </w:r>
    </w:p>
    <w:p w14:paraId="538948B7" w14:textId="77777777" w:rsidR="00B07789" w:rsidRPr="00A731E1" w:rsidRDefault="00D25089" w:rsidP="002901A4">
      <w:pPr>
        <w:numPr>
          <w:ilvl w:val="0"/>
          <w:numId w:val="9"/>
        </w:numPr>
        <w:spacing w:after="0" w:line="240" w:lineRule="auto"/>
        <w:ind w:hanging="567"/>
        <w:rPr>
          <w:sz w:val="22"/>
        </w:rPr>
      </w:pPr>
      <w:r>
        <w:rPr>
          <w:sz w:val="22"/>
        </w:rPr>
        <w:t xml:space="preserve">hypertenzia </w:t>
      </w:r>
    </w:p>
    <w:p w14:paraId="54B77B95" w14:textId="77777777" w:rsidR="00B07789" w:rsidRPr="00A731E1" w:rsidRDefault="00D25089" w:rsidP="002901A4">
      <w:pPr>
        <w:numPr>
          <w:ilvl w:val="0"/>
          <w:numId w:val="9"/>
        </w:numPr>
        <w:spacing w:after="0" w:line="240" w:lineRule="auto"/>
        <w:ind w:hanging="567"/>
        <w:rPr>
          <w:sz w:val="22"/>
        </w:rPr>
      </w:pPr>
      <w:r>
        <w:rPr>
          <w:sz w:val="22"/>
        </w:rPr>
        <w:t xml:space="preserve">diabetes mellitus </w:t>
      </w:r>
    </w:p>
    <w:p w14:paraId="1E0CDA93" w14:textId="7C132E78" w:rsidR="00B07789" w:rsidRPr="00A731E1" w:rsidRDefault="00D25089" w:rsidP="002901A4">
      <w:pPr>
        <w:numPr>
          <w:ilvl w:val="0"/>
          <w:numId w:val="9"/>
        </w:numPr>
        <w:spacing w:after="0" w:line="240" w:lineRule="auto"/>
        <w:ind w:hanging="567"/>
        <w:rPr>
          <w:sz w:val="22"/>
        </w:rPr>
      </w:pPr>
      <w:r>
        <w:rPr>
          <w:sz w:val="22"/>
        </w:rPr>
        <w:t>symptomatické zlyh</w:t>
      </w:r>
      <w:r w:rsidR="00857692">
        <w:rPr>
          <w:sz w:val="22"/>
        </w:rPr>
        <w:t>ávanie srdca</w:t>
      </w:r>
      <w:r>
        <w:rPr>
          <w:sz w:val="22"/>
        </w:rPr>
        <w:t xml:space="preserve"> (NYHA trieda ≥ II) </w:t>
      </w:r>
    </w:p>
    <w:p w14:paraId="6E29EBE7" w14:textId="77777777" w:rsidR="00B07789" w:rsidRPr="00A731E1" w:rsidRDefault="00D25089" w:rsidP="00833B71">
      <w:pPr>
        <w:spacing w:after="0" w:line="240" w:lineRule="auto"/>
        <w:ind w:left="0" w:firstLine="0"/>
        <w:rPr>
          <w:sz w:val="22"/>
        </w:rPr>
      </w:pPr>
      <w:r>
        <w:rPr>
          <w:sz w:val="22"/>
        </w:rPr>
        <w:t xml:space="preserve"> </w:t>
      </w:r>
    </w:p>
    <w:p w14:paraId="594BE717" w14:textId="77777777" w:rsidR="00B07789" w:rsidRPr="00A731E1" w:rsidRDefault="00D25089" w:rsidP="00650FC6">
      <w:pPr>
        <w:spacing w:after="0" w:line="240" w:lineRule="auto"/>
        <w:ind w:left="10"/>
        <w:rPr>
          <w:sz w:val="22"/>
        </w:rPr>
      </w:pPr>
      <w:r>
        <w:rPr>
          <w:i/>
          <w:sz w:val="22"/>
          <w:u w:val="single" w:color="000000"/>
        </w:rPr>
        <w:t>ŠTÚDIA ARISTOTLE</w:t>
      </w:r>
      <w:r>
        <w:rPr>
          <w:i/>
          <w:sz w:val="22"/>
        </w:rPr>
        <w:t xml:space="preserve"> </w:t>
      </w:r>
    </w:p>
    <w:p w14:paraId="4FED4608" w14:textId="06EAA3F0" w:rsidR="00B07789" w:rsidRPr="00A731E1" w:rsidRDefault="00D25089" w:rsidP="00650FC6">
      <w:pPr>
        <w:spacing w:after="0" w:line="240" w:lineRule="auto"/>
        <w:ind w:left="10"/>
        <w:rPr>
          <w:sz w:val="22"/>
        </w:rPr>
      </w:pPr>
      <w:r>
        <w:rPr>
          <w:sz w:val="22"/>
        </w:rPr>
        <w:t xml:space="preserve">V štúdii ARISTOTLE bolo celkovo 18 201 pacientov randomizovaných na dvojito zaslepenú liečbu apixabánom v dávke 5 mg dvakrát denne (alebo 2,5 mg dvakrát denne u vybraných pacientov [4,7 %], pozri časť 4.2) alebo warfarínom (cieľový rozsah INR 2,0 – 3,0). Pacienti boli v štúdii vystavení skúmanému liečivu v priemere 20 mesiacov. Priemerný vek bol 69,1 roka, priemerné </w:t>
      </w:r>
      <w:r w:rsidR="00857692">
        <w:rPr>
          <w:sz w:val="22"/>
        </w:rPr>
        <w:t xml:space="preserve">skóre </w:t>
      </w:r>
      <w:r>
        <w:rPr>
          <w:sz w:val="22"/>
        </w:rPr>
        <w:t>CHADS</w:t>
      </w:r>
      <w:r>
        <w:rPr>
          <w:sz w:val="22"/>
          <w:vertAlign w:val="subscript"/>
        </w:rPr>
        <w:t xml:space="preserve">2 </w:t>
      </w:r>
      <w:r>
        <w:rPr>
          <w:sz w:val="22"/>
        </w:rPr>
        <w:t xml:space="preserve">bolo 2,1 a 18,9 % pacientov malo v minulosti </w:t>
      </w:r>
      <w:r w:rsidR="00857692">
        <w:rPr>
          <w:sz w:val="22"/>
        </w:rPr>
        <w:t xml:space="preserve">cievnu </w:t>
      </w:r>
      <w:r>
        <w:rPr>
          <w:sz w:val="22"/>
        </w:rPr>
        <w:t xml:space="preserve">mozgovú príhodu alebo TIA. </w:t>
      </w:r>
    </w:p>
    <w:p w14:paraId="5CA4713A" w14:textId="77777777" w:rsidR="00B07789" w:rsidRPr="00A731E1" w:rsidRDefault="00D25089" w:rsidP="00833B71">
      <w:pPr>
        <w:spacing w:after="0" w:line="240" w:lineRule="auto"/>
        <w:ind w:left="0" w:firstLine="0"/>
        <w:rPr>
          <w:sz w:val="22"/>
        </w:rPr>
      </w:pPr>
      <w:r>
        <w:rPr>
          <w:sz w:val="22"/>
        </w:rPr>
        <w:t xml:space="preserve"> </w:t>
      </w:r>
    </w:p>
    <w:p w14:paraId="2B98B37C" w14:textId="7BB4FC03" w:rsidR="00B07789" w:rsidRPr="00A731E1" w:rsidRDefault="00D25089" w:rsidP="00650FC6">
      <w:pPr>
        <w:spacing w:after="0" w:line="240" w:lineRule="auto"/>
        <w:ind w:left="10"/>
        <w:rPr>
          <w:sz w:val="22"/>
        </w:rPr>
      </w:pPr>
      <w:r>
        <w:rPr>
          <w:sz w:val="22"/>
        </w:rPr>
        <w:t xml:space="preserve">Apixabán v štúdii dosiahol štatisticky významnú prevahu v primárnom </w:t>
      </w:r>
      <w:r w:rsidR="00857692">
        <w:rPr>
          <w:sz w:val="22"/>
        </w:rPr>
        <w:t xml:space="preserve">cieľovom </w:t>
      </w:r>
      <w:r>
        <w:rPr>
          <w:sz w:val="22"/>
        </w:rPr>
        <w:t xml:space="preserve">ukazovateli prevencie </w:t>
      </w:r>
      <w:r w:rsidR="00857692">
        <w:rPr>
          <w:sz w:val="22"/>
        </w:rPr>
        <w:t xml:space="preserve">cievnej </w:t>
      </w:r>
      <w:r>
        <w:rPr>
          <w:sz w:val="22"/>
        </w:rPr>
        <w:t>mozgovej príhody (hemoragickej alebo ischemickej) a systémovej embólie (pozri tabuľku 6) v porovnaní s</w:t>
      </w:r>
      <w:r w:rsidR="00857692">
        <w:rPr>
          <w:sz w:val="22"/>
        </w:rPr>
        <w:t> </w:t>
      </w:r>
      <w:r>
        <w:rPr>
          <w:sz w:val="22"/>
        </w:rPr>
        <w:t>warfarínom</w:t>
      </w:r>
      <w:r w:rsidR="00857692">
        <w:rPr>
          <w:sz w:val="22"/>
        </w:rPr>
        <w:t>.</w:t>
      </w:r>
      <w:r>
        <w:rPr>
          <w:sz w:val="22"/>
        </w:rPr>
        <w:t xml:space="preserve"> </w:t>
      </w:r>
    </w:p>
    <w:p w14:paraId="1C2A67BA" w14:textId="77777777" w:rsidR="00B07789" w:rsidRPr="00A731E1" w:rsidRDefault="00D25089" w:rsidP="00833B71">
      <w:pPr>
        <w:spacing w:after="0" w:line="240" w:lineRule="auto"/>
        <w:ind w:left="0" w:firstLine="0"/>
        <w:rPr>
          <w:sz w:val="22"/>
        </w:rPr>
      </w:pPr>
      <w:r>
        <w:rPr>
          <w:sz w:val="22"/>
        </w:rPr>
        <w:t xml:space="preserve"> </w:t>
      </w:r>
    </w:p>
    <w:p w14:paraId="21DA0F95" w14:textId="536BB060" w:rsidR="00B07789" w:rsidRPr="00884F62" w:rsidRDefault="00E4410C" w:rsidP="00650FC6">
      <w:pPr>
        <w:keepNext/>
        <w:spacing w:after="0" w:line="240" w:lineRule="auto"/>
        <w:ind w:left="10"/>
        <w:rPr>
          <w:b/>
          <w:sz w:val="22"/>
        </w:rPr>
      </w:pPr>
      <w:r>
        <w:rPr>
          <w:b/>
          <w:sz w:val="22"/>
        </w:rPr>
        <w:t>Tabuľka 6</w:t>
      </w:r>
      <w:r w:rsidR="00D25089">
        <w:rPr>
          <w:b/>
          <w:sz w:val="22"/>
        </w:rPr>
        <w:t xml:space="preserve">: Výsledky účinnosti u pacientov s fibriláciou predsiení v štúdii ARISTOTLE </w:t>
      </w:r>
    </w:p>
    <w:tbl>
      <w:tblPr>
        <w:tblStyle w:val="TableGrid"/>
        <w:tblW w:w="9405" w:type="dxa"/>
        <w:tblInd w:w="-53" w:type="dxa"/>
        <w:tblCellMar>
          <w:top w:w="54" w:type="dxa"/>
          <w:left w:w="99" w:type="dxa"/>
          <w:right w:w="49" w:type="dxa"/>
        </w:tblCellMar>
        <w:tblLook w:val="04A0" w:firstRow="1" w:lastRow="0" w:firstColumn="1" w:lastColumn="0" w:noHBand="0" w:noVBand="1"/>
      </w:tblPr>
      <w:tblGrid>
        <w:gridCol w:w="2834"/>
        <w:gridCol w:w="1793"/>
        <w:gridCol w:w="1793"/>
        <w:gridCol w:w="1778"/>
        <w:gridCol w:w="1207"/>
      </w:tblGrid>
      <w:tr w:rsidR="00B07789" w:rsidRPr="00A731E1" w14:paraId="02470F7F" w14:textId="77777777" w:rsidTr="00513A1F">
        <w:trPr>
          <w:trHeight w:val="599"/>
        </w:trPr>
        <w:tc>
          <w:tcPr>
            <w:tcW w:w="2834" w:type="dxa"/>
            <w:tcBorders>
              <w:top w:val="single" w:sz="3" w:space="0" w:color="000000"/>
              <w:left w:val="single" w:sz="3" w:space="0" w:color="000000"/>
              <w:bottom w:val="single" w:sz="3" w:space="0" w:color="000000"/>
              <w:right w:val="single" w:sz="3" w:space="0" w:color="000000"/>
            </w:tcBorders>
          </w:tcPr>
          <w:p w14:paraId="459485C5" w14:textId="77777777" w:rsidR="00B07789" w:rsidRPr="00A731E1" w:rsidRDefault="00D25089" w:rsidP="00833B71">
            <w:pPr>
              <w:keepNext/>
              <w:spacing w:after="0" w:line="240" w:lineRule="auto"/>
              <w:ind w:left="0" w:firstLine="0"/>
              <w:rPr>
                <w:sz w:val="22"/>
              </w:rPr>
            </w:pPr>
            <w:r>
              <w:rPr>
                <w:b/>
                <w:sz w:val="22"/>
              </w:rPr>
              <w:t xml:space="preserve"> </w:t>
            </w:r>
          </w:p>
        </w:tc>
        <w:tc>
          <w:tcPr>
            <w:tcW w:w="1793" w:type="dxa"/>
            <w:tcBorders>
              <w:top w:val="single" w:sz="3" w:space="0" w:color="000000"/>
              <w:left w:val="single" w:sz="3" w:space="0" w:color="000000"/>
              <w:bottom w:val="single" w:sz="3" w:space="0" w:color="000000"/>
              <w:right w:val="single" w:sz="3" w:space="0" w:color="000000"/>
            </w:tcBorders>
          </w:tcPr>
          <w:p w14:paraId="6DDCAAB5" w14:textId="77777777" w:rsidR="00B07789" w:rsidRPr="00A731E1" w:rsidRDefault="00D25089" w:rsidP="00833B71">
            <w:pPr>
              <w:keepNext/>
              <w:spacing w:after="0" w:line="240" w:lineRule="auto"/>
              <w:ind w:left="0" w:right="9" w:hanging="4"/>
              <w:jc w:val="center"/>
              <w:rPr>
                <w:sz w:val="22"/>
              </w:rPr>
            </w:pPr>
            <w:r>
              <w:rPr>
                <w:b/>
                <w:sz w:val="22"/>
              </w:rPr>
              <w:t>Apixabán N = 9 120 n (%/rok)</w:t>
            </w:r>
          </w:p>
        </w:tc>
        <w:tc>
          <w:tcPr>
            <w:tcW w:w="1793" w:type="dxa"/>
            <w:tcBorders>
              <w:top w:val="single" w:sz="3" w:space="0" w:color="000000"/>
              <w:left w:val="single" w:sz="3" w:space="0" w:color="000000"/>
              <w:bottom w:val="single" w:sz="3" w:space="0" w:color="000000"/>
              <w:right w:val="single" w:sz="3" w:space="0" w:color="000000"/>
            </w:tcBorders>
          </w:tcPr>
          <w:p w14:paraId="458DE148" w14:textId="77777777" w:rsidR="00B07789" w:rsidRPr="00A731E1" w:rsidRDefault="00D25089" w:rsidP="00833B71">
            <w:pPr>
              <w:keepNext/>
              <w:spacing w:after="0" w:line="240" w:lineRule="auto"/>
              <w:ind w:left="0" w:right="10" w:hanging="3"/>
              <w:jc w:val="center"/>
              <w:rPr>
                <w:sz w:val="22"/>
              </w:rPr>
            </w:pPr>
            <w:r>
              <w:rPr>
                <w:b/>
                <w:sz w:val="22"/>
              </w:rPr>
              <w:t>Warfarín N = 9 081 n (%/rok)</w:t>
            </w:r>
          </w:p>
        </w:tc>
        <w:tc>
          <w:tcPr>
            <w:tcW w:w="1778" w:type="dxa"/>
            <w:tcBorders>
              <w:top w:val="single" w:sz="3" w:space="0" w:color="000000"/>
              <w:left w:val="single" w:sz="3" w:space="0" w:color="000000"/>
              <w:bottom w:val="single" w:sz="3" w:space="0" w:color="000000"/>
              <w:right w:val="single" w:sz="3" w:space="0" w:color="000000"/>
            </w:tcBorders>
          </w:tcPr>
          <w:p w14:paraId="6F0866FD" w14:textId="77777777" w:rsidR="00B07789" w:rsidRPr="00A731E1" w:rsidRDefault="00D25089" w:rsidP="00833B71">
            <w:pPr>
              <w:keepNext/>
              <w:spacing w:after="0" w:line="240" w:lineRule="auto"/>
              <w:ind w:left="0" w:firstLine="0"/>
              <w:jc w:val="center"/>
              <w:rPr>
                <w:sz w:val="22"/>
              </w:rPr>
            </w:pPr>
            <w:r>
              <w:rPr>
                <w:b/>
                <w:sz w:val="22"/>
              </w:rPr>
              <w:t>Pomer rizika (95 % IS)</w:t>
            </w:r>
          </w:p>
        </w:tc>
        <w:tc>
          <w:tcPr>
            <w:tcW w:w="1207" w:type="dxa"/>
            <w:tcBorders>
              <w:top w:val="single" w:sz="3" w:space="0" w:color="000000"/>
              <w:left w:val="single" w:sz="3" w:space="0" w:color="000000"/>
              <w:bottom w:val="single" w:sz="3" w:space="0" w:color="000000"/>
              <w:right w:val="single" w:sz="3" w:space="0" w:color="000000"/>
            </w:tcBorders>
          </w:tcPr>
          <w:p w14:paraId="3063DDF7" w14:textId="69859881" w:rsidR="00B07789" w:rsidRPr="00A731E1" w:rsidRDefault="00C22708" w:rsidP="00833B71">
            <w:pPr>
              <w:keepNext/>
              <w:spacing w:after="0" w:line="240" w:lineRule="auto"/>
              <w:ind w:left="0" w:firstLine="0"/>
              <w:jc w:val="center"/>
              <w:rPr>
                <w:sz w:val="22"/>
              </w:rPr>
            </w:pPr>
            <w:r>
              <w:rPr>
                <w:b/>
                <w:sz w:val="22"/>
              </w:rPr>
              <w:t>h</w:t>
            </w:r>
            <w:r w:rsidR="00D25089">
              <w:rPr>
                <w:b/>
                <w:sz w:val="22"/>
              </w:rPr>
              <w:t>odnota</w:t>
            </w:r>
            <w:r>
              <w:rPr>
                <w:b/>
                <w:sz w:val="22"/>
              </w:rPr>
              <w:t xml:space="preserve"> p</w:t>
            </w:r>
          </w:p>
        </w:tc>
      </w:tr>
      <w:tr w:rsidR="00B07789" w:rsidRPr="00A731E1" w14:paraId="75836B40" w14:textId="77777777" w:rsidTr="00513A1F">
        <w:trPr>
          <w:trHeight w:val="248"/>
        </w:trPr>
        <w:tc>
          <w:tcPr>
            <w:tcW w:w="2834" w:type="dxa"/>
            <w:tcBorders>
              <w:top w:val="single" w:sz="3" w:space="0" w:color="000000"/>
              <w:left w:val="single" w:sz="3" w:space="0" w:color="000000"/>
              <w:bottom w:val="single" w:sz="4" w:space="0" w:color="000000"/>
              <w:right w:val="single" w:sz="3" w:space="0" w:color="000000"/>
            </w:tcBorders>
          </w:tcPr>
          <w:p w14:paraId="7B2A288A" w14:textId="6934F300" w:rsidR="00B07789" w:rsidRPr="00A731E1" w:rsidRDefault="00513A1F" w:rsidP="002901A4">
            <w:pPr>
              <w:keepNext/>
              <w:spacing w:after="0" w:line="240" w:lineRule="auto"/>
              <w:ind w:left="-55" w:firstLine="0"/>
              <w:rPr>
                <w:sz w:val="22"/>
              </w:rPr>
            </w:pPr>
            <w:r>
              <w:rPr>
                <w:sz w:val="22"/>
              </w:rPr>
              <w:t>Cievna m</w:t>
            </w:r>
            <w:r w:rsidR="00D25089">
              <w:rPr>
                <w:sz w:val="22"/>
              </w:rPr>
              <w:t xml:space="preserve">ozgová príhoda alebo systémová embólia </w:t>
            </w:r>
          </w:p>
        </w:tc>
        <w:tc>
          <w:tcPr>
            <w:tcW w:w="1793" w:type="dxa"/>
            <w:tcBorders>
              <w:top w:val="single" w:sz="3" w:space="0" w:color="000000"/>
              <w:left w:val="single" w:sz="3" w:space="0" w:color="000000"/>
              <w:bottom w:val="single" w:sz="4" w:space="0" w:color="000000"/>
              <w:right w:val="single" w:sz="3" w:space="0" w:color="000000"/>
            </w:tcBorders>
          </w:tcPr>
          <w:p w14:paraId="1B623930" w14:textId="77777777" w:rsidR="00B07789" w:rsidRPr="00A731E1" w:rsidRDefault="00D25089" w:rsidP="002901A4">
            <w:pPr>
              <w:keepNext/>
              <w:spacing w:after="0" w:line="240" w:lineRule="auto"/>
              <w:ind w:left="0" w:firstLine="0"/>
              <w:jc w:val="center"/>
              <w:rPr>
                <w:sz w:val="22"/>
              </w:rPr>
            </w:pPr>
            <w:r>
              <w:rPr>
                <w:sz w:val="22"/>
              </w:rPr>
              <w:t>212 (1,27)</w:t>
            </w:r>
          </w:p>
        </w:tc>
        <w:tc>
          <w:tcPr>
            <w:tcW w:w="1793" w:type="dxa"/>
            <w:tcBorders>
              <w:top w:val="single" w:sz="3" w:space="0" w:color="000000"/>
              <w:left w:val="single" w:sz="3" w:space="0" w:color="000000"/>
              <w:bottom w:val="single" w:sz="4" w:space="0" w:color="000000"/>
              <w:right w:val="single" w:sz="3" w:space="0" w:color="000000"/>
            </w:tcBorders>
          </w:tcPr>
          <w:p w14:paraId="2238A501" w14:textId="77777777" w:rsidR="00B07789" w:rsidRPr="00A731E1" w:rsidRDefault="00D25089" w:rsidP="002901A4">
            <w:pPr>
              <w:keepNext/>
              <w:spacing w:after="0" w:line="240" w:lineRule="auto"/>
              <w:ind w:left="0" w:firstLine="0"/>
              <w:jc w:val="center"/>
              <w:rPr>
                <w:sz w:val="22"/>
              </w:rPr>
            </w:pPr>
            <w:r>
              <w:rPr>
                <w:sz w:val="22"/>
              </w:rPr>
              <w:t>265 (1,60)</w:t>
            </w:r>
          </w:p>
        </w:tc>
        <w:tc>
          <w:tcPr>
            <w:tcW w:w="1778" w:type="dxa"/>
            <w:tcBorders>
              <w:top w:val="single" w:sz="3" w:space="0" w:color="000000"/>
              <w:left w:val="single" w:sz="3" w:space="0" w:color="000000"/>
              <w:bottom w:val="single" w:sz="4" w:space="0" w:color="000000"/>
              <w:right w:val="single" w:sz="3" w:space="0" w:color="000000"/>
            </w:tcBorders>
          </w:tcPr>
          <w:p w14:paraId="721EE489" w14:textId="77777777" w:rsidR="00B07789" w:rsidRPr="00A731E1" w:rsidRDefault="00D25089" w:rsidP="002901A4">
            <w:pPr>
              <w:keepNext/>
              <w:spacing w:after="0" w:line="240" w:lineRule="auto"/>
              <w:ind w:left="0" w:firstLine="0"/>
              <w:jc w:val="center"/>
              <w:rPr>
                <w:sz w:val="22"/>
              </w:rPr>
            </w:pPr>
            <w:r>
              <w:rPr>
                <w:sz w:val="22"/>
              </w:rPr>
              <w:t>0,79 (0,66; 0,95)</w:t>
            </w:r>
          </w:p>
        </w:tc>
        <w:tc>
          <w:tcPr>
            <w:tcW w:w="1207" w:type="dxa"/>
            <w:tcBorders>
              <w:top w:val="single" w:sz="3" w:space="0" w:color="000000"/>
              <w:left w:val="single" w:sz="3" w:space="0" w:color="000000"/>
              <w:bottom w:val="single" w:sz="4" w:space="0" w:color="000000"/>
              <w:right w:val="single" w:sz="3" w:space="0" w:color="000000"/>
            </w:tcBorders>
          </w:tcPr>
          <w:p w14:paraId="26325F6C" w14:textId="77777777" w:rsidR="00B07789" w:rsidRPr="00A731E1" w:rsidRDefault="00D25089" w:rsidP="002901A4">
            <w:pPr>
              <w:keepNext/>
              <w:spacing w:after="0" w:line="240" w:lineRule="auto"/>
              <w:ind w:left="0" w:firstLine="0"/>
              <w:jc w:val="center"/>
              <w:rPr>
                <w:sz w:val="22"/>
              </w:rPr>
            </w:pPr>
            <w:r>
              <w:rPr>
                <w:sz w:val="22"/>
              </w:rPr>
              <w:t>0,0114</w:t>
            </w:r>
          </w:p>
        </w:tc>
      </w:tr>
      <w:tr w:rsidR="00513A1F" w:rsidRPr="00A731E1" w14:paraId="38663661" w14:textId="77777777" w:rsidTr="00790351">
        <w:trPr>
          <w:trHeight w:val="247"/>
        </w:trPr>
        <w:tc>
          <w:tcPr>
            <w:tcW w:w="9405" w:type="dxa"/>
            <w:gridSpan w:val="5"/>
            <w:tcBorders>
              <w:top w:val="single" w:sz="4" w:space="0" w:color="000000"/>
              <w:left w:val="single" w:sz="3" w:space="0" w:color="000000"/>
              <w:bottom w:val="single" w:sz="4" w:space="0" w:color="000000"/>
              <w:right w:val="single" w:sz="3" w:space="0" w:color="000000"/>
            </w:tcBorders>
          </w:tcPr>
          <w:p w14:paraId="6BFBDD50" w14:textId="2F5B4734" w:rsidR="00513A1F" w:rsidRPr="00A731E1" w:rsidRDefault="00513A1F" w:rsidP="00EE68B4">
            <w:pPr>
              <w:spacing w:after="0" w:line="240" w:lineRule="auto"/>
              <w:ind w:left="0" w:firstLine="0"/>
              <w:rPr>
                <w:sz w:val="22"/>
                <w:lang w:val="en-GB"/>
              </w:rPr>
            </w:pPr>
            <w:r>
              <w:rPr>
                <w:sz w:val="22"/>
              </w:rPr>
              <w:t xml:space="preserve">Cievna mozgová príhoda </w:t>
            </w:r>
          </w:p>
        </w:tc>
      </w:tr>
      <w:tr w:rsidR="00B07789" w:rsidRPr="00A731E1" w14:paraId="5372470C" w14:textId="77777777" w:rsidTr="00513A1F">
        <w:trPr>
          <w:trHeight w:val="248"/>
        </w:trPr>
        <w:tc>
          <w:tcPr>
            <w:tcW w:w="2834" w:type="dxa"/>
            <w:tcBorders>
              <w:top w:val="single" w:sz="4" w:space="0" w:color="000000"/>
              <w:left w:val="single" w:sz="3" w:space="0" w:color="000000"/>
              <w:bottom w:val="single" w:sz="4" w:space="0" w:color="000000"/>
              <w:right w:val="single" w:sz="3" w:space="0" w:color="000000"/>
            </w:tcBorders>
          </w:tcPr>
          <w:p w14:paraId="44410BDE" w14:textId="77777777" w:rsidR="00B07789" w:rsidRPr="00A731E1" w:rsidRDefault="00D25089" w:rsidP="002901A4">
            <w:pPr>
              <w:spacing w:after="0" w:line="240" w:lineRule="auto"/>
              <w:ind w:left="371" w:right="53" w:firstLine="0"/>
              <w:rPr>
                <w:sz w:val="22"/>
              </w:rPr>
            </w:pPr>
            <w:r>
              <w:rPr>
                <w:sz w:val="22"/>
              </w:rPr>
              <w:t xml:space="preserve">Ischemická alebo nešpecifikovaná </w:t>
            </w:r>
          </w:p>
        </w:tc>
        <w:tc>
          <w:tcPr>
            <w:tcW w:w="1793" w:type="dxa"/>
            <w:tcBorders>
              <w:top w:val="single" w:sz="4" w:space="0" w:color="000000"/>
              <w:left w:val="single" w:sz="3" w:space="0" w:color="000000"/>
              <w:bottom w:val="single" w:sz="4" w:space="0" w:color="000000"/>
              <w:right w:val="single" w:sz="3" w:space="0" w:color="000000"/>
            </w:tcBorders>
          </w:tcPr>
          <w:p w14:paraId="0E711B51" w14:textId="77777777" w:rsidR="00B07789" w:rsidRPr="00A731E1" w:rsidRDefault="00D25089" w:rsidP="002901A4">
            <w:pPr>
              <w:spacing w:after="0" w:line="240" w:lineRule="auto"/>
              <w:ind w:left="0" w:firstLine="0"/>
              <w:jc w:val="center"/>
              <w:rPr>
                <w:sz w:val="22"/>
              </w:rPr>
            </w:pPr>
            <w:r>
              <w:rPr>
                <w:sz w:val="22"/>
              </w:rPr>
              <w:t>162 (0,97)</w:t>
            </w:r>
          </w:p>
        </w:tc>
        <w:tc>
          <w:tcPr>
            <w:tcW w:w="1793" w:type="dxa"/>
            <w:tcBorders>
              <w:top w:val="single" w:sz="4" w:space="0" w:color="000000"/>
              <w:left w:val="single" w:sz="3" w:space="0" w:color="000000"/>
              <w:bottom w:val="single" w:sz="4" w:space="0" w:color="000000"/>
              <w:right w:val="single" w:sz="3" w:space="0" w:color="000000"/>
            </w:tcBorders>
          </w:tcPr>
          <w:p w14:paraId="2431B9D6" w14:textId="77777777" w:rsidR="00B07789" w:rsidRPr="00A731E1" w:rsidRDefault="00D25089" w:rsidP="002901A4">
            <w:pPr>
              <w:spacing w:after="0" w:line="240" w:lineRule="auto"/>
              <w:ind w:left="0" w:firstLine="0"/>
              <w:jc w:val="center"/>
              <w:rPr>
                <w:sz w:val="22"/>
              </w:rPr>
            </w:pPr>
            <w:r>
              <w:rPr>
                <w:sz w:val="22"/>
              </w:rPr>
              <w:t>175 (1,05)</w:t>
            </w:r>
          </w:p>
        </w:tc>
        <w:tc>
          <w:tcPr>
            <w:tcW w:w="1778" w:type="dxa"/>
            <w:tcBorders>
              <w:top w:val="single" w:sz="4" w:space="0" w:color="000000"/>
              <w:left w:val="single" w:sz="3" w:space="0" w:color="000000"/>
              <w:bottom w:val="single" w:sz="4" w:space="0" w:color="000000"/>
              <w:right w:val="single" w:sz="3" w:space="0" w:color="000000"/>
            </w:tcBorders>
          </w:tcPr>
          <w:p w14:paraId="22B2FE31" w14:textId="77777777" w:rsidR="00B07789" w:rsidRPr="00A731E1" w:rsidRDefault="00D25089" w:rsidP="002901A4">
            <w:pPr>
              <w:spacing w:after="0" w:line="240" w:lineRule="auto"/>
              <w:ind w:left="0" w:firstLine="0"/>
              <w:jc w:val="center"/>
              <w:rPr>
                <w:sz w:val="22"/>
              </w:rPr>
            </w:pPr>
            <w:r>
              <w:rPr>
                <w:sz w:val="22"/>
              </w:rPr>
              <w:t>0,92 (0,74; 1,13)</w:t>
            </w:r>
          </w:p>
        </w:tc>
        <w:tc>
          <w:tcPr>
            <w:tcW w:w="1207" w:type="dxa"/>
            <w:tcBorders>
              <w:top w:val="single" w:sz="4" w:space="0" w:color="000000"/>
              <w:left w:val="single" w:sz="3" w:space="0" w:color="000000"/>
              <w:bottom w:val="single" w:sz="4" w:space="0" w:color="000000"/>
              <w:right w:val="single" w:sz="3" w:space="0" w:color="000000"/>
            </w:tcBorders>
          </w:tcPr>
          <w:p w14:paraId="47CE6129" w14:textId="77777777" w:rsidR="00B07789" w:rsidRPr="00A731E1" w:rsidRDefault="00B07789" w:rsidP="002901A4">
            <w:pPr>
              <w:spacing w:after="0" w:line="240" w:lineRule="auto"/>
              <w:ind w:left="0" w:firstLine="0"/>
              <w:jc w:val="center"/>
              <w:rPr>
                <w:sz w:val="22"/>
                <w:lang w:val="en-GB"/>
              </w:rPr>
            </w:pPr>
          </w:p>
        </w:tc>
      </w:tr>
      <w:tr w:rsidR="00B07789" w:rsidRPr="00A731E1" w14:paraId="02B35ED3" w14:textId="77777777" w:rsidTr="00513A1F">
        <w:trPr>
          <w:trHeight w:val="247"/>
        </w:trPr>
        <w:tc>
          <w:tcPr>
            <w:tcW w:w="2834" w:type="dxa"/>
            <w:tcBorders>
              <w:top w:val="single" w:sz="4" w:space="0" w:color="000000"/>
              <w:left w:val="single" w:sz="3" w:space="0" w:color="000000"/>
              <w:bottom w:val="single" w:sz="4" w:space="0" w:color="000000"/>
              <w:right w:val="single" w:sz="3" w:space="0" w:color="000000"/>
            </w:tcBorders>
          </w:tcPr>
          <w:p w14:paraId="621C7970" w14:textId="77777777" w:rsidR="00B07789" w:rsidRPr="00A731E1" w:rsidRDefault="00D25089" w:rsidP="002901A4">
            <w:pPr>
              <w:spacing w:after="0" w:line="240" w:lineRule="auto"/>
              <w:ind w:left="371" w:firstLine="0"/>
              <w:rPr>
                <w:sz w:val="22"/>
              </w:rPr>
            </w:pPr>
            <w:r>
              <w:rPr>
                <w:sz w:val="22"/>
              </w:rPr>
              <w:t xml:space="preserve">Hemoragická </w:t>
            </w:r>
          </w:p>
        </w:tc>
        <w:tc>
          <w:tcPr>
            <w:tcW w:w="1793" w:type="dxa"/>
            <w:tcBorders>
              <w:top w:val="single" w:sz="4" w:space="0" w:color="000000"/>
              <w:left w:val="single" w:sz="3" w:space="0" w:color="000000"/>
              <w:bottom w:val="single" w:sz="4" w:space="0" w:color="000000"/>
              <w:right w:val="single" w:sz="3" w:space="0" w:color="000000"/>
            </w:tcBorders>
          </w:tcPr>
          <w:p w14:paraId="796BB4F8" w14:textId="77777777" w:rsidR="00B07789" w:rsidRPr="00A731E1" w:rsidRDefault="00D25089" w:rsidP="002901A4">
            <w:pPr>
              <w:spacing w:after="0" w:line="240" w:lineRule="auto"/>
              <w:ind w:left="0" w:firstLine="0"/>
              <w:jc w:val="center"/>
              <w:rPr>
                <w:sz w:val="22"/>
              </w:rPr>
            </w:pPr>
            <w:r>
              <w:rPr>
                <w:sz w:val="22"/>
              </w:rPr>
              <w:t>40 (0,24)</w:t>
            </w:r>
          </w:p>
        </w:tc>
        <w:tc>
          <w:tcPr>
            <w:tcW w:w="1793" w:type="dxa"/>
            <w:tcBorders>
              <w:top w:val="single" w:sz="4" w:space="0" w:color="000000"/>
              <w:left w:val="single" w:sz="3" w:space="0" w:color="000000"/>
              <w:bottom w:val="single" w:sz="4" w:space="0" w:color="000000"/>
              <w:right w:val="single" w:sz="3" w:space="0" w:color="000000"/>
            </w:tcBorders>
          </w:tcPr>
          <w:p w14:paraId="340A94E4" w14:textId="77777777" w:rsidR="00B07789" w:rsidRPr="00A731E1" w:rsidRDefault="00D25089" w:rsidP="002901A4">
            <w:pPr>
              <w:spacing w:after="0" w:line="240" w:lineRule="auto"/>
              <w:ind w:left="0" w:firstLine="0"/>
              <w:jc w:val="center"/>
              <w:rPr>
                <w:sz w:val="22"/>
              </w:rPr>
            </w:pPr>
            <w:r>
              <w:rPr>
                <w:sz w:val="22"/>
              </w:rPr>
              <w:t>78 (0,47)</w:t>
            </w:r>
          </w:p>
        </w:tc>
        <w:tc>
          <w:tcPr>
            <w:tcW w:w="1778" w:type="dxa"/>
            <w:tcBorders>
              <w:top w:val="single" w:sz="4" w:space="0" w:color="000000"/>
              <w:left w:val="single" w:sz="3" w:space="0" w:color="000000"/>
              <w:bottom w:val="single" w:sz="4" w:space="0" w:color="000000"/>
              <w:right w:val="single" w:sz="3" w:space="0" w:color="000000"/>
            </w:tcBorders>
          </w:tcPr>
          <w:p w14:paraId="14FEBFFA" w14:textId="77777777" w:rsidR="00B07789" w:rsidRPr="00A731E1" w:rsidRDefault="00D25089" w:rsidP="002901A4">
            <w:pPr>
              <w:spacing w:after="0" w:line="240" w:lineRule="auto"/>
              <w:ind w:left="0" w:firstLine="0"/>
              <w:jc w:val="center"/>
              <w:rPr>
                <w:sz w:val="22"/>
              </w:rPr>
            </w:pPr>
            <w:r>
              <w:rPr>
                <w:sz w:val="22"/>
              </w:rPr>
              <w:t>0,51 (0,35; 0,75)</w:t>
            </w:r>
          </w:p>
        </w:tc>
        <w:tc>
          <w:tcPr>
            <w:tcW w:w="1207" w:type="dxa"/>
            <w:tcBorders>
              <w:top w:val="single" w:sz="4" w:space="0" w:color="000000"/>
              <w:left w:val="single" w:sz="3" w:space="0" w:color="000000"/>
              <w:bottom w:val="single" w:sz="4" w:space="0" w:color="000000"/>
              <w:right w:val="single" w:sz="3" w:space="0" w:color="000000"/>
            </w:tcBorders>
          </w:tcPr>
          <w:p w14:paraId="0C17A8CC" w14:textId="77777777" w:rsidR="00B07789" w:rsidRPr="00A731E1" w:rsidRDefault="00B07789" w:rsidP="002901A4">
            <w:pPr>
              <w:spacing w:after="0" w:line="240" w:lineRule="auto"/>
              <w:ind w:left="0" w:firstLine="0"/>
              <w:jc w:val="center"/>
              <w:rPr>
                <w:sz w:val="22"/>
                <w:lang w:val="en-GB"/>
              </w:rPr>
            </w:pPr>
          </w:p>
        </w:tc>
      </w:tr>
      <w:tr w:rsidR="00B07789" w:rsidRPr="00A731E1" w14:paraId="7E764DBD" w14:textId="77777777" w:rsidTr="00513A1F">
        <w:trPr>
          <w:trHeight w:val="247"/>
        </w:trPr>
        <w:tc>
          <w:tcPr>
            <w:tcW w:w="2834" w:type="dxa"/>
            <w:tcBorders>
              <w:top w:val="single" w:sz="4" w:space="0" w:color="000000"/>
              <w:left w:val="single" w:sz="3" w:space="0" w:color="000000"/>
              <w:bottom w:val="single" w:sz="4" w:space="0" w:color="000000"/>
              <w:right w:val="single" w:sz="3" w:space="0" w:color="000000"/>
            </w:tcBorders>
          </w:tcPr>
          <w:p w14:paraId="3649676C" w14:textId="77777777" w:rsidR="00B07789" w:rsidRPr="00A731E1" w:rsidRDefault="00D25089" w:rsidP="002901A4">
            <w:pPr>
              <w:spacing w:after="0" w:line="240" w:lineRule="auto"/>
              <w:ind w:left="87" w:firstLine="0"/>
              <w:rPr>
                <w:sz w:val="22"/>
              </w:rPr>
            </w:pPr>
            <w:r>
              <w:rPr>
                <w:sz w:val="22"/>
              </w:rPr>
              <w:t xml:space="preserve">Systémová embólia </w:t>
            </w:r>
          </w:p>
        </w:tc>
        <w:tc>
          <w:tcPr>
            <w:tcW w:w="1793" w:type="dxa"/>
            <w:tcBorders>
              <w:top w:val="single" w:sz="4" w:space="0" w:color="000000"/>
              <w:left w:val="single" w:sz="3" w:space="0" w:color="000000"/>
              <w:bottom w:val="single" w:sz="4" w:space="0" w:color="000000"/>
              <w:right w:val="single" w:sz="3" w:space="0" w:color="000000"/>
            </w:tcBorders>
          </w:tcPr>
          <w:p w14:paraId="39115881" w14:textId="77777777" w:rsidR="00B07789" w:rsidRPr="00A731E1" w:rsidRDefault="00D25089" w:rsidP="002901A4">
            <w:pPr>
              <w:spacing w:after="0" w:line="240" w:lineRule="auto"/>
              <w:ind w:left="0" w:firstLine="0"/>
              <w:jc w:val="center"/>
              <w:rPr>
                <w:sz w:val="22"/>
              </w:rPr>
            </w:pPr>
            <w:r>
              <w:rPr>
                <w:sz w:val="22"/>
              </w:rPr>
              <w:t>15 (0,09)</w:t>
            </w:r>
          </w:p>
        </w:tc>
        <w:tc>
          <w:tcPr>
            <w:tcW w:w="1793" w:type="dxa"/>
            <w:tcBorders>
              <w:top w:val="single" w:sz="4" w:space="0" w:color="000000"/>
              <w:left w:val="single" w:sz="3" w:space="0" w:color="000000"/>
              <w:bottom w:val="single" w:sz="4" w:space="0" w:color="000000"/>
              <w:right w:val="single" w:sz="3" w:space="0" w:color="000000"/>
            </w:tcBorders>
          </w:tcPr>
          <w:p w14:paraId="697D152B" w14:textId="77777777" w:rsidR="00B07789" w:rsidRPr="00A731E1" w:rsidRDefault="00D25089" w:rsidP="002901A4">
            <w:pPr>
              <w:spacing w:after="0" w:line="240" w:lineRule="auto"/>
              <w:ind w:left="0" w:firstLine="0"/>
              <w:jc w:val="center"/>
              <w:rPr>
                <w:sz w:val="22"/>
              </w:rPr>
            </w:pPr>
            <w:r>
              <w:rPr>
                <w:sz w:val="22"/>
              </w:rPr>
              <w:t>17 (0,10)</w:t>
            </w:r>
          </w:p>
        </w:tc>
        <w:tc>
          <w:tcPr>
            <w:tcW w:w="1778" w:type="dxa"/>
            <w:tcBorders>
              <w:top w:val="single" w:sz="4" w:space="0" w:color="000000"/>
              <w:left w:val="single" w:sz="3" w:space="0" w:color="000000"/>
              <w:bottom w:val="single" w:sz="4" w:space="0" w:color="000000"/>
              <w:right w:val="single" w:sz="3" w:space="0" w:color="000000"/>
            </w:tcBorders>
          </w:tcPr>
          <w:p w14:paraId="7EA1F752" w14:textId="77777777" w:rsidR="00B07789" w:rsidRPr="00A731E1" w:rsidRDefault="00D25089" w:rsidP="002901A4">
            <w:pPr>
              <w:spacing w:after="0" w:line="240" w:lineRule="auto"/>
              <w:ind w:left="0" w:firstLine="0"/>
              <w:jc w:val="center"/>
              <w:rPr>
                <w:sz w:val="22"/>
              </w:rPr>
            </w:pPr>
            <w:r>
              <w:rPr>
                <w:sz w:val="22"/>
              </w:rPr>
              <w:t>0,87 (0,44; 1,75)</w:t>
            </w:r>
          </w:p>
        </w:tc>
        <w:tc>
          <w:tcPr>
            <w:tcW w:w="1207" w:type="dxa"/>
            <w:tcBorders>
              <w:top w:val="single" w:sz="4" w:space="0" w:color="000000"/>
              <w:left w:val="single" w:sz="3" w:space="0" w:color="000000"/>
              <w:bottom w:val="single" w:sz="4" w:space="0" w:color="000000"/>
              <w:right w:val="single" w:sz="3" w:space="0" w:color="000000"/>
            </w:tcBorders>
          </w:tcPr>
          <w:p w14:paraId="269A09CA" w14:textId="77777777" w:rsidR="00B07789" w:rsidRPr="00A731E1" w:rsidRDefault="00B07789" w:rsidP="002901A4">
            <w:pPr>
              <w:spacing w:after="0" w:line="240" w:lineRule="auto"/>
              <w:ind w:left="0" w:firstLine="0"/>
              <w:jc w:val="center"/>
              <w:rPr>
                <w:sz w:val="22"/>
                <w:lang w:val="en-GB"/>
              </w:rPr>
            </w:pPr>
          </w:p>
        </w:tc>
      </w:tr>
    </w:tbl>
    <w:p w14:paraId="1B91572E" w14:textId="77777777" w:rsidR="00B07789" w:rsidRPr="00A731E1" w:rsidRDefault="00D25089" w:rsidP="00833B71">
      <w:pPr>
        <w:spacing w:after="0" w:line="240" w:lineRule="auto"/>
        <w:ind w:left="0" w:firstLine="0"/>
        <w:rPr>
          <w:sz w:val="22"/>
        </w:rPr>
      </w:pPr>
      <w:r>
        <w:rPr>
          <w:sz w:val="22"/>
        </w:rPr>
        <w:t xml:space="preserve"> </w:t>
      </w:r>
    </w:p>
    <w:p w14:paraId="31CA3B94" w14:textId="77777777" w:rsidR="00B07789" w:rsidRPr="00A731E1" w:rsidRDefault="00D25089" w:rsidP="00650FC6">
      <w:pPr>
        <w:spacing w:after="0" w:line="240" w:lineRule="auto"/>
        <w:ind w:left="0" w:right="57" w:firstLine="0"/>
        <w:rPr>
          <w:sz w:val="22"/>
        </w:rPr>
      </w:pPr>
      <w:r>
        <w:rPr>
          <w:sz w:val="22"/>
        </w:rPr>
        <w:t xml:space="preserve">Medián percenta času, keď boli pacienti randomizovaní na warfarín v terapeutickom rozsahu (TTR) (INR 2 – 3), bol 66 %. </w:t>
      </w:r>
    </w:p>
    <w:p w14:paraId="365C7BA0" w14:textId="77777777" w:rsidR="00B07789" w:rsidRPr="00A731E1" w:rsidRDefault="00D25089" w:rsidP="00833B71">
      <w:pPr>
        <w:spacing w:after="0" w:line="240" w:lineRule="auto"/>
        <w:ind w:left="0" w:firstLine="0"/>
        <w:rPr>
          <w:sz w:val="22"/>
        </w:rPr>
      </w:pPr>
      <w:r>
        <w:rPr>
          <w:sz w:val="22"/>
        </w:rPr>
        <w:t xml:space="preserve"> </w:t>
      </w:r>
    </w:p>
    <w:p w14:paraId="14FF8152" w14:textId="32723F9E" w:rsidR="00B07789" w:rsidRPr="00A731E1" w:rsidRDefault="00D25089" w:rsidP="00833B71">
      <w:pPr>
        <w:spacing w:after="0" w:line="240" w:lineRule="auto"/>
        <w:ind w:left="0" w:firstLine="0"/>
        <w:rPr>
          <w:sz w:val="22"/>
        </w:rPr>
      </w:pPr>
      <w:r>
        <w:rPr>
          <w:sz w:val="22"/>
        </w:rPr>
        <w:lastRenderedPageBreak/>
        <w:t xml:space="preserve">Apixabán preukázal zníženie </w:t>
      </w:r>
      <w:r w:rsidR="00976418">
        <w:rPr>
          <w:sz w:val="22"/>
        </w:rPr>
        <w:t xml:space="preserve">počtu </w:t>
      </w:r>
      <w:r w:rsidR="00513A1F">
        <w:rPr>
          <w:sz w:val="22"/>
        </w:rPr>
        <w:t xml:space="preserve">cievnej </w:t>
      </w:r>
      <w:r>
        <w:rPr>
          <w:sz w:val="22"/>
        </w:rPr>
        <w:t xml:space="preserve">mozgovej príhody a systémovej embólie v porovnaní s warfarínom naprieč rôznymi úrovňami </w:t>
      </w:r>
      <w:r w:rsidR="00976418">
        <w:rPr>
          <w:sz w:val="22"/>
        </w:rPr>
        <w:t xml:space="preserve">centra </w:t>
      </w:r>
      <w:r>
        <w:rPr>
          <w:sz w:val="22"/>
        </w:rPr>
        <w:t>TTR; v rámci najvyššieho kvartilu TTR podľa cent</w:t>
      </w:r>
      <w:r w:rsidR="00976418">
        <w:rPr>
          <w:sz w:val="22"/>
        </w:rPr>
        <w:t>ra</w:t>
      </w:r>
      <w:r>
        <w:rPr>
          <w:sz w:val="22"/>
        </w:rPr>
        <w:t xml:space="preserve"> bol</w:t>
      </w:r>
      <w:r w:rsidR="00976418">
        <w:rPr>
          <w:sz w:val="22"/>
        </w:rPr>
        <w:t>a</w:t>
      </w:r>
      <w:r>
        <w:rPr>
          <w:sz w:val="22"/>
        </w:rPr>
        <w:t xml:space="preserve"> </w:t>
      </w:r>
      <w:r w:rsidR="00976418">
        <w:rPr>
          <w:sz w:val="22"/>
        </w:rPr>
        <w:t xml:space="preserve">miera </w:t>
      </w:r>
      <w:r>
        <w:rPr>
          <w:sz w:val="22"/>
        </w:rPr>
        <w:t xml:space="preserve">rizika pre apixabán oproti warfarínu 0,73 (95 % IS; 0,38; 1,40). </w:t>
      </w:r>
    </w:p>
    <w:p w14:paraId="2910D240" w14:textId="77777777" w:rsidR="00B07789" w:rsidRPr="00A731E1" w:rsidRDefault="00D25089" w:rsidP="00833B71">
      <w:pPr>
        <w:spacing w:after="0" w:line="240" w:lineRule="auto"/>
        <w:ind w:left="0" w:firstLine="0"/>
        <w:rPr>
          <w:sz w:val="22"/>
        </w:rPr>
      </w:pPr>
      <w:r>
        <w:rPr>
          <w:sz w:val="22"/>
        </w:rPr>
        <w:t xml:space="preserve"> </w:t>
      </w:r>
    </w:p>
    <w:p w14:paraId="055EA237" w14:textId="37C067B4" w:rsidR="00B07789" w:rsidRPr="00A731E1" w:rsidRDefault="00D25089" w:rsidP="00833B71">
      <w:pPr>
        <w:spacing w:after="0" w:line="240" w:lineRule="auto"/>
        <w:ind w:left="0" w:firstLine="0"/>
        <w:rPr>
          <w:sz w:val="22"/>
        </w:rPr>
      </w:pPr>
      <w:r>
        <w:rPr>
          <w:sz w:val="22"/>
        </w:rPr>
        <w:t xml:space="preserve">Kľúčové sekundárne </w:t>
      </w:r>
      <w:r w:rsidR="00976418">
        <w:rPr>
          <w:sz w:val="22"/>
        </w:rPr>
        <w:t xml:space="preserve">cieľové </w:t>
      </w:r>
      <w:r>
        <w:rPr>
          <w:sz w:val="22"/>
        </w:rPr>
        <w:t xml:space="preserve">ukazovatele </w:t>
      </w:r>
      <w:r w:rsidR="00976418">
        <w:rPr>
          <w:sz w:val="22"/>
        </w:rPr>
        <w:t xml:space="preserve">- </w:t>
      </w:r>
      <w:r>
        <w:rPr>
          <w:sz w:val="22"/>
        </w:rPr>
        <w:t>závažné krvácani</w:t>
      </w:r>
      <w:r w:rsidR="00976418">
        <w:rPr>
          <w:sz w:val="22"/>
        </w:rPr>
        <w:t>e</w:t>
      </w:r>
      <w:r>
        <w:rPr>
          <w:sz w:val="22"/>
        </w:rPr>
        <w:t xml:space="preserve"> a úmrti</w:t>
      </w:r>
      <w:r w:rsidR="00976418">
        <w:rPr>
          <w:sz w:val="22"/>
        </w:rPr>
        <w:t>e</w:t>
      </w:r>
      <w:r>
        <w:rPr>
          <w:sz w:val="22"/>
        </w:rPr>
        <w:t xml:space="preserve"> z akejkoľvek príčiny</w:t>
      </w:r>
      <w:r w:rsidR="007D47FF">
        <w:rPr>
          <w:sz w:val="22"/>
        </w:rPr>
        <w:t>,</w:t>
      </w:r>
      <w:r>
        <w:rPr>
          <w:sz w:val="22"/>
        </w:rPr>
        <w:t xml:space="preserve"> sa testovali pomocou vopred špecifikovanej hierarchickej testovacej stratégie</w:t>
      </w:r>
      <w:r w:rsidR="007D47FF">
        <w:rPr>
          <w:sz w:val="22"/>
        </w:rPr>
        <w:t>, aby bola v štúdii pod kontrolou chyba 1. typu.</w:t>
      </w:r>
      <w:r>
        <w:rPr>
          <w:sz w:val="22"/>
        </w:rPr>
        <w:t xml:space="preserve">. Štatisticky významná prevaha sa tiež dosiahla v kľúčových sekundárnych </w:t>
      </w:r>
      <w:r w:rsidR="00976418">
        <w:rPr>
          <w:sz w:val="22"/>
        </w:rPr>
        <w:t xml:space="preserve">cieľových </w:t>
      </w:r>
      <w:r>
        <w:rPr>
          <w:sz w:val="22"/>
        </w:rPr>
        <w:t>ukazovateľoch</w:t>
      </w:r>
      <w:r w:rsidR="00976418">
        <w:rPr>
          <w:sz w:val="22"/>
        </w:rPr>
        <w:t xml:space="preserve"> -</w:t>
      </w:r>
      <w:r>
        <w:rPr>
          <w:sz w:val="22"/>
        </w:rPr>
        <w:t xml:space="preserve"> závažné krvácani</w:t>
      </w:r>
      <w:r w:rsidR="00976418">
        <w:rPr>
          <w:sz w:val="22"/>
        </w:rPr>
        <w:t>e</w:t>
      </w:r>
      <w:r>
        <w:rPr>
          <w:sz w:val="22"/>
        </w:rPr>
        <w:t xml:space="preserve"> a  úmrt</w:t>
      </w:r>
      <w:r w:rsidR="00976418">
        <w:rPr>
          <w:sz w:val="22"/>
        </w:rPr>
        <w:t>ie</w:t>
      </w:r>
      <w:r>
        <w:rPr>
          <w:sz w:val="22"/>
        </w:rPr>
        <w:t xml:space="preserve"> z akejkoľvek príčiny (pozri tabuľku </w:t>
      </w:r>
      <w:r w:rsidR="00976418">
        <w:rPr>
          <w:sz w:val="22"/>
        </w:rPr>
        <w:t>7</w:t>
      </w:r>
      <w:r>
        <w:rPr>
          <w:sz w:val="22"/>
        </w:rPr>
        <w:t xml:space="preserve">). Pri zlepšenom sledovaní INR sa znížili pozorované benefity apixabánu v porovnaní s warfarínom týkajúce sa úmrtia z akejkoľvek príčiny. </w:t>
      </w:r>
    </w:p>
    <w:p w14:paraId="1A81DDF7" w14:textId="77777777" w:rsidR="00884F62" w:rsidRDefault="00D25089" w:rsidP="00833B71">
      <w:pPr>
        <w:spacing w:after="0" w:line="240" w:lineRule="auto"/>
        <w:ind w:left="0" w:firstLine="0"/>
        <w:rPr>
          <w:sz w:val="22"/>
        </w:rPr>
      </w:pPr>
      <w:r>
        <w:rPr>
          <w:sz w:val="22"/>
        </w:rPr>
        <w:t xml:space="preserve"> </w:t>
      </w:r>
    </w:p>
    <w:p w14:paraId="032D193C" w14:textId="6B572D85" w:rsidR="00B07789" w:rsidRPr="00513BD2" w:rsidRDefault="00E4410C" w:rsidP="00833B71">
      <w:pPr>
        <w:keepNext/>
        <w:spacing w:after="0" w:line="240" w:lineRule="auto"/>
        <w:ind w:left="0" w:firstLine="0"/>
        <w:rPr>
          <w:b/>
          <w:sz w:val="22"/>
        </w:rPr>
      </w:pPr>
      <w:r>
        <w:rPr>
          <w:b/>
          <w:sz w:val="22"/>
        </w:rPr>
        <w:t>Tabuľka 7</w:t>
      </w:r>
      <w:r w:rsidR="00D25089">
        <w:rPr>
          <w:b/>
          <w:sz w:val="22"/>
        </w:rPr>
        <w:t xml:space="preserve">: Sekundárne </w:t>
      </w:r>
      <w:r w:rsidR="007D47FF">
        <w:rPr>
          <w:b/>
          <w:sz w:val="22"/>
        </w:rPr>
        <w:t xml:space="preserve">cieľové </w:t>
      </w:r>
      <w:r w:rsidR="00D25089">
        <w:rPr>
          <w:b/>
          <w:sz w:val="22"/>
        </w:rPr>
        <w:t xml:space="preserve">ukazovatele u pacientov s fibriláciou predsiení v štúdii ARISTOTLE </w:t>
      </w:r>
    </w:p>
    <w:tbl>
      <w:tblPr>
        <w:tblStyle w:val="TableGrid"/>
        <w:tblW w:w="9405" w:type="dxa"/>
        <w:tblInd w:w="-53" w:type="dxa"/>
        <w:tblCellMar>
          <w:top w:w="54" w:type="dxa"/>
          <w:left w:w="101" w:type="dxa"/>
          <w:right w:w="44" w:type="dxa"/>
        </w:tblCellMar>
        <w:tblLook w:val="04A0" w:firstRow="1" w:lastRow="0" w:firstColumn="1" w:lastColumn="0" w:noHBand="0" w:noVBand="1"/>
      </w:tblPr>
      <w:tblGrid>
        <w:gridCol w:w="2440"/>
        <w:gridCol w:w="1991"/>
        <w:gridCol w:w="1991"/>
        <w:gridCol w:w="1991"/>
        <w:gridCol w:w="992"/>
      </w:tblGrid>
      <w:tr w:rsidR="00B07789" w:rsidRPr="00A731E1" w14:paraId="4CE7FCB5" w14:textId="77777777" w:rsidTr="002901A4">
        <w:trPr>
          <w:trHeight w:val="567"/>
        </w:trPr>
        <w:tc>
          <w:tcPr>
            <w:tcW w:w="2432" w:type="dxa"/>
            <w:tcBorders>
              <w:top w:val="single" w:sz="3" w:space="0" w:color="000000"/>
              <w:left w:val="single" w:sz="3" w:space="0" w:color="000000"/>
              <w:bottom w:val="single" w:sz="3" w:space="0" w:color="000000"/>
              <w:right w:val="single" w:sz="4" w:space="0" w:color="000000"/>
            </w:tcBorders>
          </w:tcPr>
          <w:p w14:paraId="742DD7BA" w14:textId="77777777" w:rsidR="00B07789" w:rsidRPr="007E6137" w:rsidRDefault="00B07789" w:rsidP="00833B71">
            <w:pPr>
              <w:keepNext/>
              <w:spacing w:after="0" w:line="240" w:lineRule="auto"/>
              <w:ind w:left="0" w:right="6" w:firstLine="0"/>
              <w:jc w:val="center"/>
              <w:rPr>
                <w:sz w:val="22"/>
              </w:rPr>
            </w:pPr>
          </w:p>
        </w:tc>
        <w:tc>
          <w:tcPr>
            <w:tcW w:w="1985" w:type="dxa"/>
            <w:tcBorders>
              <w:top w:val="single" w:sz="3" w:space="0" w:color="000000"/>
              <w:left w:val="single" w:sz="4" w:space="0" w:color="000000"/>
              <w:bottom w:val="single" w:sz="3" w:space="0" w:color="000000"/>
              <w:right w:val="single" w:sz="3" w:space="0" w:color="000000"/>
            </w:tcBorders>
          </w:tcPr>
          <w:p w14:paraId="1DB9FEF9" w14:textId="77777777" w:rsidR="0002017F" w:rsidRDefault="0002017F" w:rsidP="00833B71">
            <w:pPr>
              <w:keepNext/>
              <w:spacing w:after="0" w:line="240" w:lineRule="auto"/>
              <w:ind w:left="0" w:right="40" w:firstLine="0"/>
              <w:jc w:val="center"/>
              <w:rPr>
                <w:b/>
                <w:sz w:val="22"/>
              </w:rPr>
            </w:pPr>
            <w:r>
              <w:rPr>
                <w:b/>
                <w:sz w:val="22"/>
              </w:rPr>
              <w:t>Apixabán</w:t>
            </w:r>
          </w:p>
          <w:p w14:paraId="03775F5E" w14:textId="77777777" w:rsidR="00B07789" w:rsidRPr="00A731E1" w:rsidRDefault="00D25089" w:rsidP="00833B71">
            <w:pPr>
              <w:keepNext/>
              <w:spacing w:after="0" w:line="240" w:lineRule="auto"/>
              <w:ind w:left="0" w:right="40" w:firstLine="0"/>
              <w:jc w:val="center"/>
              <w:rPr>
                <w:sz w:val="22"/>
              </w:rPr>
            </w:pPr>
            <w:r>
              <w:rPr>
                <w:b/>
                <w:sz w:val="22"/>
              </w:rPr>
              <w:t>N = 9 088 n (%/rok)</w:t>
            </w:r>
          </w:p>
        </w:tc>
        <w:tc>
          <w:tcPr>
            <w:tcW w:w="1985" w:type="dxa"/>
            <w:tcBorders>
              <w:top w:val="single" w:sz="3" w:space="0" w:color="000000"/>
              <w:left w:val="single" w:sz="3" w:space="0" w:color="000000"/>
              <w:bottom w:val="single" w:sz="3" w:space="0" w:color="000000"/>
              <w:right w:val="single" w:sz="4" w:space="0" w:color="000000"/>
            </w:tcBorders>
          </w:tcPr>
          <w:p w14:paraId="15924283" w14:textId="77777777" w:rsidR="0002017F" w:rsidRDefault="0002017F" w:rsidP="00833B71">
            <w:pPr>
              <w:keepNext/>
              <w:spacing w:after="0" w:line="240" w:lineRule="auto"/>
              <w:ind w:left="0" w:firstLine="0"/>
              <w:jc w:val="center"/>
              <w:rPr>
                <w:b/>
                <w:sz w:val="22"/>
              </w:rPr>
            </w:pPr>
            <w:r>
              <w:rPr>
                <w:b/>
                <w:sz w:val="22"/>
              </w:rPr>
              <w:t xml:space="preserve">Warfarín </w:t>
            </w:r>
          </w:p>
          <w:p w14:paraId="270E5942" w14:textId="77777777" w:rsidR="00B07789" w:rsidRPr="00A731E1" w:rsidRDefault="00D25089" w:rsidP="00833B71">
            <w:pPr>
              <w:keepNext/>
              <w:spacing w:after="0" w:line="240" w:lineRule="auto"/>
              <w:ind w:left="0" w:firstLine="0"/>
              <w:jc w:val="center"/>
              <w:rPr>
                <w:sz w:val="22"/>
              </w:rPr>
            </w:pPr>
            <w:r>
              <w:rPr>
                <w:b/>
                <w:sz w:val="22"/>
              </w:rPr>
              <w:t xml:space="preserve">N = 9 052 n (%/rok) </w:t>
            </w:r>
          </w:p>
        </w:tc>
        <w:tc>
          <w:tcPr>
            <w:tcW w:w="1985" w:type="dxa"/>
            <w:tcBorders>
              <w:top w:val="single" w:sz="3" w:space="0" w:color="000000"/>
              <w:left w:val="single" w:sz="4" w:space="0" w:color="000000"/>
              <w:bottom w:val="single" w:sz="3" w:space="0" w:color="000000"/>
              <w:right w:val="single" w:sz="3" w:space="0" w:color="000000"/>
            </w:tcBorders>
          </w:tcPr>
          <w:p w14:paraId="6C82FF42" w14:textId="77777777" w:rsidR="005B4827" w:rsidRDefault="00D25089" w:rsidP="00833B71">
            <w:pPr>
              <w:keepNext/>
              <w:spacing w:after="0" w:line="240" w:lineRule="auto"/>
              <w:ind w:left="0" w:firstLine="0"/>
              <w:jc w:val="center"/>
              <w:rPr>
                <w:b/>
                <w:sz w:val="22"/>
              </w:rPr>
            </w:pPr>
            <w:r>
              <w:rPr>
                <w:b/>
                <w:sz w:val="22"/>
              </w:rPr>
              <w:t xml:space="preserve">Pomer rizík </w:t>
            </w:r>
          </w:p>
          <w:p w14:paraId="78876F59" w14:textId="77777777" w:rsidR="00B07789" w:rsidRPr="00A731E1" w:rsidRDefault="00D25089" w:rsidP="00833B71">
            <w:pPr>
              <w:keepNext/>
              <w:spacing w:after="0" w:line="240" w:lineRule="auto"/>
              <w:ind w:left="0" w:firstLine="0"/>
              <w:jc w:val="center"/>
              <w:rPr>
                <w:sz w:val="22"/>
              </w:rPr>
            </w:pPr>
            <w:r>
              <w:rPr>
                <w:b/>
                <w:sz w:val="22"/>
              </w:rPr>
              <w:t xml:space="preserve">(95 % IS) </w:t>
            </w:r>
          </w:p>
        </w:tc>
        <w:tc>
          <w:tcPr>
            <w:tcW w:w="700" w:type="dxa"/>
            <w:tcBorders>
              <w:top w:val="single" w:sz="3" w:space="0" w:color="000000"/>
              <w:left w:val="single" w:sz="3" w:space="0" w:color="000000"/>
              <w:bottom w:val="single" w:sz="3" w:space="0" w:color="000000"/>
              <w:right w:val="single" w:sz="3" w:space="0" w:color="000000"/>
            </w:tcBorders>
          </w:tcPr>
          <w:p w14:paraId="7EC7AA94" w14:textId="0DB95FE4" w:rsidR="00B07789" w:rsidRPr="00A731E1" w:rsidRDefault="00C22708" w:rsidP="00833B71">
            <w:pPr>
              <w:keepNext/>
              <w:spacing w:after="0" w:line="240" w:lineRule="auto"/>
              <w:ind w:left="0" w:right="58" w:firstLine="0"/>
              <w:jc w:val="center"/>
              <w:rPr>
                <w:sz w:val="22"/>
              </w:rPr>
            </w:pPr>
            <w:r>
              <w:rPr>
                <w:b/>
                <w:sz w:val="22"/>
              </w:rPr>
              <w:t>h</w:t>
            </w:r>
            <w:r w:rsidR="00D25089">
              <w:rPr>
                <w:b/>
                <w:sz w:val="22"/>
              </w:rPr>
              <w:t>odnota</w:t>
            </w:r>
            <w:r>
              <w:rPr>
                <w:b/>
                <w:sz w:val="22"/>
              </w:rPr>
              <w:t xml:space="preserve"> p</w:t>
            </w:r>
            <w:r w:rsidR="00D25089">
              <w:rPr>
                <w:b/>
                <w:sz w:val="22"/>
              </w:rPr>
              <w:t xml:space="preserve"> </w:t>
            </w:r>
          </w:p>
        </w:tc>
      </w:tr>
      <w:tr w:rsidR="005B4827" w:rsidRPr="00A731E1" w14:paraId="10E73FE1" w14:textId="77777777" w:rsidTr="002901A4">
        <w:trPr>
          <w:trHeight w:val="271"/>
        </w:trPr>
        <w:tc>
          <w:tcPr>
            <w:tcW w:w="1985" w:type="dxa"/>
            <w:gridSpan w:val="5"/>
            <w:tcBorders>
              <w:top w:val="single" w:sz="3" w:space="0" w:color="000000"/>
              <w:left w:val="single" w:sz="3" w:space="0" w:color="000000"/>
              <w:bottom w:val="single" w:sz="3" w:space="0" w:color="000000"/>
              <w:right w:val="single" w:sz="3" w:space="0" w:color="000000"/>
            </w:tcBorders>
          </w:tcPr>
          <w:p w14:paraId="7AD678DA" w14:textId="77777777" w:rsidR="005B4827" w:rsidRPr="00A731E1" w:rsidRDefault="005B4827" w:rsidP="00833B71">
            <w:pPr>
              <w:keepNext/>
              <w:spacing w:after="0" w:line="240" w:lineRule="auto"/>
              <w:ind w:left="0" w:firstLine="0"/>
              <w:rPr>
                <w:sz w:val="22"/>
              </w:rPr>
            </w:pPr>
            <w:r>
              <w:rPr>
                <w:sz w:val="22"/>
              </w:rPr>
              <w:t xml:space="preserve">Výsledky krvácania </w:t>
            </w:r>
          </w:p>
        </w:tc>
      </w:tr>
      <w:tr w:rsidR="00B07789" w:rsidRPr="00A731E1" w14:paraId="6C5A3605" w14:textId="77777777" w:rsidTr="002901A4">
        <w:trPr>
          <w:trHeight w:val="272"/>
        </w:trPr>
        <w:tc>
          <w:tcPr>
            <w:tcW w:w="2432" w:type="dxa"/>
            <w:tcBorders>
              <w:top w:val="single" w:sz="3" w:space="0" w:color="000000"/>
              <w:left w:val="single" w:sz="3" w:space="0" w:color="000000"/>
              <w:bottom w:val="single" w:sz="4" w:space="0" w:color="000000"/>
              <w:right w:val="single" w:sz="4" w:space="0" w:color="000000"/>
            </w:tcBorders>
          </w:tcPr>
          <w:p w14:paraId="128A57CF" w14:textId="77777777" w:rsidR="00B07789" w:rsidRPr="00A731E1" w:rsidRDefault="00D25089" w:rsidP="002901A4">
            <w:pPr>
              <w:keepNext/>
              <w:spacing w:after="0" w:line="240" w:lineRule="auto"/>
              <w:ind w:left="229" w:firstLine="0"/>
              <w:rPr>
                <w:sz w:val="22"/>
              </w:rPr>
            </w:pPr>
            <w:r>
              <w:rPr>
                <w:sz w:val="22"/>
              </w:rPr>
              <w:t xml:space="preserve">Závažné* </w:t>
            </w:r>
          </w:p>
        </w:tc>
        <w:tc>
          <w:tcPr>
            <w:tcW w:w="1985" w:type="dxa"/>
            <w:tcBorders>
              <w:top w:val="single" w:sz="3" w:space="0" w:color="000000"/>
              <w:left w:val="single" w:sz="4" w:space="0" w:color="000000"/>
              <w:bottom w:val="single" w:sz="4" w:space="0" w:color="000000"/>
              <w:right w:val="single" w:sz="3" w:space="0" w:color="000000"/>
            </w:tcBorders>
          </w:tcPr>
          <w:p w14:paraId="60575519" w14:textId="77777777" w:rsidR="00B07789" w:rsidRPr="00A731E1" w:rsidRDefault="00D25089" w:rsidP="002901A4">
            <w:pPr>
              <w:keepNext/>
              <w:spacing w:after="0" w:line="240" w:lineRule="auto"/>
              <w:ind w:left="0" w:right="60" w:firstLine="0"/>
              <w:jc w:val="center"/>
              <w:rPr>
                <w:sz w:val="22"/>
              </w:rPr>
            </w:pPr>
            <w:r>
              <w:rPr>
                <w:sz w:val="22"/>
              </w:rPr>
              <w:t>327 (2,13)</w:t>
            </w:r>
          </w:p>
        </w:tc>
        <w:tc>
          <w:tcPr>
            <w:tcW w:w="1985" w:type="dxa"/>
            <w:tcBorders>
              <w:top w:val="single" w:sz="3" w:space="0" w:color="000000"/>
              <w:left w:val="single" w:sz="3" w:space="0" w:color="000000"/>
              <w:bottom w:val="single" w:sz="4" w:space="0" w:color="000000"/>
              <w:right w:val="single" w:sz="4" w:space="0" w:color="000000"/>
            </w:tcBorders>
          </w:tcPr>
          <w:p w14:paraId="11688311" w14:textId="77777777" w:rsidR="00B07789" w:rsidRPr="00A731E1" w:rsidRDefault="00D25089" w:rsidP="002901A4">
            <w:pPr>
              <w:keepNext/>
              <w:spacing w:after="0" w:line="240" w:lineRule="auto"/>
              <w:ind w:left="0" w:right="57" w:firstLine="0"/>
              <w:jc w:val="center"/>
              <w:rPr>
                <w:sz w:val="22"/>
              </w:rPr>
            </w:pPr>
            <w:r>
              <w:rPr>
                <w:sz w:val="22"/>
              </w:rPr>
              <w:t>462 (3,09)</w:t>
            </w:r>
          </w:p>
        </w:tc>
        <w:tc>
          <w:tcPr>
            <w:tcW w:w="1985" w:type="dxa"/>
            <w:tcBorders>
              <w:top w:val="single" w:sz="3" w:space="0" w:color="000000"/>
              <w:left w:val="single" w:sz="4" w:space="0" w:color="000000"/>
              <w:bottom w:val="single" w:sz="4" w:space="0" w:color="000000"/>
              <w:right w:val="single" w:sz="3" w:space="0" w:color="000000"/>
            </w:tcBorders>
          </w:tcPr>
          <w:p w14:paraId="7178D4A0" w14:textId="77777777" w:rsidR="00B07789" w:rsidRPr="00A731E1" w:rsidRDefault="00D25089" w:rsidP="002901A4">
            <w:pPr>
              <w:keepNext/>
              <w:spacing w:after="0" w:line="240" w:lineRule="auto"/>
              <w:ind w:left="0" w:right="58" w:firstLine="0"/>
              <w:jc w:val="center"/>
              <w:rPr>
                <w:sz w:val="22"/>
              </w:rPr>
            </w:pPr>
            <w:r>
              <w:rPr>
                <w:sz w:val="22"/>
              </w:rPr>
              <w:t>0,69 (0,60; 0,80)</w:t>
            </w:r>
          </w:p>
        </w:tc>
        <w:tc>
          <w:tcPr>
            <w:tcW w:w="700" w:type="dxa"/>
            <w:tcBorders>
              <w:top w:val="single" w:sz="3" w:space="0" w:color="000000"/>
              <w:left w:val="single" w:sz="3" w:space="0" w:color="000000"/>
              <w:bottom w:val="single" w:sz="4" w:space="0" w:color="000000"/>
              <w:right w:val="single" w:sz="3" w:space="0" w:color="000000"/>
            </w:tcBorders>
          </w:tcPr>
          <w:p w14:paraId="4381F9D5" w14:textId="77777777" w:rsidR="00B07789" w:rsidRPr="00A731E1" w:rsidRDefault="00D25089" w:rsidP="002901A4">
            <w:pPr>
              <w:keepNext/>
              <w:spacing w:after="0" w:line="240" w:lineRule="auto"/>
              <w:ind w:left="0" w:right="58" w:firstLine="0"/>
              <w:jc w:val="center"/>
              <w:rPr>
                <w:sz w:val="22"/>
              </w:rPr>
            </w:pPr>
            <w:r>
              <w:rPr>
                <w:sz w:val="22"/>
              </w:rPr>
              <w:t>&lt; 0,0001</w:t>
            </w:r>
          </w:p>
        </w:tc>
      </w:tr>
      <w:tr w:rsidR="00B07789" w:rsidRPr="00A731E1" w14:paraId="6C4CB1BB" w14:textId="77777777" w:rsidTr="002901A4">
        <w:trPr>
          <w:trHeight w:val="264"/>
        </w:trPr>
        <w:tc>
          <w:tcPr>
            <w:tcW w:w="2432" w:type="dxa"/>
            <w:tcBorders>
              <w:top w:val="single" w:sz="4" w:space="0" w:color="000000"/>
              <w:left w:val="single" w:sz="3" w:space="0" w:color="000000"/>
              <w:bottom w:val="single" w:sz="4" w:space="0" w:color="000000"/>
              <w:right w:val="single" w:sz="4" w:space="0" w:color="000000"/>
            </w:tcBorders>
          </w:tcPr>
          <w:p w14:paraId="5BD74F42" w14:textId="77777777" w:rsidR="00B07789" w:rsidRPr="00A731E1" w:rsidRDefault="00D25089" w:rsidP="002901A4">
            <w:pPr>
              <w:spacing w:after="0" w:line="240" w:lineRule="auto"/>
              <w:ind w:left="512" w:right="209" w:firstLine="0"/>
              <w:rPr>
                <w:sz w:val="22"/>
              </w:rPr>
            </w:pPr>
            <w:r>
              <w:rPr>
                <w:sz w:val="22"/>
              </w:rPr>
              <w:t xml:space="preserve">Fatálne </w:t>
            </w:r>
          </w:p>
        </w:tc>
        <w:tc>
          <w:tcPr>
            <w:tcW w:w="1985" w:type="dxa"/>
            <w:tcBorders>
              <w:top w:val="single" w:sz="4" w:space="0" w:color="000000"/>
              <w:left w:val="single" w:sz="4" w:space="0" w:color="000000"/>
              <w:bottom w:val="single" w:sz="4" w:space="0" w:color="000000"/>
              <w:right w:val="single" w:sz="3" w:space="0" w:color="000000"/>
            </w:tcBorders>
          </w:tcPr>
          <w:p w14:paraId="6E08711D" w14:textId="77777777" w:rsidR="00B07789" w:rsidRPr="00A731E1" w:rsidRDefault="00D25089" w:rsidP="002901A4">
            <w:pPr>
              <w:spacing w:after="0" w:line="240" w:lineRule="auto"/>
              <w:ind w:left="0" w:right="60" w:firstLine="0"/>
              <w:jc w:val="center"/>
              <w:rPr>
                <w:sz w:val="22"/>
              </w:rPr>
            </w:pPr>
            <w:r>
              <w:rPr>
                <w:sz w:val="22"/>
              </w:rPr>
              <w:t>10 (0,06)</w:t>
            </w:r>
          </w:p>
        </w:tc>
        <w:tc>
          <w:tcPr>
            <w:tcW w:w="1985" w:type="dxa"/>
            <w:tcBorders>
              <w:top w:val="single" w:sz="4" w:space="0" w:color="000000"/>
              <w:left w:val="single" w:sz="3" w:space="0" w:color="000000"/>
              <w:bottom w:val="single" w:sz="4" w:space="0" w:color="000000"/>
              <w:right w:val="single" w:sz="4" w:space="0" w:color="000000"/>
            </w:tcBorders>
          </w:tcPr>
          <w:p w14:paraId="54E85314" w14:textId="77777777" w:rsidR="00B07789" w:rsidRPr="00A731E1" w:rsidRDefault="00D25089" w:rsidP="002901A4">
            <w:pPr>
              <w:spacing w:after="0" w:line="240" w:lineRule="auto"/>
              <w:ind w:left="0" w:right="56" w:firstLine="0"/>
              <w:jc w:val="center"/>
              <w:rPr>
                <w:sz w:val="22"/>
              </w:rPr>
            </w:pPr>
            <w:r>
              <w:rPr>
                <w:sz w:val="22"/>
              </w:rPr>
              <w:t>37 (0,24)</w:t>
            </w:r>
          </w:p>
        </w:tc>
        <w:tc>
          <w:tcPr>
            <w:tcW w:w="1985" w:type="dxa"/>
            <w:tcBorders>
              <w:top w:val="single" w:sz="4" w:space="0" w:color="000000"/>
              <w:left w:val="single" w:sz="4" w:space="0" w:color="000000"/>
              <w:bottom w:val="single" w:sz="4" w:space="0" w:color="000000"/>
              <w:right w:val="single" w:sz="3" w:space="0" w:color="000000"/>
            </w:tcBorders>
          </w:tcPr>
          <w:p w14:paraId="6FC815AE" w14:textId="77777777" w:rsidR="00B07789" w:rsidRPr="00A731E1" w:rsidRDefault="00B07789" w:rsidP="002901A4">
            <w:pPr>
              <w:spacing w:after="0" w:line="240" w:lineRule="auto"/>
              <w:ind w:left="0" w:right="6" w:firstLine="0"/>
              <w:jc w:val="center"/>
              <w:rPr>
                <w:sz w:val="22"/>
                <w:lang w:val="en-GB"/>
              </w:rPr>
            </w:pPr>
          </w:p>
        </w:tc>
        <w:tc>
          <w:tcPr>
            <w:tcW w:w="700" w:type="dxa"/>
            <w:tcBorders>
              <w:top w:val="single" w:sz="4" w:space="0" w:color="000000"/>
              <w:left w:val="single" w:sz="3" w:space="0" w:color="000000"/>
              <w:bottom w:val="single" w:sz="4" w:space="0" w:color="000000"/>
              <w:right w:val="single" w:sz="3" w:space="0" w:color="000000"/>
            </w:tcBorders>
          </w:tcPr>
          <w:p w14:paraId="69F4B83B" w14:textId="77777777" w:rsidR="00B07789" w:rsidRPr="00A731E1" w:rsidRDefault="00B07789" w:rsidP="002901A4">
            <w:pPr>
              <w:spacing w:after="0" w:line="240" w:lineRule="auto"/>
              <w:ind w:left="0" w:right="7" w:firstLine="0"/>
              <w:jc w:val="center"/>
              <w:rPr>
                <w:sz w:val="22"/>
                <w:lang w:val="en-GB"/>
              </w:rPr>
            </w:pPr>
          </w:p>
        </w:tc>
      </w:tr>
      <w:tr w:rsidR="00B07789" w:rsidRPr="00A731E1" w14:paraId="353A523A" w14:textId="77777777" w:rsidTr="002901A4">
        <w:trPr>
          <w:trHeight w:val="247"/>
        </w:trPr>
        <w:tc>
          <w:tcPr>
            <w:tcW w:w="2432" w:type="dxa"/>
            <w:tcBorders>
              <w:top w:val="single" w:sz="4" w:space="0" w:color="000000"/>
              <w:left w:val="single" w:sz="3" w:space="0" w:color="000000"/>
              <w:bottom w:val="single" w:sz="4" w:space="0" w:color="000000"/>
              <w:right w:val="single" w:sz="4" w:space="0" w:color="000000"/>
            </w:tcBorders>
          </w:tcPr>
          <w:p w14:paraId="554B4E44" w14:textId="77777777" w:rsidR="00B07789" w:rsidRPr="00A731E1" w:rsidRDefault="00D25089" w:rsidP="002901A4">
            <w:pPr>
              <w:spacing w:after="0" w:line="240" w:lineRule="auto"/>
              <w:ind w:left="512" w:firstLine="0"/>
              <w:rPr>
                <w:sz w:val="22"/>
              </w:rPr>
            </w:pPr>
            <w:r>
              <w:rPr>
                <w:sz w:val="22"/>
              </w:rPr>
              <w:t xml:space="preserve">Intrakraniálne </w:t>
            </w:r>
          </w:p>
        </w:tc>
        <w:tc>
          <w:tcPr>
            <w:tcW w:w="1985" w:type="dxa"/>
            <w:tcBorders>
              <w:top w:val="single" w:sz="4" w:space="0" w:color="000000"/>
              <w:left w:val="single" w:sz="4" w:space="0" w:color="000000"/>
              <w:bottom w:val="single" w:sz="4" w:space="0" w:color="000000"/>
              <w:right w:val="single" w:sz="3" w:space="0" w:color="000000"/>
            </w:tcBorders>
          </w:tcPr>
          <w:p w14:paraId="45065FF1" w14:textId="77777777" w:rsidR="00B07789" w:rsidRPr="00A731E1" w:rsidRDefault="00D25089" w:rsidP="002901A4">
            <w:pPr>
              <w:spacing w:after="0" w:line="240" w:lineRule="auto"/>
              <w:ind w:left="0" w:right="62" w:firstLine="0"/>
              <w:jc w:val="center"/>
              <w:rPr>
                <w:sz w:val="22"/>
              </w:rPr>
            </w:pPr>
            <w:r>
              <w:rPr>
                <w:sz w:val="22"/>
              </w:rPr>
              <w:t>52 (0,33)</w:t>
            </w:r>
          </w:p>
        </w:tc>
        <w:tc>
          <w:tcPr>
            <w:tcW w:w="1985" w:type="dxa"/>
            <w:tcBorders>
              <w:top w:val="single" w:sz="4" w:space="0" w:color="000000"/>
              <w:left w:val="single" w:sz="3" w:space="0" w:color="000000"/>
              <w:bottom w:val="single" w:sz="4" w:space="0" w:color="000000"/>
              <w:right w:val="single" w:sz="4" w:space="0" w:color="000000"/>
            </w:tcBorders>
          </w:tcPr>
          <w:p w14:paraId="209B8734" w14:textId="77777777" w:rsidR="00B07789" w:rsidRPr="00A731E1" w:rsidRDefault="00D25089" w:rsidP="002901A4">
            <w:pPr>
              <w:spacing w:after="0" w:line="240" w:lineRule="auto"/>
              <w:ind w:left="0" w:right="59" w:firstLine="0"/>
              <w:jc w:val="center"/>
              <w:rPr>
                <w:sz w:val="22"/>
              </w:rPr>
            </w:pPr>
            <w:r>
              <w:rPr>
                <w:sz w:val="22"/>
              </w:rPr>
              <w:t>122 (0,80)</w:t>
            </w:r>
          </w:p>
        </w:tc>
        <w:tc>
          <w:tcPr>
            <w:tcW w:w="1985" w:type="dxa"/>
            <w:tcBorders>
              <w:top w:val="single" w:sz="4" w:space="0" w:color="000000"/>
              <w:left w:val="single" w:sz="4" w:space="0" w:color="000000"/>
              <w:bottom w:val="single" w:sz="4" w:space="0" w:color="000000"/>
              <w:right w:val="single" w:sz="3" w:space="0" w:color="000000"/>
            </w:tcBorders>
          </w:tcPr>
          <w:p w14:paraId="099EA9E4" w14:textId="77777777" w:rsidR="00B07789" w:rsidRPr="00A731E1" w:rsidRDefault="00B07789" w:rsidP="002901A4">
            <w:pPr>
              <w:spacing w:after="0" w:line="240" w:lineRule="auto"/>
              <w:ind w:left="0" w:firstLine="0"/>
              <w:jc w:val="center"/>
              <w:rPr>
                <w:sz w:val="22"/>
                <w:lang w:val="en-GB"/>
              </w:rPr>
            </w:pPr>
          </w:p>
        </w:tc>
        <w:tc>
          <w:tcPr>
            <w:tcW w:w="700" w:type="dxa"/>
            <w:tcBorders>
              <w:top w:val="single" w:sz="4" w:space="0" w:color="000000"/>
              <w:left w:val="single" w:sz="3" w:space="0" w:color="000000"/>
              <w:bottom w:val="single" w:sz="4" w:space="0" w:color="000000"/>
              <w:right w:val="single" w:sz="3" w:space="0" w:color="000000"/>
            </w:tcBorders>
          </w:tcPr>
          <w:p w14:paraId="26E834B2" w14:textId="77777777" w:rsidR="00B07789" w:rsidRPr="00A731E1" w:rsidRDefault="00B07789" w:rsidP="002901A4">
            <w:pPr>
              <w:spacing w:after="0" w:line="240" w:lineRule="auto"/>
              <w:ind w:left="0" w:right="8" w:firstLine="0"/>
              <w:jc w:val="center"/>
              <w:rPr>
                <w:sz w:val="22"/>
                <w:lang w:val="en-GB"/>
              </w:rPr>
            </w:pPr>
          </w:p>
        </w:tc>
      </w:tr>
      <w:tr w:rsidR="00B07789" w:rsidRPr="00A731E1" w14:paraId="2FD20CCD" w14:textId="77777777" w:rsidTr="002901A4">
        <w:trPr>
          <w:trHeight w:val="271"/>
        </w:trPr>
        <w:tc>
          <w:tcPr>
            <w:tcW w:w="2432" w:type="dxa"/>
            <w:tcBorders>
              <w:top w:val="single" w:sz="4" w:space="0" w:color="000000"/>
              <w:left w:val="single" w:sz="3" w:space="0" w:color="000000"/>
              <w:bottom w:val="single" w:sz="4" w:space="0" w:color="000000"/>
              <w:right w:val="single" w:sz="4" w:space="0" w:color="000000"/>
            </w:tcBorders>
          </w:tcPr>
          <w:p w14:paraId="19715270" w14:textId="3CF3E7A3" w:rsidR="00B07789" w:rsidRPr="00A731E1" w:rsidRDefault="00D25089" w:rsidP="002901A4">
            <w:pPr>
              <w:spacing w:after="0" w:line="240" w:lineRule="auto"/>
              <w:ind w:left="229" w:right="88" w:firstLine="0"/>
              <w:rPr>
                <w:sz w:val="22"/>
              </w:rPr>
            </w:pPr>
            <w:r>
              <w:rPr>
                <w:sz w:val="22"/>
              </w:rPr>
              <w:t xml:space="preserve">Závažné + CRNM </w:t>
            </w:r>
          </w:p>
        </w:tc>
        <w:tc>
          <w:tcPr>
            <w:tcW w:w="1985" w:type="dxa"/>
            <w:tcBorders>
              <w:top w:val="single" w:sz="4" w:space="0" w:color="000000"/>
              <w:left w:val="single" w:sz="4" w:space="0" w:color="000000"/>
              <w:bottom w:val="single" w:sz="4" w:space="0" w:color="000000"/>
              <w:right w:val="single" w:sz="3" w:space="0" w:color="000000"/>
            </w:tcBorders>
          </w:tcPr>
          <w:p w14:paraId="2B746496" w14:textId="77777777" w:rsidR="00B07789" w:rsidRPr="00A731E1" w:rsidRDefault="00D25089" w:rsidP="002901A4">
            <w:pPr>
              <w:spacing w:after="0" w:line="240" w:lineRule="auto"/>
              <w:ind w:left="0" w:right="61" w:firstLine="0"/>
              <w:jc w:val="center"/>
              <w:rPr>
                <w:sz w:val="22"/>
              </w:rPr>
            </w:pPr>
            <w:r>
              <w:rPr>
                <w:sz w:val="22"/>
              </w:rPr>
              <w:t>613 (4,07)</w:t>
            </w:r>
          </w:p>
        </w:tc>
        <w:tc>
          <w:tcPr>
            <w:tcW w:w="1985" w:type="dxa"/>
            <w:tcBorders>
              <w:top w:val="single" w:sz="4" w:space="0" w:color="000000"/>
              <w:left w:val="single" w:sz="3" w:space="0" w:color="000000"/>
              <w:bottom w:val="single" w:sz="4" w:space="0" w:color="000000"/>
              <w:right w:val="single" w:sz="4" w:space="0" w:color="000000"/>
            </w:tcBorders>
          </w:tcPr>
          <w:p w14:paraId="2B43966D" w14:textId="77777777" w:rsidR="00B07789" w:rsidRPr="00A731E1" w:rsidRDefault="00D25089" w:rsidP="002901A4">
            <w:pPr>
              <w:spacing w:after="0" w:line="240" w:lineRule="auto"/>
              <w:ind w:left="0" w:right="58" w:firstLine="0"/>
              <w:jc w:val="center"/>
              <w:rPr>
                <w:sz w:val="22"/>
              </w:rPr>
            </w:pPr>
            <w:r>
              <w:rPr>
                <w:sz w:val="22"/>
              </w:rPr>
              <w:t>877 (6,01)</w:t>
            </w:r>
          </w:p>
        </w:tc>
        <w:tc>
          <w:tcPr>
            <w:tcW w:w="1985" w:type="dxa"/>
            <w:tcBorders>
              <w:top w:val="single" w:sz="4" w:space="0" w:color="000000"/>
              <w:left w:val="single" w:sz="4" w:space="0" w:color="000000"/>
              <w:bottom w:val="single" w:sz="4" w:space="0" w:color="000000"/>
              <w:right w:val="single" w:sz="3" w:space="0" w:color="000000"/>
            </w:tcBorders>
          </w:tcPr>
          <w:p w14:paraId="5AEE9575" w14:textId="77777777" w:rsidR="00B07789" w:rsidRPr="00A731E1" w:rsidRDefault="00D25089" w:rsidP="002901A4">
            <w:pPr>
              <w:spacing w:after="0" w:line="240" w:lineRule="auto"/>
              <w:ind w:left="0" w:right="59" w:firstLine="0"/>
              <w:jc w:val="center"/>
              <w:rPr>
                <w:sz w:val="22"/>
              </w:rPr>
            </w:pPr>
            <w:r>
              <w:rPr>
                <w:sz w:val="22"/>
              </w:rPr>
              <w:t>0,68 (0,61; 0,75)</w:t>
            </w:r>
          </w:p>
        </w:tc>
        <w:tc>
          <w:tcPr>
            <w:tcW w:w="700" w:type="dxa"/>
            <w:tcBorders>
              <w:top w:val="single" w:sz="4" w:space="0" w:color="000000"/>
              <w:left w:val="single" w:sz="3" w:space="0" w:color="000000"/>
              <w:bottom w:val="single" w:sz="4" w:space="0" w:color="000000"/>
              <w:right w:val="single" w:sz="3" w:space="0" w:color="000000"/>
            </w:tcBorders>
          </w:tcPr>
          <w:p w14:paraId="0DE89CBF" w14:textId="77777777" w:rsidR="00B07789" w:rsidRPr="00A731E1" w:rsidRDefault="00D25089" w:rsidP="002901A4">
            <w:pPr>
              <w:spacing w:after="0" w:line="240" w:lineRule="auto"/>
              <w:ind w:left="0" w:right="59" w:firstLine="0"/>
              <w:jc w:val="center"/>
              <w:rPr>
                <w:sz w:val="22"/>
              </w:rPr>
            </w:pPr>
            <w:r>
              <w:rPr>
                <w:sz w:val="22"/>
              </w:rPr>
              <w:t>&lt; 0,0001</w:t>
            </w:r>
          </w:p>
        </w:tc>
      </w:tr>
      <w:tr w:rsidR="00B07789" w:rsidRPr="00A731E1" w14:paraId="6BBF90ED" w14:textId="77777777" w:rsidTr="002901A4">
        <w:trPr>
          <w:trHeight w:val="247"/>
        </w:trPr>
        <w:tc>
          <w:tcPr>
            <w:tcW w:w="2432" w:type="dxa"/>
            <w:tcBorders>
              <w:top w:val="single" w:sz="4" w:space="0" w:color="000000"/>
              <w:left w:val="single" w:sz="3" w:space="0" w:color="000000"/>
              <w:bottom w:val="single" w:sz="4" w:space="0" w:color="000000"/>
              <w:right w:val="single" w:sz="4" w:space="0" w:color="000000"/>
            </w:tcBorders>
          </w:tcPr>
          <w:p w14:paraId="2841DDE7" w14:textId="77777777" w:rsidR="00B07789" w:rsidRPr="00A731E1" w:rsidRDefault="00D25089" w:rsidP="002901A4">
            <w:pPr>
              <w:spacing w:after="0" w:line="240" w:lineRule="auto"/>
              <w:ind w:left="229" w:firstLine="0"/>
              <w:rPr>
                <w:sz w:val="22"/>
              </w:rPr>
            </w:pPr>
            <w:r>
              <w:rPr>
                <w:sz w:val="22"/>
              </w:rPr>
              <w:t xml:space="preserve">Všetky </w:t>
            </w:r>
          </w:p>
        </w:tc>
        <w:tc>
          <w:tcPr>
            <w:tcW w:w="1985" w:type="dxa"/>
            <w:tcBorders>
              <w:top w:val="single" w:sz="4" w:space="0" w:color="000000"/>
              <w:left w:val="single" w:sz="4" w:space="0" w:color="000000"/>
              <w:bottom w:val="single" w:sz="4" w:space="0" w:color="000000"/>
              <w:right w:val="single" w:sz="3" w:space="0" w:color="000000"/>
            </w:tcBorders>
          </w:tcPr>
          <w:p w14:paraId="01EAC110" w14:textId="2D258764" w:rsidR="00B07789" w:rsidRPr="00A731E1" w:rsidRDefault="00D25089" w:rsidP="002901A4">
            <w:pPr>
              <w:spacing w:after="0" w:line="240" w:lineRule="auto"/>
              <w:ind w:left="0" w:right="61" w:firstLine="0"/>
              <w:jc w:val="center"/>
              <w:rPr>
                <w:sz w:val="22"/>
              </w:rPr>
            </w:pPr>
            <w:r>
              <w:rPr>
                <w:sz w:val="22"/>
              </w:rPr>
              <w:t>2</w:t>
            </w:r>
            <w:r w:rsidR="007D47FF">
              <w:rPr>
                <w:sz w:val="22"/>
              </w:rPr>
              <w:t xml:space="preserve"> </w:t>
            </w:r>
            <w:r>
              <w:rPr>
                <w:sz w:val="22"/>
              </w:rPr>
              <w:t>356 (18,1)</w:t>
            </w:r>
          </w:p>
        </w:tc>
        <w:tc>
          <w:tcPr>
            <w:tcW w:w="1985" w:type="dxa"/>
            <w:tcBorders>
              <w:top w:val="single" w:sz="4" w:space="0" w:color="000000"/>
              <w:left w:val="single" w:sz="3" w:space="0" w:color="000000"/>
              <w:bottom w:val="single" w:sz="4" w:space="0" w:color="000000"/>
              <w:right w:val="single" w:sz="4" w:space="0" w:color="000000"/>
            </w:tcBorders>
          </w:tcPr>
          <w:p w14:paraId="25FD23A2" w14:textId="13C7CE4A" w:rsidR="00B07789" w:rsidRPr="00A731E1" w:rsidRDefault="00D25089" w:rsidP="002901A4">
            <w:pPr>
              <w:spacing w:after="0" w:line="240" w:lineRule="auto"/>
              <w:ind w:left="0" w:right="60" w:firstLine="0"/>
              <w:jc w:val="center"/>
              <w:rPr>
                <w:sz w:val="22"/>
              </w:rPr>
            </w:pPr>
            <w:r>
              <w:rPr>
                <w:sz w:val="22"/>
              </w:rPr>
              <w:t>3</w:t>
            </w:r>
            <w:r w:rsidR="007D47FF">
              <w:rPr>
                <w:sz w:val="22"/>
              </w:rPr>
              <w:t xml:space="preserve"> </w:t>
            </w:r>
            <w:r>
              <w:rPr>
                <w:sz w:val="22"/>
              </w:rPr>
              <w:t>060 (25,8)</w:t>
            </w:r>
          </w:p>
        </w:tc>
        <w:tc>
          <w:tcPr>
            <w:tcW w:w="1985" w:type="dxa"/>
            <w:tcBorders>
              <w:top w:val="single" w:sz="4" w:space="0" w:color="000000"/>
              <w:left w:val="single" w:sz="4" w:space="0" w:color="000000"/>
              <w:bottom w:val="single" w:sz="4" w:space="0" w:color="000000"/>
              <w:right w:val="single" w:sz="3" w:space="0" w:color="000000"/>
            </w:tcBorders>
          </w:tcPr>
          <w:p w14:paraId="7B4CC6C1" w14:textId="77777777" w:rsidR="00B07789" w:rsidRPr="00A731E1" w:rsidRDefault="00D25089" w:rsidP="002901A4">
            <w:pPr>
              <w:spacing w:after="0" w:line="240" w:lineRule="auto"/>
              <w:ind w:left="0" w:right="58" w:firstLine="0"/>
              <w:jc w:val="center"/>
              <w:rPr>
                <w:sz w:val="22"/>
              </w:rPr>
            </w:pPr>
            <w:r>
              <w:rPr>
                <w:sz w:val="22"/>
              </w:rPr>
              <w:t>0,71 (0,68; 0,75)</w:t>
            </w:r>
          </w:p>
        </w:tc>
        <w:tc>
          <w:tcPr>
            <w:tcW w:w="700" w:type="dxa"/>
            <w:tcBorders>
              <w:top w:val="single" w:sz="4" w:space="0" w:color="000000"/>
              <w:left w:val="single" w:sz="3" w:space="0" w:color="000000"/>
              <w:bottom w:val="single" w:sz="4" w:space="0" w:color="000000"/>
              <w:right w:val="single" w:sz="3" w:space="0" w:color="000000"/>
            </w:tcBorders>
          </w:tcPr>
          <w:p w14:paraId="4B71E734" w14:textId="77777777" w:rsidR="00B07789" w:rsidRPr="00A731E1" w:rsidRDefault="00D25089" w:rsidP="002901A4">
            <w:pPr>
              <w:spacing w:after="0" w:line="240" w:lineRule="auto"/>
              <w:ind w:left="0" w:right="58" w:firstLine="0"/>
              <w:jc w:val="center"/>
              <w:rPr>
                <w:sz w:val="22"/>
              </w:rPr>
            </w:pPr>
            <w:r>
              <w:rPr>
                <w:sz w:val="22"/>
              </w:rPr>
              <w:t>&lt; 0,0001</w:t>
            </w:r>
          </w:p>
        </w:tc>
      </w:tr>
      <w:tr w:rsidR="005B4827" w:rsidRPr="00A731E1" w14:paraId="2445141A" w14:textId="77777777" w:rsidTr="002901A4">
        <w:trPr>
          <w:trHeight w:val="360"/>
        </w:trPr>
        <w:tc>
          <w:tcPr>
            <w:tcW w:w="1985" w:type="dxa"/>
            <w:gridSpan w:val="5"/>
            <w:tcBorders>
              <w:top w:val="single" w:sz="4" w:space="0" w:color="000000"/>
              <w:left w:val="single" w:sz="3" w:space="0" w:color="000000"/>
              <w:bottom w:val="single" w:sz="4" w:space="0" w:color="000000"/>
              <w:right w:val="single" w:sz="3" w:space="0" w:color="000000"/>
            </w:tcBorders>
          </w:tcPr>
          <w:p w14:paraId="2F27C88A" w14:textId="0A7A2BF3" w:rsidR="005B4827" w:rsidRPr="00A731E1" w:rsidRDefault="005B4827" w:rsidP="007D47FF">
            <w:pPr>
              <w:spacing w:after="0" w:line="240" w:lineRule="auto"/>
              <w:ind w:left="0" w:firstLine="0"/>
              <w:rPr>
                <w:sz w:val="22"/>
              </w:rPr>
            </w:pPr>
            <w:r>
              <w:rPr>
                <w:sz w:val="22"/>
              </w:rPr>
              <w:t xml:space="preserve">Iné </w:t>
            </w:r>
            <w:r w:rsidR="007D47FF">
              <w:rPr>
                <w:sz w:val="22"/>
              </w:rPr>
              <w:t xml:space="preserve">cieľové </w:t>
            </w:r>
            <w:r>
              <w:rPr>
                <w:sz w:val="22"/>
              </w:rPr>
              <w:t xml:space="preserve">ukazovatele </w:t>
            </w:r>
          </w:p>
        </w:tc>
      </w:tr>
      <w:tr w:rsidR="00B07789" w:rsidRPr="00A731E1" w14:paraId="6BC4CE1A" w14:textId="77777777" w:rsidTr="002901A4">
        <w:trPr>
          <w:trHeight w:val="361"/>
        </w:trPr>
        <w:tc>
          <w:tcPr>
            <w:tcW w:w="2432" w:type="dxa"/>
            <w:tcBorders>
              <w:top w:val="single" w:sz="4" w:space="0" w:color="000000"/>
              <w:left w:val="single" w:sz="3" w:space="0" w:color="000000"/>
              <w:bottom w:val="single" w:sz="3" w:space="0" w:color="000000"/>
              <w:right w:val="single" w:sz="4" w:space="0" w:color="000000"/>
            </w:tcBorders>
          </w:tcPr>
          <w:p w14:paraId="0920E53E" w14:textId="77777777" w:rsidR="00B07789" w:rsidRPr="00A731E1" w:rsidRDefault="00D25089" w:rsidP="002901A4">
            <w:pPr>
              <w:spacing w:after="0" w:line="240" w:lineRule="auto"/>
              <w:ind w:left="229" w:firstLine="0"/>
              <w:rPr>
                <w:sz w:val="22"/>
              </w:rPr>
            </w:pPr>
            <w:r>
              <w:rPr>
                <w:sz w:val="22"/>
              </w:rPr>
              <w:t xml:space="preserve">Úmrtie z akejkoľvek príčiny </w:t>
            </w:r>
          </w:p>
        </w:tc>
        <w:tc>
          <w:tcPr>
            <w:tcW w:w="1985" w:type="dxa"/>
            <w:tcBorders>
              <w:top w:val="single" w:sz="4" w:space="0" w:color="000000"/>
              <w:left w:val="single" w:sz="4" w:space="0" w:color="000000"/>
              <w:bottom w:val="single" w:sz="3" w:space="0" w:color="000000"/>
              <w:right w:val="single" w:sz="3" w:space="0" w:color="000000"/>
            </w:tcBorders>
          </w:tcPr>
          <w:p w14:paraId="4E072D0D" w14:textId="77777777" w:rsidR="00B07789" w:rsidRPr="00A731E1" w:rsidRDefault="00D25089" w:rsidP="002901A4">
            <w:pPr>
              <w:spacing w:after="0" w:line="240" w:lineRule="auto"/>
              <w:ind w:left="0" w:right="59" w:firstLine="0"/>
              <w:jc w:val="center"/>
              <w:rPr>
                <w:sz w:val="22"/>
              </w:rPr>
            </w:pPr>
            <w:r>
              <w:rPr>
                <w:sz w:val="22"/>
              </w:rPr>
              <w:t>603 (3,52)</w:t>
            </w:r>
          </w:p>
        </w:tc>
        <w:tc>
          <w:tcPr>
            <w:tcW w:w="1985" w:type="dxa"/>
            <w:tcBorders>
              <w:top w:val="single" w:sz="4" w:space="0" w:color="000000"/>
              <w:left w:val="single" w:sz="3" w:space="0" w:color="000000"/>
              <w:bottom w:val="single" w:sz="3" w:space="0" w:color="000000"/>
              <w:right w:val="single" w:sz="4" w:space="0" w:color="000000"/>
            </w:tcBorders>
          </w:tcPr>
          <w:p w14:paraId="0458280A" w14:textId="77777777" w:rsidR="00B07789" w:rsidRPr="00A731E1" w:rsidRDefault="00D25089" w:rsidP="002901A4">
            <w:pPr>
              <w:spacing w:after="0" w:line="240" w:lineRule="auto"/>
              <w:ind w:left="0" w:right="58" w:firstLine="0"/>
              <w:jc w:val="center"/>
              <w:rPr>
                <w:sz w:val="22"/>
              </w:rPr>
            </w:pPr>
            <w:r>
              <w:rPr>
                <w:sz w:val="22"/>
              </w:rPr>
              <w:t>669 (3,94)</w:t>
            </w:r>
          </w:p>
        </w:tc>
        <w:tc>
          <w:tcPr>
            <w:tcW w:w="1985" w:type="dxa"/>
            <w:tcBorders>
              <w:top w:val="single" w:sz="4" w:space="0" w:color="000000"/>
              <w:left w:val="single" w:sz="4" w:space="0" w:color="000000"/>
              <w:bottom w:val="single" w:sz="3" w:space="0" w:color="000000"/>
              <w:right w:val="single" w:sz="3" w:space="0" w:color="000000"/>
            </w:tcBorders>
          </w:tcPr>
          <w:p w14:paraId="4504B2B7" w14:textId="77777777" w:rsidR="00B07789" w:rsidRPr="00A731E1" w:rsidRDefault="00D25089" w:rsidP="002901A4">
            <w:pPr>
              <w:spacing w:after="0" w:line="240" w:lineRule="auto"/>
              <w:ind w:left="0" w:right="59" w:firstLine="0"/>
              <w:jc w:val="center"/>
              <w:rPr>
                <w:sz w:val="22"/>
              </w:rPr>
            </w:pPr>
            <w:r>
              <w:rPr>
                <w:sz w:val="22"/>
              </w:rPr>
              <w:t>0,89 (0,80; 1,00)</w:t>
            </w:r>
          </w:p>
        </w:tc>
        <w:tc>
          <w:tcPr>
            <w:tcW w:w="700" w:type="dxa"/>
            <w:tcBorders>
              <w:top w:val="single" w:sz="4" w:space="0" w:color="000000"/>
              <w:left w:val="single" w:sz="3" w:space="0" w:color="000000"/>
              <w:bottom w:val="single" w:sz="3" w:space="0" w:color="000000"/>
              <w:right w:val="single" w:sz="3" w:space="0" w:color="000000"/>
            </w:tcBorders>
          </w:tcPr>
          <w:p w14:paraId="60490154" w14:textId="77777777" w:rsidR="00B07789" w:rsidRPr="00A731E1" w:rsidRDefault="00D25089" w:rsidP="002901A4">
            <w:pPr>
              <w:spacing w:after="0" w:line="240" w:lineRule="auto"/>
              <w:ind w:left="0" w:right="60" w:firstLine="0"/>
              <w:jc w:val="center"/>
              <w:rPr>
                <w:sz w:val="22"/>
              </w:rPr>
            </w:pPr>
            <w:r>
              <w:rPr>
                <w:sz w:val="22"/>
              </w:rPr>
              <w:t>0,0465</w:t>
            </w:r>
          </w:p>
        </w:tc>
      </w:tr>
      <w:tr w:rsidR="00B07789" w:rsidRPr="00A731E1" w14:paraId="1F47D7F5" w14:textId="77777777" w:rsidTr="002901A4">
        <w:trPr>
          <w:trHeight w:val="373"/>
        </w:trPr>
        <w:tc>
          <w:tcPr>
            <w:tcW w:w="2432" w:type="dxa"/>
            <w:tcBorders>
              <w:top w:val="single" w:sz="3" w:space="0" w:color="000000"/>
              <w:left w:val="single" w:sz="3" w:space="0" w:color="000000"/>
              <w:bottom w:val="single" w:sz="4" w:space="0" w:color="000000"/>
              <w:right w:val="single" w:sz="4" w:space="0" w:color="000000"/>
            </w:tcBorders>
          </w:tcPr>
          <w:p w14:paraId="7823AC6F" w14:textId="77777777" w:rsidR="00B07789" w:rsidRPr="00A731E1" w:rsidRDefault="00D25089" w:rsidP="002901A4">
            <w:pPr>
              <w:spacing w:after="0" w:line="240" w:lineRule="auto"/>
              <w:ind w:left="229"/>
              <w:rPr>
                <w:sz w:val="22"/>
              </w:rPr>
            </w:pPr>
            <w:r>
              <w:rPr>
                <w:sz w:val="22"/>
              </w:rPr>
              <w:t xml:space="preserve">Infarkt myokardu </w:t>
            </w:r>
          </w:p>
        </w:tc>
        <w:tc>
          <w:tcPr>
            <w:tcW w:w="1985" w:type="dxa"/>
            <w:tcBorders>
              <w:top w:val="single" w:sz="3" w:space="0" w:color="000000"/>
              <w:left w:val="single" w:sz="4" w:space="0" w:color="000000"/>
              <w:bottom w:val="single" w:sz="4" w:space="0" w:color="000000"/>
              <w:right w:val="single" w:sz="3" w:space="0" w:color="000000"/>
            </w:tcBorders>
          </w:tcPr>
          <w:p w14:paraId="0B9B1B3C" w14:textId="77777777" w:rsidR="00B07789" w:rsidRPr="00A731E1" w:rsidRDefault="00D25089" w:rsidP="002901A4">
            <w:pPr>
              <w:spacing w:after="0" w:line="240" w:lineRule="auto"/>
              <w:ind w:left="0" w:right="61" w:firstLine="0"/>
              <w:jc w:val="center"/>
              <w:rPr>
                <w:sz w:val="22"/>
              </w:rPr>
            </w:pPr>
            <w:r>
              <w:rPr>
                <w:sz w:val="22"/>
              </w:rPr>
              <w:t>90 (0,53)</w:t>
            </w:r>
          </w:p>
        </w:tc>
        <w:tc>
          <w:tcPr>
            <w:tcW w:w="1985" w:type="dxa"/>
            <w:tcBorders>
              <w:top w:val="single" w:sz="3" w:space="0" w:color="000000"/>
              <w:left w:val="single" w:sz="3" w:space="0" w:color="000000"/>
              <w:bottom w:val="single" w:sz="4" w:space="0" w:color="000000"/>
              <w:right w:val="single" w:sz="4" w:space="0" w:color="000000"/>
            </w:tcBorders>
          </w:tcPr>
          <w:p w14:paraId="5870787B" w14:textId="77777777" w:rsidR="00B07789" w:rsidRPr="00A731E1" w:rsidRDefault="00D25089" w:rsidP="002901A4">
            <w:pPr>
              <w:spacing w:after="0" w:line="240" w:lineRule="auto"/>
              <w:ind w:left="0" w:right="57" w:firstLine="0"/>
              <w:jc w:val="center"/>
              <w:rPr>
                <w:sz w:val="22"/>
              </w:rPr>
            </w:pPr>
            <w:r>
              <w:rPr>
                <w:sz w:val="22"/>
              </w:rPr>
              <w:t>102 (0,61)</w:t>
            </w:r>
          </w:p>
        </w:tc>
        <w:tc>
          <w:tcPr>
            <w:tcW w:w="1985" w:type="dxa"/>
            <w:tcBorders>
              <w:top w:val="single" w:sz="3" w:space="0" w:color="000000"/>
              <w:left w:val="single" w:sz="4" w:space="0" w:color="000000"/>
              <w:bottom w:val="single" w:sz="4" w:space="0" w:color="000000"/>
              <w:right w:val="single" w:sz="3" w:space="0" w:color="000000"/>
            </w:tcBorders>
          </w:tcPr>
          <w:p w14:paraId="6DCADC8D" w14:textId="77777777" w:rsidR="00B07789" w:rsidRPr="00A731E1" w:rsidRDefault="00D25089" w:rsidP="002901A4">
            <w:pPr>
              <w:spacing w:after="0" w:line="240" w:lineRule="auto"/>
              <w:ind w:left="0" w:right="58" w:firstLine="0"/>
              <w:jc w:val="center"/>
              <w:rPr>
                <w:sz w:val="22"/>
              </w:rPr>
            </w:pPr>
            <w:r>
              <w:rPr>
                <w:sz w:val="22"/>
              </w:rPr>
              <w:t>0,88 (0,66; 1,17)</w:t>
            </w:r>
          </w:p>
        </w:tc>
        <w:tc>
          <w:tcPr>
            <w:tcW w:w="700" w:type="dxa"/>
            <w:tcBorders>
              <w:top w:val="single" w:sz="3" w:space="0" w:color="000000"/>
              <w:left w:val="single" w:sz="3" w:space="0" w:color="000000"/>
              <w:bottom w:val="single" w:sz="4" w:space="0" w:color="000000"/>
              <w:right w:val="single" w:sz="3" w:space="0" w:color="000000"/>
            </w:tcBorders>
          </w:tcPr>
          <w:p w14:paraId="1A7BED35" w14:textId="77777777" w:rsidR="00B07789" w:rsidRPr="00A731E1" w:rsidRDefault="00B07789" w:rsidP="002901A4">
            <w:pPr>
              <w:spacing w:after="0" w:line="240" w:lineRule="auto"/>
              <w:ind w:left="0" w:right="7" w:firstLine="0"/>
              <w:jc w:val="center"/>
              <w:rPr>
                <w:sz w:val="22"/>
                <w:lang w:val="en-GB"/>
              </w:rPr>
            </w:pPr>
          </w:p>
        </w:tc>
      </w:tr>
    </w:tbl>
    <w:p w14:paraId="22349358" w14:textId="0BF4BAA9" w:rsidR="00B07789" w:rsidRPr="00A731E1" w:rsidRDefault="00D25089" w:rsidP="00833B71">
      <w:pPr>
        <w:spacing w:after="0" w:line="240" w:lineRule="auto"/>
        <w:ind w:left="0"/>
        <w:rPr>
          <w:sz w:val="22"/>
        </w:rPr>
      </w:pPr>
      <w:r>
        <w:rPr>
          <w:sz w:val="22"/>
        </w:rPr>
        <w:t>*Závažné krvácanie definované podľa kritérií Medzinárodnej spoločnosti pre trombózu a hemostázu (International Society on Thrombosis and Haemostasis</w:t>
      </w:r>
      <w:r w:rsidR="007D47FF">
        <w:rPr>
          <w:sz w:val="22"/>
        </w:rPr>
        <w:t xml:space="preserve">, </w:t>
      </w:r>
      <w:r>
        <w:rPr>
          <w:sz w:val="22"/>
        </w:rPr>
        <w:t xml:space="preserve">ISTH). </w:t>
      </w:r>
    </w:p>
    <w:p w14:paraId="2644AF39" w14:textId="77777777" w:rsidR="00B07789" w:rsidRPr="007E6137" w:rsidRDefault="00B07789" w:rsidP="00833B71">
      <w:pPr>
        <w:spacing w:after="0" w:line="240" w:lineRule="auto"/>
        <w:ind w:left="0" w:firstLine="0"/>
        <w:rPr>
          <w:sz w:val="22"/>
        </w:rPr>
      </w:pPr>
    </w:p>
    <w:p w14:paraId="3402E484" w14:textId="77777777" w:rsidR="00B07789" w:rsidRPr="00A731E1" w:rsidRDefault="00D25089" w:rsidP="00833B71">
      <w:pPr>
        <w:spacing w:after="0" w:line="240" w:lineRule="auto"/>
        <w:ind w:left="0" w:firstLine="0"/>
        <w:rPr>
          <w:sz w:val="22"/>
        </w:rPr>
      </w:pPr>
      <w:r>
        <w:rPr>
          <w:sz w:val="22"/>
        </w:rPr>
        <w:t xml:space="preserve">Celková miera prerušenia z dôvodu nežiaducich reakcií v štúdii ARISTOTLE bola 1,8 % pre apixabán a 2,6 % pre warfarín. </w:t>
      </w:r>
    </w:p>
    <w:p w14:paraId="6E056861" w14:textId="77777777" w:rsidR="00B07789" w:rsidRPr="00A731E1" w:rsidRDefault="00D25089" w:rsidP="00833B71">
      <w:pPr>
        <w:spacing w:after="0" w:line="240" w:lineRule="auto"/>
        <w:ind w:left="0" w:firstLine="0"/>
        <w:rPr>
          <w:sz w:val="22"/>
        </w:rPr>
      </w:pPr>
      <w:r>
        <w:rPr>
          <w:sz w:val="22"/>
        </w:rPr>
        <w:t xml:space="preserve"> </w:t>
      </w:r>
    </w:p>
    <w:p w14:paraId="60823591" w14:textId="46A98D68" w:rsidR="00B07789" w:rsidRPr="00A731E1" w:rsidRDefault="00D25089" w:rsidP="00833B71">
      <w:pPr>
        <w:spacing w:after="0" w:line="240" w:lineRule="auto"/>
        <w:ind w:left="0" w:firstLine="0"/>
        <w:rPr>
          <w:sz w:val="22"/>
        </w:rPr>
      </w:pPr>
      <w:r>
        <w:rPr>
          <w:sz w:val="22"/>
        </w:rPr>
        <w:t xml:space="preserve">Výsledky účinnosti pre vopred špecifikované podskupiny, vrátane </w:t>
      </w:r>
      <w:r w:rsidR="00FE1B63">
        <w:rPr>
          <w:sz w:val="22"/>
        </w:rPr>
        <w:t xml:space="preserve">skóre </w:t>
      </w:r>
      <w:r>
        <w:rPr>
          <w:sz w:val="22"/>
        </w:rPr>
        <w:t>CHADS</w:t>
      </w:r>
      <w:r>
        <w:rPr>
          <w:sz w:val="22"/>
          <w:vertAlign w:val="subscript"/>
        </w:rPr>
        <w:t>2</w:t>
      </w:r>
      <w:r>
        <w:rPr>
          <w:sz w:val="22"/>
        </w:rPr>
        <w:t xml:space="preserve">, veku, telesnej hmotnosti, pohlavia, stavu funkcie obličiek, predchádzajúcej </w:t>
      </w:r>
      <w:r w:rsidR="00FE1B63">
        <w:rPr>
          <w:sz w:val="22"/>
        </w:rPr>
        <w:t xml:space="preserve">cievnej </w:t>
      </w:r>
      <w:r>
        <w:rPr>
          <w:sz w:val="22"/>
        </w:rPr>
        <w:t xml:space="preserve">mozgovej príhody alebo TIA a diabetu, boli zhodné s primárnymi výsledkami účinnosti pre celkovú populáciu skúmanú v klinickom skúšaní. </w:t>
      </w:r>
    </w:p>
    <w:p w14:paraId="7E4DDDE7" w14:textId="77777777" w:rsidR="00B07789" w:rsidRPr="00A731E1" w:rsidRDefault="00D25089" w:rsidP="00833B71">
      <w:pPr>
        <w:spacing w:after="0" w:line="240" w:lineRule="auto"/>
        <w:ind w:left="0" w:firstLine="0"/>
        <w:rPr>
          <w:sz w:val="22"/>
        </w:rPr>
      </w:pPr>
      <w:r>
        <w:rPr>
          <w:sz w:val="22"/>
        </w:rPr>
        <w:t xml:space="preserve"> </w:t>
      </w:r>
    </w:p>
    <w:p w14:paraId="0C46EC25" w14:textId="0825EDB2" w:rsidR="00B07789" w:rsidRPr="00A731E1" w:rsidRDefault="00D25089" w:rsidP="00833B71">
      <w:pPr>
        <w:spacing w:after="0" w:line="240" w:lineRule="auto"/>
        <w:ind w:left="0" w:firstLine="0"/>
        <w:rPr>
          <w:sz w:val="22"/>
        </w:rPr>
      </w:pPr>
      <w:r>
        <w:rPr>
          <w:sz w:val="22"/>
        </w:rPr>
        <w:t>Incid</w:t>
      </w:r>
      <w:r w:rsidR="00E4410C">
        <w:rPr>
          <w:sz w:val="22"/>
        </w:rPr>
        <w:t>encia ISTH</w:t>
      </w:r>
      <w:r>
        <w:rPr>
          <w:sz w:val="22"/>
        </w:rPr>
        <w:t xml:space="preserve"> definovaných závažných gastrointestinálnych krvácaní (vrátane krvácania do horného GI traktu, do dolného GI traktu a rektálneho krvácania) bola 0,76 %/rok </w:t>
      </w:r>
      <w:r w:rsidR="00FE1B63">
        <w:rPr>
          <w:sz w:val="22"/>
        </w:rPr>
        <w:t>pri</w:t>
      </w:r>
      <w:r>
        <w:rPr>
          <w:sz w:val="22"/>
        </w:rPr>
        <w:t xml:space="preserve"> apixabáne a 0,86 %/rok </w:t>
      </w:r>
      <w:r w:rsidR="00FE1B63">
        <w:rPr>
          <w:sz w:val="22"/>
        </w:rPr>
        <w:t>pri</w:t>
      </w:r>
      <w:r>
        <w:rPr>
          <w:sz w:val="22"/>
        </w:rPr>
        <w:t xml:space="preserve"> warfaríne. </w:t>
      </w:r>
    </w:p>
    <w:p w14:paraId="17DDF96C" w14:textId="77777777" w:rsidR="00B07789" w:rsidRPr="00A731E1" w:rsidRDefault="00D25089" w:rsidP="00833B71">
      <w:pPr>
        <w:spacing w:after="0" w:line="240" w:lineRule="auto"/>
        <w:ind w:left="0" w:firstLine="0"/>
        <w:rPr>
          <w:sz w:val="22"/>
        </w:rPr>
      </w:pPr>
      <w:r>
        <w:rPr>
          <w:sz w:val="22"/>
        </w:rPr>
        <w:t xml:space="preserve"> </w:t>
      </w:r>
    </w:p>
    <w:p w14:paraId="39B65DA1" w14:textId="321C80EF" w:rsidR="00B07789" w:rsidRPr="00A731E1" w:rsidRDefault="00D25089" w:rsidP="00833B71">
      <w:pPr>
        <w:spacing w:after="0" w:line="240" w:lineRule="auto"/>
        <w:ind w:left="0" w:firstLine="0"/>
        <w:rPr>
          <w:sz w:val="22"/>
        </w:rPr>
      </w:pPr>
      <w:r>
        <w:rPr>
          <w:sz w:val="22"/>
        </w:rPr>
        <w:t xml:space="preserve">Výsledky závažného krvácania pre vopred špecifikované podskupiny, vrátane </w:t>
      </w:r>
      <w:r w:rsidR="00EA124E">
        <w:rPr>
          <w:sz w:val="22"/>
        </w:rPr>
        <w:t xml:space="preserve">skóre </w:t>
      </w:r>
      <w:r>
        <w:rPr>
          <w:sz w:val="22"/>
        </w:rPr>
        <w:t>CHADS</w:t>
      </w:r>
      <w:r w:rsidRPr="00EE68B4">
        <w:rPr>
          <w:sz w:val="22"/>
          <w:vertAlign w:val="subscript"/>
        </w:rPr>
        <w:t>2</w:t>
      </w:r>
      <w:r>
        <w:rPr>
          <w:sz w:val="22"/>
        </w:rPr>
        <w:t xml:space="preserve">, veku, telesnej hmotnosti, pohlavia, stavu funkcie obličiek, predchádzajúcej </w:t>
      </w:r>
      <w:r w:rsidR="00B506A5">
        <w:rPr>
          <w:sz w:val="22"/>
        </w:rPr>
        <w:t xml:space="preserve">cievnej </w:t>
      </w:r>
      <w:r>
        <w:rPr>
          <w:sz w:val="22"/>
        </w:rPr>
        <w:t xml:space="preserve">mozgovej príhody alebo TIA a diabetu, boli zhodné s výsledkami pre celkovú populáciu skúmanú v klinickom skúšaní. </w:t>
      </w:r>
    </w:p>
    <w:p w14:paraId="2432C893" w14:textId="77777777" w:rsidR="00B07789" w:rsidRPr="00A731E1" w:rsidRDefault="00D25089" w:rsidP="00833B71">
      <w:pPr>
        <w:spacing w:after="0" w:line="240" w:lineRule="auto"/>
        <w:ind w:left="0" w:firstLine="0"/>
        <w:rPr>
          <w:sz w:val="22"/>
        </w:rPr>
      </w:pPr>
      <w:r>
        <w:rPr>
          <w:sz w:val="22"/>
        </w:rPr>
        <w:t xml:space="preserve"> </w:t>
      </w:r>
    </w:p>
    <w:p w14:paraId="4B457622" w14:textId="77777777" w:rsidR="00B07789" w:rsidRPr="00A731E1" w:rsidRDefault="00D25089" w:rsidP="00833B71">
      <w:pPr>
        <w:spacing w:after="0" w:line="240" w:lineRule="auto"/>
        <w:ind w:left="0" w:firstLine="0"/>
        <w:rPr>
          <w:sz w:val="22"/>
        </w:rPr>
      </w:pPr>
      <w:r>
        <w:rPr>
          <w:i/>
          <w:sz w:val="22"/>
          <w:u w:val="single" w:color="000000"/>
        </w:rPr>
        <w:t>ŠTÚDIA AVERROES</w:t>
      </w:r>
      <w:r>
        <w:rPr>
          <w:i/>
          <w:sz w:val="22"/>
        </w:rPr>
        <w:t xml:space="preserve"> </w:t>
      </w:r>
    </w:p>
    <w:p w14:paraId="42D1E22C" w14:textId="46282F77" w:rsidR="00B07789" w:rsidRPr="00A731E1" w:rsidRDefault="00D25089" w:rsidP="00833B71">
      <w:pPr>
        <w:spacing w:after="0" w:line="240" w:lineRule="auto"/>
        <w:ind w:left="0" w:firstLine="0"/>
        <w:rPr>
          <w:sz w:val="22"/>
        </w:rPr>
      </w:pPr>
      <w:r>
        <w:rPr>
          <w:sz w:val="22"/>
        </w:rPr>
        <w:t>V štúdii AVERROES bolo randomizovaných celkovo 5 598 pacientov, považovaných skúšajúcimi za nevhodných pre VKA, na liečbu  apixabánom v dávke 5 mg dvakrát denne (alebo 2,5 mg dvakrát denne u vybraných pacientov [6,4 %], pozri časť 4.2) alebo ASA</w:t>
      </w:r>
      <w:r w:rsidR="00A372B7">
        <w:rPr>
          <w:sz w:val="22"/>
        </w:rPr>
        <w:t>.</w:t>
      </w:r>
      <w:r>
        <w:rPr>
          <w:sz w:val="22"/>
        </w:rPr>
        <w:t xml:space="preserve"> ASA sa podávala jedenkrát denne v dávke </w:t>
      </w:r>
      <w:r>
        <w:rPr>
          <w:sz w:val="22"/>
        </w:rPr>
        <w:lastRenderedPageBreak/>
        <w:t>81 mg (64 %), 162</w:t>
      </w:r>
      <w:r w:rsidR="00A372B7">
        <w:rPr>
          <w:sz w:val="22"/>
        </w:rPr>
        <w:t xml:space="preserve"> mg</w:t>
      </w:r>
      <w:r>
        <w:rPr>
          <w:sz w:val="22"/>
        </w:rPr>
        <w:t xml:space="preserve"> (26,9 %), 243</w:t>
      </w:r>
      <w:r w:rsidR="00A372B7">
        <w:rPr>
          <w:sz w:val="22"/>
        </w:rPr>
        <w:t xml:space="preserve"> mg</w:t>
      </w:r>
      <w:r>
        <w:rPr>
          <w:sz w:val="22"/>
        </w:rPr>
        <w:t xml:space="preserve"> (2,1 %) alebo 324 mg (6,6 %) podľa uváženia skúšajúceho. Pacienti boli vystavení skúmanému lie</w:t>
      </w:r>
      <w:r w:rsidR="00A372B7">
        <w:rPr>
          <w:sz w:val="22"/>
        </w:rPr>
        <w:t>čivu</w:t>
      </w:r>
      <w:r>
        <w:rPr>
          <w:sz w:val="22"/>
        </w:rPr>
        <w:t xml:space="preserve"> v priemere 14 mesiacov. Priemerný vek bol 69,9 roka, priemerné </w:t>
      </w:r>
      <w:r w:rsidR="00A372B7">
        <w:rPr>
          <w:sz w:val="22"/>
        </w:rPr>
        <w:t xml:space="preserve">skóre </w:t>
      </w:r>
      <w:r>
        <w:rPr>
          <w:sz w:val="22"/>
        </w:rPr>
        <w:t>CHADS</w:t>
      </w:r>
      <w:r>
        <w:rPr>
          <w:sz w:val="22"/>
          <w:vertAlign w:val="subscript"/>
        </w:rPr>
        <w:t xml:space="preserve">2 </w:t>
      </w:r>
      <w:r>
        <w:rPr>
          <w:sz w:val="22"/>
        </w:rPr>
        <w:t xml:space="preserve"> bolo 2,0 a 13,6 % pacientov malo v</w:t>
      </w:r>
      <w:r w:rsidR="00A372B7">
        <w:rPr>
          <w:sz w:val="22"/>
        </w:rPr>
        <w:t> </w:t>
      </w:r>
      <w:r>
        <w:rPr>
          <w:sz w:val="22"/>
        </w:rPr>
        <w:t>minulosti</w:t>
      </w:r>
      <w:r w:rsidR="00A372B7">
        <w:rPr>
          <w:sz w:val="22"/>
        </w:rPr>
        <w:t xml:space="preserve"> cievnu</w:t>
      </w:r>
      <w:r>
        <w:rPr>
          <w:sz w:val="22"/>
        </w:rPr>
        <w:t xml:space="preserve"> mozgovú príhodu alebo TIA. </w:t>
      </w:r>
    </w:p>
    <w:p w14:paraId="08DE9A70" w14:textId="77777777" w:rsidR="00B07789" w:rsidRPr="00A731E1" w:rsidRDefault="00D25089" w:rsidP="00833B71">
      <w:pPr>
        <w:spacing w:after="0" w:line="240" w:lineRule="auto"/>
        <w:ind w:left="0" w:firstLine="0"/>
        <w:rPr>
          <w:sz w:val="22"/>
        </w:rPr>
      </w:pPr>
      <w:r>
        <w:rPr>
          <w:sz w:val="22"/>
        </w:rPr>
        <w:t xml:space="preserve"> </w:t>
      </w:r>
    </w:p>
    <w:p w14:paraId="5ED7761B" w14:textId="5AB6FF3E" w:rsidR="00B07789" w:rsidRPr="00A731E1" w:rsidRDefault="00D25089" w:rsidP="00833B71">
      <w:pPr>
        <w:spacing w:after="0" w:line="240" w:lineRule="auto"/>
        <w:ind w:left="0" w:firstLine="0"/>
        <w:rPr>
          <w:sz w:val="22"/>
        </w:rPr>
      </w:pPr>
      <w:r>
        <w:rPr>
          <w:sz w:val="22"/>
        </w:rPr>
        <w:t xml:space="preserve">Časté dôvody nevhodnosti pre liečbu VKA v štúdii AVERROES zahŕňali neschopnosť/nepravdepodobnosť dosiahnutia INR v požadovaných intervaloch (42,6 %), pacient odmietol liečbu  VKA (37,4 %), </w:t>
      </w:r>
      <w:r w:rsidR="00A372B7">
        <w:rPr>
          <w:sz w:val="22"/>
        </w:rPr>
        <w:t xml:space="preserve">skóre </w:t>
      </w:r>
      <w:r>
        <w:rPr>
          <w:sz w:val="22"/>
        </w:rPr>
        <w:t>CHADS</w:t>
      </w:r>
      <w:r w:rsidRPr="00EE68B4">
        <w:rPr>
          <w:sz w:val="22"/>
          <w:vertAlign w:val="subscript"/>
        </w:rPr>
        <w:t>2</w:t>
      </w:r>
      <w:r>
        <w:rPr>
          <w:sz w:val="22"/>
        </w:rPr>
        <w:t xml:space="preserve">  = 1 a lekár neodporučil VKA (21,3 %), na pacienta sa nedalo spoľahnúť, že bude užívať VKA podľa predpisu (15,0 %) a náročnosť/očakávaná náročnosť kontaktovania pacienta v prípade urgentnej zmeny dávky (11,7 %). </w:t>
      </w:r>
    </w:p>
    <w:p w14:paraId="0ADAC53A" w14:textId="77777777" w:rsidR="00B07789" w:rsidRPr="00A731E1" w:rsidRDefault="00D25089" w:rsidP="00833B71">
      <w:pPr>
        <w:spacing w:after="0" w:line="240" w:lineRule="auto"/>
        <w:ind w:left="0" w:firstLine="0"/>
        <w:rPr>
          <w:sz w:val="22"/>
        </w:rPr>
      </w:pPr>
      <w:r>
        <w:rPr>
          <w:sz w:val="22"/>
        </w:rPr>
        <w:t xml:space="preserve"> </w:t>
      </w:r>
    </w:p>
    <w:p w14:paraId="05CCE644" w14:textId="7FC2DE0A" w:rsidR="00B07789" w:rsidRPr="00A731E1" w:rsidRDefault="00D25089" w:rsidP="00833B71">
      <w:pPr>
        <w:spacing w:after="0" w:line="240" w:lineRule="auto"/>
        <w:ind w:left="0" w:firstLine="0"/>
        <w:rPr>
          <w:sz w:val="22"/>
        </w:rPr>
      </w:pPr>
      <w:r>
        <w:rPr>
          <w:sz w:val="22"/>
        </w:rPr>
        <w:t xml:space="preserve">Štúdia AVERROES bola ukončená predčasne na základe odporúčania nezávislého Výboru pre monitorovanie údajov z dôvodu jasného dôkazu zníženia </w:t>
      </w:r>
      <w:r w:rsidR="00A372B7">
        <w:rPr>
          <w:sz w:val="22"/>
        </w:rPr>
        <w:t xml:space="preserve">počtu cievnej </w:t>
      </w:r>
      <w:r>
        <w:rPr>
          <w:sz w:val="22"/>
        </w:rPr>
        <w:t xml:space="preserve">mozgovej príhody a systémovej embólie s prijateľným bezpečnostným profilom. </w:t>
      </w:r>
    </w:p>
    <w:p w14:paraId="20AA67EA" w14:textId="77777777" w:rsidR="00B07789" w:rsidRPr="00A731E1" w:rsidRDefault="00D25089" w:rsidP="00833B71">
      <w:pPr>
        <w:spacing w:after="0" w:line="240" w:lineRule="auto"/>
        <w:ind w:left="0" w:firstLine="0"/>
        <w:rPr>
          <w:sz w:val="22"/>
        </w:rPr>
      </w:pPr>
      <w:r>
        <w:rPr>
          <w:sz w:val="22"/>
        </w:rPr>
        <w:t xml:space="preserve"> </w:t>
      </w:r>
    </w:p>
    <w:p w14:paraId="4461521A" w14:textId="77777777" w:rsidR="00B07789" w:rsidRPr="00A731E1" w:rsidRDefault="00D25089" w:rsidP="00833B71">
      <w:pPr>
        <w:spacing w:after="0" w:line="240" w:lineRule="auto"/>
        <w:ind w:left="0" w:firstLine="0"/>
        <w:rPr>
          <w:sz w:val="22"/>
        </w:rPr>
      </w:pPr>
      <w:r>
        <w:rPr>
          <w:sz w:val="22"/>
        </w:rPr>
        <w:t xml:space="preserve">Celková miera prerušenia z dôvodu nežiaducich reakcií v štúdii AVERROES bola 1,5 % pre apixabán a 1,3 % pre ASA. </w:t>
      </w:r>
    </w:p>
    <w:p w14:paraId="64977DF8" w14:textId="77777777" w:rsidR="00B07789" w:rsidRPr="00A731E1" w:rsidRDefault="00D25089" w:rsidP="00833B71">
      <w:pPr>
        <w:spacing w:after="0" w:line="240" w:lineRule="auto"/>
        <w:ind w:left="0" w:firstLine="0"/>
        <w:rPr>
          <w:sz w:val="22"/>
        </w:rPr>
      </w:pPr>
      <w:r>
        <w:rPr>
          <w:sz w:val="22"/>
        </w:rPr>
        <w:t xml:space="preserve"> </w:t>
      </w:r>
    </w:p>
    <w:p w14:paraId="22C87AB9" w14:textId="396AC412" w:rsidR="00B07789" w:rsidRPr="00A731E1" w:rsidRDefault="00D25089" w:rsidP="00833B71">
      <w:pPr>
        <w:spacing w:after="0" w:line="240" w:lineRule="auto"/>
        <w:ind w:left="0" w:firstLine="0"/>
        <w:rPr>
          <w:sz w:val="22"/>
        </w:rPr>
      </w:pPr>
      <w:r>
        <w:rPr>
          <w:sz w:val="22"/>
        </w:rPr>
        <w:t xml:space="preserve">V štúdii dosiahol apixabán štatisticky významnú prevahu v primárnom </w:t>
      </w:r>
      <w:r w:rsidR="00B07B77">
        <w:rPr>
          <w:sz w:val="22"/>
        </w:rPr>
        <w:t xml:space="preserve">cieľovom </w:t>
      </w:r>
      <w:r>
        <w:rPr>
          <w:sz w:val="22"/>
        </w:rPr>
        <w:t xml:space="preserve">ukazovateli prevencie </w:t>
      </w:r>
      <w:r w:rsidR="00B07B77">
        <w:rPr>
          <w:sz w:val="22"/>
        </w:rPr>
        <w:t xml:space="preserve">cievnej </w:t>
      </w:r>
      <w:r>
        <w:rPr>
          <w:sz w:val="22"/>
        </w:rPr>
        <w:t>mozgovej príhody (hemoragickej, ischemickej alebo nešpecifikovanej) alebo systémovej embólie (po</w:t>
      </w:r>
      <w:r w:rsidR="00E4410C">
        <w:rPr>
          <w:sz w:val="22"/>
        </w:rPr>
        <w:t>zri tabuľku 8</w:t>
      </w:r>
      <w:r>
        <w:rPr>
          <w:sz w:val="22"/>
        </w:rPr>
        <w:t xml:space="preserve">) v porovnaní s ASA. </w:t>
      </w:r>
    </w:p>
    <w:p w14:paraId="0018C6B4" w14:textId="77777777" w:rsidR="00B07789" w:rsidRPr="00A731E1" w:rsidRDefault="00635B73" w:rsidP="00833B71">
      <w:pPr>
        <w:spacing w:after="0" w:line="240" w:lineRule="auto"/>
        <w:ind w:left="0" w:firstLine="0"/>
        <w:rPr>
          <w:sz w:val="22"/>
        </w:rPr>
      </w:pPr>
      <w:r>
        <w:rPr>
          <w:sz w:val="22"/>
        </w:rPr>
        <w:t xml:space="preserve"> </w:t>
      </w:r>
    </w:p>
    <w:p w14:paraId="518BA368" w14:textId="7BE9BBC6" w:rsidR="00B07789" w:rsidRPr="005B4827" w:rsidRDefault="00E4410C" w:rsidP="00833B71">
      <w:pPr>
        <w:keepNext/>
        <w:spacing w:after="0" w:line="240" w:lineRule="auto"/>
        <w:ind w:left="0" w:firstLine="0"/>
        <w:rPr>
          <w:b/>
          <w:sz w:val="22"/>
        </w:rPr>
      </w:pPr>
      <w:r>
        <w:rPr>
          <w:b/>
          <w:sz w:val="22"/>
        </w:rPr>
        <w:t>Tabuľka 8</w:t>
      </w:r>
      <w:r w:rsidR="00D25089">
        <w:rPr>
          <w:b/>
          <w:sz w:val="22"/>
        </w:rPr>
        <w:t xml:space="preserve">: Kľúčové výsledky účinnosti u pacientov s fibriláciou predsiení v štúdii AVERROES </w:t>
      </w:r>
    </w:p>
    <w:tbl>
      <w:tblPr>
        <w:tblStyle w:val="TableGrid"/>
        <w:tblW w:w="9554" w:type="dxa"/>
        <w:tblInd w:w="-53" w:type="dxa"/>
        <w:tblCellMar>
          <w:top w:w="53" w:type="dxa"/>
          <w:left w:w="101" w:type="dxa"/>
          <w:right w:w="81" w:type="dxa"/>
        </w:tblCellMar>
        <w:tblLook w:val="04A0" w:firstRow="1" w:lastRow="0" w:firstColumn="1" w:lastColumn="0" w:noHBand="0" w:noVBand="1"/>
      </w:tblPr>
      <w:tblGrid>
        <w:gridCol w:w="3052"/>
        <w:gridCol w:w="1845"/>
        <w:gridCol w:w="1845"/>
        <w:gridCol w:w="1845"/>
        <w:gridCol w:w="967"/>
      </w:tblGrid>
      <w:tr w:rsidR="00B07789" w:rsidRPr="00A731E1" w14:paraId="37C7C456" w14:textId="77777777" w:rsidTr="002967BA">
        <w:trPr>
          <w:trHeight w:val="874"/>
        </w:trPr>
        <w:tc>
          <w:tcPr>
            <w:tcW w:w="3053" w:type="dxa"/>
            <w:tcBorders>
              <w:top w:val="single" w:sz="3" w:space="0" w:color="000000"/>
              <w:left w:val="single" w:sz="3" w:space="0" w:color="000000"/>
              <w:bottom w:val="single" w:sz="3" w:space="0" w:color="000000"/>
              <w:right w:val="single" w:sz="4" w:space="0" w:color="000000"/>
            </w:tcBorders>
          </w:tcPr>
          <w:p w14:paraId="7508B993" w14:textId="77777777" w:rsidR="00B07789" w:rsidRPr="00A731E1" w:rsidRDefault="00D25089" w:rsidP="00833B71">
            <w:pPr>
              <w:keepNext/>
              <w:spacing w:after="0" w:line="240" w:lineRule="auto"/>
              <w:ind w:left="0" w:firstLine="0"/>
              <w:rPr>
                <w:sz w:val="22"/>
              </w:rPr>
            </w:pPr>
            <w:r>
              <w:rPr>
                <w:b/>
                <w:sz w:val="22"/>
              </w:rPr>
              <w:t xml:space="preserve"> </w:t>
            </w:r>
          </w:p>
        </w:tc>
        <w:tc>
          <w:tcPr>
            <w:tcW w:w="1845" w:type="dxa"/>
            <w:tcBorders>
              <w:top w:val="single" w:sz="3" w:space="0" w:color="000000"/>
              <w:left w:val="single" w:sz="4" w:space="0" w:color="000000"/>
              <w:bottom w:val="single" w:sz="3" w:space="0" w:color="000000"/>
              <w:right w:val="single" w:sz="3" w:space="0" w:color="000000"/>
            </w:tcBorders>
          </w:tcPr>
          <w:p w14:paraId="6AC44059" w14:textId="77777777" w:rsidR="00B07789" w:rsidRPr="00A731E1" w:rsidRDefault="00D25089" w:rsidP="002967BA">
            <w:pPr>
              <w:keepNext/>
              <w:spacing w:after="0" w:line="240" w:lineRule="auto"/>
              <w:ind w:left="0" w:right="25" w:firstLine="0"/>
              <w:jc w:val="center"/>
              <w:rPr>
                <w:sz w:val="22"/>
              </w:rPr>
            </w:pPr>
            <w:r>
              <w:rPr>
                <w:b/>
                <w:sz w:val="22"/>
              </w:rPr>
              <w:t>Apixabán</w:t>
            </w:r>
          </w:p>
          <w:p w14:paraId="05E59198" w14:textId="77777777" w:rsidR="00B07789" w:rsidRPr="00A731E1" w:rsidRDefault="00D25089" w:rsidP="002967BA">
            <w:pPr>
              <w:keepNext/>
              <w:spacing w:after="0" w:line="240" w:lineRule="auto"/>
              <w:ind w:left="0" w:right="51" w:firstLine="0"/>
              <w:jc w:val="center"/>
              <w:rPr>
                <w:sz w:val="22"/>
              </w:rPr>
            </w:pPr>
            <w:r>
              <w:rPr>
                <w:b/>
                <w:sz w:val="22"/>
              </w:rPr>
              <w:t>N = 2 807 n (%/rok)</w:t>
            </w:r>
          </w:p>
        </w:tc>
        <w:tc>
          <w:tcPr>
            <w:tcW w:w="1845" w:type="dxa"/>
            <w:tcBorders>
              <w:top w:val="single" w:sz="3" w:space="0" w:color="000000"/>
              <w:left w:val="single" w:sz="3" w:space="0" w:color="000000"/>
              <w:bottom w:val="single" w:sz="3" w:space="0" w:color="000000"/>
              <w:right w:val="single" w:sz="3" w:space="0" w:color="000000"/>
            </w:tcBorders>
          </w:tcPr>
          <w:p w14:paraId="530F200D" w14:textId="77777777" w:rsidR="0002017F" w:rsidRDefault="0002017F" w:rsidP="002967BA">
            <w:pPr>
              <w:keepNext/>
              <w:spacing w:after="0" w:line="240" w:lineRule="auto"/>
              <w:ind w:left="0" w:firstLine="0"/>
              <w:jc w:val="center"/>
              <w:rPr>
                <w:b/>
                <w:sz w:val="22"/>
              </w:rPr>
            </w:pPr>
            <w:r>
              <w:rPr>
                <w:b/>
                <w:sz w:val="22"/>
              </w:rPr>
              <w:t>ASA</w:t>
            </w:r>
          </w:p>
          <w:p w14:paraId="064D7688" w14:textId="77777777" w:rsidR="00B07789" w:rsidRPr="00A731E1" w:rsidRDefault="00D25089" w:rsidP="002967BA">
            <w:pPr>
              <w:keepNext/>
              <w:spacing w:after="0" w:line="240" w:lineRule="auto"/>
              <w:ind w:left="0" w:firstLine="0"/>
              <w:jc w:val="center"/>
              <w:rPr>
                <w:sz w:val="22"/>
              </w:rPr>
            </w:pPr>
            <w:r>
              <w:rPr>
                <w:b/>
                <w:sz w:val="22"/>
              </w:rPr>
              <w:t>N = 2 791 n (%/rok)</w:t>
            </w:r>
          </w:p>
        </w:tc>
        <w:tc>
          <w:tcPr>
            <w:tcW w:w="1845" w:type="dxa"/>
            <w:tcBorders>
              <w:top w:val="single" w:sz="3" w:space="0" w:color="000000"/>
              <w:left w:val="single" w:sz="3" w:space="0" w:color="000000"/>
              <w:bottom w:val="single" w:sz="3" w:space="0" w:color="000000"/>
              <w:right w:val="single" w:sz="4" w:space="0" w:color="000000"/>
            </w:tcBorders>
          </w:tcPr>
          <w:p w14:paraId="64C8F0C8" w14:textId="77777777" w:rsidR="00B07789" w:rsidRPr="00A731E1" w:rsidRDefault="00D25089" w:rsidP="002967BA">
            <w:pPr>
              <w:keepNext/>
              <w:spacing w:after="0" w:line="240" w:lineRule="auto"/>
              <w:ind w:left="0" w:right="20" w:firstLine="0"/>
              <w:jc w:val="center"/>
              <w:rPr>
                <w:sz w:val="22"/>
              </w:rPr>
            </w:pPr>
            <w:r>
              <w:rPr>
                <w:b/>
                <w:sz w:val="22"/>
              </w:rPr>
              <w:t>Pomer rizík</w:t>
            </w:r>
          </w:p>
          <w:p w14:paraId="0BCA1D66" w14:textId="77777777" w:rsidR="00B07789" w:rsidRPr="00A731E1" w:rsidRDefault="00D25089" w:rsidP="002967BA">
            <w:pPr>
              <w:keepNext/>
              <w:spacing w:after="0" w:line="240" w:lineRule="auto"/>
              <w:ind w:left="0" w:right="20" w:firstLine="0"/>
              <w:jc w:val="center"/>
              <w:rPr>
                <w:sz w:val="22"/>
              </w:rPr>
            </w:pPr>
            <w:r>
              <w:rPr>
                <w:b/>
                <w:sz w:val="22"/>
              </w:rPr>
              <w:t>(95 % IS)</w:t>
            </w:r>
          </w:p>
        </w:tc>
        <w:tc>
          <w:tcPr>
            <w:tcW w:w="966" w:type="dxa"/>
            <w:tcBorders>
              <w:top w:val="single" w:sz="3" w:space="0" w:color="000000"/>
              <w:left w:val="single" w:sz="4" w:space="0" w:color="000000"/>
              <w:bottom w:val="single" w:sz="3" w:space="0" w:color="000000"/>
              <w:right w:val="single" w:sz="4" w:space="0" w:color="000000"/>
            </w:tcBorders>
          </w:tcPr>
          <w:p w14:paraId="63D68561" w14:textId="29EF534F" w:rsidR="00B07789" w:rsidRPr="00A731E1" w:rsidRDefault="00C22708" w:rsidP="00833B71">
            <w:pPr>
              <w:keepNext/>
              <w:spacing w:after="0" w:line="240" w:lineRule="auto"/>
              <w:ind w:left="0" w:firstLine="0"/>
              <w:jc w:val="center"/>
              <w:rPr>
                <w:sz w:val="22"/>
              </w:rPr>
            </w:pPr>
            <w:r>
              <w:rPr>
                <w:b/>
                <w:sz w:val="22"/>
              </w:rPr>
              <w:t>h</w:t>
            </w:r>
            <w:r w:rsidR="00D25089">
              <w:rPr>
                <w:b/>
                <w:sz w:val="22"/>
              </w:rPr>
              <w:t>odnota</w:t>
            </w:r>
            <w:r>
              <w:rPr>
                <w:b/>
                <w:sz w:val="22"/>
              </w:rPr>
              <w:t xml:space="preserve"> p</w:t>
            </w:r>
          </w:p>
        </w:tc>
      </w:tr>
      <w:tr w:rsidR="00B07789" w:rsidRPr="00A731E1" w14:paraId="339EBFB8" w14:textId="77777777" w:rsidTr="002967BA">
        <w:trPr>
          <w:trHeight w:val="247"/>
        </w:trPr>
        <w:tc>
          <w:tcPr>
            <w:tcW w:w="3053" w:type="dxa"/>
            <w:tcBorders>
              <w:top w:val="single" w:sz="3" w:space="0" w:color="000000"/>
              <w:left w:val="single" w:sz="3" w:space="0" w:color="000000"/>
              <w:bottom w:val="single" w:sz="3" w:space="0" w:color="000000"/>
              <w:right w:val="single" w:sz="4" w:space="0" w:color="000000"/>
            </w:tcBorders>
          </w:tcPr>
          <w:p w14:paraId="05C3F8E1" w14:textId="4FF0A926" w:rsidR="00B07789" w:rsidRPr="00A731E1" w:rsidRDefault="00E478FD" w:rsidP="00833B71">
            <w:pPr>
              <w:keepNext/>
              <w:spacing w:after="0" w:line="240" w:lineRule="auto"/>
              <w:ind w:left="0" w:firstLine="0"/>
              <w:rPr>
                <w:sz w:val="22"/>
              </w:rPr>
            </w:pPr>
            <w:r>
              <w:rPr>
                <w:sz w:val="22"/>
              </w:rPr>
              <w:t>Cievna m</w:t>
            </w:r>
            <w:r w:rsidR="00D25089">
              <w:rPr>
                <w:sz w:val="22"/>
              </w:rPr>
              <w:t xml:space="preserve">ozgová príhoda alebo systémová embólia* </w:t>
            </w:r>
          </w:p>
        </w:tc>
        <w:tc>
          <w:tcPr>
            <w:tcW w:w="1845" w:type="dxa"/>
            <w:tcBorders>
              <w:top w:val="single" w:sz="3" w:space="0" w:color="000000"/>
              <w:left w:val="single" w:sz="4" w:space="0" w:color="000000"/>
              <w:bottom w:val="single" w:sz="3" w:space="0" w:color="000000"/>
              <w:right w:val="single" w:sz="3" w:space="0" w:color="000000"/>
            </w:tcBorders>
          </w:tcPr>
          <w:p w14:paraId="4A2F76DA" w14:textId="77777777" w:rsidR="00B07789" w:rsidRPr="00A731E1" w:rsidRDefault="00D25089" w:rsidP="002967BA">
            <w:pPr>
              <w:keepNext/>
              <w:spacing w:after="0" w:line="240" w:lineRule="auto"/>
              <w:ind w:left="0" w:right="20" w:firstLine="0"/>
              <w:jc w:val="center"/>
              <w:rPr>
                <w:sz w:val="22"/>
              </w:rPr>
            </w:pPr>
            <w:r>
              <w:rPr>
                <w:sz w:val="22"/>
              </w:rPr>
              <w:t>51 (1,62)</w:t>
            </w:r>
          </w:p>
        </w:tc>
        <w:tc>
          <w:tcPr>
            <w:tcW w:w="1845" w:type="dxa"/>
            <w:tcBorders>
              <w:top w:val="single" w:sz="3" w:space="0" w:color="000000"/>
              <w:left w:val="single" w:sz="3" w:space="0" w:color="000000"/>
              <w:bottom w:val="single" w:sz="3" w:space="0" w:color="000000"/>
              <w:right w:val="single" w:sz="3" w:space="0" w:color="000000"/>
            </w:tcBorders>
          </w:tcPr>
          <w:p w14:paraId="19EF5BFE" w14:textId="77777777" w:rsidR="00B07789" w:rsidRPr="00A731E1" w:rsidRDefault="00D25089" w:rsidP="002967BA">
            <w:pPr>
              <w:keepNext/>
              <w:spacing w:after="0" w:line="240" w:lineRule="auto"/>
              <w:ind w:left="0" w:right="22" w:firstLine="0"/>
              <w:jc w:val="center"/>
              <w:rPr>
                <w:sz w:val="22"/>
              </w:rPr>
            </w:pPr>
            <w:r>
              <w:rPr>
                <w:sz w:val="22"/>
              </w:rPr>
              <w:t>113 (3,63)</w:t>
            </w:r>
          </w:p>
        </w:tc>
        <w:tc>
          <w:tcPr>
            <w:tcW w:w="1845" w:type="dxa"/>
            <w:tcBorders>
              <w:top w:val="single" w:sz="3" w:space="0" w:color="000000"/>
              <w:left w:val="single" w:sz="3" w:space="0" w:color="000000"/>
              <w:bottom w:val="single" w:sz="3" w:space="0" w:color="000000"/>
              <w:right w:val="single" w:sz="4" w:space="0" w:color="000000"/>
            </w:tcBorders>
          </w:tcPr>
          <w:p w14:paraId="0EA8EE1A" w14:textId="77777777" w:rsidR="00B07789" w:rsidRPr="00A731E1" w:rsidRDefault="00D25089" w:rsidP="002967BA">
            <w:pPr>
              <w:keepNext/>
              <w:spacing w:after="0" w:line="240" w:lineRule="auto"/>
              <w:ind w:left="0" w:right="22" w:firstLine="0"/>
              <w:jc w:val="center"/>
              <w:rPr>
                <w:sz w:val="22"/>
              </w:rPr>
            </w:pPr>
            <w:r>
              <w:rPr>
                <w:sz w:val="22"/>
              </w:rPr>
              <w:t>0,45 (0,32; 0,62)</w:t>
            </w:r>
          </w:p>
        </w:tc>
        <w:tc>
          <w:tcPr>
            <w:tcW w:w="966" w:type="dxa"/>
            <w:tcBorders>
              <w:top w:val="single" w:sz="3" w:space="0" w:color="000000"/>
              <w:left w:val="single" w:sz="4" w:space="0" w:color="000000"/>
              <w:bottom w:val="single" w:sz="3" w:space="0" w:color="000000"/>
              <w:right w:val="single" w:sz="4" w:space="0" w:color="000000"/>
            </w:tcBorders>
          </w:tcPr>
          <w:p w14:paraId="01C31239" w14:textId="77777777" w:rsidR="00B07789" w:rsidRPr="00A731E1" w:rsidRDefault="00D25089" w:rsidP="002967BA">
            <w:pPr>
              <w:keepNext/>
              <w:spacing w:after="0" w:line="240" w:lineRule="auto"/>
              <w:ind w:left="0" w:firstLine="0"/>
              <w:jc w:val="center"/>
              <w:rPr>
                <w:sz w:val="22"/>
              </w:rPr>
            </w:pPr>
            <w:r>
              <w:rPr>
                <w:sz w:val="22"/>
              </w:rPr>
              <w:t>&lt; 0,0001</w:t>
            </w:r>
          </w:p>
        </w:tc>
      </w:tr>
      <w:tr w:rsidR="00B07789" w:rsidRPr="00A731E1" w14:paraId="4F6B89F1" w14:textId="77777777" w:rsidTr="002967BA">
        <w:trPr>
          <w:trHeight w:val="247"/>
        </w:trPr>
        <w:tc>
          <w:tcPr>
            <w:tcW w:w="3053" w:type="dxa"/>
            <w:tcBorders>
              <w:top w:val="single" w:sz="3" w:space="0" w:color="000000"/>
              <w:left w:val="single" w:sz="3" w:space="0" w:color="000000"/>
              <w:bottom w:val="single" w:sz="3" w:space="0" w:color="000000"/>
              <w:right w:val="single" w:sz="4" w:space="0" w:color="000000"/>
            </w:tcBorders>
          </w:tcPr>
          <w:p w14:paraId="6C2DB35C" w14:textId="5E960300" w:rsidR="00B07789" w:rsidRPr="00A731E1" w:rsidRDefault="00E478FD" w:rsidP="00833B71">
            <w:pPr>
              <w:spacing w:after="0" w:line="240" w:lineRule="auto"/>
              <w:ind w:left="0" w:firstLine="0"/>
              <w:rPr>
                <w:sz w:val="22"/>
              </w:rPr>
            </w:pPr>
            <w:r>
              <w:rPr>
                <w:sz w:val="22"/>
              </w:rPr>
              <w:t>Cievna m</w:t>
            </w:r>
            <w:r w:rsidR="00D25089">
              <w:rPr>
                <w:sz w:val="22"/>
              </w:rPr>
              <w:t xml:space="preserve">ozgová príhoda </w:t>
            </w:r>
          </w:p>
        </w:tc>
        <w:tc>
          <w:tcPr>
            <w:tcW w:w="1845" w:type="dxa"/>
            <w:tcBorders>
              <w:top w:val="single" w:sz="3" w:space="0" w:color="000000"/>
              <w:left w:val="single" w:sz="4" w:space="0" w:color="000000"/>
              <w:bottom w:val="single" w:sz="3" w:space="0" w:color="000000"/>
              <w:right w:val="single" w:sz="3" w:space="0" w:color="000000"/>
            </w:tcBorders>
          </w:tcPr>
          <w:p w14:paraId="3046C623" w14:textId="77777777" w:rsidR="00B07789" w:rsidRPr="00A731E1" w:rsidRDefault="00B07789" w:rsidP="002967BA">
            <w:pPr>
              <w:spacing w:after="0" w:line="240" w:lineRule="auto"/>
              <w:ind w:left="0" w:firstLine="0"/>
              <w:jc w:val="center"/>
              <w:rPr>
                <w:sz w:val="22"/>
                <w:lang w:val="en-GB"/>
              </w:rPr>
            </w:pPr>
          </w:p>
        </w:tc>
        <w:tc>
          <w:tcPr>
            <w:tcW w:w="1845" w:type="dxa"/>
            <w:tcBorders>
              <w:top w:val="single" w:sz="3" w:space="0" w:color="000000"/>
              <w:left w:val="single" w:sz="3" w:space="0" w:color="000000"/>
              <w:bottom w:val="single" w:sz="3" w:space="0" w:color="000000"/>
              <w:right w:val="single" w:sz="3" w:space="0" w:color="000000"/>
            </w:tcBorders>
          </w:tcPr>
          <w:p w14:paraId="262BEDFB" w14:textId="77777777" w:rsidR="00B07789" w:rsidRPr="00A731E1" w:rsidRDefault="00B07789" w:rsidP="002967BA">
            <w:pPr>
              <w:spacing w:after="0" w:line="240" w:lineRule="auto"/>
              <w:ind w:left="0" w:firstLine="0"/>
              <w:jc w:val="center"/>
              <w:rPr>
                <w:sz w:val="22"/>
                <w:lang w:val="en-GB"/>
              </w:rPr>
            </w:pPr>
          </w:p>
        </w:tc>
        <w:tc>
          <w:tcPr>
            <w:tcW w:w="1845" w:type="dxa"/>
            <w:tcBorders>
              <w:top w:val="single" w:sz="3" w:space="0" w:color="000000"/>
              <w:left w:val="single" w:sz="3" w:space="0" w:color="000000"/>
              <w:bottom w:val="single" w:sz="3" w:space="0" w:color="000000"/>
              <w:right w:val="single" w:sz="4" w:space="0" w:color="000000"/>
            </w:tcBorders>
          </w:tcPr>
          <w:p w14:paraId="7E5571AC" w14:textId="77777777" w:rsidR="00B07789" w:rsidRPr="00A731E1" w:rsidRDefault="00B07789" w:rsidP="002967BA">
            <w:pPr>
              <w:spacing w:after="0" w:line="240" w:lineRule="auto"/>
              <w:ind w:left="0" w:firstLine="0"/>
              <w:jc w:val="center"/>
              <w:rPr>
                <w:sz w:val="22"/>
                <w:lang w:val="en-GB"/>
              </w:rPr>
            </w:pPr>
          </w:p>
        </w:tc>
        <w:tc>
          <w:tcPr>
            <w:tcW w:w="966" w:type="dxa"/>
            <w:tcBorders>
              <w:top w:val="single" w:sz="3" w:space="0" w:color="000000"/>
              <w:left w:val="single" w:sz="4" w:space="0" w:color="000000"/>
              <w:bottom w:val="single" w:sz="3" w:space="0" w:color="000000"/>
              <w:right w:val="single" w:sz="4" w:space="0" w:color="000000"/>
            </w:tcBorders>
          </w:tcPr>
          <w:p w14:paraId="2EF6DC3B" w14:textId="77777777" w:rsidR="00B07789" w:rsidRPr="00A731E1" w:rsidRDefault="00B07789" w:rsidP="002967BA">
            <w:pPr>
              <w:spacing w:after="0" w:line="240" w:lineRule="auto"/>
              <w:ind w:left="0" w:firstLine="0"/>
              <w:jc w:val="center"/>
              <w:rPr>
                <w:sz w:val="22"/>
                <w:lang w:val="en-GB"/>
              </w:rPr>
            </w:pPr>
          </w:p>
        </w:tc>
      </w:tr>
      <w:tr w:rsidR="00B07789" w:rsidRPr="00A731E1" w14:paraId="52DEEC82" w14:textId="77777777" w:rsidTr="002967BA">
        <w:trPr>
          <w:trHeight w:val="247"/>
        </w:trPr>
        <w:tc>
          <w:tcPr>
            <w:tcW w:w="3053" w:type="dxa"/>
            <w:tcBorders>
              <w:top w:val="single" w:sz="3" w:space="0" w:color="000000"/>
              <w:left w:val="single" w:sz="3" w:space="0" w:color="000000"/>
              <w:bottom w:val="single" w:sz="3" w:space="0" w:color="000000"/>
              <w:right w:val="single" w:sz="4" w:space="0" w:color="000000"/>
            </w:tcBorders>
          </w:tcPr>
          <w:p w14:paraId="6B97B977" w14:textId="77777777" w:rsidR="00B07789" w:rsidRPr="00A731E1" w:rsidRDefault="00D25089" w:rsidP="00833B71">
            <w:pPr>
              <w:spacing w:after="0" w:line="240" w:lineRule="auto"/>
              <w:ind w:left="0" w:right="53" w:firstLine="0"/>
              <w:rPr>
                <w:sz w:val="22"/>
              </w:rPr>
            </w:pPr>
            <w:r>
              <w:rPr>
                <w:sz w:val="22"/>
              </w:rPr>
              <w:t xml:space="preserve">Ischemická alebo nešpecifikovaná </w:t>
            </w:r>
          </w:p>
        </w:tc>
        <w:tc>
          <w:tcPr>
            <w:tcW w:w="1845" w:type="dxa"/>
            <w:tcBorders>
              <w:top w:val="single" w:sz="3" w:space="0" w:color="000000"/>
              <w:left w:val="single" w:sz="4" w:space="0" w:color="000000"/>
              <w:bottom w:val="single" w:sz="3" w:space="0" w:color="000000"/>
              <w:right w:val="single" w:sz="3" w:space="0" w:color="000000"/>
            </w:tcBorders>
          </w:tcPr>
          <w:p w14:paraId="36B2FF0B" w14:textId="77777777" w:rsidR="00B07789" w:rsidRPr="00A731E1" w:rsidRDefault="00D25089" w:rsidP="002967BA">
            <w:pPr>
              <w:spacing w:after="0" w:line="240" w:lineRule="auto"/>
              <w:ind w:left="0" w:right="21" w:firstLine="0"/>
              <w:jc w:val="center"/>
              <w:rPr>
                <w:sz w:val="22"/>
              </w:rPr>
            </w:pPr>
            <w:r>
              <w:rPr>
                <w:sz w:val="22"/>
              </w:rPr>
              <w:t>43 (1,37)</w:t>
            </w:r>
          </w:p>
        </w:tc>
        <w:tc>
          <w:tcPr>
            <w:tcW w:w="1845" w:type="dxa"/>
            <w:tcBorders>
              <w:top w:val="single" w:sz="3" w:space="0" w:color="000000"/>
              <w:left w:val="single" w:sz="3" w:space="0" w:color="000000"/>
              <w:bottom w:val="single" w:sz="3" w:space="0" w:color="000000"/>
              <w:right w:val="single" w:sz="3" w:space="0" w:color="000000"/>
            </w:tcBorders>
          </w:tcPr>
          <w:p w14:paraId="0BEF29BB" w14:textId="77777777" w:rsidR="00B07789" w:rsidRPr="00A731E1" w:rsidRDefault="00D25089" w:rsidP="002967BA">
            <w:pPr>
              <w:spacing w:after="0" w:line="240" w:lineRule="auto"/>
              <w:ind w:left="0" w:right="23" w:firstLine="0"/>
              <w:jc w:val="center"/>
              <w:rPr>
                <w:sz w:val="22"/>
              </w:rPr>
            </w:pPr>
            <w:r>
              <w:rPr>
                <w:sz w:val="22"/>
              </w:rPr>
              <w:t>97 (3,11)</w:t>
            </w:r>
          </w:p>
        </w:tc>
        <w:tc>
          <w:tcPr>
            <w:tcW w:w="1845" w:type="dxa"/>
            <w:tcBorders>
              <w:top w:val="single" w:sz="3" w:space="0" w:color="000000"/>
              <w:left w:val="single" w:sz="3" w:space="0" w:color="000000"/>
              <w:bottom w:val="single" w:sz="3" w:space="0" w:color="000000"/>
              <w:right w:val="single" w:sz="4" w:space="0" w:color="000000"/>
            </w:tcBorders>
          </w:tcPr>
          <w:p w14:paraId="7120B183" w14:textId="77777777" w:rsidR="00B07789" w:rsidRPr="00A731E1" w:rsidRDefault="00D25089" w:rsidP="002967BA">
            <w:pPr>
              <w:spacing w:after="0" w:line="240" w:lineRule="auto"/>
              <w:ind w:left="0" w:right="20" w:firstLine="0"/>
              <w:jc w:val="center"/>
              <w:rPr>
                <w:sz w:val="22"/>
              </w:rPr>
            </w:pPr>
            <w:r>
              <w:rPr>
                <w:sz w:val="22"/>
              </w:rPr>
              <w:t>0,44 (0,31; 0,63)</w:t>
            </w:r>
          </w:p>
        </w:tc>
        <w:tc>
          <w:tcPr>
            <w:tcW w:w="966" w:type="dxa"/>
            <w:tcBorders>
              <w:top w:val="single" w:sz="3" w:space="0" w:color="000000"/>
              <w:left w:val="single" w:sz="4" w:space="0" w:color="000000"/>
              <w:bottom w:val="single" w:sz="3" w:space="0" w:color="000000"/>
              <w:right w:val="single" w:sz="4" w:space="0" w:color="000000"/>
            </w:tcBorders>
          </w:tcPr>
          <w:p w14:paraId="0E46F2D7" w14:textId="77777777" w:rsidR="00B07789" w:rsidRPr="00A731E1" w:rsidRDefault="00B07789" w:rsidP="002967BA">
            <w:pPr>
              <w:spacing w:after="0" w:line="240" w:lineRule="auto"/>
              <w:ind w:left="0" w:firstLine="0"/>
              <w:jc w:val="center"/>
              <w:rPr>
                <w:sz w:val="22"/>
                <w:lang w:val="en-GB"/>
              </w:rPr>
            </w:pPr>
          </w:p>
        </w:tc>
      </w:tr>
      <w:tr w:rsidR="00B07789" w:rsidRPr="00A731E1" w14:paraId="7EE28DD7" w14:textId="77777777" w:rsidTr="002967BA">
        <w:trPr>
          <w:trHeight w:val="248"/>
        </w:trPr>
        <w:tc>
          <w:tcPr>
            <w:tcW w:w="3053" w:type="dxa"/>
            <w:tcBorders>
              <w:top w:val="single" w:sz="3" w:space="0" w:color="000000"/>
              <w:left w:val="single" w:sz="3" w:space="0" w:color="000000"/>
              <w:bottom w:val="single" w:sz="3" w:space="0" w:color="000000"/>
              <w:right w:val="single" w:sz="4" w:space="0" w:color="000000"/>
            </w:tcBorders>
          </w:tcPr>
          <w:p w14:paraId="4D241F3A" w14:textId="77777777" w:rsidR="00B07789" w:rsidRPr="00A731E1" w:rsidRDefault="00D25089" w:rsidP="00833B71">
            <w:pPr>
              <w:spacing w:after="0" w:line="240" w:lineRule="auto"/>
              <w:ind w:left="0" w:firstLine="0"/>
              <w:rPr>
                <w:sz w:val="22"/>
              </w:rPr>
            </w:pPr>
            <w:r>
              <w:rPr>
                <w:sz w:val="22"/>
              </w:rPr>
              <w:t xml:space="preserve">Hemoragická </w:t>
            </w:r>
          </w:p>
        </w:tc>
        <w:tc>
          <w:tcPr>
            <w:tcW w:w="1845" w:type="dxa"/>
            <w:tcBorders>
              <w:top w:val="single" w:sz="3" w:space="0" w:color="000000"/>
              <w:left w:val="single" w:sz="4" w:space="0" w:color="000000"/>
              <w:bottom w:val="single" w:sz="3" w:space="0" w:color="000000"/>
              <w:right w:val="single" w:sz="3" w:space="0" w:color="000000"/>
            </w:tcBorders>
          </w:tcPr>
          <w:p w14:paraId="7DCED267" w14:textId="77777777" w:rsidR="00B07789" w:rsidRPr="00A731E1" w:rsidRDefault="00D25089" w:rsidP="002967BA">
            <w:pPr>
              <w:spacing w:after="0" w:line="240" w:lineRule="auto"/>
              <w:ind w:left="0" w:right="25" w:firstLine="0"/>
              <w:jc w:val="center"/>
              <w:rPr>
                <w:sz w:val="22"/>
              </w:rPr>
            </w:pPr>
            <w:r>
              <w:rPr>
                <w:sz w:val="22"/>
              </w:rPr>
              <w:t>6 (0,19)</w:t>
            </w:r>
          </w:p>
        </w:tc>
        <w:tc>
          <w:tcPr>
            <w:tcW w:w="1845" w:type="dxa"/>
            <w:tcBorders>
              <w:top w:val="single" w:sz="3" w:space="0" w:color="000000"/>
              <w:left w:val="single" w:sz="3" w:space="0" w:color="000000"/>
              <w:bottom w:val="single" w:sz="3" w:space="0" w:color="000000"/>
              <w:right w:val="single" w:sz="3" w:space="0" w:color="000000"/>
            </w:tcBorders>
          </w:tcPr>
          <w:p w14:paraId="026AAD90" w14:textId="77777777" w:rsidR="00B07789" w:rsidRPr="00A731E1" w:rsidRDefault="00D25089" w:rsidP="002967BA">
            <w:pPr>
              <w:spacing w:after="0" w:line="240" w:lineRule="auto"/>
              <w:ind w:left="0" w:right="22" w:firstLine="0"/>
              <w:jc w:val="center"/>
              <w:rPr>
                <w:sz w:val="22"/>
              </w:rPr>
            </w:pPr>
            <w:r>
              <w:rPr>
                <w:sz w:val="22"/>
              </w:rPr>
              <w:t>9 (0,28)</w:t>
            </w:r>
          </w:p>
        </w:tc>
        <w:tc>
          <w:tcPr>
            <w:tcW w:w="1845" w:type="dxa"/>
            <w:tcBorders>
              <w:top w:val="single" w:sz="3" w:space="0" w:color="000000"/>
              <w:left w:val="single" w:sz="3" w:space="0" w:color="000000"/>
              <w:bottom w:val="single" w:sz="3" w:space="0" w:color="000000"/>
              <w:right w:val="single" w:sz="4" w:space="0" w:color="000000"/>
            </w:tcBorders>
          </w:tcPr>
          <w:p w14:paraId="51910F67" w14:textId="77777777" w:rsidR="00B07789" w:rsidRPr="00A731E1" w:rsidRDefault="00D25089" w:rsidP="002967BA">
            <w:pPr>
              <w:spacing w:after="0" w:line="240" w:lineRule="auto"/>
              <w:ind w:left="0" w:right="21" w:firstLine="0"/>
              <w:jc w:val="center"/>
              <w:rPr>
                <w:sz w:val="22"/>
              </w:rPr>
            </w:pPr>
            <w:r>
              <w:rPr>
                <w:sz w:val="22"/>
              </w:rPr>
              <w:t>0,67 (0,24; 1,88)</w:t>
            </w:r>
          </w:p>
        </w:tc>
        <w:tc>
          <w:tcPr>
            <w:tcW w:w="966" w:type="dxa"/>
            <w:tcBorders>
              <w:top w:val="single" w:sz="3" w:space="0" w:color="000000"/>
              <w:left w:val="single" w:sz="4" w:space="0" w:color="000000"/>
              <w:bottom w:val="single" w:sz="3" w:space="0" w:color="000000"/>
              <w:right w:val="single" w:sz="4" w:space="0" w:color="000000"/>
            </w:tcBorders>
          </w:tcPr>
          <w:p w14:paraId="4508D510" w14:textId="77777777" w:rsidR="00B07789" w:rsidRPr="00A731E1" w:rsidRDefault="00B07789" w:rsidP="002967BA">
            <w:pPr>
              <w:spacing w:after="0" w:line="240" w:lineRule="auto"/>
              <w:ind w:left="0" w:firstLine="0"/>
              <w:jc w:val="center"/>
              <w:rPr>
                <w:sz w:val="22"/>
                <w:lang w:val="en-GB"/>
              </w:rPr>
            </w:pPr>
          </w:p>
        </w:tc>
      </w:tr>
      <w:tr w:rsidR="00B07789" w:rsidRPr="00A731E1" w14:paraId="1687D928" w14:textId="77777777" w:rsidTr="002967BA">
        <w:trPr>
          <w:trHeight w:val="248"/>
        </w:trPr>
        <w:tc>
          <w:tcPr>
            <w:tcW w:w="3053" w:type="dxa"/>
            <w:tcBorders>
              <w:top w:val="single" w:sz="3" w:space="0" w:color="000000"/>
              <w:left w:val="single" w:sz="3" w:space="0" w:color="000000"/>
              <w:bottom w:val="single" w:sz="4" w:space="0" w:color="000000"/>
              <w:right w:val="single" w:sz="4" w:space="0" w:color="000000"/>
            </w:tcBorders>
          </w:tcPr>
          <w:p w14:paraId="546878CD" w14:textId="77777777" w:rsidR="00B07789" w:rsidRPr="00A731E1" w:rsidRDefault="00D25089" w:rsidP="00833B71">
            <w:pPr>
              <w:spacing w:after="0" w:line="240" w:lineRule="auto"/>
              <w:ind w:left="0" w:firstLine="0"/>
              <w:rPr>
                <w:sz w:val="22"/>
              </w:rPr>
            </w:pPr>
            <w:r>
              <w:rPr>
                <w:sz w:val="22"/>
              </w:rPr>
              <w:t xml:space="preserve">Systémová embólia </w:t>
            </w:r>
          </w:p>
        </w:tc>
        <w:tc>
          <w:tcPr>
            <w:tcW w:w="1845" w:type="dxa"/>
            <w:tcBorders>
              <w:top w:val="single" w:sz="3" w:space="0" w:color="000000"/>
              <w:left w:val="single" w:sz="4" w:space="0" w:color="000000"/>
              <w:bottom w:val="single" w:sz="4" w:space="0" w:color="000000"/>
              <w:right w:val="single" w:sz="3" w:space="0" w:color="000000"/>
            </w:tcBorders>
          </w:tcPr>
          <w:p w14:paraId="46EF2883" w14:textId="77777777" w:rsidR="00B07789" w:rsidRPr="00A731E1" w:rsidRDefault="00D25089" w:rsidP="002967BA">
            <w:pPr>
              <w:spacing w:after="0" w:line="240" w:lineRule="auto"/>
              <w:ind w:left="0" w:right="23" w:firstLine="0"/>
              <w:jc w:val="center"/>
              <w:rPr>
                <w:sz w:val="22"/>
              </w:rPr>
            </w:pPr>
            <w:r>
              <w:rPr>
                <w:sz w:val="22"/>
              </w:rPr>
              <w:t>2 (0,06)</w:t>
            </w:r>
          </w:p>
        </w:tc>
        <w:tc>
          <w:tcPr>
            <w:tcW w:w="1845" w:type="dxa"/>
            <w:tcBorders>
              <w:top w:val="single" w:sz="3" w:space="0" w:color="000000"/>
              <w:left w:val="single" w:sz="3" w:space="0" w:color="000000"/>
              <w:bottom w:val="single" w:sz="4" w:space="0" w:color="000000"/>
              <w:right w:val="single" w:sz="3" w:space="0" w:color="000000"/>
            </w:tcBorders>
          </w:tcPr>
          <w:p w14:paraId="5FF213D6" w14:textId="77777777" w:rsidR="00B07789" w:rsidRPr="00A731E1" w:rsidRDefault="00D25089" w:rsidP="002967BA">
            <w:pPr>
              <w:spacing w:after="0" w:line="240" w:lineRule="auto"/>
              <w:ind w:left="0" w:right="22" w:firstLine="0"/>
              <w:jc w:val="center"/>
              <w:rPr>
                <w:sz w:val="22"/>
              </w:rPr>
            </w:pPr>
            <w:r>
              <w:rPr>
                <w:sz w:val="22"/>
              </w:rPr>
              <w:t>13 (0,41)</w:t>
            </w:r>
          </w:p>
        </w:tc>
        <w:tc>
          <w:tcPr>
            <w:tcW w:w="1845" w:type="dxa"/>
            <w:tcBorders>
              <w:top w:val="single" w:sz="3" w:space="0" w:color="000000"/>
              <w:left w:val="single" w:sz="3" w:space="0" w:color="000000"/>
              <w:bottom w:val="single" w:sz="4" w:space="0" w:color="000000"/>
              <w:right w:val="single" w:sz="4" w:space="0" w:color="000000"/>
            </w:tcBorders>
          </w:tcPr>
          <w:p w14:paraId="64EFE84F" w14:textId="77777777" w:rsidR="00B07789" w:rsidRPr="00A731E1" w:rsidRDefault="00D25089" w:rsidP="002967BA">
            <w:pPr>
              <w:spacing w:after="0" w:line="240" w:lineRule="auto"/>
              <w:ind w:left="0" w:right="20" w:firstLine="0"/>
              <w:jc w:val="center"/>
              <w:rPr>
                <w:sz w:val="22"/>
              </w:rPr>
            </w:pPr>
            <w:r>
              <w:rPr>
                <w:sz w:val="22"/>
              </w:rPr>
              <w:t>0,15 (0,03; 0,68)</w:t>
            </w:r>
          </w:p>
        </w:tc>
        <w:tc>
          <w:tcPr>
            <w:tcW w:w="966" w:type="dxa"/>
            <w:tcBorders>
              <w:top w:val="single" w:sz="3" w:space="0" w:color="000000"/>
              <w:left w:val="single" w:sz="4" w:space="0" w:color="000000"/>
              <w:bottom w:val="single" w:sz="4" w:space="0" w:color="000000"/>
              <w:right w:val="single" w:sz="4" w:space="0" w:color="000000"/>
            </w:tcBorders>
          </w:tcPr>
          <w:p w14:paraId="62B00A4B" w14:textId="77777777" w:rsidR="00B07789" w:rsidRPr="00A731E1" w:rsidRDefault="00B07789" w:rsidP="002967BA">
            <w:pPr>
              <w:spacing w:after="0" w:line="240" w:lineRule="auto"/>
              <w:ind w:left="0" w:firstLine="0"/>
              <w:jc w:val="center"/>
              <w:rPr>
                <w:sz w:val="22"/>
                <w:lang w:val="en-GB"/>
              </w:rPr>
            </w:pPr>
          </w:p>
        </w:tc>
      </w:tr>
      <w:tr w:rsidR="00B07789" w:rsidRPr="00A731E1" w14:paraId="1FE18DC8" w14:textId="77777777" w:rsidTr="002967BA">
        <w:trPr>
          <w:trHeight w:val="485"/>
        </w:trPr>
        <w:tc>
          <w:tcPr>
            <w:tcW w:w="3053" w:type="dxa"/>
            <w:tcBorders>
              <w:top w:val="single" w:sz="4" w:space="0" w:color="000000"/>
              <w:left w:val="single" w:sz="3" w:space="0" w:color="000000"/>
              <w:bottom w:val="single" w:sz="3" w:space="0" w:color="000000"/>
              <w:right w:val="single" w:sz="4" w:space="0" w:color="000000"/>
            </w:tcBorders>
          </w:tcPr>
          <w:p w14:paraId="74A29B4F" w14:textId="3BFDFBEE" w:rsidR="00B07789" w:rsidRPr="00A731E1" w:rsidRDefault="00E478FD" w:rsidP="00833B71">
            <w:pPr>
              <w:spacing w:after="0" w:line="240" w:lineRule="auto"/>
              <w:ind w:left="0" w:firstLine="0"/>
              <w:rPr>
                <w:sz w:val="22"/>
              </w:rPr>
            </w:pPr>
            <w:r>
              <w:rPr>
                <w:sz w:val="22"/>
              </w:rPr>
              <w:t>Cievna m</w:t>
            </w:r>
            <w:r w:rsidR="00D25089">
              <w:rPr>
                <w:sz w:val="22"/>
              </w:rPr>
              <w:t xml:space="preserve">ozgová príhoda, systémová embólia, IM alebo vaskulárne úmrtie*† </w:t>
            </w:r>
          </w:p>
        </w:tc>
        <w:tc>
          <w:tcPr>
            <w:tcW w:w="1845" w:type="dxa"/>
            <w:tcBorders>
              <w:top w:val="single" w:sz="4" w:space="0" w:color="000000"/>
              <w:left w:val="single" w:sz="4" w:space="0" w:color="000000"/>
              <w:bottom w:val="single" w:sz="3" w:space="0" w:color="000000"/>
              <w:right w:val="single" w:sz="3" w:space="0" w:color="000000"/>
            </w:tcBorders>
          </w:tcPr>
          <w:p w14:paraId="1D2D265B" w14:textId="77777777" w:rsidR="00B07789" w:rsidRPr="00A731E1" w:rsidRDefault="00D25089" w:rsidP="002967BA">
            <w:pPr>
              <w:spacing w:after="0" w:line="240" w:lineRule="auto"/>
              <w:ind w:left="0" w:right="23" w:firstLine="0"/>
              <w:jc w:val="center"/>
              <w:rPr>
                <w:sz w:val="22"/>
              </w:rPr>
            </w:pPr>
            <w:r>
              <w:rPr>
                <w:sz w:val="22"/>
              </w:rPr>
              <w:t>132 (4,21)</w:t>
            </w:r>
          </w:p>
        </w:tc>
        <w:tc>
          <w:tcPr>
            <w:tcW w:w="1845" w:type="dxa"/>
            <w:tcBorders>
              <w:top w:val="single" w:sz="4" w:space="0" w:color="000000"/>
              <w:left w:val="single" w:sz="3" w:space="0" w:color="000000"/>
              <w:bottom w:val="single" w:sz="3" w:space="0" w:color="000000"/>
              <w:right w:val="single" w:sz="3" w:space="0" w:color="000000"/>
            </w:tcBorders>
          </w:tcPr>
          <w:p w14:paraId="68251FE3" w14:textId="77777777" w:rsidR="00B07789" w:rsidRPr="00A731E1" w:rsidRDefault="00D25089" w:rsidP="002967BA">
            <w:pPr>
              <w:spacing w:after="0" w:line="240" w:lineRule="auto"/>
              <w:ind w:left="0" w:right="22" w:firstLine="0"/>
              <w:jc w:val="center"/>
              <w:rPr>
                <w:sz w:val="22"/>
              </w:rPr>
            </w:pPr>
            <w:r>
              <w:rPr>
                <w:sz w:val="22"/>
              </w:rPr>
              <w:t>197 (6,35)</w:t>
            </w:r>
          </w:p>
        </w:tc>
        <w:tc>
          <w:tcPr>
            <w:tcW w:w="1845" w:type="dxa"/>
            <w:tcBorders>
              <w:top w:val="single" w:sz="4" w:space="0" w:color="000000"/>
              <w:left w:val="single" w:sz="3" w:space="0" w:color="000000"/>
              <w:bottom w:val="single" w:sz="3" w:space="0" w:color="000000"/>
              <w:right w:val="single" w:sz="4" w:space="0" w:color="000000"/>
            </w:tcBorders>
          </w:tcPr>
          <w:p w14:paraId="73453575" w14:textId="77777777" w:rsidR="00B07789" w:rsidRPr="00A731E1" w:rsidRDefault="00D25089" w:rsidP="002967BA">
            <w:pPr>
              <w:spacing w:after="0" w:line="240" w:lineRule="auto"/>
              <w:ind w:left="0" w:right="22" w:firstLine="0"/>
              <w:jc w:val="center"/>
              <w:rPr>
                <w:sz w:val="22"/>
              </w:rPr>
            </w:pPr>
            <w:r>
              <w:rPr>
                <w:sz w:val="22"/>
              </w:rPr>
              <w:t>0,66 (0,53; 0,83)</w:t>
            </w:r>
          </w:p>
        </w:tc>
        <w:tc>
          <w:tcPr>
            <w:tcW w:w="966" w:type="dxa"/>
            <w:tcBorders>
              <w:top w:val="single" w:sz="4" w:space="0" w:color="000000"/>
              <w:left w:val="single" w:sz="4" w:space="0" w:color="000000"/>
              <w:bottom w:val="single" w:sz="3" w:space="0" w:color="000000"/>
              <w:right w:val="single" w:sz="4" w:space="0" w:color="000000"/>
            </w:tcBorders>
          </w:tcPr>
          <w:p w14:paraId="4120BC38" w14:textId="77777777" w:rsidR="00B07789" w:rsidRPr="00A731E1" w:rsidRDefault="00D25089" w:rsidP="002967BA">
            <w:pPr>
              <w:spacing w:after="0" w:line="240" w:lineRule="auto"/>
              <w:ind w:left="0" w:right="23" w:firstLine="0"/>
              <w:jc w:val="center"/>
              <w:rPr>
                <w:sz w:val="22"/>
              </w:rPr>
            </w:pPr>
            <w:r>
              <w:rPr>
                <w:sz w:val="22"/>
              </w:rPr>
              <w:t>0,003</w:t>
            </w:r>
          </w:p>
        </w:tc>
      </w:tr>
      <w:tr w:rsidR="00B07789" w:rsidRPr="00A731E1" w14:paraId="5B6EBE3F" w14:textId="77777777" w:rsidTr="002967BA">
        <w:trPr>
          <w:trHeight w:val="247"/>
        </w:trPr>
        <w:tc>
          <w:tcPr>
            <w:tcW w:w="3053" w:type="dxa"/>
            <w:tcBorders>
              <w:top w:val="single" w:sz="3" w:space="0" w:color="000000"/>
              <w:left w:val="single" w:sz="3" w:space="0" w:color="000000"/>
              <w:bottom w:val="single" w:sz="3" w:space="0" w:color="000000"/>
              <w:right w:val="single" w:sz="4" w:space="0" w:color="000000"/>
            </w:tcBorders>
          </w:tcPr>
          <w:p w14:paraId="2B08F88A" w14:textId="77777777" w:rsidR="00B07789" w:rsidRPr="00A731E1" w:rsidRDefault="00D25089" w:rsidP="00833B71">
            <w:pPr>
              <w:spacing w:after="0" w:line="240" w:lineRule="auto"/>
              <w:ind w:left="0" w:firstLine="0"/>
              <w:rPr>
                <w:sz w:val="22"/>
              </w:rPr>
            </w:pPr>
            <w:r>
              <w:rPr>
                <w:sz w:val="22"/>
              </w:rPr>
              <w:t xml:space="preserve">Infarkt myokardu </w:t>
            </w:r>
          </w:p>
        </w:tc>
        <w:tc>
          <w:tcPr>
            <w:tcW w:w="1845" w:type="dxa"/>
            <w:tcBorders>
              <w:top w:val="single" w:sz="3" w:space="0" w:color="000000"/>
              <w:left w:val="single" w:sz="4" w:space="0" w:color="000000"/>
              <w:bottom w:val="single" w:sz="3" w:space="0" w:color="000000"/>
              <w:right w:val="single" w:sz="3" w:space="0" w:color="000000"/>
            </w:tcBorders>
          </w:tcPr>
          <w:p w14:paraId="12339988" w14:textId="77777777" w:rsidR="00B07789" w:rsidRPr="00A731E1" w:rsidRDefault="00D25089" w:rsidP="002967BA">
            <w:pPr>
              <w:spacing w:after="0" w:line="240" w:lineRule="auto"/>
              <w:ind w:left="0" w:right="23" w:firstLine="0"/>
              <w:jc w:val="center"/>
              <w:rPr>
                <w:sz w:val="22"/>
              </w:rPr>
            </w:pPr>
            <w:r>
              <w:rPr>
                <w:sz w:val="22"/>
              </w:rPr>
              <w:t>24 (0,76)</w:t>
            </w:r>
          </w:p>
        </w:tc>
        <w:tc>
          <w:tcPr>
            <w:tcW w:w="1845" w:type="dxa"/>
            <w:tcBorders>
              <w:top w:val="single" w:sz="3" w:space="0" w:color="000000"/>
              <w:left w:val="single" w:sz="3" w:space="0" w:color="000000"/>
              <w:bottom w:val="single" w:sz="3" w:space="0" w:color="000000"/>
              <w:right w:val="single" w:sz="3" w:space="0" w:color="000000"/>
            </w:tcBorders>
          </w:tcPr>
          <w:p w14:paraId="6095B040" w14:textId="77777777" w:rsidR="00B07789" w:rsidRPr="00A731E1" w:rsidRDefault="00D25089" w:rsidP="002967BA">
            <w:pPr>
              <w:spacing w:after="0" w:line="240" w:lineRule="auto"/>
              <w:ind w:left="0" w:right="23" w:firstLine="0"/>
              <w:jc w:val="center"/>
              <w:rPr>
                <w:sz w:val="22"/>
              </w:rPr>
            </w:pPr>
            <w:r>
              <w:rPr>
                <w:sz w:val="22"/>
              </w:rPr>
              <w:t>28 (0,89)</w:t>
            </w:r>
          </w:p>
        </w:tc>
        <w:tc>
          <w:tcPr>
            <w:tcW w:w="1845" w:type="dxa"/>
            <w:tcBorders>
              <w:top w:val="single" w:sz="3" w:space="0" w:color="000000"/>
              <w:left w:val="single" w:sz="3" w:space="0" w:color="000000"/>
              <w:bottom w:val="single" w:sz="3" w:space="0" w:color="000000"/>
              <w:right w:val="single" w:sz="4" w:space="0" w:color="000000"/>
            </w:tcBorders>
          </w:tcPr>
          <w:p w14:paraId="699769C7" w14:textId="77777777" w:rsidR="00B07789" w:rsidRPr="00A731E1" w:rsidRDefault="00D25089" w:rsidP="002967BA">
            <w:pPr>
              <w:spacing w:after="0" w:line="240" w:lineRule="auto"/>
              <w:ind w:left="0" w:right="21" w:firstLine="0"/>
              <w:jc w:val="center"/>
              <w:rPr>
                <w:sz w:val="22"/>
              </w:rPr>
            </w:pPr>
            <w:r>
              <w:rPr>
                <w:sz w:val="22"/>
              </w:rPr>
              <w:t>0,86 (0,50; 1,48)</w:t>
            </w:r>
          </w:p>
        </w:tc>
        <w:tc>
          <w:tcPr>
            <w:tcW w:w="966" w:type="dxa"/>
            <w:tcBorders>
              <w:top w:val="single" w:sz="3" w:space="0" w:color="000000"/>
              <w:left w:val="single" w:sz="4" w:space="0" w:color="000000"/>
              <w:bottom w:val="single" w:sz="3" w:space="0" w:color="000000"/>
              <w:right w:val="single" w:sz="4" w:space="0" w:color="000000"/>
            </w:tcBorders>
          </w:tcPr>
          <w:p w14:paraId="70C1F206" w14:textId="77777777" w:rsidR="00B07789" w:rsidRPr="00A731E1" w:rsidRDefault="00B07789" w:rsidP="002967BA">
            <w:pPr>
              <w:spacing w:after="0" w:line="240" w:lineRule="auto"/>
              <w:ind w:left="0" w:firstLine="0"/>
              <w:jc w:val="center"/>
              <w:rPr>
                <w:sz w:val="22"/>
                <w:lang w:val="en-GB"/>
              </w:rPr>
            </w:pPr>
          </w:p>
        </w:tc>
      </w:tr>
      <w:tr w:rsidR="00B07789" w:rsidRPr="00A731E1" w14:paraId="6CA79F57" w14:textId="77777777" w:rsidTr="002967BA">
        <w:trPr>
          <w:trHeight w:val="247"/>
        </w:trPr>
        <w:tc>
          <w:tcPr>
            <w:tcW w:w="3053" w:type="dxa"/>
            <w:tcBorders>
              <w:top w:val="single" w:sz="3" w:space="0" w:color="000000"/>
              <w:left w:val="single" w:sz="3" w:space="0" w:color="000000"/>
              <w:bottom w:val="single" w:sz="3" w:space="0" w:color="000000"/>
              <w:right w:val="single" w:sz="4" w:space="0" w:color="000000"/>
            </w:tcBorders>
          </w:tcPr>
          <w:p w14:paraId="428570A5" w14:textId="77777777" w:rsidR="00B07789" w:rsidRPr="00A731E1" w:rsidRDefault="00D25089" w:rsidP="00833B71">
            <w:pPr>
              <w:spacing w:after="0" w:line="240" w:lineRule="auto"/>
              <w:ind w:left="0" w:firstLine="0"/>
              <w:rPr>
                <w:sz w:val="22"/>
              </w:rPr>
            </w:pPr>
            <w:r>
              <w:rPr>
                <w:sz w:val="22"/>
              </w:rPr>
              <w:t xml:space="preserve">Vaskulárne úmrtie </w:t>
            </w:r>
          </w:p>
        </w:tc>
        <w:tc>
          <w:tcPr>
            <w:tcW w:w="1845" w:type="dxa"/>
            <w:tcBorders>
              <w:top w:val="single" w:sz="3" w:space="0" w:color="000000"/>
              <w:left w:val="single" w:sz="4" w:space="0" w:color="000000"/>
              <w:bottom w:val="single" w:sz="3" w:space="0" w:color="000000"/>
              <w:right w:val="single" w:sz="3" w:space="0" w:color="000000"/>
            </w:tcBorders>
          </w:tcPr>
          <w:p w14:paraId="143F4A27" w14:textId="77777777" w:rsidR="00B07789" w:rsidRPr="00A731E1" w:rsidRDefault="00D25089" w:rsidP="002967BA">
            <w:pPr>
              <w:spacing w:after="0" w:line="240" w:lineRule="auto"/>
              <w:ind w:left="0" w:right="20" w:firstLine="0"/>
              <w:jc w:val="center"/>
              <w:rPr>
                <w:sz w:val="22"/>
              </w:rPr>
            </w:pPr>
            <w:r>
              <w:rPr>
                <w:sz w:val="22"/>
              </w:rPr>
              <w:t>84 (2,65)</w:t>
            </w:r>
          </w:p>
        </w:tc>
        <w:tc>
          <w:tcPr>
            <w:tcW w:w="1845" w:type="dxa"/>
            <w:tcBorders>
              <w:top w:val="single" w:sz="3" w:space="0" w:color="000000"/>
              <w:left w:val="single" w:sz="3" w:space="0" w:color="000000"/>
              <w:bottom w:val="single" w:sz="3" w:space="0" w:color="000000"/>
              <w:right w:val="single" w:sz="3" w:space="0" w:color="000000"/>
            </w:tcBorders>
          </w:tcPr>
          <w:p w14:paraId="5B0C7656" w14:textId="77777777" w:rsidR="00B07789" w:rsidRPr="00A731E1" w:rsidRDefault="00D25089" w:rsidP="002967BA">
            <w:pPr>
              <w:spacing w:after="0" w:line="240" w:lineRule="auto"/>
              <w:ind w:left="0" w:right="23" w:firstLine="0"/>
              <w:jc w:val="center"/>
              <w:rPr>
                <w:sz w:val="22"/>
              </w:rPr>
            </w:pPr>
            <w:r>
              <w:rPr>
                <w:sz w:val="22"/>
              </w:rPr>
              <w:t>96 (3,03)</w:t>
            </w:r>
          </w:p>
        </w:tc>
        <w:tc>
          <w:tcPr>
            <w:tcW w:w="1845" w:type="dxa"/>
            <w:tcBorders>
              <w:top w:val="single" w:sz="3" w:space="0" w:color="000000"/>
              <w:left w:val="single" w:sz="3" w:space="0" w:color="000000"/>
              <w:bottom w:val="single" w:sz="3" w:space="0" w:color="000000"/>
              <w:right w:val="single" w:sz="4" w:space="0" w:color="000000"/>
            </w:tcBorders>
          </w:tcPr>
          <w:p w14:paraId="0824959D" w14:textId="77777777" w:rsidR="00B07789" w:rsidRPr="00A731E1" w:rsidRDefault="00D25089" w:rsidP="002967BA">
            <w:pPr>
              <w:spacing w:after="0" w:line="240" w:lineRule="auto"/>
              <w:ind w:left="0" w:right="20" w:firstLine="0"/>
              <w:jc w:val="center"/>
              <w:rPr>
                <w:sz w:val="22"/>
              </w:rPr>
            </w:pPr>
            <w:r>
              <w:rPr>
                <w:sz w:val="22"/>
              </w:rPr>
              <w:t>0,87 (0,65; 1,17)</w:t>
            </w:r>
          </w:p>
        </w:tc>
        <w:tc>
          <w:tcPr>
            <w:tcW w:w="966" w:type="dxa"/>
            <w:tcBorders>
              <w:top w:val="single" w:sz="3" w:space="0" w:color="000000"/>
              <w:left w:val="single" w:sz="4" w:space="0" w:color="000000"/>
              <w:bottom w:val="single" w:sz="3" w:space="0" w:color="000000"/>
              <w:right w:val="single" w:sz="4" w:space="0" w:color="000000"/>
            </w:tcBorders>
          </w:tcPr>
          <w:p w14:paraId="7E8C6FBD" w14:textId="77777777" w:rsidR="00B07789" w:rsidRPr="00A731E1" w:rsidRDefault="00B07789" w:rsidP="002967BA">
            <w:pPr>
              <w:spacing w:after="0" w:line="240" w:lineRule="auto"/>
              <w:ind w:left="0" w:firstLine="0"/>
              <w:jc w:val="center"/>
              <w:rPr>
                <w:sz w:val="22"/>
                <w:lang w:val="en-GB"/>
              </w:rPr>
            </w:pPr>
          </w:p>
        </w:tc>
      </w:tr>
      <w:tr w:rsidR="00B07789" w:rsidRPr="00A731E1" w14:paraId="00191D43" w14:textId="77777777" w:rsidTr="002967BA">
        <w:trPr>
          <w:trHeight w:val="247"/>
        </w:trPr>
        <w:tc>
          <w:tcPr>
            <w:tcW w:w="3053" w:type="dxa"/>
            <w:tcBorders>
              <w:top w:val="single" w:sz="3" w:space="0" w:color="000000"/>
              <w:left w:val="single" w:sz="3" w:space="0" w:color="000000"/>
              <w:bottom w:val="single" w:sz="3" w:space="0" w:color="000000"/>
              <w:right w:val="single" w:sz="4" w:space="0" w:color="000000"/>
            </w:tcBorders>
          </w:tcPr>
          <w:p w14:paraId="7598CC35" w14:textId="77777777" w:rsidR="00B07789" w:rsidRPr="00A731E1" w:rsidRDefault="00D25089" w:rsidP="00833B71">
            <w:pPr>
              <w:spacing w:after="0" w:line="240" w:lineRule="auto"/>
              <w:ind w:left="0" w:firstLine="0"/>
              <w:rPr>
                <w:sz w:val="22"/>
              </w:rPr>
            </w:pPr>
            <w:r>
              <w:rPr>
                <w:sz w:val="22"/>
              </w:rPr>
              <w:t>Úmrtie z akejkoľvek príčiny</w:t>
            </w:r>
            <w:r>
              <w:rPr>
                <w:sz w:val="22"/>
                <w:vertAlign w:val="superscript"/>
              </w:rPr>
              <w:t>†</w:t>
            </w:r>
            <w:r>
              <w:rPr>
                <w:sz w:val="22"/>
              </w:rPr>
              <w:t xml:space="preserve"> </w:t>
            </w:r>
          </w:p>
        </w:tc>
        <w:tc>
          <w:tcPr>
            <w:tcW w:w="1845" w:type="dxa"/>
            <w:tcBorders>
              <w:top w:val="single" w:sz="3" w:space="0" w:color="000000"/>
              <w:left w:val="single" w:sz="4" w:space="0" w:color="000000"/>
              <w:bottom w:val="single" w:sz="3" w:space="0" w:color="000000"/>
              <w:right w:val="single" w:sz="3" w:space="0" w:color="000000"/>
            </w:tcBorders>
          </w:tcPr>
          <w:p w14:paraId="01DEF3FC" w14:textId="77777777" w:rsidR="00B07789" w:rsidRPr="00A731E1" w:rsidRDefault="00D25089" w:rsidP="002967BA">
            <w:pPr>
              <w:spacing w:after="0" w:line="240" w:lineRule="auto"/>
              <w:ind w:left="0" w:right="23" w:firstLine="0"/>
              <w:jc w:val="center"/>
              <w:rPr>
                <w:sz w:val="22"/>
              </w:rPr>
            </w:pPr>
            <w:r>
              <w:rPr>
                <w:sz w:val="22"/>
              </w:rPr>
              <w:t>111 (3,51)</w:t>
            </w:r>
          </w:p>
        </w:tc>
        <w:tc>
          <w:tcPr>
            <w:tcW w:w="1845" w:type="dxa"/>
            <w:tcBorders>
              <w:top w:val="single" w:sz="3" w:space="0" w:color="000000"/>
              <w:left w:val="single" w:sz="3" w:space="0" w:color="000000"/>
              <w:bottom w:val="single" w:sz="3" w:space="0" w:color="000000"/>
              <w:right w:val="single" w:sz="3" w:space="0" w:color="000000"/>
            </w:tcBorders>
          </w:tcPr>
          <w:p w14:paraId="6142BF38" w14:textId="77777777" w:rsidR="00B07789" w:rsidRPr="00A731E1" w:rsidRDefault="00D25089" w:rsidP="002967BA">
            <w:pPr>
              <w:spacing w:after="0" w:line="240" w:lineRule="auto"/>
              <w:ind w:left="0" w:right="22" w:firstLine="0"/>
              <w:jc w:val="center"/>
              <w:rPr>
                <w:sz w:val="22"/>
              </w:rPr>
            </w:pPr>
            <w:r>
              <w:rPr>
                <w:sz w:val="22"/>
              </w:rPr>
              <w:t>140 (4,42)</w:t>
            </w:r>
          </w:p>
        </w:tc>
        <w:tc>
          <w:tcPr>
            <w:tcW w:w="1845" w:type="dxa"/>
            <w:tcBorders>
              <w:top w:val="single" w:sz="3" w:space="0" w:color="000000"/>
              <w:left w:val="single" w:sz="3" w:space="0" w:color="000000"/>
              <w:bottom w:val="single" w:sz="3" w:space="0" w:color="000000"/>
              <w:right w:val="single" w:sz="4" w:space="0" w:color="000000"/>
            </w:tcBorders>
          </w:tcPr>
          <w:p w14:paraId="58AEBBC9" w14:textId="77777777" w:rsidR="00B07789" w:rsidRPr="00A731E1" w:rsidRDefault="00D25089" w:rsidP="002967BA">
            <w:pPr>
              <w:spacing w:after="0" w:line="240" w:lineRule="auto"/>
              <w:ind w:left="0" w:right="22" w:firstLine="0"/>
              <w:jc w:val="center"/>
              <w:rPr>
                <w:sz w:val="22"/>
              </w:rPr>
            </w:pPr>
            <w:r>
              <w:rPr>
                <w:sz w:val="22"/>
              </w:rPr>
              <w:t>0,79 (0,62; 1,02)</w:t>
            </w:r>
          </w:p>
        </w:tc>
        <w:tc>
          <w:tcPr>
            <w:tcW w:w="966" w:type="dxa"/>
            <w:tcBorders>
              <w:top w:val="single" w:sz="3" w:space="0" w:color="000000"/>
              <w:left w:val="single" w:sz="4" w:space="0" w:color="000000"/>
              <w:bottom w:val="single" w:sz="3" w:space="0" w:color="000000"/>
              <w:right w:val="single" w:sz="4" w:space="0" w:color="000000"/>
            </w:tcBorders>
          </w:tcPr>
          <w:p w14:paraId="4266E2D7" w14:textId="77777777" w:rsidR="00B07789" w:rsidRPr="00A731E1" w:rsidRDefault="00D25089" w:rsidP="002967BA">
            <w:pPr>
              <w:spacing w:after="0" w:line="240" w:lineRule="auto"/>
              <w:ind w:left="0" w:right="23" w:firstLine="0"/>
              <w:jc w:val="center"/>
              <w:rPr>
                <w:sz w:val="22"/>
              </w:rPr>
            </w:pPr>
            <w:r>
              <w:rPr>
                <w:sz w:val="22"/>
              </w:rPr>
              <w:t>0,068</w:t>
            </w:r>
          </w:p>
        </w:tc>
      </w:tr>
    </w:tbl>
    <w:p w14:paraId="5E844DEF" w14:textId="77777777" w:rsidR="00B07789" w:rsidRPr="00A731E1" w:rsidRDefault="00D25089" w:rsidP="00833B71">
      <w:pPr>
        <w:spacing w:after="0" w:line="240" w:lineRule="auto"/>
        <w:ind w:left="0" w:firstLine="0"/>
        <w:rPr>
          <w:sz w:val="22"/>
        </w:rPr>
      </w:pPr>
      <w:r>
        <w:rPr>
          <w:sz w:val="22"/>
        </w:rPr>
        <w:t xml:space="preserve">* Hodnotené sekvenčnou testovacou stratégiou navrhnutou na kontrolu celkovej chyby typu I v klinickom skúšaní. </w:t>
      </w:r>
    </w:p>
    <w:p w14:paraId="14AEA551" w14:textId="19B6A6A4" w:rsidR="00B07789" w:rsidRPr="00A731E1" w:rsidRDefault="00D25089" w:rsidP="00833B71">
      <w:pPr>
        <w:spacing w:after="0" w:line="240" w:lineRule="auto"/>
        <w:ind w:left="0" w:firstLine="0"/>
        <w:rPr>
          <w:sz w:val="22"/>
        </w:rPr>
      </w:pPr>
      <w:r>
        <w:rPr>
          <w:sz w:val="22"/>
        </w:rPr>
        <w:t xml:space="preserve">† Sekundárny </w:t>
      </w:r>
      <w:r w:rsidR="00E478FD">
        <w:rPr>
          <w:sz w:val="22"/>
        </w:rPr>
        <w:t xml:space="preserve">cieľový </w:t>
      </w:r>
      <w:r>
        <w:rPr>
          <w:sz w:val="22"/>
        </w:rPr>
        <w:t xml:space="preserve">ukazovateľ. </w:t>
      </w:r>
    </w:p>
    <w:p w14:paraId="0B08CD3A" w14:textId="77777777" w:rsidR="00B07789" w:rsidRPr="00A731E1" w:rsidRDefault="00D25089" w:rsidP="00833B71">
      <w:pPr>
        <w:spacing w:after="0" w:line="240" w:lineRule="auto"/>
        <w:ind w:left="0" w:firstLine="0"/>
        <w:rPr>
          <w:sz w:val="22"/>
        </w:rPr>
      </w:pPr>
      <w:r>
        <w:rPr>
          <w:sz w:val="22"/>
        </w:rPr>
        <w:t xml:space="preserve"> </w:t>
      </w:r>
    </w:p>
    <w:p w14:paraId="6BB5D168" w14:textId="2F4566BC" w:rsidR="00B07789" w:rsidRPr="00A731E1" w:rsidRDefault="00D25089" w:rsidP="00833B71">
      <w:pPr>
        <w:spacing w:after="0" w:line="240" w:lineRule="auto"/>
        <w:ind w:left="0" w:firstLine="0"/>
        <w:rPr>
          <w:sz w:val="22"/>
        </w:rPr>
      </w:pPr>
      <w:r>
        <w:rPr>
          <w:sz w:val="22"/>
        </w:rPr>
        <w:t>V incidencii závažného krvácania sa nezistil žiadny štatisticky významný rozdiel medzi a</w:t>
      </w:r>
      <w:r w:rsidR="00E4410C">
        <w:rPr>
          <w:sz w:val="22"/>
        </w:rPr>
        <w:t>pixabánom a ASA (pozri tabuľku 9</w:t>
      </w:r>
      <w:r>
        <w:rPr>
          <w:sz w:val="22"/>
        </w:rPr>
        <w:t xml:space="preserve">). </w:t>
      </w:r>
    </w:p>
    <w:p w14:paraId="392F6A7C" w14:textId="77777777" w:rsidR="00B07789" w:rsidRPr="00A731E1" w:rsidRDefault="00D25089" w:rsidP="00833B71">
      <w:pPr>
        <w:spacing w:after="0" w:line="240" w:lineRule="auto"/>
        <w:ind w:left="0" w:firstLine="0"/>
        <w:rPr>
          <w:sz w:val="22"/>
        </w:rPr>
      </w:pPr>
      <w:r>
        <w:rPr>
          <w:sz w:val="22"/>
        </w:rPr>
        <w:t xml:space="preserve"> </w:t>
      </w:r>
    </w:p>
    <w:p w14:paraId="6B14D982" w14:textId="032CB9F4" w:rsidR="00B07789" w:rsidRPr="00F516E4" w:rsidRDefault="00E4410C" w:rsidP="00650FC6">
      <w:pPr>
        <w:keepNext/>
        <w:spacing w:after="0" w:line="240" w:lineRule="auto"/>
        <w:ind w:left="10"/>
        <w:rPr>
          <w:b/>
          <w:sz w:val="22"/>
        </w:rPr>
      </w:pPr>
      <w:r>
        <w:rPr>
          <w:b/>
          <w:sz w:val="22"/>
        </w:rPr>
        <w:lastRenderedPageBreak/>
        <w:t>Tabuľka 9</w:t>
      </w:r>
      <w:r w:rsidR="00D25089">
        <w:rPr>
          <w:b/>
          <w:sz w:val="22"/>
        </w:rPr>
        <w:t>: Krvácavé udalosti u pacientov s fibriláciou predsiení v štúdii AVERROES</w:t>
      </w:r>
      <w:r w:rsidR="00D25089">
        <w:rPr>
          <w:b/>
          <w:i/>
          <w:sz w:val="22"/>
        </w:rPr>
        <w:t xml:space="preserve"> </w:t>
      </w:r>
    </w:p>
    <w:tbl>
      <w:tblPr>
        <w:tblStyle w:val="TableGrid"/>
        <w:tblW w:w="9547" w:type="dxa"/>
        <w:tblInd w:w="-53" w:type="dxa"/>
        <w:tblCellMar>
          <w:top w:w="54" w:type="dxa"/>
          <w:left w:w="101" w:type="dxa"/>
          <w:right w:w="86" w:type="dxa"/>
        </w:tblCellMar>
        <w:tblLook w:val="04A0" w:firstRow="1" w:lastRow="0" w:firstColumn="1" w:lastColumn="0" w:noHBand="0" w:noVBand="1"/>
      </w:tblPr>
      <w:tblGrid>
        <w:gridCol w:w="3036"/>
        <w:gridCol w:w="1850"/>
        <w:gridCol w:w="1850"/>
        <w:gridCol w:w="1850"/>
        <w:gridCol w:w="961"/>
      </w:tblGrid>
      <w:tr w:rsidR="00B07789" w:rsidRPr="00A731E1" w14:paraId="759E8AC6" w14:textId="77777777" w:rsidTr="002967BA">
        <w:trPr>
          <w:trHeight w:val="724"/>
        </w:trPr>
        <w:tc>
          <w:tcPr>
            <w:tcW w:w="3026" w:type="dxa"/>
            <w:tcBorders>
              <w:top w:val="single" w:sz="4" w:space="0" w:color="000000"/>
              <w:left w:val="single" w:sz="3" w:space="0" w:color="000000"/>
              <w:bottom w:val="single" w:sz="3" w:space="0" w:color="000000"/>
              <w:right w:val="single" w:sz="4" w:space="0" w:color="000000"/>
            </w:tcBorders>
          </w:tcPr>
          <w:p w14:paraId="19E92E7D" w14:textId="77777777" w:rsidR="00B07789" w:rsidRPr="00A731E1" w:rsidRDefault="00D25089" w:rsidP="00833B71">
            <w:pPr>
              <w:keepNext/>
              <w:spacing w:after="0" w:line="240" w:lineRule="auto"/>
              <w:ind w:left="0" w:firstLine="0"/>
              <w:jc w:val="center"/>
              <w:rPr>
                <w:sz w:val="22"/>
              </w:rPr>
            </w:pPr>
            <w:r>
              <w:rPr>
                <w:b/>
                <w:sz w:val="22"/>
              </w:rPr>
              <w:t xml:space="preserve"> </w:t>
            </w:r>
          </w:p>
        </w:tc>
        <w:tc>
          <w:tcPr>
            <w:tcW w:w="1843" w:type="dxa"/>
            <w:tcBorders>
              <w:top w:val="single" w:sz="4" w:space="0" w:color="000000"/>
              <w:left w:val="single" w:sz="4" w:space="0" w:color="000000"/>
              <w:bottom w:val="single" w:sz="3" w:space="0" w:color="000000"/>
              <w:right w:val="single" w:sz="3" w:space="0" w:color="000000"/>
            </w:tcBorders>
          </w:tcPr>
          <w:p w14:paraId="21A9385F" w14:textId="77777777" w:rsidR="00F516E4" w:rsidRDefault="00D25089" w:rsidP="00833B71">
            <w:pPr>
              <w:keepNext/>
              <w:spacing w:after="0" w:line="240" w:lineRule="auto"/>
              <w:ind w:left="0" w:right="16" w:firstLine="0"/>
              <w:jc w:val="center"/>
              <w:rPr>
                <w:b/>
                <w:sz w:val="22"/>
              </w:rPr>
            </w:pPr>
            <w:r>
              <w:rPr>
                <w:b/>
                <w:sz w:val="22"/>
              </w:rPr>
              <w:t xml:space="preserve">Apixabán </w:t>
            </w:r>
          </w:p>
          <w:p w14:paraId="73E44882" w14:textId="77777777" w:rsidR="00B07789" w:rsidRPr="00A731E1" w:rsidRDefault="00D25089" w:rsidP="00833B71">
            <w:pPr>
              <w:keepNext/>
              <w:spacing w:after="0" w:line="240" w:lineRule="auto"/>
              <w:ind w:left="0" w:right="16" w:firstLine="0"/>
              <w:jc w:val="center"/>
              <w:rPr>
                <w:sz w:val="22"/>
              </w:rPr>
            </w:pPr>
            <w:r>
              <w:rPr>
                <w:b/>
                <w:sz w:val="22"/>
              </w:rPr>
              <w:t xml:space="preserve">N = 2 798 n (%/rok) </w:t>
            </w:r>
          </w:p>
        </w:tc>
        <w:tc>
          <w:tcPr>
            <w:tcW w:w="1843" w:type="dxa"/>
            <w:tcBorders>
              <w:top w:val="single" w:sz="4" w:space="0" w:color="000000"/>
              <w:left w:val="single" w:sz="3" w:space="0" w:color="000000"/>
              <w:bottom w:val="single" w:sz="3" w:space="0" w:color="000000"/>
              <w:right w:val="single" w:sz="4" w:space="0" w:color="000000"/>
            </w:tcBorders>
          </w:tcPr>
          <w:p w14:paraId="17BEA5AE" w14:textId="77777777" w:rsidR="00F516E4" w:rsidRDefault="00D25089" w:rsidP="00833B71">
            <w:pPr>
              <w:keepNext/>
              <w:spacing w:after="0" w:line="240" w:lineRule="auto"/>
              <w:ind w:left="0" w:right="17" w:firstLine="0"/>
              <w:jc w:val="center"/>
              <w:rPr>
                <w:b/>
                <w:sz w:val="22"/>
              </w:rPr>
            </w:pPr>
            <w:r>
              <w:rPr>
                <w:b/>
                <w:sz w:val="22"/>
              </w:rPr>
              <w:t xml:space="preserve">ASA </w:t>
            </w:r>
          </w:p>
          <w:p w14:paraId="07E6C0D5" w14:textId="77777777" w:rsidR="00B07789" w:rsidRPr="00A731E1" w:rsidRDefault="00D25089" w:rsidP="00833B71">
            <w:pPr>
              <w:keepNext/>
              <w:spacing w:after="0" w:line="240" w:lineRule="auto"/>
              <w:ind w:left="0" w:right="17" w:firstLine="0"/>
              <w:jc w:val="center"/>
              <w:rPr>
                <w:sz w:val="22"/>
              </w:rPr>
            </w:pPr>
            <w:r>
              <w:rPr>
                <w:b/>
                <w:sz w:val="22"/>
              </w:rPr>
              <w:t xml:space="preserve">N = 2 780 n (%/rok) </w:t>
            </w:r>
          </w:p>
        </w:tc>
        <w:tc>
          <w:tcPr>
            <w:tcW w:w="1843" w:type="dxa"/>
            <w:tcBorders>
              <w:top w:val="single" w:sz="4" w:space="0" w:color="000000"/>
              <w:left w:val="single" w:sz="4" w:space="0" w:color="000000"/>
              <w:bottom w:val="single" w:sz="3" w:space="0" w:color="000000"/>
              <w:right w:val="single" w:sz="4" w:space="0" w:color="000000"/>
            </w:tcBorders>
          </w:tcPr>
          <w:p w14:paraId="3A805CD5" w14:textId="77777777" w:rsidR="00B07789" w:rsidRPr="00A731E1" w:rsidRDefault="00D25089" w:rsidP="00833B71">
            <w:pPr>
              <w:keepNext/>
              <w:spacing w:after="0" w:line="240" w:lineRule="auto"/>
              <w:ind w:left="0" w:firstLine="0"/>
              <w:jc w:val="center"/>
              <w:rPr>
                <w:sz w:val="22"/>
              </w:rPr>
            </w:pPr>
            <w:r>
              <w:rPr>
                <w:b/>
                <w:sz w:val="22"/>
              </w:rPr>
              <w:t xml:space="preserve">Pomer rizika (95 % IS) </w:t>
            </w:r>
          </w:p>
        </w:tc>
        <w:tc>
          <w:tcPr>
            <w:tcW w:w="851" w:type="dxa"/>
            <w:tcBorders>
              <w:top w:val="single" w:sz="4" w:space="0" w:color="000000"/>
              <w:left w:val="single" w:sz="4" w:space="0" w:color="000000"/>
              <w:bottom w:val="single" w:sz="3" w:space="0" w:color="000000"/>
              <w:right w:val="single" w:sz="4" w:space="0" w:color="000000"/>
            </w:tcBorders>
          </w:tcPr>
          <w:p w14:paraId="69762CB8" w14:textId="652136C0" w:rsidR="00B07789" w:rsidRPr="00A731E1" w:rsidRDefault="00C22708" w:rsidP="00833B71">
            <w:pPr>
              <w:keepNext/>
              <w:spacing w:after="0" w:line="240" w:lineRule="auto"/>
              <w:ind w:left="0" w:firstLine="0"/>
              <w:jc w:val="center"/>
              <w:rPr>
                <w:sz w:val="22"/>
              </w:rPr>
            </w:pPr>
            <w:r>
              <w:rPr>
                <w:b/>
                <w:sz w:val="22"/>
              </w:rPr>
              <w:t>h</w:t>
            </w:r>
            <w:r w:rsidR="00D25089">
              <w:rPr>
                <w:b/>
                <w:sz w:val="22"/>
              </w:rPr>
              <w:t>odnota</w:t>
            </w:r>
            <w:r>
              <w:rPr>
                <w:b/>
                <w:sz w:val="22"/>
              </w:rPr>
              <w:t xml:space="preserve"> p</w:t>
            </w:r>
          </w:p>
        </w:tc>
      </w:tr>
      <w:tr w:rsidR="00B07789" w:rsidRPr="00A731E1" w14:paraId="7CC6CF21" w14:textId="77777777" w:rsidTr="002967BA">
        <w:trPr>
          <w:trHeight w:val="284"/>
        </w:trPr>
        <w:tc>
          <w:tcPr>
            <w:tcW w:w="3026" w:type="dxa"/>
            <w:tcBorders>
              <w:top w:val="single" w:sz="3" w:space="0" w:color="000000"/>
              <w:left w:val="single" w:sz="3" w:space="0" w:color="000000"/>
              <w:bottom w:val="single" w:sz="4" w:space="0" w:color="000000"/>
              <w:right w:val="single" w:sz="4" w:space="0" w:color="000000"/>
            </w:tcBorders>
          </w:tcPr>
          <w:p w14:paraId="5E3EB867" w14:textId="77777777" w:rsidR="00B07789" w:rsidRPr="00A731E1" w:rsidRDefault="00D25089" w:rsidP="00833B71">
            <w:pPr>
              <w:keepNext/>
              <w:spacing w:after="0" w:line="240" w:lineRule="auto"/>
              <w:ind w:left="0" w:firstLine="0"/>
              <w:rPr>
                <w:sz w:val="22"/>
              </w:rPr>
            </w:pPr>
            <w:r>
              <w:rPr>
                <w:sz w:val="22"/>
              </w:rPr>
              <w:t xml:space="preserve">Závažné* </w:t>
            </w:r>
          </w:p>
        </w:tc>
        <w:tc>
          <w:tcPr>
            <w:tcW w:w="1843" w:type="dxa"/>
            <w:tcBorders>
              <w:top w:val="single" w:sz="3" w:space="0" w:color="000000"/>
              <w:left w:val="single" w:sz="4" w:space="0" w:color="000000"/>
              <w:bottom w:val="single" w:sz="4" w:space="0" w:color="000000"/>
              <w:right w:val="single" w:sz="3" w:space="0" w:color="000000"/>
            </w:tcBorders>
          </w:tcPr>
          <w:p w14:paraId="2735259B" w14:textId="77777777" w:rsidR="00B07789" w:rsidRPr="00A731E1" w:rsidRDefault="00D25089" w:rsidP="002967BA">
            <w:pPr>
              <w:keepNext/>
              <w:spacing w:after="0" w:line="240" w:lineRule="auto"/>
              <w:ind w:left="0" w:right="17" w:firstLine="0"/>
              <w:jc w:val="center"/>
              <w:rPr>
                <w:sz w:val="22"/>
              </w:rPr>
            </w:pPr>
            <w:r>
              <w:rPr>
                <w:sz w:val="22"/>
              </w:rPr>
              <w:t>45 (1,41)</w:t>
            </w:r>
          </w:p>
        </w:tc>
        <w:tc>
          <w:tcPr>
            <w:tcW w:w="1843" w:type="dxa"/>
            <w:tcBorders>
              <w:top w:val="single" w:sz="3" w:space="0" w:color="000000"/>
              <w:left w:val="single" w:sz="3" w:space="0" w:color="000000"/>
              <w:bottom w:val="single" w:sz="4" w:space="0" w:color="000000"/>
              <w:right w:val="single" w:sz="4" w:space="0" w:color="000000"/>
            </w:tcBorders>
          </w:tcPr>
          <w:p w14:paraId="3CF06B26" w14:textId="77777777" w:rsidR="00B07789" w:rsidRPr="00A731E1" w:rsidRDefault="00D25089" w:rsidP="002967BA">
            <w:pPr>
              <w:keepNext/>
              <w:spacing w:after="0" w:line="240" w:lineRule="auto"/>
              <w:ind w:left="0" w:right="19" w:firstLine="0"/>
              <w:jc w:val="center"/>
              <w:rPr>
                <w:sz w:val="22"/>
              </w:rPr>
            </w:pPr>
            <w:r>
              <w:rPr>
                <w:sz w:val="22"/>
              </w:rPr>
              <w:t>29 (0,92)</w:t>
            </w:r>
          </w:p>
        </w:tc>
        <w:tc>
          <w:tcPr>
            <w:tcW w:w="1843" w:type="dxa"/>
            <w:tcBorders>
              <w:top w:val="single" w:sz="3" w:space="0" w:color="000000"/>
              <w:left w:val="single" w:sz="4" w:space="0" w:color="000000"/>
              <w:bottom w:val="single" w:sz="4" w:space="0" w:color="000000"/>
              <w:right w:val="single" w:sz="4" w:space="0" w:color="000000"/>
            </w:tcBorders>
          </w:tcPr>
          <w:p w14:paraId="6E4B615A" w14:textId="77777777" w:rsidR="00B07789" w:rsidRPr="00A731E1" w:rsidRDefault="00D25089" w:rsidP="002967BA">
            <w:pPr>
              <w:keepNext/>
              <w:spacing w:after="0" w:line="240" w:lineRule="auto"/>
              <w:ind w:left="0" w:right="17" w:firstLine="0"/>
              <w:jc w:val="center"/>
              <w:rPr>
                <w:sz w:val="22"/>
              </w:rPr>
            </w:pPr>
            <w:r>
              <w:rPr>
                <w:sz w:val="22"/>
              </w:rPr>
              <w:t>1,54 (0,96; 2,45)</w:t>
            </w:r>
          </w:p>
        </w:tc>
        <w:tc>
          <w:tcPr>
            <w:tcW w:w="851" w:type="dxa"/>
            <w:tcBorders>
              <w:top w:val="single" w:sz="3" w:space="0" w:color="000000"/>
              <w:left w:val="single" w:sz="4" w:space="0" w:color="000000"/>
              <w:bottom w:val="single" w:sz="4" w:space="0" w:color="000000"/>
              <w:right w:val="single" w:sz="4" w:space="0" w:color="000000"/>
            </w:tcBorders>
          </w:tcPr>
          <w:p w14:paraId="5CE29DA6" w14:textId="77777777" w:rsidR="00B07789" w:rsidRPr="00A731E1" w:rsidRDefault="00D25089" w:rsidP="002967BA">
            <w:pPr>
              <w:keepNext/>
              <w:spacing w:after="0" w:line="240" w:lineRule="auto"/>
              <w:ind w:left="0" w:right="16" w:firstLine="0"/>
              <w:jc w:val="center"/>
              <w:rPr>
                <w:sz w:val="22"/>
              </w:rPr>
            </w:pPr>
            <w:r>
              <w:rPr>
                <w:sz w:val="22"/>
              </w:rPr>
              <w:t>0,0716</w:t>
            </w:r>
          </w:p>
        </w:tc>
      </w:tr>
      <w:tr w:rsidR="00B07789" w:rsidRPr="00A731E1" w14:paraId="35893E84" w14:textId="77777777" w:rsidTr="002967BA">
        <w:trPr>
          <w:trHeight w:val="284"/>
        </w:trPr>
        <w:tc>
          <w:tcPr>
            <w:tcW w:w="3026" w:type="dxa"/>
            <w:tcBorders>
              <w:top w:val="single" w:sz="4" w:space="0" w:color="000000"/>
              <w:left w:val="single" w:sz="3" w:space="0" w:color="000000"/>
              <w:bottom w:val="single" w:sz="4" w:space="0" w:color="000000"/>
              <w:right w:val="single" w:sz="4" w:space="0" w:color="000000"/>
            </w:tcBorders>
          </w:tcPr>
          <w:p w14:paraId="72051F6B" w14:textId="77777777" w:rsidR="00B07789" w:rsidRPr="00A731E1" w:rsidRDefault="00D25089" w:rsidP="002967BA">
            <w:pPr>
              <w:spacing w:after="0" w:line="240" w:lineRule="auto"/>
              <w:ind w:left="229" w:firstLine="0"/>
              <w:rPr>
                <w:sz w:val="22"/>
              </w:rPr>
            </w:pPr>
            <w:r>
              <w:rPr>
                <w:sz w:val="22"/>
              </w:rPr>
              <w:t xml:space="preserve">Fatálne, n </w:t>
            </w:r>
          </w:p>
        </w:tc>
        <w:tc>
          <w:tcPr>
            <w:tcW w:w="1843" w:type="dxa"/>
            <w:tcBorders>
              <w:top w:val="single" w:sz="4" w:space="0" w:color="000000"/>
              <w:left w:val="single" w:sz="4" w:space="0" w:color="000000"/>
              <w:bottom w:val="single" w:sz="4" w:space="0" w:color="000000"/>
              <w:right w:val="single" w:sz="3" w:space="0" w:color="000000"/>
            </w:tcBorders>
          </w:tcPr>
          <w:p w14:paraId="49934495" w14:textId="77777777" w:rsidR="00B07789" w:rsidRPr="00A731E1" w:rsidRDefault="00D25089" w:rsidP="002967BA">
            <w:pPr>
              <w:spacing w:after="0" w:line="240" w:lineRule="auto"/>
              <w:ind w:left="0" w:right="15" w:firstLine="0"/>
              <w:jc w:val="center"/>
              <w:rPr>
                <w:sz w:val="22"/>
              </w:rPr>
            </w:pPr>
            <w:r>
              <w:rPr>
                <w:sz w:val="22"/>
              </w:rPr>
              <w:t>5 (0,16)</w:t>
            </w:r>
          </w:p>
        </w:tc>
        <w:tc>
          <w:tcPr>
            <w:tcW w:w="1843" w:type="dxa"/>
            <w:tcBorders>
              <w:top w:val="single" w:sz="4" w:space="0" w:color="000000"/>
              <w:left w:val="single" w:sz="3" w:space="0" w:color="000000"/>
              <w:bottom w:val="single" w:sz="4" w:space="0" w:color="000000"/>
              <w:right w:val="single" w:sz="4" w:space="0" w:color="000000"/>
            </w:tcBorders>
          </w:tcPr>
          <w:p w14:paraId="31BAD395" w14:textId="77777777" w:rsidR="00B07789" w:rsidRPr="00A731E1" w:rsidRDefault="00D25089" w:rsidP="002967BA">
            <w:pPr>
              <w:spacing w:after="0" w:line="240" w:lineRule="auto"/>
              <w:ind w:left="0" w:right="17" w:firstLine="0"/>
              <w:jc w:val="center"/>
              <w:rPr>
                <w:sz w:val="22"/>
              </w:rPr>
            </w:pPr>
            <w:r>
              <w:rPr>
                <w:sz w:val="22"/>
              </w:rPr>
              <w:t>5 (0,16)</w:t>
            </w:r>
          </w:p>
        </w:tc>
        <w:tc>
          <w:tcPr>
            <w:tcW w:w="1843" w:type="dxa"/>
            <w:tcBorders>
              <w:top w:val="single" w:sz="4" w:space="0" w:color="000000"/>
              <w:left w:val="single" w:sz="4" w:space="0" w:color="000000"/>
              <w:bottom w:val="single" w:sz="4" w:space="0" w:color="000000"/>
              <w:right w:val="single" w:sz="4" w:space="0" w:color="000000"/>
            </w:tcBorders>
          </w:tcPr>
          <w:p w14:paraId="6753D198" w14:textId="77777777" w:rsidR="00B07789" w:rsidRPr="00A731E1" w:rsidRDefault="00B07789" w:rsidP="002967BA">
            <w:pPr>
              <w:spacing w:after="0" w:line="240" w:lineRule="auto"/>
              <w:ind w:left="0" w:firstLine="0"/>
              <w:jc w:val="center"/>
              <w:rPr>
                <w:sz w:val="22"/>
                <w:lang w:val="en-GB"/>
              </w:rPr>
            </w:pPr>
          </w:p>
        </w:tc>
        <w:tc>
          <w:tcPr>
            <w:tcW w:w="851" w:type="dxa"/>
            <w:tcBorders>
              <w:top w:val="single" w:sz="4" w:space="0" w:color="000000"/>
              <w:left w:val="single" w:sz="4" w:space="0" w:color="000000"/>
              <w:bottom w:val="single" w:sz="4" w:space="0" w:color="000000"/>
              <w:right w:val="single" w:sz="4" w:space="0" w:color="000000"/>
            </w:tcBorders>
          </w:tcPr>
          <w:p w14:paraId="159CA597" w14:textId="77777777" w:rsidR="00B07789" w:rsidRPr="00A731E1" w:rsidRDefault="00B07789" w:rsidP="002967BA">
            <w:pPr>
              <w:spacing w:after="0" w:line="240" w:lineRule="auto"/>
              <w:ind w:left="0" w:firstLine="0"/>
              <w:jc w:val="center"/>
              <w:rPr>
                <w:sz w:val="22"/>
                <w:lang w:val="en-GB"/>
              </w:rPr>
            </w:pPr>
          </w:p>
        </w:tc>
      </w:tr>
      <w:tr w:rsidR="00F516E4" w:rsidRPr="00A731E1" w14:paraId="75F12FE5" w14:textId="77777777" w:rsidTr="002967BA">
        <w:trPr>
          <w:trHeight w:val="223"/>
        </w:trPr>
        <w:tc>
          <w:tcPr>
            <w:tcW w:w="3026" w:type="dxa"/>
            <w:tcBorders>
              <w:top w:val="single" w:sz="4" w:space="0" w:color="000000"/>
              <w:left w:val="single" w:sz="3" w:space="0" w:color="000000"/>
              <w:bottom w:val="single" w:sz="4" w:space="0" w:color="000000"/>
              <w:right w:val="single" w:sz="4" w:space="0" w:color="000000"/>
            </w:tcBorders>
          </w:tcPr>
          <w:p w14:paraId="6D300B51" w14:textId="77777777" w:rsidR="00F516E4" w:rsidRPr="00A731E1" w:rsidRDefault="00F516E4" w:rsidP="002967BA">
            <w:pPr>
              <w:spacing w:after="0" w:line="240" w:lineRule="auto"/>
              <w:ind w:left="229" w:firstLine="0"/>
              <w:rPr>
                <w:sz w:val="22"/>
              </w:rPr>
            </w:pPr>
            <w:r>
              <w:rPr>
                <w:sz w:val="22"/>
              </w:rPr>
              <w:t xml:space="preserve">Intrakraniálne, n </w:t>
            </w:r>
          </w:p>
        </w:tc>
        <w:tc>
          <w:tcPr>
            <w:tcW w:w="1843" w:type="dxa"/>
            <w:tcBorders>
              <w:top w:val="single" w:sz="4" w:space="0" w:color="000000"/>
              <w:left w:val="single" w:sz="4" w:space="0" w:color="000000"/>
              <w:bottom w:val="single" w:sz="4" w:space="0" w:color="000000"/>
              <w:right w:val="single" w:sz="3" w:space="0" w:color="000000"/>
            </w:tcBorders>
          </w:tcPr>
          <w:p w14:paraId="672F198F" w14:textId="77777777" w:rsidR="00F516E4" w:rsidRPr="00A731E1" w:rsidRDefault="00F516E4" w:rsidP="002967BA">
            <w:pPr>
              <w:spacing w:after="0" w:line="240" w:lineRule="auto"/>
              <w:ind w:left="0" w:right="17" w:firstLine="0"/>
              <w:jc w:val="center"/>
              <w:rPr>
                <w:sz w:val="22"/>
              </w:rPr>
            </w:pPr>
            <w:r>
              <w:rPr>
                <w:sz w:val="22"/>
              </w:rPr>
              <w:t>11 (0,34)</w:t>
            </w:r>
          </w:p>
        </w:tc>
        <w:tc>
          <w:tcPr>
            <w:tcW w:w="1843" w:type="dxa"/>
            <w:tcBorders>
              <w:top w:val="single" w:sz="4" w:space="0" w:color="000000"/>
              <w:left w:val="single" w:sz="3" w:space="0" w:color="000000"/>
              <w:bottom w:val="single" w:sz="4" w:space="0" w:color="000000"/>
              <w:right w:val="single" w:sz="4" w:space="0" w:color="000000"/>
            </w:tcBorders>
          </w:tcPr>
          <w:p w14:paraId="14F47BF6" w14:textId="77777777" w:rsidR="00F516E4" w:rsidRPr="00A731E1" w:rsidRDefault="00F516E4" w:rsidP="002967BA">
            <w:pPr>
              <w:spacing w:after="0" w:line="240" w:lineRule="auto"/>
              <w:ind w:left="0" w:right="17" w:firstLine="0"/>
              <w:jc w:val="center"/>
              <w:rPr>
                <w:sz w:val="22"/>
              </w:rPr>
            </w:pPr>
            <w:r>
              <w:rPr>
                <w:sz w:val="22"/>
              </w:rPr>
              <w:t>11 (0,35)</w:t>
            </w:r>
          </w:p>
        </w:tc>
        <w:tc>
          <w:tcPr>
            <w:tcW w:w="1843" w:type="dxa"/>
            <w:tcBorders>
              <w:top w:val="single" w:sz="4" w:space="0" w:color="000000"/>
              <w:left w:val="single" w:sz="4" w:space="0" w:color="000000"/>
              <w:bottom w:val="single" w:sz="4" w:space="0" w:color="000000"/>
              <w:right w:val="single" w:sz="4" w:space="0" w:color="000000"/>
            </w:tcBorders>
          </w:tcPr>
          <w:p w14:paraId="02444D42" w14:textId="77777777" w:rsidR="00F516E4" w:rsidRPr="00A731E1" w:rsidRDefault="00F516E4" w:rsidP="002967BA">
            <w:pPr>
              <w:spacing w:after="0" w:line="240" w:lineRule="auto"/>
              <w:ind w:left="0" w:firstLine="0"/>
              <w:jc w:val="center"/>
              <w:rPr>
                <w:sz w:val="22"/>
                <w:lang w:val="en-GB"/>
              </w:rPr>
            </w:pPr>
          </w:p>
        </w:tc>
        <w:tc>
          <w:tcPr>
            <w:tcW w:w="851" w:type="dxa"/>
            <w:tcBorders>
              <w:top w:val="single" w:sz="4" w:space="0" w:color="000000"/>
              <w:left w:val="single" w:sz="4" w:space="0" w:color="000000"/>
              <w:bottom w:val="single" w:sz="4" w:space="0" w:color="000000"/>
              <w:right w:val="single" w:sz="4" w:space="0" w:color="000000"/>
            </w:tcBorders>
          </w:tcPr>
          <w:p w14:paraId="11549BFF" w14:textId="77777777" w:rsidR="00F516E4" w:rsidRPr="00A731E1" w:rsidRDefault="00F516E4" w:rsidP="002967BA">
            <w:pPr>
              <w:spacing w:after="0" w:line="240" w:lineRule="auto"/>
              <w:ind w:left="0" w:firstLine="0"/>
              <w:jc w:val="center"/>
              <w:rPr>
                <w:sz w:val="22"/>
                <w:lang w:val="en-GB"/>
              </w:rPr>
            </w:pPr>
          </w:p>
        </w:tc>
      </w:tr>
      <w:tr w:rsidR="00B07789" w:rsidRPr="00A731E1" w14:paraId="33C5C419" w14:textId="77777777" w:rsidTr="002967BA">
        <w:trPr>
          <w:trHeight w:val="284"/>
        </w:trPr>
        <w:tc>
          <w:tcPr>
            <w:tcW w:w="3026" w:type="dxa"/>
            <w:tcBorders>
              <w:top w:val="single" w:sz="4" w:space="0" w:color="000000"/>
              <w:left w:val="single" w:sz="3" w:space="0" w:color="000000"/>
              <w:bottom w:val="single" w:sz="4" w:space="0" w:color="000000"/>
              <w:right w:val="single" w:sz="4" w:space="0" w:color="000000"/>
            </w:tcBorders>
          </w:tcPr>
          <w:p w14:paraId="40C7661E" w14:textId="77777777" w:rsidR="00B07789" w:rsidRPr="00A731E1" w:rsidRDefault="00D25089" w:rsidP="00833B71">
            <w:pPr>
              <w:spacing w:after="0" w:line="240" w:lineRule="auto"/>
              <w:ind w:left="0" w:firstLine="0"/>
              <w:rPr>
                <w:sz w:val="22"/>
              </w:rPr>
            </w:pPr>
            <w:r>
              <w:rPr>
                <w:sz w:val="22"/>
              </w:rPr>
              <w:t xml:space="preserve">Závažné + CRNM† </w:t>
            </w:r>
          </w:p>
        </w:tc>
        <w:tc>
          <w:tcPr>
            <w:tcW w:w="1843" w:type="dxa"/>
            <w:tcBorders>
              <w:top w:val="single" w:sz="4" w:space="0" w:color="000000"/>
              <w:left w:val="single" w:sz="4" w:space="0" w:color="000000"/>
              <w:bottom w:val="single" w:sz="4" w:space="0" w:color="000000"/>
              <w:right w:val="single" w:sz="3" w:space="0" w:color="000000"/>
            </w:tcBorders>
          </w:tcPr>
          <w:p w14:paraId="3CA5658A" w14:textId="77777777" w:rsidR="00B07789" w:rsidRPr="00A731E1" w:rsidRDefault="00D25089" w:rsidP="002967BA">
            <w:pPr>
              <w:spacing w:after="0" w:line="240" w:lineRule="auto"/>
              <w:ind w:left="0" w:right="20" w:firstLine="0"/>
              <w:jc w:val="center"/>
              <w:rPr>
                <w:sz w:val="22"/>
              </w:rPr>
            </w:pPr>
            <w:r>
              <w:rPr>
                <w:sz w:val="22"/>
              </w:rPr>
              <w:t>140 (4,46)</w:t>
            </w:r>
          </w:p>
        </w:tc>
        <w:tc>
          <w:tcPr>
            <w:tcW w:w="1843" w:type="dxa"/>
            <w:tcBorders>
              <w:top w:val="single" w:sz="4" w:space="0" w:color="000000"/>
              <w:left w:val="single" w:sz="3" w:space="0" w:color="000000"/>
              <w:bottom w:val="single" w:sz="4" w:space="0" w:color="000000"/>
              <w:right w:val="single" w:sz="4" w:space="0" w:color="000000"/>
            </w:tcBorders>
          </w:tcPr>
          <w:p w14:paraId="30353467" w14:textId="77777777" w:rsidR="00B07789" w:rsidRPr="00A731E1" w:rsidRDefault="00D25089" w:rsidP="002967BA">
            <w:pPr>
              <w:spacing w:after="0" w:line="240" w:lineRule="auto"/>
              <w:ind w:left="0" w:right="21" w:firstLine="0"/>
              <w:jc w:val="center"/>
              <w:rPr>
                <w:sz w:val="22"/>
              </w:rPr>
            </w:pPr>
            <w:r>
              <w:rPr>
                <w:sz w:val="22"/>
              </w:rPr>
              <w:t>101 (3,24)</w:t>
            </w:r>
          </w:p>
        </w:tc>
        <w:tc>
          <w:tcPr>
            <w:tcW w:w="1843" w:type="dxa"/>
            <w:tcBorders>
              <w:top w:val="single" w:sz="4" w:space="0" w:color="000000"/>
              <w:left w:val="single" w:sz="4" w:space="0" w:color="000000"/>
              <w:bottom w:val="single" w:sz="4" w:space="0" w:color="000000"/>
              <w:right w:val="single" w:sz="4" w:space="0" w:color="000000"/>
            </w:tcBorders>
          </w:tcPr>
          <w:p w14:paraId="04282206" w14:textId="77777777" w:rsidR="00B07789" w:rsidRPr="00A731E1" w:rsidRDefault="00D25089" w:rsidP="002967BA">
            <w:pPr>
              <w:spacing w:after="0" w:line="240" w:lineRule="auto"/>
              <w:ind w:left="0" w:right="21" w:firstLine="0"/>
              <w:jc w:val="center"/>
              <w:rPr>
                <w:sz w:val="22"/>
              </w:rPr>
            </w:pPr>
            <w:r>
              <w:rPr>
                <w:sz w:val="22"/>
              </w:rPr>
              <w:t>1,38 (1,07; 1,78)</w:t>
            </w:r>
          </w:p>
        </w:tc>
        <w:tc>
          <w:tcPr>
            <w:tcW w:w="851" w:type="dxa"/>
            <w:tcBorders>
              <w:top w:val="single" w:sz="4" w:space="0" w:color="000000"/>
              <w:left w:val="single" w:sz="4" w:space="0" w:color="000000"/>
              <w:bottom w:val="single" w:sz="4" w:space="0" w:color="000000"/>
              <w:right w:val="single" w:sz="4" w:space="0" w:color="000000"/>
            </w:tcBorders>
          </w:tcPr>
          <w:p w14:paraId="12ADE20D" w14:textId="77777777" w:rsidR="00B07789" w:rsidRPr="00A731E1" w:rsidRDefault="00D25089" w:rsidP="002967BA">
            <w:pPr>
              <w:spacing w:after="0" w:line="240" w:lineRule="auto"/>
              <w:ind w:left="0" w:right="19" w:firstLine="0"/>
              <w:jc w:val="center"/>
              <w:rPr>
                <w:sz w:val="22"/>
              </w:rPr>
            </w:pPr>
            <w:r>
              <w:rPr>
                <w:sz w:val="22"/>
              </w:rPr>
              <w:t>0,0144</w:t>
            </w:r>
          </w:p>
        </w:tc>
      </w:tr>
      <w:tr w:rsidR="00B07789" w:rsidRPr="00A731E1" w14:paraId="65024542" w14:textId="77777777" w:rsidTr="002967BA">
        <w:trPr>
          <w:trHeight w:val="284"/>
        </w:trPr>
        <w:tc>
          <w:tcPr>
            <w:tcW w:w="3026" w:type="dxa"/>
            <w:tcBorders>
              <w:top w:val="single" w:sz="4" w:space="0" w:color="000000"/>
              <w:left w:val="single" w:sz="3" w:space="0" w:color="000000"/>
              <w:bottom w:val="single" w:sz="3" w:space="0" w:color="000000"/>
              <w:right w:val="single" w:sz="4" w:space="0" w:color="000000"/>
            </w:tcBorders>
          </w:tcPr>
          <w:p w14:paraId="4500AF79" w14:textId="77777777" w:rsidR="00B07789" w:rsidRPr="00A731E1" w:rsidRDefault="00D25089" w:rsidP="00833B71">
            <w:pPr>
              <w:spacing w:after="0" w:line="240" w:lineRule="auto"/>
              <w:ind w:left="0" w:firstLine="0"/>
              <w:rPr>
                <w:sz w:val="22"/>
              </w:rPr>
            </w:pPr>
            <w:r>
              <w:rPr>
                <w:sz w:val="22"/>
              </w:rPr>
              <w:t xml:space="preserve">Všetky </w:t>
            </w:r>
          </w:p>
        </w:tc>
        <w:tc>
          <w:tcPr>
            <w:tcW w:w="1843" w:type="dxa"/>
            <w:tcBorders>
              <w:top w:val="single" w:sz="4" w:space="0" w:color="000000"/>
              <w:left w:val="single" w:sz="4" w:space="0" w:color="000000"/>
              <w:bottom w:val="single" w:sz="3" w:space="0" w:color="000000"/>
              <w:right w:val="single" w:sz="3" w:space="0" w:color="000000"/>
            </w:tcBorders>
          </w:tcPr>
          <w:p w14:paraId="46589E3B" w14:textId="77777777" w:rsidR="00B07789" w:rsidRPr="00A731E1" w:rsidRDefault="00D25089" w:rsidP="002967BA">
            <w:pPr>
              <w:spacing w:after="0" w:line="240" w:lineRule="auto"/>
              <w:ind w:left="0" w:right="19" w:firstLine="0"/>
              <w:jc w:val="center"/>
              <w:rPr>
                <w:sz w:val="22"/>
              </w:rPr>
            </w:pPr>
            <w:r>
              <w:rPr>
                <w:sz w:val="22"/>
              </w:rPr>
              <w:t>325 (10,85)</w:t>
            </w:r>
          </w:p>
        </w:tc>
        <w:tc>
          <w:tcPr>
            <w:tcW w:w="1843" w:type="dxa"/>
            <w:tcBorders>
              <w:top w:val="single" w:sz="4" w:space="0" w:color="000000"/>
              <w:left w:val="single" w:sz="3" w:space="0" w:color="000000"/>
              <w:bottom w:val="single" w:sz="3" w:space="0" w:color="000000"/>
              <w:right w:val="single" w:sz="4" w:space="0" w:color="000000"/>
            </w:tcBorders>
          </w:tcPr>
          <w:p w14:paraId="50BB1F24" w14:textId="77777777" w:rsidR="00B07789" w:rsidRPr="00A731E1" w:rsidRDefault="00D25089" w:rsidP="002967BA">
            <w:pPr>
              <w:spacing w:after="0" w:line="240" w:lineRule="auto"/>
              <w:ind w:left="0" w:right="17" w:firstLine="0"/>
              <w:jc w:val="center"/>
              <w:rPr>
                <w:sz w:val="22"/>
              </w:rPr>
            </w:pPr>
            <w:r>
              <w:rPr>
                <w:sz w:val="22"/>
              </w:rPr>
              <w:t>250 (8,32)</w:t>
            </w:r>
          </w:p>
        </w:tc>
        <w:tc>
          <w:tcPr>
            <w:tcW w:w="1843" w:type="dxa"/>
            <w:tcBorders>
              <w:top w:val="single" w:sz="4" w:space="0" w:color="000000"/>
              <w:left w:val="single" w:sz="4" w:space="0" w:color="000000"/>
              <w:bottom w:val="single" w:sz="3" w:space="0" w:color="000000"/>
              <w:right w:val="single" w:sz="4" w:space="0" w:color="000000"/>
            </w:tcBorders>
          </w:tcPr>
          <w:p w14:paraId="35A67C86" w14:textId="77777777" w:rsidR="00B07789" w:rsidRPr="00A731E1" w:rsidRDefault="00D25089" w:rsidP="002967BA">
            <w:pPr>
              <w:spacing w:after="0" w:line="240" w:lineRule="auto"/>
              <w:ind w:left="0" w:right="18" w:firstLine="0"/>
              <w:jc w:val="center"/>
              <w:rPr>
                <w:sz w:val="22"/>
              </w:rPr>
            </w:pPr>
            <w:r>
              <w:rPr>
                <w:sz w:val="22"/>
              </w:rPr>
              <w:t>1,30 (1,10; 1,53)</w:t>
            </w:r>
          </w:p>
        </w:tc>
        <w:tc>
          <w:tcPr>
            <w:tcW w:w="851" w:type="dxa"/>
            <w:tcBorders>
              <w:top w:val="single" w:sz="4" w:space="0" w:color="000000"/>
              <w:left w:val="single" w:sz="4" w:space="0" w:color="000000"/>
              <w:bottom w:val="single" w:sz="3" w:space="0" w:color="000000"/>
              <w:right w:val="single" w:sz="4" w:space="0" w:color="000000"/>
            </w:tcBorders>
          </w:tcPr>
          <w:p w14:paraId="4F03EF5B" w14:textId="77777777" w:rsidR="00B07789" w:rsidRPr="00A731E1" w:rsidRDefault="00D25089" w:rsidP="002967BA">
            <w:pPr>
              <w:spacing w:after="0" w:line="240" w:lineRule="auto"/>
              <w:ind w:left="0" w:right="17" w:firstLine="0"/>
              <w:jc w:val="center"/>
              <w:rPr>
                <w:sz w:val="22"/>
              </w:rPr>
            </w:pPr>
            <w:r>
              <w:rPr>
                <w:sz w:val="22"/>
              </w:rPr>
              <w:t>0,0017</w:t>
            </w:r>
          </w:p>
        </w:tc>
      </w:tr>
    </w:tbl>
    <w:p w14:paraId="2327CE98" w14:textId="77777777" w:rsidR="002967BA" w:rsidRDefault="00D25089" w:rsidP="00F77A41">
      <w:pPr>
        <w:spacing w:after="0" w:line="240" w:lineRule="auto"/>
        <w:ind w:left="0" w:right="48"/>
        <w:rPr>
          <w:sz w:val="22"/>
        </w:rPr>
      </w:pPr>
      <w:r>
        <w:rPr>
          <w:sz w:val="22"/>
        </w:rPr>
        <w:t xml:space="preserve">* Závažné krvácanie definované podľa kritérií Medzinárodnej spoločnosti pre trombózu a hemostázu (ISTH) </w:t>
      </w:r>
    </w:p>
    <w:p w14:paraId="492D59FC" w14:textId="77777777" w:rsidR="00B07789" w:rsidRDefault="00D25089" w:rsidP="00833B71">
      <w:pPr>
        <w:spacing w:after="0" w:line="240" w:lineRule="auto"/>
        <w:ind w:left="0" w:right="1752"/>
        <w:rPr>
          <w:sz w:val="22"/>
        </w:rPr>
      </w:pPr>
      <w:r>
        <w:rPr>
          <w:sz w:val="22"/>
        </w:rPr>
        <w:t xml:space="preserve">†Klinicky relevantné, nezávažné </w:t>
      </w:r>
    </w:p>
    <w:p w14:paraId="65E66A0E" w14:textId="77777777" w:rsidR="00E4410C" w:rsidRDefault="00E4410C" w:rsidP="00833B71">
      <w:pPr>
        <w:spacing w:after="0" w:line="240" w:lineRule="auto"/>
        <w:ind w:left="0" w:right="1752"/>
        <w:rPr>
          <w:sz w:val="22"/>
        </w:rPr>
      </w:pPr>
    </w:p>
    <w:p w14:paraId="5E9752AA" w14:textId="77777777" w:rsidR="00E4410C" w:rsidRPr="00E4410C" w:rsidRDefault="00E4410C" w:rsidP="00650FC6">
      <w:pPr>
        <w:spacing w:after="0" w:line="240" w:lineRule="auto"/>
        <w:ind w:left="10"/>
        <w:rPr>
          <w:sz w:val="22"/>
          <w:u w:val="single"/>
        </w:rPr>
      </w:pPr>
      <w:r w:rsidRPr="00E4410C">
        <w:rPr>
          <w:sz w:val="22"/>
          <w:u w:val="single"/>
        </w:rPr>
        <w:t xml:space="preserve">Pacienti s NVAF s ACS a/alebo podstupujúci PCI </w:t>
      </w:r>
    </w:p>
    <w:p w14:paraId="54B5317E" w14:textId="77777777" w:rsidR="00E4410C" w:rsidRDefault="00E4410C" w:rsidP="00650FC6">
      <w:pPr>
        <w:spacing w:after="0" w:line="240" w:lineRule="auto"/>
        <w:ind w:left="10"/>
        <w:rPr>
          <w:sz w:val="22"/>
        </w:rPr>
      </w:pPr>
      <w:r w:rsidRPr="00E4410C">
        <w:rPr>
          <w:sz w:val="22"/>
        </w:rPr>
        <w:t xml:space="preserve">Do štúdie AUGUSTUS, otvorenej, randomizovanej, kontrolovanej štúdie s 2x2 faktoriálnym dizajnovým skúšaním sa zapojilo 4 614 pacientov s NVAF, ktorí mali ACS (43 %) a/alebo podstúpili PCI (56 %). Všetci pacienti dostávali základnú liečbu s inhibítorom P2Y12 (klopidogrel: 90,3 %) predpísanú podľa lokálnych štandardných terapeutických postupov. </w:t>
      </w:r>
    </w:p>
    <w:p w14:paraId="025C3B05" w14:textId="77777777" w:rsidR="00E4410C" w:rsidRDefault="00E4410C" w:rsidP="00833B71">
      <w:pPr>
        <w:spacing w:after="0" w:line="240" w:lineRule="auto"/>
        <w:ind w:left="0" w:right="1752"/>
        <w:rPr>
          <w:sz w:val="22"/>
        </w:rPr>
      </w:pPr>
    </w:p>
    <w:p w14:paraId="537F7F91" w14:textId="242A98C3" w:rsidR="00E4410C" w:rsidRPr="00E4410C" w:rsidRDefault="00E4410C" w:rsidP="00650FC6">
      <w:pPr>
        <w:spacing w:after="0" w:line="240" w:lineRule="auto"/>
        <w:ind w:left="10"/>
        <w:rPr>
          <w:sz w:val="22"/>
        </w:rPr>
      </w:pPr>
      <w:r w:rsidRPr="00E4410C">
        <w:rPr>
          <w:sz w:val="22"/>
        </w:rPr>
        <w:t xml:space="preserve">Do 14 dní po ACS a/alebo PCI boli pacienti randomizovaní buď do skupiny s apixabánom 5 mg dvakrát denne (2,5 mg dvakrát denne, ak boli splnené dve alebo viaceré kritériá na zníženie dávky; 10 % dostávalo nižšiu dávku), alebo do skupiny s VKA, ktorým bola podávaná buď ASA (81 mg jedenkrát denne) alebo placebo. Priemerný vek bol 69,9 roka, 94 % randomizovaných pacientov malo skóre CHA2DS2-VASc &gt; 2 a 47 % malo skóre HAS-BLED &gt; 3. U pacientov, ktorí boli randomizovaní na </w:t>
      </w:r>
      <w:r w:rsidRPr="0093257A">
        <w:rPr>
          <w:sz w:val="22"/>
        </w:rPr>
        <w:t>VKA, bol podiel času v terapeutickom rozsahu (TTR) (INR 2-3) 56 %,</w:t>
      </w:r>
      <w:r w:rsidR="00090703" w:rsidRPr="00EE68B4">
        <w:rPr>
          <w:sz w:val="22"/>
        </w:rPr>
        <w:t xml:space="preserve"> a to</w:t>
      </w:r>
      <w:r w:rsidRPr="0093257A">
        <w:rPr>
          <w:sz w:val="22"/>
        </w:rPr>
        <w:t xml:space="preserve"> s 32 % času pod </w:t>
      </w:r>
      <w:r w:rsidR="00090703" w:rsidRPr="00EE68B4">
        <w:rPr>
          <w:sz w:val="22"/>
        </w:rPr>
        <w:t xml:space="preserve">hranicou </w:t>
      </w:r>
      <w:r w:rsidRPr="0093257A">
        <w:rPr>
          <w:sz w:val="22"/>
        </w:rPr>
        <w:t xml:space="preserve">TTR a 12 % času nad </w:t>
      </w:r>
      <w:r w:rsidR="003217E9" w:rsidRPr="00EE68B4">
        <w:rPr>
          <w:sz w:val="22"/>
        </w:rPr>
        <w:t xml:space="preserve">hranicou </w:t>
      </w:r>
      <w:r w:rsidRPr="0093257A">
        <w:rPr>
          <w:sz w:val="22"/>
        </w:rPr>
        <w:t>TTR.</w:t>
      </w:r>
    </w:p>
    <w:p w14:paraId="5E4D2A52" w14:textId="77777777" w:rsidR="00E4410C" w:rsidRPr="00E4410C" w:rsidRDefault="00E4410C" w:rsidP="00833B71">
      <w:pPr>
        <w:spacing w:after="0" w:line="240" w:lineRule="auto"/>
        <w:ind w:left="0" w:right="1752"/>
        <w:rPr>
          <w:sz w:val="22"/>
        </w:rPr>
      </w:pPr>
    </w:p>
    <w:p w14:paraId="515D6973" w14:textId="44D9F4EA" w:rsidR="00E4410C" w:rsidRPr="00E4410C" w:rsidRDefault="00E4410C" w:rsidP="00650FC6">
      <w:pPr>
        <w:spacing w:after="0" w:line="240" w:lineRule="auto"/>
        <w:ind w:left="10"/>
        <w:rPr>
          <w:sz w:val="22"/>
        </w:rPr>
      </w:pPr>
      <w:r w:rsidRPr="00E4410C">
        <w:rPr>
          <w:sz w:val="22"/>
        </w:rPr>
        <w:t xml:space="preserve">Primárnym cieľom štúdie AUGUSTUS bolo vyhodnotiť bezpečnosť, pričom primárnym </w:t>
      </w:r>
      <w:r w:rsidR="00E74C4F">
        <w:rPr>
          <w:sz w:val="22"/>
        </w:rPr>
        <w:t xml:space="preserve">cieľovým </w:t>
      </w:r>
      <w:r w:rsidRPr="00E4410C">
        <w:rPr>
          <w:sz w:val="22"/>
        </w:rPr>
        <w:t xml:space="preserve">ukazovateľom bolo ISTH závažné krvácanie alebo CRNM krvácanie. Pri porovnaní apixabánu oproti VKA </w:t>
      </w:r>
      <w:r w:rsidR="00212A97">
        <w:rPr>
          <w:sz w:val="22"/>
        </w:rPr>
        <w:t>sa</w:t>
      </w:r>
      <w:r w:rsidRPr="00E4410C">
        <w:rPr>
          <w:sz w:val="22"/>
        </w:rPr>
        <w:t xml:space="preserve"> primárn</w:t>
      </w:r>
      <w:r w:rsidR="00212A97">
        <w:rPr>
          <w:sz w:val="22"/>
        </w:rPr>
        <w:t>y</w:t>
      </w:r>
      <w:r w:rsidRPr="00E4410C">
        <w:rPr>
          <w:sz w:val="22"/>
        </w:rPr>
        <w:t xml:space="preserve"> bezpečnostn</w:t>
      </w:r>
      <w:r w:rsidR="00212A97">
        <w:rPr>
          <w:sz w:val="22"/>
        </w:rPr>
        <w:t>ý</w:t>
      </w:r>
      <w:r w:rsidRPr="00E4410C">
        <w:rPr>
          <w:sz w:val="22"/>
        </w:rPr>
        <w:t xml:space="preserve"> </w:t>
      </w:r>
      <w:r w:rsidR="00212A97">
        <w:rPr>
          <w:sz w:val="22"/>
        </w:rPr>
        <w:t>cieľový</w:t>
      </w:r>
      <w:r w:rsidR="00E74C4F" w:rsidRPr="00E4410C">
        <w:rPr>
          <w:sz w:val="22"/>
        </w:rPr>
        <w:t xml:space="preserve"> </w:t>
      </w:r>
      <w:r w:rsidRPr="00E4410C">
        <w:rPr>
          <w:sz w:val="22"/>
        </w:rPr>
        <w:t>ukazovateľ</w:t>
      </w:r>
      <w:r w:rsidR="00212A97">
        <w:rPr>
          <w:sz w:val="22"/>
        </w:rPr>
        <w:t>-</w:t>
      </w:r>
      <w:r w:rsidRPr="00E4410C">
        <w:rPr>
          <w:sz w:val="22"/>
        </w:rPr>
        <w:t xml:space="preserve"> ISTH závažné alebo CRNM krvácani</w:t>
      </w:r>
      <w:r w:rsidR="00212A97">
        <w:rPr>
          <w:sz w:val="22"/>
        </w:rPr>
        <w:t>e</w:t>
      </w:r>
      <w:r w:rsidR="00790351">
        <w:rPr>
          <w:sz w:val="22"/>
        </w:rPr>
        <w:t>,</w:t>
      </w:r>
      <w:r w:rsidRPr="00E4410C">
        <w:rPr>
          <w:sz w:val="22"/>
        </w:rPr>
        <w:t xml:space="preserve"> </w:t>
      </w:r>
      <w:r w:rsidR="00212A97">
        <w:rPr>
          <w:sz w:val="22"/>
        </w:rPr>
        <w:t xml:space="preserve">vyskytol </w:t>
      </w:r>
      <w:r w:rsidRPr="00E4410C">
        <w:rPr>
          <w:sz w:val="22"/>
        </w:rPr>
        <w:t>v 6. mesiaci u 241 (10,5 %) pacientov v apixabáno</w:t>
      </w:r>
      <w:r w:rsidR="00E74C4F">
        <w:rPr>
          <w:sz w:val="22"/>
        </w:rPr>
        <w:t>vej</w:t>
      </w:r>
      <w:r w:rsidRPr="00E4410C">
        <w:rPr>
          <w:sz w:val="22"/>
        </w:rPr>
        <w:t xml:space="preserve"> </w:t>
      </w:r>
      <w:r w:rsidR="00E74C4F">
        <w:rPr>
          <w:sz w:val="22"/>
        </w:rPr>
        <w:t>skupine</w:t>
      </w:r>
      <w:r w:rsidRPr="00E4410C">
        <w:rPr>
          <w:sz w:val="22"/>
        </w:rPr>
        <w:t xml:space="preserve"> a u 332 (14,7 %) pacientov v</w:t>
      </w:r>
      <w:r w:rsidR="00E74C4F">
        <w:rPr>
          <w:sz w:val="22"/>
        </w:rPr>
        <w:t xml:space="preserve"> skupine</w:t>
      </w:r>
      <w:r w:rsidRPr="00E4410C">
        <w:rPr>
          <w:sz w:val="22"/>
        </w:rPr>
        <w:t xml:space="preserve"> VKA  (HR = 0,69, 95 % IS: 0,58, 0,82; 2-stranné p &lt; 0,0001 pre non-inferioritu a p &lt; 0,0001 pre superioritu). Pre VKA ďalšie analýzy využívajúce podskupiny podľa TTR dokázali, že najvyššia miera krvácania sa spája s najnižším kvartilom TTR. Miera krvácania bola podobná medzi apixabánom a najvyšším kvartilom TTR. Pri porovnaní ASA oproti placebu </w:t>
      </w:r>
      <w:r w:rsidR="00212A97">
        <w:rPr>
          <w:sz w:val="22"/>
        </w:rPr>
        <w:t>sa</w:t>
      </w:r>
      <w:r w:rsidRPr="00E4410C">
        <w:rPr>
          <w:sz w:val="22"/>
        </w:rPr>
        <w:t xml:space="preserve"> primárn</w:t>
      </w:r>
      <w:r w:rsidR="00212A97">
        <w:rPr>
          <w:sz w:val="22"/>
        </w:rPr>
        <w:t>y</w:t>
      </w:r>
      <w:r w:rsidRPr="00E4410C">
        <w:rPr>
          <w:sz w:val="22"/>
        </w:rPr>
        <w:t xml:space="preserve"> bezpečnost</w:t>
      </w:r>
      <w:r w:rsidR="00212A97">
        <w:rPr>
          <w:sz w:val="22"/>
        </w:rPr>
        <w:t>ný</w:t>
      </w:r>
      <w:r w:rsidRPr="00E4410C">
        <w:rPr>
          <w:sz w:val="22"/>
        </w:rPr>
        <w:t xml:space="preserve"> </w:t>
      </w:r>
      <w:r w:rsidR="00212A97">
        <w:rPr>
          <w:sz w:val="22"/>
        </w:rPr>
        <w:t>cieľový</w:t>
      </w:r>
      <w:r w:rsidR="00E74C4F" w:rsidRPr="00E4410C">
        <w:rPr>
          <w:sz w:val="22"/>
        </w:rPr>
        <w:t xml:space="preserve"> </w:t>
      </w:r>
      <w:r w:rsidRPr="00E4410C">
        <w:rPr>
          <w:sz w:val="22"/>
        </w:rPr>
        <w:t>ukazovateľ</w:t>
      </w:r>
      <w:r w:rsidR="00212A97">
        <w:rPr>
          <w:sz w:val="22"/>
        </w:rPr>
        <w:t xml:space="preserve"> -</w:t>
      </w:r>
      <w:r w:rsidRPr="00E4410C">
        <w:rPr>
          <w:sz w:val="22"/>
        </w:rPr>
        <w:t xml:space="preserve"> ISTH závažn</w:t>
      </w:r>
      <w:r w:rsidR="00212A97">
        <w:rPr>
          <w:sz w:val="22"/>
        </w:rPr>
        <w:t>é</w:t>
      </w:r>
      <w:r w:rsidRPr="00E4410C">
        <w:rPr>
          <w:sz w:val="22"/>
        </w:rPr>
        <w:t>o alebo CRNM krvácani</w:t>
      </w:r>
      <w:r w:rsidR="00212A97">
        <w:rPr>
          <w:sz w:val="22"/>
        </w:rPr>
        <w:t>e</w:t>
      </w:r>
      <w:r w:rsidR="00790351">
        <w:rPr>
          <w:sz w:val="22"/>
        </w:rPr>
        <w:t>,</w:t>
      </w:r>
      <w:r w:rsidR="00212A97">
        <w:rPr>
          <w:sz w:val="22"/>
        </w:rPr>
        <w:t xml:space="preserve"> vyskytol</w:t>
      </w:r>
      <w:r w:rsidRPr="00E4410C">
        <w:rPr>
          <w:sz w:val="22"/>
        </w:rPr>
        <w:t xml:space="preserve"> v 6. mesiaci u 367 (16,1 %) pacientov v</w:t>
      </w:r>
      <w:r w:rsidR="00E74C4F">
        <w:rPr>
          <w:sz w:val="22"/>
        </w:rPr>
        <w:t xml:space="preserve"> skupine </w:t>
      </w:r>
      <w:r w:rsidRPr="00E4410C">
        <w:rPr>
          <w:sz w:val="22"/>
        </w:rPr>
        <w:t>ASA a u 204 (9,0 %) pacientov v</w:t>
      </w:r>
      <w:r w:rsidR="00E74C4F">
        <w:rPr>
          <w:sz w:val="22"/>
        </w:rPr>
        <w:t xml:space="preserve"> skupine na </w:t>
      </w:r>
      <w:r w:rsidRPr="00E4410C">
        <w:rPr>
          <w:sz w:val="22"/>
        </w:rPr>
        <w:t>placeb</w:t>
      </w:r>
      <w:r w:rsidR="00E74C4F">
        <w:rPr>
          <w:sz w:val="22"/>
        </w:rPr>
        <w:t>e</w:t>
      </w:r>
      <w:r w:rsidRPr="00E4410C">
        <w:rPr>
          <w:sz w:val="22"/>
        </w:rPr>
        <w:t xml:space="preserve"> (HR = 1,88, 95 % IS: 1,58, 2,23; dvojstranné p &lt; 0,0001).</w:t>
      </w:r>
    </w:p>
    <w:p w14:paraId="16024E5F" w14:textId="77777777" w:rsidR="00E4410C" w:rsidRPr="00E4410C" w:rsidRDefault="00E4410C" w:rsidP="00833B71">
      <w:pPr>
        <w:spacing w:after="0" w:line="240" w:lineRule="auto"/>
        <w:ind w:left="0" w:right="1752"/>
        <w:rPr>
          <w:sz w:val="22"/>
        </w:rPr>
      </w:pPr>
    </w:p>
    <w:p w14:paraId="71854888" w14:textId="0624902B" w:rsidR="00E4410C" w:rsidRPr="00E4410C" w:rsidRDefault="00E4410C" w:rsidP="00650FC6">
      <w:pPr>
        <w:spacing w:after="0" w:line="240" w:lineRule="auto"/>
        <w:ind w:left="10"/>
        <w:rPr>
          <w:sz w:val="22"/>
        </w:rPr>
      </w:pPr>
      <w:r w:rsidRPr="00E4410C">
        <w:rPr>
          <w:sz w:val="22"/>
        </w:rPr>
        <w:t>Konkrétne u pacientov liečených apixabánom došlo k závažnému krvácaniu alebo k CRNM krvácaniu u 157 (13,7 %) pacientov v</w:t>
      </w:r>
      <w:r w:rsidR="0093257A">
        <w:rPr>
          <w:sz w:val="22"/>
        </w:rPr>
        <w:t xml:space="preserve"> skupine </w:t>
      </w:r>
      <w:r w:rsidRPr="00E4410C">
        <w:rPr>
          <w:sz w:val="22"/>
        </w:rPr>
        <w:t xml:space="preserve">ASA a u 84 (7,4 %) pacientov </w:t>
      </w:r>
      <w:r w:rsidR="0093257A">
        <w:rPr>
          <w:sz w:val="22"/>
        </w:rPr>
        <w:t>v skupine na</w:t>
      </w:r>
      <w:r w:rsidRPr="00E4410C">
        <w:rPr>
          <w:sz w:val="22"/>
        </w:rPr>
        <w:t xml:space="preserve"> placeb</w:t>
      </w:r>
      <w:r w:rsidR="0093257A">
        <w:rPr>
          <w:sz w:val="22"/>
        </w:rPr>
        <w:t>e</w:t>
      </w:r>
      <w:r w:rsidRPr="00E4410C">
        <w:rPr>
          <w:sz w:val="22"/>
        </w:rPr>
        <w:t>. U pacientov liečených VKA došlo k závažnému alebo CRNM krvácaniu u 208 (18,5 %) pacientov v</w:t>
      </w:r>
      <w:r w:rsidR="009B1C08">
        <w:rPr>
          <w:sz w:val="22"/>
        </w:rPr>
        <w:t xml:space="preserve"> sku</w:t>
      </w:r>
      <w:r w:rsidR="0093257A">
        <w:rPr>
          <w:sz w:val="22"/>
        </w:rPr>
        <w:t>pine</w:t>
      </w:r>
      <w:r w:rsidRPr="00E4410C">
        <w:rPr>
          <w:sz w:val="22"/>
        </w:rPr>
        <w:t xml:space="preserve"> ASA a u 122 (10,8 %) pacientov v</w:t>
      </w:r>
      <w:r w:rsidR="0093257A">
        <w:rPr>
          <w:sz w:val="22"/>
        </w:rPr>
        <w:t xml:space="preserve"> skupine na</w:t>
      </w:r>
      <w:r w:rsidRPr="00E4410C">
        <w:rPr>
          <w:sz w:val="22"/>
        </w:rPr>
        <w:t xml:space="preserve"> placeb</w:t>
      </w:r>
      <w:r w:rsidR="0093257A">
        <w:rPr>
          <w:sz w:val="22"/>
        </w:rPr>
        <w:t>e</w:t>
      </w:r>
      <w:r w:rsidRPr="00E4410C">
        <w:rPr>
          <w:sz w:val="22"/>
        </w:rPr>
        <w:t>.</w:t>
      </w:r>
    </w:p>
    <w:p w14:paraId="7A34C5A9" w14:textId="77777777" w:rsidR="00E4410C" w:rsidRPr="00E4410C" w:rsidRDefault="00E4410C" w:rsidP="00833B71">
      <w:pPr>
        <w:spacing w:after="0" w:line="240" w:lineRule="auto"/>
        <w:ind w:left="0" w:right="1752"/>
        <w:rPr>
          <w:sz w:val="22"/>
        </w:rPr>
      </w:pPr>
    </w:p>
    <w:p w14:paraId="014B0EB4" w14:textId="7AB8427B" w:rsidR="00653F4D" w:rsidRDefault="00E4410C" w:rsidP="00650FC6">
      <w:pPr>
        <w:spacing w:after="0" w:line="240" w:lineRule="auto"/>
        <w:ind w:left="10"/>
        <w:rPr>
          <w:sz w:val="22"/>
        </w:rPr>
      </w:pPr>
      <w:r w:rsidRPr="00E4410C">
        <w:rPr>
          <w:sz w:val="22"/>
        </w:rPr>
        <w:t xml:space="preserve">Ďalšie účinky liečby sa vyhodnocovali ako sekundárny cieľ štúdie so zloženými </w:t>
      </w:r>
      <w:r w:rsidR="009B1C08">
        <w:rPr>
          <w:sz w:val="22"/>
        </w:rPr>
        <w:t>cieľovými</w:t>
      </w:r>
      <w:r w:rsidR="009B1C08" w:rsidRPr="00E4410C">
        <w:rPr>
          <w:sz w:val="22"/>
        </w:rPr>
        <w:t xml:space="preserve"> </w:t>
      </w:r>
      <w:r w:rsidRPr="00E4410C">
        <w:rPr>
          <w:sz w:val="22"/>
        </w:rPr>
        <w:t xml:space="preserve">ukazovateľmi. Pri porovnaní apixabánu oproti VKA </w:t>
      </w:r>
      <w:r w:rsidR="009B1C08">
        <w:rPr>
          <w:sz w:val="22"/>
        </w:rPr>
        <w:t>sa</w:t>
      </w:r>
      <w:r w:rsidRPr="00E4410C">
        <w:rPr>
          <w:sz w:val="22"/>
        </w:rPr>
        <w:t xml:space="preserve"> zložen</w:t>
      </w:r>
      <w:r w:rsidR="009B1C08">
        <w:rPr>
          <w:sz w:val="22"/>
        </w:rPr>
        <w:t>ý</w:t>
      </w:r>
      <w:r w:rsidRPr="00E4410C">
        <w:rPr>
          <w:sz w:val="22"/>
        </w:rPr>
        <w:t xml:space="preserve"> </w:t>
      </w:r>
      <w:r w:rsidR="009B1C08">
        <w:rPr>
          <w:sz w:val="22"/>
        </w:rPr>
        <w:t>cieľový</w:t>
      </w:r>
      <w:r w:rsidRPr="00E4410C">
        <w:rPr>
          <w:sz w:val="22"/>
        </w:rPr>
        <w:t xml:space="preserve"> ukazovateľ</w:t>
      </w:r>
      <w:r w:rsidR="00790351">
        <w:rPr>
          <w:sz w:val="22"/>
        </w:rPr>
        <w:t>-</w:t>
      </w:r>
      <w:r w:rsidRPr="00E4410C">
        <w:rPr>
          <w:sz w:val="22"/>
        </w:rPr>
        <w:t xml:space="preserve"> úmrti</w:t>
      </w:r>
      <w:r w:rsidR="009B1C08">
        <w:rPr>
          <w:sz w:val="22"/>
        </w:rPr>
        <w:t>e</w:t>
      </w:r>
      <w:r w:rsidRPr="00E4410C">
        <w:rPr>
          <w:sz w:val="22"/>
        </w:rPr>
        <w:t xml:space="preserve"> alebo opakovan</w:t>
      </w:r>
      <w:r w:rsidR="009B1C08">
        <w:rPr>
          <w:sz w:val="22"/>
        </w:rPr>
        <w:t>á</w:t>
      </w:r>
      <w:r w:rsidRPr="00E4410C">
        <w:rPr>
          <w:sz w:val="22"/>
        </w:rPr>
        <w:t xml:space="preserve"> hospitalizáci</w:t>
      </w:r>
      <w:r w:rsidR="009B1C08">
        <w:rPr>
          <w:sz w:val="22"/>
        </w:rPr>
        <w:t>a</w:t>
      </w:r>
      <w:r w:rsidR="00790351">
        <w:rPr>
          <w:sz w:val="22"/>
        </w:rPr>
        <w:t>,</w:t>
      </w:r>
      <w:r w:rsidR="009B1C08">
        <w:rPr>
          <w:sz w:val="22"/>
        </w:rPr>
        <w:t xml:space="preserve"> vyskytol</w:t>
      </w:r>
      <w:r w:rsidRPr="00E4410C">
        <w:rPr>
          <w:sz w:val="22"/>
        </w:rPr>
        <w:t xml:space="preserve"> u 541 (23,5 %) pacientov v</w:t>
      </w:r>
      <w:r w:rsidR="009B1C08">
        <w:rPr>
          <w:sz w:val="22"/>
        </w:rPr>
        <w:t> </w:t>
      </w:r>
      <w:r w:rsidRPr="00E4410C">
        <w:rPr>
          <w:sz w:val="22"/>
        </w:rPr>
        <w:t>apixabánov</w:t>
      </w:r>
      <w:r w:rsidR="009B1C08">
        <w:rPr>
          <w:sz w:val="22"/>
        </w:rPr>
        <w:t>ej skupine</w:t>
      </w:r>
      <w:r w:rsidRPr="00E4410C">
        <w:rPr>
          <w:sz w:val="22"/>
        </w:rPr>
        <w:t xml:space="preserve"> a u 632 (27,4 %) pacientov v</w:t>
      </w:r>
      <w:r w:rsidR="009B1C08">
        <w:rPr>
          <w:sz w:val="22"/>
        </w:rPr>
        <w:t xml:space="preserve"> skupine</w:t>
      </w:r>
      <w:r w:rsidRPr="00E4410C">
        <w:rPr>
          <w:sz w:val="22"/>
        </w:rPr>
        <w:t xml:space="preserve"> VKA.  </w:t>
      </w:r>
      <w:r w:rsidR="00FD5167">
        <w:rPr>
          <w:sz w:val="22"/>
        </w:rPr>
        <w:t>Z</w:t>
      </w:r>
      <w:r w:rsidRPr="00E4410C">
        <w:rPr>
          <w:sz w:val="22"/>
        </w:rPr>
        <w:t>lože</w:t>
      </w:r>
      <w:r w:rsidR="00FD5167">
        <w:rPr>
          <w:sz w:val="22"/>
        </w:rPr>
        <w:t>ný</w:t>
      </w:r>
      <w:r w:rsidRPr="00E4410C">
        <w:rPr>
          <w:sz w:val="22"/>
        </w:rPr>
        <w:t xml:space="preserve"> </w:t>
      </w:r>
      <w:r w:rsidR="00FD5167">
        <w:rPr>
          <w:sz w:val="22"/>
        </w:rPr>
        <w:t>cieľový</w:t>
      </w:r>
      <w:r w:rsidR="00FD5167" w:rsidRPr="00E4410C">
        <w:rPr>
          <w:sz w:val="22"/>
        </w:rPr>
        <w:t xml:space="preserve"> </w:t>
      </w:r>
      <w:r w:rsidRPr="00E4410C">
        <w:rPr>
          <w:sz w:val="22"/>
        </w:rPr>
        <w:t>ukazovateľ</w:t>
      </w:r>
      <w:r w:rsidR="00FD5167">
        <w:rPr>
          <w:sz w:val="22"/>
        </w:rPr>
        <w:t>-</w:t>
      </w:r>
      <w:r w:rsidRPr="00E4410C">
        <w:rPr>
          <w:sz w:val="22"/>
        </w:rPr>
        <w:t xml:space="preserve"> úmrti</w:t>
      </w:r>
      <w:r w:rsidR="00FD5167">
        <w:rPr>
          <w:sz w:val="22"/>
        </w:rPr>
        <w:t>e</w:t>
      </w:r>
      <w:r w:rsidRPr="00E4410C">
        <w:rPr>
          <w:sz w:val="22"/>
        </w:rPr>
        <w:t>alebo ischemick</w:t>
      </w:r>
      <w:r w:rsidR="00FD5167">
        <w:rPr>
          <w:sz w:val="22"/>
        </w:rPr>
        <w:t>á</w:t>
      </w:r>
      <w:r w:rsidRPr="00E4410C">
        <w:rPr>
          <w:sz w:val="22"/>
        </w:rPr>
        <w:t xml:space="preserve"> udalos</w:t>
      </w:r>
      <w:r w:rsidR="00FD5167">
        <w:rPr>
          <w:sz w:val="22"/>
        </w:rPr>
        <w:t>ť</w:t>
      </w:r>
      <w:r w:rsidRPr="00E4410C">
        <w:rPr>
          <w:sz w:val="22"/>
        </w:rPr>
        <w:t xml:space="preserve"> (</w:t>
      </w:r>
      <w:r w:rsidR="00FD5167">
        <w:rPr>
          <w:sz w:val="22"/>
        </w:rPr>
        <w:t xml:space="preserve">cievna </w:t>
      </w:r>
      <w:r w:rsidRPr="00E4410C">
        <w:rPr>
          <w:sz w:val="22"/>
        </w:rPr>
        <w:t xml:space="preserve">mozgová príhoda, infarkt myokardu, trombóza stentu alebo urgentná revaskularizácia) </w:t>
      </w:r>
      <w:r w:rsidR="00FD5167">
        <w:rPr>
          <w:sz w:val="22"/>
        </w:rPr>
        <w:t xml:space="preserve">sa vyskytol u </w:t>
      </w:r>
      <w:r w:rsidRPr="00E4410C">
        <w:rPr>
          <w:sz w:val="22"/>
        </w:rPr>
        <w:t>170 (7,4 %) pacientov v</w:t>
      </w:r>
      <w:r w:rsidR="00FD5167">
        <w:rPr>
          <w:sz w:val="22"/>
        </w:rPr>
        <w:t> </w:t>
      </w:r>
      <w:r w:rsidRPr="00E4410C">
        <w:rPr>
          <w:sz w:val="22"/>
        </w:rPr>
        <w:t>apixabánov</w:t>
      </w:r>
      <w:r w:rsidR="00FD5167">
        <w:rPr>
          <w:sz w:val="22"/>
        </w:rPr>
        <w:t>ej skupine</w:t>
      </w:r>
      <w:r w:rsidRPr="00E4410C">
        <w:rPr>
          <w:sz w:val="22"/>
        </w:rPr>
        <w:t xml:space="preserve"> a u 182 (7,9 %) pacientov v</w:t>
      </w:r>
      <w:r w:rsidR="00FD5167">
        <w:rPr>
          <w:sz w:val="22"/>
        </w:rPr>
        <w:t xml:space="preserve"> skupine</w:t>
      </w:r>
      <w:r w:rsidRPr="00E4410C">
        <w:rPr>
          <w:sz w:val="22"/>
        </w:rPr>
        <w:t xml:space="preserve"> VKA</w:t>
      </w:r>
      <w:r w:rsidR="00653F4D" w:rsidRPr="00E4410C">
        <w:rPr>
          <w:sz w:val="22"/>
        </w:rPr>
        <w:t>.</w:t>
      </w:r>
    </w:p>
    <w:p w14:paraId="6BE1FE4C" w14:textId="0904893A" w:rsidR="00B07789" w:rsidRDefault="00E4410C" w:rsidP="00650FC6">
      <w:pPr>
        <w:spacing w:after="0" w:line="240" w:lineRule="auto"/>
        <w:ind w:left="10"/>
        <w:rPr>
          <w:sz w:val="22"/>
        </w:rPr>
      </w:pPr>
      <w:r w:rsidRPr="00E4410C">
        <w:rPr>
          <w:sz w:val="22"/>
        </w:rPr>
        <w:t xml:space="preserve">Pri porovnaní ASA oproti placebu </w:t>
      </w:r>
      <w:r w:rsidR="00653F4D">
        <w:rPr>
          <w:sz w:val="22"/>
        </w:rPr>
        <w:t>sa</w:t>
      </w:r>
      <w:r w:rsidRPr="00E4410C">
        <w:rPr>
          <w:sz w:val="22"/>
        </w:rPr>
        <w:t xml:space="preserve"> zložen</w:t>
      </w:r>
      <w:r w:rsidR="00653F4D">
        <w:rPr>
          <w:sz w:val="22"/>
        </w:rPr>
        <w:t>ý</w:t>
      </w:r>
      <w:r w:rsidRPr="00E4410C">
        <w:rPr>
          <w:sz w:val="22"/>
        </w:rPr>
        <w:t xml:space="preserve"> </w:t>
      </w:r>
      <w:r w:rsidR="00653F4D">
        <w:rPr>
          <w:sz w:val="22"/>
        </w:rPr>
        <w:t>cieľový</w:t>
      </w:r>
      <w:r w:rsidRPr="00E4410C">
        <w:rPr>
          <w:sz w:val="22"/>
        </w:rPr>
        <w:t xml:space="preserve"> ukazovateľ</w:t>
      </w:r>
      <w:r w:rsidR="00653F4D">
        <w:rPr>
          <w:sz w:val="22"/>
        </w:rPr>
        <w:t xml:space="preserve"> -</w:t>
      </w:r>
      <w:r w:rsidRPr="00E4410C">
        <w:rPr>
          <w:sz w:val="22"/>
        </w:rPr>
        <w:t xml:space="preserve"> úmrti</w:t>
      </w:r>
      <w:r w:rsidR="00653F4D">
        <w:rPr>
          <w:sz w:val="22"/>
        </w:rPr>
        <w:t>e</w:t>
      </w:r>
      <w:r w:rsidRPr="00E4410C">
        <w:rPr>
          <w:sz w:val="22"/>
        </w:rPr>
        <w:t xml:space="preserve"> alebo opakovan</w:t>
      </w:r>
      <w:r w:rsidR="00653F4D">
        <w:rPr>
          <w:sz w:val="22"/>
        </w:rPr>
        <w:t>é</w:t>
      </w:r>
      <w:r w:rsidRPr="00E4410C">
        <w:rPr>
          <w:sz w:val="22"/>
        </w:rPr>
        <w:t xml:space="preserve"> hospitalizáci</w:t>
      </w:r>
      <w:r w:rsidR="00653F4D">
        <w:rPr>
          <w:sz w:val="22"/>
        </w:rPr>
        <w:t>a</w:t>
      </w:r>
      <w:r w:rsidR="00C33B1E">
        <w:rPr>
          <w:sz w:val="22"/>
        </w:rPr>
        <w:t>,</w:t>
      </w:r>
      <w:r w:rsidR="00653F4D">
        <w:rPr>
          <w:sz w:val="22"/>
        </w:rPr>
        <w:t xml:space="preserve"> vyskytol</w:t>
      </w:r>
      <w:r w:rsidRPr="00E4410C">
        <w:rPr>
          <w:sz w:val="22"/>
        </w:rPr>
        <w:t xml:space="preserve"> u 604 (26,2 %) pacientov v</w:t>
      </w:r>
      <w:r w:rsidR="00653F4D">
        <w:rPr>
          <w:sz w:val="22"/>
        </w:rPr>
        <w:t xml:space="preserve"> skupine </w:t>
      </w:r>
      <w:r w:rsidRPr="00E4410C">
        <w:rPr>
          <w:sz w:val="22"/>
        </w:rPr>
        <w:t>ASA  a u 569 (24,7 %) pacientov v</w:t>
      </w:r>
      <w:r w:rsidR="00653F4D">
        <w:rPr>
          <w:sz w:val="22"/>
        </w:rPr>
        <w:t> skupine na</w:t>
      </w:r>
      <w:r w:rsidRPr="00E4410C">
        <w:rPr>
          <w:sz w:val="22"/>
        </w:rPr>
        <w:t xml:space="preserve"> placeb</w:t>
      </w:r>
      <w:r w:rsidR="00653F4D">
        <w:rPr>
          <w:sz w:val="22"/>
        </w:rPr>
        <w:t>e</w:t>
      </w:r>
      <w:r w:rsidRPr="00E4410C">
        <w:rPr>
          <w:sz w:val="22"/>
        </w:rPr>
        <w:t xml:space="preserve">. </w:t>
      </w:r>
      <w:r w:rsidR="00653F4D">
        <w:rPr>
          <w:sz w:val="22"/>
        </w:rPr>
        <w:lastRenderedPageBreak/>
        <w:t>Z</w:t>
      </w:r>
      <w:r w:rsidRPr="00E4410C">
        <w:rPr>
          <w:sz w:val="22"/>
        </w:rPr>
        <w:t>ložen</w:t>
      </w:r>
      <w:r w:rsidR="00653F4D">
        <w:rPr>
          <w:sz w:val="22"/>
        </w:rPr>
        <w:t>ý</w:t>
      </w:r>
      <w:r w:rsidRPr="00E4410C">
        <w:rPr>
          <w:sz w:val="22"/>
        </w:rPr>
        <w:t xml:space="preserve"> </w:t>
      </w:r>
      <w:r w:rsidR="00653F4D">
        <w:rPr>
          <w:sz w:val="22"/>
        </w:rPr>
        <w:t>cieľový</w:t>
      </w:r>
      <w:r w:rsidRPr="00E4410C">
        <w:rPr>
          <w:sz w:val="22"/>
        </w:rPr>
        <w:t xml:space="preserve"> ukazovateľ</w:t>
      </w:r>
      <w:r w:rsidR="00653F4D">
        <w:rPr>
          <w:sz w:val="22"/>
        </w:rPr>
        <w:t xml:space="preserve"> -</w:t>
      </w:r>
      <w:r w:rsidRPr="00E4410C">
        <w:rPr>
          <w:sz w:val="22"/>
        </w:rPr>
        <w:t xml:space="preserve"> úmrti</w:t>
      </w:r>
      <w:r w:rsidR="00653F4D">
        <w:rPr>
          <w:sz w:val="22"/>
        </w:rPr>
        <w:t>e</w:t>
      </w:r>
      <w:r w:rsidRPr="00E4410C">
        <w:rPr>
          <w:sz w:val="22"/>
        </w:rPr>
        <w:t xml:space="preserve"> alebo ischemick</w:t>
      </w:r>
      <w:r w:rsidR="00653F4D">
        <w:rPr>
          <w:sz w:val="22"/>
        </w:rPr>
        <w:t>á</w:t>
      </w:r>
      <w:r w:rsidRPr="00E4410C">
        <w:rPr>
          <w:sz w:val="22"/>
        </w:rPr>
        <w:t xml:space="preserve"> udalos</w:t>
      </w:r>
      <w:r w:rsidR="00653F4D">
        <w:rPr>
          <w:sz w:val="22"/>
        </w:rPr>
        <w:t>ť</w:t>
      </w:r>
      <w:r w:rsidRPr="00E4410C">
        <w:rPr>
          <w:sz w:val="22"/>
        </w:rPr>
        <w:t xml:space="preserve"> (</w:t>
      </w:r>
      <w:r w:rsidR="00653F4D">
        <w:rPr>
          <w:sz w:val="22"/>
        </w:rPr>
        <w:t xml:space="preserve">cievna </w:t>
      </w:r>
      <w:r w:rsidRPr="00E4410C">
        <w:rPr>
          <w:sz w:val="22"/>
        </w:rPr>
        <w:t>mozgová príhoda, infarkt myokardu, trombóza stentu alebo urgentná revaskularizácia)</w:t>
      </w:r>
      <w:r w:rsidR="00C33B1E">
        <w:rPr>
          <w:sz w:val="22"/>
        </w:rPr>
        <w:t>,</w:t>
      </w:r>
      <w:r w:rsidRPr="00E4410C">
        <w:rPr>
          <w:sz w:val="22"/>
        </w:rPr>
        <w:t xml:space="preserve"> </w:t>
      </w:r>
      <w:r w:rsidR="00653F4D">
        <w:rPr>
          <w:sz w:val="22"/>
        </w:rPr>
        <w:t>sa vyskytol</w:t>
      </w:r>
      <w:r w:rsidRPr="00E4410C">
        <w:rPr>
          <w:sz w:val="22"/>
        </w:rPr>
        <w:t xml:space="preserve"> u 163 (7,1 %) pacientov v</w:t>
      </w:r>
      <w:r w:rsidR="00653F4D">
        <w:rPr>
          <w:sz w:val="22"/>
        </w:rPr>
        <w:t xml:space="preserve"> skupine </w:t>
      </w:r>
      <w:r w:rsidRPr="00E4410C">
        <w:rPr>
          <w:sz w:val="22"/>
        </w:rPr>
        <w:t>ASA  a u 189 (8,2 %) pacientov v</w:t>
      </w:r>
      <w:r w:rsidR="00653F4D">
        <w:rPr>
          <w:sz w:val="22"/>
        </w:rPr>
        <w:t> skupine na</w:t>
      </w:r>
      <w:r w:rsidRPr="00E4410C">
        <w:rPr>
          <w:sz w:val="22"/>
        </w:rPr>
        <w:t xml:space="preserve"> placeb</w:t>
      </w:r>
      <w:r w:rsidR="00653F4D">
        <w:rPr>
          <w:sz w:val="22"/>
        </w:rPr>
        <w:t>e</w:t>
      </w:r>
      <w:r w:rsidRPr="00E4410C">
        <w:rPr>
          <w:sz w:val="22"/>
        </w:rPr>
        <w:t>.</w:t>
      </w:r>
    </w:p>
    <w:p w14:paraId="77B1D6E9" w14:textId="77777777" w:rsidR="00F77A41" w:rsidRPr="00A731E1" w:rsidRDefault="00F77A41" w:rsidP="00F77A41">
      <w:pPr>
        <w:spacing w:after="0" w:line="240" w:lineRule="auto"/>
        <w:ind w:left="0" w:firstLine="0"/>
        <w:rPr>
          <w:sz w:val="22"/>
        </w:rPr>
      </w:pPr>
    </w:p>
    <w:p w14:paraId="57E59D13" w14:textId="77777777" w:rsidR="00B07789" w:rsidRPr="00A731E1" w:rsidRDefault="00D25089" w:rsidP="00F77A41">
      <w:pPr>
        <w:spacing w:after="0" w:line="240" w:lineRule="auto"/>
        <w:ind w:left="0" w:firstLine="0"/>
        <w:rPr>
          <w:sz w:val="22"/>
        </w:rPr>
      </w:pPr>
      <w:r>
        <w:rPr>
          <w:i/>
          <w:sz w:val="22"/>
          <w:u w:val="single" w:color="000000"/>
        </w:rPr>
        <w:t>Pacienti podstupujúci kardioverziu</w:t>
      </w:r>
      <w:r>
        <w:rPr>
          <w:i/>
          <w:sz w:val="22"/>
        </w:rPr>
        <w:t xml:space="preserve"> </w:t>
      </w:r>
    </w:p>
    <w:p w14:paraId="1EC7B84C" w14:textId="3A3A5987" w:rsidR="00B07789" w:rsidRPr="00A731E1" w:rsidRDefault="00D25089" w:rsidP="00833B71">
      <w:pPr>
        <w:keepNext/>
        <w:spacing w:after="0" w:line="240" w:lineRule="auto"/>
        <w:ind w:left="0" w:firstLine="0"/>
        <w:rPr>
          <w:sz w:val="22"/>
        </w:rPr>
      </w:pPr>
      <w:r>
        <w:rPr>
          <w:sz w:val="22"/>
        </w:rPr>
        <w:t>Do štúdie EMANATE, otvorenej, multicentrickej štúdie, bolo zapojených 1 500 pacientov, ktorí predtým buď neužívali perorálnu antikoagulačnú liečbu, alebo sa ňou liečili menej ako 48 hodín, a u ktorých bola plánovaná kardioverzia z dôvodu NVAF. Pacienti sa v pomere 1 : 1 randomizovali na apixabán alebo na heparín a/alebo VKA na prevenciu kardiovaskulárnych príhod. Elektrická a/alebo farmakologická kardioverzia sa uskutočňovala po najmenej 5 dávkach apixabánu 5 mg dvakrát denne (alebo 2,5 mg dvakrát denne u vybraných pacientov (pozri časť 4.2)) alebo najmenej 2 hodiny po  nasycovacej dávke</w:t>
      </w:r>
      <w:r w:rsidR="00EA0E67">
        <w:rPr>
          <w:sz w:val="22"/>
        </w:rPr>
        <w:t xml:space="preserve"> 10 mg</w:t>
      </w:r>
      <w:r>
        <w:rPr>
          <w:sz w:val="22"/>
        </w:rPr>
        <w:t xml:space="preserve"> (alebo  nasycovacej dávke</w:t>
      </w:r>
      <w:r w:rsidR="00EA0E67">
        <w:rPr>
          <w:sz w:val="22"/>
        </w:rPr>
        <w:t xml:space="preserve"> 5 mg</w:t>
      </w:r>
      <w:r>
        <w:rPr>
          <w:sz w:val="22"/>
        </w:rPr>
        <w:t xml:space="preserve"> u vybraných pacientov (pozri časť 4.2)), ak bola potrebná skoršia kardioverzia. V skupine s apixabánom dostalo nasycovaciu dávku 342 pacientov (331 pacientov dostalo  dávku</w:t>
      </w:r>
      <w:r w:rsidR="00EA0E67">
        <w:rPr>
          <w:sz w:val="22"/>
        </w:rPr>
        <w:t xml:space="preserve"> 10 mg</w:t>
      </w:r>
      <w:r>
        <w:rPr>
          <w:sz w:val="22"/>
        </w:rPr>
        <w:t xml:space="preserve"> a 11 pacientov dostalo  dávku</w:t>
      </w:r>
      <w:r w:rsidR="00EA0E67">
        <w:rPr>
          <w:sz w:val="22"/>
        </w:rPr>
        <w:t xml:space="preserve"> 5 mg</w:t>
      </w:r>
      <w:r>
        <w:rPr>
          <w:sz w:val="22"/>
        </w:rPr>
        <w:t xml:space="preserve">). </w:t>
      </w:r>
    </w:p>
    <w:p w14:paraId="6EF5FFA4" w14:textId="4DA847D5" w:rsidR="00B07789" w:rsidRPr="00A731E1" w:rsidRDefault="00B07789" w:rsidP="00833B71">
      <w:pPr>
        <w:spacing w:after="0" w:line="240" w:lineRule="auto"/>
        <w:ind w:left="0" w:firstLine="0"/>
        <w:rPr>
          <w:sz w:val="22"/>
        </w:rPr>
      </w:pPr>
    </w:p>
    <w:p w14:paraId="6E5D3415" w14:textId="6B8971F9" w:rsidR="00B07789" w:rsidRPr="00A731E1" w:rsidRDefault="00D25089" w:rsidP="00833B71">
      <w:pPr>
        <w:spacing w:after="0" w:line="240" w:lineRule="auto"/>
        <w:ind w:left="0" w:firstLine="0"/>
        <w:rPr>
          <w:sz w:val="22"/>
        </w:rPr>
      </w:pPr>
      <w:r>
        <w:rPr>
          <w:sz w:val="22"/>
        </w:rPr>
        <w:t xml:space="preserve">V skupine s apixabánom (n = 753) nedošlo k žiadnej </w:t>
      </w:r>
      <w:r w:rsidR="00EA0E67">
        <w:rPr>
          <w:sz w:val="22"/>
        </w:rPr>
        <w:t xml:space="preserve">cievnej </w:t>
      </w:r>
      <w:r>
        <w:rPr>
          <w:sz w:val="22"/>
        </w:rPr>
        <w:t xml:space="preserve">mozgovej príhode (0 %) a ku 6 (0,80 %) </w:t>
      </w:r>
      <w:r w:rsidR="00EA0E67">
        <w:rPr>
          <w:sz w:val="22"/>
        </w:rPr>
        <w:t xml:space="preserve">cievnym </w:t>
      </w:r>
      <w:r>
        <w:rPr>
          <w:sz w:val="22"/>
        </w:rPr>
        <w:t>mozgovým príhodám došlo v skupine s heparínom a/alebo VKA (n = 747; RR 0,00, 95 % I</w:t>
      </w:r>
      <w:r w:rsidR="00EA0E67">
        <w:rPr>
          <w:sz w:val="22"/>
        </w:rPr>
        <w:t>S</w:t>
      </w:r>
      <w:r>
        <w:rPr>
          <w:sz w:val="22"/>
        </w:rPr>
        <w:t xml:space="preserve"> 0,00; 0,64). K úmrtiu z akejkoľvek príčiny došlo u 2 pacientov (0,27 %) v skupine s apixabánom a u 1 pacienta (0,13 %) v skupine s heparínom a/alebo VKA. Neboli hlásené žiadne systémové embolické príhody. </w:t>
      </w:r>
    </w:p>
    <w:p w14:paraId="08A3ED10" w14:textId="77777777" w:rsidR="00B07789" w:rsidRPr="00A731E1" w:rsidRDefault="00D25089" w:rsidP="00833B71">
      <w:pPr>
        <w:spacing w:after="0" w:line="240" w:lineRule="auto"/>
        <w:ind w:left="0" w:firstLine="0"/>
        <w:rPr>
          <w:sz w:val="22"/>
        </w:rPr>
      </w:pPr>
      <w:r>
        <w:rPr>
          <w:sz w:val="22"/>
        </w:rPr>
        <w:t xml:space="preserve"> </w:t>
      </w:r>
    </w:p>
    <w:p w14:paraId="13CA33CA" w14:textId="66B2BEBC" w:rsidR="00B07789" w:rsidRPr="00A731E1" w:rsidRDefault="00D25089" w:rsidP="00833B71">
      <w:pPr>
        <w:spacing w:after="0" w:line="240" w:lineRule="auto"/>
        <w:ind w:left="0" w:firstLine="0"/>
        <w:rPr>
          <w:sz w:val="22"/>
        </w:rPr>
      </w:pPr>
      <w:r>
        <w:rPr>
          <w:sz w:val="22"/>
        </w:rPr>
        <w:t xml:space="preserve">V skupine s apixabánom došlo u 3 pacientov (0,41 %) k príhodám závažného krvácania a u 11 (1,50 %) pacientov k CRNM krvácania, v porovnaní so 6 pacientmi (0,83 %), u ktorých došlo k príhodám závažného krvácania, a 13 pacientmi (1,80 %), u ktorých došlo k CRNM krvácania, v skupine s heparínom a/alebo VKA. </w:t>
      </w:r>
    </w:p>
    <w:p w14:paraId="4F318FF8" w14:textId="77777777" w:rsidR="00B07789" w:rsidRPr="00A731E1" w:rsidRDefault="00D25089" w:rsidP="00833B71">
      <w:pPr>
        <w:spacing w:after="0" w:line="240" w:lineRule="auto"/>
        <w:ind w:left="0" w:firstLine="0"/>
        <w:rPr>
          <w:sz w:val="22"/>
        </w:rPr>
      </w:pPr>
      <w:r>
        <w:rPr>
          <w:sz w:val="22"/>
        </w:rPr>
        <w:t xml:space="preserve"> </w:t>
      </w:r>
    </w:p>
    <w:p w14:paraId="3B6CF0CA" w14:textId="7F60A21D" w:rsidR="00B07789" w:rsidRPr="00A731E1" w:rsidRDefault="00D25089" w:rsidP="00833B71">
      <w:pPr>
        <w:spacing w:after="0" w:line="240" w:lineRule="auto"/>
        <w:ind w:left="0" w:firstLine="0"/>
        <w:rPr>
          <w:sz w:val="22"/>
        </w:rPr>
      </w:pPr>
      <w:r>
        <w:rPr>
          <w:sz w:val="22"/>
        </w:rPr>
        <w:t>Táto prieskumná štúdia dokázala porovnateľnú účinnosť a bezpečnosť  skupi</w:t>
      </w:r>
      <w:r w:rsidR="00D15ED6">
        <w:rPr>
          <w:sz w:val="22"/>
        </w:rPr>
        <w:t>ny liečenej</w:t>
      </w:r>
      <w:r>
        <w:rPr>
          <w:sz w:val="22"/>
        </w:rPr>
        <w:t xml:space="preserve"> apixabánom a skupiny </w:t>
      </w:r>
      <w:r w:rsidR="00D15ED6">
        <w:rPr>
          <w:sz w:val="22"/>
        </w:rPr>
        <w:t>liečenej</w:t>
      </w:r>
      <w:r>
        <w:rPr>
          <w:sz w:val="22"/>
        </w:rPr>
        <w:t xml:space="preserve"> heparínom a/alebo VKA v</w:t>
      </w:r>
      <w:r w:rsidR="009B217A">
        <w:rPr>
          <w:sz w:val="22"/>
        </w:rPr>
        <w:t> klinickom kontexte</w:t>
      </w:r>
      <w:r>
        <w:rPr>
          <w:sz w:val="22"/>
        </w:rPr>
        <w:t xml:space="preserve"> kardioverzie</w:t>
      </w:r>
      <w:r w:rsidR="00D15ED6">
        <w:rPr>
          <w:sz w:val="22"/>
        </w:rPr>
        <w:t>.</w:t>
      </w:r>
      <w:r>
        <w:rPr>
          <w:sz w:val="22"/>
        </w:rPr>
        <w:t xml:space="preserve"> </w:t>
      </w:r>
    </w:p>
    <w:p w14:paraId="5D5E4B19" w14:textId="4BD8A5B9" w:rsidR="00B07789" w:rsidRPr="00A731E1" w:rsidRDefault="00B07789" w:rsidP="00833B71">
      <w:pPr>
        <w:spacing w:after="0" w:line="240" w:lineRule="auto"/>
        <w:ind w:left="0" w:firstLine="0"/>
        <w:rPr>
          <w:sz w:val="22"/>
        </w:rPr>
      </w:pPr>
    </w:p>
    <w:p w14:paraId="0573F67F" w14:textId="77777777" w:rsidR="00B07789" w:rsidRPr="00A731E1" w:rsidRDefault="00D25089" w:rsidP="00833B71">
      <w:pPr>
        <w:spacing w:after="0" w:line="240" w:lineRule="auto"/>
        <w:ind w:left="0" w:firstLine="0"/>
        <w:rPr>
          <w:sz w:val="22"/>
        </w:rPr>
      </w:pPr>
      <w:r>
        <w:rPr>
          <w:i/>
          <w:sz w:val="22"/>
          <w:u w:val="single" w:color="000000"/>
        </w:rPr>
        <w:t>Liečba DVT, liečba PE a prevencia rekurentnej DVT a PE (VTEt)</w:t>
      </w:r>
      <w:r>
        <w:rPr>
          <w:b/>
          <w:sz w:val="22"/>
        </w:rPr>
        <w:t xml:space="preserve"> </w:t>
      </w:r>
    </w:p>
    <w:p w14:paraId="4CC415A4" w14:textId="39382061" w:rsidR="00B07789" w:rsidRDefault="00D25089" w:rsidP="00833B71">
      <w:pPr>
        <w:spacing w:after="0" w:line="240" w:lineRule="auto"/>
        <w:ind w:left="0" w:firstLine="0"/>
        <w:rPr>
          <w:sz w:val="22"/>
        </w:rPr>
      </w:pPr>
      <w:r>
        <w:rPr>
          <w:sz w:val="22"/>
        </w:rPr>
        <w:t>Klinický program (AMPLIFY: apixabán oproti enoxaparínu/warfarínu, AMPLIFY</w:t>
      </w:r>
      <w:r>
        <w:rPr>
          <w:sz w:val="22"/>
        </w:rPr>
        <w:noBreakHyphen/>
        <w:t xml:space="preserve">EXT: apixabán oproti placebu) bol navrhnutý tak, aby preukázal účinnosť a bezpečnosť apixabánu v liečbe DVT a/alebo PE (AMPLIFY) a predĺženej </w:t>
      </w:r>
      <w:r w:rsidR="002E599E">
        <w:rPr>
          <w:sz w:val="22"/>
        </w:rPr>
        <w:t xml:space="preserve">liečby </w:t>
      </w:r>
      <w:r>
        <w:rPr>
          <w:sz w:val="22"/>
        </w:rPr>
        <w:t>na prevenciu rekurentnej DVT a/alebo PE nasledujúcej po 6 až 12 mesiacoch antikoagulačnej liečby DVT a/alebo PE (AMPLIFY</w:t>
      </w:r>
      <w:r>
        <w:rPr>
          <w:sz w:val="22"/>
        </w:rPr>
        <w:noBreakHyphen/>
        <w:t xml:space="preserve">EXT). Obidve štúdie boli randomizované, dvojito zaslepené, medzinárodné skúšania s paralelnými skupinami u pacientov so symptomatickou proximálnou DVT alebo symptomatickou PE. Všetky kľúčové ukazovatele bezpečnosti a účinnosti boli posudzované </w:t>
      </w:r>
      <w:r w:rsidRPr="00221401">
        <w:rPr>
          <w:sz w:val="22"/>
        </w:rPr>
        <w:t>nezávislou zaslepenou</w:t>
      </w:r>
      <w:r>
        <w:rPr>
          <w:sz w:val="22"/>
        </w:rPr>
        <w:t xml:space="preserve"> komisiou. </w:t>
      </w:r>
    </w:p>
    <w:p w14:paraId="197F1490" w14:textId="77777777" w:rsidR="00B07789" w:rsidRPr="007E6137" w:rsidRDefault="00B07789" w:rsidP="00833B71">
      <w:pPr>
        <w:spacing w:after="0" w:line="240" w:lineRule="auto"/>
        <w:ind w:left="0" w:firstLine="0"/>
        <w:rPr>
          <w:sz w:val="22"/>
        </w:rPr>
      </w:pPr>
    </w:p>
    <w:p w14:paraId="3B44A5F0" w14:textId="77777777" w:rsidR="00B07789" w:rsidRPr="00A731E1" w:rsidRDefault="00D25089" w:rsidP="00833B71">
      <w:pPr>
        <w:spacing w:after="0" w:line="240" w:lineRule="auto"/>
        <w:ind w:left="0" w:firstLine="0"/>
        <w:rPr>
          <w:sz w:val="22"/>
        </w:rPr>
      </w:pPr>
      <w:r>
        <w:rPr>
          <w:i/>
          <w:sz w:val="22"/>
          <w:u w:val="single" w:color="000000"/>
        </w:rPr>
        <w:t>ŠTÚDIA AMPLIFY</w:t>
      </w:r>
      <w:r>
        <w:rPr>
          <w:i/>
          <w:sz w:val="22"/>
        </w:rPr>
        <w:t xml:space="preserve"> </w:t>
      </w:r>
    </w:p>
    <w:p w14:paraId="539EC8EB" w14:textId="77777777" w:rsidR="00B07789" w:rsidRPr="00A731E1" w:rsidRDefault="00D25089" w:rsidP="00833B71">
      <w:pPr>
        <w:spacing w:after="0" w:line="240" w:lineRule="auto"/>
        <w:ind w:left="0" w:firstLine="0"/>
        <w:rPr>
          <w:sz w:val="22"/>
        </w:rPr>
      </w:pPr>
      <w:r>
        <w:rPr>
          <w:sz w:val="22"/>
        </w:rPr>
        <w:t xml:space="preserve">V štúdii AMPLIFY bolo randomizovaných celkovo 5 395 pacientov liečených apixabánom 10 mg perorálne dvakrát denne počas 7 dní, po ktorých nasledovala liečba apixabánom 5 mg perorálne dvakrát denne počas 6 mesiacov, alebo enoxaparínom v dávke 1 mg/kg dvakrát denne subkutánne počas minimálne 5 dní (do INR ≥ 2) a warfarínom (cieľový rozsah INR 2,0 – 3,0) perorálne počas 6 mesiacov. </w:t>
      </w:r>
    </w:p>
    <w:p w14:paraId="0D8ECC52" w14:textId="515A80E6" w:rsidR="00B07789" w:rsidRPr="00A731E1" w:rsidRDefault="00B07789" w:rsidP="00833B71">
      <w:pPr>
        <w:spacing w:after="0" w:line="240" w:lineRule="auto"/>
        <w:ind w:left="0" w:firstLine="0"/>
        <w:rPr>
          <w:sz w:val="22"/>
        </w:rPr>
      </w:pPr>
    </w:p>
    <w:p w14:paraId="3A411D50" w14:textId="77777777" w:rsidR="00B07789" w:rsidRPr="00A731E1" w:rsidRDefault="00D25089" w:rsidP="00833B71">
      <w:pPr>
        <w:spacing w:after="0" w:line="240" w:lineRule="auto"/>
        <w:ind w:left="0" w:firstLine="0"/>
        <w:rPr>
          <w:sz w:val="22"/>
        </w:rPr>
      </w:pPr>
      <w:r>
        <w:rPr>
          <w:sz w:val="22"/>
        </w:rPr>
        <w:t xml:space="preserve">Priemerný vek bol 56,9 roka a 89,8 % randomizovaných pacientov malo nevyprovokované príhody VTE. </w:t>
      </w:r>
    </w:p>
    <w:p w14:paraId="6F0E5064" w14:textId="180FD777" w:rsidR="00B07789" w:rsidRPr="00A731E1" w:rsidRDefault="00B07789" w:rsidP="00833B71">
      <w:pPr>
        <w:spacing w:after="0" w:line="240" w:lineRule="auto"/>
        <w:ind w:left="0" w:firstLine="0"/>
        <w:rPr>
          <w:sz w:val="22"/>
        </w:rPr>
      </w:pPr>
    </w:p>
    <w:p w14:paraId="132EED5D" w14:textId="430F54CC" w:rsidR="00B07789" w:rsidRPr="00A731E1" w:rsidRDefault="00D25089" w:rsidP="00833B71">
      <w:pPr>
        <w:spacing w:after="0" w:line="240" w:lineRule="auto"/>
        <w:ind w:left="0" w:firstLine="0"/>
        <w:rPr>
          <w:sz w:val="22"/>
        </w:rPr>
      </w:pPr>
      <w:r>
        <w:rPr>
          <w:sz w:val="22"/>
        </w:rPr>
        <w:t>U pacientov randomizovaných na warfarín bolo priemerné percentuálne vyjadrenie času v terapeutickom rozsahu (INR 2,0 – 3,0) 60,9. Pri apixabáne sa preukázalo zníženie výskytu rekurentnej symptomatickej VTE alebo úmrtia súvisiaceho s VTE naprieč rôznymi úrovňami TTR podľa cent</w:t>
      </w:r>
      <w:r w:rsidR="002E599E">
        <w:rPr>
          <w:sz w:val="22"/>
        </w:rPr>
        <w:t>ra</w:t>
      </w:r>
      <w:r>
        <w:rPr>
          <w:sz w:val="22"/>
        </w:rPr>
        <w:t>; v rámci najvyššieho kvartilu TTR podľa cent</w:t>
      </w:r>
      <w:r w:rsidR="002E599E">
        <w:rPr>
          <w:sz w:val="22"/>
        </w:rPr>
        <w:t>ra</w:t>
      </w:r>
      <w:r>
        <w:rPr>
          <w:sz w:val="22"/>
        </w:rPr>
        <w:t xml:space="preserve"> bolo relatívne riziko pri apixabáne oproti enoxaparínu/warfarínu 0,79 (95 % IS, 0,39; 1,61). </w:t>
      </w:r>
    </w:p>
    <w:p w14:paraId="0A54C4F5" w14:textId="77777777" w:rsidR="00B07789" w:rsidRPr="00A731E1" w:rsidRDefault="00D25089" w:rsidP="00833B71">
      <w:pPr>
        <w:spacing w:after="0" w:line="240" w:lineRule="auto"/>
        <w:ind w:left="0" w:firstLine="0"/>
        <w:rPr>
          <w:sz w:val="22"/>
        </w:rPr>
      </w:pPr>
      <w:r>
        <w:rPr>
          <w:sz w:val="22"/>
        </w:rPr>
        <w:t xml:space="preserve"> </w:t>
      </w:r>
    </w:p>
    <w:p w14:paraId="71149902" w14:textId="106A4901" w:rsidR="00B07789" w:rsidRPr="00A731E1" w:rsidRDefault="00D25089" w:rsidP="00833B71">
      <w:pPr>
        <w:spacing w:after="0" w:line="240" w:lineRule="auto"/>
        <w:ind w:left="0" w:firstLine="0"/>
        <w:rPr>
          <w:sz w:val="22"/>
        </w:rPr>
      </w:pPr>
      <w:r>
        <w:rPr>
          <w:sz w:val="22"/>
        </w:rPr>
        <w:lastRenderedPageBreak/>
        <w:t>V štúdii sa preukázalo, že apixabán je neinferiórny voči enoxaparínu/warfarínu v kombinovanom primárnom cieľovom ukazovateli posudzovanej rekurentnej VTE so symptómami (</w:t>
      </w:r>
      <w:r w:rsidR="002E599E">
        <w:rPr>
          <w:sz w:val="22"/>
        </w:rPr>
        <w:t xml:space="preserve">nefatálnej </w:t>
      </w:r>
      <w:r>
        <w:rPr>
          <w:sz w:val="22"/>
        </w:rPr>
        <w:t xml:space="preserve">DVT alebo </w:t>
      </w:r>
      <w:r w:rsidR="002E599E">
        <w:rPr>
          <w:sz w:val="22"/>
        </w:rPr>
        <w:t xml:space="preserve">nefatálnej </w:t>
      </w:r>
      <w:r>
        <w:rPr>
          <w:sz w:val="22"/>
        </w:rPr>
        <w:t>PE) alebo úmrtia sú</w:t>
      </w:r>
      <w:r w:rsidR="00E4410C">
        <w:rPr>
          <w:sz w:val="22"/>
        </w:rPr>
        <w:t>visiaceho s VTE (pozri tabuľku 10</w:t>
      </w:r>
      <w:r>
        <w:rPr>
          <w:sz w:val="22"/>
        </w:rPr>
        <w:t xml:space="preserve">). </w:t>
      </w:r>
    </w:p>
    <w:p w14:paraId="3E3ECFCC" w14:textId="77777777" w:rsidR="00B07789" w:rsidRPr="00A731E1" w:rsidRDefault="00D25089" w:rsidP="00833B71">
      <w:pPr>
        <w:spacing w:after="0" w:line="240" w:lineRule="auto"/>
        <w:ind w:left="0" w:firstLine="0"/>
        <w:rPr>
          <w:sz w:val="22"/>
        </w:rPr>
      </w:pPr>
      <w:r>
        <w:rPr>
          <w:sz w:val="22"/>
        </w:rPr>
        <w:t xml:space="preserve"> </w:t>
      </w:r>
    </w:p>
    <w:p w14:paraId="0AB69882" w14:textId="10C1B289" w:rsidR="00B07789" w:rsidRPr="00593ECA" w:rsidRDefault="00E4410C" w:rsidP="00833B71">
      <w:pPr>
        <w:keepNext/>
        <w:spacing w:after="0" w:line="240" w:lineRule="auto"/>
        <w:ind w:left="0" w:firstLine="0"/>
        <w:rPr>
          <w:b/>
          <w:sz w:val="22"/>
        </w:rPr>
      </w:pPr>
      <w:r>
        <w:rPr>
          <w:b/>
          <w:sz w:val="22"/>
        </w:rPr>
        <w:t>Tabuľka 10</w:t>
      </w:r>
      <w:r w:rsidR="00D25089">
        <w:rPr>
          <w:b/>
          <w:sz w:val="22"/>
        </w:rPr>
        <w:t xml:space="preserve">: Výsledky účinnosti v štúdii AMPLIFY </w:t>
      </w:r>
    </w:p>
    <w:tbl>
      <w:tblPr>
        <w:tblStyle w:val="TableGrid"/>
        <w:tblW w:w="9405" w:type="dxa"/>
        <w:tblInd w:w="-53" w:type="dxa"/>
        <w:tblCellMar>
          <w:top w:w="111" w:type="dxa"/>
          <w:left w:w="101" w:type="dxa"/>
          <w:right w:w="115" w:type="dxa"/>
        </w:tblCellMar>
        <w:tblLook w:val="04A0" w:firstRow="1" w:lastRow="0" w:firstColumn="1" w:lastColumn="0" w:noHBand="0" w:noVBand="1"/>
      </w:tblPr>
      <w:tblGrid>
        <w:gridCol w:w="2528"/>
        <w:gridCol w:w="2269"/>
        <w:gridCol w:w="2404"/>
        <w:gridCol w:w="2204"/>
      </w:tblGrid>
      <w:tr w:rsidR="00B07789" w:rsidRPr="00A731E1" w14:paraId="7FB88D24" w14:textId="77777777" w:rsidTr="002967BA">
        <w:trPr>
          <w:trHeight w:val="617"/>
        </w:trPr>
        <w:tc>
          <w:tcPr>
            <w:tcW w:w="2776" w:type="dxa"/>
            <w:tcBorders>
              <w:top w:val="single" w:sz="3" w:space="0" w:color="000000"/>
              <w:left w:val="single" w:sz="3" w:space="0" w:color="000000"/>
              <w:bottom w:val="single" w:sz="3" w:space="0" w:color="000000"/>
              <w:right w:val="single" w:sz="4" w:space="0" w:color="000000"/>
            </w:tcBorders>
          </w:tcPr>
          <w:p w14:paraId="1A056D13" w14:textId="77777777" w:rsidR="00B07789" w:rsidRPr="00A731E1" w:rsidRDefault="00D25089" w:rsidP="00833B71">
            <w:pPr>
              <w:keepNext/>
              <w:spacing w:after="0" w:line="240" w:lineRule="auto"/>
              <w:ind w:left="0" w:firstLine="0"/>
              <w:rPr>
                <w:sz w:val="22"/>
              </w:rPr>
            </w:pPr>
            <w:r>
              <w:rPr>
                <w:b/>
                <w:sz w:val="22"/>
              </w:rPr>
              <w:t xml:space="preserve"> </w:t>
            </w:r>
          </w:p>
        </w:tc>
        <w:tc>
          <w:tcPr>
            <w:tcW w:w="2444" w:type="dxa"/>
            <w:tcBorders>
              <w:top w:val="single" w:sz="3" w:space="0" w:color="000000"/>
              <w:left w:val="single" w:sz="4" w:space="0" w:color="000000"/>
              <w:bottom w:val="single" w:sz="3" w:space="0" w:color="000000"/>
              <w:right w:val="single" w:sz="3" w:space="0" w:color="000000"/>
            </w:tcBorders>
          </w:tcPr>
          <w:p w14:paraId="5D362E11" w14:textId="77777777" w:rsidR="00B07789" w:rsidRPr="00A731E1" w:rsidRDefault="00D25089" w:rsidP="002967BA">
            <w:pPr>
              <w:keepNext/>
              <w:spacing w:after="0" w:line="240" w:lineRule="auto"/>
              <w:ind w:left="0" w:firstLine="0"/>
              <w:jc w:val="center"/>
              <w:rPr>
                <w:sz w:val="22"/>
              </w:rPr>
            </w:pPr>
            <w:r>
              <w:rPr>
                <w:b/>
                <w:sz w:val="22"/>
              </w:rPr>
              <w:t>Apixabán</w:t>
            </w:r>
          </w:p>
          <w:p w14:paraId="02923CEA" w14:textId="77777777" w:rsidR="00B07789" w:rsidRPr="00A731E1" w:rsidRDefault="00D25089" w:rsidP="002967BA">
            <w:pPr>
              <w:keepNext/>
              <w:spacing w:after="0" w:line="240" w:lineRule="auto"/>
              <w:ind w:left="0" w:right="187" w:firstLine="0"/>
              <w:jc w:val="center"/>
              <w:rPr>
                <w:sz w:val="22"/>
              </w:rPr>
            </w:pPr>
            <w:r>
              <w:rPr>
                <w:b/>
                <w:sz w:val="22"/>
              </w:rPr>
              <w:t>N = 2 609 n (%)</w:t>
            </w:r>
          </w:p>
        </w:tc>
        <w:tc>
          <w:tcPr>
            <w:tcW w:w="2444" w:type="dxa"/>
            <w:tcBorders>
              <w:top w:val="single" w:sz="3" w:space="0" w:color="000000"/>
              <w:left w:val="single" w:sz="3" w:space="0" w:color="000000"/>
              <w:bottom w:val="single" w:sz="3" w:space="0" w:color="000000"/>
              <w:right w:val="single" w:sz="3" w:space="0" w:color="000000"/>
            </w:tcBorders>
          </w:tcPr>
          <w:p w14:paraId="3F377E5A" w14:textId="77777777" w:rsidR="00593ECA" w:rsidRDefault="00D25089" w:rsidP="002967BA">
            <w:pPr>
              <w:keepNext/>
              <w:spacing w:after="0" w:line="240" w:lineRule="auto"/>
              <w:ind w:left="0" w:firstLine="0"/>
              <w:jc w:val="center"/>
              <w:rPr>
                <w:b/>
                <w:sz w:val="22"/>
              </w:rPr>
            </w:pPr>
            <w:r>
              <w:rPr>
                <w:b/>
                <w:sz w:val="22"/>
              </w:rPr>
              <w:t>Enoxaparín/warfarín</w:t>
            </w:r>
          </w:p>
          <w:p w14:paraId="4EF71604" w14:textId="77777777" w:rsidR="00B07789" w:rsidRPr="00A731E1" w:rsidRDefault="00D25089" w:rsidP="002967BA">
            <w:pPr>
              <w:keepNext/>
              <w:spacing w:after="0" w:line="240" w:lineRule="auto"/>
              <w:ind w:left="0" w:firstLine="0"/>
              <w:jc w:val="center"/>
              <w:rPr>
                <w:sz w:val="22"/>
              </w:rPr>
            </w:pPr>
            <w:r>
              <w:rPr>
                <w:b/>
                <w:sz w:val="22"/>
              </w:rPr>
              <w:t>N = 2 635 n (%)</w:t>
            </w:r>
          </w:p>
        </w:tc>
        <w:tc>
          <w:tcPr>
            <w:tcW w:w="2444" w:type="dxa"/>
            <w:tcBorders>
              <w:top w:val="single" w:sz="3" w:space="0" w:color="000000"/>
              <w:left w:val="single" w:sz="3" w:space="0" w:color="000000"/>
              <w:bottom w:val="single" w:sz="3" w:space="0" w:color="000000"/>
              <w:right w:val="single" w:sz="3" w:space="0" w:color="000000"/>
            </w:tcBorders>
          </w:tcPr>
          <w:p w14:paraId="781487B1" w14:textId="77777777" w:rsidR="00B07789" w:rsidRPr="00A731E1" w:rsidRDefault="00D25089" w:rsidP="002967BA">
            <w:pPr>
              <w:keepNext/>
              <w:spacing w:after="0" w:line="240" w:lineRule="auto"/>
              <w:ind w:left="0" w:firstLine="0"/>
              <w:jc w:val="center"/>
              <w:rPr>
                <w:sz w:val="22"/>
              </w:rPr>
            </w:pPr>
            <w:r>
              <w:rPr>
                <w:b/>
                <w:sz w:val="22"/>
              </w:rPr>
              <w:t>Relatívne riziko</w:t>
            </w:r>
          </w:p>
          <w:p w14:paraId="46A69540" w14:textId="77777777" w:rsidR="00B07789" w:rsidRPr="00A731E1" w:rsidRDefault="00D25089" w:rsidP="002967BA">
            <w:pPr>
              <w:keepNext/>
              <w:spacing w:after="0" w:line="240" w:lineRule="auto"/>
              <w:ind w:left="0" w:firstLine="0"/>
              <w:jc w:val="center"/>
              <w:rPr>
                <w:sz w:val="22"/>
              </w:rPr>
            </w:pPr>
            <w:r>
              <w:rPr>
                <w:b/>
                <w:sz w:val="22"/>
              </w:rPr>
              <w:t>(95 % IS)</w:t>
            </w:r>
          </w:p>
        </w:tc>
      </w:tr>
      <w:tr w:rsidR="00B07789" w:rsidRPr="00A731E1" w14:paraId="1EC8D87A" w14:textId="77777777" w:rsidTr="002967BA">
        <w:trPr>
          <w:trHeight w:val="302"/>
        </w:trPr>
        <w:tc>
          <w:tcPr>
            <w:tcW w:w="2776" w:type="dxa"/>
            <w:tcBorders>
              <w:top w:val="single" w:sz="3" w:space="0" w:color="000000"/>
              <w:left w:val="single" w:sz="3" w:space="0" w:color="000000"/>
              <w:bottom w:val="single" w:sz="4" w:space="0" w:color="000000"/>
              <w:right w:val="single" w:sz="4" w:space="0" w:color="000000"/>
            </w:tcBorders>
          </w:tcPr>
          <w:p w14:paraId="660B9690" w14:textId="77777777" w:rsidR="00B07789" w:rsidRPr="00A731E1" w:rsidRDefault="00D25089" w:rsidP="00833B71">
            <w:pPr>
              <w:spacing w:after="0" w:line="240" w:lineRule="auto"/>
              <w:ind w:left="0" w:firstLine="0"/>
              <w:rPr>
                <w:sz w:val="22"/>
              </w:rPr>
            </w:pPr>
            <w:r>
              <w:rPr>
                <w:sz w:val="22"/>
              </w:rPr>
              <w:t xml:space="preserve">VTE alebo úmrtie súvisiace s VTE </w:t>
            </w:r>
          </w:p>
        </w:tc>
        <w:tc>
          <w:tcPr>
            <w:tcW w:w="2444" w:type="dxa"/>
            <w:tcBorders>
              <w:top w:val="single" w:sz="3" w:space="0" w:color="000000"/>
              <w:left w:val="single" w:sz="4" w:space="0" w:color="000000"/>
              <w:bottom w:val="single" w:sz="4" w:space="0" w:color="000000"/>
              <w:right w:val="single" w:sz="3" w:space="0" w:color="000000"/>
            </w:tcBorders>
          </w:tcPr>
          <w:p w14:paraId="659BEF26" w14:textId="77777777" w:rsidR="00B07789" w:rsidRPr="00A731E1" w:rsidRDefault="00D25089" w:rsidP="002967BA">
            <w:pPr>
              <w:spacing w:after="0" w:line="240" w:lineRule="auto"/>
              <w:ind w:left="0" w:firstLine="0"/>
              <w:jc w:val="center"/>
              <w:rPr>
                <w:sz w:val="22"/>
              </w:rPr>
            </w:pPr>
            <w:r>
              <w:rPr>
                <w:sz w:val="22"/>
              </w:rPr>
              <w:t>59 (2,3)</w:t>
            </w:r>
          </w:p>
        </w:tc>
        <w:tc>
          <w:tcPr>
            <w:tcW w:w="2444" w:type="dxa"/>
            <w:tcBorders>
              <w:top w:val="single" w:sz="3" w:space="0" w:color="000000"/>
              <w:left w:val="single" w:sz="3" w:space="0" w:color="000000"/>
              <w:bottom w:val="single" w:sz="4" w:space="0" w:color="000000"/>
              <w:right w:val="single" w:sz="3" w:space="0" w:color="000000"/>
            </w:tcBorders>
          </w:tcPr>
          <w:p w14:paraId="2A3260AB" w14:textId="77777777" w:rsidR="00B07789" w:rsidRPr="00A731E1" w:rsidRDefault="00D25089" w:rsidP="002967BA">
            <w:pPr>
              <w:spacing w:after="0" w:line="240" w:lineRule="auto"/>
              <w:ind w:left="0" w:firstLine="0"/>
              <w:jc w:val="center"/>
              <w:rPr>
                <w:sz w:val="22"/>
              </w:rPr>
            </w:pPr>
            <w:r>
              <w:rPr>
                <w:sz w:val="22"/>
              </w:rPr>
              <w:t>71 (2,7)</w:t>
            </w:r>
          </w:p>
        </w:tc>
        <w:tc>
          <w:tcPr>
            <w:tcW w:w="2444" w:type="dxa"/>
            <w:tcBorders>
              <w:top w:val="single" w:sz="3" w:space="0" w:color="000000"/>
              <w:left w:val="single" w:sz="3" w:space="0" w:color="000000"/>
              <w:bottom w:val="single" w:sz="4" w:space="0" w:color="000000"/>
              <w:right w:val="single" w:sz="3" w:space="0" w:color="000000"/>
            </w:tcBorders>
          </w:tcPr>
          <w:p w14:paraId="69B34E1F" w14:textId="77777777" w:rsidR="00B07789" w:rsidRPr="00A731E1" w:rsidRDefault="00D25089" w:rsidP="002967BA">
            <w:pPr>
              <w:spacing w:after="0" w:line="240" w:lineRule="auto"/>
              <w:ind w:left="0" w:firstLine="0"/>
              <w:jc w:val="center"/>
              <w:rPr>
                <w:sz w:val="22"/>
              </w:rPr>
            </w:pPr>
            <w:r>
              <w:rPr>
                <w:sz w:val="22"/>
              </w:rPr>
              <w:t>0,84 (0,60; 1,18)*</w:t>
            </w:r>
          </w:p>
        </w:tc>
      </w:tr>
      <w:tr w:rsidR="00B07789" w:rsidRPr="00A731E1" w14:paraId="056E18DE" w14:textId="77777777" w:rsidTr="002967BA">
        <w:trPr>
          <w:trHeight w:val="304"/>
        </w:trPr>
        <w:tc>
          <w:tcPr>
            <w:tcW w:w="2776" w:type="dxa"/>
            <w:tcBorders>
              <w:top w:val="single" w:sz="4" w:space="0" w:color="000000"/>
              <w:left w:val="single" w:sz="3" w:space="0" w:color="000000"/>
              <w:bottom w:val="single" w:sz="4" w:space="0" w:color="000000"/>
              <w:right w:val="single" w:sz="4" w:space="0" w:color="000000"/>
            </w:tcBorders>
          </w:tcPr>
          <w:p w14:paraId="1A25724D" w14:textId="77777777" w:rsidR="00B07789" w:rsidRPr="00A731E1" w:rsidRDefault="00D25089" w:rsidP="00833B71">
            <w:pPr>
              <w:tabs>
                <w:tab w:val="center" w:pos="551"/>
              </w:tabs>
              <w:spacing w:after="0" w:line="240" w:lineRule="auto"/>
              <w:ind w:left="371" w:firstLine="0"/>
              <w:rPr>
                <w:sz w:val="22"/>
              </w:rPr>
            </w:pPr>
            <w:r>
              <w:rPr>
                <w:sz w:val="22"/>
              </w:rPr>
              <w:t xml:space="preserve">DVT </w:t>
            </w:r>
          </w:p>
        </w:tc>
        <w:tc>
          <w:tcPr>
            <w:tcW w:w="2444" w:type="dxa"/>
            <w:tcBorders>
              <w:top w:val="single" w:sz="4" w:space="0" w:color="000000"/>
              <w:left w:val="single" w:sz="4" w:space="0" w:color="000000"/>
              <w:bottom w:val="single" w:sz="4" w:space="0" w:color="000000"/>
              <w:right w:val="single" w:sz="3" w:space="0" w:color="000000"/>
            </w:tcBorders>
          </w:tcPr>
          <w:p w14:paraId="299EAD5F" w14:textId="77777777" w:rsidR="00B07789" w:rsidRPr="00A731E1" w:rsidRDefault="00D25089" w:rsidP="002967BA">
            <w:pPr>
              <w:spacing w:after="0" w:line="240" w:lineRule="auto"/>
              <w:ind w:left="0" w:firstLine="0"/>
              <w:jc w:val="center"/>
              <w:rPr>
                <w:sz w:val="22"/>
              </w:rPr>
            </w:pPr>
            <w:r>
              <w:rPr>
                <w:sz w:val="22"/>
              </w:rPr>
              <w:t>20 (0,7)</w:t>
            </w:r>
          </w:p>
        </w:tc>
        <w:tc>
          <w:tcPr>
            <w:tcW w:w="2444" w:type="dxa"/>
            <w:tcBorders>
              <w:top w:val="single" w:sz="4" w:space="0" w:color="000000"/>
              <w:left w:val="single" w:sz="3" w:space="0" w:color="000000"/>
              <w:bottom w:val="single" w:sz="4" w:space="0" w:color="000000"/>
              <w:right w:val="single" w:sz="3" w:space="0" w:color="000000"/>
            </w:tcBorders>
          </w:tcPr>
          <w:p w14:paraId="476DCE3B" w14:textId="77777777" w:rsidR="00B07789" w:rsidRPr="00A731E1" w:rsidRDefault="00D25089" w:rsidP="002967BA">
            <w:pPr>
              <w:spacing w:after="0" w:line="240" w:lineRule="auto"/>
              <w:ind w:left="0" w:firstLine="0"/>
              <w:jc w:val="center"/>
              <w:rPr>
                <w:sz w:val="22"/>
              </w:rPr>
            </w:pPr>
            <w:r>
              <w:rPr>
                <w:sz w:val="22"/>
              </w:rPr>
              <w:t>33 (1,2)</w:t>
            </w:r>
          </w:p>
        </w:tc>
        <w:tc>
          <w:tcPr>
            <w:tcW w:w="2444" w:type="dxa"/>
            <w:tcBorders>
              <w:top w:val="single" w:sz="4" w:space="0" w:color="000000"/>
              <w:left w:val="single" w:sz="3" w:space="0" w:color="000000"/>
              <w:bottom w:val="single" w:sz="4" w:space="0" w:color="000000"/>
              <w:right w:val="single" w:sz="3" w:space="0" w:color="000000"/>
            </w:tcBorders>
          </w:tcPr>
          <w:p w14:paraId="5A8D9A87" w14:textId="77777777" w:rsidR="00B07789" w:rsidRPr="00A731E1" w:rsidRDefault="00B07789" w:rsidP="002967BA">
            <w:pPr>
              <w:spacing w:after="0" w:line="240" w:lineRule="auto"/>
              <w:ind w:left="0" w:firstLine="0"/>
              <w:jc w:val="center"/>
              <w:rPr>
                <w:sz w:val="22"/>
                <w:lang w:val="en-GB"/>
              </w:rPr>
            </w:pPr>
          </w:p>
        </w:tc>
      </w:tr>
      <w:tr w:rsidR="00B07789" w:rsidRPr="00A731E1" w14:paraId="0F076FAC" w14:textId="77777777" w:rsidTr="002967BA">
        <w:trPr>
          <w:trHeight w:val="239"/>
        </w:trPr>
        <w:tc>
          <w:tcPr>
            <w:tcW w:w="2776" w:type="dxa"/>
            <w:tcBorders>
              <w:top w:val="single" w:sz="4" w:space="0" w:color="000000"/>
              <w:left w:val="single" w:sz="3" w:space="0" w:color="000000"/>
              <w:bottom w:val="single" w:sz="4" w:space="0" w:color="000000"/>
              <w:right w:val="single" w:sz="4" w:space="0" w:color="000000"/>
            </w:tcBorders>
          </w:tcPr>
          <w:p w14:paraId="6BBCBEBC" w14:textId="77777777" w:rsidR="00B07789" w:rsidRPr="00A731E1" w:rsidRDefault="00D25089" w:rsidP="002967BA">
            <w:pPr>
              <w:tabs>
                <w:tab w:val="center" w:pos="459"/>
              </w:tabs>
              <w:spacing w:after="0" w:line="240" w:lineRule="auto"/>
              <w:ind w:left="371" w:firstLine="0"/>
              <w:rPr>
                <w:sz w:val="22"/>
              </w:rPr>
            </w:pPr>
            <w:r>
              <w:rPr>
                <w:sz w:val="22"/>
              </w:rPr>
              <w:t xml:space="preserve">PE </w:t>
            </w:r>
          </w:p>
        </w:tc>
        <w:tc>
          <w:tcPr>
            <w:tcW w:w="2444" w:type="dxa"/>
            <w:tcBorders>
              <w:top w:val="single" w:sz="4" w:space="0" w:color="000000"/>
              <w:left w:val="single" w:sz="4" w:space="0" w:color="000000"/>
              <w:bottom w:val="single" w:sz="4" w:space="0" w:color="000000"/>
              <w:right w:val="single" w:sz="3" w:space="0" w:color="000000"/>
            </w:tcBorders>
          </w:tcPr>
          <w:p w14:paraId="42EE1414" w14:textId="77777777" w:rsidR="00B07789" w:rsidRPr="00A731E1" w:rsidRDefault="00D25089" w:rsidP="002967BA">
            <w:pPr>
              <w:spacing w:after="0" w:line="240" w:lineRule="auto"/>
              <w:ind w:left="0" w:firstLine="0"/>
              <w:jc w:val="center"/>
              <w:rPr>
                <w:sz w:val="22"/>
              </w:rPr>
            </w:pPr>
            <w:r>
              <w:rPr>
                <w:sz w:val="22"/>
              </w:rPr>
              <w:t>27 (1,0)</w:t>
            </w:r>
          </w:p>
        </w:tc>
        <w:tc>
          <w:tcPr>
            <w:tcW w:w="2444" w:type="dxa"/>
            <w:tcBorders>
              <w:top w:val="single" w:sz="4" w:space="0" w:color="000000"/>
              <w:left w:val="single" w:sz="3" w:space="0" w:color="000000"/>
              <w:bottom w:val="single" w:sz="4" w:space="0" w:color="000000"/>
              <w:right w:val="single" w:sz="3" w:space="0" w:color="000000"/>
            </w:tcBorders>
          </w:tcPr>
          <w:p w14:paraId="42851EC1" w14:textId="77777777" w:rsidR="00B07789" w:rsidRPr="00A731E1" w:rsidRDefault="00D25089" w:rsidP="002967BA">
            <w:pPr>
              <w:spacing w:after="0" w:line="240" w:lineRule="auto"/>
              <w:ind w:left="0" w:firstLine="0"/>
              <w:jc w:val="center"/>
              <w:rPr>
                <w:sz w:val="22"/>
              </w:rPr>
            </w:pPr>
            <w:r>
              <w:rPr>
                <w:sz w:val="22"/>
              </w:rPr>
              <w:t>23 (0,9)</w:t>
            </w:r>
          </w:p>
        </w:tc>
        <w:tc>
          <w:tcPr>
            <w:tcW w:w="2444" w:type="dxa"/>
            <w:tcBorders>
              <w:top w:val="single" w:sz="4" w:space="0" w:color="000000"/>
              <w:left w:val="single" w:sz="3" w:space="0" w:color="000000"/>
              <w:bottom w:val="single" w:sz="4" w:space="0" w:color="000000"/>
              <w:right w:val="single" w:sz="3" w:space="0" w:color="000000"/>
            </w:tcBorders>
          </w:tcPr>
          <w:p w14:paraId="07F9A3A4" w14:textId="77777777" w:rsidR="00B07789" w:rsidRPr="00A731E1" w:rsidRDefault="00B07789" w:rsidP="002967BA">
            <w:pPr>
              <w:spacing w:after="0" w:line="240" w:lineRule="auto"/>
              <w:ind w:left="0" w:firstLine="0"/>
              <w:jc w:val="center"/>
              <w:rPr>
                <w:sz w:val="22"/>
                <w:lang w:val="en-GB"/>
              </w:rPr>
            </w:pPr>
          </w:p>
        </w:tc>
      </w:tr>
      <w:tr w:rsidR="00B07789" w:rsidRPr="00A731E1" w14:paraId="36AFC1EE" w14:textId="77777777" w:rsidTr="002967BA">
        <w:trPr>
          <w:trHeight w:val="322"/>
        </w:trPr>
        <w:tc>
          <w:tcPr>
            <w:tcW w:w="2776" w:type="dxa"/>
            <w:tcBorders>
              <w:top w:val="single" w:sz="4" w:space="0" w:color="000000"/>
              <w:left w:val="single" w:sz="3" w:space="0" w:color="000000"/>
              <w:bottom w:val="single" w:sz="4" w:space="0" w:color="000000"/>
              <w:right w:val="single" w:sz="4" w:space="0" w:color="000000"/>
            </w:tcBorders>
          </w:tcPr>
          <w:p w14:paraId="2B53C997" w14:textId="77777777" w:rsidR="00B07789" w:rsidRPr="00A731E1" w:rsidRDefault="00D25089" w:rsidP="00833B71">
            <w:pPr>
              <w:spacing w:after="0" w:line="240" w:lineRule="auto"/>
              <w:ind w:left="371" w:firstLine="0"/>
              <w:rPr>
                <w:sz w:val="22"/>
              </w:rPr>
            </w:pPr>
            <w:r>
              <w:rPr>
                <w:sz w:val="22"/>
              </w:rPr>
              <w:t xml:space="preserve">Úmrtie súvisiace s VTE </w:t>
            </w:r>
          </w:p>
        </w:tc>
        <w:tc>
          <w:tcPr>
            <w:tcW w:w="2444" w:type="dxa"/>
            <w:tcBorders>
              <w:top w:val="single" w:sz="4" w:space="0" w:color="000000"/>
              <w:left w:val="single" w:sz="4" w:space="0" w:color="000000"/>
              <w:bottom w:val="single" w:sz="4" w:space="0" w:color="000000"/>
              <w:right w:val="single" w:sz="3" w:space="0" w:color="000000"/>
            </w:tcBorders>
          </w:tcPr>
          <w:p w14:paraId="486970DC" w14:textId="77777777" w:rsidR="00B07789" w:rsidRPr="00A731E1" w:rsidRDefault="00D25089" w:rsidP="002967BA">
            <w:pPr>
              <w:spacing w:after="0" w:line="240" w:lineRule="auto"/>
              <w:ind w:left="0" w:firstLine="0"/>
              <w:jc w:val="center"/>
              <w:rPr>
                <w:sz w:val="22"/>
              </w:rPr>
            </w:pPr>
            <w:r>
              <w:rPr>
                <w:sz w:val="22"/>
              </w:rPr>
              <w:t>12 (0,4)</w:t>
            </w:r>
          </w:p>
        </w:tc>
        <w:tc>
          <w:tcPr>
            <w:tcW w:w="2444" w:type="dxa"/>
            <w:tcBorders>
              <w:top w:val="single" w:sz="4" w:space="0" w:color="000000"/>
              <w:left w:val="single" w:sz="3" w:space="0" w:color="000000"/>
              <w:bottom w:val="single" w:sz="4" w:space="0" w:color="000000"/>
              <w:right w:val="single" w:sz="3" w:space="0" w:color="000000"/>
            </w:tcBorders>
          </w:tcPr>
          <w:p w14:paraId="101B7AF2" w14:textId="77777777" w:rsidR="00B07789" w:rsidRPr="00A731E1" w:rsidRDefault="00D25089" w:rsidP="002967BA">
            <w:pPr>
              <w:spacing w:after="0" w:line="240" w:lineRule="auto"/>
              <w:ind w:left="0" w:firstLine="0"/>
              <w:jc w:val="center"/>
              <w:rPr>
                <w:sz w:val="22"/>
              </w:rPr>
            </w:pPr>
            <w:r>
              <w:rPr>
                <w:sz w:val="22"/>
              </w:rPr>
              <w:t>15 (0,6)</w:t>
            </w:r>
          </w:p>
        </w:tc>
        <w:tc>
          <w:tcPr>
            <w:tcW w:w="2444" w:type="dxa"/>
            <w:tcBorders>
              <w:top w:val="single" w:sz="4" w:space="0" w:color="000000"/>
              <w:left w:val="single" w:sz="3" w:space="0" w:color="000000"/>
              <w:bottom w:val="single" w:sz="4" w:space="0" w:color="000000"/>
              <w:right w:val="single" w:sz="3" w:space="0" w:color="000000"/>
            </w:tcBorders>
          </w:tcPr>
          <w:p w14:paraId="09485349" w14:textId="77777777" w:rsidR="00B07789" w:rsidRPr="00A731E1" w:rsidRDefault="00B07789" w:rsidP="002967BA">
            <w:pPr>
              <w:spacing w:after="0" w:line="240" w:lineRule="auto"/>
              <w:ind w:left="0" w:firstLine="0"/>
              <w:jc w:val="center"/>
              <w:rPr>
                <w:sz w:val="22"/>
                <w:lang w:val="en-GB"/>
              </w:rPr>
            </w:pPr>
          </w:p>
        </w:tc>
      </w:tr>
      <w:tr w:rsidR="00B07789" w:rsidRPr="00A731E1" w14:paraId="172A878D" w14:textId="77777777" w:rsidTr="002967BA">
        <w:trPr>
          <w:trHeight w:val="324"/>
        </w:trPr>
        <w:tc>
          <w:tcPr>
            <w:tcW w:w="2776" w:type="dxa"/>
            <w:tcBorders>
              <w:top w:val="single" w:sz="4" w:space="0" w:color="000000"/>
              <w:left w:val="single" w:sz="3" w:space="0" w:color="000000"/>
              <w:bottom w:val="single" w:sz="3" w:space="0" w:color="000000"/>
              <w:right w:val="single" w:sz="4" w:space="0" w:color="000000"/>
            </w:tcBorders>
          </w:tcPr>
          <w:p w14:paraId="0FAF99F6" w14:textId="77777777" w:rsidR="00B07789" w:rsidRPr="00A731E1" w:rsidRDefault="00D25089" w:rsidP="00833B71">
            <w:pPr>
              <w:spacing w:after="0" w:line="240" w:lineRule="auto"/>
              <w:ind w:left="0" w:firstLine="0"/>
              <w:rPr>
                <w:sz w:val="22"/>
              </w:rPr>
            </w:pPr>
            <w:r>
              <w:rPr>
                <w:sz w:val="22"/>
              </w:rPr>
              <w:t xml:space="preserve">VTE alebo úmrtie z akejkoľvek príčiny </w:t>
            </w:r>
          </w:p>
        </w:tc>
        <w:tc>
          <w:tcPr>
            <w:tcW w:w="2444" w:type="dxa"/>
            <w:tcBorders>
              <w:top w:val="single" w:sz="4" w:space="0" w:color="000000"/>
              <w:left w:val="single" w:sz="4" w:space="0" w:color="000000"/>
              <w:bottom w:val="single" w:sz="3" w:space="0" w:color="000000"/>
              <w:right w:val="single" w:sz="3" w:space="0" w:color="000000"/>
            </w:tcBorders>
          </w:tcPr>
          <w:p w14:paraId="5EB22551" w14:textId="77777777" w:rsidR="00B07789" w:rsidRPr="00A731E1" w:rsidRDefault="00D25089" w:rsidP="002967BA">
            <w:pPr>
              <w:spacing w:after="0" w:line="240" w:lineRule="auto"/>
              <w:ind w:left="0" w:firstLine="0"/>
              <w:jc w:val="center"/>
              <w:rPr>
                <w:sz w:val="22"/>
              </w:rPr>
            </w:pPr>
            <w:r>
              <w:rPr>
                <w:sz w:val="22"/>
              </w:rPr>
              <w:t>84 (3,2)</w:t>
            </w:r>
          </w:p>
        </w:tc>
        <w:tc>
          <w:tcPr>
            <w:tcW w:w="2444" w:type="dxa"/>
            <w:tcBorders>
              <w:top w:val="single" w:sz="4" w:space="0" w:color="000000"/>
              <w:left w:val="single" w:sz="3" w:space="0" w:color="000000"/>
              <w:bottom w:val="single" w:sz="3" w:space="0" w:color="000000"/>
              <w:right w:val="single" w:sz="3" w:space="0" w:color="000000"/>
            </w:tcBorders>
          </w:tcPr>
          <w:p w14:paraId="734E820B" w14:textId="77777777" w:rsidR="00B07789" w:rsidRPr="00A731E1" w:rsidRDefault="00D25089" w:rsidP="002967BA">
            <w:pPr>
              <w:spacing w:after="0" w:line="240" w:lineRule="auto"/>
              <w:ind w:left="0" w:firstLine="0"/>
              <w:jc w:val="center"/>
              <w:rPr>
                <w:sz w:val="22"/>
              </w:rPr>
            </w:pPr>
            <w:r>
              <w:rPr>
                <w:sz w:val="22"/>
              </w:rPr>
              <w:t>104 (4,0)</w:t>
            </w:r>
          </w:p>
        </w:tc>
        <w:tc>
          <w:tcPr>
            <w:tcW w:w="2444" w:type="dxa"/>
            <w:tcBorders>
              <w:top w:val="single" w:sz="4" w:space="0" w:color="000000"/>
              <w:left w:val="single" w:sz="3" w:space="0" w:color="000000"/>
              <w:bottom w:val="single" w:sz="3" w:space="0" w:color="000000"/>
              <w:right w:val="single" w:sz="3" w:space="0" w:color="000000"/>
            </w:tcBorders>
          </w:tcPr>
          <w:p w14:paraId="25DFD63C" w14:textId="77777777" w:rsidR="00B07789" w:rsidRPr="00A731E1" w:rsidRDefault="00D25089" w:rsidP="002967BA">
            <w:pPr>
              <w:spacing w:after="0" w:line="240" w:lineRule="auto"/>
              <w:ind w:left="0" w:firstLine="0"/>
              <w:jc w:val="center"/>
              <w:rPr>
                <w:sz w:val="22"/>
              </w:rPr>
            </w:pPr>
            <w:r>
              <w:rPr>
                <w:sz w:val="22"/>
              </w:rPr>
              <w:t>0,82 (0,61; 1,08)</w:t>
            </w:r>
          </w:p>
        </w:tc>
      </w:tr>
      <w:tr w:rsidR="00B07789" w:rsidRPr="00A731E1" w14:paraId="025D0E80" w14:textId="77777777" w:rsidTr="002967BA">
        <w:trPr>
          <w:trHeight w:val="291"/>
        </w:trPr>
        <w:tc>
          <w:tcPr>
            <w:tcW w:w="2776" w:type="dxa"/>
            <w:tcBorders>
              <w:top w:val="single" w:sz="3" w:space="0" w:color="000000"/>
              <w:left w:val="single" w:sz="3" w:space="0" w:color="000000"/>
              <w:bottom w:val="single" w:sz="4" w:space="0" w:color="000000"/>
              <w:right w:val="single" w:sz="4" w:space="0" w:color="000000"/>
            </w:tcBorders>
          </w:tcPr>
          <w:p w14:paraId="559EF833" w14:textId="29AB2CAD" w:rsidR="00B07789" w:rsidRPr="00A731E1" w:rsidRDefault="00D25089" w:rsidP="002B6999">
            <w:pPr>
              <w:spacing w:after="0" w:line="240" w:lineRule="auto"/>
              <w:ind w:left="0" w:firstLine="0"/>
              <w:rPr>
                <w:sz w:val="22"/>
              </w:rPr>
            </w:pPr>
            <w:r>
              <w:rPr>
                <w:sz w:val="22"/>
              </w:rPr>
              <w:t xml:space="preserve">VTE alebo </w:t>
            </w:r>
            <w:r w:rsidR="002B6999">
              <w:rPr>
                <w:sz w:val="22"/>
              </w:rPr>
              <w:t>úmrtie z KV príčin</w:t>
            </w:r>
            <w:r>
              <w:rPr>
                <w:sz w:val="22"/>
              </w:rPr>
              <w:t xml:space="preserve"> </w:t>
            </w:r>
          </w:p>
        </w:tc>
        <w:tc>
          <w:tcPr>
            <w:tcW w:w="2444" w:type="dxa"/>
            <w:tcBorders>
              <w:top w:val="single" w:sz="3" w:space="0" w:color="000000"/>
              <w:left w:val="single" w:sz="4" w:space="0" w:color="000000"/>
              <w:bottom w:val="single" w:sz="4" w:space="0" w:color="000000"/>
              <w:right w:val="single" w:sz="3" w:space="0" w:color="000000"/>
            </w:tcBorders>
          </w:tcPr>
          <w:p w14:paraId="4EA49D69" w14:textId="77777777" w:rsidR="00B07789" w:rsidRPr="00A731E1" w:rsidRDefault="00D25089" w:rsidP="002967BA">
            <w:pPr>
              <w:spacing w:after="0" w:line="240" w:lineRule="auto"/>
              <w:ind w:left="0" w:firstLine="0"/>
              <w:jc w:val="center"/>
              <w:rPr>
                <w:sz w:val="22"/>
              </w:rPr>
            </w:pPr>
            <w:r>
              <w:rPr>
                <w:sz w:val="22"/>
              </w:rPr>
              <w:t>61 (2,3)</w:t>
            </w:r>
          </w:p>
        </w:tc>
        <w:tc>
          <w:tcPr>
            <w:tcW w:w="2444" w:type="dxa"/>
            <w:tcBorders>
              <w:top w:val="single" w:sz="3" w:space="0" w:color="000000"/>
              <w:left w:val="single" w:sz="3" w:space="0" w:color="000000"/>
              <w:bottom w:val="single" w:sz="4" w:space="0" w:color="000000"/>
              <w:right w:val="single" w:sz="3" w:space="0" w:color="000000"/>
            </w:tcBorders>
          </w:tcPr>
          <w:p w14:paraId="1C3799AB" w14:textId="77777777" w:rsidR="00B07789" w:rsidRPr="00A731E1" w:rsidRDefault="00D25089" w:rsidP="002967BA">
            <w:pPr>
              <w:spacing w:after="0" w:line="240" w:lineRule="auto"/>
              <w:ind w:left="0" w:firstLine="0"/>
              <w:jc w:val="center"/>
              <w:rPr>
                <w:sz w:val="22"/>
              </w:rPr>
            </w:pPr>
            <w:r>
              <w:rPr>
                <w:sz w:val="22"/>
              </w:rPr>
              <w:t>77 (2,9)</w:t>
            </w:r>
          </w:p>
        </w:tc>
        <w:tc>
          <w:tcPr>
            <w:tcW w:w="2444" w:type="dxa"/>
            <w:tcBorders>
              <w:top w:val="single" w:sz="3" w:space="0" w:color="000000"/>
              <w:left w:val="single" w:sz="3" w:space="0" w:color="000000"/>
              <w:bottom w:val="single" w:sz="4" w:space="0" w:color="000000"/>
              <w:right w:val="single" w:sz="3" w:space="0" w:color="000000"/>
            </w:tcBorders>
          </w:tcPr>
          <w:p w14:paraId="1C0EE467" w14:textId="77777777" w:rsidR="00B07789" w:rsidRPr="00A731E1" w:rsidRDefault="00D25089" w:rsidP="002967BA">
            <w:pPr>
              <w:spacing w:after="0" w:line="240" w:lineRule="auto"/>
              <w:ind w:left="0" w:firstLine="0"/>
              <w:jc w:val="center"/>
              <w:rPr>
                <w:sz w:val="22"/>
              </w:rPr>
            </w:pPr>
            <w:r>
              <w:rPr>
                <w:sz w:val="22"/>
              </w:rPr>
              <w:t>0,80 (0,57; 1,11)</w:t>
            </w:r>
          </w:p>
        </w:tc>
      </w:tr>
      <w:tr w:rsidR="00B07789" w:rsidRPr="00A731E1" w14:paraId="1BA802F9" w14:textId="77777777" w:rsidTr="002967BA">
        <w:trPr>
          <w:trHeight w:val="463"/>
        </w:trPr>
        <w:tc>
          <w:tcPr>
            <w:tcW w:w="2776" w:type="dxa"/>
            <w:tcBorders>
              <w:top w:val="single" w:sz="4" w:space="0" w:color="000000"/>
              <w:left w:val="single" w:sz="3" w:space="0" w:color="000000"/>
              <w:bottom w:val="single" w:sz="3" w:space="0" w:color="000000"/>
              <w:right w:val="single" w:sz="4" w:space="0" w:color="000000"/>
            </w:tcBorders>
          </w:tcPr>
          <w:p w14:paraId="4701F820" w14:textId="77777777" w:rsidR="00B07789" w:rsidRPr="00A731E1" w:rsidRDefault="00D25089" w:rsidP="00833B71">
            <w:pPr>
              <w:spacing w:after="0" w:line="240" w:lineRule="auto"/>
              <w:ind w:left="0" w:firstLine="0"/>
              <w:rPr>
                <w:sz w:val="22"/>
              </w:rPr>
            </w:pPr>
            <w:r>
              <w:rPr>
                <w:sz w:val="22"/>
              </w:rPr>
              <w:t xml:space="preserve">VTE, úmrtie súvisiace s VTE alebo závažné krvácanie </w:t>
            </w:r>
          </w:p>
        </w:tc>
        <w:tc>
          <w:tcPr>
            <w:tcW w:w="2444" w:type="dxa"/>
            <w:tcBorders>
              <w:top w:val="single" w:sz="4" w:space="0" w:color="000000"/>
              <w:left w:val="single" w:sz="4" w:space="0" w:color="000000"/>
              <w:bottom w:val="single" w:sz="3" w:space="0" w:color="000000"/>
              <w:right w:val="single" w:sz="3" w:space="0" w:color="000000"/>
            </w:tcBorders>
          </w:tcPr>
          <w:p w14:paraId="3198C33D" w14:textId="77777777" w:rsidR="00B07789" w:rsidRPr="00A731E1" w:rsidRDefault="00D25089" w:rsidP="002967BA">
            <w:pPr>
              <w:spacing w:after="0" w:line="240" w:lineRule="auto"/>
              <w:ind w:left="0" w:firstLine="0"/>
              <w:jc w:val="center"/>
              <w:rPr>
                <w:sz w:val="22"/>
              </w:rPr>
            </w:pPr>
            <w:r>
              <w:rPr>
                <w:sz w:val="22"/>
              </w:rPr>
              <w:t>73 (2,8)</w:t>
            </w:r>
          </w:p>
        </w:tc>
        <w:tc>
          <w:tcPr>
            <w:tcW w:w="2444" w:type="dxa"/>
            <w:tcBorders>
              <w:top w:val="single" w:sz="4" w:space="0" w:color="000000"/>
              <w:left w:val="single" w:sz="3" w:space="0" w:color="000000"/>
              <w:bottom w:val="single" w:sz="3" w:space="0" w:color="000000"/>
              <w:right w:val="single" w:sz="3" w:space="0" w:color="000000"/>
            </w:tcBorders>
          </w:tcPr>
          <w:p w14:paraId="4C86BCF2" w14:textId="77777777" w:rsidR="00B07789" w:rsidRPr="00A731E1" w:rsidRDefault="00D25089" w:rsidP="002967BA">
            <w:pPr>
              <w:spacing w:after="0" w:line="240" w:lineRule="auto"/>
              <w:ind w:left="0" w:firstLine="0"/>
              <w:jc w:val="center"/>
              <w:rPr>
                <w:sz w:val="22"/>
              </w:rPr>
            </w:pPr>
            <w:r>
              <w:rPr>
                <w:sz w:val="22"/>
              </w:rPr>
              <w:t>118 (4,5)</w:t>
            </w:r>
          </w:p>
        </w:tc>
        <w:tc>
          <w:tcPr>
            <w:tcW w:w="2444" w:type="dxa"/>
            <w:tcBorders>
              <w:top w:val="single" w:sz="4" w:space="0" w:color="000000"/>
              <w:left w:val="single" w:sz="3" w:space="0" w:color="000000"/>
              <w:bottom w:val="single" w:sz="3" w:space="0" w:color="000000"/>
              <w:right w:val="single" w:sz="3" w:space="0" w:color="000000"/>
            </w:tcBorders>
          </w:tcPr>
          <w:p w14:paraId="680B7C2F" w14:textId="77777777" w:rsidR="00B07789" w:rsidRPr="00A731E1" w:rsidRDefault="00D25089" w:rsidP="002967BA">
            <w:pPr>
              <w:spacing w:after="0" w:line="240" w:lineRule="auto"/>
              <w:ind w:left="0" w:firstLine="0"/>
              <w:jc w:val="center"/>
              <w:rPr>
                <w:sz w:val="22"/>
              </w:rPr>
            </w:pPr>
            <w:r>
              <w:rPr>
                <w:sz w:val="22"/>
              </w:rPr>
              <w:t>0,62 (0,47; 0,83)</w:t>
            </w:r>
          </w:p>
        </w:tc>
      </w:tr>
    </w:tbl>
    <w:p w14:paraId="1786D384" w14:textId="26DDAC0F" w:rsidR="00B07789" w:rsidRPr="00A731E1" w:rsidRDefault="00D25089" w:rsidP="00833B71">
      <w:pPr>
        <w:spacing w:after="0" w:line="240" w:lineRule="auto"/>
        <w:ind w:left="0" w:firstLine="0"/>
        <w:rPr>
          <w:sz w:val="22"/>
        </w:rPr>
      </w:pPr>
      <w:r>
        <w:rPr>
          <w:sz w:val="22"/>
        </w:rPr>
        <w:t>*Neinferiórne v porovnaní s enoxaparínom/warfarínom (</w:t>
      </w:r>
      <w:r w:rsidR="002B6999">
        <w:rPr>
          <w:sz w:val="22"/>
        </w:rPr>
        <w:t>p-</w:t>
      </w:r>
      <w:r>
        <w:rPr>
          <w:sz w:val="22"/>
        </w:rPr>
        <w:t xml:space="preserve">hodnota &lt; 0,0001) </w:t>
      </w:r>
    </w:p>
    <w:p w14:paraId="2A6D2640" w14:textId="77777777" w:rsidR="00B07789" w:rsidRPr="00A731E1" w:rsidRDefault="00D25089" w:rsidP="00833B71">
      <w:pPr>
        <w:spacing w:after="0" w:line="240" w:lineRule="auto"/>
        <w:ind w:left="0" w:firstLine="0"/>
        <w:rPr>
          <w:sz w:val="22"/>
        </w:rPr>
      </w:pPr>
      <w:r>
        <w:rPr>
          <w:sz w:val="22"/>
        </w:rPr>
        <w:t xml:space="preserve"> </w:t>
      </w:r>
    </w:p>
    <w:p w14:paraId="3861410A" w14:textId="2CED6E15" w:rsidR="00B07789" w:rsidRPr="00A731E1" w:rsidRDefault="00D25089" w:rsidP="00833B71">
      <w:pPr>
        <w:spacing w:after="0" w:line="240" w:lineRule="auto"/>
        <w:ind w:left="0" w:firstLine="0"/>
        <w:rPr>
          <w:sz w:val="22"/>
        </w:rPr>
      </w:pPr>
      <w:r>
        <w:rPr>
          <w:sz w:val="22"/>
        </w:rPr>
        <w:t xml:space="preserve">Účinnosť apixabánu bola v úvodnej liečbe VTE </w:t>
      </w:r>
      <w:r w:rsidR="002B6999">
        <w:rPr>
          <w:sz w:val="22"/>
        </w:rPr>
        <w:t xml:space="preserve">zhodná </w:t>
      </w:r>
      <w:r>
        <w:rPr>
          <w:sz w:val="22"/>
        </w:rPr>
        <w:t xml:space="preserve">medzi pacientmi, ktorí sa liečili na PE [relatívne riziko 0,9; 95 % IS (0,5; 1,6)] alebo DVT [relatívne riziko 0,8; 95 % IS (0,5; 1,3)] Účinnosť v podskupinách zahŕňajúcich vek, pohlavie, index telesnej hmotnosti (BMI), funkciu obličiek, rozsah indexu PE, polohu DVT trombu a predchádzajúce používanie parenterálneho heparínu bola vo všeobecnosti </w:t>
      </w:r>
      <w:r w:rsidR="002B6999">
        <w:rPr>
          <w:sz w:val="22"/>
        </w:rPr>
        <w:t>zhodná</w:t>
      </w:r>
      <w:r>
        <w:rPr>
          <w:sz w:val="22"/>
        </w:rPr>
        <w:t xml:space="preserve">. </w:t>
      </w:r>
    </w:p>
    <w:p w14:paraId="0608E3AB" w14:textId="77777777" w:rsidR="00B07789" w:rsidRPr="00A731E1" w:rsidRDefault="00D25089" w:rsidP="00833B71">
      <w:pPr>
        <w:spacing w:after="0" w:line="240" w:lineRule="auto"/>
        <w:ind w:left="0" w:firstLine="0"/>
        <w:rPr>
          <w:sz w:val="22"/>
        </w:rPr>
      </w:pPr>
      <w:r>
        <w:rPr>
          <w:sz w:val="22"/>
        </w:rPr>
        <w:t xml:space="preserve"> </w:t>
      </w:r>
    </w:p>
    <w:p w14:paraId="1E12D218" w14:textId="5D749C05" w:rsidR="00B07789" w:rsidRPr="00A731E1" w:rsidRDefault="00D25089" w:rsidP="00833B71">
      <w:pPr>
        <w:spacing w:after="0" w:line="240" w:lineRule="auto"/>
        <w:ind w:left="0" w:firstLine="0"/>
        <w:rPr>
          <w:sz w:val="22"/>
        </w:rPr>
      </w:pPr>
      <w:r>
        <w:rPr>
          <w:sz w:val="22"/>
        </w:rPr>
        <w:t>Primárnym cieľovým ukazovateľom bezpečnosti bolo závažné krvácanie. V štúdii bol apixabán štatisticky superiórny voči enoxaparínu/warfarínu v primárnom cieľovom ukazovateli bezpečnosti [relatívne riziko 0,31; 95 % interval spoľahlivosti (0,17; 0,55), hodn</w:t>
      </w:r>
      <w:r w:rsidR="00E4410C">
        <w:rPr>
          <w:sz w:val="22"/>
        </w:rPr>
        <w:t>ota p &lt; 0,0001] (pozri tabuľku 11</w:t>
      </w:r>
      <w:r>
        <w:rPr>
          <w:sz w:val="22"/>
        </w:rPr>
        <w:t xml:space="preserve">). </w:t>
      </w:r>
    </w:p>
    <w:p w14:paraId="53129452" w14:textId="77777777" w:rsidR="00B07789" w:rsidRPr="00A731E1" w:rsidRDefault="00D25089" w:rsidP="00833B71">
      <w:pPr>
        <w:spacing w:after="0" w:line="240" w:lineRule="auto"/>
        <w:ind w:left="0" w:firstLine="0"/>
        <w:rPr>
          <w:sz w:val="22"/>
        </w:rPr>
      </w:pPr>
      <w:r>
        <w:rPr>
          <w:sz w:val="22"/>
        </w:rPr>
        <w:t xml:space="preserve"> </w:t>
      </w:r>
    </w:p>
    <w:p w14:paraId="0AD0F113" w14:textId="520AF2BC" w:rsidR="00B07789" w:rsidRPr="00593ECA" w:rsidRDefault="00E4410C" w:rsidP="00833B71">
      <w:pPr>
        <w:keepNext/>
        <w:spacing w:after="0" w:line="240" w:lineRule="auto"/>
        <w:ind w:left="0" w:firstLine="0"/>
        <w:rPr>
          <w:b/>
          <w:sz w:val="22"/>
        </w:rPr>
      </w:pPr>
      <w:r>
        <w:rPr>
          <w:b/>
          <w:sz w:val="22"/>
        </w:rPr>
        <w:t>Tabuľka 11</w:t>
      </w:r>
      <w:r w:rsidR="00D25089">
        <w:rPr>
          <w:b/>
          <w:sz w:val="22"/>
        </w:rPr>
        <w:t xml:space="preserve">: Výsledky krvácania v štúdii AMPLIFY </w:t>
      </w:r>
    </w:p>
    <w:tbl>
      <w:tblPr>
        <w:tblStyle w:val="TableGrid"/>
        <w:tblW w:w="9405" w:type="dxa"/>
        <w:tblInd w:w="-53" w:type="dxa"/>
        <w:tblCellMar>
          <w:top w:w="111" w:type="dxa"/>
          <w:left w:w="101" w:type="dxa"/>
          <w:right w:w="115" w:type="dxa"/>
        </w:tblCellMar>
        <w:tblLook w:val="04A0" w:firstRow="1" w:lastRow="0" w:firstColumn="1" w:lastColumn="0" w:noHBand="0" w:noVBand="1"/>
      </w:tblPr>
      <w:tblGrid>
        <w:gridCol w:w="2598"/>
        <w:gridCol w:w="2262"/>
        <w:gridCol w:w="2283"/>
        <w:gridCol w:w="2262"/>
      </w:tblGrid>
      <w:tr w:rsidR="00B07789" w:rsidRPr="00A731E1" w14:paraId="028E6335" w14:textId="77777777" w:rsidTr="00AF46E0">
        <w:trPr>
          <w:trHeight w:val="614"/>
        </w:trPr>
        <w:tc>
          <w:tcPr>
            <w:tcW w:w="2528" w:type="dxa"/>
            <w:tcBorders>
              <w:top w:val="single" w:sz="4" w:space="0" w:color="000000"/>
              <w:left w:val="single" w:sz="3" w:space="0" w:color="000000"/>
              <w:bottom w:val="single" w:sz="4" w:space="0" w:color="000000"/>
              <w:right w:val="single" w:sz="3" w:space="0" w:color="000000"/>
            </w:tcBorders>
          </w:tcPr>
          <w:p w14:paraId="0CBD0CDE" w14:textId="77777777" w:rsidR="00B07789" w:rsidRPr="00A731E1" w:rsidRDefault="00D25089" w:rsidP="00833B71">
            <w:pPr>
              <w:keepNext/>
              <w:spacing w:after="0" w:line="240" w:lineRule="auto"/>
              <w:ind w:left="0" w:firstLine="0"/>
              <w:rPr>
                <w:sz w:val="22"/>
              </w:rPr>
            </w:pPr>
            <w:r>
              <w:rPr>
                <w:b/>
                <w:sz w:val="22"/>
              </w:rPr>
              <w:t xml:space="preserve"> </w:t>
            </w:r>
          </w:p>
        </w:tc>
        <w:tc>
          <w:tcPr>
            <w:tcW w:w="2200" w:type="dxa"/>
            <w:tcBorders>
              <w:top w:val="single" w:sz="4" w:space="0" w:color="000000"/>
              <w:left w:val="single" w:sz="3" w:space="0" w:color="000000"/>
              <w:bottom w:val="single" w:sz="4" w:space="0" w:color="000000"/>
              <w:right w:val="single" w:sz="3" w:space="0" w:color="000000"/>
            </w:tcBorders>
          </w:tcPr>
          <w:p w14:paraId="4BA36582" w14:textId="77777777" w:rsidR="00580B14" w:rsidRDefault="00580B14" w:rsidP="00833B71">
            <w:pPr>
              <w:keepNext/>
              <w:spacing w:after="0" w:line="240" w:lineRule="auto"/>
              <w:ind w:left="0" w:right="441" w:firstLine="0"/>
              <w:jc w:val="center"/>
              <w:rPr>
                <w:b/>
                <w:sz w:val="22"/>
              </w:rPr>
            </w:pPr>
            <w:r>
              <w:rPr>
                <w:b/>
                <w:sz w:val="22"/>
              </w:rPr>
              <w:t xml:space="preserve">Apixabán </w:t>
            </w:r>
          </w:p>
          <w:p w14:paraId="567A034B" w14:textId="77777777" w:rsidR="00B07789" w:rsidRPr="00A731E1" w:rsidRDefault="00D25089" w:rsidP="00833B71">
            <w:pPr>
              <w:keepNext/>
              <w:spacing w:after="0" w:line="240" w:lineRule="auto"/>
              <w:ind w:left="0" w:right="441" w:firstLine="0"/>
              <w:jc w:val="center"/>
              <w:rPr>
                <w:sz w:val="22"/>
              </w:rPr>
            </w:pPr>
            <w:r>
              <w:rPr>
                <w:b/>
                <w:sz w:val="22"/>
              </w:rPr>
              <w:t xml:space="preserve">N = 2 676 n (%) </w:t>
            </w:r>
          </w:p>
        </w:tc>
        <w:tc>
          <w:tcPr>
            <w:tcW w:w="2200" w:type="dxa"/>
            <w:tcBorders>
              <w:top w:val="single" w:sz="4" w:space="0" w:color="000000"/>
              <w:left w:val="single" w:sz="3" w:space="0" w:color="000000"/>
              <w:bottom w:val="single" w:sz="4" w:space="0" w:color="000000"/>
              <w:right w:val="single" w:sz="3" w:space="0" w:color="000000"/>
            </w:tcBorders>
          </w:tcPr>
          <w:p w14:paraId="21DD30A3" w14:textId="77777777" w:rsidR="00B07789" w:rsidRPr="00A731E1" w:rsidRDefault="00D25089" w:rsidP="00833B71">
            <w:pPr>
              <w:keepNext/>
              <w:spacing w:after="0" w:line="240" w:lineRule="auto"/>
              <w:ind w:left="0" w:firstLine="0"/>
              <w:jc w:val="center"/>
              <w:rPr>
                <w:sz w:val="22"/>
              </w:rPr>
            </w:pPr>
            <w:r>
              <w:rPr>
                <w:b/>
                <w:sz w:val="22"/>
              </w:rPr>
              <w:t xml:space="preserve">Enoxaparín/warfarín </w:t>
            </w:r>
          </w:p>
          <w:p w14:paraId="3D9F8F44" w14:textId="77777777" w:rsidR="00B07789" w:rsidRPr="00A731E1" w:rsidRDefault="00D25089" w:rsidP="00833B71">
            <w:pPr>
              <w:keepNext/>
              <w:spacing w:after="0" w:line="240" w:lineRule="auto"/>
              <w:ind w:left="0" w:right="48" w:firstLine="0"/>
              <w:jc w:val="center"/>
              <w:rPr>
                <w:sz w:val="22"/>
              </w:rPr>
            </w:pPr>
            <w:r>
              <w:rPr>
                <w:b/>
                <w:sz w:val="22"/>
              </w:rPr>
              <w:t xml:space="preserve">N = 2 689 n (%) </w:t>
            </w:r>
          </w:p>
        </w:tc>
        <w:tc>
          <w:tcPr>
            <w:tcW w:w="2200" w:type="dxa"/>
            <w:tcBorders>
              <w:top w:val="single" w:sz="4" w:space="0" w:color="000000"/>
              <w:left w:val="single" w:sz="3" w:space="0" w:color="000000"/>
              <w:bottom w:val="single" w:sz="4" w:space="0" w:color="000000"/>
              <w:right w:val="single" w:sz="4" w:space="0" w:color="000000"/>
            </w:tcBorders>
          </w:tcPr>
          <w:p w14:paraId="2D480A6E" w14:textId="77777777" w:rsidR="00B07789" w:rsidRPr="00A731E1" w:rsidRDefault="00D25089" w:rsidP="00833B71">
            <w:pPr>
              <w:keepNext/>
              <w:spacing w:after="0" w:line="240" w:lineRule="auto"/>
              <w:ind w:left="0" w:firstLine="0"/>
              <w:jc w:val="center"/>
              <w:rPr>
                <w:sz w:val="22"/>
              </w:rPr>
            </w:pPr>
            <w:r>
              <w:rPr>
                <w:b/>
                <w:sz w:val="22"/>
              </w:rPr>
              <w:t xml:space="preserve">Relatívne riziko </w:t>
            </w:r>
          </w:p>
          <w:p w14:paraId="3FC4F8ED" w14:textId="77777777" w:rsidR="00B07789" w:rsidRPr="00A731E1" w:rsidRDefault="00D25089" w:rsidP="00833B71">
            <w:pPr>
              <w:keepNext/>
              <w:spacing w:after="0" w:line="240" w:lineRule="auto"/>
              <w:ind w:left="0" w:firstLine="0"/>
              <w:jc w:val="center"/>
              <w:rPr>
                <w:sz w:val="22"/>
              </w:rPr>
            </w:pPr>
            <w:r>
              <w:rPr>
                <w:b/>
                <w:sz w:val="22"/>
              </w:rPr>
              <w:t xml:space="preserve">(95 % IS) </w:t>
            </w:r>
          </w:p>
        </w:tc>
      </w:tr>
      <w:tr w:rsidR="00B07789" w:rsidRPr="00A731E1" w14:paraId="7D8F2117" w14:textId="77777777" w:rsidTr="00AF46E0">
        <w:trPr>
          <w:trHeight w:val="304"/>
        </w:trPr>
        <w:tc>
          <w:tcPr>
            <w:tcW w:w="2528" w:type="dxa"/>
            <w:tcBorders>
              <w:top w:val="single" w:sz="4" w:space="0" w:color="000000"/>
              <w:left w:val="single" w:sz="3" w:space="0" w:color="000000"/>
              <w:bottom w:val="single" w:sz="4" w:space="0" w:color="000000"/>
              <w:right w:val="single" w:sz="3" w:space="0" w:color="000000"/>
            </w:tcBorders>
          </w:tcPr>
          <w:p w14:paraId="2B80AA31" w14:textId="77777777" w:rsidR="00B07789" w:rsidRPr="00A731E1" w:rsidRDefault="00D25089" w:rsidP="00833B71">
            <w:pPr>
              <w:spacing w:after="0" w:line="240" w:lineRule="auto"/>
              <w:ind w:left="0" w:firstLine="0"/>
              <w:rPr>
                <w:sz w:val="22"/>
              </w:rPr>
            </w:pPr>
            <w:r>
              <w:rPr>
                <w:sz w:val="22"/>
              </w:rPr>
              <w:t xml:space="preserve">Závažné </w:t>
            </w:r>
          </w:p>
        </w:tc>
        <w:tc>
          <w:tcPr>
            <w:tcW w:w="2200" w:type="dxa"/>
            <w:tcBorders>
              <w:top w:val="single" w:sz="4" w:space="0" w:color="000000"/>
              <w:left w:val="single" w:sz="3" w:space="0" w:color="000000"/>
              <w:bottom w:val="single" w:sz="4" w:space="0" w:color="000000"/>
              <w:right w:val="single" w:sz="3" w:space="0" w:color="000000"/>
            </w:tcBorders>
          </w:tcPr>
          <w:p w14:paraId="020DEDA7" w14:textId="77777777" w:rsidR="00B07789" w:rsidRPr="00A731E1" w:rsidRDefault="00D25089" w:rsidP="00833B71">
            <w:pPr>
              <w:spacing w:after="0" w:line="240" w:lineRule="auto"/>
              <w:ind w:left="0" w:firstLine="0"/>
              <w:jc w:val="center"/>
              <w:rPr>
                <w:sz w:val="22"/>
              </w:rPr>
            </w:pPr>
            <w:r>
              <w:rPr>
                <w:sz w:val="22"/>
              </w:rPr>
              <w:t xml:space="preserve">15 (0,6) </w:t>
            </w:r>
          </w:p>
        </w:tc>
        <w:tc>
          <w:tcPr>
            <w:tcW w:w="2200" w:type="dxa"/>
            <w:tcBorders>
              <w:top w:val="single" w:sz="4" w:space="0" w:color="000000"/>
              <w:left w:val="single" w:sz="3" w:space="0" w:color="000000"/>
              <w:bottom w:val="single" w:sz="4" w:space="0" w:color="000000"/>
              <w:right w:val="single" w:sz="3" w:space="0" w:color="000000"/>
            </w:tcBorders>
          </w:tcPr>
          <w:p w14:paraId="6B62CD99" w14:textId="77777777" w:rsidR="00B07789" w:rsidRPr="00A731E1" w:rsidRDefault="00D25089" w:rsidP="00833B71">
            <w:pPr>
              <w:spacing w:after="0" w:line="240" w:lineRule="auto"/>
              <w:ind w:left="0" w:firstLine="0"/>
              <w:jc w:val="center"/>
              <w:rPr>
                <w:sz w:val="22"/>
              </w:rPr>
            </w:pPr>
            <w:r>
              <w:rPr>
                <w:sz w:val="22"/>
              </w:rPr>
              <w:t xml:space="preserve">49 (1,8) </w:t>
            </w:r>
          </w:p>
        </w:tc>
        <w:tc>
          <w:tcPr>
            <w:tcW w:w="2200" w:type="dxa"/>
            <w:tcBorders>
              <w:top w:val="single" w:sz="4" w:space="0" w:color="000000"/>
              <w:left w:val="single" w:sz="3" w:space="0" w:color="000000"/>
              <w:bottom w:val="single" w:sz="4" w:space="0" w:color="000000"/>
              <w:right w:val="single" w:sz="4" w:space="0" w:color="000000"/>
            </w:tcBorders>
          </w:tcPr>
          <w:p w14:paraId="48764DAF" w14:textId="77777777" w:rsidR="00B07789" w:rsidRPr="00A731E1" w:rsidRDefault="00D25089" w:rsidP="00833B71">
            <w:pPr>
              <w:spacing w:after="0" w:line="240" w:lineRule="auto"/>
              <w:ind w:left="0" w:firstLine="0"/>
              <w:jc w:val="center"/>
              <w:rPr>
                <w:sz w:val="22"/>
              </w:rPr>
            </w:pPr>
            <w:r>
              <w:rPr>
                <w:sz w:val="22"/>
              </w:rPr>
              <w:t xml:space="preserve">0,31 (0,17; 0,55) </w:t>
            </w:r>
          </w:p>
        </w:tc>
      </w:tr>
      <w:tr w:rsidR="00B07789" w:rsidRPr="00A731E1" w14:paraId="0513779D" w14:textId="77777777" w:rsidTr="00AF46E0">
        <w:trPr>
          <w:trHeight w:val="296"/>
        </w:trPr>
        <w:tc>
          <w:tcPr>
            <w:tcW w:w="2528" w:type="dxa"/>
            <w:tcBorders>
              <w:top w:val="single" w:sz="4" w:space="0" w:color="000000"/>
              <w:left w:val="single" w:sz="3" w:space="0" w:color="000000"/>
              <w:bottom w:val="single" w:sz="4" w:space="0" w:color="000000"/>
              <w:right w:val="single" w:sz="3" w:space="0" w:color="000000"/>
            </w:tcBorders>
          </w:tcPr>
          <w:p w14:paraId="76F56C7C" w14:textId="77777777" w:rsidR="00B07789" w:rsidRPr="00A731E1" w:rsidRDefault="00D25089" w:rsidP="00833B71">
            <w:pPr>
              <w:spacing w:after="0" w:line="240" w:lineRule="auto"/>
              <w:ind w:left="0" w:firstLine="0"/>
              <w:rPr>
                <w:sz w:val="22"/>
              </w:rPr>
            </w:pPr>
            <w:r>
              <w:rPr>
                <w:sz w:val="22"/>
              </w:rPr>
              <w:t xml:space="preserve">Závažné + CRNM </w:t>
            </w:r>
          </w:p>
        </w:tc>
        <w:tc>
          <w:tcPr>
            <w:tcW w:w="2200" w:type="dxa"/>
            <w:tcBorders>
              <w:top w:val="single" w:sz="4" w:space="0" w:color="000000"/>
              <w:left w:val="single" w:sz="3" w:space="0" w:color="000000"/>
              <w:bottom w:val="single" w:sz="4" w:space="0" w:color="000000"/>
              <w:right w:val="single" w:sz="3" w:space="0" w:color="000000"/>
            </w:tcBorders>
          </w:tcPr>
          <w:p w14:paraId="404FB813" w14:textId="77777777" w:rsidR="00B07789" w:rsidRPr="00A731E1" w:rsidRDefault="00D25089" w:rsidP="00833B71">
            <w:pPr>
              <w:spacing w:after="0" w:line="240" w:lineRule="auto"/>
              <w:ind w:left="0" w:firstLine="0"/>
              <w:jc w:val="center"/>
              <w:rPr>
                <w:sz w:val="22"/>
              </w:rPr>
            </w:pPr>
            <w:r>
              <w:rPr>
                <w:sz w:val="22"/>
              </w:rPr>
              <w:t xml:space="preserve">115 (4,3) </w:t>
            </w:r>
          </w:p>
        </w:tc>
        <w:tc>
          <w:tcPr>
            <w:tcW w:w="2200" w:type="dxa"/>
            <w:tcBorders>
              <w:top w:val="single" w:sz="4" w:space="0" w:color="000000"/>
              <w:left w:val="single" w:sz="3" w:space="0" w:color="000000"/>
              <w:bottom w:val="single" w:sz="4" w:space="0" w:color="000000"/>
              <w:right w:val="single" w:sz="3" w:space="0" w:color="000000"/>
            </w:tcBorders>
          </w:tcPr>
          <w:p w14:paraId="4D558173" w14:textId="77777777" w:rsidR="00B07789" w:rsidRPr="00A731E1" w:rsidRDefault="00D25089" w:rsidP="00833B71">
            <w:pPr>
              <w:spacing w:after="0" w:line="240" w:lineRule="auto"/>
              <w:ind w:left="0" w:firstLine="0"/>
              <w:jc w:val="center"/>
              <w:rPr>
                <w:sz w:val="22"/>
              </w:rPr>
            </w:pPr>
            <w:r>
              <w:rPr>
                <w:sz w:val="22"/>
              </w:rPr>
              <w:t xml:space="preserve">261 (9,7) </w:t>
            </w:r>
          </w:p>
        </w:tc>
        <w:tc>
          <w:tcPr>
            <w:tcW w:w="2200" w:type="dxa"/>
            <w:tcBorders>
              <w:top w:val="single" w:sz="4" w:space="0" w:color="000000"/>
              <w:left w:val="single" w:sz="3" w:space="0" w:color="000000"/>
              <w:bottom w:val="single" w:sz="4" w:space="0" w:color="000000"/>
              <w:right w:val="single" w:sz="4" w:space="0" w:color="000000"/>
            </w:tcBorders>
          </w:tcPr>
          <w:p w14:paraId="6453FCBB" w14:textId="77777777" w:rsidR="00B07789" w:rsidRPr="00A731E1" w:rsidRDefault="00D25089" w:rsidP="00833B71">
            <w:pPr>
              <w:spacing w:after="0" w:line="240" w:lineRule="auto"/>
              <w:ind w:left="0" w:firstLine="0"/>
              <w:jc w:val="center"/>
              <w:rPr>
                <w:sz w:val="22"/>
              </w:rPr>
            </w:pPr>
            <w:r>
              <w:rPr>
                <w:sz w:val="22"/>
              </w:rPr>
              <w:t xml:space="preserve">0,44 (0,36; 0,55) </w:t>
            </w:r>
          </w:p>
        </w:tc>
      </w:tr>
      <w:tr w:rsidR="00B07789" w:rsidRPr="00A731E1" w14:paraId="09332E46" w14:textId="77777777" w:rsidTr="00AF46E0">
        <w:trPr>
          <w:trHeight w:val="316"/>
        </w:trPr>
        <w:tc>
          <w:tcPr>
            <w:tcW w:w="2528" w:type="dxa"/>
            <w:tcBorders>
              <w:top w:val="single" w:sz="4" w:space="0" w:color="000000"/>
              <w:left w:val="single" w:sz="3" w:space="0" w:color="000000"/>
              <w:bottom w:val="single" w:sz="4" w:space="0" w:color="000000"/>
              <w:right w:val="single" w:sz="3" w:space="0" w:color="000000"/>
            </w:tcBorders>
          </w:tcPr>
          <w:p w14:paraId="56E0882B" w14:textId="77777777" w:rsidR="00B07789" w:rsidRPr="00A731E1" w:rsidRDefault="00D25089" w:rsidP="00833B71">
            <w:pPr>
              <w:spacing w:after="0" w:line="240" w:lineRule="auto"/>
              <w:ind w:left="0" w:firstLine="0"/>
              <w:rPr>
                <w:sz w:val="22"/>
              </w:rPr>
            </w:pPr>
            <w:r>
              <w:rPr>
                <w:sz w:val="22"/>
              </w:rPr>
              <w:t xml:space="preserve">Nezávažné </w:t>
            </w:r>
          </w:p>
        </w:tc>
        <w:tc>
          <w:tcPr>
            <w:tcW w:w="2200" w:type="dxa"/>
            <w:tcBorders>
              <w:top w:val="single" w:sz="4" w:space="0" w:color="000000"/>
              <w:left w:val="single" w:sz="3" w:space="0" w:color="000000"/>
              <w:bottom w:val="single" w:sz="4" w:space="0" w:color="000000"/>
              <w:right w:val="single" w:sz="3" w:space="0" w:color="000000"/>
            </w:tcBorders>
          </w:tcPr>
          <w:p w14:paraId="7ED4B40E" w14:textId="77777777" w:rsidR="00B07789" w:rsidRPr="00A731E1" w:rsidRDefault="00D25089" w:rsidP="00833B71">
            <w:pPr>
              <w:spacing w:after="0" w:line="240" w:lineRule="auto"/>
              <w:ind w:left="0" w:firstLine="0"/>
              <w:jc w:val="center"/>
              <w:rPr>
                <w:sz w:val="22"/>
              </w:rPr>
            </w:pPr>
            <w:r>
              <w:rPr>
                <w:sz w:val="22"/>
              </w:rPr>
              <w:t xml:space="preserve">313 (11,7) </w:t>
            </w:r>
          </w:p>
        </w:tc>
        <w:tc>
          <w:tcPr>
            <w:tcW w:w="2200" w:type="dxa"/>
            <w:tcBorders>
              <w:top w:val="single" w:sz="4" w:space="0" w:color="000000"/>
              <w:left w:val="single" w:sz="3" w:space="0" w:color="000000"/>
              <w:bottom w:val="single" w:sz="4" w:space="0" w:color="000000"/>
              <w:right w:val="single" w:sz="3" w:space="0" w:color="000000"/>
            </w:tcBorders>
          </w:tcPr>
          <w:p w14:paraId="410C8681" w14:textId="77777777" w:rsidR="00B07789" w:rsidRPr="00A731E1" w:rsidRDefault="00D25089" w:rsidP="00833B71">
            <w:pPr>
              <w:spacing w:after="0" w:line="240" w:lineRule="auto"/>
              <w:ind w:left="0" w:firstLine="0"/>
              <w:jc w:val="center"/>
              <w:rPr>
                <w:sz w:val="22"/>
              </w:rPr>
            </w:pPr>
            <w:r>
              <w:rPr>
                <w:sz w:val="22"/>
              </w:rPr>
              <w:t xml:space="preserve">505 (18,8) </w:t>
            </w:r>
          </w:p>
        </w:tc>
        <w:tc>
          <w:tcPr>
            <w:tcW w:w="2200" w:type="dxa"/>
            <w:tcBorders>
              <w:top w:val="single" w:sz="4" w:space="0" w:color="000000"/>
              <w:left w:val="single" w:sz="3" w:space="0" w:color="000000"/>
              <w:bottom w:val="single" w:sz="4" w:space="0" w:color="000000"/>
              <w:right w:val="single" w:sz="4" w:space="0" w:color="000000"/>
            </w:tcBorders>
          </w:tcPr>
          <w:p w14:paraId="1890E1CD" w14:textId="77777777" w:rsidR="00B07789" w:rsidRPr="00A731E1" w:rsidRDefault="00D25089" w:rsidP="00833B71">
            <w:pPr>
              <w:spacing w:after="0" w:line="240" w:lineRule="auto"/>
              <w:ind w:left="0" w:firstLine="0"/>
              <w:jc w:val="center"/>
              <w:rPr>
                <w:sz w:val="22"/>
              </w:rPr>
            </w:pPr>
            <w:r>
              <w:rPr>
                <w:sz w:val="22"/>
              </w:rPr>
              <w:t xml:space="preserve">0,62 (0,54; 0,70) </w:t>
            </w:r>
          </w:p>
        </w:tc>
      </w:tr>
      <w:tr w:rsidR="00B07789" w:rsidRPr="00A731E1" w14:paraId="1051E054" w14:textId="77777777" w:rsidTr="00AF46E0">
        <w:trPr>
          <w:trHeight w:val="308"/>
        </w:trPr>
        <w:tc>
          <w:tcPr>
            <w:tcW w:w="2528" w:type="dxa"/>
            <w:tcBorders>
              <w:top w:val="single" w:sz="4" w:space="0" w:color="000000"/>
              <w:left w:val="single" w:sz="3" w:space="0" w:color="000000"/>
              <w:bottom w:val="single" w:sz="4" w:space="0" w:color="000000"/>
              <w:right w:val="single" w:sz="3" w:space="0" w:color="000000"/>
            </w:tcBorders>
          </w:tcPr>
          <w:p w14:paraId="0B82DAC5" w14:textId="77777777" w:rsidR="00B07789" w:rsidRPr="00A731E1" w:rsidRDefault="00D25089" w:rsidP="00833B71">
            <w:pPr>
              <w:spacing w:after="0" w:line="240" w:lineRule="auto"/>
              <w:ind w:left="0" w:firstLine="0"/>
              <w:rPr>
                <w:sz w:val="22"/>
              </w:rPr>
            </w:pPr>
            <w:r>
              <w:rPr>
                <w:sz w:val="22"/>
              </w:rPr>
              <w:t xml:space="preserve">Všetky </w:t>
            </w:r>
          </w:p>
        </w:tc>
        <w:tc>
          <w:tcPr>
            <w:tcW w:w="2200" w:type="dxa"/>
            <w:tcBorders>
              <w:top w:val="single" w:sz="4" w:space="0" w:color="000000"/>
              <w:left w:val="single" w:sz="3" w:space="0" w:color="000000"/>
              <w:bottom w:val="single" w:sz="4" w:space="0" w:color="000000"/>
              <w:right w:val="single" w:sz="3" w:space="0" w:color="000000"/>
            </w:tcBorders>
          </w:tcPr>
          <w:p w14:paraId="360F78E8" w14:textId="77777777" w:rsidR="00B07789" w:rsidRPr="00A731E1" w:rsidRDefault="00D25089" w:rsidP="00833B71">
            <w:pPr>
              <w:spacing w:after="0" w:line="240" w:lineRule="auto"/>
              <w:ind w:left="0" w:firstLine="0"/>
              <w:jc w:val="center"/>
              <w:rPr>
                <w:sz w:val="22"/>
              </w:rPr>
            </w:pPr>
            <w:r>
              <w:rPr>
                <w:sz w:val="22"/>
              </w:rPr>
              <w:t xml:space="preserve">402 (15,0) </w:t>
            </w:r>
          </w:p>
        </w:tc>
        <w:tc>
          <w:tcPr>
            <w:tcW w:w="2200" w:type="dxa"/>
            <w:tcBorders>
              <w:top w:val="single" w:sz="4" w:space="0" w:color="000000"/>
              <w:left w:val="single" w:sz="3" w:space="0" w:color="000000"/>
              <w:bottom w:val="single" w:sz="4" w:space="0" w:color="000000"/>
              <w:right w:val="single" w:sz="3" w:space="0" w:color="000000"/>
            </w:tcBorders>
          </w:tcPr>
          <w:p w14:paraId="0A9E1EBF" w14:textId="77777777" w:rsidR="00B07789" w:rsidRPr="00A731E1" w:rsidRDefault="00D25089" w:rsidP="00833B71">
            <w:pPr>
              <w:spacing w:after="0" w:line="240" w:lineRule="auto"/>
              <w:ind w:left="0" w:firstLine="0"/>
              <w:jc w:val="center"/>
              <w:rPr>
                <w:sz w:val="22"/>
              </w:rPr>
            </w:pPr>
            <w:r>
              <w:rPr>
                <w:sz w:val="22"/>
              </w:rPr>
              <w:t xml:space="preserve">676 (25,1) </w:t>
            </w:r>
          </w:p>
        </w:tc>
        <w:tc>
          <w:tcPr>
            <w:tcW w:w="2200" w:type="dxa"/>
            <w:tcBorders>
              <w:top w:val="single" w:sz="4" w:space="0" w:color="000000"/>
              <w:left w:val="single" w:sz="3" w:space="0" w:color="000000"/>
              <w:bottom w:val="single" w:sz="4" w:space="0" w:color="000000"/>
              <w:right w:val="single" w:sz="4" w:space="0" w:color="000000"/>
            </w:tcBorders>
          </w:tcPr>
          <w:p w14:paraId="6F0E3D48" w14:textId="77777777" w:rsidR="00B07789" w:rsidRPr="00A731E1" w:rsidRDefault="00D25089" w:rsidP="00833B71">
            <w:pPr>
              <w:spacing w:after="0" w:line="240" w:lineRule="auto"/>
              <w:ind w:left="0" w:firstLine="0"/>
              <w:jc w:val="center"/>
              <w:rPr>
                <w:sz w:val="22"/>
              </w:rPr>
            </w:pPr>
            <w:r>
              <w:rPr>
                <w:sz w:val="22"/>
              </w:rPr>
              <w:t xml:space="preserve">0,59 (0,53; 0,66) </w:t>
            </w:r>
          </w:p>
        </w:tc>
      </w:tr>
    </w:tbl>
    <w:p w14:paraId="3017C305" w14:textId="77777777" w:rsidR="00B07789" w:rsidRPr="00A731E1" w:rsidRDefault="00D25089" w:rsidP="00833B71">
      <w:pPr>
        <w:spacing w:after="0" w:line="240" w:lineRule="auto"/>
        <w:ind w:left="0" w:firstLine="0"/>
        <w:rPr>
          <w:sz w:val="22"/>
        </w:rPr>
      </w:pPr>
      <w:r>
        <w:rPr>
          <w:sz w:val="22"/>
        </w:rPr>
        <w:t xml:space="preserve"> </w:t>
      </w:r>
    </w:p>
    <w:p w14:paraId="1AA15BC1" w14:textId="333F3A97" w:rsidR="00B07789" w:rsidRPr="00A731E1" w:rsidRDefault="00D25089" w:rsidP="00833B71">
      <w:pPr>
        <w:spacing w:after="0" w:line="240" w:lineRule="auto"/>
        <w:ind w:left="0" w:firstLine="0"/>
        <w:rPr>
          <w:sz w:val="22"/>
        </w:rPr>
      </w:pPr>
      <w:r>
        <w:rPr>
          <w:sz w:val="22"/>
        </w:rPr>
        <w:t>Posudzované závažné krvácanie a CRNM krvácanie v ktoromkoľvek anatomickom mieste bolo vo všeobecnosti nižšie v skupine s apixabánom na základe porovnania s enoxaparínom/warfarínom Posudzované závažné ISTH gastrointestinálne krvácanie sa objavilo u 6 (0,2 %) pacientov liečených apixabánom a 17 (0,6 %) pacientov liečených enoxaparínom/warfarínom</w:t>
      </w:r>
      <w:r w:rsidR="002B6999">
        <w:rPr>
          <w:sz w:val="22"/>
        </w:rPr>
        <w:t>.</w:t>
      </w:r>
      <w:r>
        <w:rPr>
          <w:sz w:val="22"/>
        </w:rPr>
        <w:t xml:space="preserve"> </w:t>
      </w:r>
    </w:p>
    <w:p w14:paraId="3B49B2C9" w14:textId="77777777" w:rsidR="00B07789" w:rsidRPr="00A731E1" w:rsidRDefault="00D25089" w:rsidP="00833B71">
      <w:pPr>
        <w:spacing w:after="0" w:line="240" w:lineRule="auto"/>
        <w:ind w:left="0" w:firstLine="0"/>
        <w:rPr>
          <w:sz w:val="22"/>
        </w:rPr>
      </w:pPr>
      <w:r>
        <w:rPr>
          <w:sz w:val="22"/>
        </w:rPr>
        <w:t xml:space="preserve"> </w:t>
      </w:r>
    </w:p>
    <w:p w14:paraId="155CA14A" w14:textId="77777777" w:rsidR="00B07789" w:rsidRPr="00A731E1" w:rsidRDefault="00D25089" w:rsidP="00833B71">
      <w:pPr>
        <w:spacing w:after="0" w:line="240" w:lineRule="auto"/>
        <w:ind w:left="0" w:firstLine="0"/>
        <w:rPr>
          <w:sz w:val="22"/>
        </w:rPr>
      </w:pPr>
      <w:r>
        <w:rPr>
          <w:i/>
          <w:sz w:val="22"/>
          <w:u w:val="single" w:color="000000"/>
        </w:rPr>
        <w:lastRenderedPageBreak/>
        <w:t>ŠTÚDIA AMPLIFY</w:t>
      </w:r>
      <w:r>
        <w:rPr>
          <w:i/>
          <w:sz w:val="22"/>
          <w:u w:val="single" w:color="000000"/>
        </w:rPr>
        <w:noBreakHyphen/>
        <w:t>EXT</w:t>
      </w:r>
      <w:r>
        <w:rPr>
          <w:i/>
          <w:sz w:val="22"/>
        </w:rPr>
        <w:t xml:space="preserve"> </w:t>
      </w:r>
    </w:p>
    <w:p w14:paraId="1DA44650" w14:textId="77777777" w:rsidR="00B07789" w:rsidRPr="00A731E1" w:rsidRDefault="00D25089" w:rsidP="00833B71">
      <w:pPr>
        <w:spacing w:after="0" w:line="240" w:lineRule="auto"/>
        <w:ind w:left="0" w:firstLine="0"/>
        <w:rPr>
          <w:sz w:val="22"/>
        </w:rPr>
      </w:pPr>
      <w:r>
        <w:rPr>
          <w:sz w:val="22"/>
        </w:rPr>
        <w:t>V štúdii AMPLIFY</w:t>
      </w:r>
      <w:r>
        <w:rPr>
          <w:sz w:val="22"/>
        </w:rPr>
        <w:noBreakHyphen/>
        <w:t xml:space="preserve">EXT bolo randomizovaných celkovo 2 482 pacientov na liečbu apixabánom </w:t>
      </w:r>
    </w:p>
    <w:p w14:paraId="6649B5A3" w14:textId="597AF6BC" w:rsidR="00B07789" w:rsidRPr="00A731E1" w:rsidRDefault="00D25089" w:rsidP="00833B71">
      <w:pPr>
        <w:spacing w:after="0" w:line="240" w:lineRule="auto"/>
        <w:ind w:left="0" w:firstLine="0"/>
        <w:rPr>
          <w:sz w:val="22"/>
        </w:rPr>
      </w:pPr>
      <w:r>
        <w:rPr>
          <w:sz w:val="22"/>
        </w:rPr>
        <w:t>2,5 mg perorálne dvakrát denne, apixabánom 5 mg perorálne dvakrát denne alebo placebom počas 12 mesiacov po dokončení 6 až 12 mesiacov úvodnej antikoagulačnej liečby Z týchto pacientov sa 836 pacientov (33,7 %) zúčastnilo štúdie AMPLIFY pred zaradením do štúdie AMPLIFY</w:t>
      </w:r>
      <w:r>
        <w:rPr>
          <w:sz w:val="22"/>
        </w:rPr>
        <w:noBreakHyphen/>
        <w:t xml:space="preserve">EXT. </w:t>
      </w:r>
    </w:p>
    <w:p w14:paraId="34CA1D8F" w14:textId="77777777" w:rsidR="00B07789" w:rsidRPr="00A731E1" w:rsidRDefault="00D25089" w:rsidP="00833B71">
      <w:pPr>
        <w:spacing w:after="0" w:line="240" w:lineRule="auto"/>
        <w:ind w:left="0" w:firstLine="0"/>
        <w:rPr>
          <w:sz w:val="22"/>
        </w:rPr>
      </w:pPr>
      <w:r>
        <w:rPr>
          <w:sz w:val="22"/>
        </w:rPr>
        <w:t xml:space="preserve"> </w:t>
      </w:r>
    </w:p>
    <w:p w14:paraId="48DCCDA4" w14:textId="77777777" w:rsidR="00B07789" w:rsidRPr="00A731E1" w:rsidRDefault="00D25089" w:rsidP="00833B71">
      <w:pPr>
        <w:spacing w:after="0" w:line="240" w:lineRule="auto"/>
        <w:ind w:left="0" w:firstLine="0"/>
        <w:rPr>
          <w:sz w:val="22"/>
        </w:rPr>
      </w:pPr>
      <w:r>
        <w:rPr>
          <w:sz w:val="22"/>
        </w:rPr>
        <w:t xml:space="preserve">Priemerný vek bol 56,7 roka a 91,7 % randomizovaných pacientov malo nevyprovokované príhody VTE. </w:t>
      </w:r>
    </w:p>
    <w:p w14:paraId="59C9EC7C" w14:textId="77777777" w:rsidR="00B07789" w:rsidRPr="00A731E1" w:rsidRDefault="00D25089" w:rsidP="00833B71">
      <w:pPr>
        <w:spacing w:after="0" w:line="240" w:lineRule="auto"/>
        <w:ind w:left="0" w:firstLine="0"/>
        <w:rPr>
          <w:sz w:val="22"/>
        </w:rPr>
      </w:pPr>
      <w:r>
        <w:rPr>
          <w:sz w:val="22"/>
        </w:rPr>
        <w:t xml:space="preserve"> </w:t>
      </w:r>
    </w:p>
    <w:p w14:paraId="32823E12" w14:textId="70F6FEF2" w:rsidR="00B07789" w:rsidRPr="00A731E1" w:rsidRDefault="00D25089" w:rsidP="00833B71">
      <w:pPr>
        <w:spacing w:after="0" w:line="240" w:lineRule="auto"/>
        <w:ind w:left="0" w:firstLine="0"/>
        <w:rPr>
          <w:sz w:val="22"/>
        </w:rPr>
      </w:pPr>
      <w:r>
        <w:rPr>
          <w:sz w:val="22"/>
        </w:rPr>
        <w:t>V štúdii boli obidve dávky apixabánu štatisticky superiórne voči placebu v primárnom cieľovom ukazovateli rekurentnej symptomatickej VTE (</w:t>
      </w:r>
      <w:r w:rsidR="002B6999">
        <w:rPr>
          <w:sz w:val="22"/>
        </w:rPr>
        <w:t xml:space="preserve">nefatálna </w:t>
      </w:r>
      <w:r>
        <w:rPr>
          <w:sz w:val="22"/>
        </w:rPr>
        <w:t xml:space="preserve">DVT alebo </w:t>
      </w:r>
      <w:r w:rsidR="002B6999">
        <w:rPr>
          <w:sz w:val="22"/>
        </w:rPr>
        <w:t xml:space="preserve">nefatálna </w:t>
      </w:r>
      <w:r>
        <w:rPr>
          <w:sz w:val="22"/>
        </w:rPr>
        <w:t>PE) alebo úmrtia z akejkoľv</w:t>
      </w:r>
      <w:r w:rsidR="00E4410C">
        <w:rPr>
          <w:sz w:val="22"/>
        </w:rPr>
        <w:t>ek príčiny (pozri tabuľku 12</w:t>
      </w:r>
      <w:r>
        <w:rPr>
          <w:sz w:val="22"/>
        </w:rPr>
        <w:t xml:space="preserve">). </w:t>
      </w:r>
    </w:p>
    <w:p w14:paraId="4993F707" w14:textId="77777777" w:rsidR="00B07789" w:rsidRPr="00A731E1" w:rsidRDefault="00D25089" w:rsidP="00833B71">
      <w:pPr>
        <w:spacing w:after="0" w:line="240" w:lineRule="auto"/>
        <w:ind w:left="0" w:firstLine="0"/>
        <w:rPr>
          <w:sz w:val="22"/>
        </w:rPr>
      </w:pPr>
      <w:r>
        <w:rPr>
          <w:sz w:val="22"/>
        </w:rPr>
        <w:t xml:space="preserve"> </w:t>
      </w:r>
    </w:p>
    <w:p w14:paraId="4C78B41D" w14:textId="42985C94" w:rsidR="00B07789" w:rsidRPr="00593ECA" w:rsidRDefault="00E4410C" w:rsidP="00833B71">
      <w:pPr>
        <w:keepNext/>
        <w:spacing w:after="0" w:line="240" w:lineRule="auto"/>
        <w:ind w:left="0" w:firstLine="0"/>
        <w:rPr>
          <w:b/>
          <w:sz w:val="22"/>
        </w:rPr>
      </w:pPr>
      <w:r>
        <w:rPr>
          <w:b/>
          <w:sz w:val="22"/>
        </w:rPr>
        <w:t>Tabuľka 12</w:t>
      </w:r>
      <w:r w:rsidR="00D25089">
        <w:rPr>
          <w:b/>
          <w:sz w:val="22"/>
        </w:rPr>
        <w:t xml:space="preserve">: Výsledky účinnosti v štúdii AMPLIFY- EXT </w:t>
      </w:r>
    </w:p>
    <w:tbl>
      <w:tblPr>
        <w:tblStyle w:val="TableGrid"/>
        <w:tblW w:w="9405" w:type="dxa"/>
        <w:tblInd w:w="-53" w:type="dxa"/>
        <w:tblCellMar>
          <w:top w:w="54" w:type="dxa"/>
          <w:left w:w="101" w:type="dxa"/>
          <w:right w:w="71" w:type="dxa"/>
        </w:tblCellMar>
        <w:tblLook w:val="04A0" w:firstRow="1" w:lastRow="0" w:firstColumn="1" w:lastColumn="0" w:noHBand="0" w:noVBand="1"/>
      </w:tblPr>
      <w:tblGrid>
        <w:gridCol w:w="2125"/>
        <w:gridCol w:w="1458"/>
        <w:gridCol w:w="1458"/>
        <w:gridCol w:w="1456"/>
        <w:gridCol w:w="1452"/>
        <w:gridCol w:w="1456"/>
      </w:tblGrid>
      <w:tr w:rsidR="00772F14" w:rsidRPr="00A731E1" w14:paraId="2574E537" w14:textId="77777777" w:rsidTr="0073232F">
        <w:trPr>
          <w:trHeight w:val="361"/>
        </w:trPr>
        <w:tc>
          <w:tcPr>
            <w:tcW w:w="2125" w:type="dxa"/>
            <w:tcBorders>
              <w:top w:val="single" w:sz="4" w:space="0" w:color="000000"/>
              <w:left w:val="single" w:sz="3" w:space="0" w:color="000000"/>
              <w:bottom w:val="single" w:sz="3" w:space="0" w:color="000000"/>
              <w:right w:val="single" w:sz="4" w:space="0" w:color="000000"/>
            </w:tcBorders>
          </w:tcPr>
          <w:p w14:paraId="4DA29DF1" w14:textId="77777777" w:rsidR="00772F14" w:rsidRPr="007E6137" w:rsidRDefault="00772F14" w:rsidP="0073232F">
            <w:pPr>
              <w:keepNext/>
              <w:spacing w:after="0" w:line="240" w:lineRule="auto"/>
              <w:ind w:left="0" w:firstLine="0"/>
              <w:rPr>
                <w:sz w:val="22"/>
              </w:rPr>
            </w:pPr>
          </w:p>
        </w:tc>
        <w:tc>
          <w:tcPr>
            <w:tcW w:w="1458" w:type="dxa"/>
            <w:tcBorders>
              <w:top w:val="single" w:sz="4" w:space="0" w:color="000000"/>
              <w:left w:val="single" w:sz="4" w:space="0" w:color="000000"/>
              <w:bottom w:val="single" w:sz="3" w:space="0" w:color="000000"/>
              <w:right w:val="single" w:sz="4" w:space="0" w:color="000000"/>
            </w:tcBorders>
          </w:tcPr>
          <w:p w14:paraId="7292057B" w14:textId="77777777" w:rsidR="00772F14" w:rsidRPr="00A731E1" w:rsidRDefault="00772F14" w:rsidP="0073232F">
            <w:pPr>
              <w:keepNext/>
              <w:spacing w:after="0" w:line="240" w:lineRule="auto"/>
              <w:ind w:left="0" w:firstLine="0"/>
              <w:jc w:val="center"/>
              <w:rPr>
                <w:sz w:val="22"/>
              </w:rPr>
            </w:pPr>
            <w:r>
              <w:rPr>
                <w:b/>
                <w:sz w:val="22"/>
              </w:rPr>
              <w:t>Apixabán</w:t>
            </w:r>
          </w:p>
        </w:tc>
        <w:tc>
          <w:tcPr>
            <w:tcW w:w="1458" w:type="dxa"/>
            <w:tcBorders>
              <w:top w:val="single" w:sz="4" w:space="0" w:color="000000"/>
              <w:left w:val="single" w:sz="4" w:space="0" w:color="000000"/>
              <w:bottom w:val="single" w:sz="3" w:space="0" w:color="000000"/>
              <w:right w:val="single" w:sz="4" w:space="0" w:color="000000"/>
            </w:tcBorders>
          </w:tcPr>
          <w:p w14:paraId="66E94534" w14:textId="77777777" w:rsidR="00772F14" w:rsidRPr="00A731E1" w:rsidRDefault="00772F14" w:rsidP="0073232F">
            <w:pPr>
              <w:keepNext/>
              <w:spacing w:after="0" w:line="240" w:lineRule="auto"/>
              <w:ind w:left="0" w:firstLine="0"/>
              <w:jc w:val="center"/>
              <w:rPr>
                <w:sz w:val="22"/>
              </w:rPr>
            </w:pPr>
            <w:r>
              <w:rPr>
                <w:b/>
                <w:sz w:val="22"/>
              </w:rPr>
              <w:t>Apixabán</w:t>
            </w:r>
          </w:p>
        </w:tc>
        <w:tc>
          <w:tcPr>
            <w:tcW w:w="1456" w:type="dxa"/>
            <w:tcBorders>
              <w:top w:val="single" w:sz="4" w:space="0" w:color="000000"/>
              <w:left w:val="single" w:sz="4" w:space="0" w:color="000000"/>
              <w:bottom w:val="single" w:sz="3" w:space="0" w:color="000000"/>
              <w:right w:val="single" w:sz="3" w:space="0" w:color="000000"/>
            </w:tcBorders>
          </w:tcPr>
          <w:p w14:paraId="1E10D01B" w14:textId="77777777" w:rsidR="00772F14" w:rsidRPr="00A731E1" w:rsidRDefault="00772F14" w:rsidP="0073232F">
            <w:pPr>
              <w:keepNext/>
              <w:spacing w:after="0" w:line="240" w:lineRule="auto"/>
              <w:ind w:left="0" w:firstLine="0"/>
              <w:jc w:val="center"/>
              <w:rPr>
                <w:sz w:val="22"/>
              </w:rPr>
            </w:pPr>
            <w:r>
              <w:rPr>
                <w:b/>
                <w:sz w:val="22"/>
              </w:rPr>
              <w:t>Placebo</w:t>
            </w:r>
          </w:p>
        </w:tc>
        <w:tc>
          <w:tcPr>
            <w:tcW w:w="2908" w:type="dxa"/>
            <w:gridSpan w:val="2"/>
            <w:tcBorders>
              <w:top w:val="single" w:sz="4" w:space="0" w:color="000000"/>
              <w:left w:val="single" w:sz="3" w:space="0" w:color="000000"/>
              <w:bottom w:val="single" w:sz="3" w:space="0" w:color="000000"/>
              <w:right w:val="single" w:sz="4" w:space="0" w:color="000000"/>
            </w:tcBorders>
          </w:tcPr>
          <w:p w14:paraId="060C6B16" w14:textId="77777777" w:rsidR="00772F14" w:rsidRPr="00A731E1" w:rsidRDefault="00772F14" w:rsidP="0073232F">
            <w:pPr>
              <w:keepNext/>
              <w:spacing w:after="0" w:line="240" w:lineRule="auto"/>
              <w:ind w:left="0" w:firstLine="0"/>
              <w:jc w:val="center"/>
              <w:rPr>
                <w:sz w:val="22"/>
              </w:rPr>
            </w:pPr>
            <w:r>
              <w:rPr>
                <w:b/>
                <w:sz w:val="22"/>
              </w:rPr>
              <w:t>Relatívne riziko (95 % IS)</w:t>
            </w:r>
          </w:p>
        </w:tc>
      </w:tr>
      <w:tr w:rsidR="00772F14" w:rsidRPr="00A731E1" w14:paraId="53580CCF" w14:textId="77777777" w:rsidTr="00772F14">
        <w:trPr>
          <w:trHeight w:val="510"/>
        </w:trPr>
        <w:tc>
          <w:tcPr>
            <w:tcW w:w="2125" w:type="dxa"/>
            <w:tcBorders>
              <w:top w:val="single" w:sz="3" w:space="0" w:color="000000"/>
              <w:left w:val="single" w:sz="3" w:space="0" w:color="000000"/>
              <w:bottom w:val="single" w:sz="4" w:space="0" w:color="000000"/>
              <w:right w:val="single" w:sz="4" w:space="0" w:color="000000"/>
            </w:tcBorders>
          </w:tcPr>
          <w:p w14:paraId="108A27A1" w14:textId="77777777" w:rsidR="00772F14" w:rsidRPr="00A731E1" w:rsidRDefault="00772F14" w:rsidP="0073232F">
            <w:pPr>
              <w:spacing w:after="0" w:line="240" w:lineRule="auto"/>
              <w:ind w:left="0" w:firstLine="0"/>
              <w:rPr>
                <w:sz w:val="22"/>
              </w:rPr>
            </w:pPr>
            <w:r>
              <w:rPr>
                <w:b/>
                <w:sz w:val="22"/>
              </w:rPr>
              <w:t xml:space="preserve"> </w:t>
            </w:r>
          </w:p>
        </w:tc>
        <w:tc>
          <w:tcPr>
            <w:tcW w:w="1458" w:type="dxa"/>
            <w:tcBorders>
              <w:top w:val="single" w:sz="3" w:space="0" w:color="000000"/>
              <w:left w:val="single" w:sz="4" w:space="0" w:color="000000"/>
              <w:bottom w:val="single" w:sz="4" w:space="0" w:color="000000"/>
              <w:right w:val="single" w:sz="4" w:space="0" w:color="000000"/>
            </w:tcBorders>
          </w:tcPr>
          <w:p w14:paraId="1F1F0B41" w14:textId="77777777" w:rsidR="00772F14" w:rsidRPr="00A731E1" w:rsidRDefault="00772F14" w:rsidP="0073232F">
            <w:pPr>
              <w:spacing w:after="0" w:line="240" w:lineRule="auto"/>
              <w:ind w:left="0" w:firstLine="0"/>
              <w:jc w:val="center"/>
              <w:rPr>
                <w:sz w:val="22"/>
              </w:rPr>
            </w:pPr>
            <w:r>
              <w:rPr>
                <w:b/>
                <w:sz w:val="22"/>
              </w:rPr>
              <w:t xml:space="preserve">2,5 mg </w:t>
            </w:r>
          </w:p>
          <w:p w14:paraId="04FF8632" w14:textId="77777777" w:rsidR="00772F14" w:rsidRPr="00A731E1" w:rsidRDefault="00772F14" w:rsidP="0073232F">
            <w:pPr>
              <w:spacing w:after="0" w:line="240" w:lineRule="auto"/>
              <w:ind w:left="0" w:firstLine="0"/>
              <w:jc w:val="center"/>
              <w:rPr>
                <w:sz w:val="22"/>
              </w:rPr>
            </w:pPr>
            <w:r>
              <w:rPr>
                <w:b/>
                <w:sz w:val="22"/>
              </w:rPr>
              <w:t xml:space="preserve">(N = 840) </w:t>
            </w:r>
          </w:p>
        </w:tc>
        <w:tc>
          <w:tcPr>
            <w:tcW w:w="1458" w:type="dxa"/>
            <w:tcBorders>
              <w:top w:val="single" w:sz="3" w:space="0" w:color="000000"/>
              <w:left w:val="single" w:sz="4" w:space="0" w:color="000000"/>
              <w:bottom w:val="single" w:sz="4" w:space="0" w:color="000000"/>
              <w:right w:val="single" w:sz="4" w:space="0" w:color="000000"/>
            </w:tcBorders>
          </w:tcPr>
          <w:p w14:paraId="59CBEDE0" w14:textId="77777777" w:rsidR="00772F14" w:rsidRPr="00A731E1" w:rsidRDefault="00772F14" w:rsidP="0073232F">
            <w:pPr>
              <w:spacing w:after="0" w:line="240" w:lineRule="auto"/>
              <w:ind w:left="0" w:firstLine="0"/>
              <w:jc w:val="center"/>
              <w:rPr>
                <w:sz w:val="22"/>
              </w:rPr>
            </w:pPr>
            <w:r>
              <w:rPr>
                <w:b/>
                <w:sz w:val="22"/>
              </w:rPr>
              <w:t xml:space="preserve">5,0 mg </w:t>
            </w:r>
          </w:p>
          <w:p w14:paraId="7F718FAD" w14:textId="77777777" w:rsidR="00772F14" w:rsidRPr="00A731E1" w:rsidRDefault="00772F14" w:rsidP="0073232F">
            <w:pPr>
              <w:spacing w:after="0" w:line="240" w:lineRule="auto"/>
              <w:ind w:left="0" w:firstLine="0"/>
              <w:jc w:val="center"/>
              <w:rPr>
                <w:sz w:val="22"/>
              </w:rPr>
            </w:pPr>
            <w:r>
              <w:rPr>
                <w:b/>
                <w:sz w:val="22"/>
              </w:rPr>
              <w:t xml:space="preserve">(N = 813) </w:t>
            </w:r>
          </w:p>
        </w:tc>
        <w:tc>
          <w:tcPr>
            <w:tcW w:w="1456" w:type="dxa"/>
            <w:tcBorders>
              <w:top w:val="single" w:sz="3" w:space="0" w:color="000000"/>
              <w:left w:val="single" w:sz="4" w:space="0" w:color="000000"/>
              <w:bottom w:val="single" w:sz="4" w:space="0" w:color="000000"/>
              <w:right w:val="single" w:sz="3" w:space="0" w:color="000000"/>
            </w:tcBorders>
          </w:tcPr>
          <w:p w14:paraId="42A1CFDE" w14:textId="77777777" w:rsidR="00772F14" w:rsidRPr="00A731E1" w:rsidRDefault="00772F14" w:rsidP="0073232F">
            <w:pPr>
              <w:spacing w:after="0" w:line="240" w:lineRule="auto"/>
              <w:ind w:left="0" w:firstLine="0"/>
              <w:jc w:val="center"/>
              <w:rPr>
                <w:sz w:val="22"/>
              </w:rPr>
            </w:pPr>
            <w:r>
              <w:rPr>
                <w:b/>
                <w:sz w:val="22"/>
              </w:rPr>
              <w:t xml:space="preserve"> </w:t>
            </w:r>
          </w:p>
          <w:p w14:paraId="54B04067" w14:textId="77777777" w:rsidR="00772F14" w:rsidRPr="00A731E1" w:rsidRDefault="00772F14" w:rsidP="0073232F">
            <w:pPr>
              <w:spacing w:after="0" w:line="240" w:lineRule="auto"/>
              <w:ind w:left="0" w:firstLine="0"/>
              <w:jc w:val="center"/>
              <w:rPr>
                <w:sz w:val="22"/>
              </w:rPr>
            </w:pPr>
            <w:r>
              <w:rPr>
                <w:b/>
                <w:sz w:val="22"/>
              </w:rPr>
              <w:t xml:space="preserve">(N = 829) </w:t>
            </w:r>
          </w:p>
        </w:tc>
        <w:tc>
          <w:tcPr>
            <w:tcW w:w="1452" w:type="dxa"/>
            <w:tcBorders>
              <w:top w:val="single" w:sz="3" w:space="0" w:color="000000"/>
              <w:left w:val="single" w:sz="3" w:space="0" w:color="000000"/>
              <w:bottom w:val="single" w:sz="4" w:space="0" w:color="000000"/>
              <w:right w:val="single" w:sz="3" w:space="0" w:color="000000"/>
            </w:tcBorders>
          </w:tcPr>
          <w:p w14:paraId="08A39792" w14:textId="77777777" w:rsidR="00772F14" w:rsidRPr="00A731E1" w:rsidRDefault="00772F14" w:rsidP="0073232F">
            <w:pPr>
              <w:spacing w:after="0" w:line="240" w:lineRule="auto"/>
              <w:ind w:left="0" w:firstLine="0"/>
              <w:jc w:val="center"/>
              <w:rPr>
                <w:sz w:val="22"/>
              </w:rPr>
            </w:pPr>
            <w:r>
              <w:rPr>
                <w:b/>
                <w:sz w:val="22"/>
              </w:rPr>
              <w:t xml:space="preserve">Apix 2,5 mg oproti placebu </w:t>
            </w:r>
          </w:p>
        </w:tc>
        <w:tc>
          <w:tcPr>
            <w:tcW w:w="1456" w:type="dxa"/>
            <w:tcBorders>
              <w:top w:val="single" w:sz="3" w:space="0" w:color="000000"/>
              <w:left w:val="single" w:sz="3" w:space="0" w:color="000000"/>
              <w:bottom w:val="single" w:sz="4" w:space="0" w:color="000000"/>
              <w:right w:val="single" w:sz="4" w:space="0" w:color="000000"/>
            </w:tcBorders>
          </w:tcPr>
          <w:p w14:paraId="06FA81F3" w14:textId="77777777" w:rsidR="00772F14" w:rsidRPr="00A731E1" w:rsidRDefault="00772F14" w:rsidP="0073232F">
            <w:pPr>
              <w:spacing w:after="0" w:line="240" w:lineRule="auto"/>
              <w:ind w:left="0" w:firstLine="0"/>
              <w:jc w:val="center"/>
              <w:rPr>
                <w:sz w:val="22"/>
              </w:rPr>
            </w:pPr>
            <w:r>
              <w:rPr>
                <w:b/>
                <w:sz w:val="22"/>
              </w:rPr>
              <w:t xml:space="preserve">Apix 5,0 mg oproti placebu </w:t>
            </w:r>
          </w:p>
        </w:tc>
      </w:tr>
      <w:tr w:rsidR="00772F14" w:rsidRPr="00A731E1" w14:paraId="16F4A5EB" w14:textId="77777777" w:rsidTr="00772F14">
        <w:trPr>
          <w:trHeight w:val="510"/>
        </w:trPr>
        <w:tc>
          <w:tcPr>
            <w:tcW w:w="2125" w:type="dxa"/>
            <w:tcBorders>
              <w:top w:val="single" w:sz="4" w:space="0" w:color="000000"/>
              <w:left w:val="single" w:sz="3" w:space="0" w:color="000000"/>
              <w:bottom w:val="single" w:sz="4" w:space="0" w:color="000000"/>
              <w:right w:val="single" w:sz="4" w:space="0" w:color="000000"/>
            </w:tcBorders>
          </w:tcPr>
          <w:p w14:paraId="73F0509D" w14:textId="77777777" w:rsidR="00772F14" w:rsidRPr="00A731E1" w:rsidRDefault="00772F14" w:rsidP="0073232F">
            <w:pPr>
              <w:spacing w:after="0" w:line="240" w:lineRule="auto"/>
              <w:ind w:left="0" w:firstLine="0"/>
              <w:rPr>
                <w:sz w:val="22"/>
              </w:rPr>
            </w:pPr>
            <w:r>
              <w:rPr>
                <w:sz w:val="22"/>
              </w:rPr>
              <w:t xml:space="preserve"> </w:t>
            </w:r>
          </w:p>
        </w:tc>
        <w:tc>
          <w:tcPr>
            <w:tcW w:w="4372" w:type="dxa"/>
            <w:gridSpan w:val="3"/>
            <w:tcBorders>
              <w:top w:val="single" w:sz="4" w:space="0" w:color="000000"/>
              <w:left w:val="single" w:sz="4" w:space="0" w:color="000000"/>
              <w:bottom w:val="single" w:sz="4" w:space="0" w:color="000000"/>
              <w:right w:val="single" w:sz="3" w:space="0" w:color="000000"/>
            </w:tcBorders>
          </w:tcPr>
          <w:p w14:paraId="65519B0F" w14:textId="77777777" w:rsidR="00772F14" w:rsidRPr="00A731E1" w:rsidRDefault="00772F14" w:rsidP="0073232F">
            <w:pPr>
              <w:spacing w:after="0" w:line="240" w:lineRule="auto"/>
              <w:ind w:left="0" w:firstLine="0"/>
              <w:jc w:val="center"/>
              <w:rPr>
                <w:sz w:val="22"/>
              </w:rPr>
            </w:pPr>
            <w:r>
              <w:rPr>
                <w:sz w:val="22"/>
              </w:rPr>
              <w:t>n (%)</w:t>
            </w:r>
          </w:p>
        </w:tc>
        <w:tc>
          <w:tcPr>
            <w:tcW w:w="1452" w:type="dxa"/>
            <w:tcBorders>
              <w:top w:val="single" w:sz="4" w:space="0" w:color="000000"/>
              <w:left w:val="single" w:sz="3" w:space="0" w:color="000000"/>
              <w:bottom w:val="single" w:sz="4" w:space="0" w:color="000000"/>
              <w:right w:val="single" w:sz="3" w:space="0" w:color="000000"/>
            </w:tcBorders>
          </w:tcPr>
          <w:p w14:paraId="06B66A64" w14:textId="77777777" w:rsidR="00772F14" w:rsidRPr="00A731E1" w:rsidRDefault="00772F14" w:rsidP="0073232F">
            <w:pPr>
              <w:spacing w:after="0" w:line="240" w:lineRule="auto"/>
              <w:ind w:left="0" w:firstLine="0"/>
              <w:jc w:val="center"/>
              <w:rPr>
                <w:sz w:val="22"/>
              </w:rPr>
            </w:pPr>
            <w:r>
              <w:rPr>
                <w:sz w:val="22"/>
              </w:rPr>
              <w:t xml:space="preserve"> </w:t>
            </w:r>
          </w:p>
        </w:tc>
        <w:tc>
          <w:tcPr>
            <w:tcW w:w="1456" w:type="dxa"/>
            <w:tcBorders>
              <w:top w:val="single" w:sz="4" w:space="0" w:color="000000"/>
              <w:left w:val="single" w:sz="3" w:space="0" w:color="000000"/>
              <w:bottom w:val="single" w:sz="4" w:space="0" w:color="000000"/>
              <w:right w:val="single" w:sz="4" w:space="0" w:color="000000"/>
            </w:tcBorders>
          </w:tcPr>
          <w:p w14:paraId="1F1C2CF0" w14:textId="77777777" w:rsidR="00772F14" w:rsidRPr="00A731E1" w:rsidRDefault="00772F14" w:rsidP="0073232F">
            <w:pPr>
              <w:spacing w:after="0" w:line="240" w:lineRule="auto"/>
              <w:ind w:left="0" w:firstLine="0"/>
              <w:jc w:val="center"/>
              <w:rPr>
                <w:sz w:val="22"/>
              </w:rPr>
            </w:pPr>
            <w:r>
              <w:rPr>
                <w:sz w:val="22"/>
              </w:rPr>
              <w:t xml:space="preserve"> </w:t>
            </w:r>
          </w:p>
        </w:tc>
      </w:tr>
      <w:tr w:rsidR="00772F14" w:rsidRPr="00A731E1" w14:paraId="42C668AC" w14:textId="77777777" w:rsidTr="00772F14">
        <w:trPr>
          <w:trHeight w:val="510"/>
        </w:trPr>
        <w:tc>
          <w:tcPr>
            <w:tcW w:w="2125" w:type="dxa"/>
            <w:tcBorders>
              <w:top w:val="single" w:sz="4" w:space="0" w:color="000000"/>
              <w:left w:val="single" w:sz="3" w:space="0" w:color="000000"/>
              <w:bottom w:val="single" w:sz="3" w:space="0" w:color="000000"/>
              <w:right w:val="single" w:sz="4" w:space="0" w:color="000000"/>
            </w:tcBorders>
          </w:tcPr>
          <w:p w14:paraId="428DDAB9" w14:textId="77777777" w:rsidR="00772F14" w:rsidRPr="00A731E1" w:rsidRDefault="00772F14" w:rsidP="0073232F">
            <w:pPr>
              <w:spacing w:after="0" w:line="240" w:lineRule="auto"/>
              <w:ind w:left="0" w:firstLine="0"/>
              <w:rPr>
                <w:sz w:val="22"/>
              </w:rPr>
            </w:pPr>
            <w:r>
              <w:rPr>
                <w:sz w:val="22"/>
              </w:rPr>
              <w:t xml:space="preserve">Rekurentná VTE alebo úmrtie z akejkoľvek príčiny </w:t>
            </w:r>
          </w:p>
        </w:tc>
        <w:tc>
          <w:tcPr>
            <w:tcW w:w="1458" w:type="dxa"/>
            <w:tcBorders>
              <w:top w:val="single" w:sz="4" w:space="0" w:color="000000"/>
              <w:left w:val="single" w:sz="4" w:space="0" w:color="000000"/>
              <w:bottom w:val="single" w:sz="3" w:space="0" w:color="000000"/>
              <w:right w:val="single" w:sz="4" w:space="0" w:color="000000"/>
            </w:tcBorders>
          </w:tcPr>
          <w:p w14:paraId="570CC771" w14:textId="77777777" w:rsidR="00772F14" w:rsidRPr="00174CED" w:rsidRDefault="00772F14" w:rsidP="0073232F">
            <w:pPr>
              <w:spacing w:after="0" w:line="240" w:lineRule="auto"/>
              <w:ind w:left="0" w:firstLine="0"/>
              <w:jc w:val="center"/>
              <w:rPr>
                <w:sz w:val="22"/>
              </w:rPr>
            </w:pPr>
            <w:r>
              <w:rPr>
                <w:sz w:val="22"/>
              </w:rPr>
              <w:t>19 (2,3)</w:t>
            </w:r>
          </w:p>
        </w:tc>
        <w:tc>
          <w:tcPr>
            <w:tcW w:w="1458" w:type="dxa"/>
            <w:tcBorders>
              <w:top w:val="single" w:sz="4" w:space="0" w:color="000000"/>
              <w:left w:val="single" w:sz="4" w:space="0" w:color="000000"/>
              <w:bottom w:val="single" w:sz="3" w:space="0" w:color="000000"/>
              <w:right w:val="single" w:sz="4" w:space="0" w:color="000000"/>
            </w:tcBorders>
          </w:tcPr>
          <w:p w14:paraId="204C2AE5" w14:textId="77777777" w:rsidR="00772F14" w:rsidRPr="00174CED" w:rsidRDefault="00772F14" w:rsidP="0073232F">
            <w:pPr>
              <w:spacing w:after="0" w:line="240" w:lineRule="auto"/>
              <w:ind w:left="0" w:firstLine="0"/>
              <w:jc w:val="center"/>
              <w:rPr>
                <w:sz w:val="22"/>
              </w:rPr>
            </w:pPr>
            <w:r>
              <w:rPr>
                <w:sz w:val="22"/>
              </w:rPr>
              <w:t>14 (1,7)</w:t>
            </w:r>
          </w:p>
        </w:tc>
        <w:tc>
          <w:tcPr>
            <w:tcW w:w="1456" w:type="dxa"/>
            <w:tcBorders>
              <w:top w:val="single" w:sz="4" w:space="0" w:color="000000"/>
              <w:left w:val="single" w:sz="4" w:space="0" w:color="000000"/>
              <w:bottom w:val="single" w:sz="3" w:space="0" w:color="000000"/>
              <w:right w:val="single" w:sz="3" w:space="0" w:color="000000"/>
            </w:tcBorders>
          </w:tcPr>
          <w:p w14:paraId="25165BCD" w14:textId="77777777" w:rsidR="00772F14" w:rsidRPr="00174CED" w:rsidRDefault="00772F14" w:rsidP="0073232F">
            <w:pPr>
              <w:spacing w:after="0" w:line="240" w:lineRule="auto"/>
              <w:ind w:left="0" w:firstLine="0"/>
              <w:jc w:val="center"/>
              <w:rPr>
                <w:sz w:val="22"/>
              </w:rPr>
            </w:pPr>
            <w:r>
              <w:rPr>
                <w:sz w:val="22"/>
              </w:rPr>
              <w:t>77 (9,3)</w:t>
            </w:r>
          </w:p>
        </w:tc>
        <w:tc>
          <w:tcPr>
            <w:tcW w:w="1452" w:type="dxa"/>
            <w:tcBorders>
              <w:top w:val="single" w:sz="4" w:space="0" w:color="000000"/>
              <w:left w:val="single" w:sz="3" w:space="0" w:color="000000"/>
              <w:bottom w:val="single" w:sz="3" w:space="0" w:color="000000"/>
              <w:right w:val="single" w:sz="3" w:space="0" w:color="000000"/>
            </w:tcBorders>
          </w:tcPr>
          <w:p w14:paraId="65CC7B52" w14:textId="77777777" w:rsidR="00772F14" w:rsidRPr="00174CED" w:rsidRDefault="00772F14" w:rsidP="0073232F">
            <w:pPr>
              <w:spacing w:after="0" w:line="240" w:lineRule="auto"/>
              <w:ind w:left="0" w:right="-99" w:firstLine="0"/>
              <w:jc w:val="center"/>
              <w:rPr>
                <w:sz w:val="22"/>
              </w:rPr>
            </w:pPr>
            <w:r>
              <w:rPr>
                <w:sz w:val="22"/>
              </w:rPr>
              <w:t>0,24</w:t>
            </w:r>
          </w:p>
          <w:p w14:paraId="70A3ED4D" w14:textId="77777777" w:rsidR="00772F14" w:rsidRPr="00174CED" w:rsidRDefault="00772F14" w:rsidP="0073232F">
            <w:pPr>
              <w:spacing w:after="0" w:line="240" w:lineRule="auto"/>
              <w:ind w:left="0" w:right="-99" w:firstLine="0"/>
              <w:jc w:val="center"/>
              <w:rPr>
                <w:sz w:val="22"/>
              </w:rPr>
            </w:pPr>
            <w:r>
              <w:rPr>
                <w:sz w:val="22"/>
              </w:rPr>
              <w:t>(0,15; 0,40)</w:t>
            </w:r>
            <w:r>
              <w:rPr>
                <w:sz w:val="22"/>
                <w:vertAlign w:val="superscript"/>
              </w:rPr>
              <w:t>¥</w:t>
            </w:r>
          </w:p>
        </w:tc>
        <w:tc>
          <w:tcPr>
            <w:tcW w:w="1456" w:type="dxa"/>
            <w:tcBorders>
              <w:top w:val="single" w:sz="4" w:space="0" w:color="000000"/>
              <w:left w:val="single" w:sz="3" w:space="0" w:color="000000"/>
              <w:bottom w:val="single" w:sz="3" w:space="0" w:color="000000"/>
              <w:right w:val="single" w:sz="4" w:space="0" w:color="000000"/>
            </w:tcBorders>
          </w:tcPr>
          <w:p w14:paraId="5BD38E1E" w14:textId="77777777" w:rsidR="00772F14" w:rsidRPr="00174CED" w:rsidRDefault="00772F14" w:rsidP="0073232F">
            <w:pPr>
              <w:spacing w:after="0" w:line="240" w:lineRule="auto"/>
              <w:ind w:left="0" w:firstLine="0"/>
              <w:jc w:val="center"/>
              <w:rPr>
                <w:sz w:val="22"/>
              </w:rPr>
            </w:pPr>
            <w:r>
              <w:rPr>
                <w:sz w:val="22"/>
              </w:rPr>
              <w:t>0,19</w:t>
            </w:r>
          </w:p>
          <w:p w14:paraId="5E000B82" w14:textId="77777777" w:rsidR="00772F14" w:rsidRPr="00174CED" w:rsidRDefault="00772F14" w:rsidP="0073232F">
            <w:pPr>
              <w:spacing w:after="0" w:line="240" w:lineRule="auto"/>
              <w:ind w:left="0" w:firstLine="0"/>
              <w:jc w:val="center"/>
              <w:rPr>
                <w:sz w:val="22"/>
              </w:rPr>
            </w:pPr>
            <w:r>
              <w:rPr>
                <w:sz w:val="22"/>
              </w:rPr>
              <w:t>(0,11; 0,33)</w:t>
            </w:r>
            <w:r>
              <w:rPr>
                <w:sz w:val="22"/>
                <w:vertAlign w:val="superscript"/>
              </w:rPr>
              <w:t>¥</w:t>
            </w:r>
          </w:p>
        </w:tc>
      </w:tr>
      <w:tr w:rsidR="00772F14" w:rsidRPr="00A731E1" w14:paraId="6B7D13A7" w14:textId="77777777" w:rsidTr="00772F14">
        <w:trPr>
          <w:trHeight w:val="510"/>
        </w:trPr>
        <w:tc>
          <w:tcPr>
            <w:tcW w:w="2125" w:type="dxa"/>
            <w:tcBorders>
              <w:top w:val="single" w:sz="3" w:space="0" w:color="000000"/>
              <w:left w:val="single" w:sz="3" w:space="0" w:color="000000"/>
              <w:bottom w:val="single" w:sz="3" w:space="0" w:color="000000"/>
              <w:right w:val="single" w:sz="4" w:space="0" w:color="000000"/>
            </w:tcBorders>
          </w:tcPr>
          <w:p w14:paraId="50AA5E48" w14:textId="77777777" w:rsidR="00772F14" w:rsidRPr="00A731E1" w:rsidRDefault="00772F14" w:rsidP="0073232F">
            <w:pPr>
              <w:spacing w:after="0" w:line="240" w:lineRule="auto"/>
              <w:ind w:left="229" w:firstLine="0"/>
              <w:rPr>
                <w:sz w:val="22"/>
              </w:rPr>
            </w:pPr>
            <w:r>
              <w:rPr>
                <w:sz w:val="22"/>
              </w:rPr>
              <w:t xml:space="preserve">DVT* </w:t>
            </w:r>
          </w:p>
        </w:tc>
        <w:tc>
          <w:tcPr>
            <w:tcW w:w="1458" w:type="dxa"/>
            <w:tcBorders>
              <w:top w:val="single" w:sz="3" w:space="0" w:color="000000"/>
              <w:left w:val="single" w:sz="4" w:space="0" w:color="000000"/>
              <w:bottom w:val="single" w:sz="3" w:space="0" w:color="000000"/>
              <w:right w:val="single" w:sz="4" w:space="0" w:color="000000"/>
            </w:tcBorders>
          </w:tcPr>
          <w:p w14:paraId="32EFDB28" w14:textId="77777777" w:rsidR="00772F14" w:rsidRPr="00174CED" w:rsidRDefault="00772F14" w:rsidP="0073232F">
            <w:pPr>
              <w:spacing w:after="0" w:line="240" w:lineRule="auto"/>
              <w:ind w:left="0" w:firstLine="0"/>
              <w:jc w:val="center"/>
              <w:rPr>
                <w:sz w:val="22"/>
              </w:rPr>
            </w:pPr>
            <w:r>
              <w:rPr>
                <w:sz w:val="22"/>
              </w:rPr>
              <w:t>6 (0,7)</w:t>
            </w:r>
          </w:p>
        </w:tc>
        <w:tc>
          <w:tcPr>
            <w:tcW w:w="1458" w:type="dxa"/>
            <w:tcBorders>
              <w:top w:val="single" w:sz="3" w:space="0" w:color="000000"/>
              <w:left w:val="single" w:sz="4" w:space="0" w:color="000000"/>
              <w:bottom w:val="single" w:sz="3" w:space="0" w:color="000000"/>
              <w:right w:val="single" w:sz="4" w:space="0" w:color="000000"/>
            </w:tcBorders>
          </w:tcPr>
          <w:p w14:paraId="36B74FB2" w14:textId="77777777" w:rsidR="00772F14" w:rsidRPr="00174CED" w:rsidRDefault="00772F14" w:rsidP="0073232F">
            <w:pPr>
              <w:spacing w:after="0" w:line="240" w:lineRule="auto"/>
              <w:ind w:left="0" w:firstLine="0"/>
              <w:jc w:val="center"/>
              <w:rPr>
                <w:sz w:val="22"/>
              </w:rPr>
            </w:pPr>
            <w:r>
              <w:rPr>
                <w:sz w:val="22"/>
              </w:rPr>
              <w:t>7 (0,9)</w:t>
            </w:r>
          </w:p>
        </w:tc>
        <w:tc>
          <w:tcPr>
            <w:tcW w:w="1456" w:type="dxa"/>
            <w:tcBorders>
              <w:top w:val="single" w:sz="3" w:space="0" w:color="000000"/>
              <w:left w:val="single" w:sz="4" w:space="0" w:color="000000"/>
              <w:bottom w:val="single" w:sz="3" w:space="0" w:color="000000"/>
              <w:right w:val="single" w:sz="3" w:space="0" w:color="000000"/>
            </w:tcBorders>
          </w:tcPr>
          <w:p w14:paraId="3179220D" w14:textId="77777777" w:rsidR="00772F14" w:rsidRPr="00174CED" w:rsidRDefault="00772F14" w:rsidP="0073232F">
            <w:pPr>
              <w:spacing w:after="0" w:line="240" w:lineRule="auto"/>
              <w:ind w:left="0" w:firstLine="0"/>
              <w:jc w:val="center"/>
              <w:rPr>
                <w:sz w:val="22"/>
              </w:rPr>
            </w:pPr>
            <w:r>
              <w:rPr>
                <w:sz w:val="22"/>
              </w:rPr>
              <w:t>53 (6,4)</w:t>
            </w:r>
          </w:p>
        </w:tc>
        <w:tc>
          <w:tcPr>
            <w:tcW w:w="1452" w:type="dxa"/>
            <w:tcBorders>
              <w:top w:val="single" w:sz="3" w:space="0" w:color="000000"/>
              <w:left w:val="single" w:sz="3" w:space="0" w:color="000000"/>
              <w:bottom w:val="single" w:sz="3" w:space="0" w:color="000000"/>
              <w:right w:val="single" w:sz="3" w:space="0" w:color="000000"/>
            </w:tcBorders>
          </w:tcPr>
          <w:p w14:paraId="0F1C2404" w14:textId="77777777" w:rsidR="00772F14" w:rsidRPr="00174CED" w:rsidRDefault="00772F14" w:rsidP="0073232F">
            <w:pPr>
              <w:spacing w:after="0" w:line="240" w:lineRule="auto"/>
              <w:ind w:left="0" w:firstLine="0"/>
              <w:jc w:val="center"/>
              <w:rPr>
                <w:sz w:val="22"/>
                <w:lang w:val="en-GB"/>
              </w:rPr>
            </w:pPr>
          </w:p>
        </w:tc>
        <w:tc>
          <w:tcPr>
            <w:tcW w:w="1456" w:type="dxa"/>
            <w:tcBorders>
              <w:top w:val="single" w:sz="3" w:space="0" w:color="000000"/>
              <w:left w:val="single" w:sz="3" w:space="0" w:color="000000"/>
              <w:bottom w:val="single" w:sz="3" w:space="0" w:color="000000"/>
              <w:right w:val="single" w:sz="4" w:space="0" w:color="000000"/>
            </w:tcBorders>
          </w:tcPr>
          <w:p w14:paraId="459E7862" w14:textId="77777777" w:rsidR="00772F14" w:rsidRPr="00174CED" w:rsidRDefault="00772F14" w:rsidP="0073232F">
            <w:pPr>
              <w:spacing w:after="0" w:line="240" w:lineRule="auto"/>
              <w:ind w:left="0" w:firstLine="0"/>
              <w:jc w:val="center"/>
              <w:rPr>
                <w:sz w:val="22"/>
                <w:lang w:val="en-GB"/>
              </w:rPr>
            </w:pPr>
          </w:p>
        </w:tc>
      </w:tr>
      <w:tr w:rsidR="00772F14" w:rsidRPr="00A731E1" w14:paraId="75FF0311" w14:textId="77777777" w:rsidTr="00772F14">
        <w:trPr>
          <w:trHeight w:val="510"/>
        </w:trPr>
        <w:tc>
          <w:tcPr>
            <w:tcW w:w="2125" w:type="dxa"/>
            <w:tcBorders>
              <w:top w:val="single" w:sz="3" w:space="0" w:color="000000"/>
              <w:left w:val="single" w:sz="3" w:space="0" w:color="000000"/>
              <w:bottom w:val="single" w:sz="3" w:space="0" w:color="000000"/>
              <w:right w:val="single" w:sz="4" w:space="0" w:color="000000"/>
            </w:tcBorders>
          </w:tcPr>
          <w:p w14:paraId="3867D585" w14:textId="77777777" w:rsidR="00772F14" w:rsidRPr="00A731E1" w:rsidRDefault="00772F14" w:rsidP="0073232F">
            <w:pPr>
              <w:spacing w:after="0" w:line="240" w:lineRule="auto"/>
              <w:ind w:left="229" w:firstLine="0"/>
              <w:rPr>
                <w:sz w:val="22"/>
              </w:rPr>
            </w:pPr>
            <w:r>
              <w:rPr>
                <w:sz w:val="22"/>
              </w:rPr>
              <w:t xml:space="preserve">PE* </w:t>
            </w:r>
          </w:p>
        </w:tc>
        <w:tc>
          <w:tcPr>
            <w:tcW w:w="1458" w:type="dxa"/>
            <w:tcBorders>
              <w:top w:val="single" w:sz="3" w:space="0" w:color="000000"/>
              <w:left w:val="single" w:sz="4" w:space="0" w:color="000000"/>
              <w:bottom w:val="single" w:sz="3" w:space="0" w:color="000000"/>
              <w:right w:val="single" w:sz="4" w:space="0" w:color="000000"/>
            </w:tcBorders>
          </w:tcPr>
          <w:p w14:paraId="02771FDE" w14:textId="77777777" w:rsidR="00772F14" w:rsidRPr="00174CED" w:rsidRDefault="00772F14" w:rsidP="0073232F">
            <w:pPr>
              <w:spacing w:after="0" w:line="240" w:lineRule="auto"/>
              <w:ind w:left="0" w:firstLine="0"/>
              <w:jc w:val="center"/>
              <w:rPr>
                <w:sz w:val="22"/>
              </w:rPr>
            </w:pPr>
            <w:r>
              <w:rPr>
                <w:sz w:val="22"/>
              </w:rPr>
              <w:t>7 (0,8)</w:t>
            </w:r>
          </w:p>
        </w:tc>
        <w:tc>
          <w:tcPr>
            <w:tcW w:w="1458" w:type="dxa"/>
            <w:tcBorders>
              <w:top w:val="single" w:sz="3" w:space="0" w:color="000000"/>
              <w:left w:val="single" w:sz="4" w:space="0" w:color="000000"/>
              <w:bottom w:val="single" w:sz="3" w:space="0" w:color="000000"/>
              <w:right w:val="single" w:sz="4" w:space="0" w:color="000000"/>
            </w:tcBorders>
          </w:tcPr>
          <w:p w14:paraId="2F0E453E" w14:textId="77777777" w:rsidR="00772F14" w:rsidRPr="00174CED" w:rsidRDefault="00772F14" w:rsidP="0073232F">
            <w:pPr>
              <w:spacing w:after="0" w:line="240" w:lineRule="auto"/>
              <w:ind w:left="0" w:firstLine="0"/>
              <w:jc w:val="center"/>
              <w:rPr>
                <w:sz w:val="22"/>
              </w:rPr>
            </w:pPr>
            <w:r>
              <w:rPr>
                <w:sz w:val="22"/>
              </w:rPr>
              <w:t>4 (0,5)</w:t>
            </w:r>
          </w:p>
        </w:tc>
        <w:tc>
          <w:tcPr>
            <w:tcW w:w="1456" w:type="dxa"/>
            <w:tcBorders>
              <w:top w:val="single" w:sz="3" w:space="0" w:color="000000"/>
              <w:left w:val="single" w:sz="4" w:space="0" w:color="000000"/>
              <w:bottom w:val="single" w:sz="3" w:space="0" w:color="000000"/>
              <w:right w:val="single" w:sz="3" w:space="0" w:color="000000"/>
            </w:tcBorders>
          </w:tcPr>
          <w:p w14:paraId="51831AD7" w14:textId="77777777" w:rsidR="00772F14" w:rsidRPr="00174CED" w:rsidRDefault="00772F14" w:rsidP="0073232F">
            <w:pPr>
              <w:spacing w:after="0" w:line="240" w:lineRule="auto"/>
              <w:ind w:left="0" w:firstLine="0"/>
              <w:jc w:val="center"/>
              <w:rPr>
                <w:sz w:val="22"/>
              </w:rPr>
            </w:pPr>
            <w:r>
              <w:rPr>
                <w:sz w:val="22"/>
              </w:rPr>
              <w:t>13 (1,6)</w:t>
            </w:r>
          </w:p>
        </w:tc>
        <w:tc>
          <w:tcPr>
            <w:tcW w:w="1452" w:type="dxa"/>
            <w:tcBorders>
              <w:top w:val="single" w:sz="3" w:space="0" w:color="000000"/>
              <w:left w:val="single" w:sz="3" w:space="0" w:color="000000"/>
              <w:bottom w:val="single" w:sz="3" w:space="0" w:color="000000"/>
              <w:right w:val="single" w:sz="3" w:space="0" w:color="000000"/>
            </w:tcBorders>
          </w:tcPr>
          <w:p w14:paraId="2DA9873E" w14:textId="77777777" w:rsidR="00772F14" w:rsidRPr="00174CED" w:rsidRDefault="00772F14" w:rsidP="0073232F">
            <w:pPr>
              <w:spacing w:after="0" w:line="240" w:lineRule="auto"/>
              <w:ind w:left="0" w:firstLine="0"/>
              <w:jc w:val="center"/>
              <w:rPr>
                <w:sz w:val="22"/>
                <w:lang w:val="en-GB"/>
              </w:rPr>
            </w:pPr>
          </w:p>
        </w:tc>
        <w:tc>
          <w:tcPr>
            <w:tcW w:w="1456" w:type="dxa"/>
            <w:tcBorders>
              <w:top w:val="single" w:sz="3" w:space="0" w:color="000000"/>
              <w:left w:val="single" w:sz="3" w:space="0" w:color="000000"/>
              <w:bottom w:val="single" w:sz="3" w:space="0" w:color="000000"/>
              <w:right w:val="single" w:sz="4" w:space="0" w:color="000000"/>
            </w:tcBorders>
          </w:tcPr>
          <w:p w14:paraId="5BB626E5" w14:textId="77777777" w:rsidR="00772F14" w:rsidRPr="00174CED" w:rsidRDefault="00772F14" w:rsidP="0073232F">
            <w:pPr>
              <w:spacing w:after="0" w:line="240" w:lineRule="auto"/>
              <w:ind w:left="0" w:firstLine="0"/>
              <w:jc w:val="center"/>
              <w:rPr>
                <w:sz w:val="22"/>
                <w:lang w:val="en-GB"/>
              </w:rPr>
            </w:pPr>
          </w:p>
        </w:tc>
      </w:tr>
      <w:tr w:rsidR="00772F14" w:rsidRPr="00A731E1" w14:paraId="4CE896C2" w14:textId="77777777" w:rsidTr="00772F14">
        <w:trPr>
          <w:trHeight w:val="510"/>
        </w:trPr>
        <w:tc>
          <w:tcPr>
            <w:tcW w:w="2125" w:type="dxa"/>
            <w:tcBorders>
              <w:top w:val="single" w:sz="3" w:space="0" w:color="000000"/>
              <w:left w:val="single" w:sz="3" w:space="0" w:color="000000"/>
              <w:bottom w:val="single" w:sz="4" w:space="0" w:color="000000"/>
              <w:right w:val="single" w:sz="4" w:space="0" w:color="000000"/>
            </w:tcBorders>
          </w:tcPr>
          <w:p w14:paraId="5325A83F" w14:textId="77777777" w:rsidR="00772F14" w:rsidRPr="00A731E1" w:rsidRDefault="00772F14" w:rsidP="0073232F">
            <w:pPr>
              <w:spacing w:after="0" w:line="240" w:lineRule="auto"/>
              <w:ind w:left="229" w:firstLine="0"/>
              <w:rPr>
                <w:sz w:val="22"/>
              </w:rPr>
            </w:pPr>
            <w:r>
              <w:rPr>
                <w:sz w:val="22"/>
              </w:rPr>
              <w:t xml:space="preserve">Úmrtie z akejkoľvek príčiny </w:t>
            </w:r>
          </w:p>
        </w:tc>
        <w:tc>
          <w:tcPr>
            <w:tcW w:w="1458" w:type="dxa"/>
            <w:tcBorders>
              <w:top w:val="single" w:sz="3" w:space="0" w:color="000000"/>
              <w:left w:val="single" w:sz="4" w:space="0" w:color="000000"/>
              <w:bottom w:val="single" w:sz="4" w:space="0" w:color="000000"/>
              <w:right w:val="single" w:sz="4" w:space="0" w:color="000000"/>
            </w:tcBorders>
          </w:tcPr>
          <w:p w14:paraId="66B46980" w14:textId="77777777" w:rsidR="00772F14" w:rsidRPr="00174CED" w:rsidRDefault="00772F14" w:rsidP="0073232F">
            <w:pPr>
              <w:spacing w:after="0" w:line="240" w:lineRule="auto"/>
              <w:ind w:left="0" w:firstLine="0"/>
              <w:jc w:val="center"/>
              <w:rPr>
                <w:sz w:val="22"/>
              </w:rPr>
            </w:pPr>
            <w:r>
              <w:rPr>
                <w:sz w:val="22"/>
              </w:rPr>
              <w:t>6 (0,7)</w:t>
            </w:r>
          </w:p>
        </w:tc>
        <w:tc>
          <w:tcPr>
            <w:tcW w:w="1458" w:type="dxa"/>
            <w:tcBorders>
              <w:top w:val="single" w:sz="3" w:space="0" w:color="000000"/>
              <w:left w:val="single" w:sz="4" w:space="0" w:color="000000"/>
              <w:bottom w:val="single" w:sz="4" w:space="0" w:color="000000"/>
              <w:right w:val="single" w:sz="4" w:space="0" w:color="000000"/>
            </w:tcBorders>
          </w:tcPr>
          <w:p w14:paraId="324053EE" w14:textId="77777777" w:rsidR="00772F14" w:rsidRPr="00174CED" w:rsidRDefault="00772F14" w:rsidP="0073232F">
            <w:pPr>
              <w:spacing w:after="0" w:line="240" w:lineRule="auto"/>
              <w:ind w:left="0" w:firstLine="0"/>
              <w:jc w:val="center"/>
              <w:rPr>
                <w:sz w:val="22"/>
              </w:rPr>
            </w:pPr>
            <w:r>
              <w:rPr>
                <w:sz w:val="22"/>
              </w:rPr>
              <w:t>3 (0,4)</w:t>
            </w:r>
          </w:p>
        </w:tc>
        <w:tc>
          <w:tcPr>
            <w:tcW w:w="1456" w:type="dxa"/>
            <w:tcBorders>
              <w:top w:val="single" w:sz="3" w:space="0" w:color="000000"/>
              <w:left w:val="single" w:sz="4" w:space="0" w:color="000000"/>
              <w:bottom w:val="single" w:sz="4" w:space="0" w:color="000000"/>
              <w:right w:val="single" w:sz="3" w:space="0" w:color="000000"/>
            </w:tcBorders>
          </w:tcPr>
          <w:p w14:paraId="68E091AC" w14:textId="77777777" w:rsidR="00772F14" w:rsidRPr="00174CED" w:rsidRDefault="00772F14" w:rsidP="0073232F">
            <w:pPr>
              <w:spacing w:after="0" w:line="240" w:lineRule="auto"/>
              <w:ind w:left="0" w:firstLine="0"/>
              <w:jc w:val="center"/>
              <w:rPr>
                <w:sz w:val="22"/>
              </w:rPr>
            </w:pPr>
            <w:r>
              <w:rPr>
                <w:sz w:val="22"/>
              </w:rPr>
              <w:t>11 (1,3)</w:t>
            </w:r>
          </w:p>
        </w:tc>
        <w:tc>
          <w:tcPr>
            <w:tcW w:w="1452" w:type="dxa"/>
            <w:tcBorders>
              <w:top w:val="single" w:sz="3" w:space="0" w:color="000000"/>
              <w:left w:val="single" w:sz="3" w:space="0" w:color="000000"/>
              <w:bottom w:val="single" w:sz="4" w:space="0" w:color="000000"/>
              <w:right w:val="single" w:sz="3" w:space="0" w:color="000000"/>
            </w:tcBorders>
          </w:tcPr>
          <w:p w14:paraId="0A4166E1" w14:textId="77777777" w:rsidR="00772F14" w:rsidRPr="00174CED" w:rsidRDefault="00772F14" w:rsidP="0073232F">
            <w:pPr>
              <w:spacing w:after="0" w:line="240" w:lineRule="auto"/>
              <w:ind w:left="0" w:firstLine="0"/>
              <w:jc w:val="center"/>
              <w:rPr>
                <w:sz w:val="22"/>
                <w:lang w:val="en-GB"/>
              </w:rPr>
            </w:pPr>
          </w:p>
        </w:tc>
        <w:tc>
          <w:tcPr>
            <w:tcW w:w="1456" w:type="dxa"/>
            <w:tcBorders>
              <w:top w:val="single" w:sz="3" w:space="0" w:color="000000"/>
              <w:left w:val="single" w:sz="3" w:space="0" w:color="000000"/>
              <w:bottom w:val="single" w:sz="4" w:space="0" w:color="000000"/>
              <w:right w:val="single" w:sz="4" w:space="0" w:color="000000"/>
            </w:tcBorders>
          </w:tcPr>
          <w:p w14:paraId="0A146EBA" w14:textId="77777777" w:rsidR="00772F14" w:rsidRPr="00174CED" w:rsidRDefault="00772F14" w:rsidP="0073232F">
            <w:pPr>
              <w:spacing w:after="0" w:line="240" w:lineRule="auto"/>
              <w:ind w:left="0" w:firstLine="0"/>
              <w:jc w:val="center"/>
              <w:rPr>
                <w:sz w:val="22"/>
                <w:lang w:val="en-GB"/>
              </w:rPr>
            </w:pPr>
          </w:p>
        </w:tc>
      </w:tr>
      <w:tr w:rsidR="00772F14" w:rsidRPr="00A731E1" w14:paraId="4AF7DABD" w14:textId="77777777" w:rsidTr="00772F14">
        <w:trPr>
          <w:trHeight w:val="510"/>
        </w:trPr>
        <w:tc>
          <w:tcPr>
            <w:tcW w:w="2125" w:type="dxa"/>
            <w:tcBorders>
              <w:top w:val="single" w:sz="4" w:space="0" w:color="000000"/>
              <w:left w:val="single" w:sz="3" w:space="0" w:color="000000"/>
              <w:bottom w:val="single" w:sz="3" w:space="0" w:color="000000"/>
              <w:right w:val="single" w:sz="4" w:space="0" w:color="000000"/>
            </w:tcBorders>
          </w:tcPr>
          <w:p w14:paraId="11EC6B5E" w14:textId="77777777" w:rsidR="00772F14" w:rsidRPr="00A731E1" w:rsidRDefault="00772F14" w:rsidP="0073232F">
            <w:pPr>
              <w:spacing w:after="0" w:line="240" w:lineRule="auto"/>
              <w:ind w:left="0" w:firstLine="0"/>
              <w:rPr>
                <w:sz w:val="22"/>
              </w:rPr>
            </w:pPr>
            <w:r>
              <w:rPr>
                <w:sz w:val="22"/>
              </w:rPr>
              <w:t xml:space="preserve">Rekurentná VTE alebo úmrtie súvisiace s VTE </w:t>
            </w:r>
          </w:p>
        </w:tc>
        <w:tc>
          <w:tcPr>
            <w:tcW w:w="1458" w:type="dxa"/>
            <w:tcBorders>
              <w:top w:val="single" w:sz="4" w:space="0" w:color="000000"/>
              <w:left w:val="single" w:sz="4" w:space="0" w:color="000000"/>
              <w:bottom w:val="single" w:sz="3" w:space="0" w:color="000000"/>
              <w:right w:val="single" w:sz="4" w:space="0" w:color="000000"/>
            </w:tcBorders>
          </w:tcPr>
          <w:p w14:paraId="35DFB54A" w14:textId="77777777" w:rsidR="00772F14" w:rsidRPr="00174CED" w:rsidRDefault="00772F14" w:rsidP="0073232F">
            <w:pPr>
              <w:spacing w:after="0" w:line="240" w:lineRule="auto"/>
              <w:ind w:left="0" w:firstLine="0"/>
              <w:jc w:val="center"/>
              <w:rPr>
                <w:sz w:val="22"/>
              </w:rPr>
            </w:pPr>
            <w:r>
              <w:rPr>
                <w:sz w:val="22"/>
              </w:rPr>
              <w:t>14 (1,7)</w:t>
            </w:r>
          </w:p>
        </w:tc>
        <w:tc>
          <w:tcPr>
            <w:tcW w:w="1458" w:type="dxa"/>
            <w:tcBorders>
              <w:top w:val="single" w:sz="4" w:space="0" w:color="000000"/>
              <w:left w:val="single" w:sz="4" w:space="0" w:color="000000"/>
              <w:bottom w:val="single" w:sz="3" w:space="0" w:color="000000"/>
              <w:right w:val="single" w:sz="4" w:space="0" w:color="000000"/>
            </w:tcBorders>
          </w:tcPr>
          <w:p w14:paraId="623A9DF0" w14:textId="77777777" w:rsidR="00772F14" w:rsidRPr="00174CED" w:rsidRDefault="00772F14" w:rsidP="0073232F">
            <w:pPr>
              <w:spacing w:after="0" w:line="240" w:lineRule="auto"/>
              <w:ind w:left="0" w:firstLine="0"/>
              <w:jc w:val="center"/>
              <w:rPr>
                <w:sz w:val="22"/>
              </w:rPr>
            </w:pPr>
            <w:r>
              <w:rPr>
                <w:sz w:val="22"/>
              </w:rPr>
              <w:t>14 (1,7)</w:t>
            </w:r>
          </w:p>
        </w:tc>
        <w:tc>
          <w:tcPr>
            <w:tcW w:w="1456" w:type="dxa"/>
            <w:tcBorders>
              <w:top w:val="single" w:sz="4" w:space="0" w:color="000000"/>
              <w:left w:val="single" w:sz="4" w:space="0" w:color="000000"/>
              <w:bottom w:val="single" w:sz="3" w:space="0" w:color="000000"/>
              <w:right w:val="single" w:sz="3" w:space="0" w:color="000000"/>
            </w:tcBorders>
          </w:tcPr>
          <w:p w14:paraId="7DC9FA04" w14:textId="77777777" w:rsidR="00772F14" w:rsidRPr="00174CED" w:rsidRDefault="00772F14" w:rsidP="0073232F">
            <w:pPr>
              <w:spacing w:after="0" w:line="240" w:lineRule="auto"/>
              <w:ind w:left="0" w:firstLine="0"/>
              <w:jc w:val="center"/>
              <w:rPr>
                <w:sz w:val="22"/>
              </w:rPr>
            </w:pPr>
            <w:r>
              <w:rPr>
                <w:sz w:val="22"/>
              </w:rPr>
              <w:t>73 (8,8)</w:t>
            </w:r>
          </w:p>
        </w:tc>
        <w:tc>
          <w:tcPr>
            <w:tcW w:w="1452" w:type="dxa"/>
            <w:tcBorders>
              <w:top w:val="single" w:sz="4" w:space="0" w:color="000000"/>
              <w:left w:val="single" w:sz="3" w:space="0" w:color="000000"/>
              <w:bottom w:val="single" w:sz="3" w:space="0" w:color="000000"/>
              <w:right w:val="single" w:sz="3" w:space="0" w:color="000000"/>
            </w:tcBorders>
          </w:tcPr>
          <w:p w14:paraId="488978FE" w14:textId="77777777" w:rsidR="00772F14" w:rsidRPr="00174CED" w:rsidRDefault="00772F14" w:rsidP="0073232F">
            <w:pPr>
              <w:spacing w:after="0" w:line="240" w:lineRule="auto"/>
              <w:ind w:left="0" w:right="-99" w:firstLine="0"/>
              <w:jc w:val="center"/>
              <w:rPr>
                <w:sz w:val="22"/>
              </w:rPr>
            </w:pPr>
            <w:r>
              <w:rPr>
                <w:sz w:val="22"/>
              </w:rPr>
              <w:t>0,19</w:t>
            </w:r>
          </w:p>
          <w:p w14:paraId="5CF386C2" w14:textId="77777777" w:rsidR="00772F14" w:rsidRPr="00174CED" w:rsidRDefault="00772F14" w:rsidP="0073232F">
            <w:pPr>
              <w:spacing w:after="0" w:line="240" w:lineRule="auto"/>
              <w:ind w:left="0" w:right="-99" w:firstLine="0"/>
              <w:jc w:val="center"/>
              <w:rPr>
                <w:sz w:val="22"/>
              </w:rPr>
            </w:pPr>
            <w:r>
              <w:rPr>
                <w:sz w:val="22"/>
              </w:rPr>
              <w:t>0,11; 0,33)</w:t>
            </w:r>
          </w:p>
        </w:tc>
        <w:tc>
          <w:tcPr>
            <w:tcW w:w="1456" w:type="dxa"/>
            <w:tcBorders>
              <w:top w:val="single" w:sz="4" w:space="0" w:color="000000"/>
              <w:left w:val="single" w:sz="3" w:space="0" w:color="000000"/>
              <w:bottom w:val="single" w:sz="3" w:space="0" w:color="000000"/>
              <w:right w:val="single" w:sz="4" w:space="0" w:color="000000"/>
            </w:tcBorders>
          </w:tcPr>
          <w:p w14:paraId="05859C31" w14:textId="77777777" w:rsidR="00772F14" w:rsidRPr="00174CED" w:rsidRDefault="00772F14" w:rsidP="0073232F">
            <w:pPr>
              <w:spacing w:after="0" w:line="240" w:lineRule="auto"/>
              <w:ind w:left="0" w:firstLine="0"/>
              <w:jc w:val="center"/>
              <w:rPr>
                <w:sz w:val="22"/>
              </w:rPr>
            </w:pPr>
            <w:r>
              <w:rPr>
                <w:sz w:val="22"/>
              </w:rPr>
              <w:t>0,20</w:t>
            </w:r>
          </w:p>
          <w:p w14:paraId="71C5C3DD" w14:textId="77777777" w:rsidR="00772F14" w:rsidRPr="00174CED" w:rsidRDefault="00772F14" w:rsidP="0073232F">
            <w:pPr>
              <w:spacing w:after="0" w:line="240" w:lineRule="auto"/>
              <w:ind w:left="0" w:firstLine="0"/>
              <w:jc w:val="center"/>
              <w:rPr>
                <w:sz w:val="22"/>
              </w:rPr>
            </w:pPr>
            <w:r>
              <w:rPr>
                <w:sz w:val="22"/>
              </w:rPr>
              <w:t>0,11; 0,34)</w:t>
            </w:r>
          </w:p>
        </w:tc>
      </w:tr>
      <w:tr w:rsidR="00772F14" w:rsidRPr="00A731E1" w14:paraId="31481096" w14:textId="77777777" w:rsidTr="00772F14">
        <w:trPr>
          <w:trHeight w:val="510"/>
        </w:trPr>
        <w:tc>
          <w:tcPr>
            <w:tcW w:w="2125" w:type="dxa"/>
            <w:tcBorders>
              <w:top w:val="single" w:sz="3" w:space="0" w:color="000000"/>
              <w:left w:val="single" w:sz="3" w:space="0" w:color="000000"/>
              <w:bottom w:val="single" w:sz="3" w:space="0" w:color="000000"/>
              <w:right w:val="single" w:sz="4" w:space="0" w:color="000000"/>
            </w:tcBorders>
          </w:tcPr>
          <w:p w14:paraId="218F5C67" w14:textId="589F5CC9" w:rsidR="00772F14" w:rsidRPr="00A731E1" w:rsidRDefault="00772F14" w:rsidP="004B7500">
            <w:pPr>
              <w:spacing w:after="0" w:line="240" w:lineRule="auto"/>
              <w:ind w:left="0" w:firstLine="0"/>
              <w:rPr>
                <w:sz w:val="22"/>
              </w:rPr>
            </w:pPr>
            <w:r>
              <w:rPr>
                <w:sz w:val="22"/>
              </w:rPr>
              <w:t xml:space="preserve">Rekurentná VTE alebo úmrtie </w:t>
            </w:r>
            <w:r w:rsidR="004B7500">
              <w:rPr>
                <w:sz w:val="22"/>
              </w:rPr>
              <w:t> z KV príčin</w:t>
            </w:r>
            <w:r>
              <w:rPr>
                <w:sz w:val="22"/>
              </w:rPr>
              <w:t xml:space="preserve"> </w:t>
            </w:r>
          </w:p>
        </w:tc>
        <w:tc>
          <w:tcPr>
            <w:tcW w:w="1458" w:type="dxa"/>
            <w:tcBorders>
              <w:top w:val="single" w:sz="3" w:space="0" w:color="000000"/>
              <w:left w:val="single" w:sz="4" w:space="0" w:color="000000"/>
              <w:bottom w:val="single" w:sz="3" w:space="0" w:color="000000"/>
              <w:right w:val="single" w:sz="4" w:space="0" w:color="000000"/>
            </w:tcBorders>
          </w:tcPr>
          <w:p w14:paraId="13D8A9CC" w14:textId="77777777" w:rsidR="00772F14" w:rsidRPr="00174CED" w:rsidRDefault="00772F14" w:rsidP="0073232F">
            <w:pPr>
              <w:spacing w:after="0" w:line="240" w:lineRule="auto"/>
              <w:ind w:left="0" w:firstLine="0"/>
              <w:jc w:val="center"/>
              <w:rPr>
                <w:sz w:val="22"/>
              </w:rPr>
            </w:pPr>
            <w:r>
              <w:rPr>
                <w:sz w:val="22"/>
              </w:rPr>
              <w:t>14 (1,7)</w:t>
            </w:r>
          </w:p>
        </w:tc>
        <w:tc>
          <w:tcPr>
            <w:tcW w:w="1458" w:type="dxa"/>
            <w:tcBorders>
              <w:top w:val="single" w:sz="3" w:space="0" w:color="000000"/>
              <w:left w:val="single" w:sz="4" w:space="0" w:color="000000"/>
              <w:bottom w:val="single" w:sz="3" w:space="0" w:color="000000"/>
              <w:right w:val="single" w:sz="4" w:space="0" w:color="000000"/>
            </w:tcBorders>
          </w:tcPr>
          <w:p w14:paraId="79F6AA6F" w14:textId="77777777" w:rsidR="00772F14" w:rsidRPr="00174CED" w:rsidRDefault="00772F14" w:rsidP="0073232F">
            <w:pPr>
              <w:spacing w:after="0" w:line="240" w:lineRule="auto"/>
              <w:ind w:left="0" w:firstLine="0"/>
              <w:jc w:val="center"/>
              <w:rPr>
                <w:sz w:val="22"/>
              </w:rPr>
            </w:pPr>
            <w:r>
              <w:rPr>
                <w:sz w:val="22"/>
              </w:rPr>
              <w:t>14 (1,7)</w:t>
            </w:r>
          </w:p>
        </w:tc>
        <w:tc>
          <w:tcPr>
            <w:tcW w:w="1456" w:type="dxa"/>
            <w:tcBorders>
              <w:top w:val="single" w:sz="3" w:space="0" w:color="000000"/>
              <w:left w:val="single" w:sz="4" w:space="0" w:color="000000"/>
              <w:bottom w:val="single" w:sz="3" w:space="0" w:color="000000"/>
              <w:right w:val="single" w:sz="3" w:space="0" w:color="000000"/>
            </w:tcBorders>
          </w:tcPr>
          <w:p w14:paraId="06F54E6D" w14:textId="77777777" w:rsidR="00772F14" w:rsidRPr="00174CED" w:rsidRDefault="00772F14" w:rsidP="0073232F">
            <w:pPr>
              <w:spacing w:after="0" w:line="240" w:lineRule="auto"/>
              <w:ind w:left="0" w:firstLine="0"/>
              <w:jc w:val="center"/>
              <w:rPr>
                <w:sz w:val="22"/>
              </w:rPr>
            </w:pPr>
            <w:r>
              <w:rPr>
                <w:sz w:val="22"/>
              </w:rPr>
              <w:t>76 (9,2)</w:t>
            </w:r>
          </w:p>
        </w:tc>
        <w:tc>
          <w:tcPr>
            <w:tcW w:w="1452" w:type="dxa"/>
            <w:tcBorders>
              <w:top w:val="single" w:sz="3" w:space="0" w:color="000000"/>
              <w:left w:val="single" w:sz="3" w:space="0" w:color="000000"/>
              <w:bottom w:val="single" w:sz="3" w:space="0" w:color="000000"/>
              <w:right w:val="single" w:sz="3" w:space="0" w:color="000000"/>
            </w:tcBorders>
          </w:tcPr>
          <w:p w14:paraId="0BCE66DF" w14:textId="77777777" w:rsidR="00BA77E4" w:rsidRDefault="00772F14" w:rsidP="0073232F">
            <w:pPr>
              <w:spacing w:after="0" w:line="240" w:lineRule="auto"/>
              <w:ind w:left="0" w:right="-99" w:firstLine="0"/>
              <w:jc w:val="center"/>
              <w:rPr>
                <w:sz w:val="22"/>
              </w:rPr>
            </w:pPr>
            <w:r>
              <w:rPr>
                <w:sz w:val="22"/>
              </w:rPr>
              <w:t xml:space="preserve">0,18 </w:t>
            </w:r>
          </w:p>
          <w:p w14:paraId="084D2021" w14:textId="77777777" w:rsidR="00772F14" w:rsidRPr="00174CED" w:rsidRDefault="00772F14" w:rsidP="0073232F">
            <w:pPr>
              <w:spacing w:after="0" w:line="240" w:lineRule="auto"/>
              <w:ind w:left="0" w:right="-99" w:firstLine="0"/>
              <w:jc w:val="center"/>
              <w:rPr>
                <w:sz w:val="22"/>
              </w:rPr>
            </w:pPr>
            <w:r>
              <w:rPr>
                <w:sz w:val="22"/>
              </w:rPr>
              <w:t>0,10; 0,32)</w:t>
            </w:r>
          </w:p>
        </w:tc>
        <w:tc>
          <w:tcPr>
            <w:tcW w:w="1456" w:type="dxa"/>
            <w:tcBorders>
              <w:top w:val="single" w:sz="3" w:space="0" w:color="000000"/>
              <w:left w:val="single" w:sz="3" w:space="0" w:color="000000"/>
              <w:bottom w:val="single" w:sz="3" w:space="0" w:color="000000"/>
              <w:right w:val="single" w:sz="4" w:space="0" w:color="000000"/>
            </w:tcBorders>
          </w:tcPr>
          <w:p w14:paraId="11D63E6D" w14:textId="77777777" w:rsidR="00BA77E4" w:rsidRDefault="00772F14" w:rsidP="0073232F">
            <w:pPr>
              <w:spacing w:after="0" w:line="240" w:lineRule="auto"/>
              <w:ind w:left="0" w:firstLine="0"/>
              <w:jc w:val="center"/>
              <w:rPr>
                <w:sz w:val="22"/>
              </w:rPr>
            </w:pPr>
            <w:r>
              <w:rPr>
                <w:sz w:val="22"/>
              </w:rPr>
              <w:t xml:space="preserve">0,19 </w:t>
            </w:r>
          </w:p>
          <w:p w14:paraId="6325840F" w14:textId="77777777" w:rsidR="00772F14" w:rsidRPr="00174CED" w:rsidRDefault="00772F14" w:rsidP="0073232F">
            <w:pPr>
              <w:spacing w:after="0" w:line="240" w:lineRule="auto"/>
              <w:ind w:left="0" w:firstLine="0"/>
              <w:jc w:val="center"/>
              <w:rPr>
                <w:sz w:val="22"/>
              </w:rPr>
            </w:pPr>
            <w:r>
              <w:rPr>
                <w:sz w:val="22"/>
              </w:rPr>
              <w:t>(0,11; 0,33)</w:t>
            </w:r>
          </w:p>
        </w:tc>
      </w:tr>
      <w:tr w:rsidR="00772F14" w:rsidRPr="00A731E1" w14:paraId="33A5E6BA" w14:textId="77777777" w:rsidTr="00772F14">
        <w:trPr>
          <w:trHeight w:val="510"/>
        </w:trPr>
        <w:tc>
          <w:tcPr>
            <w:tcW w:w="2125" w:type="dxa"/>
            <w:tcBorders>
              <w:top w:val="single" w:sz="3" w:space="0" w:color="000000"/>
              <w:left w:val="single" w:sz="3" w:space="0" w:color="000000"/>
              <w:bottom w:val="single" w:sz="4" w:space="0" w:color="000000"/>
              <w:right w:val="single" w:sz="4" w:space="0" w:color="000000"/>
            </w:tcBorders>
          </w:tcPr>
          <w:p w14:paraId="34B11BDE" w14:textId="74B77710" w:rsidR="00772F14" w:rsidRPr="00A731E1" w:rsidRDefault="004B7500" w:rsidP="004B7500">
            <w:pPr>
              <w:spacing w:after="0" w:line="240" w:lineRule="auto"/>
              <w:ind w:left="0" w:firstLine="0"/>
              <w:rPr>
                <w:sz w:val="22"/>
              </w:rPr>
            </w:pPr>
            <w:r>
              <w:rPr>
                <w:sz w:val="22"/>
              </w:rPr>
              <w:t xml:space="preserve">Nefatálna </w:t>
            </w:r>
            <w:r w:rsidR="00772F14">
              <w:rPr>
                <w:sz w:val="22"/>
              </w:rPr>
              <w:t>DVT</w:t>
            </w:r>
            <w:r w:rsidDel="004B7500">
              <w:rPr>
                <w:sz w:val="22"/>
              </w:rPr>
              <w:t xml:space="preserve"> </w:t>
            </w:r>
            <w:r w:rsidR="00772F14">
              <w:rPr>
                <w:sz w:val="22"/>
                <w:vertAlign w:val="superscript"/>
              </w:rPr>
              <w:t>†</w:t>
            </w:r>
            <w:r w:rsidR="00772F14">
              <w:rPr>
                <w:sz w:val="22"/>
              </w:rPr>
              <w:t xml:space="preserve"> </w:t>
            </w:r>
          </w:p>
        </w:tc>
        <w:tc>
          <w:tcPr>
            <w:tcW w:w="1458" w:type="dxa"/>
            <w:tcBorders>
              <w:top w:val="single" w:sz="3" w:space="0" w:color="000000"/>
              <w:left w:val="single" w:sz="4" w:space="0" w:color="000000"/>
              <w:bottom w:val="single" w:sz="4" w:space="0" w:color="000000"/>
              <w:right w:val="single" w:sz="4" w:space="0" w:color="000000"/>
            </w:tcBorders>
          </w:tcPr>
          <w:p w14:paraId="0986D12B" w14:textId="77777777" w:rsidR="00772F14" w:rsidRPr="00174CED" w:rsidRDefault="00772F14" w:rsidP="0073232F">
            <w:pPr>
              <w:spacing w:after="0" w:line="240" w:lineRule="auto"/>
              <w:ind w:left="0" w:firstLine="0"/>
              <w:jc w:val="center"/>
              <w:rPr>
                <w:sz w:val="22"/>
              </w:rPr>
            </w:pPr>
            <w:r>
              <w:rPr>
                <w:sz w:val="22"/>
              </w:rPr>
              <w:t>6 (0,7)</w:t>
            </w:r>
          </w:p>
        </w:tc>
        <w:tc>
          <w:tcPr>
            <w:tcW w:w="1458" w:type="dxa"/>
            <w:tcBorders>
              <w:top w:val="single" w:sz="3" w:space="0" w:color="000000"/>
              <w:left w:val="single" w:sz="4" w:space="0" w:color="000000"/>
              <w:bottom w:val="single" w:sz="4" w:space="0" w:color="000000"/>
              <w:right w:val="single" w:sz="4" w:space="0" w:color="000000"/>
            </w:tcBorders>
          </w:tcPr>
          <w:p w14:paraId="141316F8" w14:textId="77777777" w:rsidR="00772F14" w:rsidRPr="00174CED" w:rsidRDefault="00772F14" w:rsidP="0073232F">
            <w:pPr>
              <w:spacing w:after="0" w:line="240" w:lineRule="auto"/>
              <w:ind w:left="0" w:firstLine="0"/>
              <w:jc w:val="center"/>
              <w:rPr>
                <w:sz w:val="22"/>
              </w:rPr>
            </w:pPr>
            <w:r>
              <w:rPr>
                <w:sz w:val="22"/>
              </w:rPr>
              <w:t>8 (1,0)</w:t>
            </w:r>
          </w:p>
        </w:tc>
        <w:tc>
          <w:tcPr>
            <w:tcW w:w="1456" w:type="dxa"/>
            <w:tcBorders>
              <w:top w:val="single" w:sz="3" w:space="0" w:color="000000"/>
              <w:left w:val="single" w:sz="4" w:space="0" w:color="000000"/>
              <w:bottom w:val="single" w:sz="4" w:space="0" w:color="000000"/>
              <w:right w:val="single" w:sz="3" w:space="0" w:color="000000"/>
            </w:tcBorders>
          </w:tcPr>
          <w:p w14:paraId="3B64F259" w14:textId="77777777" w:rsidR="00772F14" w:rsidRPr="00174CED" w:rsidRDefault="00772F14" w:rsidP="0073232F">
            <w:pPr>
              <w:spacing w:after="0" w:line="240" w:lineRule="auto"/>
              <w:ind w:left="0" w:firstLine="0"/>
              <w:jc w:val="center"/>
              <w:rPr>
                <w:sz w:val="22"/>
              </w:rPr>
            </w:pPr>
            <w:r>
              <w:rPr>
                <w:sz w:val="22"/>
              </w:rPr>
              <w:t>53 (6,4)</w:t>
            </w:r>
          </w:p>
        </w:tc>
        <w:tc>
          <w:tcPr>
            <w:tcW w:w="1452" w:type="dxa"/>
            <w:tcBorders>
              <w:top w:val="single" w:sz="3" w:space="0" w:color="000000"/>
              <w:left w:val="single" w:sz="3" w:space="0" w:color="000000"/>
              <w:bottom w:val="single" w:sz="4" w:space="0" w:color="000000"/>
              <w:right w:val="single" w:sz="3" w:space="0" w:color="000000"/>
            </w:tcBorders>
          </w:tcPr>
          <w:p w14:paraId="2AB21A66" w14:textId="77777777" w:rsidR="00772F14" w:rsidRPr="00174CED" w:rsidRDefault="00772F14" w:rsidP="0073232F">
            <w:pPr>
              <w:spacing w:after="0" w:line="240" w:lineRule="auto"/>
              <w:ind w:left="0" w:right="-99" w:firstLine="0"/>
              <w:jc w:val="center"/>
              <w:rPr>
                <w:sz w:val="22"/>
              </w:rPr>
            </w:pPr>
            <w:r>
              <w:rPr>
                <w:sz w:val="22"/>
              </w:rPr>
              <w:t>0,11</w:t>
            </w:r>
          </w:p>
          <w:p w14:paraId="0DAB7B46" w14:textId="77777777" w:rsidR="00772F14" w:rsidRPr="00174CED" w:rsidRDefault="00772F14" w:rsidP="0073232F">
            <w:pPr>
              <w:spacing w:after="0" w:line="240" w:lineRule="auto"/>
              <w:ind w:left="0" w:right="-99" w:firstLine="0"/>
              <w:jc w:val="center"/>
              <w:rPr>
                <w:sz w:val="22"/>
              </w:rPr>
            </w:pPr>
            <w:r>
              <w:rPr>
                <w:sz w:val="22"/>
              </w:rPr>
              <w:t>0,05; 0,26)</w:t>
            </w:r>
          </w:p>
        </w:tc>
        <w:tc>
          <w:tcPr>
            <w:tcW w:w="1456" w:type="dxa"/>
            <w:tcBorders>
              <w:top w:val="single" w:sz="3" w:space="0" w:color="000000"/>
              <w:left w:val="single" w:sz="3" w:space="0" w:color="000000"/>
              <w:bottom w:val="single" w:sz="4" w:space="0" w:color="000000"/>
              <w:right w:val="single" w:sz="4" w:space="0" w:color="000000"/>
            </w:tcBorders>
          </w:tcPr>
          <w:p w14:paraId="06A4D319" w14:textId="77777777" w:rsidR="00772F14" w:rsidRPr="00174CED" w:rsidRDefault="00772F14" w:rsidP="0073232F">
            <w:pPr>
              <w:spacing w:after="0" w:line="240" w:lineRule="auto"/>
              <w:ind w:left="0" w:firstLine="0"/>
              <w:jc w:val="center"/>
              <w:rPr>
                <w:sz w:val="22"/>
              </w:rPr>
            </w:pPr>
            <w:r>
              <w:rPr>
                <w:sz w:val="22"/>
              </w:rPr>
              <w:t>0,15</w:t>
            </w:r>
          </w:p>
          <w:p w14:paraId="7C430F11" w14:textId="77777777" w:rsidR="00772F14" w:rsidRPr="00174CED" w:rsidRDefault="00772F14" w:rsidP="0073232F">
            <w:pPr>
              <w:spacing w:after="0" w:line="240" w:lineRule="auto"/>
              <w:ind w:left="0" w:firstLine="0"/>
              <w:jc w:val="center"/>
              <w:rPr>
                <w:sz w:val="22"/>
              </w:rPr>
            </w:pPr>
            <w:r>
              <w:rPr>
                <w:sz w:val="22"/>
              </w:rPr>
              <w:t>0,07; 0,32)</w:t>
            </w:r>
          </w:p>
        </w:tc>
      </w:tr>
      <w:tr w:rsidR="00772F14" w:rsidRPr="00A731E1" w14:paraId="22250268" w14:textId="77777777" w:rsidTr="00772F14">
        <w:trPr>
          <w:trHeight w:val="510"/>
        </w:trPr>
        <w:tc>
          <w:tcPr>
            <w:tcW w:w="2125" w:type="dxa"/>
            <w:tcBorders>
              <w:top w:val="single" w:sz="4" w:space="0" w:color="000000"/>
              <w:left w:val="single" w:sz="3" w:space="0" w:color="000000"/>
              <w:bottom w:val="single" w:sz="3" w:space="0" w:color="000000"/>
              <w:right w:val="single" w:sz="4" w:space="0" w:color="000000"/>
            </w:tcBorders>
          </w:tcPr>
          <w:p w14:paraId="7E91489B" w14:textId="3D5F9E2B" w:rsidR="00772F14" w:rsidRPr="00A731E1" w:rsidRDefault="003F4CEF" w:rsidP="003F4CEF">
            <w:pPr>
              <w:spacing w:after="0" w:line="240" w:lineRule="auto"/>
              <w:ind w:left="0" w:firstLine="0"/>
              <w:rPr>
                <w:sz w:val="22"/>
              </w:rPr>
            </w:pPr>
            <w:r>
              <w:rPr>
                <w:sz w:val="22"/>
              </w:rPr>
              <w:t xml:space="preserve">Nefatálna </w:t>
            </w:r>
            <w:r w:rsidR="00772F14">
              <w:rPr>
                <w:sz w:val="22"/>
              </w:rPr>
              <w:t>PE</w:t>
            </w:r>
            <w:r w:rsidR="00772F14">
              <w:rPr>
                <w:sz w:val="22"/>
                <w:vertAlign w:val="superscript"/>
              </w:rPr>
              <w:t>†</w:t>
            </w:r>
            <w:r w:rsidR="00772F14">
              <w:rPr>
                <w:sz w:val="22"/>
              </w:rPr>
              <w:t xml:space="preserve"> </w:t>
            </w:r>
          </w:p>
        </w:tc>
        <w:tc>
          <w:tcPr>
            <w:tcW w:w="1458" w:type="dxa"/>
            <w:tcBorders>
              <w:top w:val="single" w:sz="4" w:space="0" w:color="000000"/>
              <w:left w:val="single" w:sz="4" w:space="0" w:color="000000"/>
              <w:bottom w:val="single" w:sz="3" w:space="0" w:color="000000"/>
              <w:right w:val="single" w:sz="4" w:space="0" w:color="000000"/>
            </w:tcBorders>
          </w:tcPr>
          <w:p w14:paraId="269B56C0" w14:textId="77777777" w:rsidR="00772F14" w:rsidRPr="00174CED" w:rsidRDefault="00772F14" w:rsidP="0073232F">
            <w:pPr>
              <w:spacing w:after="0" w:line="240" w:lineRule="auto"/>
              <w:ind w:left="0" w:firstLine="0"/>
              <w:jc w:val="center"/>
              <w:rPr>
                <w:sz w:val="22"/>
              </w:rPr>
            </w:pPr>
            <w:r>
              <w:rPr>
                <w:sz w:val="22"/>
              </w:rPr>
              <w:t>8 (1,0)</w:t>
            </w:r>
          </w:p>
        </w:tc>
        <w:tc>
          <w:tcPr>
            <w:tcW w:w="1458" w:type="dxa"/>
            <w:tcBorders>
              <w:top w:val="single" w:sz="4" w:space="0" w:color="000000"/>
              <w:left w:val="single" w:sz="4" w:space="0" w:color="000000"/>
              <w:bottom w:val="single" w:sz="3" w:space="0" w:color="000000"/>
              <w:right w:val="single" w:sz="4" w:space="0" w:color="000000"/>
            </w:tcBorders>
          </w:tcPr>
          <w:p w14:paraId="305BC1B8" w14:textId="77777777" w:rsidR="00772F14" w:rsidRPr="00174CED" w:rsidRDefault="00772F14" w:rsidP="0073232F">
            <w:pPr>
              <w:spacing w:after="0" w:line="240" w:lineRule="auto"/>
              <w:ind w:left="0" w:firstLine="0"/>
              <w:jc w:val="center"/>
              <w:rPr>
                <w:sz w:val="22"/>
              </w:rPr>
            </w:pPr>
            <w:r>
              <w:rPr>
                <w:sz w:val="22"/>
              </w:rPr>
              <w:t>4 (0,5)</w:t>
            </w:r>
          </w:p>
        </w:tc>
        <w:tc>
          <w:tcPr>
            <w:tcW w:w="1456" w:type="dxa"/>
            <w:tcBorders>
              <w:top w:val="single" w:sz="4" w:space="0" w:color="000000"/>
              <w:left w:val="single" w:sz="4" w:space="0" w:color="000000"/>
              <w:bottom w:val="single" w:sz="3" w:space="0" w:color="000000"/>
              <w:right w:val="single" w:sz="3" w:space="0" w:color="000000"/>
            </w:tcBorders>
          </w:tcPr>
          <w:p w14:paraId="4B236BA3" w14:textId="77777777" w:rsidR="00772F14" w:rsidRPr="00174CED" w:rsidRDefault="00772F14" w:rsidP="0073232F">
            <w:pPr>
              <w:spacing w:after="0" w:line="240" w:lineRule="auto"/>
              <w:ind w:left="0" w:firstLine="0"/>
              <w:jc w:val="center"/>
              <w:rPr>
                <w:sz w:val="22"/>
              </w:rPr>
            </w:pPr>
            <w:r>
              <w:rPr>
                <w:sz w:val="22"/>
              </w:rPr>
              <w:t>15 (1,8)</w:t>
            </w:r>
          </w:p>
        </w:tc>
        <w:tc>
          <w:tcPr>
            <w:tcW w:w="1452" w:type="dxa"/>
            <w:tcBorders>
              <w:top w:val="single" w:sz="4" w:space="0" w:color="000000"/>
              <w:left w:val="single" w:sz="3" w:space="0" w:color="000000"/>
              <w:bottom w:val="single" w:sz="3" w:space="0" w:color="000000"/>
              <w:right w:val="single" w:sz="3" w:space="0" w:color="000000"/>
            </w:tcBorders>
          </w:tcPr>
          <w:p w14:paraId="28E5241C" w14:textId="77777777" w:rsidR="00BA77E4" w:rsidRDefault="00772F14" w:rsidP="0073232F">
            <w:pPr>
              <w:spacing w:after="0" w:line="240" w:lineRule="auto"/>
              <w:ind w:left="0" w:right="-99" w:firstLine="0"/>
              <w:jc w:val="center"/>
              <w:rPr>
                <w:sz w:val="22"/>
              </w:rPr>
            </w:pPr>
            <w:r>
              <w:rPr>
                <w:sz w:val="22"/>
              </w:rPr>
              <w:t xml:space="preserve">0,51 </w:t>
            </w:r>
          </w:p>
          <w:p w14:paraId="79A6FC1E" w14:textId="77777777" w:rsidR="00772F14" w:rsidRPr="00174CED" w:rsidRDefault="00772F14" w:rsidP="0073232F">
            <w:pPr>
              <w:spacing w:after="0" w:line="240" w:lineRule="auto"/>
              <w:ind w:left="0" w:right="-99" w:firstLine="0"/>
              <w:jc w:val="center"/>
              <w:rPr>
                <w:sz w:val="22"/>
              </w:rPr>
            </w:pPr>
            <w:r>
              <w:rPr>
                <w:sz w:val="22"/>
              </w:rPr>
              <w:t>(0,22; 1,21)</w:t>
            </w:r>
          </w:p>
        </w:tc>
        <w:tc>
          <w:tcPr>
            <w:tcW w:w="1456" w:type="dxa"/>
            <w:tcBorders>
              <w:top w:val="single" w:sz="4" w:space="0" w:color="000000"/>
              <w:left w:val="single" w:sz="3" w:space="0" w:color="000000"/>
              <w:bottom w:val="single" w:sz="3" w:space="0" w:color="000000"/>
              <w:right w:val="single" w:sz="4" w:space="0" w:color="000000"/>
            </w:tcBorders>
          </w:tcPr>
          <w:p w14:paraId="162302B6" w14:textId="77777777" w:rsidR="00772F14" w:rsidRPr="00174CED" w:rsidRDefault="00772F14" w:rsidP="0073232F">
            <w:pPr>
              <w:spacing w:after="0" w:line="240" w:lineRule="auto"/>
              <w:ind w:left="0" w:firstLine="0"/>
              <w:jc w:val="center"/>
              <w:rPr>
                <w:sz w:val="22"/>
              </w:rPr>
            </w:pPr>
            <w:r>
              <w:rPr>
                <w:sz w:val="22"/>
              </w:rPr>
              <w:t>0,27</w:t>
            </w:r>
          </w:p>
          <w:p w14:paraId="582BC4AD" w14:textId="77777777" w:rsidR="00772F14" w:rsidRPr="00174CED" w:rsidRDefault="00772F14" w:rsidP="0073232F">
            <w:pPr>
              <w:spacing w:after="0" w:line="240" w:lineRule="auto"/>
              <w:ind w:left="0" w:firstLine="0"/>
              <w:jc w:val="center"/>
              <w:rPr>
                <w:sz w:val="22"/>
              </w:rPr>
            </w:pPr>
            <w:r>
              <w:rPr>
                <w:sz w:val="22"/>
              </w:rPr>
              <w:t>0,09; 0,80)</w:t>
            </w:r>
          </w:p>
        </w:tc>
      </w:tr>
      <w:tr w:rsidR="00772F14" w:rsidRPr="00A731E1" w14:paraId="7B227E43" w14:textId="77777777" w:rsidTr="00772F14">
        <w:trPr>
          <w:trHeight w:val="510"/>
        </w:trPr>
        <w:tc>
          <w:tcPr>
            <w:tcW w:w="2125" w:type="dxa"/>
            <w:tcBorders>
              <w:top w:val="single" w:sz="4" w:space="0" w:color="000000"/>
              <w:left w:val="single" w:sz="3" w:space="0" w:color="000000"/>
              <w:bottom w:val="single" w:sz="3" w:space="0" w:color="000000"/>
              <w:right w:val="single" w:sz="4" w:space="0" w:color="000000"/>
            </w:tcBorders>
          </w:tcPr>
          <w:p w14:paraId="00DA164B" w14:textId="77777777" w:rsidR="00772F14" w:rsidRPr="00A731E1" w:rsidRDefault="00772F14" w:rsidP="0073232F">
            <w:pPr>
              <w:spacing w:after="0" w:line="240" w:lineRule="auto"/>
              <w:ind w:left="0" w:firstLine="0"/>
              <w:rPr>
                <w:sz w:val="22"/>
              </w:rPr>
            </w:pPr>
            <w:r>
              <w:rPr>
                <w:sz w:val="22"/>
              </w:rPr>
              <w:t xml:space="preserve">Úmrtie súvisiace s VTE </w:t>
            </w:r>
          </w:p>
        </w:tc>
        <w:tc>
          <w:tcPr>
            <w:tcW w:w="1458" w:type="dxa"/>
            <w:tcBorders>
              <w:top w:val="single" w:sz="4" w:space="0" w:color="000000"/>
              <w:left w:val="single" w:sz="4" w:space="0" w:color="000000"/>
              <w:bottom w:val="single" w:sz="3" w:space="0" w:color="000000"/>
              <w:right w:val="single" w:sz="4" w:space="0" w:color="000000"/>
            </w:tcBorders>
          </w:tcPr>
          <w:p w14:paraId="4995EBCD" w14:textId="77777777" w:rsidR="00772F14" w:rsidRPr="00174CED" w:rsidRDefault="00772F14" w:rsidP="0073232F">
            <w:pPr>
              <w:spacing w:after="0" w:line="240" w:lineRule="auto"/>
              <w:ind w:left="0" w:firstLine="0"/>
              <w:jc w:val="center"/>
              <w:rPr>
                <w:sz w:val="22"/>
              </w:rPr>
            </w:pPr>
            <w:r>
              <w:rPr>
                <w:sz w:val="22"/>
              </w:rPr>
              <w:t>2 (0,2)</w:t>
            </w:r>
          </w:p>
        </w:tc>
        <w:tc>
          <w:tcPr>
            <w:tcW w:w="1458" w:type="dxa"/>
            <w:tcBorders>
              <w:top w:val="single" w:sz="4" w:space="0" w:color="000000"/>
              <w:left w:val="single" w:sz="4" w:space="0" w:color="000000"/>
              <w:bottom w:val="single" w:sz="3" w:space="0" w:color="000000"/>
              <w:right w:val="single" w:sz="4" w:space="0" w:color="000000"/>
            </w:tcBorders>
          </w:tcPr>
          <w:p w14:paraId="1783E5ED" w14:textId="77777777" w:rsidR="00772F14" w:rsidRPr="00174CED" w:rsidRDefault="00772F14" w:rsidP="0073232F">
            <w:pPr>
              <w:spacing w:after="0" w:line="240" w:lineRule="auto"/>
              <w:ind w:left="0" w:firstLine="0"/>
              <w:jc w:val="center"/>
              <w:rPr>
                <w:sz w:val="22"/>
              </w:rPr>
            </w:pPr>
            <w:r>
              <w:rPr>
                <w:sz w:val="22"/>
              </w:rPr>
              <w:t>3 (0,4)</w:t>
            </w:r>
          </w:p>
        </w:tc>
        <w:tc>
          <w:tcPr>
            <w:tcW w:w="1456" w:type="dxa"/>
            <w:tcBorders>
              <w:top w:val="single" w:sz="4" w:space="0" w:color="000000"/>
              <w:left w:val="single" w:sz="4" w:space="0" w:color="000000"/>
              <w:bottom w:val="single" w:sz="3" w:space="0" w:color="000000"/>
              <w:right w:val="single" w:sz="3" w:space="0" w:color="000000"/>
            </w:tcBorders>
          </w:tcPr>
          <w:p w14:paraId="3A187ADB" w14:textId="77777777" w:rsidR="00772F14" w:rsidRPr="00174CED" w:rsidRDefault="00772F14" w:rsidP="0073232F">
            <w:pPr>
              <w:spacing w:after="0" w:line="240" w:lineRule="auto"/>
              <w:ind w:left="0" w:firstLine="0"/>
              <w:jc w:val="center"/>
              <w:rPr>
                <w:sz w:val="22"/>
              </w:rPr>
            </w:pPr>
            <w:r>
              <w:rPr>
                <w:sz w:val="22"/>
              </w:rPr>
              <w:t>7 (0,8)</w:t>
            </w:r>
          </w:p>
        </w:tc>
        <w:tc>
          <w:tcPr>
            <w:tcW w:w="1452" w:type="dxa"/>
            <w:tcBorders>
              <w:top w:val="single" w:sz="4" w:space="0" w:color="000000"/>
              <w:left w:val="single" w:sz="3" w:space="0" w:color="000000"/>
              <w:bottom w:val="single" w:sz="3" w:space="0" w:color="000000"/>
              <w:right w:val="single" w:sz="3" w:space="0" w:color="000000"/>
            </w:tcBorders>
          </w:tcPr>
          <w:p w14:paraId="582E0184" w14:textId="77777777" w:rsidR="00772F14" w:rsidRPr="00174CED" w:rsidRDefault="00772F14" w:rsidP="0073232F">
            <w:pPr>
              <w:spacing w:after="0" w:line="240" w:lineRule="auto"/>
              <w:ind w:left="0" w:firstLine="0"/>
              <w:jc w:val="center"/>
              <w:rPr>
                <w:sz w:val="22"/>
              </w:rPr>
            </w:pPr>
            <w:r>
              <w:rPr>
                <w:sz w:val="22"/>
              </w:rPr>
              <w:t>0,28</w:t>
            </w:r>
          </w:p>
          <w:p w14:paraId="77FD1C9C" w14:textId="77777777" w:rsidR="00772F14" w:rsidRPr="00174CED" w:rsidRDefault="00772F14" w:rsidP="0073232F">
            <w:pPr>
              <w:spacing w:after="0" w:line="240" w:lineRule="auto"/>
              <w:ind w:left="0" w:firstLine="0"/>
              <w:jc w:val="center"/>
              <w:rPr>
                <w:sz w:val="22"/>
              </w:rPr>
            </w:pPr>
            <w:r>
              <w:rPr>
                <w:sz w:val="22"/>
              </w:rPr>
              <w:t>(0,06; 1,37)</w:t>
            </w:r>
          </w:p>
        </w:tc>
        <w:tc>
          <w:tcPr>
            <w:tcW w:w="1456" w:type="dxa"/>
            <w:tcBorders>
              <w:top w:val="single" w:sz="4" w:space="0" w:color="000000"/>
              <w:left w:val="single" w:sz="3" w:space="0" w:color="000000"/>
              <w:bottom w:val="single" w:sz="3" w:space="0" w:color="000000"/>
              <w:right w:val="single" w:sz="4" w:space="0" w:color="000000"/>
            </w:tcBorders>
          </w:tcPr>
          <w:p w14:paraId="443F8FF2" w14:textId="77777777" w:rsidR="00772F14" w:rsidRPr="00174CED" w:rsidRDefault="00772F14" w:rsidP="0073232F">
            <w:pPr>
              <w:spacing w:after="0" w:line="240" w:lineRule="auto"/>
              <w:ind w:left="0" w:firstLine="0"/>
              <w:jc w:val="center"/>
              <w:rPr>
                <w:sz w:val="22"/>
              </w:rPr>
            </w:pPr>
            <w:r>
              <w:rPr>
                <w:sz w:val="22"/>
              </w:rPr>
              <w:t>0,45</w:t>
            </w:r>
          </w:p>
          <w:p w14:paraId="558219BE" w14:textId="77777777" w:rsidR="00772F14" w:rsidRPr="00174CED" w:rsidRDefault="00772F14" w:rsidP="0073232F">
            <w:pPr>
              <w:spacing w:after="0" w:line="240" w:lineRule="auto"/>
              <w:ind w:left="0" w:firstLine="0"/>
              <w:jc w:val="center"/>
              <w:rPr>
                <w:sz w:val="22"/>
              </w:rPr>
            </w:pPr>
            <w:r>
              <w:rPr>
                <w:sz w:val="22"/>
              </w:rPr>
              <w:t>(0,12; 1,71)</w:t>
            </w:r>
          </w:p>
        </w:tc>
      </w:tr>
    </w:tbl>
    <w:p w14:paraId="7552D449" w14:textId="248706FB" w:rsidR="00B07789" w:rsidRPr="00A731E1" w:rsidRDefault="00D25089" w:rsidP="00833B71">
      <w:pPr>
        <w:spacing w:after="0" w:line="240" w:lineRule="auto"/>
        <w:ind w:left="0" w:firstLine="0"/>
        <w:rPr>
          <w:sz w:val="22"/>
        </w:rPr>
      </w:pPr>
      <w:r>
        <w:rPr>
          <w:sz w:val="22"/>
          <w:vertAlign w:val="superscript"/>
        </w:rPr>
        <w:t xml:space="preserve">¥ </w:t>
      </w:r>
      <w:r>
        <w:rPr>
          <w:sz w:val="22"/>
        </w:rPr>
        <w:t>hodnota</w:t>
      </w:r>
      <w:r w:rsidR="0084697C">
        <w:rPr>
          <w:sz w:val="22"/>
        </w:rPr>
        <w:t xml:space="preserve"> p</w:t>
      </w:r>
      <w:r>
        <w:rPr>
          <w:sz w:val="22"/>
        </w:rPr>
        <w:t xml:space="preserve"> &lt; 0,0001</w:t>
      </w:r>
    </w:p>
    <w:p w14:paraId="05A6EFC8" w14:textId="266E7162" w:rsidR="00B07789" w:rsidRPr="00A731E1" w:rsidRDefault="00D25089" w:rsidP="00833B71">
      <w:pPr>
        <w:spacing w:after="0" w:line="240" w:lineRule="auto"/>
        <w:ind w:left="0" w:firstLine="0"/>
        <w:rPr>
          <w:sz w:val="22"/>
        </w:rPr>
      </w:pPr>
      <w:r>
        <w:rPr>
          <w:sz w:val="22"/>
        </w:rPr>
        <w:t>*U pacientov s viac ako jednou príhodou prispievajúcou k</w:t>
      </w:r>
      <w:r w:rsidR="0084697C">
        <w:rPr>
          <w:sz w:val="22"/>
        </w:rPr>
        <w:t xml:space="preserve"> </w:t>
      </w:r>
      <w:r w:rsidR="00E565FA">
        <w:rPr>
          <w:sz w:val="22"/>
        </w:rPr>
        <w:t xml:space="preserve">zloženému </w:t>
      </w:r>
      <w:r>
        <w:rPr>
          <w:sz w:val="22"/>
        </w:rPr>
        <w:t xml:space="preserve">cieľovému ukazovateľu sa hlásila len prvá príhoda (napr. ak sa u </w:t>
      </w:r>
      <w:r w:rsidR="00E565FA">
        <w:rPr>
          <w:sz w:val="22"/>
        </w:rPr>
        <w:t xml:space="preserve">účastníka </w:t>
      </w:r>
      <w:r>
        <w:rPr>
          <w:sz w:val="22"/>
        </w:rPr>
        <w:t>objavila DVT a potom aj PE, hlásila sa len DVT)</w:t>
      </w:r>
    </w:p>
    <w:p w14:paraId="7049777D" w14:textId="161502DE" w:rsidR="00B07789" w:rsidRPr="00A731E1" w:rsidRDefault="00D25089" w:rsidP="00833B71">
      <w:pPr>
        <w:spacing w:after="0" w:line="240" w:lineRule="auto"/>
        <w:ind w:left="0" w:firstLine="0"/>
        <w:rPr>
          <w:sz w:val="22"/>
        </w:rPr>
      </w:pPr>
      <w:r>
        <w:rPr>
          <w:sz w:val="22"/>
        </w:rPr>
        <w:t xml:space="preserve">†U konkrétnych </w:t>
      </w:r>
      <w:r w:rsidR="00E565FA">
        <w:rPr>
          <w:sz w:val="22"/>
        </w:rPr>
        <w:t xml:space="preserve">účastníkov </w:t>
      </w:r>
      <w:r>
        <w:rPr>
          <w:sz w:val="22"/>
        </w:rPr>
        <w:t>sa mohla objaviť viac ako jedna udalosť a mohla byť uvedená v obidvoch klasifikáciách.</w:t>
      </w:r>
    </w:p>
    <w:p w14:paraId="4D79DA37" w14:textId="77777777" w:rsidR="00B07789" w:rsidRPr="007E6137" w:rsidRDefault="00B07789" w:rsidP="00833B71">
      <w:pPr>
        <w:spacing w:after="0" w:line="240" w:lineRule="auto"/>
        <w:ind w:left="0" w:firstLine="0"/>
        <w:rPr>
          <w:sz w:val="22"/>
        </w:rPr>
      </w:pPr>
    </w:p>
    <w:p w14:paraId="56B547B8" w14:textId="77777777" w:rsidR="00B07789" w:rsidRPr="00A731E1" w:rsidRDefault="00D25089" w:rsidP="00833B71">
      <w:pPr>
        <w:spacing w:after="0" w:line="240" w:lineRule="auto"/>
        <w:ind w:left="0" w:firstLine="0"/>
        <w:rPr>
          <w:sz w:val="22"/>
        </w:rPr>
      </w:pPr>
      <w:r>
        <w:rPr>
          <w:sz w:val="22"/>
        </w:rPr>
        <w:t xml:space="preserve">Účinnosť apixabánu na prevenciu rekurentnej VTE sa naprieč podskupinami zahŕňajúcimi vek, pohlavie, BMI a funkciu obličiek zachovala. </w:t>
      </w:r>
    </w:p>
    <w:p w14:paraId="038D5296" w14:textId="77777777" w:rsidR="00B07789" w:rsidRPr="00A731E1" w:rsidRDefault="00D25089" w:rsidP="00833B71">
      <w:pPr>
        <w:spacing w:after="0" w:line="240" w:lineRule="auto"/>
        <w:ind w:left="0" w:firstLine="0"/>
        <w:rPr>
          <w:sz w:val="22"/>
        </w:rPr>
      </w:pPr>
      <w:r>
        <w:rPr>
          <w:sz w:val="22"/>
        </w:rPr>
        <w:t xml:space="preserve"> </w:t>
      </w:r>
    </w:p>
    <w:p w14:paraId="5FA5F7D1" w14:textId="142BCAB5" w:rsidR="00B07789" w:rsidRPr="00A731E1" w:rsidRDefault="00D25089" w:rsidP="00833B71">
      <w:pPr>
        <w:spacing w:after="0" w:line="240" w:lineRule="auto"/>
        <w:ind w:left="0" w:firstLine="0"/>
        <w:jc w:val="both"/>
        <w:rPr>
          <w:sz w:val="22"/>
        </w:rPr>
      </w:pPr>
      <w:r>
        <w:rPr>
          <w:sz w:val="22"/>
        </w:rPr>
        <w:lastRenderedPageBreak/>
        <w:t>Primárnym cieľovým ukazovateľom bezpečnosti bolo závažné krvácanie počas obdobia liečby. Výskyt závažného krvácania pri obidvoch dávkach apixabánu sa v štúdii štatisticky neodlišoval od placeba. Neobjavil sa žiadny štatisticky významný rozdiel vo výskyte závažného + CRNM krvácania, nezávažného krvácania a všetkých krvácaní medzi pacientmi liečenými 2,5 mg apixabánu dvakrát denne a pacientmi užíva</w:t>
      </w:r>
      <w:r w:rsidR="00E4410C">
        <w:rPr>
          <w:sz w:val="22"/>
        </w:rPr>
        <w:t>júcimi placebo (pozri tabuľku 13</w:t>
      </w:r>
      <w:r>
        <w:rPr>
          <w:sz w:val="22"/>
        </w:rPr>
        <w:t xml:space="preserve">). </w:t>
      </w:r>
    </w:p>
    <w:p w14:paraId="7D20F705" w14:textId="77777777" w:rsidR="00407F1A" w:rsidRDefault="00D25089" w:rsidP="00833B71">
      <w:pPr>
        <w:spacing w:after="0" w:line="240" w:lineRule="auto"/>
        <w:ind w:left="0" w:firstLine="0"/>
        <w:rPr>
          <w:sz w:val="22"/>
        </w:rPr>
      </w:pPr>
      <w:r>
        <w:rPr>
          <w:sz w:val="22"/>
        </w:rPr>
        <w:t xml:space="preserve"> </w:t>
      </w:r>
    </w:p>
    <w:p w14:paraId="74B182CF" w14:textId="4309A29B" w:rsidR="00B07789" w:rsidRPr="00C44F30" w:rsidRDefault="00E4410C" w:rsidP="00833B71">
      <w:pPr>
        <w:keepNext/>
        <w:spacing w:after="0" w:line="240" w:lineRule="auto"/>
        <w:ind w:left="0" w:firstLine="0"/>
        <w:rPr>
          <w:b/>
          <w:sz w:val="22"/>
        </w:rPr>
      </w:pPr>
      <w:r>
        <w:rPr>
          <w:b/>
          <w:sz w:val="22"/>
        </w:rPr>
        <w:t>Tabuľka 13</w:t>
      </w:r>
      <w:r w:rsidR="00D25089">
        <w:rPr>
          <w:b/>
          <w:sz w:val="22"/>
        </w:rPr>
        <w:t xml:space="preserve">: Výsledky krvácania v štúdii AMPLIFY- EXT </w:t>
      </w:r>
    </w:p>
    <w:tbl>
      <w:tblPr>
        <w:tblStyle w:val="TableGrid"/>
        <w:tblW w:w="9547" w:type="dxa"/>
        <w:tblInd w:w="-53" w:type="dxa"/>
        <w:tblCellMar>
          <w:top w:w="111" w:type="dxa"/>
          <w:left w:w="101" w:type="dxa"/>
          <w:right w:w="109" w:type="dxa"/>
        </w:tblCellMar>
        <w:tblLook w:val="04A0" w:firstRow="1" w:lastRow="0" w:firstColumn="1" w:lastColumn="0" w:noHBand="0" w:noVBand="1"/>
      </w:tblPr>
      <w:tblGrid>
        <w:gridCol w:w="1475"/>
        <w:gridCol w:w="1482"/>
        <w:gridCol w:w="1482"/>
        <w:gridCol w:w="1482"/>
        <w:gridCol w:w="1813"/>
        <w:gridCol w:w="1813"/>
      </w:tblGrid>
      <w:tr w:rsidR="00772F14" w:rsidRPr="00A731E1" w14:paraId="7A2A4612" w14:textId="77777777" w:rsidTr="0073232F">
        <w:trPr>
          <w:trHeight w:val="361"/>
        </w:trPr>
        <w:tc>
          <w:tcPr>
            <w:tcW w:w="1467" w:type="dxa"/>
            <w:tcBorders>
              <w:top w:val="single" w:sz="3" w:space="0" w:color="000000"/>
              <w:left w:val="single" w:sz="3" w:space="0" w:color="000000"/>
              <w:bottom w:val="single" w:sz="4" w:space="0" w:color="000000"/>
              <w:right w:val="single" w:sz="4" w:space="0" w:color="000000"/>
            </w:tcBorders>
          </w:tcPr>
          <w:p w14:paraId="58F4331D" w14:textId="77777777" w:rsidR="00772F14" w:rsidRPr="007E6137" w:rsidRDefault="00772F14" w:rsidP="0073232F">
            <w:pPr>
              <w:keepNext/>
              <w:spacing w:after="0" w:line="240" w:lineRule="auto"/>
              <w:ind w:left="0" w:firstLine="0"/>
              <w:rPr>
                <w:sz w:val="22"/>
              </w:rPr>
            </w:pPr>
          </w:p>
        </w:tc>
        <w:tc>
          <w:tcPr>
            <w:tcW w:w="1474" w:type="dxa"/>
            <w:tcBorders>
              <w:top w:val="single" w:sz="3" w:space="0" w:color="000000"/>
              <w:left w:val="single" w:sz="4" w:space="0" w:color="000000"/>
              <w:bottom w:val="single" w:sz="4" w:space="0" w:color="000000"/>
              <w:right w:val="single" w:sz="3" w:space="0" w:color="000000"/>
            </w:tcBorders>
          </w:tcPr>
          <w:p w14:paraId="2B59B960" w14:textId="77777777" w:rsidR="00772F14" w:rsidRPr="00A731E1" w:rsidRDefault="00772F14" w:rsidP="0073232F">
            <w:pPr>
              <w:keepNext/>
              <w:spacing w:after="0" w:line="240" w:lineRule="auto"/>
              <w:ind w:left="0" w:firstLine="0"/>
              <w:jc w:val="center"/>
              <w:rPr>
                <w:sz w:val="22"/>
              </w:rPr>
            </w:pPr>
            <w:r>
              <w:rPr>
                <w:b/>
                <w:sz w:val="22"/>
              </w:rPr>
              <w:t>Apixabán</w:t>
            </w:r>
          </w:p>
        </w:tc>
        <w:tc>
          <w:tcPr>
            <w:tcW w:w="1474" w:type="dxa"/>
            <w:tcBorders>
              <w:top w:val="single" w:sz="3" w:space="0" w:color="000000"/>
              <w:left w:val="single" w:sz="3" w:space="0" w:color="000000"/>
              <w:bottom w:val="single" w:sz="4" w:space="0" w:color="000000"/>
              <w:right w:val="single" w:sz="4" w:space="0" w:color="000000"/>
            </w:tcBorders>
          </w:tcPr>
          <w:p w14:paraId="2C29698C" w14:textId="77777777" w:rsidR="00772F14" w:rsidRPr="00A731E1" w:rsidRDefault="00772F14" w:rsidP="0073232F">
            <w:pPr>
              <w:keepNext/>
              <w:spacing w:after="0" w:line="240" w:lineRule="auto"/>
              <w:ind w:left="0" w:firstLine="0"/>
              <w:jc w:val="center"/>
              <w:rPr>
                <w:sz w:val="22"/>
              </w:rPr>
            </w:pPr>
            <w:r>
              <w:rPr>
                <w:b/>
                <w:sz w:val="22"/>
              </w:rPr>
              <w:t>Apixabán</w:t>
            </w:r>
          </w:p>
        </w:tc>
        <w:tc>
          <w:tcPr>
            <w:tcW w:w="1474" w:type="dxa"/>
            <w:tcBorders>
              <w:top w:val="single" w:sz="3" w:space="0" w:color="000000"/>
              <w:left w:val="single" w:sz="4" w:space="0" w:color="000000"/>
              <w:bottom w:val="single" w:sz="4" w:space="0" w:color="000000"/>
              <w:right w:val="single" w:sz="3" w:space="0" w:color="000000"/>
            </w:tcBorders>
          </w:tcPr>
          <w:p w14:paraId="4BC2F940" w14:textId="77777777" w:rsidR="00772F14" w:rsidRPr="00A731E1" w:rsidRDefault="00772F14" w:rsidP="0073232F">
            <w:pPr>
              <w:keepNext/>
              <w:spacing w:after="0" w:line="240" w:lineRule="auto"/>
              <w:ind w:left="0" w:firstLine="0"/>
              <w:jc w:val="center"/>
              <w:rPr>
                <w:sz w:val="22"/>
              </w:rPr>
            </w:pPr>
            <w:r>
              <w:rPr>
                <w:b/>
                <w:sz w:val="22"/>
              </w:rPr>
              <w:t>Placebo</w:t>
            </w:r>
          </w:p>
        </w:tc>
        <w:tc>
          <w:tcPr>
            <w:tcW w:w="1803" w:type="dxa"/>
            <w:gridSpan w:val="2"/>
            <w:tcBorders>
              <w:top w:val="single" w:sz="3" w:space="0" w:color="000000"/>
              <w:left w:val="single" w:sz="3" w:space="0" w:color="000000"/>
              <w:bottom w:val="single" w:sz="4" w:space="0" w:color="000000"/>
              <w:right w:val="single" w:sz="4" w:space="0" w:color="000000"/>
            </w:tcBorders>
          </w:tcPr>
          <w:p w14:paraId="11E0DA7A" w14:textId="77777777" w:rsidR="00772F14" w:rsidRPr="00A731E1" w:rsidRDefault="00772F14" w:rsidP="0073232F">
            <w:pPr>
              <w:keepNext/>
              <w:spacing w:after="0" w:line="240" w:lineRule="auto"/>
              <w:ind w:left="0" w:firstLine="0"/>
              <w:jc w:val="center"/>
              <w:rPr>
                <w:sz w:val="22"/>
              </w:rPr>
            </w:pPr>
            <w:r>
              <w:rPr>
                <w:b/>
                <w:sz w:val="22"/>
              </w:rPr>
              <w:t>Relatívne riziko (95 % IS)</w:t>
            </w:r>
          </w:p>
        </w:tc>
      </w:tr>
      <w:tr w:rsidR="00772F14" w:rsidRPr="00A731E1" w14:paraId="3F317721" w14:textId="77777777" w:rsidTr="0073232F">
        <w:trPr>
          <w:trHeight w:val="655"/>
        </w:trPr>
        <w:tc>
          <w:tcPr>
            <w:tcW w:w="1467" w:type="dxa"/>
            <w:tcBorders>
              <w:top w:val="single" w:sz="4" w:space="0" w:color="000000"/>
              <w:left w:val="single" w:sz="3" w:space="0" w:color="000000"/>
              <w:bottom w:val="single" w:sz="3" w:space="0" w:color="000000"/>
              <w:right w:val="single" w:sz="4" w:space="0" w:color="000000"/>
            </w:tcBorders>
          </w:tcPr>
          <w:p w14:paraId="42CF12E1" w14:textId="77777777" w:rsidR="00772F14" w:rsidRPr="00A731E1" w:rsidRDefault="00772F14" w:rsidP="0073232F">
            <w:pPr>
              <w:spacing w:after="0" w:line="240" w:lineRule="auto"/>
              <w:ind w:left="0" w:firstLine="0"/>
              <w:rPr>
                <w:sz w:val="22"/>
              </w:rPr>
            </w:pPr>
            <w:r>
              <w:rPr>
                <w:sz w:val="22"/>
              </w:rPr>
              <w:t xml:space="preserve"> </w:t>
            </w:r>
          </w:p>
        </w:tc>
        <w:tc>
          <w:tcPr>
            <w:tcW w:w="1474" w:type="dxa"/>
            <w:tcBorders>
              <w:top w:val="single" w:sz="4" w:space="0" w:color="000000"/>
              <w:left w:val="single" w:sz="4" w:space="0" w:color="000000"/>
              <w:bottom w:val="single" w:sz="3" w:space="0" w:color="000000"/>
              <w:right w:val="single" w:sz="3" w:space="0" w:color="000000"/>
            </w:tcBorders>
          </w:tcPr>
          <w:p w14:paraId="1D1422C6" w14:textId="77777777" w:rsidR="00772F14" w:rsidRPr="00A731E1" w:rsidRDefault="00772F14" w:rsidP="0073232F">
            <w:pPr>
              <w:spacing w:after="0" w:line="240" w:lineRule="auto"/>
              <w:ind w:left="0" w:firstLine="0"/>
              <w:jc w:val="center"/>
              <w:rPr>
                <w:sz w:val="22"/>
              </w:rPr>
            </w:pPr>
            <w:r>
              <w:rPr>
                <w:b/>
                <w:sz w:val="22"/>
              </w:rPr>
              <w:t xml:space="preserve">2,5 mg </w:t>
            </w:r>
          </w:p>
          <w:p w14:paraId="2886C206" w14:textId="77777777" w:rsidR="00772F14" w:rsidRPr="00A731E1" w:rsidRDefault="00772F14" w:rsidP="0073232F">
            <w:pPr>
              <w:spacing w:after="0" w:line="240" w:lineRule="auto"/>
              <w:ind w:left="0" w:firstLine="0"/>
              <w:jc w:val="center"/>
              <w:rPr>
                <w:sz w:val="22"/>
              </w:rPr>
            </w:pPr>
            <w:r>
              <w:rPr>
                <w:sz w:val="22"/>
              </w:rPr>
              <w:t xml:space="preserve">(N = 840) </w:t>
            </w:r>
          </w:p>
        </w:tc>
        <w:tc>
          <w:tcPr>
            <w:tcW w:w="1474" w:type="dxa"/>
            <w:tcBorders>
              <w:top w:val="single" w:sz="4" w:space="0" w:color="000000"/>
              <w:left w:val="single" w:sz="3" w:space="0" w:color="000000"/>
              <w:bottom w:val="single" w:sz="3" w:space="0" w:color="000000"/>
              <w:right w:val="single" w:sz="4" w:space="0" w:color="000000"/>
            </w:tcBorders>
          </w:tcPr>
          <w:p w14:paraId="54CE2D94" w14:textId="77777777" w:rsidR="00772F14" w:rsidRPr="00A731E1" w:rsidRDefault="00772F14" w:rsidP="0073232F">
            <w:pPr>
              <w:spacing w:after="0" w:line="240" w:lineRule="auto"/>
              <w:ind w:left="0" w:firstLine="0"/>
              <w:jc w:val="center"/>
              <w:rPr>
                <w:sz w:val="22"/>
              </w:rPr>
            </w:pPr>
            <w:r>
              <w:rPr>
                <w:b/>
                <w:sz w:val="22"/>
              </w:rPr>
              <w:t xml:space="preserve">5,0 mg </w:t>
            </w:r>
          </w:p>
          <w:p w14:paraId="04B778F6" w14:textId="77777777" w:rsidR="00772F14" w:rsidRPr="00A731E1" w:rsidRDefault="00772F14" w:rsidP="0073232F">
            <w:pPr>
              <w:spacing w:after="0" w:line="240" w:lineRule="auto"/>
              <w:ind w:left="0" w:firstLine="0"/>
              <w:jc w:val="center"/>
              <w:rPr>
                <w:sz w:val="22"/>
              </w:rPr>
            </w:pPr>
            <w:r>
              <w:rPr>
                <w:sz w:val="22"/>
              </w:rPr>
              <w:t xml:space="preserve">(N = 811) </w:t>
            </w:r>
          </w:p>
        </w:tc>
        <w:tc>
          <w:tcPr>
            <w:tcW w:w="1474" w:type="dxa"/>
            <w:tcBorders>
              <w:top w:val="single" w:sz="4" w:space="0" w:color="000000"/>
              <w:left w:val="single" w:sz="4" w:space="0" w:color="000000"/>
              <w:bottom w:val="single" w:sz="3" w:space="0" w:color="000000"/>
              <w:right w:val="single" w:sz="3" w:space="0" w:color="000000"/>
            </w:tcBorders>
          </w:tcPr>
          <w:p w14:paraId="0DA821F4" w14:textId="77777777" w:rsidR="00772F14" w:rsidRPr="00A731E1" w:rsidRDefault="00772F14" w:rsidP="0073232F">
            <w:pPr>
              <w:spacing w:after="0" w:line="240" w:lineRule="auto"/>
              <w:ind w:left="0" w:firstLine="0"/>
              <w:jc w:val="center"/>
              <w:rPr>
                <w:sz w:val="22"/>
              </w:rPr>
            </w:pPr>
            <w:r>
              <w:rPr>
                <w:b/>
                <w:sz w:val="22"/>
              </w:rPr>
              <w:t xml:space="preserve"> </w:t>
            </w:r>
          </w:p>
          <w:p w14:paraId="062B440B" w14:textId="77777777" w:rsidR="00772F14" w:rsidRPr="00A731E1" w:rsidRDefault="00772F14" w:rsidP="0073232F">
            <w:pPr>
              <w:spacing w:after="0" w:line="240" w:lineRule="auto"/>
              <w:ind w:left="0" w:firstLine="0"/>
              <w:jc w:val="center"/>
              <w:rPr>
                <w:sz w:val="22"/>
              </w:rPr>
            </w:pPr>
            <w:r>
              <w:rPr>
                <w:sz w:val="22"/>
              </w:rPr>
              <w:t xml:space="preserve">(N = 826) </w:t>
            </w:r>
          </w:p>
        </w:tc>
        <w:tc>
          <w:tcPr>
            <w:tcW w:w="1803" w:type="dxa"/>
            <w:tcBorders>
              <w:top w:val="single" w:sz="4" w:space="0" w:color="000000"/>
              <w:left w:val="single" w:sz="3" w:space="0" w:color="000000"/>
              <w:bottom w:val="single" w:sz="3" w:space="0" w:color="000000"/>
              <w:right w:val="single" w:sz="3" w:space="0" w:color="000000"/>
            </w:tcBorders>
          </w:tcPr>
          <w:p w14:paraId="44DE0887" w14:textId="77777777" w:rsidR="00772F14" w:rsidRDefault="00772F14" w:rsidP="0073232F">
            <w:pPr>
              <w:tabs>
                <w:tab w:val="left" w:pos="840"/>
              </w:tabs>
              <w:spacing w:after="0" w:line="240" w:lineRule="auto"/>
              <w:ind w:left="0" w:firstLine="0"/>
              <w:jc w:val="center"/>
              <w:rPr>
                <w:b/>
                <w:sz w:val="22"/>
              </w:rPr>
            </w:pPr>
            <w:r>
              <w:rPr>
                <w:b/>
                <w:sz w:val="22"/>
              </w:rPr>
              <w:t xml:space="preserve">Apix 2,5 mg </w:t>
            </w:r>
          </w:p>
          <w:p w14:paraId="14F9F52B" w14:textId="77777777" w:rsidR="00772F14" w:rsidRPr="00A731E1" w:rsidRDefault="00772F14" w:rsidP="0073232F">
            <w:pPr>
              <w:spacing w:after="0" w:line="240" w:lineRule="auto"/>
              <w:ind w:left="0" w:firstLine="0"/>
              <w:jc w:val="center"/>
              <w:rPr>
                <w:sz w:val="22"/>
              </w:rPr>
            </w:pPr>
            <w:r>
              <w:rPr>
                <w:sz w:val="22"/>
              </w:rPr>
              <w:t xml:space="preserve">v porovnaní s placebom </w:t>
            </w:r>
          </w:p>
        </w:tc>
        <w:tc>
          <w:tcPr>
            <w:tcW w:w="1803" w:type="dxa"/>
            <w:tcBorders>
              <w:top w:val="single" w:sz="4" w:space="0" w:color="000000"/>
              <w:left w:val="single" w:sz="3" w:space="0" w:color="000000"/>
              <w:bottom w:val="single" w:sz="3" w:space="0" w:color="000000"/>
              <w:right w:val="single" w:sz="4" w:space="0" w:color="000000"/>
            </w:tcBorders>
          </w:tcPr>
          <w:p w14:paraId="543F2918" w14:textId="77777777" w:rsidR="00772F14" w:rsidRDefault="00772F14" w:rsidP="0073232F">
            <w:pPr>
              <w:spacing w:after="0" w:line="240" w:lineRule="auto"/>
              <w:ind w:left="0" w:firstLine="0"/>
              <w:jc w:val="center"/>
              <w:rPr>
                <w:b/>
                <w:sz w:val="22"/>
              </w:rPr>
            </w:pPr>
            <w:r>
              <w:rPr>
                <w:b/>
                <w:sz w:val="22"/>
              </w:rPr>
              <w:t xml:space="preserve">Apix 5,0 mg </w:t>
            </w:r>
          </w:p>
          <w:p w14:paraId="16185995" w14:textId="77777777" w:rsidR="00772F14" w:rsidRPr="00A731E1" w:rsidRDefault="00772F14" w:rsidP="0073232F">
            <w:pPr>
              <w:spacing w:after="0" w:line="240" w:lineRule="auto"/>
              <w:ind w:left="0" w:firstLine="0"/>
              <w:jc w:val="center"/>
              <w:rPr>
                <w:sz w:val="22"/>
              </w:rPr>
            </w:pPr>
            <w:r>
              <w:rPr>
                <w:sz w:val="22"/>
              </w:rPr>
              <w:t xml:space="preserve">v porovnaní s placebom </w:t>
            </w:r>
          </w:p>
        </w:tc>
      </w:tr>
      <w:tr w:rsidR="00772F14" w:rsidRPr="00A731E1" w14:paraId="18D3032C" w14:textId="77777777" w:rsidTr="0073232F">
        <w:trPr>
          <w:trHeight w:val="361"/>
        </w:trPr>
        <w:tc>
          <w:tcPr>
            <w:tcW w:w="1467" w:type="dxa"/>
            <w:tcBorders>
              <w:top w:val="single" w:sz="3" w:space="0" w:color="000000"/>
              <w:left w:val="single" w:sz="3" w:space="0" w:color="000000"/>
              <w:bottom w:val="single" w:sz="3" w:space="0" w:color="000000"/>
              <w:right w:val="single" w:sz="4" w:space="0" w:color="000000"/>
            </w:tcBorders>
          </w:tcPr>
          <w:p w14:paraId="67B40A32" w14:textId="77777777" w:rsidR="00772F14" w:rsidRPr="00A731E1" w:rsidRDefault="00772F14" w:rsidP="0073232F">
            <w:pPr>
              <w:spacing w:after="0" w:line="240" w:lineRule="auto"/>
              <w:ind w:left="0" w:firstLine="0"/>
              <w:rPr>
                <w:sz w:val="22"/>
              </w:rPr>
            </w:pPr>
            <w:r>
              <w:rPr>
                <w:sz w:val="22"/>
              </w:rPr>
              <w:t xml:space="preserve"> </w:t>
            </w:r>
          </w:p>
        </w:tc>
        <w:tc>
          <w:tcPr>
            <w:tcW w:w="1474" w:type="dxa"/>
            <w:tcBorders>
              <w:top w:val="single" w:sz="3" w:space="0" w:color="000000"/>
              <w:left w:val="single" w:sz="4" w:space="0" w:color="000000"/>
              <w:bottom w:val="single" w:sz="3" w:space="0" w:color="000000"/>
              <w:right w:val="single" w:sz="3" w:space="0" w:color="000000"/>
            </w:tcBorders>
          </w:tcPr>
          <w:p w14:paraId="00F81EDF" w14:textId="77777777" w:rsidR="00772F14" w:rsidRPr="00A731E1" w:rsidRDefault="00772F14" w:rsidP="0073232F">
            <w:pPr>
              <w:spacing w:after="0" w:line="240" w:lineRule="auto"/>
              <w:ind w:left="0" w:firstLine="0"/>
              <w:jc w:val="center"/>
              <w:rPr>
                <w:sz w:val="22"/>
                <w:lang w:val="en-GB"/>
              </w:rPr>
            </w:pPr>
          </w:p>
        </w:tc>
        <w:tc>
          <w:tcPr>
            <w:tcW w:w="1474" w:type="dxa"/>
            <w:tcBorders>
              <w:top w:val="single" w:sz="3" w:space="0" w:color="000000"/>
              <w:left w:val="single" w:sz="3" w:space="0" w:color="000000"/>
              <w:bottom w:val="single" w:sz="3" w:space="0" w:color="000000"/>
              <w:right w:val="single" w:sz="4" w:space="0" w:color="000000"/>
            </w:tcBorders>
          </w:tcPr>
          <w:p w14:paraId="49C50A68" w14:textId="77777777" w:rsidR="00772F14" w:rsidRPr="00A731E1" w:rsidRDefault="00772F14" w:rsidP="0073232F">
            <w:pPr>
              <w:spacing w:after="0" w:line="240" w:lineRule="auto"/>
              <w:ind w:left="0" w:firstLine="0"/>
              <w:jc w:val="center"/>
              <w:rPr>
                <w:sz w:val="22"/>
              </w:rPr>
            </w:pPr>
            <w:r>
              <w:rPr>
                <w:sz w:val="22"/>
              </w:rPr>
              <w:t>n (%)</w:t>
            </w:r>
          </w:p>
        </w:tc>
        <w:tc>
          <w:tcPr>
            <w:tcW w:w="1474" w:type="dxa"/>
            <w:tcBorders>
              <w:top w:val="single" w:sz="3" w:space="0" w:color="000000"/>
              <w:left w:val="single" w:sz="4" w:space="0" w:color="000000"/>
              <w:bottom w:val="single" w:sz="3" w:space="0" w:color="000000"/>
              <w:right w:val="single" w:sz="3" w:space="0" w:color="000000"/>
            </w:tcBorders>
          </w:tcPr>
          <w:p w14:paraId="272D16DE" w14:textId="77777777" w:rsidR="00772F14" w:rsidRPr="00A731E1" w:rsidRDefault="00772F14" w:rsidP="0073232F">
            <w:pPr>
              <w:spacing w:after="0" w:line="240" w:lineRule="auto"/>
              <w:ind w:left="0" w:firstLine="0"/>
              <w:jc w:val="center"/>
              <w:rPr>
                <w:sz w:val="22"/>
                <w:lang w:val="en-GB"/>
              </w:rPr>
            </w:pPr>
          </w:p>
        </w:tc>
        <w:tc>
          <w:tcPr>
            <w:tcW w:w="1803" w:type="dxa"/>
            <w:tcBorders>
              <w:top w:val="single" w:sz="3" w:space="0" w:color="000000"/>
              <w:left w:val="single" w:sz="3" w:space="0" w:color="000000"/>
              <w:bottom w:val="single" w:sz="3" w:space="0" w:color="000000"/>
              <w:right w:val="single" w:sz="3" w:space="0" w:color="000000"/>
            </w:tcBorders>
          </w:tcPr>
          <w:p w14:paraId="07D314D9" w14:textId="77777777" w:rsidR="00772F14" w:rsidRPr="00A731E1" w:rsidRDefault="00772F14" w:rsidP="0073232F">
            <w:pPr>
              <w:spacing w:after="0" w:line="240" w:lineRule="auto"/>
              <w:ind w:left="0" w:firstLine="0"/>
              <w:jc w:val="center"/>
              <w:rPr>
                <w:sz w:val="22"/>
                <w:lang w:val="en-GB"/>
              </w:rPr>
            </w:pPr>
          </w:p>
        </w:tc>
        <w:tc>
          <w:tcPr>
            <w:tcW w:w="1803" w:type="dxa"/>
            <w:tcBorders>
              <w:top w:val="single" w:sz="3" w:space="0" w:color="000000"/>
              <w:left w:val="single" w:sz="3" w:space="0" w:color="000000"/>
              <w:bottom w:val="single" w:sz="3" w:space="0" w:color="000000"/>
              <w:right w:val="single" w:sz="4" w:space="0" w:color="000000"/>
            </w:tcBorders>
          </w:tcPr>
          <w:p w14:paraId="47D38646" w14:textId="77777777" w:rsidR="00772F14" w:rsidRPr="00A731E1" w:rsidRDefault="00772F14" w:rsidP="0073232F">
            <w:pPr>
              <w:spacing w:after="0" w:line="240" w:lineRule="auto"/>
              <w:ind w:left="0" w:firstLine="0"/>
              <w:jc w:val="center"/>
              <w:rPr>
                <w:sz w:val="22"/>
                <w:lang w:val="en-GB"/>
              </w:rPr>
            </w:pPr>
          </w:p>
        </w:tc>
      </w:tr>
      <w:tr w:rsidR="00772F14" w:rsidRPr="00A731E1" w14:paraId="0249D4BE" w14:textId="77777777" w:rsidTr="0073232F">
        <w:trPr>
          <w:trHeight w:val="419"/>
        </w:trPr>
        <w:tc>
          <w:tcPr>
            <w:tcW w:w="1467" w:type="dxa"/>
            <w:tcBorders>
              <w:top w:val="single" w:sz="3" w:space="0" w:color="000000"/>
              <w:left w:val="single" w:sz="3" w:space="0" w:color="000000"/>
              <w:bottom w:val="single" w:sz="4" w:space="0" w:color="000000"/>
              <w:right w:val="single" w:sz="4" w:space="0" w:color="000000"/>
            </w:tcBorders>
          </w:tcPr>
          <w:p w14:paraId="722D7D5B" w14:textId="77777777" w:rsidR="00772F14" w:rsidRPr="00A731E1" w:rsidRDefault="00772F14" w:rsidP="0073232F">
            <w:pPr>
              <w:spacing w:after="0" w:line="240" w:lineRule="auto"/>
              <w:ind w:left="0" w:firstLine="0"/>
              <w:rPr>
                <w:sz w:val="22"/>
              </w:rPr>
            </w:pPr>
            <w:r>
              <w:rPr>
                <w:sz w:val="22"/>
              </w:rPr>
              <w:t xml:space="preserve">Závažné </w:t>
            </w:r>
          </w:p>
        </w:tc>
        <w:tc>
          <w:tcPr>
            <w:tcW w:w="1474" w:type="dxa"/>
            <w:tcBorders>
              <w:top w:val="single" w:sz="3" w:space="0" w:color="000000"/>
              <w:left w:val="single" w:sz="4" w:space="0" w:color="000000"/>
              <w:bottom w:val="single" w:sz="4" w:space="0" w:color="000000"/>
              <w:right w:val="single" w:sz="3" w:space="0" w:color="000000"/>
            </w:tcBorders>
          </w:tcPr>
          <w:p w14:paraId="562F0C1C" w14:textId="77777777" w:rsidR="00772F14" w:rsidRPr="00A731E1" w:rsidRDefault="00772F14" w:rsidP="0073232F">
            <w:pPr>
              <w:spacing w:after="0" w:line="240" w:lineRule="auto"/>
              <w:ind w:left="0" w:firstLine="0"/>
              <w:jc w:val="center"/>
              <w:rPr>
                <w:sz w:val="22"/>
              </w:rPr>
            </w:pPr>
            <w:r>
              <w:rPr>
                <w:sz w:val="22"/>
              </w:rPr>
              <w:t>2 (0,2)</w:t>
            </w:r>
          </w:p>
        </w:tc>
        <w:tc>
          <w:tcPr>
            <w:tcW w:w="1474" w:type="dxa"/>
            <w:tcBorders>
              <w:top w:val="single" w:sz="3" w:space="0" w:color="000000"/>
              <w:left w:val="single" w:sz="3" w:space="0" w:color="000000"/>
              <w:bottom w:val="single" w:sz="4" w:space="0" w:color="000000"/>
              <w:right w:val="single" w:sz="4" w:space="0" w:color="000000"/>
            </w:tcBorders>
          </w:tcPr>
          <w:p w14:paraId="65F07858" w14:textId="77777777" w:rsidR="00772F14" w:rsidRPr="00A731E1" w:rsidRDefault="00772F14" w:rsidP="0073232F">
            <w:pPr>
              <w:spacing w:after="0" w:line="240" w:lineRule="auto"/>
              <w:ind w:left="0" w:firstLine="0"/>
              <w:jc w:val="center"/>
              <w:rPr>
                <w:sz w:val="22"/>
              </w:rPr>
            </w:pPr>
            <w:r>
              <w:rPr>
                <w:sz w:val="22"/>
              </w:rPr>
              <w:t>1 (0,1)</w:t>
            </w:r>
          </w:p>
        </w:tc>
        <w:tc>
          <w:tcPr>
            <w:tcW w:w="1474" w:type="dxa"/>
            <w:tcBorders>
              <w:top w:val="single" w:sz="3" w:space="0" w:color="000000"/>
              <w:left w:val="single" w:sz="4" w:space="0" w:color="000000"/>
              <w:bottom w:val="single" w:sz="4" w:space="0" w:color="000000"/>
              <w:right w:val="single" w:sz="3" w:space="0" w:color="000000"/>
            </w:tcBorders>
          </w:tcPr>
          <w:p w14:paraId="5545B091" w14:textId="77777777" w:rsidR="00772F14" w:rsidRPr="00A731E1" w:rsidRDefault="00772F14" w:rsidP="0073232F">
            <w:pPr>
              <w:spacing w:after="0" w:line="240" w:lineRule="auto"/>
              <w:ind w:left="0" w:firstLine="0"/>
              <w:jc w:val="center"/>
              <w:rPr>
                <w:sz w:val="22"/>
              </w:rPr>
            </w:pPr>
            <w:r>
              <w:rPr>
                <w:sz w:val="22"/>
              </w:rPr>
              <w:t>4 (0,5)</w:t>
            </w:r>
          </w:p>
        </w:tc>
        <w:tc>
          <w:tcPr>
            <w:tcW w:w="1803" w:type="dxa"/>
            <w:tcBorders>
              <w:top w:val="single" w:sz="3" w:space="0" w:color="000000"/>
              <w:left w:val="single" w:sz="3" w:space="0" w:color="000000"/>
              <w:bottom w:val="single" w:sz="4" w:space="0" w:color="000000"/>
              <w:right w:val="single" w:sz="3" w:space="0" w:color="000000"/>
            </w:tcBorders>
          </w:tcPr>
          <w:p w14:paraId="6D939A64" w14:textId="77777777" w:rsidR="00772F14" w:rsidRPr="00A731E1" w:rsidRDefault="00772F14" w:rsidP="0073232F">
            <w:pPr>
              <w:spacing w:after="0" w:line="240" w:lineRule="auto"/>
              <w:ind w:left="0" w:right="-154" w:firstLine="0"/>
              <w:jc w:val="center"/>
              <w:rPr>
                <w:sz w:val="22"/>
              </w:rPr>
            </w:pPr>
            <w:r>
              <w:rPr>
                <w:sz w:val="22"/>
              </w:rPr>
              <w:t>0,49 (0,09; 2,64)</w:t>
            </w:r>
          </w:p>
        </w:tc>
        <w:tc>
          <w:tcPr>
            <w:tcW w:w="1803" w:type="dxa"/>
            <w:tcBorders>
              <w:top w:val="single" w:sz="3" w:space="0" w:color="000000"/>
              <w:left w:val="single" w:sz="3" w:space="0" w:color="000000"/>
              <w:bottom w:val="single" w:sz="4" w:space="0" w:color="000000"/>
              <w:right w:val="single" w:sz="4" w:space="0" w:color="000000"/>
            </w:tcBorders>
          </w:tcPr>
          <w:p w14:paraId="5296E7DC" w14:textId="77777777" w:rsidR="00772F14" w:rsidRPr="00A731E1" w:rsidRDefault="00772F14" w:rsidP="0073232F">
            <w:pPr>
              <w:spacing w:after="0" w:line="240" w:lineRule="auto"/>
              <w:ind w:left="0" w:right="-154" w:firstLine="0"/>
              <w:jc w:val="center"/>
              <w:rPr>
                <w:sz w:val="22"/>
              </w:rPr>
            </w:pPr>
            <w:r>
              <w:rPr>
                <w:sz w:val="22"/>
              </w:rPr>
              <w:t>0,25 (0,03; 2,24)</w:t>
            </w:r>
          </w:p>
        </w:tc>
      </w:tr>
      <w:tr w:rsidR="00772F14" w:rsidRPr="00A731E1" w14:paraId="2E374414" w14:textId="77777777" w:rsidTr="0073232F">
        <w:trPr>
          <w:trHeight w:val="450"/>
        </w:trPr>
        <w:tc>
          <w:tcPr>
            <w:tcW w:w="1467" w:type="dxa"/>
            <w:tcBorders>
              <w:top w:val="single" w:sz="4" w:space="0" w:color="000000"/>
              <w:left w:val="single" w:sz="3" w:space="0" w:color="000000"/>
              <w:bottom w:val="single" w:sz="4" w:space="0" w:color="000000"/>
              <w:right w:val="single" w:sz="4" w:space="0" w:color="000000"/>
            </w:tcBorders>
          </w:tcPr>
          <w:p w14:paraId="65732D20" w14:textId="77777777" w:rsidR="00772F14" w:rsidRPr="00A731E1" w:rsidRDefault="00772F14" w:rsidP="0073232F">
            <w:pPr>
              <w:spacing w:after="0" w:line="240" w:lineRule="auto"/>
              <w:ind w:left="0" w:firstLine="0"/>
              <w:rPr>
                <w:sz w:val="22"/>
              </w:rPr>
            </w:pPr>
            <w:r>
              <w:rPr>
                <w:sz w:val="22"/>
              </w:rPr>
              <w:t xml:space="preserve">Závažné + CRNM </w:t>
            </w:r>
          </w:p>
        </w:tc>
        <w:tc>
          <w:tcPr>
            <w:tcW w:w="1474" w:type="dxa"/>
            <w:tcBorders>
              <w:top w:val="single" w:sz="4" w:space="0" w:color="000000"/>
              <w:left w:val="single" w:sz="4" w:space="0" w:color="000000"/>
              <w:bottom w:val="single" w:sz="4" w:space="0" w:color="000000"/>
              <w:right w:val="single" w:sz="3" w:space="0" w:color="000000"/>
            </w:tcBorders>
          </w:tcPr>
          <w:p w14:paraId="0E9715FF" w14:textId="77777777" w:rsidR="00772F14" w:rsidRPr="00A731E1" w:rsidRDefault="00772F14" w:rsidP="0073232F">
            <w:pPr>
              <w:spacing w:after="0" w:line="240" w:lineRule="auto"/>
              <w:ind w:left="0" w:firstLine="0"/>
              <w:jc w:val="center"/>
              <w:rPr>
                <w:sz w:val="22"/>
              </w:rPr>
            </w:pPr>
            <w:r>
              <w:rPr>
                <w:sz w:val="22"/>
              </w:rPr>
              <w:t>27 (3,2)</w:t>
            </w:r>
          </w:p>
        </w:tc>
        <w:tc>
          <w:tcPr>
            <w:tcW w:w="1474" w:type="dxa"/>
            <w:tcBorders>
              <w:top w:val="single" w:sz="4" w:space="0" w:color="000000"/>
              <w:left w:val="single" w:sz="3" w:space="0" w:color="000000"/>
              <w:bottom w:val="single" w:sz="4" w:space="0" w:color="000000"/>
              <w:right w:val="single" w:sz="4" w:space="0" w:color="000000"/>
            </w:tcBorders>
          </w:tcPr>
          <w:p w14:paraId="55339B4C" w14:textId="77777777" w:rsidR="00772F14" w:rsidRPr="00A731E1" w:rsidRDefault="00772F14" w:rsidP="0073232F">
            <w:pPr>
              <w:spacing w:after="0" w:line="240" w:lineRule="auto"/>
              <w:ind w:left="0" w:firstLine="0"/>
              <w:jc w:val="center"/>
              <w:rPr>
                <w:sz w:val="22"/>
              </w:rPr>
            </w:pPr>
            <w:r>
              <w:rPr>
                <w:sz w:val="22"/>
              </w:rPr>
              <w:t>35 (4,3)</w:t>
            </w:r>
          </w:p>
        </w:tc>
        <w:tc>
          <w:tcPr>
            <w:tcW w:w="1474" w:type="dxa"/>
            <w:tcBorders>
              <w:top w:val="single" w:sz="4" w:space="0" w:color="000000"/>
              <w:left w:val="single" w:sz="4" w:space="0" w:color="000000"/>
              <w:bottom w:val="single" w:sz="4" w:space="0" w:color="000000"/>
              <w:right w:val="single" w:sz="3" w:space="0" w:color="000000"/>
            </w:tcBorders>
          </w:tcPr>
          <w:p w14:paraId="37D98D46" w14:textId="77777777" w:rsidR="00772F14" w:rsidRPr="00A731E1" w:rsidRDefault="00772F14" w:rsidP="0073232F">
            <w:pPr>
              <w:spacing w:after="0" w:line="240" w:lineRule="auto"/>
              <w:ind w:left="0" w:firstLine="0"/>
              <w:jc w:val="center"/>
              <w:rPr>
                <w:sz w:val="22"/>
              </w:rPr>
            </w:pPr>
            <w:r>
              <w:rPr>
                <w:sz w:val="22"/>
              </w:rPr>
              <w:t>22 (2,7)</w:t>
            </w:r>
          </w:p>
        </w:tc>
        <w:tc>
          <w:tcPr>
            <w:tcW w:w="1803" w:type="dxa"/>
            <w:tcBorders>
              <w:top w:val="single" w:sz="4" w:space="0" w:color="000000"/>
              <w:left w:val="single" w:sz="3" w:space="0" w:color="000000"/>
              <w:bottom w:val="single" w:sz="4" w:space="0" w:color="000000"/>
              <w:right w:val="single" w:sz="3" w:space="0" w:color="000000"/>
            </w:tcBorders>
          </w:tcPr>
          <w:p w14:paraId="300D8807" w14:textId="77777777" w:rsidR="00772F14" w:rsidRPr="00A731E1" w:rsidRDefault="00772F14" w:rsidP="0073232F">
            <w:pPr>
              <w:spacing w:after="0" w:line="240" w:lineRule="auto"/>
              <w:ind w:left="0" w:right="-154" w:firstLine="0"/>
              <w:jc w:val="center"/>
              <w:rPr>
                <w:sz w:val="22"/>
              </w:rPr>
            </w:pPr>
            <w:r>
              <w:rPr>
                <w:sz w:val="22"/>
              </w:rPr>
              <w:t>1,20 (0,69; 2,10)</w:t>
            </w:r>
          </w:p>
        </w:tc>
        <w:tc>
          <w:tcPr>
            <w:tcW w:w="1803" w:type="dxa"/>
            <w:tcBorders>
              <w:top w:val="single" w:sz="4" w:space="0" w:color="000000"/>
              <w:left w:val="single" w:sz="3" w:space="0" w:color="000000"/>
              <w:bottom w:val="single" w:sz="4" w:space="0" w:color="000000"/>
              <w:right w:val="single" w:sz="4" w:space="0" w:color="000000"/>
            </w:tcBorders>
          </w:tcPr>
          <w:p w14:paraId="122846F8" w14:textId="77777777" w:rsidR="00772F14" w:rsidRPr="00A731E1" w:rsidRDefault="00772F14" w:rsidP="0073232F">
            <w:pPr>
              <w:spacing w:after="0" w:line="240" w:lineRule="auto"/>
              <w:ind w:left="0" w:right="-154" w:firstLine="0"/>
              <w:jc w:val="center"/>
              <w:rPr>
                <w:sz w:val="22"/>
              </w:rPr>
            </w:pPr>
            <w:r>
              <w:rPr>
                <w:sz w:val="22"/>
              </w:rPr>
              <w:t>1,62 (0,96; 2,73)</w:t>
            </w:r>
          </w:p>
        </w:tc>
      </w:tr>
      <w:tr w:rsidR="00772F14" w:rsidRPr="00A731E1" w14:paraId="0DB1A1D1" w14:textId="77777777" w:rsidTr="0073232F">
        <w:trPr>
          <w:trHeight w:val="449"/>
        </w:trPr>
        <w:tc>
          <w:tcPr>
            <w:tcW w:w="1467" w:type="dxa"/>
            <w:tcBorders>
              <w:top w:val="single" w:sz="4" w:space="0" w:color="000000"/>
              <w:left w:val="single" w:sz="3" w:space="0" w:color="000000"/>
              <w:bottom w:val="single" w:sz="3" w:space="0" w:color="000000"/>
              <w:right w:val="single" w:sz="4" w:space="0" w:color="000000"/>
            </w:tcBorders>
          </w:tcPr>
          <w:p w14:paraId="193B7EA5" w14:textId="77777777" w:rsidR="00772F14" w:rsidRPr="00A731E1" w:rsidRDefault="00772F14" w:rsidP="0073232F">
            <w:pPr>
              <w:spacing w:after="0" w:line="240" w:lineRule="auto"/>
              <w:ind w:left="0" w:firstLine="0"/>
              <w:rPr>
                <w:sz w:val="22"/>
              </w:rPr>
            </w:pPr>
            <w:r>
              <w:rPr>
                <w:sz w:val="22"/>
              </w:rPr>
              <w:t xml:space="preserve">Nezávažné </w:t>
            </w:r>
          </w:p>
        </w:tc>
        <w:tc>
          <w:tcPr>
            <w:tcW w:w="1474" w:type="dxa"/>
            <w:tcBorders>
              <w:top w:val="single" w:sz="4" w:space="0" w:color="000000"/>
              <w:left w:val="single" w:sz="4" w:space="0" w:color="000000"/>
              <w:bottom w:val="single" w:sz="3" w:space="0" w:color="000000"/>
              <w:right w:val="single" w:sz="3" w:space="0" w:color="000000"/>
            </w:tcBorders>
          </w:tcPr>
          <w:p w14:paraId="1A764F71" w14:textId="77777777" w:rsidR="00772F14" w:rsidRPr="00A731E1" w:rsidRDefault="00772F14" w:rsidP="0073232F">
            <w:pPr>
              <w:spacing w:after="0" w:line="240" w:lineRule="auto"/>
              <w:ind w:left="0" w:firstLine="0"/>
              <w:jc w:val="center"/>
              <w:rPr>
                <w:sz w:val="22"/>
              </w:rPr>
            </w:pPr>
            <w:r>
              <w:rPr>
                <w:sz w:val="22"/>
              </w:rPr>
              <w:t>75 (8,9)</w:t>
            </w:r>
          </w:p>
        </w:tc>
        <w:tc>
          <w:tcPr>
            <w:tcW w:w="1474" w:type="dxa"/>
            <w:tcBorders>
              <w:top w:val="single" w:sz="4" w:space="0" w:color="000000"/>
              <w:left w:val="single" w:sz="3" w:space="0" w:color="000000"/>
              <w:bottom w:val="single" w:sz="3" w:space="0" w:color="000000"/>
              <w:right w:val="single" w:sz="4" w:space="0" w:color="000000"/>
            </w:tcBorders>
          </w:tcPr>
          <w:p w14:paraId="47D2712D" w14:textId="77777777" w:rsidR="00772F14" w:rsidRPr="00A731E1" w:rsidRDefault="00772F14" w:rsidP="0073232F">
            <w:pPr>
              <w:spacing w:after="0" w:line="240" w:lineRule="auto"/>
              <w:ind w:left="0" w:firstLine="0"/>
              <w:jc w:val="center"/>
              <w:rPr>
                <w:sz w:val="22"/>
              </w:rPr>
            </w:pPr>
            <w:r>
              <w:rPr>
                <w:sz w:val="22"/>
              </w:rPr>
              <w:t>98 (12,1)</w:t>
            </w:r>
          </w:p>
        </w:tc>
        <w:tc>
          <w:tcPr>
            <w:tcW w:w="1474" w:type="dxa"/>
            <w:tcBorders>
              <w:top w:val="single" w:sz="4" w:space="0" w:color="000000"/>
              <w:left w:val="single" w:sz="4" w:space="0" w:color="000000"/>
              <w:bottom w:val="single" w:sz="3" w:space="0" w:color="000000"/>
              <w:right w:val="single" w:sz="3" w:space="0" w:color="000000"/>
            </w:tcBorders>
          </w:tcPr>
          <w:p w14:paraId="6F4C9DFE" w14:textId="77777777" w:rsidR="00772F14" w:rsidRPr="00A731E1" w:rsidRDefault="00772F14" w:rsidP="0073232F">
            <w:pPr>
              <w:spacing w:after="0" w:line="240" w:lineRule="auto"/>
              <w:ind w:left="0" w:firstLine="0"/>
              <w:jc w:val="center"/>
              <w:rPr>
                <w:sz w:val="22"/>
              </w:rPr>
            </w:pPr>
            <w:r>
              <w:rPr>
                <w:sz w:val="22"/>
              </w:rPr>
              <w:t>58 (7,0)</w:t>
            </w:r>
          </w:p>
        </w:tc>
        <w:tc>
          <w:tcPr>
            <w:tcW w:w="1803" w:type="dxa"/>
            <w:tcBorders>
              <w:top w:val="single" w:sz="4" w:space="0" w:color="000000"/>
              <w:left w:val="single" w:sz="3" w:space="0" w:color="000000"/>
              <w:bottom w:val="single" w:sz="3" w:space="0" w:color="000000"/>
              <w:right w:val="single" w:sz="3" w:space="0" w:color="000000"/>
            </w:tcBorders>
          </w:tcPr>
          <w:p w14:paraId="69560086" w14:textId="77777777" w:rsidR="00772F14" w:rsidRPr="00A731E1" w:rsidRDefault="00772F14" w:rsidP="0073232F">
            <w:pPr>
              <w:spacing w:after="0" w:line="240" w:lineRule="auto"/>
              <w:ind w:left="0" w:right="-154" w:firstLine="0"/>
              <w:jc w:val="center"/>
              <w:rPr>
                <w:sz w:val="22"/>
              </w:rPr>
            </w:pPr>
            <w:r>
              <w:rPr>
                <w:sz w:val="22"/>
              </w:rPr>
              <w:t>1,26 (0,91; 1,75)</w:t>
            </w:r>
          </w:p>
        </w:tc>
        <w:tc>
          <w:tcPr>
            <w:tcW w:w="1803" w:type="dxa"/>
            <w:tcBorders>
              <w:top w:val="single" w:sz="4" w:space="0" w:color="000000"/>
              <w:left w:val="single" w:sz="3" w:space="0" w:color="000000"/>
              <w:bottom w:val="single" w:sz="3" w:space="0" w:color="000000"/>
              <w:right w:val="single" w:sz="4" w:space="0" w:color="000000"/>
            </w:tcBorders>
          </w:tcPr>
          <w:p w14:paraId="235EFA36" w14:textId="77777777" w:rsidR="00772F14" w:rsidRPr="00A731E1" w:rsidRDefault="00772F14" w:rsidP="0073232F">
            <w:pPr>
              <w:spacing w:after="0" w:line="240" w:lineRule="auto"/>
              <w:ind w:left="0" w:right="-154" w:firstLine="0"/>
              <w:jc w:val="center"/>
              <w:rPr>
                <w:sz w:val="22"/>
              </w:rPr>
            </w:pPr>
            <w:r>
              <w:rPr>
                <w:sz w:val="22"/>
              </w:rPr>
              <w:t>1,70 (1,25; 2,31)</w:t>
            </w:r>
          </w:p>
        </w:tc>
      </w:tr>
      <w:tr w:rsidR="00772F14" w:rsidRPr="00A731E1" w14:paraId="25D80688" w14:textId="77777777" w:rsidTr="0073232F">
        <w:trPr>
          <w:trHeight w:val="445"/>
        </w:trPr>
        <w:tc>
          <w:tcPr>
            <w:tcW w:w="1467" w:type="dxa"/>
            <w:tcBorders>
              <w:top w:val="single" w:sz="3" w:space="0" w:color="000000"/>
              <w:left w:val="single" w:sz="3" w:space="0" w:color="000000"/>
              <w:bottom w:val="single" w:sz="3" w:space="0" w:color="000000"/>
              <w:right w:val="single" w:sz="4" w:space="0" w:color="000000"/>
            </w:tcBorders>
          </w:tcPr>
          <w:p w14:paraId="72998B3E" w14:textId="77777777" w:rsidR="00772F14" w:rsidRPr="00A731E1" w:rsidRDefault="00772F14" w:rsidP="0073232F">
            <w:pPr>
              <w:spacing w:after="0" w:line="240" w:lineRule="auto"/>
              <w:ind w:left="0" w:firstLine="0"/>
              <w:rPr>
                <w:sz w:val="22"/>
              </w:rPr>
            </w:pPr>
            <w:r>
              <w:rPr>
                <w:sz w:val="22"/>
              </w:rPr>
              <w:t xml:space="preserve">Všetky </w:t>
            </w:r>
          </w:p>
        </w:tc>
        <w:tc>
          <w:tcPr>
            <w:tcW w:w="1474" w:type="dxa"/>
            <w:tcBorders>
              <w:top w:val="single" w:sz="3" w:space="0" w:color="000000"/>
              <w:left w:val="single" w:sz="4" w:space="0" w:color="000000"/>
              <w:bottom w:val="single" w:sz="3" w:space="0" w:color="000000"/>
              <w:right w:val="single" w:sz="3" w:space="0" w:color="000000"/>
            </w:tcBorders>
          </w:tcPr>
          <w:p w14:paraId="077FABD5" w14:textId="77777777" w:rsidR="00772F14" w:rsidRPr="00A731E1" w:rsidRDefault="00772F14" w:rsidP="0073232F">
            <w:pPr>
              <w:spacing w:after="0" w:line="240" w:lineRule="auto"/>
              <w:ind w:left="0" w:firstLine="0"/>
              <w:jc w:val="center"/>
              <w:rPr>
                <w:sz w:val="22"/>
              </w:rPr>
            </w:pPr>
            <w:r>
              <w:rPr>
                <w:sz w:val="22"/>
              </w:rPr>
              <w:t>94 (11,2)</w:t>
            </w:r>
          </w:p>
        </w:tc>
        <w:tc>
          <w:tcPr>
            <w:tcW w:w="1474" w:type="dxa"/>
            <w:tcBorders>
              <w:top w:val="single" w:sz="3" w:space="0" w:color="000000"/>
              <w:left w:val="single" w:sz="3" w:space="0" w:color="000000"/>
              <w:bottom w:val="single" w:sz="3" w:space="0" w:color="000000"/>
              <w:right w:val="single" w:sz="4" w:space="0" w:color="000000"/>
            </w:tcBorders>
          </w:tcPr>
          <w:p w14:paraId="47EFC9D8" w14:textId="77777777" w:rsidR="00772F14" w:rsidRPr="00A731E1" w:rsidRDefault="00772F14" w:rsidP="0073232F">
            <w:pPr>
              <w:spacing w:after="0" w:line="240" w:lineRule="auto"/>
              <w:ind w:left="0" w:firstLine="0"/>
              <w:jc w:val="center"/>
              <w:rPr>
                <w:sz w:val="22"/>
              </w:rPr>
            </w:pPr>
            <w:r>
              <w:rPr>
                <w:sz w:val="22"/>
              </w:rPr>
              <w:t>121 (14,9)</w:t>
            </w:r>
          </w:p>
        </w:tc>
        <w:tc>
          <w:tcPr>
            <w:tcW w:w="1474" w:type="dxa"/>
            <w:tcBorders>
              <w:top w:val="single" w:sz="3" w:space="0" w:color="000000"/>
              <w:left w:val="single" w:sz="4" w:space="0" w:color="000000"/>
              <w:bottom w:val="single" w:sz="3" w:space="0" w:color="000000"/>
              <w:right w:val="single" w:sz="3" w:space="0" w:color="000000"/>
            </w:tcBorders>
          </w:tcPr>
          <w:p w14:paraId="551F378A" w14:textId="77777777" w:rsidR="00772F14" w:rsidRPr="00A731E1" w:rsidRDefault="00772F14" w:rsidP="0073232F">
            <w:pPr>
              <w:spacing w:after="0" w:line="240" w:lineRule="auto"/>
              <w:ind w:left="0" w:firstLine="0"/>
              <w:jc w:val="center"/>
              <w:rPr>
                <w:sz w:val="22"/>
              </w:rPr>
            </w:pPr>
            <w:r>
              <w:rPr>
                <w:sz w:val="22"/>
              </w:rPr>
              <w:t>74 (9,0)</w:t>
            </w:r>
          </w:p>
        </w:tc>
        <w:tc>
          <w:tcPr>
            <w:tcW w:w="1803" w:type="dxa"/>
            <w:tcBorders>
              <w:top w:val="single" w:sz="3" w:space="0" w:color="000000"/>
              <w:left w:val="single" w:sz="3" w:space="0" w:color="000000"/>
              <w:bottom w:val="single" w:sz="3" w:space="0" w:color="000000"/>
              <w:right w:val="single" w:sz="3" w:space="0" w:color="000000"/>
            </w:tcBorders>
          </w:tcPr>
          <w:p w14:paraId="29A27B55" w14:textId="77777777" w:rsidR="00772F14" w:rsidRPr="00A731E1" w:rsidRDefault="00772F14" w:rsidP="0073232F">
            <w:pPr>
              <w:spacing w:after="0" w:line="240" w:lineRule="auto"/>
              <w:ind w:left="0" w:right="-154" w:firstLine="0"/>
              <w:jc w:val="center"/>
              <w:rPr>
                <w:sz w:val="22"/>
              </w:rPr>
            </w:pPr>
            <w:r>
              <w:rPr>
                <w:sz w:val="22"/>
              </w:rPr>
              <w:t>1,24 (0,93; 1,65)</w:t>
            </w:r>
          </w:p>
        </w:tc>
        <w:tc>
          <w:tcPr>
            <w:tcW w:w="1803" w:type="dxa"/>
            <w:tcBorders>
              <w:top w:val="single" w:sz="3" w:space="0" w:color="000000"/>
              <w:left w:val="single" w:sz="3" w:space="0" w:color="000000"/>
              <w:bottom w:val="single" w:sz="3" w:space="0" w:color="000000"/>
              <w:right w:val="single" w:sz="4" w:space="0" w:color="000000"/>
            </w:tcBorders>
          </w:tcPr>
          <w:p w14:paraId="59622952" w14:textId="77777777" w:rsidR="00772F14" w:rsidRPr="00A731E1" w:rsidRDefault="00772F14" w:rsidP="0073232F">
            <w:pPr>
              <w:spacing w:after="0" w:line="240" w:lineRule="auto"/>
              <w:ind w:left="0" w:right="-154" w:firstLine="0"/>
              <w:jc w:val="center"/>
              <w:rPr>
                <w:sz w:val="22"/>
              </w:rPr>
            </w:pPr>
            <w:r>
              <w:rPr>
                <w:sz w:val="22"/>
              </w:rPr>
              <w:t>1,65 (1,26; 2,16)</w:t>
            </w:r>
          </w:p>
        </w:tc>
      </w:tr>
    </w:tbl>
    <w:p w14:paraId="6B7F5DC7" w14:textId="77777777" w:rsidR="00B07789" w:rsidRPr="00A731E1" w:rsidRDefault="00D25089" w:rsidP="00833B71">
      <w:pPr>
        <w:spacing w:after="0" w:line="240" w:lineRule="auto"/>
        <w:ind w:left="0" w:firstLine="0"/>
        <w:rPr>
          <w:sz w:val="22"/>
        </w:rPr>
      </w:pPr>
      <w:r>
        <w:rPr>
          <w:sz w:val="22"/>
        </w:rPr>
        <w:t xml:space="preserve"> </w:t>
      </w:r>
    </w:p>
    <w:p w14:paraId="103D9B59" w14:textId="77777777" w:rsidR="00B07789" w:rsidRPr="00A731E1" w:rsidRDefault="00D25089" w:rsidP="007A1396">
      <w:pPr>
        <w:spacing w:after="0" w:line="240" w:lineRule="auto"/>
        <w:ind w:left="10"/>
        <w:rPr>
          <w:sz w:val="22"/>
        </w:rPr>
      </w:pPr>
      <w:r>
        <w:rPr>
          <w:sz w:val="22"/>
        </w:rPr>
        <w:t xml:space="preserve">Posudzované závažné ISTH gastrointestinálne krvácanie sa objavilo u 1 (0,1 %) pacienta liečeného apixabánom v dávke 5 mg dvakrát denne, v dávke 2,5 mg dvakrát denne sa takéto krvácanie neobjavilo u žiadneho pacienta a objavilo sa u 1 (0,1 %) pacienta užívajúceho placebo. </w:t>
      </w:r>
    </w:p>
    <w:p w14:paraId="267D6925" w14:textId="32C9B6E4" w:rsidR="00B07789" w:rsidRPr="00A731E1" w:rsidRDefault="00B07789" w:rsidP="00833B71">
      <w:pPr>
        <w:spacing w:after="0" w:line="240" w:lineRule="auto"/>
        <w:ind w:left="0" w:firstLine="0"/>
        <w:rPr>
          <w:sz w:val="22"/>
        </w:rPr>
      </w:pPr>
    </w:p>
    <w:p w14:paraId="343772AE" w14:textId="77777777" w:rsidR="00B07789" w:rsidRPr="00A731E1" w:rsidRDefault="00D25089" w:rsidP="007A1396">
      <w:pPr>
        <w:pStyle w:val="Nadpis2"/>
        <w:spacing w:after="0" w:line="240" w:lineRule="auto"/>
        <w:ind w:left="10"/>
        <w:rPr>
          <w:sz w:val="22"/>
        </w:rPr>
      </w:pPr>
      <w:r>
        <w:rPr>
          <w:sz w:val="22"/>
        </w:rPr>
        <w:t>Pediatrická populácia</w:t>
      </w:r>
      <w:r>
        <w:rPr>
          <w:sz w:val="22"/>
          <w:u w:val="none"/>
        </w:rPr>
        <w:t xml:space="preserve"> </w:t>
      </w:r>
    </w:p>
    <w:p w14:paraId="4E374691" w14:textId="07779B00" w:rsidR="00B07789" w:rsidRPr="00A731E1" w:rsidRDefault="00B07789" w:rsidP="00833B71">
      <w:pPr>
        <w:spacing w:after="0" w:line="240" w:lineRule="auto"/>
        <w:ind w:left="0" w:firstLine="0"/>
        <w:rPr>
          <w:sz w:val="22"/>
        </w:rPr>
      </w:pPr>
    </w:p>
    <w:p w14:paraId="399AFBD9" w14:textId="1A790B4E" w:rsidR="00B07789" w:rsidRPr="00A731E1" w:rsidRDefault="00D25089" w:rsidP="007A1396">
      <w:pPr>
        <w:spacing w:after="0" w:line="240" w:lineRule="auto"/>
        <w:ind w:left="10"/>
        <w:rPr>
          <w:sz w:val="22"/>
        </w:rPr>
      </w:pPr>
      <w:r>
        <w:rPr>
          <w:sz w:val="22"/>
        </w:rPr>
        <w:t xml:space="preserve">Európska lieková agentúra udelila odklad z povinnosti predložiť výsledky štúdií s </w:t>
      </w:r>
      <w:r w:rsidR="0084697C">
        <w:rPr>
          <w:sz w:val="22"/>
        </w:rPr>
        <w:t>apixabánom</w:t>
      </w:r>
      <w:r>
        <w:rPr>
          <w:sz w:val="22"/>
        </w:rPr>
        <w:t xml:space="preserve"> v jednej alebo vo viacerých podskupinách pediatrickej populácie v prípade venóznej alebo </w:t>
      </w:r>
      <w:r w:rsidR="003A74B4">
        <w:rPr>
          <w:sz w:val="22"/>
        </w:rPr>
        <w:t xml:space="preserve">artériovej </w:t>
      </w:r>
      <w:r>
        <w:rPr>
          <w:sz w:val="22"/>
        </w:rPr>
        <w:t xml:space="preserve">embólie a trombózy (informácie o použití v pediatrickej populácii, pozri časť 4.2). </w:t>
      </w:r>
    </w:p>
    <w:p w14:paraId="09BC7F23" w14:textId="7F7A0751" w:rsidR="00B07789" w:rsidRPr="00A731E1" w:rsidRDefault="00B07789" w:rsidP="000E7AF5">
      <w:pPr>
        <w:keepNext/>
        <w:spacing w:after="0" w:line="240" w:lineRule="auto"/>
        <w:ind w:left="0" w:firstLine="0"/>
        <w:rPr>
          <w:sz w:val="22"/>
        </w:rPr>
      </w:pPr>
    </w:p>
    <w:p w14:paraId="1F662A3F" w14:textId="77777777" w:rsidR="00B07789" w:rsidRPr="00A731E1" w:rsidRDefault="00D25089" w:rsidP="000E7AF5">
      <w:pPr>
        <w:keepNext/>
        <w:tabs>
          <w:tab w:val="center" w:pos="1813"/>
        </w:tabs>
        <w:spacing w:after="0" w:line="240" w:lineRule="auto"/>
        <w:ind w:left="567" w:hanging="567"/>
        <w:rPr>
          <w:sz w:val="22"/>
        </w:rPr>
      </w:pPr>
      <w:r>
        <w:rPr>
          <w:b/>
          <w:sz w:val="22"/>
        </w:rPr>
        <w:t>5.2.</w:t>
      </w:r>
      <w:r>
        <w:rPr>
          <w:b/>
          <w:sz w:val="22"/>
        </w:rPr>
        <w:tab/>
        <w:t xml:space="preserve">Farmakokinetické vlastnosti </w:t>
      </w:r>
    </w:p>
    <w:p w14:paraId="2D6F8622" w14:textId="12820A1F" w:rsidR="00B07789" w:rsidRPr="00A731E1" w:rsidRDefault="00B07789" w:rsidP="000E7AF5">
      <w:pPr>
        <w:keepNext/>
        <w:spacing w:after="0" w:line="240" w:lineRule="auto"/>
        <w:ind w:left="0" w:firstLine="0"/>
        <w:rPr>
          <w:sz w:val="22"/>
        </w:rPr>
      </w:pPr>
    </w:p>
    <w:p w14:paraId="2A7998A0" w14:textId="77777777" w:rsidR="00B07789" w:rsidRPr="00A731E1" w:rsidRDefault="00D25089" w:rsidP="007A1396">
      <w:pPr>
        <w:pStyle w:val="Nadpis2"/>
        <w:keepLines w:val="0"/>
        <w:spacing w:after="0" w:line="240" w:lineRule="auto"/>
        <w:ind w:left="10"/>
        <w:rPr>
          <w:sz w:val="22"/>
        </w:rPr>
      </w:pPr>
      <w:r>
        <w:rPr>
          <w:sz w:val="22"/>
        </w:rPr>
        <w:t>Absorpcia</w:t>
      </w:r>
      <w:r>
        <w:rPr>
          <w:sz w:val="22"/>
          <w:u w:val="none"/>
        </w:rPr>
        <w:t xml:space="preserve"> </w:t>
      </w:r>
    </w:p>
    <w:p w14:paraId="15E0F68A" w14:textId="77777777" w:rsidR="00B07789" w:rsidRPr="00A731E1" w:rsidRDefault="00D25089" w:rsidP="007A1396">
      <w:pPr>
        <w:spacing w:after="0" w:line="240" w:lineRule="auto"/>
        <w:ind w:left="10"/>
        <w:rPr>
          <w:sz w:val="22"/>
        </w:rPr>
      </w:pPr>
      <w:r>
        <w:rPr>
          <w:sz w:val="22"/>
        </w:rPr>
        <w:t>Absolútna biologická dostupnosť apixabánu je približne 50 % pri dávkach do 10 mg. Apixabán sa absorbuje rýchlo s maximálnymi koncentráciami (C</w:t>
      </w:r>
      <w:r>
        <w:rPr>
          <w:sz w:val="22"/>
          <w:vertAlign w:val="subscript"/>
        </w:rPr>
        <w:t>max</w:t>
      </w:r>
      <w:r>
        <w:rPr>
          <w:sz w:val="22"/>
        </w:rPr>
        <w:t>) objavujúcimi sa 3 až 4 hodiny po užití tablety. Pri dávke 10 mg užitie s jedlom neovplyvňuje AUC alebo C</w:t>
      </w:r>
      <w:r>
        <w:rPr>
          <w:sz w:val="22"/>
          <w:vertAlign w:val="subscript"/>
        </w:rPr>
        <w:t xml:space="preserve">max </w:t>
      </w:r>
      <w:r>
        <w:rPr>
          <w:sz w:val="22"/>
        </w:rPr>
        <w:t xml:space="preserve">apixabánu. Apixabán sa môže užívať s jedlom alebo bez jedla. </w:t>
      </w:r>
    </w:p>
    <w:p w14:paraId="725EB963" w14:textId="21CB06CE" w:rsidR="00B07789" w:rsidRPr="00A731E1" w:rsidRDefault="00B07789" w:rsidP="00833B71">
      <w:pPr>
        <w:spacing w:after="0" w:line="240" w:lineRule="auto"/>
        <w:ind w:left="0" w:firstLine="0"/>
        <w:rPr>
          <w:sz w:val="22"/>
        </w:rPr>
      </w:pPr>
    </w:p>
    <w:p w14:paraId="36FB0014" w14:textId="65860403" w:rsidR="00B07789" w:rsidRPr="00A731E1" w:rsidRDefault="00D25089" w:rsidP="007A1396">
      <w:pPr>
        <w:spacing w:after="0" w:line="240" w:lineRule="auto"/>
        <w:ind w:left="10"/>
        <w:rPr>
          <w:sz w:val="22"/>
        </w:rPr>
      </w:pPr>
      <w:r>
        <w:rPr>
          <w:sz w:val="22"/>
        </w:rPr>
        <w:t xml:space="preserve">Apixabán vykazuje lineárnu farmakokinetiku so zvyšovaním expozície priamo úmerne </w:t>
      </w:r>
      <w:r w:rsidR="00EA09DA">
        <w:rPr>
          <w:sz w:val="22"/>
        </w:rPr>
        <w:t>s</w:t>
      </w:r>
      <w:r>
        <w:rPr>
          <w:sz w:val="22"/>
        </w:rPr>
        <w:t xml:space="preserve"> dávk</w:t>
      </w:r>
      <w:r w:rsidR="00EA09DA">
        <w:rPr>
          <w:sz w:val="22"/>
        </w:rPr>
        <w:t>ou</w:t>
      </w:r>
      <w:r>
        <w:rPr>
          <w:sz w:val="22"/>
        </w:rPr>
        <w:t xml:space="preserve"> pri perorálnych dávkach do 10 mg. Pri dávkach ≥ 25 mg apixabán vykazuje absorpciu</w:t>
      </w:r>
      <w:r w:rsidR="00EA09DA">
        <w:rPr>
          <w:sz w:val="22"/>
        </w:rPr>
        <w:t xml:space="preserve"> limitovanú disolúciou</w:t>
      </w:r>
      <w:r>
        <w:rPr>
          <w:sz w:val="22"/>
        </w:rPr>
        <w:t xml:space="preserve"> so zníženou biologickou dostupnosťou. Parametre expozície apixabánu vykazujú nízku až strednú variabilitu, čo sa odráža v intraindividuálnej (~ 20 % CV) a interindividuálnej variabilite (~ 30 % CV). </w:t>
      </w:r>
    </w:p>
    <w:p w14:paraId="563ED582" w14:textId="04D0C184" w:rsidR="00B07789" w:rsidRPr="00A731E1" w:rsidRDefault="00B07789" w:rsidP="00833B71">
      <w:pPr>
        <w:spacing w:after="0" w:line="240" w:lineRule="auto"/>
        <w:ind w:left="0" w:firstLine="0"/>
        <w:rPr>
          <w:sz w:val="22"/>
        </w:rPr>
      </w:pPr>
    </w:p>
    <w:p w14:paraId="4391B8B0" w14:textId="6154CFEA" w:rsidR="00B07789" w:rsidRPr="00A731E1" w:rsidRDefault="00D25089" w:rsidP="007A1396">
      <w:pPr>
        <w:spacing w:after="0" w:line="240" w:lineRule="auto"/>
        <w:ind w:left="10"/>
        <w:rPr>
          <w:sz w:val="22"/>
        </w:rPr>
      </w:pPr>
      <w:r>
        <w:rPr>
          <w:sz w:val="22"/>
        </w:rPr>
        <w:t>Po podaní 10 mg apixabánu perorálne vo forme 2 rozdrvených 5 mg tabliet rozpustených v 30 ml vody bola expozícia porovnateľná s expozíciou po perorálnom podaní 2 celých 5 mg tabliet. Po podaní 10 mg apixabánu perorálne vo forme 2 rozdrvených 5 mg tabliet rozmiešaných v 30 g jabl</w:t>
      </w:r>
      <w:r w:rsidR="003E075E">
        <w:rPr>
          <w:sz w:val="22"/>
        </w:rPr>
        <w:t>kového</w:t>
      </w:r>
      <w:r>
        <w:rPr>
          <w:sz w:val="22"/>
        </w:rPr>
        <w:t xml:space="preserve"> pyré bola C</w:t>
      </w:r>
      <w:r>
        <w:rPr>
          <w:sz w:val="22"/>
          <w:vertAlign w:val="subscript"/>
        </w:rPr>
        <w:t xml:space="preserve">max </w:t>
      </w:r>
      <w:r>
        <w:rPr>
          <w:sz w:val="22"/>
        </w:rPr>
        <w:t xml:space="preserve">o 21 % nižšia a AUC o 16 % nižšia v porovnaní s podaním 2 celých 5 mg tabliet. Zníženie expozície sa nepovažuje za klinicky relevantné. </w:t>
      </w:r>
    </w:p>
    <w:p w14:paraId="48671752" w14:textId="579C8CAA" w:rsidR="00B07789" w:rsidRPr="00A731E1" w:rsidRDefault="00B07789" w:rsidP="00833B71">
      <w:pPr>
        <w:spacing w:after="0" w:line="240" w:lineRule="auto"/>
        <w:ind w:left="0" w:firstLine="0"/>
        <w:rPr>
          <w:sz w:val="22"/>
        </w:rPr>
      </w:pPr>
    </w:p>
    <w:p w14:paraId="35F68765" w14:textId="335798CE" w:rsidR="00B07789" w:rsidRPr="00A731E1" w:rsidRDefault="00D25089" w:rsidP="007A1396">
      <w:pPr>
        <w:spacing w:after="0" w:line="240" w:lineRule="auto"/>
        <w:ind w:left="10"/>
        <w:rPr>
          <w:sz w:val="22"/>
        </w:rPr>
      </w:pPr>
      <w:r>
        <w:rPr>
          <w:sz w:val="22"/>
        </w:rPr>
        <w:lastRenderedPageBreak/>
        <w:t xml:space="preserve">Po podaní rozdrvenej 5 mg tablety apixabánu rozpustenej v 60 ml D5W a podanej cez </w:t>
      </w:r>
      <w:r w:rsidRPr="00CC5089">
        <w:rPr>
          <w:sz w:val="22"/>
        </w:rPr>
        <w:t xml:space="preserve">nazogastrickú </w:t>
      </w:r>
      <w:r w:rsidR="00CC5089">
        <w:rPr>
          <w:sz w:val="22"/>
        </w:rPr>
        <w:t xml:space="preserve">sondu </w:t>
      </w:r>
      <w:r>
        <w:rPr>
          <w:sz w:val="22"/>
        </w:rPr>
        <w:t xml:space="preserve">bola expozícia podobná ako expozícia pozorovaná v iných klinických štúdiách zahŕňajúcich zdravých </w:t>
      </w:r>
      <w:r w:rsidR="00337D51">
        <w:rPr>
          <w:sz w:val="22"/>
        </w:rPr>
        <w:t>účastníkov</w:t>
      </w:r>
      <w:r>
        <w:rPr>
          <w:sz w:val="22"/>
        </w:rPr>
        <w:t xml:space="preserve">, ktorí dostávali jednorazovú dávku apixabánu 5 mg perorálne. </w:t>
      </w:r>
    </w:p>
    <w:p w14:paraId="4DB50907" w14:textId="2BCD39F0" w:rsidR="00B07789" w:rsidRPr="00A731E1" w:rsidRDefault="00B07789" w:rsidP="00833B71">
      <w:pPr>
        <w:spacing w:after="0" w:line="240" w:lineRule="auto"/>
        <w:ind w:left="0" w:firstLine="0"/>
        <w:rPr>
          <w:sz w:val="22"/>
        </w:rPr>
      </w:pPr>
    </w:p>
    <w:p w14:paraId="35283B7E" w14:textId="77777777" w:rsidR="00B07789" w:rsidRPr="00A731E1" w:rsidRDefault="00D25089" w:rsidP="007A1396">
      <w:pPr>
        <w:spacing w:after="0" w:line="240" w:lineRule="auto"/>
        <w:ind w:left="10"/>
        <w:rPr>
          <w:sz w:val="22"/>
        </w:rPr>
      </w:pPr>
      <w:r>
        <w:rPr>
          <w:sz w:val="22"/>
        </w:rPr>
        <w:t xml:space="preserve">Na základe predpokladaného farmakokinetického profilu apixabánu v závislosti od dávky sú výsledky biologickej dostupnosti z vykonaných štúdií použiteľné pri nižších dávkach apixabánu. </w:t>
      </w:r>
    </w:p>
    <w:p w14:paraId="637F2477" w14:textId="7B348067" w:rsidR="00B07789" w:rsidRPr="00A731E1" w:rsidRDefault="00B07789" w:rsidP="00833B71">
      <w:pPr>
        <w:spacing w:after="0" w:line="240" w:lineRule="auto"/>
        <w:ind w:left="0" w:firstLine="0"/>
        <w:rPr>
          <w:sz w:val="22"/>
        </w:rPr>
      </w:pPr>
    </w:p>
    <w:p w14:paraId="1FA6E550" w14:textId="77777777" w:rsidR="00B07789" w:rsidRPr="00A731E1" w:rsidRDefault="00D25089" w:rsidP="007A1396">
      <w:pPr>
        <w:pStyle w:val="Nadpis2"/>
        <w:spacing w:after="0" w:line="240" w:lineRule="auto"/>
        <w:ind w:left="10"/>
        <w:rPr>
          <w:sz w:val="22"/>
        </w:rPr>
      </w:pPr>
      <w:r>
        <w:rPr>
          <w:sz w:val="22"/>
        </w:rPr>
        <w:t>Distribúcia</w:t>
      </w:r>
      <w:r>
        <w:rPr>
          <w:sz w:val="22"/>
          <w:u w:val="none"/>
        </w:rPr>
        <w:t xml:space="preserve"> </w:t>
      </w:r>
    </w:p>
    <w:p w14:paraId="60B8001B" w14:textId="77777777" w:rsidR="00B07789" w:rsidRPr="00A731E1" w:rsidRDefault="00D25089" w:rsidP="007A1396">
      <w:pPr>
        <w:spacing w:after="0" w:line="240" w:lineRule="auto"/>
        <w:ind w:left="10"/>
        <w:rPr>
          <w:sz w:val="22"/>
        </w:rPr>
      </w:pPr>
      <w:r>
        <w:rPr>
          <w:sz w:val="22"/>
        </w:rPr>
        <w:t xml:space="preserve">Väzba na plazmatické proteíny u ľudí je približne 87 %. Distribučný objem (Vss) je približne 21 litrov. </w:t>
      </w:r>
    </w:p>
    <w:p w14:paraId="0DE9080B" w14:textId="282EF5EB" w:rsidR="00B07789" w:rsidRPr="00A731E1" w:rsidRDefault="00B07789" w:rsidP="00833B71">
      <w:pPr>
        <w:spacing w:after="0" w:line="240" w:lineRule="auto"/>
        <w:ind w:left="0" w:firstLine="0"/>
        <w:rPr>
          <w:sz w:val="22"/>
        </w:rPr>
      </w:pPr>
    </w:p>
    <w:p w14:paraId="3FE6479E" w14:textId="77777777" w:rsidR="00B07789" w:rsidRPr="00A731E1" w:rsidRDefault="00D25089" w:rsidP="007A1396">
      <w:pPr>
        <w:pStyle w:val="Nadpis2"/>
        <w:spacing w:after="0" w:line="240" w:lineRule="auto"/>
        <w:ind w:left="10"/>
        <w:rPr>
          <w:sz w:val="22"/>
        </w:rPr>
      </w:pPr>
      <w:r>
        <w:rPr>
          <w:sz w:val="22"/>
        </w:rPr>
        <w:t>Biotransformácia a eliminácia</w:t>
      </w:r>
      <w:r>
        <w:rPr>
          <w:sz w:val="22"/>
          <w:u w:val="none"/>
        </w:rPr>
        <w:t xml:space="preserve"> </w:t>
      </w:r>
    </w:p>
    <w:p w14:paraId="00564607" w14:textId="77777777" w:rsidR="00B07789" w:rsidRPr="00A731E1" w:rsidRDefault="00D25089" w:rsidP="007A1396">
      <w:pPr>
        <w:spacing w:after="0" w:line="240" w:lineRule="auto"/>
        <w:ind w:left="10"/>
        <w:rPr>
          <w:sz w:val="22"/>
        </w:rPr>
      </w:pPr>
      <w:r>
        <w:rPr>
          <w:sz w:val="22"/>
        </w:rPr>
        <w:t xml:space="preserve">Apixabán má viacero spôsobov eliminácie. Z podanej dávky apixabánu u ľudí sa približne 25 % mení na metabolity, väčšina metabolitov sa vylučuje stolicou. Renálna exkrécia apixabánu tvorí približne 27 % celkového klírensu. V klinických a predklinických štúdiách sa pozorovali ďalšie spôsoby exkrécie – biliárna a priama intestinálna. </w:t>
      </w:r>
    </w:p>
    <w:p w14:paraId="08C934EA" w14:textId="2C9CEDA6" w:rsidR="00B07789" w:rsidRPr="00A731E1" w:rsidRDefault="00B07789" w:rsidP="00833B71">
      <w:pPr>
        <w:spacing w:after="0" w:line="240" w:lineRule="auto"/>
        <w:ind w:left="0" w:firstLine="0"/>
        <w:rPr>
          <w:sz w:val="22"/>
        </w:rPr>
      </w:pPr>
    </w:p>
    <w:p w14:paraId="29FFBB98" w14:textId="77777777" w:rsidR="00B07789" w:rsidRPr="00A731E1" w:rsidRDefault="00D25089" w:rsidP="007A1396">
      <w:pPr>
        <w:spacing w:after="0" w:line="240" w:lineRule="auto"/>
        <w:ind w:left="10"/>
        <w:rPr>
          <w:sz w:val="22"/>
        </w:rPr>
      </w:pPr>
      <w:r>
        <w:rPr>
          <w:sz w:val="22"/>
        </w:rPr>
        <w:t xml:space="preserve">Apixabán má celkový klírens okolo 3,3 l/h a eliminačný polčas približne 12 hodín. </w:t>
      </w:r>
    </w:p>
    <w:p w14:paraId="52CC7C1E" w14:textId="1B55B267" w:rsidR="00B07789" w:rsidRPr="00A731E1" w:rsidRDefault="00B07789" w:rsidP="00833B71">
      <w:pPr>
        <w:spacing w:after="0" w:line="240" w:lineRule="auto"/>
        <w:ind w:left="0" w:firstLine="0"/>
        <w:rPr>
          <w:sz w:val="22"/>
        </w:rPr>
      </w:pPr>
    </w:p>
    <w:p w14:paraId="09C2678D" w14:textId="77777777" w:rsidR="00B07789" w:rsidRPr="00A731E1" w:rsidRDefault="00D25089" w:rsidP="007A1396">
      <w:pPr>
        <w:spacing w:after="0" w:line="240" w:lineRule="auto"/>
        <w:ind w:left="10"/>
        <w:rPr>
          <w:sz w:val="22"/>
        </w:rPr>
      </w:pPr>
      <w:r>
        <w:rPr>
          <w:sz w:val="22"/>
        </w:rPr>
        <w:t>O</w:t>
      </w:r>
      <w:r>
        <w:rPr>
          <w:sz w:val="22"/>
        </w:rPr>
        <w:noBreakHyphen/>
        <w:t>demetylácia a hydroxylácia na mieste 3</w:t>
      </w:r>
      <w:r>
        <w:rPr>
          <w:sz w:val="22"/>
        </w:rPr>
        <w:noBreakHyphen/>
        <w:t>oxopiperidinylu sú hlavnými miestami biotransformácie. Apixabán sa metabolizuje najmä prostredníctvom CYP3A4/5, s miernym prispením CYP1A2, 2C8, 2C9, 2C19 a 2J2. V ľudskej plazme je najdôležitejšou zložkou nezmenený apixabán bez prítomnosti aktívnych cirkulujúcich metabolitov. Apixabán je substrátom transportných proteínov, P</w:t>
      </w:r>
      <w:r>
        <w:rPr>
          <w:sz w:val="22"/>
        </w:rPr>
        <w:noBreakHyphen/>
        <w:t xml:space="preserve">gp a proteínu zodpovedného za rezistenciu pri rakovine prsníka (breast cancer resistance protein, BCRP). </w:t>
      </w:r>
    </w:p>
    <w:p w14:paraId="020B4386" w14:textId="41A9DCA1" w:rsidR="00B07789" w:rsidRPr="00A731E1" w:rsidRDefault="00B07789" w:rsidP="00833B71">
      <w:pPr>
        <w:spacing w:after="0" w:line="240" w:lineRule="auto"/>
        <w:ind w:left="0" w:firstLine="0"/>
        <w:rPr>
          <w:sz w:val="22"/>
        </w:rPr>
      </w:pPr>
    </w:p>
    <w:p w14:paraId="052A211C" w14:textId="77777777" w:rsidR="00B07789" w:rsidRPr="00A731E1" w:rsidRDefault="00D25089" w:rsidP="007A1396">
      <w:pPr>
        <w:pStyle w:val="Nadpis2"/>
        <w:spacing w:after="0" w:line="240" w:lineRule="auto"/>
        <w:ind w:left="10"/>
        <w:rPr>
          <w:sz w:val="22"/>
        </w:rPr>
      </w:pPr>
      <w:r>
        <w:rPr>
          <w:sz w:val="22"/>
        </w:rPr>
        <w:t>Porucha funkcie obličiek</w:t>
      </w:r>
      <w:r>
        <w:rPr>
          <w:sz w:val="22"/>
          <w:u w:val="none"/>
        </w:rPr>
        <w:t xml:space="preserve"> </w:t>
      </w:r>
    </w:p>
    <w:p w14:paraId="3C44CFD8" w14:textId="0AF5DFB0" w:rsidR="00B07789" w:rsidRPr="00A731E1" w:rsidRDefault="00D25089" w:rsidP="007A1396">
      <w:pPr>
        <w:spacing w:after="0" w:line="240" w:lineRule="auto"/>
        <w:ind w:left="10"/>
        <w:rPr>
          <w:sz w:val="22"/>
        </w:rPr>
      </w:pPr>
      <w:r>
        <w:rPr>
          <w:sz w:val="22"/>
        </w:rPr>
        <w:t>Nepozoroval sa žiadny vplyv poru</w:t>
      </w:r>
      <w:r w:rsidR="00FE6664">
        <w:rPr>
          <w:sz w:val="22"/>
        </w:rPr>
        <w:t>chy</w:t>
      </w:r>
      <w:r>
        <w:rPr>
          <w:sz w:val="22"/>
        </w:rPr>
        <w:t xml:space="preserve"> funkcie obličiek na maximálnu plazmatickú koncentráciu apixabánu. Stanovením klírensu kreatinínu sa zistilo, že zvýšenie expozície apixabánu korelovalo so znížením funkcie obličiek. U </w:t>
      </w:r>
      <w:r w:rsidR="00FE6664">
        <w:rPr>
          <w:sz w:val="22"/>
        </w:rPr>
        <w:t xml:space="preserve">osôb </w:t>
      </w:r>
      <w:r>
        <w:rPr>
          <w:sz w:val="22"/>
        </w:rPr>
        <w:t xml:space="preserve">s </w:t>
      </w:r>
      <w:r w:rsidR="00FE6664">
        <w:rPr>
          <w:sz w:val="22"/>
        </w:rPr>
        <w:t>miernou</w:t>
      </w:r>
      <w:r>
        <w:rPr>
          <w:sz w:val="22"/>
        </w:rPr>
        <w:t xml:space="preserve"> (klírens kreatinínu 51 – 80 ml/min), stredne </w:t>
      </w:r>
      <w:r w:rsidR="00FE6664">
        <w:rPr>
          <w:sz w:val="22"/>
        </w:rPr>
        <w:t xml:space="preserve">závažnou </w:t>
      </w:r>
      <w:r>
        <w:rPr>
          <w:sz w:val="22"/>
        </w:rPr>
        <w:t xml:space="preserve">(klírens kreatinínu 30 – 50 ml/min) a </w:t>
      </w:r>
      <w:r w:rsidR="00FE6664">
        <w:rPr>
          <w:sz w:val="22"/>
        </w:rPr>
        <w:t xml:space="preserve">závažnou </w:t>
      </w:r>
      <w:r>
        <w:rPr>
          <w:sz w:val="22"/>
        </w:rPr>
        <w:t xml:space="preserve">(klírens kreatinínu 15 – 29 ml/min) poruchou funkcie obličiek sa plazmatické koncentrácie (AUC) apixabánu, v porovnaní s </w:t>
      </w:r>
      <w:r w:rsidR="00FE6664">
        <w:rPr>
          <w:sz w:val="22"/>
        </w:rPr>
        <w:t xml:space="preserve">osobami </w:t>
      </w:r>
      <w:r>
        <w:rPr>
          <w:sz w:val="22"/>
        </w:rPr>
        <w:t>s normálnym klírensom kreatinínu, zvýšili o 16, 29 a 44 % v uvedenom poradí. Porucha funkcie obličiek nemala žiadny evidentný vplyv na vzťah medzi plazmatickou koncentráciou apixabánu a anti</w:t>
      </w:r>
      <w:r>
        <w:rPr>
          <w:sz w:val="22"/>
        </w:rPr>
        <w:noBreakHyphen/>
        <w:t xml:space="preserve">FXa aktivitou. </w:t>
      </w:r>
    </w:p>
    <w:p w14:paraId="36E6636F" w14:textId="2C81E3B5" w:rsidR="00B07789" w:rsidRPr="00A731E1" w:rsidRDefault="00B07789" w:rsidP="00833B71">
      <w:pPr>
        <w:spacing w:after="0" w:line="240" w:lineRule="auto"/>
        <w:ind w:left="0" w:firstLine="0"/>
        <w:rPr>
          <w:sz w:val="22"/>
        </w:rPr>
      </w:pPr>
    </w:p>
    <w:p w14:paraId="3F8158F0" w14:textId="15930735" w:rsidR="00B07789" w:rsidRPr="00A731E1" w:rsidRDefault="00D25089" w:rsidP="007A1396">
      <w:pPr>
        <w:spacing w:after="0" w:line="240" w:lineRule="auto"/>
        <w:ind w:left="10"/>
        <w:rPr>
          <w:sz w:val="22"/>
        </w:rPr>
      </w:pPr>
      <w:r>
        <w:rPr>
          <w:sz w:val="22"/>
        </w:rPr>
        <w:t>U osôb s terminálnym štádiom ochorenia obličiek (end-stage renal disease</w:t>
      </w:r>
      <w:r w:rsidR="00FE6664">
        <w:rPr>
          <w:sz w:val="22"/>
        </w:rPr>
        <w:t xml:space="preserve">, </w:t>
      </w:r>
      <w:r>
        <w:rPr>
          <w:sz w:val="22"/>
        </w:rPr>
        <w:t xml:space="preserve">ESRD) sa AUC apixabánu zvýšila o 36 %, keď sa podávala jednorazová dávka apixabánu 5 mg bezprostredne po hemodialýze v porovnaní s AUC pozorovanou u osôb s normálnou funkciou obličiek. Hemodialýza, ktorá začala dve hodiny po podaní jednorazovej dávky 5 mg apixabánu, znížila AUC apixabánu o 14 % u týchto pacientov s ESRD, čo zodpovedá klírensu apixabánu dialýzou 18 ml/min. Preto je nepravdepodobné, že by hemodialýza bola účinným prostriedkom pri liečbe predávkovania apixabánom. </w:t>
      </w:r>
    </w:p>
    <w:p w14:paraId="603DD131" w14:textId="0E095AB8" w:rsidR="00B07789" w:rsidRPr="00A731E1" w:rsidRDefault="00B07789" w:rsidP="00833B71">
      <w:pPr>
        <w:spacing w:after="0" w:line="240" w:lineRule="auto"/>
        <w:ind w:left="0" w:firstLine="0"/>
        <w:rPr>
          <w:sz w:val="22"/>
        </w:rPr>
      </w:pPr>
    </w:p>
    <w:p w14:paraId="3E8F351E" w14:textId="77777777" w:rsidR="00B07789" w:rsidRPr="00A731E1" w:rsidRDefault="00D25089" w:rsidP="007A1396">
      <w:pPr>
        <w:pStyle w:val="Nadpis2"/>
        <w:spacing w:after="0" w:line="240" w:lineRule="auto"/>
        <w:ind w:left="10"/>
        <w:rPr>
          <w:sz w:val="22"/>
        </w:rPr>
      </w:pPr>
      <w:r>
        <w:rPr>
          <w:sz w:val="22"/>
        </w:rPr>
        <w:t>Porucha funkcie pečene</w:t>
      </w:r>
      <w:r>
        <w:rPr>
          <w:sz w:val="22"/>
          <w:u w:val="none"/>
        </w:rPr>
        <w:t xml:space="preserve"> </w:t>
      </w:r>
    </w:p>
    <w:p w14:paraId="16F5A474" w14:textId="53768611" w:rsidR="00B07789" w:rsidRPr="00A731E1" w:rsidRDefault="00D25089" w:rsidP="007A1396">
      <w:pPr>
        <w:spacing w:after="0" w:line="240" w:lineRule="auto"/>
        <w:ind w:left="10"/>
        <w:rPr>
          <w:sz w:val="22"/>
        </w:rPr>
      </w:pPr>
      <w:r>
        <w:rPr>
          <w:sz w:val="22"/>
        </w:rPr>
        <w:t>V štúdii, ktorá porovnávala 8 </w:t>
      </w:r>
      <w:r w:rsidR="00FE6664">
        <w:rPr>
          <w:sz w:val="22"/>
        </w:rPr>
        <w:t xml:space="preserve">osôb </w:t>
      </w:r>
      <w:r>
        <w:rPr>
          <w:sz w:val="22"/>
        </w:rPr>
        <w:t xml:space="preserve">s </w:t>
      </w:r>
      <w:r w:rsidR="00FE6664">
        <w:rPr>
          <w:sz w:val="22"/>
        </w:rPr>
        <w:t xml:space="preserve">miernou </w:t>
      </w:r>
      <w:r>
        <w:rPr>
          <w:sz w:val="22"/>
        </w:rPr>
        <w:t>poruchou funkcie pečene, Childovo</w:t>
      </w:r>
      <w:r>
        <w:rPr>
          <w:sz w:val="22"/>
        </w:rPr>
        <w:noBreakHyphen/>
        <w:t>Pughovo skóre 5 (n = 6) a 6 (n = 2), a 8 </w:t>
      </w:r>
      <w:r w:rsidR="00FE6664">
        <w:rPr>
          <w:sz w:val="22"/>
        </w:rPr>
        <w:t xml:space="preserve">osôb </w:t>
      </w:r>
      <w:r>
        <w:rPr>
          <w:sz w:val="22"/>
        </w:rPr>
        <w:t xml:space="preserve">so stredne </w:t>
      </w:r>
      <w:r w:rsidR="00FE6664">
        <w:rPr>
          <w:sz w:val="22"/>
        </w:rPr>
        <w:t xml:space="preserve">závažnou </w:t>
      </w:r>
      <w:r>
        <w:rPr>
          <w:sz w:val="22"/>
        </w:rPr>
        <w:t>poruchou funkcie pečene, Childovo</w:t>
      </w:r>
      <w:r>
        <w:rPr>
          <w:sz w:val="22"/>
        </w:rPr>
        <w:noBreakHyphen/>
        <w:t xml:space="preserve">Pughovo skóre B 7 (n = 6) a 8 (n = 2), so 16 zdravými </w:t>
      </w:r>
      <w:r w:rsidR="00FE6664">
        <w:rPr>
          <w:sz w:val="22"/>
        </w:rPr>
        <w:t xml:space="preserve">osobami </w:t>
      </w:r>
      <w:r>
        <w:rPr>
          <w:sz w:val="22"/>
        </w:rPr>
        <w:t xml:space="preserve">kontrolnej skupiny sa farmakokinetika a farmakodynamika dávky 5 mg apixabánu u </w:t>
      </w:r>
      <w:r w:rsidR="00FE6664">
        <w:rPr>
          <w:sz w:val="22"/>
        </w:rPr>
        <w:t xml:space="preserve">osôb </w:t>
      </w:r>
      <w:r>
        <w:rPr>
          <w:sz w:val="22"/>
        </w:rPr>
        <w:t>s poruchou funkcie pečene nezmenila. Zmeny v anti</w:t>
      </w:r>
      <w:r>
        <w:rPr>
          <w:sz w:val="22"/>
        </w:rPr>
        <w:noBreakHyphen/>
        <w:t xml:space="preserve">FXa aktivite a INR boli medzi </w:t>
      </w:r>
      <w:r w:rsidR="00FE6664">
        <w:rPr>
          <w:sz w:val="22"/>
        </w:rPr>
        <w:t xml:space="preserve">osobami </w:t>
      </w:r>
      <w:r>
        <w:rPr>
          <w:sz w:val="22"/>
        </w:rPr>
        <w:t xml:space="preserve">s </w:t>
      </w:r>
      <w:r w:rsidR="00FE6664">
        <w:rPr>
          <w:sz w:val="22"/>
        </w:rPr>
        <w:t xml:space="preserve">miernou </w:t>
      </w:r>
      <w:r>
        <w:rPr>
          <w:sz w:val="22"/>
        </w:rPr>
        <w:t xml:space="preserve">až stredne </w:t>
      </w:r>
      <w:r w:rsidR="00FE6664">
        <w:rPr>
          <w:sz w:val="22"/>
        </w:rPr>
        <w:t>závažnou</w:t>
      </w:r>
      <w:r>
        <w:rPr>
          <w:sz w:val="22"/>
        </w:rPr>
        <w:t xml:space="preserve"> poruchou funkcie pečene a zdravými </w:t>
      </w:r>
      <w:r w:rsidR="00FE6664">
        <w:rPr>
          <w:sz w:val="22"/>
        </w:rPr>
        <w:t xml:space="preserve">osobami </w:t>
      </w:r>
      <w:r>
        <w:rPr>
          <w:sz w:val="22"/>
        </w:rPr>
        <w:t xml:space="preserve">porovnateľné. </w:t>
      </w:r>
    </w:p>
    <w:p w14:paraId="68B2C6D6" w14:textId="17E9EEA8" w:rsidR="00B07789" w:rsidRPr="00A731E1" w:rsidRDefault="00B07789" w:rsidP="00833B71">
      <w:pPr>
        <w:spacing w:after="0" w:line="240" w:lineRule="auto"/>
        <w:ind w:left="0" w:firstLine="0"/>
        <w:rPr>
          <w:sz w:val="22"/>
        </w:rPr>
      </w:pPr>
    </w:p>
    <w:p w14:paraId="2D82F1A2" w14:textId="3BAFB029" w:rsidR="00B07789" w:rsidRPr="00A731E1" w:rsidRDefault="00D25089" w:rsidP="007A1396">
      <w:pPr>
        <w:pStyle w:val="Nadpis2"/>
        <w:spacing w:after="0" w:line="240" w:lineRule="auto"/>
        <w:ind w:left="10"/>
        <w:rPr>
          <w:sz w:val="22"/>
        </w:rPr>
      </w:pPr>
      <w:r>
        <w:rPr>
          <w:sz w:val="22"/>
        </w:rPr>
        <w:t xml:space="preserve">Starší </w:t>
      </w:r>
      <w:r w:rsidR="006216B2">
        <w:rPr>
          <w:sz w:val="22"/>
        </w:rPr>
        <w:t>pacienti</w:t>
      </w:r>
    </w:p>
    <w:p w14:paraId="137CB14A" w14:textId="77777777" w:rsidR="00B07789" w:rsidRPr="00A731E1" w:rsidRDefault="00D25089" w:rsidP="007A1396">
      <w:pPr>
        <w:spacing w:after="0" w:line="240" w:lineRule="auto"/>
        <w:ind w:left="10"/>
        <w:rPr>
          <w:sz w:val="22"/>
        </w:rPr>
      </w:pPr>
      <w:r>
        <w:rPr>
          <w:sz w:val="22"/>
        </w:rPr>
        <w:t>Starší pacienti (nad 65 rokov) vykazovali vyššie plazmatické koncentrácie ako mladší pacienti s priemernými hodnotami AUC vyššími približne o 32 % a žiadny rozdiel v C</w:t>
      </w:r>
      <w:r>
        <w:rPr>
          <w:sz w:val="22"/>
          <w:vertAlign w:val="subscript"/>
        </w:rPr>
        <w:t>max.</w:t>
      </w:r>
      <w:r>
        <w:rPr>
          <w:sz w:val="22"/>
        </w:rPr>
        <w:t xml:space="preserve"> </w:t>
      </w:r>
    </w:p>
    <w:p w14:paraId="31AA2AC4" w14:textId="04756426" w:rsidR="00B07789" w:rsidRPr="00A731E1" w:rsidRDefault="00B07789" w:rsidP="00F77A41">
      <w:pPr>
        <w:keepNext/>
        <w:spacing w:after="0" w:line="240" w:lineRule="auto"/>
        <w:ind w:left="0" w:firstLine="0"/>
        <w:rPr>
          <w:sz w:val="22"/>
        </w:rPr>
      </w:pPr>
    </w:p>
    <w:p w14:paraId="68377499" w14:textId="77777777" w:rsidR="00B07789" w:rsidRPr="00A731E1" w:rsidRDefault="00D25089" w:rsidP="007A1396">
      <w:pPr>
        <w:keepNext/>
        <w:spacing w:after="0" w:line="240" w:lineRule="auto"/>
        <w:ind w:left="10"/>
        <w:rPr>
          <w:sz w:val="22"/>
        </w:rPr>
      </w:pPr>
      <w:r>
        <w:rPr>
          <w:sz w:val="22"/>
          <w:u w:val="single" w:color="000000"/>
        </w:rPr>
        <w:t>Pohlavie</w:t>
      </w:r>
      <w:r>
        <w:rPr>
          <w:sz w:val="22"/>
        </w:rPr>
        <w:t xml:space="preserve"> </w:t>
      </w:r>
    </w:p>
    <w:p w14:paraId="3280F1CB" w14:textId="77777777" w:rsidR="00B07789" w:rsidRPr="00A731E1" w:rsidRDefault="00D25089" w:rsidP="007A1396">
      <w:pPr>
        <w:keepNext/>
        <w:spacing w:after="0" w:line="240" w:lineRule="auto"/>
        <w:ind w:left="10"/>
        <w:rPr>
          <w:sz w:val="22"/>
        </w:rPr>
      </w:pPr>
      <w:r>
        <w:rPr>
          <w:sz w:val="22"/>
        </w:rPr>
        <w:t xml:space="preserve">Expozícia apixabánu bola približne o 18 % vyššia u žien ako u mužov. </w:t>
      </w:r>
    </w:p>
    <w:p w14:paraId="17C8B4EB" w14:textId="77777777" w:rsidR="00B07789" w:rsidRPr="00A731E1" w:rsidRDefault="00D25089" w:rsidP="00833B71">
      <w:pPr>
        <w:spacing w:after="0" w:line="240" w:lineRule="auto"/>
        <w:ind w:left="0" w:firstLine="0"/>
        <w:rPr>
          <w:sz w:val="22"/>
        </w:rPr>
      </w:pPr>
      <w:r>
        <w:rPr>
          <w:sz w:val="22"/>
        </w:rPr>
        <w:t xml:space="preserve"> </w:t>
      </w:r>
    </w:p>
    <w:p w14:paraId="09D14961" w14:textId="77777777" w:rsidR="00B07789" w:rsidRPr="00A731E1" w:rsidRDefault="00D25089" w:rsidP="007A1396">
      <w:pPr>
        <w:pStyle w:val="Nadpis2"/>
        <w:spacing w:after="0" w:line="240" w:lineRule="auto"/>
        <w:ind w:left="10"/>
        <w:rPr>
          <w:sz w:val="22"/>
        </w:rPr>
      </w:pPr>
      <w:r>
        <w:rPr>
          <w:sz w:val="22"/>
        </w:rPr>
        <w:t>Etnický pôvod a rasa</w:t>
      </w:r>
      <w:r>
        <w:rPr>
          <w:sz w:val="22"/>
          <w:u w:val="none"/>
        </w:rPr>
        <w:t xml:space="preserve"> </w:t>
      </w:r>
    </w:p>
    <w:p w14:paraId="3CF8D5F2" w14:textId="5E05E8E3" w:rsidR="00B07789" w:rsidRPr="00A731E1" w:rsidRDefault="00D25089" w:rsidP="007A1396">
      <w:pPr>
        <w:spacing w:after="0" w:line="240" w:lineRule="auto"/>
        <w:ind w:left="10"/>
        <w:rPr>
          <w:sz w:val="22"/>
        </w:rPr>
      </w:pPr>
      <w:r>
        <w:rPr>
          <w:sz w:val="22"/>
        </w:rPr>
        <w:t xml:space="preserve">Výsledky v štúdiách fázy I neukázali odlíšiteľné rozdiely vo farmakokinetike apixabánu medzi </w:t>
      </w:r>
      <w:r w:rsidR="006216B2">
        <w:rPr>
          <w:sz w:val="22"/>
        </w:rPr>
        <w:t>pacientmi bielej, žltej a čiernej rasy</w:t>
      </w:r>
      <w:r>
        <w:rPr>
          <w:sz w:val="22"/>
        </w:rPr>
        <w:t xml:space="preserve">. Závery z analýzy farmakokinetiky u pacientov, ktorým sa podal apixabán, boli zvyčajne konzistentné s výsledkami fázy I. </w:t>
      </w:r>
    </w:p>
    <w:p w14:paraId="3134783C" w14:textId="77777777" w:rsidR="00B07789" w:rsidRPr="00A731E1" w:rsidRDefault="00D25089" w:rsidP="00833B71">
      <w:pPr>
        <w:spacing w:after="0" w:line="240" w:lineRule="auto"/>
        <w:ind w:left="0" w:firstLine="0"/>
        <w:rPr>
          <w:sz w:val="22"/>
        </w:rPr>
      </w:pPr>
      <w:r>
        <w:rPr>
          <w:i/>
          <w:sz w:val="22"/>
        </w:rPr>
        <w:t xml:space="preserve"> </w:t>
      </w:r>
    </w:p>
    <w:p w14:paraId="44F56F09" w14:textId="77777777" w:rsidR="00B07789" w:rsidRPr="00A731E1" w:rsidRDefault="00D25089" w:rsidP="007A1396">
      <w:pPr>
        <w:pStyle w:val="Nadpis2"/>
        <w:spacing w:after="0" w:line="240" w:lineRule="auto"/>
        <w:ind w:left="10"/>
        <w:rPr>
          <w:sz w:val="22"/>
        </w:rPr>
      </w:pPr>
      <w:r>
        <w:rPr>
          <w:sz w:val="22"/>
        </w:rPr>
        <w:t>Telesná hmotnosť</w:t>
      </w:r>
      <w:r>
        <w:rPr>
          <w:sz w:val="22"/>
          <w:u w:val="none"/>
        </w:rPr>
        <w:t xml:space="preserve"> </w:t>
      </w:r>
    </w:p>
    <w:p w14:paraId="16B192ED" w14:textId="16B83B67" w:rsidR="00B07789" w:rsidRPr="00A731E1" w:rsidRDefault="00D25089" w:rsidP="007A1396">
      <w:pPr>
        <w:spacing w:after="0" w:line="240" w:lineRule="auto"/>
        <w:ind w:left="10"/>
        <w:rPr>
          <w:sz w:val="22"/>
        </w:rPr>
      </w:pPr>
      <w:r>
        <w:rPr>
          <w:sz w:val="22"/>
        </w:rPr>
        <w:t xml:space="preserve">V porovnaní s expozíciou apixabánu u </w:t>
      </w:r>
      <w:r w:rsidR="006216B2">
        <w:rPr>
          <w:sz w:val="22"/>
        </w:rPr>
        <w:t xml:space="preserve">osôb </w:t>
      </w:r>
      <w:r>
        <w:rPr>
          <w:sz w:val="22"/>
        </w:rPr>
        <w:t xml:space="preserve">s telesnou hmotnosťou 65 až 85 kg, u </w:t>
      </w:r>
      <w:r w:rsidR="006216B2">
        <w:rPr>
          <w:sz w:val="22"/>
        </w:rPr>
        <w:t xml:space="preserve">osôb </w:t>
      </w:r>
      <w:r>
        <w:rPr>
          <w:sz w:val="22"/>
        </w:rPr>
        <w:t>s telesnou hmotnosťou &gt; 120 kg bola expozícia apixabánu približne o 30 % nižšia a</w:t>
      </w:r>
      <w:r w:rsidR="006216B2">
        <w:rPr>
          <w:sz w:val="22"/>
        </w:rPr>
        <w:t> </w:t>
      </w:r>
      <w:r>
        <w:rPr>
          <w:sz w:val="22"/>
        </w:rPr>
        <w:t>u</w:t>
      </w:r>
      <w:r w:rsidR="006216B2">
        <w:rPr>
          <w:sz w:val="22"/>
        </w:rPr>
        <w:t xml:space="preserve"> osôb</w:t>
      </w:r>
      <w:r>
        <w:rPr>
          <w:sz w:val="22"/>
        </w:rPr>
        <w:t xml:space="preserve"> s hmotnosťou &lt; 50 kg bola expozícia približne o 30 % vyššia. </w:t>
      </w:r>
    </w:p>
    <w:p w14:paraId="355E3BBB" w14:textId="77777777" w:rsidR="00B07789" w:rsidRPr="00A731E1" w:rsidRDefault="00D25089" w:rsidP="00833B71">
      <w:pPr>
        <w:spacing w:after="0" w:line="240" w:lineRule="auto"/>
        <w:ind w:left="0" w:firstLine="0"/>
        <w:rPr>
          <w:sz w:val="22"/>
        </w:rPr>
      </w:pPr>
      <w:r>
        <w:rPr>
          <w:sz w:val="22"/>
        </w:rPr>
        <w:t xml:space="preserve"> </w:t>
      </w:r>
    </w:p>
    <w:p w14:paraId="7B264029" w14:textId="77777777" w:rsidR="00B07789" w:rsidRPr="00A731E1" w:rsidRDefault="00D25089" w:rsidP="007A1396">
      <w:pPr>
        <w:pStyle w:val="Nadpis2"/>
        <w:spacing w:after="0" w:line="240" w:lineRule="auto"/>
        <w:ind w:left="10"/>
        <w:rPr>
          <w:sz w:val="22"/>
        </w:rPr>
      </w:pPr>
      <w:r>
        <w:rPr>
          <w:sz w:val="22"/>
        </w:rPr>
        <w:t>Farmakokinetický/farmakodynamický vzťah</w:t>
      </w:r>
      <w:r>
        <w:rPr>
          <w:sz w:val="22"/>
          <w:u w:val="none"/>
        </w:rPr>
        <w:t xml:space="preserve"> </w:t>
      </w:r>
    </w:p>
    <w:p w14:paraId="05784CD3" w14:textId="5ADF3964" w:rsidR="00B07789" w:rsidRPr="00A731E1" w:rsidRDefault="00D25089" w:rsidP="007A1396">
      <w:pPr>
        <w:spacing w:after="0" w:line="240" w:lineRule="auto"/>
        <w:ind w:left="10"/>
        <w:rPr>
          <w:sz w:val="22"/>
        </w:rPr>
      </w:pPr>
      <w:r>
        <w:rPr>
          <w:sz w:val="22"/>
        </w:rPr>
        <w:t xml:space="preserve">Vzťah farmakokinetiky/farmakodynamiky (FK/FD) medzi </w:t>
      </w:r>
      <w:r w:rsidR="006216B2">
        <w:rPr>
          <w:sz w:val="22"/>
        </w:rPr>
        <w:t xml:space="preserve">plazmatickou </w:t>
      </w:r>
      <w:r>
        <w:rPr>
          <w:sz w:val="22"/>
        </w:rPr>
        <w:t xml:space="preserve">koncentráciou apixabánu a niekoľkými farmakodynamickými </w:t>
      </w:r>
      <w:r w:rsidR="006216B2">
        <w:rPr>
          <w:sz w:val="22"/>
        </w:rPr>
        <w:t xml:space="preserve">cieľovými </w:t>
      </w:r>
      <w:r>
        <w:rPr>
          <w:sz w:val="22"/>
        </w:rPr>
        <w:t>ukazovateľmi (anti</w:t>
      </w:r>
      <w:r>
        <w:rPr>
          <w:sz w:val="22"/>
        </w:rPr>
        <w:noBreakHyphen/>
        <w:t xml:space="preserve">FXa aktivita, INR, PT, aPTT) sa hodnotil po podaní širokého rozpätia dávok (0,5 – 50 mg). Vzťah medzi </w:t>
      </w:r>
      <w:r w:rsidR="006216B2">
        <w:rPr>
          <w:sz w:val="22"/>
        </w:rPr>
        <w:t xml:space="preserve">plazmatickou </w:t>
      </w:r>
      <w:r>
        <w:rPr>
          <w:sz w:val="22"/>
        </w:rPr>
        <w:t>koncentráciou apixabánu  a anti</w:t>
      </w:r>
      <w:r>
        <w:rPr>
          <w:sz w:val="22"/>
        </w:rPr>
        <w:noBreakHyphen/>
        <w:t xml:space="preserve">FXa aktivitou sa najlepšie popísal lineárnym modelom. Vzťah FK/FD pozorovaný u pacientov bol </w:t>
      </w:r>
      <w:r w:rsidR="001C252C">
        <w:rPr>
          <w:sz w:val="22"/>
        </w:rPr>
        <w:t xml:space="preserve">zhodný </w:t>
      </w:r>
      <w:r>
        <w:rPr>
          <w:sz w:val="22"/>
        </w:rPr>
        <w:t xml:space="preserve">s výsledkami u zdravých </w:t>
      </w:r>
      <w:r w:rsidR="001C252C">
        <w:rPr>
          <w:sz w:val="22"/>
        </w:rPr>
        <w:t>osôb</w:t>
      </w:r>
      <w:r>
        <w:rPr>
          <w:sz w:val="22"/>
        </w:rPr>
        <w:t xml:space="preserve">. </w:t>
      </w:r>
    </w:p>
    <w:p w14:paraId="7327EBBA" w14:textId="77777777" w:rsidR="00B07789" w:rsidRPr="00A731E1" w:rsidRDefault="00D25089" w:rsidP="00833B71">
      <w:pPr>
        <w:spacing w:after="0" w:line="240" w:lineRule="auto"/>
        <w:ind w:left="0" w:firstLine="0"/>
        <w:rPr>
          <w:sz w:val="22"/>
        </w:rPr>
      </w:pPr>
      <w:r>
        <w:rPr>
          <w:sz w:val="22"/>
        </w:rPr>
        <w:t xml:space="preserve"> </w:t>
      </w:r>
    </w:p>
    <w:p w14:paraId="5D8B3DCC" w14:textId="77777777" w:rsidR="00B07789" w:rsidRPr="00A731E1" w:rsidRDefault="00D25089" w:rsidP="001F3856">
      <w:pPr>
        <w:pStyle w:val="Nadpis3"/>
        <w:tabs>
          <w:tab w:val="center" w:pos="1559"/>
        </w:tabs>
        <w:spacing w:after="0" w:line="240" w:lineRule="auto"/>
        <w:ind w:left="567" w:hanging="567"/>
        <w:rPr>
          <w:sz w:val="22"/>
        </w:rPr>
      </w:pPr>
      <w:r>
        <w:rPr>
          <w:sz w:val="22"/>
        </w:rPr>
        <w:t>5.3</w:t>
      </w:r>
      <w:r>
        <w:rPr>
          <w:sz w:val="22"/>
        </w:rPr>
        <w:tab/>
        <w:t>Predklinické údaje o bezpečnosti</w:t>
      </w:r>
      <w:r>
        <w:rPr>
          <w:b w:val="0"/>
          <w:sz w:val="22"/>
        </w:rPr>
        <w:t xml:space="preserve"> </w:t>
      </w:r>
    </w:p>
    <w:p w14:paraId="41CEA56F" w14:textId="77777777" w:rsidR="00B07789" w:rsidRPr="00A731E1" w:rsidRDefault="00D25089" w:rsidP="00833B71">
      <w:pPr>
        <w:spacing w:after="0" w:line="240" w:lineRule="auto"/>
        <w:ind w:left="0" w:firstLine="0"/>
        <w:rPr>
          <w:sz w:val="22"/>
        </w:rPr>
      </w:pPr>
      <w:r>
        <w:rPr>
          <w:sz w:val="22"/>
        </w:rPr>
        <w:t xml:space="preserve"> </w:t>
      </w:r>
    </w:p>
    <w:p w14:paraId="2FAD6380" w14:textId="40A999DA" w:rsidR="00B07789" w:rsidRPr="00A731E1" w:rsidRDefault="00D25089" w:rsidP="007A1396">
      <w:pPr>
        <w:spacing w:after="0" w:line="240" w:lineRule="auto"/>
        <w:ind w:left="10"/>
        <w:rPr>
          <w:sz w:val="22"/>
        </w:rPr>
      </w:pPr>
      <w:r>
        <w:rPr>
          <w:sz w:val="22"/>
        </w:rPr>
        <w:t>Predklinické údaje získané na základe obvyklých farmakologických štúdií bezpečnosti, toxicity po opakovanom podávaní, genotoxicity, karcinogénneho potenciálu, fertility a embryo</w:t>
      </w:r>
      <w:r>
        <w:rPr>
          <w:sz w:val="22"/>
        </w:rPr>
        <w:noBreakHyphen/>
        <w:t>fetálneho výv</w:t>
      </w:r>
      <w:r w:rsidR="00E17CF1">
        <w:rPr>
          <w:sz w:val="22"/>
        </w:rPr>
        <w:t>inu</w:t>
      </w:r>
      <w:r>
        <w:rPr>
          <w:sz w:val="22"/>
        </w:rPr>
        <w:t xml:space="preserve"> a juvenilnej toxicity neodhalili žiadne osobitné riziko pre ľudí. </w:t>
      </w:r>
    </w:p>
    <w:p w14:paraId="29CEE69D" w14:textId="77777777" w:rsidR="00B07789" w:rsidRPr="00A731E1" w:rsidRDefault="00D25089" w:rsidP="00833B71">
      <w:pPr>
        <w:spacing w:after="0" w:line="240" w:lineRule="auto"/>
        <w:ind w:left="0" w:firstLine="0"/>
        <w:rPr>
          <w:sz w:val="22"/>
        </w:rPr>
      </w:pPr>
      <w:r>
        <w:rPr>
          <w:sz w:val="22"/>
        </w:rPr>
        <w:t xml:space="preserve"> </w:t>
      </w:r>
    </w:p>
    <w:p w14:paraId="0171E8F6" w14:textId="1C16AA28" w:rsidR="00B07789" w:rsidRPr="00A731E1" w:rsidRDefault="00D25089" w:rsidP="007A1396">
      <w:pPr>
        <w:spacing w:after="0" w:line="240" w:lineRule="auto"/>
        <w:ind w:left="10"/>
        <w:rPr>
          <w:sz w:val="22"/>
        </w:rPr>
      </w:pPr>
      <w:r>
        <w:rPr>
          <w:sz w:val="22"/>
        </w:rPr>
        <w:t xml:space="preserve">Najvýznamnejšie pozorované účinky v štúdiách toxicity po opakovanom podávaní boli také, ktoré súviseli s farmakologickým pôsobením apixabánu na koagulačné parametre krvi. V štúdiách toxicity sa zistilo malé až žiadne zvýšenie tendencie ku krvácavosti. Keďže to môže byť spôsobené nižšou citlivosťou druhov použitých </w:t>
      </w:r>
      <w:r w:rsidR="00E17CF1">
        <w:rPr>
          <w:sz w:val="22"/>
        </w:rPr>
        <w:t xml:space="preserve">v </w:t>
      </w:r>
      <w:r>
        <w:rPr>
          <w:sz w:val="22"/>
        </w:rPr>
        <w:t xml:space="preserve">predklinických štúdiách v porovnaní s ľuďmi, pri extrapolácii na ľudí sa má tento výsledok interpretovať s opatrnosťou. </w:t>
      </w:r>
    </w:p>
    <w:p w14:paraId="0A02C344" w14:textId="77777777" w:rsidR="00B07789" w:rsidRPr="00A731E1" w:rsidRDefault="00D25089" w:rsidP="00833B71">
      <w:pPr>
        <w:spacing w:after="0" w:line="240" w:lineRule="auto"/>
        <w:ind w:left="0" w:firstLine="0"/>
        <w:rPr>
          <w:sz w:val="22"/>
        </w:rPr>
      </w:pPr>
      <w:r>
        <w:rPr>
          <w:sz w:val="22"/>
        </w:rPr>
        <w:t xml:space="preserve"> </w:t>
      </w:r>
    </w:p>
    <w:p w14:paraId="2709CD64" w14:textId="77777777" w:rsidR="00B07789" w:rsidRPr="00A731E1" w:rsidRDefault="00D25089" w:rsidP="000E7AF5">
      <w:pPr>
        <w:keepNext/>
        <w:spacing w:after="0" w:line="240" w:lineRule="auto"/>
        <w:ind w:left="0" w:firstLine="0"/>
        <w:rPr>
          <w:sz w:val="22"/>
        </w:rPr>
      </w:pPr>
      <w:r>
        <w:rPr>
          <w:sz w:val="22"/>
        </w:rPr>
        <w:t xml:space="preserve"> </w:t>
      </w:r>
    </w:p>
    <w:p w14:paraId="3E193175" w14:textId="77777777" w:rsidR="00B07789" w:rsidRPr="00A731E1" w:rsidRDefault="00D25089" w:rsidP="000E7AF5">
      <w:pPr>
        <w:pStyle w:val="Nadpis1"/>
        <w:keepLines w:val="0"/>
        <w:tabs>
          <w:tab w:val="center" w:pos="2367"/>
        </w:tabs>
        <w:spacing w:after="0" w:line="240" w:lineRule="auto"/>
        <w:ind w:left="567" w:hanging="567"/>
        <w:rPr>
          <w:sz w:val="22"/>
        </w:rPr>
      </w:pPr>
      <w:r>
        <w:rPr>
          <w:sz w:val="22"/>
        </w:rPr>
        <w:t xml:space="preserve">6. </w:t>
      </w:r>
      <w:r>
        <w:rPr>
          <w:sz w:val="22"/>
        </w:rPr>
        <w:tab/>
        <w:t xml:space="preserve">FARMACEUTICKÉ ÚDAJE </w:t>
      </w:r>
    </w:p>
    <w:p w14:paraId="678B3992" w14:textId="77777777" w:rsidR="00B07789" w:rsidRPr="00A731E1" w:rsidRDefault="00D25089" w:rsidP="000E7AF5">
      <w:pPr>
        <w:keepNext/>
        <w:spacing w:after="0" w:line="240" w:lineRule="auto"/>
        <w:ind w:left="0" w:firstLine="0"/>
        <w:rPr>
          <w:sz w:val="22"/>
        </w:rPr>
      </w:pPr>
      <w:r>
        <w:rPr>
          <w:sz w:val="22"/>
        </w:rPr>
        <w:t xml:space="preserve"> </w:t>
      </w:r>
    </w:p>
    <w:p w14:paraId="632C72F3" w14:textId="77777777" w:rsidR="00B07789" w:rsidRPr="00A731E1" w:rsidRDefault="00D25089" w:rsidP="000E7AF5">
      <w:pPr>
        <w:pStyle w:val="Nadpis2"/>
        <w:keepLines w:val="0"/>
        <w:tabs>
          <w:tab w:val="center" w:pos="1329"/>
        </w:tabs>
        <w:spacing w:after="0" w:line="240" w:lineRule="auto"/>
        <w:ind w:left="567" w:hanging="567"/>
        <w:rPr>
          <w:sz w:val="22"/>
        </w:rPr>
      </w:pPr>
      <w:r>
        <w:rPr>
          <w:b/>
          <w:sz w:val="22"/>
          <w:u w:val="none"/>
        </w:rPr>
        <w:t>6.1</w:t>
      </w:r>
      <w:r>
        <w:rPr>
          <w:b/>
          <w:sz w:val="22"/>
          <w:u w:val="none"/>
        </w:rPr>
        <w:tab/>
        <w:t xml:space="preserve">Zoznam pomocných látok </w:t>
      </w:r>
    </w:p>
    <w:p w14:paraId="3B42B71C" w14:textId="77777777" w:rsidR="00B07789" w:rsidRPr="00A731E1" w:rsidRDefault="00D25089" w:rsidP="00833B71">
      <w:pPr>
        <w:spacing w:after="0" w:line="240" w:lineRule="auto"/>
        <w:ind w:left="0" w:firstLine="0"/>
        <w:rPr>
          <w:sz w:val="22"/>
        </w:rPr>
      </w:pPr>
      <w:r>
        <w:rPr>
          <w:b/>
          <w:sz w:val="22"/>
        </w:rPr>
        <w:t xml:space="preserve"> </w:t>
      </w:r>
    </w:p>
    <w:p w14:paraId="0977770E" w14:textId="77777777" w:rsidR="009A5A46" w:rsidRPr="00A731E1" w:rsidRDefault="009A5A46" w:rsidP="007A1396">
      <w:pPr>
        <w:spacing w:after="0" w:line="240" w:lineRule="auto"/>
        <w:ind w:left="10"/>
        <w:rPr>
          <w:sz w:val="22"/>
        </w:rPr>
      </w:pPr>
      <w:r>
        <w:rPr>
          <w:sz w:val="22"/>
          <w:u w:val="single" w:color="000000"/>
        </w:rPr>
        <w:t>Jadro tablety:</w:t>
      </w:r>
      <w:r>
        <w:rPr>
          <w:sz w:val="22"/>
        </w:rPr>
        <w:t xml:space="preserve"> </w:t>
      </w:r>
    </w:p>
    <w:p w14:paraId="471F0B4F" w14:textId="458028F2" w:rsidR="009A5A46" w:rsidRPr="008578C6" w:rsidRDefault="00E17CF1" w:rsidP="007A1396">
      <w:pPr>
        <w:spacing w:after="0" w:line="240" w:lineRule="auto"/>
        <w:ind w:left="10"/>
        <w:rPr>
          <w:sz w:val="22"/>
        </w:rPr>
      </w:pPr>
      <w:r>
        <w:rPr>
          <w:sz w:val="22"/>
        </w:rPr>
        <w:t>m</w:t>
      </w:r>
      <w:r w:rsidR="009A5A46">
        <w:rPr>
          <w:sz w:val="22"/>
        </w:rPr>
        <w:t>anitol</w:t>
      </w:r>
    </w:p>
    <w:p w14:paraId="0D01AA85" w14:textId="60AFA334" w:rsidR="009A5A46" w:rsidRPr="008578C6" w:rsidRDefault="00E17CF1" w:rsidP="007A1396">
      <w:pPr>
        <w:spacing w:after="0" w:line="240" w:lineRule="auto"/>
        <w:ind w:left="10"/>
        <w:rPr>
          <w:sz w:val="22"/>
        </w:rPr>
      </w:pPr>
      <w:r>
        <w:rPr>
          <w:sz w:val="22"/>
        </w:rPr>
        <w:t>m</w:t>
      </w:r>
      <w:r w:rsidR="009A5A46">
        <w:rPr>
          <w:sz w:val="22"/>
        </w:rPr>
        <w:t>ikrokryštalická celulóza</w:t>
      </w:r>
    </w:p>
    <w:p w14:paraId="13F77B79" w14:textId="37C21E21" w:rsidR="009A5A46" w:rsidRPr="008578C6" w:rsidRDefault="009A5A46" w:rsidP="007A1396">
      <w:pPr>
        <w:spacing w:after="0" w:line="240" w:lineRule="auto"/>
        <w:ind w:left="10"/>
        <w:rPr>
          <w:sz w:val="22"/>
        </w:rPr>
      </w:pPr>
      <w:r>
        <w:rPr>
          <w:sz w:val="22"/>
        </w:rPr>
        <w:t>lauryls</w:t>
      </w:r>
      <w:r w:rsidR="00E17CF1">
        <w:rPr>
          <w:sz w:val="22"/>
        </w:rPr>
        <w:t>íran sodný</w:t>
      </w:r>
      <w:r>
        <w:rPr>
          <w:sz w:val="22"/>
        </w:rPr>
        <w:t xml:space="preserve"> </w:t>
      </w:r>
    </w:p>
    <w:p w14:paraId="18488B8E" w14:textId="2D0A997A" w:rsidR="009A5A46" w:rsidRDefault="00E17CF1" w:rsidP="007A1396">
      <w:pPr>
        <w:spacing w:after="0" w:line="240" w:lineRule="auto"/>
        <w:ind w:left="10"/>
        <w:rPr>
          <w:sz w:val="22"/>
        </w:rPr>
      </w:pPr>
      <w:r>
        <w:rPr>
          <w:sz w:val="22"/>
        </w:rPr>
        <w:t>s</w:t>
      </w:r>
      <w:r w:rsidR="009A5A46">
        <w:rPr>
          <w:sz w:val="22"/>
        </w:rPr>
        <w:t xml:space="preserve">odná soľ kroskarmelózy </w:t>
      </w:r>
    </w:p>
    <w:p w14:paraId="321E7BB6" w14:textId="0AAEADB9" w:rsidR="009A5A46" w:rsidRDefault="009A5A46" w:rsidP="007A1396">
      <w:pPr>
        <w:spacing w:after="0" w:line="240" w:lineRule="auto"/>
        <w:ind w:left="10"/>
        <w:rPr>
          <w:sz w:val="22"/>
        </w:rPr>
      </w:pPr>
      <w:r>
        <w:rPr>
          <w:sz w:val="22"/>
        </w:rPr>
        <w:t>stearát</w:t>
      </w:r>
      <w:r w:rsidR="00E17CF1">
        <w:rPr>
          <w:sz w:val="22"/>
        </w:rPr>
        <w:t xml:space="preserve"> horečnatý</w:t>
      </w:r>
      <w:r>
        <w:rPr>
          <w:sz w:val="22"/>
        </w:rPr>
        <w:t xml:space="preserve"> </w:t>
      </w:r>
    </w:p>
    <w:p w14:paraId="567CC6A3" w14:textId="77777777" w:rsidR="009A5A46" w:rsidRPr="007E6137" w:rsidRDefault="009A5A46" w:rsidP="00833B71">
      <w:pPr>
        <w:spacing w:after="0" w:line="240" w:lineRule="auto"/>
        <w:ind w:left="0" w:firstLine="0"/>
        <w:rPr>
          <w:sz w:val="22"/>
        </w:rPr>
      </w:pPr>
    </w:p>
    <w:p w14:paraId="0BDD4D09" w14:textId="77777777" w:rsidR="009A5A46" w:rsidRDefault="009A5A46" w:rsidP="007A1396">
      <w:pPr>
        <w:spacing w:after="0" w:line="240" w:lineRule="auto"/>
        <w:ind w:left="10"/>
        <w:rPr>
          <w:sz w:val="22"/>
        </w:rPr>
      </w:pPr>
      <w:r>
        <w:rPr>
          <w:sz w:val="22"/>
          <w:u w:val="single" w:color="000000"/>
        </w:rPr>
        <w:t>Filmový obal:</w:t>
      </w:r>
      <w:r>
        <w:rPr>
          <w:sz w:val="22"/>
        </w:rPr>
        <w:t xml:space="preserve"> </w:t>
      </w:r>
    </w:p>
    <w:p w14:paraId="43E10260" w14:textId="6A4B41DC" w:rsidR="009A5A46" w:rsidRPr="008578C6" w:rsidRDefault="00E17CF1" w:rsidP="007A1396">
      <w:pPr>
        <w:spacing w:after="0" w:line="240" w:lineRule="auto"/>
        <w:ind w:left="10"/>
        <w:rPr>
          <w:sz w:val="22"/>
        </w:rPr>
      </w:pPr>
      <w:r>
        <w:rPr>
          <w:sz w:val="22"/>
        </w:rPr>
        <w:t>h</w:t>
      </w:r>
      <w:r w:rsidR="009A5A46">
        <w:rPr>
          <w:sz w:val="22"/>
        </w:rPr>
        <w:t xml:space="preserve">ypromelóza typu 2910/6  </w:t>
      </w:r>
    </w:p>
    <w:p w14:paraId="2A24E7E1" w14:textId="642A82D7" w:rsidR="009A5A46" w:rsidRDefault="00E17CF1" w:rsidP="007A1396">
      <w:pPr>
        <w:spacing w:after="0" w:line="240" w:lineRule="auto"/>
        <w:ind w:left="10"/>
        <w:rPr>
          <w:sz w:val="22"/>
        </w:rPr>
      </w:pPr>
      <w:r>
        <w:rPr>
          <w:sz w:val="22"/>
        </w:rPr>
        <w:t>o</w:t>
      </w:r>
      <w:r w:rsidR="009A5A46">
        <w:rPr>
          <w:sz w:val="22"/>
        </w:rPr>
        <w:t xml:space="preserve">xid titaničitý (E171) </w:t>
      </w:r>
    </w:p>
    <w:p w14:paraId="64E075C2" w14:textId="4DEA5DDA" w:rsidR="009A5A46" w:rsidRDefault="00E17CF1" w:rsidP="007A1396">
      <w:pPr>
        <w:spacing w:after="0" w:line="240" w:lineRule="auto"/>
        <w:ind w:left="10"/>
        <w:rPr>
          <w:sz w:val="22"/>
        </w:rPr>
      </w:pPr>
      <w:r>
        <w:rPr>
          <w:sz w:val="22"/>
        </w:rPr>
        <w:t>m</w:t>
      </w:r>
      <w:r w:rsidR="009A5A46">
        <w:rPr>
          <w:sz w:val="22"/>
        </w:rPr>
        <w:t xml:space="preserve">onohydrát laktózy </w:t>
      </w:r>
    </w:p>
    <w:p w14:paraId="12127736" w14:textId="331F55AE" w:rsidR="009A5A46" w:rsidRPr="008578C6" w:rsidRDefault="00E17CF1" w:rsidP="007A1396">
      <w:pPr>
        <w:spacing w:after="0" w:line="240" w:lineRule="auto"/>
        <w:ind w:left="10"/>
        <w:rPr>
          <w:sz w:val="22"/>
        </w:rPr>
      </w:pPr>
      <w:r>
        <w:rPr>
          <w:sz w:val="22"/>
        </w:rPr>
        <w:t>m</w:t>
      </w:r>
      <w:r w:rsidR="009A5A46">
        <w:rPr>
          <w:sz w:val="22"/>
        </w:rPr>
        <w:t>akrogol 3350</w:t>
      </w:r>
    </w:p>
    <w:p w14:paraId="6973FD06" w14:textId="5426B3C0" w:rsidR="009A5A46" w:rsidRDefault="00E17CF1" w:rsidP="007A1396">
      <w:pPr>
        <w:spacing w:after="0" w:line="240" w:lineRule="auto"/>
        <w:ind w:left="10"/>
        <w:rPr>
          <w:sz w:val="22"/>
        </w:rPr>
      </w:pPr>
      <w:r>
        <w:rPr>
          <w:sz w:val="22"/>
        </w:rPr>
        <w:t>t</w:t>
      </w:r>
      <w:r w:rsidR="009A5A46">
        <w:rPr>
          <w:sz w:val="22"/>
        </w:rPr>
        <w:t xml:space="preserve">riacetín </w:t>
      </w:r>
    </w:p>
    <w:p w14:paraId="2F0D00F3" w14:textId="5D5C1605" w:rsidR="009A5A46" w:rsidRPr="009A5A46" w:rsidRDefault="00365FF7" w:rsidP="00186931">
      <w:pPr>
        <w:ind w:left="0" w:firstLine="0"/>
        <w:rPr>
          <w:sz w:val="22"/>
        </w:rPr>
      </w:pPr>
      <w:r>
        <w:rPr>
          <w:sz w:val="22"/>
        </w:rPr>
        <w:t>ž</w:t>
      </w:r>
      <w:r w:rsidR="00186931">
        <w:rPr>
          <w:sz w:val="22"/>
        </w:rPr>
        <w:t>ltý</w:t>
      </w:r>
      <w:r w:rsidR="00F920B1">
        <w:rPr>
          <w:sz w:val="22"/>
        </w:rPr>
        <w:t xml:space="preserve"> oxid železitý</w:t>
      </w:r>
      <w:r w:rsidR="009A5A46">
        <w:rPr>
          <w:sz w:val="22"/>
        </w:rPr>
        <w:t xml:space="preserve"> (E172)</w:t>
      </w:r>
    </w:p>
    <w:p w14:paraId="20EA3189" w14:textId="7099D411" w:rsidR="00B07789" w:rsidRPr="00A731E1" w:rsidRDefault="00B07789" w:rsidP="00EA123B">
      <w:pPr>
        <w:keepNext/>
        <w:spacing w:after="0" w:line="240" w:lineRule="auto"/>
        <w:ind w:left="0" w:firstLine="0"/>
        <w:rPr>
          <w:sz w:val="22"/>
        </w:rPr>
      </w:pPr>
    </w:p>
    <w:p w14:paraId="537B24A4" w14:textId="77777777" w:rsidR="00836D5C" w:rsidRPr="00A731E1" w:rsidRDefault="00836D5C" w:rsidP="00EA123B">
      <w:pPr>
        <w:keepNext/>
        <w:tabs>
          <w:tab w:val="center" w:pos="1329"/>
        </w:tabs>
        <w:spacing w:after="0" w:line="240" w:lineRule="auto"/>
        <w:ind w:left="567" w:hanging="567"/>
        <w:rPr>
          <w:sz w:val="22"/>
        </w:rPr>
      </w:pPr>
      <w:r>
        <w:rPr>
          <w:b/>
          <w:sz w:val="22"/>
        </w:rPr>
        <w:t>6.2</w:t>
      </w:r>
      <w:r>
        <w:rPr>
          <w:b/>
          <w:sz w:val="22"/>
        </w:rPr>
        <w:tab/>
        <w:t>Inkompatibility</w:t>
      </w:r>
      <w:r>
        <w:rPr>
          <w:sz w:val="22"/>
        </w:rPr>
        <w:t xml:space="preserve"> </w:t>
      </w:r>
    </w:p>
    <w:p w14:paraId="3639998C" w14:textId="58698AFB" w:rsidR="00836D5C" w:rsidRPr="00A731E1" w:rsidRDefault="00836D5C" w:rsidP="00EA123B">
      <w:pPr>
        <w:keepNext/>
        <w:spacing w:after="0" w:line="240" w:lineRule="auto"/>
        <w:ind w:left="0" w:firstLine="0"/>
        <w:rPr>
          <w:sz w:val="22"/>
        </w:rPr>
      </w:pPr>
    </w:p>
    <w:p w14:paraId="5AC44DE6" w14:textId="77777777" w:rsidR="00836D5C" w:rsidRPr="00A731E1" w:rsidRDefault="00836D5C" w:rsidP="007A1396">
      <w:pPr>
        <w:keepNext/>
        <w:spacing w:after="0" w:line="240" w:lineRule="auto"/>
        <w:ind w:left="10"/>
        <w:rPr>
          <w:sz w:val="22"/>
        </w:rPr>
      </w:pPr>
      <w:r>
        <w:rPr>
          <w:sz w:val="22"/>
        </w:rPr>
        <w:t xml:space="preserve">Neaplikovateľné </w:t>
      </w:r>
    </w:p>
    <w:p w14:paraId="37ED59AE" w14:textId="6405B44B" w:rsidR="00836D5C" w:rsidRPr="00A731E1" w:rsidRDefault="00836D5C" w:rsidP="00833B71">
      <w:pPr>
        <w:spacing w:after="0" w:line="240" w:lineRule="auto"/>
        <w:ind w:left="0" w:firstLine="0"/>
        <w:rPr>
          <w:sz w:val="22"/>
        </w:rPr>
      </w:pPr>
    </w:p>
    <w:p w14:paraId="27963BFC" w14:textId="77777777" w:rsidR="00836D5C" w:rsidRPr="00A731E1" w:rsidRDefault="00836D5C" w:rsidP="001F3856">
      <w:pPr>
        <w:tabs>
          <w:tab w:val="center" w:pos="970"/>
        </w:tabs>
        <w:spacing w:after="0" w:line="240" w:lineRule="auto"/>
        <w:ind w:left="567" w:hanging="567"/>
        <w:rPr>
          <w:sz w:val="22"/>
        </w:rPr>
      </w:pPr>
      <w:r>
        <w:rPr>
          <w:b/>
          <w:sz w:val="22"/>
        </w:rPr>
        <w:t>6.3</w:t>
      </w:r>
      <w:r>
        <w:rPr>
          <w:b/>
          <w:sz w:val="22"/>
        </w:rPr>
        <w:tab/>
        <w:t>Čas použiteľnosti</w:t>
      </w:r>
      <w:r>
        <w:rPr>
          <w:sz w:val="22"/>
        </w:rPr>
        <w:t xml:space="preserve"> </w:t>
      </w:r>
    </w:p>
    <w:p w14:paraId="4987E8DF" w14:textId="49E29DC7" w:rsidR="00836D5C" w:rsidRPr="00A731E1" w:rsidRDefault="00836D5C" w:rsidP="00833B71">
      <w:pPr>
        <w:spacing w:after="0" w:line="240" w:lineRule="auto"/>
        <w:ind w:left="0" w:firstLine="0"/>
        <w:rPr>
          <w:sz w:val="22"/>
        </w:rPr>
      </w:pPr>
    </w:p>
    <w:p w14:paraId="01484D6F" w14:textId="4B9D00FA" w:rsidR="00836D5C" w:rsidRDefault="007C2A00" w:rsidP="00833B71">
      <w:pPr>
        <w:spacing w:after="0" w:line="240" w:lineRule="auto"/>
        <w:ind w:left="0" w:firstLine="0"/>
        <w:rPr>
          <w:sz w:val="22"/>
        </w:rPr>
      </w:pPr>
      <w:r>
        <w:rPr>
          <w:sz w:val="22"/>
        </w:rPr>
        <w:t>2</w:t>
      </w:r>
      <w:r w:rsidR="00457E21">
        <w:rPr>
          <w:sz w:val="22"/>
        </w:rPr>
        <w:t xml:space="preserve"> roky </w:t>
      </w:r>
    </w:p>
    <w:p w14:paraId="24098055" w14:textId="77777777" w:rsidR="00600D70" w:rsidRPr="007E6137" w:rsidRDefault="00600D70" w:rsidP="00833B71">
      <w:pPr>
        <w:spacing w:after="0" w:line="240" w:lineRule="auto"/>
        <w:ind w:left="0" w:firstLine="0"/>
        <w:rPr>
          <w:sz w:val="22"/>
        </w:rPr>
      </w:pPr>
    </w:p>
    <w:p w14:paraId="4DCF517F" w14:textId="77777777" w:rsidR="00836D5C" w:rsidRPr="00A731E1" w:rsidRDefault="00836D5C" w:rsidP="001F3856">
      <w:pPr>
        <w:tabs>
          <w:tab w:val="center" w:pos="1948"/>
        </w:tabs>
        <w:spacing w:after="0" w:line="240" w:lineRule="auto"/>
        <w:ind w:left="567" w:hanging="567"/>
        <w:rPr>
          <w:sz w:val="22"/>
        </w:rPr>
      </w:pPr>
      <w:r>
        <w:rPr>
          <w:b/>
          <w:sz w:val="22"/>
        </w:rPr>
        <w:t>6.4</w:t>
      </w:r>
      <w:r>
        <w:rPr>
          <w:b/>
          <w:sz w:val="22"/>
        </w:rPr>
        <w:tab/>
        <w:t>Špeciálne upozornenia na uchovávanie</w:t>
      </w:r>
      <w:r>
        <w:rPr>
          <w:sz w:val="22"/>
        </w:rPr>
        <w:t xml:space="preserve"> </w:t>
      </w:r>
    </w:p>
    <w:p w14:paraId="25765B7E" w14:textId="15CBB0CA" w:rsidR="00836D5C" w:rsidRPr="00A731E1" w:rsidRDefault="00836D5C" w:rsidP="00833B71">
      <w:pPr>
        <w:spacing w:after="0" w:line="240" w:lineRule="auto"/>
        <w:ind w:left="0" w:firstLine="0"/>
        <w:rPr>
          <w:sz w:val="22"/>
        </w:rPr>
      </w:pPr>
    </w:p>
    <w:p w14:paraId="6FA38884" w14:textId="77777777" w:rsidR="00457E21" w:rsidRDefault="00457E21" w:rsidP="00457E21">
      <w:pPr>
        <w:spacing w:after="0" w:line="240" w:lineRule="auto"/>
        <w:ind w:left="0" w:firstLine="0"/>
        <w:rPr>
          <w:sz w:val="22"/>
        </w:rPr>
      </w:pPr>
      <w:r>
        <w:rPr>
          <w:sz w:val="22"/>
        </w:rPr>
        <w:t>Tento liek nevyžaduje žiadne zvláštne podmienky na uchovávanie.</w:t>
      </w:r>
    </w:p>
    <w:p w14:paraId="5834011E" w14:textId="4249F286" w:rsidR="00836D5C" w:rsidRPr="00A731E1" w:rsidRDefault="00836D5C" w:rsidP="00833B71">
      <w:pPr>
        <w:spacing w:after="0" w:line="240" w:lineRule="auto"/>
        <w:ind w:left="0" w:firstLine="0"/>
        <w:rPr>
          <w:sz w:val="22"/>
        </w:rPr>
      </w:pPr>
    </w:p>
    <w:p w14:paraId="5E1BB19D" w14:textId="77777777" w:rsidR="00836D5C" w:rsidRPr="00A731E1" w:rsidRDefault="00836D5C" w:rsidP="001F3856">
      <w:pPr>
        <w:pStyle w:val="Nadpis2"/>
        <w:tabs>
          <w:tab w:val="center" w:pos="2037"/>
        </w:tabs>
        <w:spacing w:after="0" w:line="240" w:lineRule="auto"/>
        <w:ind w:left="567" w:hanging="567"/>
        <w:rPr>
          <w:sz w:val="22"/>
        </w:rPr>
      </w:pPr>
      <w:r>
        <w:rPr>
          <w:b/>
          <w:sz w:val="22"/>
          <w:u w:val="none"/>
        </w:rPr>
        <w:t>6.5</w:t>
      </w:r>
      <w:r>
        <w:rPr>
          <w:b/>
          <w:sz w:val="22"/>
          <w:u w:val="none"/>
        </w:rPr>
        <w:tab/>
        <w:t xml:space="preserve">Druh obalu a obsah balenia </w:t>
      </w:r>
    </w:p>
    <w:p w14:paraId="6779CC71" w14:textId="1D92843D" w:rsidR="00836D5C" w:rsidRPr="007E6137" w:rsidRDefault="00836D5C" w:rsidP="000B4880">
      <w:pPr>
        <w:spacing w:after="0" w:line="240" w:lineRule="auto"/>
        <w:ind w:left="0"/>
        <w:rPr>
          <w:sz w:val="22"/>
          <w:lang w:val="pl-PL"/>
        </w:rPr>
      </w:pPr>
    </w:p>
    <w:p w14:paraId="44153524" w14:textId="123CF6A2" w:rsidR="00836D5C" w:rsidRPr="000B4880" w:rsidRDefault="000B4880" w:rsidP="007A1396">
      <w:pPr>
        <w:spacing w:after="0" w:line="240" w:lineRule="auto"/>
        <w:ind w:left="10"/>
        <w:rPr>
          <w:sz w:val="22"/>
        </w:rPr>
      </w:pPr>
      <w:bookmarkStart w:id="2" w:name="_Hlk3302125"/>
      <w:bookmarkStart w:id="3" w:name="_Hlk3302525"/>
      <w:r>
        <w:rPr>
          <w:sz w:val="22"/>
        </w:rPr>
        <w:t xml:space="preserve">Blistre Al//PVC/PVDC. </w:t>
      </w:r>
      <w:r w:rsidR="00186931">
        <w:t>Škatuľky po 10, 20,</w:t>
      </w:r>
      <w:r>
        <w:t xml:space="preserve"> 60, 168 a 200 filmom obalených tabliet</w:t>
      </w:r>
      <w:bookmarkEnd w:id="2"/>
      <w:r>
        <w:rPr>
          <w:sz w:val="22"/>
        </w:rPr>
        <w:t>.</w:t>
      </w:r>
      <w:bookmarkEnd w:id="3"/>
    </w:p>
    <w:p w14:paraId="7CA473B3" w14:textId="77777777" w:rsidR="00836D5C" w:rsidRPr="00A731E1" w:rsidRDefault="00836D5C" w:rsidP="007A1396">
      <w:pPr>
        <w:spacing w:after="0" w:line="240" w:lineRule="auto"/>
        <w:ind w:left="10"/>
        <w:rPr>
          <w:sz w:val="22"/>
        </w:rPr>
      </w:pPr>
      <w:r>
        <w:rPr>
          <w:sz w:val="22"/>
        </w:rPr>
        <w:t xml:space="preserve">Na trh nemusia byť uvedené všetky veľkosti balenia. </w:t>
      </w:r>
    </w:p>
    <w:p w14:paraId="4BF7A11F" w14:textId="29E9E0EA" w:rsidR="00836D5C" w:rsidRPr="00A731E1" w:rsidRDefault="00836D5C" w:rsidP="00833B71">
      <w:pPr>
        <w:spacing w:after="0" w:line="240" w:lineRule="auto"/>
        <w:ind w:left="0" w:firstLine="0"/>
        <w:rPr>
          <w:sz w:val="22"/>
        </w:rPr>
      </w:pPr>
    </w:p>
    <w:p w14:paraId="75ED0F48" w14:textId="77777777" w:rsidR="00836D5C" w:rsidRPr="00A731E1" w:rsidRDefault="00836D5C" w:rsidP="001F3856">
      <w:pPr>
        <w:pStyle w:val="Nadpis2"/>
        <w:tabs>
          <w:tab w:val="center" w:pos="1982"/>
        </w:tabs>
        <w:spacing w:after="0" w:line="240" w:lineRule="auto"/>
        <w:ind w:left="567" w:hanging="567"/>
        <w:rPr>
          <w:sz w:val="22"/>
        </w:rPr>
      </w:pPr>
      <w:r>
        <w:rPr>
          <w:b/>
          <w:sz w:val="22"/>
          <w:u w:val="none"/>
        </w:rPr>
        <w:t>6.6</w:t>
      </w:r>
      <w:r>
        <w:rPr>
          <w:b/>
          <w:sz w:val="22"/>
          <w:u w:val="none"/>
        </w:rPr>
        <w:tab/>
        <w:t xml:space="preserve">Špeciálne opatrenia na likvidáciu </w:t>
      </w:r>
    </w:p>
    <w:p w14:paraId="22702203" w14:textId="0C662982" w:rsidR="00836D5C" w:rsidRPr="00A731E1" w:rsidRDefault="00836D5C" w:rsidP="00833B71">
      <w:pPr>
        <w:spacing w:after="0" w:line="240" w:lineRule="auto"/>
        <w:ind w:left="0" w:firstLine="0"/>
        <w:rPr>
          <w:sz w:val="22"/>
        </w:rPr>
      </w:pPr>
    </w:p>
    <w:p w14:paraId="42D59373" w14:textId="77777777" w:rsidR="00836D5C" w:rsidRPr="00A731E1" w:rsidRDefault="00836D5C" w:rsidP="007A1396">
      <w:pPr>
        <w:spacing w:after="0" w:line="240" w:lineRule="auto"/>
        <w:ind w:left="10"/>
        <w:rPr>
          <w:sz w:val="22"/>
        </w:rPr>
      </w:pPr>
      <w:r>
        <w:rPr>
          <w:sz w:val="22"/>
        </w:rPr>
        <w:t xml:space="preserve">Žiadne zvláštne požiadavky. </w:t>
      </w:r>
    </w:p>
    <w:p w14:paraId="16866BC3" w14:textId="4653120E" w:rsidR="00836D5C" w:rsidRPr="00A731E1" w:rsidRDefault="00836D5C" w:rsidP="00833B71">
      <w:pPr>
        <w:spacing w:after="0" w:line="240" w:lineRule="auto"/>
        <w:ind w:left="0" w:firstLine="0"/>
        <w:rPr>
          <w:sz w:val="22"/>
        </w:rPr>
      </w:pPr>
    </w:p>
    <w:p w14:paraId="3DE0C82B" w14:textId="014A8E3A" w:rsidR="00836D5C" w:rsidRPr="00A731E1" w:rsidRDefault="00836D5C" w:rsidP="007A1396">
      <w:pPr>
        <w:spacing w:after="0" w:line="240" w:lineRule="auto"/>
        <w:ind w:left="10"/>
        <w:rPr>
          <w:sz w:val="22"/>
        </w:rPr>
      </w:pPr>
      <w:r>
        <w:rPr>
          <w:sz w:val="22"/>
        </w:rPr>
        <w:t xml:space="preserve">Všetok nepoužitý liek alebo odpad vzniknutý z lieku </w:t>
      </w:r>
      <w:r w:rsidR="00963D33">
        <w:rPr>
          <w:sz w:val="22"/>
        </w:rPr>
        <w:t>sa má zlikvidovať</w:t>
      </w:r>
      <w:r>
        <w:rPr>
          <w:sz w:val="22"/>
        </w:rPr>
        <w:t xml:space="preserve"> v súlade s národnými požiadavkami. </w:t>
      </w:r>
    </w:p>
    <w:p w14:paraId="736BF987" w14:textId="7BE874E8" w:rsidR="00836D5C" w:rsidRPr="00A731E1" w:rsidRDefault="00836D5C" w:rsidP="00833B71">
      <w:pPr>
        <w:spacing w:after="0" w:line="240" w:lineRule="auto"/>
        <w:ind w:left="0" w:firstLine="0"/>
        <w:rPr>
          <w:sz w:val="22"/>
        </w:rPr>
      </w:pPr>
    </w:p>
    <w:p w14:paraId="10509D11" w14:textId="1FD9CF9C" w:rsidR="00836D5C" w:rsidRPr="00A731E1" w:rsidRDefault="00836D5C" w:rsidP="00833B71">
      <w:pPr>
        <w:spacing w:after="0" w:line="240" w:lineRule="auto"/>
        <w:ind w:left="0" w:firstLine="0"/>
        <w:rPr>
          <w:sz w:val="22"/>
        </w:rPr>
      </w:pPr>
    </w:p>
    <w:p w14:paraId="7FA653BD" w14:textId="5B022E9C" w:rsidR="00836D5C" w:rsidRPr="00A731E1" w:rsidRDefault="00836D5C" w:rsidP="00833B71">
      <w:pPr>
        <w:pStyle w:val="Nadpis1"/>
        <w:tabs>
          <w:tab w:val="center" w:pos="2635"/>
        </w:tabs>
        <w:spacing w:after="0" w:line="240" w:lineRule="auto"/>
        <w:ind w:left="0" w:firstLine="0"/>
        <w:rPr>
          <w:sz w:val="22"/>
        </w:rPr>
      </w:pPr>
      <w:r>
        <w:rPr>
          <w:sz w:val="22"/>
        </w:rPr>
        <w:t xml:space="preserve">7. </w:t>
      </w:r>
      <w:r>
        <w:rPr>
          <w:sz w:val="22"/>
        </w:rPr>
        <w:tab/>
        <w:t>DRŽITE</w:t>
      </w:r>
      <w:r w:rsidR="00261FE8">
        <w:rPr>
          <w:sz w:val="22"/>
        </w:rPr>
        <w:t>Ľ</w:t>
      </w:r>
      <w:r>
        <w:rPr>
          <w:sz w:val="22"/>
        </w:rPr>
        <w:t xml:space="preserve"> ROZHODNUT</w:t>
      </w:r>
      <w:r w:rsidR="00261FE8">
        <w:rPr>
          <w:sz w:val="22"/>
        </w:rPr>
        <w:t>IA</w:t>
      </w:r>
      <w:r>
        <w:rPr>
          <w:sz w:val="22"/>
        </w:rPr>
        <w:t xml:space="preserve"> O REGISTR</w:t>
      </w:r>
      <w:r w:rsidR="00261FE8">
        <w:rPr>
          <w:sz w:val="22"/>
        </w:rPr>
        <w:t>Á</w:t>
      </w:r>
      <w:r>
        <w:rPr>
          <w:sz w:val="22"/>
        </w:rPr>
        <w:t>CI</w:t>
      </w:r>
      <w:r w:rsidR="00261FE8">
        <w:rPr>
          <w:sz w:val="22"/>
        </w:rPr>
        <w:t>I</w:t>
      </w:r>
      <w:r>
        <w:rPr>
          <w:b w:val="0"/>
          <w:sz w:val="22"/>
        </w:rPr>
        <w:t xml:space="preserve"> </w:t>
      </w:r>
    </w:p>
    <w:p w14:paraId="2AE76D34" w14:textId="01FE59BC" w:rsidR="00836D5C" w:rsidRPr="00F77A41" w:rsidRDefault="00836D5C" w:rsidP="00833B71">
      <w:pPr>
        <w:spacing w:after="0" w:line="240" w:lineRule="auto"/>
        <w:ind w:left="0" w:firstLine="0"/>
        <w:rPr>
          <w:sz w:val="24"/>
          <w:szCs w:val="24"/>
        </w:rPr>
      </w:pPr>
    </w:p>
    <w:p w14:paraId="6D4F4E2D" w14:textId="77777777" w:rsidR="00EA123B" w:rsidRPr="00F77A41" w:rsidRDefault="00EA123B" w:rsidP="007A1396">
      <w:pPr>
        <w:spacing w:after="0" w:line="240" w:lineRule="auto"/>
        <w:ind w:left="10"/>
        <w:rPr>
          <w:noProof/>
          <w:sz w:val="22"/>
          <w:szCs w:val="24"/>
        </w:rPr>
      </w:pPr>
      <w:r w:rsidRPr="00F77A41">
        <w:rPr>
          <w:noProof/>
          <w:sz w:val="22"/>
          <w:szCs w:val="24"/>
        </w:rPr>
        <w:t>Warszawskie Zakłady Farmaceutyczne Polfa S.A.</w:t>
      </w:r>
    </w:p>
    <w:p w14:paraId="16770E8F" w14:textId="77777777" w:rsidR="00EA123B" w:rsidRPr="00F77A41" w:rsidRDefault="00EA123B" w:rsidP="007A1396">
      <w:pPr>
        <w:spacing w:after="0" w:line="240" w:lineRule="auto"/>
        <w:ind w:left="10"/>
        <w:rPr>
          <w:noProof/>
          <w:sz w:val="22"/>
          <w:szCs w:val="24"/>
        </w:rPr>
      </w:pPr>
      <w:r w:rsidRPr="00F77A41">
        <w:rPr>
          <w:noProof/>
          <w:sz w:val="22"/>
          <w:szCs w:val="24"/>
        </w:rPr>
        <w:t>ul. Karolkowa 22/24</w:t>
      </w:r>
    </w:p>
    <w:p w14:paraId="744F5BFB" w14:textId="33B846D4" w:rsidR="00F920B1" w:rsidRPr="00F77A41" w:rsidRDefault="00EA123B" w:rsidP="007A1396">
      <w:pPr>
        <w:spacing w:after="0" w:line="240" w:lineRule="auto"/>
        <w:ind w:left="10"/>
        <w:rPr>
          <w:noProof/>
          <w:sz w:val="22"/>
          <w:szCs w:val="24"/>
        </w:rPr>
      </w:pPr>
      <w:r w:rsidRPr="00F77A41">
        <w:rPr>
          <w:noProof/>
          <w:sz w:val="22"/>
          <w:szCs w:val="24"/>
        </w:rPr>
        <w:t xml:space="preserve">01-207 Warszawa, </w:t>
      </w:r>
      <w:r w:rsidRPr="00F77A41">
        <w:rPr>
          <w:noProof/>
          <w:sz w:val="22"/>
          <w:szCs w:val="24"/>
          <w:lang w:val="en-US"/>
        </w:rPr>
        <w:t>Poľsko</w:t>
      </w:r>
    </w:p>
    <w:p w14:paraId="5AF83C9C" w14:textId="15C52E68" w:rsidR="00836D5C" w:rsidRPr="00A731E1" w:rsidRDefault="00836D5C" w:rsidP="00833B71">
      <w:pPr>
        <w:spacing w:after="0" w:line="240" w:lineRule="auto"/>
        <w:ind w:left="0" w:firstLine="0"/>
        <w:rPr>
          <w:sz w:val="22"/>
        </w:rPr>
      </w:pPr>
    </w:p>
    <w:p w14:paraId="003A266F" w14:textId="48920C99" w:rsidR="00836D5C" w:rsidRPr="00A731E1" w:rsidRDefault="00836D5C" w:rsidP="000E7AF5">
      <w:pPr>
        <w:keepNext/>
        <w:spacing w:after="0" w:line="240" w:lineRule="auto"/>
        <w:ind w:left="0" w:firstLine="0"/>
        <w:rPr>
          <w:sz w:val="22"/>
        </w:rPr>
      </w:pPr>
    </w:p>
    <w:p w14:paraId="51E12A2B" w14:textId="36FE72D5" w:rsidR="00836D5C" w:rsidRPr="00A731E1" w:rsidRDefault="00836D5C" w:rsidP="000E7AF5">
      <w:pPr>
        <w:pStyle w:val="Nadpis1"/>
        <w:keepLines w:val="0"/>
        <w:tabs>
          <w:tab w:val="center" w:pos="2773"/>
        </w:tabs>
        <w:spacing w:after="0" w:line="240" w:lineRule="auto"/>
        <w:ind w:left="567" w:hanging="567"/>
        <w:rPr>
          <w:sz w:val="22"/>
        </w:rPr>
      </w:pPr>
      <w:r>
        <w:rPr>
          <w:sz w:val="22"/>
        </w:rPr>
        <w:t xml:space="preserve">8. </w:t>
      </w:r>
      <w:r>
        <w:rPr>
          <w:sz w:val="22"/>
        </w:rPr>
        <w:tab/>
        <w:t>REGISTRAČNÉ ČÍSL</w:t>
      </w:r>
      <w:r w:rsidR="0051264C">
        <w:rPr>
          <w:sz w:val="22"/>
        </w:rPr>
        <w:t>O</w:t>
      </w:r>
      <w:r>
        <w:rPr>
          <w:sz w:val="22"/>
        </w:rPr>
        <w:t xml:space="preserve"> </w:t>
      </w:r>
    </w:p>
    <w:p w14:paraId="461B9627" w14:textId="25FA18A2" w:rsidR="00836D5C" w:rsidRPr="00A731E1" w:rsidRDefault="00836D5C" w:rsidP="000E7AF5">
      <w:pPr>
        <w:keepNext/>
        <w:spacing w:after="0" w:line="240" w:lineRule="auto"/>
        <w:ind w:left="0" w:firstLine="0"/>
        <w:rPr>
          <w:sz w:val="22"/>
        </w:rPr>
      </w:pPr>
    </w:p>
    <w:p w14:paraId="0C009F03" w14:textId="0F63F7A0" w:rsidR="00836D5C" w:rsidRDefault="0072667A" w:rsidP="00833B71">
      <w:pPr>
        <w:spacing w:after="0" w:line="240" w:lineRule="auto"/>
        <w:ind w:left="0" w:firstLine="0"/>
        <w:rPr>
          <w:sz w:val="22"/>
        </w:rPr>
      </w:pPr>
      <w:r w:rsidRPr="0072667A">
        <w:rPr>
          <w:sz w:val="22"/>
        </w:rPr>
        <w:t>16/0220/20-S</w:t>
      </w:r>
    </w:p>
    <w:p w14:paraId="091F63CF" w14:textId="77777777" w:rsidR="0072667A" w:rsidRPr="007E6137" w:rsidRDefault="0072667A" w:rsidP="00833B71">
      <w:pPr>
        <w:spacing w:after="0" w:line="240" w:lineRule="auto"/>
        <w:ind w:left="0" w:firstLine="0"/>
        <w:rPr>
          <w:sz w:val="22"/>
        </w:rPr>
      </w:pPr>
    </w:p>
    <w:p w14:paraId="0EE0F170" w14:textId="77777777" w:rsidR="00836D5C" w:rsidRPr="007E6137" w:rsidRDefault="00836D5C" w:rsidP="00833B71">
      <w:pPr>
        <w:spacing w:after="0" w:line="240" w:lineRule="auto"/>
        <w:ind w:left="0" w:firstLine="0"/>
        <w:rPr>
          <w:sz w:val="22"/>
        </w:rPr>
      </w:pPr>
    </w:p>
    <w:p w14:paraId="669B03C4" w14:textId="283DAFBA" w:rsidR="00836D5C" w:rsidRPr="00A731E1" w:rsidRDefault="00836D5C" w:rsidP="001F3856">
      <w:pPr>
        <w:pStyle w:val="Nadpis1"/>
        <w:tabs>
          <w:tab w:val="center" w:pos="4182"/>
        </w:tabs>
        <w:spacing w:after="0" w:line="240" w:lineRule="auto"/>
        <w:ind w:left="567" w:hanging="567"/>
        <w:rPr>
          <w:sz w:val="22"/>
        </w:rPr>
      </w:pPr>
      <w:r>
        <w:rPr>
          <w:sz w:val="22"/>
        </w:rPr>
        <w:t xml:space="preserve">9. </w:t>
      </w:r>
      <w:r>
        <w:rPr>
          <w:sz w:val="22"/>
        </w:rPr>
        <w:tab/>
        <w:t>D</w:t>
      </w:r>
      <w:r w:rsidR="00261FE8">
        <w:rPr>
          <w:sz w:val="22"/>
        </w:rPr>
        <w:t>Á</w:t>
      </w:r>
      <w:r>
        <w:rPr>
          <w:sz w:val="22"/>
        </w:rPr>
        <w:t>TUM PRV</w:t>
      </w:r>
      <w:r w:rsidR="00BE1736">
        <w:rPr>
          <w:sz w:val="22"/>
        </w:rPr>
        <w:t>EJ</w:t>
      </w:r>
      <w:r>
        <w:rPr>
          <w:sz w:val="22"/>
        </w:rPr>
        <w:t xml:space="preserve"> REGISTR</w:t>
      </w:r>
      <w:r w:rsidR="00261FE8">
        <w:rPr>
          <w:sz w:val="22"/>
        </w:rPr>
        <w:t>Á</w:t>
      </w:r>
      <w:r>
        <w:rPr>
          <w:sz w:val="22"/>
        </w:rPr>
        <w:t>C</w:t>
      </w:r>
      <w:r w:rsidR="00261FE8">
        <w:rPr>
          <w:sz w:val="22"/>
        </w:rPr>
        <w:t>I</w:t>
      </w:r>
      <w:r>
        <w:rPr>
          <w:sz w:val="22"/>
        </w:rPr>
        <w:t>E/PR</w:t>
      </w:r>
      <w:r w:rsidR="00261FE8">
        <w:rPr>
          <w:sz w:val="22"/>
        </w:rPr>
        <w:t>EDĹŽENIA</w:t>
      </w:r>
      <w:r>
        <w:rPr>
          <w:sz w:val="22"/>
        </w:rPr>
        <w:t xml:space="preserve"> REGISTR</w:t>
      </w:r>
      <w:r w:rsidR="00261FE8">
        <w:rPr>
          <w:sz w:val="22"/>
        </w:rPr>
        <w:t>Á</w:t>
      </w:r>
      <w:r>
        <w:rPr>
          <w:sz w:val="22"/>
        </w:rPr>
        <w:t>C</w:t>
      </w:r>
      <w:r w:rsidR="00261FE8">
        <w:rPr>
          <w:sz w:val="22"/>
        </w:rPr>
        <w:t>I</w:t>
      </w:r>
      <w:r>
        <w:rPr>
          <w:sz w:val="22"/>
        </w:rPr>
        <w:t>E</w:t>
      </w:r>
      <w:r>
        <w:rPr>
          <w:b w:val="0"/>
          <w:sz w:val="22"/>
        </w:rPr>
        <w:t xml:space="preserve"> </w:t>
      </w:r>
    </w:p>
    <w:p w14:paraId="63EC6B3D" w14:textId="068FCA88" w:rsidR="00836D5C" w:rsidRPr="00A731E1" w:rsidRDefault="00836D5C" w:rsidP="00833B71">
      <w:pPr>
        <w:spacing w:after="0" w:line="240" w:lineRule="auto"/>
        <w:ind w:left="0" w:firstLine="0"/>
        <w:rPr>
          <w:sz w:val="22"/>
        </w:rPr>
      </w:pPr>
    </w:p>
    <w:p w14:paraId="0C053B99" w14:textId="3FA8D1DE" w:rsidR="00F920B1" w:rsidRDefault="00F920B1" w:rsidP="007A1396">
      <w:pPr>
        <w:ind w:left="10"/>
      </w:pPr>
      <w:r w:rsidRPr="00B13F68">
        <w:rPr>
          <w:noProof/>
        </w:rPr>
        <w:t>Dátum prvej registrácie:</w:t>
      </w:r>
      <w:r>
        <w:rPr>
          <w:noProof/>
        </w:rPr>
        <w:t xml:space="preserve"> </w:t>
      </w:r>
    </w:p>
    <w:p w14:paraId="3FCC0CC3" w14:textId="16706706" w:rsidR="00F920B1" w:rsidRDefault="00F920B1" w:rsidP="00F920B1">
      <w:pPr>
        <w:rPr>
          <w:noProof/>
        </w:rPr>
      </w:pPr>
    </w:p>
    <w:p w14:paraId="0E84AAD3" w14:textId="75605762" w:rsidR="00836D5C" w:rsidRPr="00A731E1" w:rsidRDefault="00836D5C" w:rsidP="00833B71">
      <w:pPr>
        <w:spacing w:after="0" w:line="240" w:lineRule="auto"/>
        <w:ind w:left="0" w:firstLine="0"/>
        <w:rPr>
          <w:sz w:val="22"/>
        </w:rPr>
      </w:pPr>
    </w:p>
    <w:p w14:paraId="129A1D6C" w14:textId="77777777" w:rsidR="00836D5C" w:rsidRPr="00A731E1" w:rsidRDefault="00836D5C" w:rsidP="00833B71">
      <w:pPr>
        <w:spacing w:after="0" w:line="240" w:lineRule="auto"/>
        <w:ind w:left="0" w:firstLine="0"/>
        <w:rPr>
          <w:sz w:val="22"/>
        </w:rPr>
      </w:pPr>
      <w:r>
        <w:rPr>
          <w:sz w:val="22"/>
        </w:rPr>
        <w:t xml:space="preserve"> </w:t>
      </w:r>
    </w:p>
    <w:p w14:paraId="3D6777A0" w14:textId="349B10E0" w:rsidR="00836D5C" w:rsidRPr="00A731E1" w:rsidRDefault="00836D5C" w:rsidP="001F3856">
      <w:pPr>
        <w:pStyle w:val="Nadpis1"/>
        <w:tabs>
          <w:tab w:val="center" w:pos="2298"/>
        </w:tabs>
        <w:spacing w:after="0" w:line="240" w:lineRule="auto"/>
        <w:ind w:left="567" w:hanging="567"/>
        <w:rPr>
          <w:sz w:val="22"/>
        </w:rPr>
      </w:pPr>
      <w:r>
        <w:rPr>
          <w:sz w:val="22"/>
        </w:rPr>
        <w:t xml:space="preserve">10. </w:t>
      </w:r>
      <w:r>
        <w:rPr>
          <w:sz w:val="22"/>
        </w:rPr>
        <w:tab/>
        <w:t>D</w:t>
      </w:r>
      <w:r w:rsidR="00261FE8">
        <w:rPr>
          <w:sz w:val="22"/>
        </w:rPr>
        <w:t>Á</w:t>
      </w:r>
      <w:r>
        <w:rPr>
          <w:sz w:val="22"/>
        </w:rPr>
        <w:t>TUM REV</w:t>
      </w:r>
      <w:r w:rsidR="00261FE8">
        <w:rPr>
          <w:sz w:val="22"/>
        </w:rPr>
        <w:t>Í</w:t>
      </w:r>
      <w:r>
        <w:rPr>
          <w:sz w:val="22"/>
        </w:rPr>
        <w:t>Z</w:t>
      </w:r>
      <w:r w:rsidR="00261FE8">
        <w:rPr>
          <w:sz w:val="22"/>
        </w:rPr>
        <w:t>I</w:t>
      </w:r>
      <w:r>
        <w:rPr>
          <w:sz w:val="22"/>
        </w:rPr>
        <w:t xml:space="preserve">E TEXTU </w:t>
      </w:r>
    </w:p>
    <w:p w14:paraId="4565023A" w14:textId="5559886A" w:rsidR="00836D5C" w:rsidRPr="00A731E1" w:rsidRDefault="00836D5C" w:rsidP="00833B71">
      <w:pPr>
        <w:spacing w:after="0" w:line="240" w:lineRule="auto"/>
        <w:ind w:left="0" w:firstLine="0"/>
        <w:rPr>
          <w:sz w:val="22"/>
        </w:rPr>
      </w:pPr>
    </w:p>
    <w:p w14:paraId="4F134163" w14:textId="141C246B" w:rsidR="00836D5C" w:rsidRDefault="007A1396" w:rsidP="007A1396">
      <w:pPr>
        <w:numPr>
          <w:ilvl w:val="12"/>
          <w:numId w:val="0"/>
        </w:numPr>
        <w:spacing w:line="240" w:lineRule="auto"/>
        <w:rPr>
          <w:iCs/>
          <w:color w:val="auto"/>
          <w:sz w:val="22"/>
        </w:rPr>
      </w:pPr>
      <w:r>
        <w:rPr>
          <w:iCs/>
          <w:color w:val="auto"/>
          <w:sz w:val="22"/>
        </w:rPr>
        <w:t>10</w:t>
      </w:r>
      <w:r w:rsidR="0051264C">
        <w:rPr>
          <w:iCs/>
          <w:color w:val="auto"/>
          <w:sz w:val="22"/>
        </w:rPr>
        <w:t>/2020</w:t>
      </w:r>
    </w:p>
    <w:p w14:paraId="5DBF3BF4" w14:textId="77777777" w:rsidR="00B07789" w:rsidRPr="007E6137" w:rsidRDefault="00B07789" w:rsidP="00833B71">
      <w:pPr>
        <w:tabs>
          <w:tab w:val="center" w:pos="1329"/>
        </w:tabs>
        <w:spacing w:after="0" w:line="240" w:lineRule="auto"/>
        <w:ind w:left="0" w:firstLine="0"/>
        <w:rPr>
          <w:sz w:val="22"/>
        </w:rPr>
      </w:pPr>
    </w:p>
    <w:sectPr w:rsidR="00B07789" w:rsidRPr="007E6137" w:rsidSect="00432C41">
      <w:headerReference w:type="default" r:id="rId12"/>
      <w:footerReference w:type="default" r:id="rId13"/>
      <w:headerReference w:type="first" r:id="rId14"/>
      <w:footerReference w:type="first" r:id="rId15"/>
      <w:pgSz w:w="12240" w:h="15840"/>
      <w:pgMar w:top="1134" w:right="1418" w:bottom="1134" w:left="1418" w:header="709" w:footer="680"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28222" w14:textId="77777777" w:rsidR="00FB5DBB" w:rsidRDefault="00FB5DBB">
      <w:pPr>
        <w:spacing w:after="0" w:line="240" w:lineRule="auto"/>
      </w:pPr>
      <w:r>
        <w:separator/>
      </w:r>
    </w:p>
  </w:endnote>
  <w:endnote w:type="continuationSeparator" w:id="0">
    <w:p w14:paraId="2C0DB277" w14:textId="77777777" w:rsidR="00FB5DBB" w:rsidRDefault="00FB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536828"/>
      <w:docPartObj>
        <w:docPartGallery w:val="Page Numbers (Bottom of Page)"/>
        <w:docPartUnique/>
      </w:docPartObj>
    </w:sdtPr>
    <w:sdtEndPr>
      <w:rPr>
        <w:sz w:val="22"/>
        <w:szCs w:val="24"/>
      </w:rPr>
    </w:sdtEndPr>
    <w:sdtContent>
      <w:p w14:paraId="519AB05B" w14:textId="7C6EB91F" w:rsidR="004D1985" w:rsidRPr="000E7AF5" w:rsidRDefault="004D1985">
        <w:pPr>
          <w:pStyle w:val="Pta"/>
          <w:jc w:val="right"/>
          <w:rPr>
            <w:sz w:val="22"/>
            <w:szCs w:val="24"/>
          </w:rPr>
        </w:pPr>
        <w:r w:rsidRPr="000E7AF5">
          <w:rPr>
            <w:sz w:val="22"/>
          </w:rPr>
          <w:fldChar w:fldCharType="begin"/>
        </w:r>
        <w:r w:rsidRPr="000E7AF5">
          <w:rPr>
            <w:sz w:val="22"/>
          </w:rPr>
          <w:instrText>PAGE   \* MERGEFORMAT</w:instrText>
        </w:r>
        <w:r w:rsidRPr="000E7AF5">
          <w:rPr>
            <w:sz w:val="22"/>
          </w:rPr>
          <w:fldChar w:fldCharType="separate"/>
        </w:r>
        <w:r w:rsidR="001133F1">
          <w:rPr>
            <w:noProof/>
            <w:sz w:val="22"/>
          </w:rPr>
          <w:t>28</w:t>
        </w:r>
        <w:r w:rsidRPr="000E7AF5">
          <w:rPr>
            <w:sz w:val="22"/>
          </w:rPr>
          <w:fldChar w:fldCharType="end"/>
        </w:r>
      </w:p>
    </w:sdtContent>
  </w:sdt>
  <w:p w14:paraId="664E9970" w14:textId="77777777" w:rsidR="004D1985" w:rsidRDefault="004D198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399816"/>
      <w:docPartObj>
        <w:docPartGallery w:val="Page Numbers (Bottom of Page)"/>
        <w:docPartUnique/>
      </w:docPartObj>
    </w:sdtPr>
    <w:sdtEndPr>
      <w:rPr>
        <w:sz w:val="22"/>
        <w:szCs w:val="24"/>
      </w:rPr>
    </w:sdtEndPr>
    <w:sdtContent>
      <w:p w14:paraId="4023B322" w14:textId="60180E6F" w:rsidR="004D1985" w:rsidRPr="007B23BB" w:rsidRDefault="004D1985">
        <w:pPr>
          <w:pStyle w:val="Pta"/>
          <w:jc w:val="right"/>
          <w:rPr>
            <w:sz w:val="22"/>
            <w:szCs w:val="24"/>
          </w:rPr>
        </w:pPr>
        <w:r w:rsidRPr="007B23BB">
          <w:rPr>
            <w:sz w:val="22"/>
            <w:szCs w:val="24"/>
          </w:rPr>
          <w:fldChar w:fldCharType="begin"/>
        </w:r>
        <w:r w:rsidRPr="007B23BB">
          <w:rPr>
            <w:sz w:val="22"/>
            <w:szCs w:val="24"/>
          </w:rPr>
          <w:instrText>PAGE   \* MERGEFORMAT</w:instrText>
        </w:r>
        <w:r w:rsidRPr="007B23BB">
          <w:rPr>
            <w:sz w:val="22"/>
            <w:szCs w:val="24"/>
          </w:rPr>
          <w:fldChar w:fldCharType="separate"/>
        </w:r>
        <w:r w:rsidR="00432C41" w:rsidRPr="00432C41">
          <w:rPr>
            <w:noProof/>
            <w:sz w:val="22"/>
            <w:szCs w:val="24"/>
            <w:lang w:val="pl-PL"/>
          </w:rPr>
          <w:t>1</w:t>
        </w:r>
        <w:r w:rsidRPr="007B23BB">
          <w:rPr>
            <w:sz w:val="22"/>
            <w:szCs w:val="24"/>
          </w:rPr>
          <w:fldChar w:fldCharType="end"/>
        </w:r>
      </w:p>
    </w:sdtContent>
  </w:sdt>
  <w:p w14:paraId="058AFD4A" w14:textId="77777777" w:rsidR="004D1985" w:rsidRDefault="004D198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31DE5" w14:textId="77777777" w:rsidR="00FB5DBB" w:rsidRDefault="00FB5DBB">
      <w:pPr>
        <w:spacing w:after="0" w:line="240" w:lineRule="auto"/>
      </w:pPr>
      <w:r>
        <w:separator/>
      </w:r>
    </w:p>
  </w:footnote>
  <w:footnote w:type="continuationSeparator" w:id="0">
    <w:p w14:paraId="0CE6A5AE" w14:textId="77777777" w:rsidR="00FB5DBB" w:rsidRDefault="00FB5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D26B9" w14:textId="77777777" w:rsidR="00432C41" w:rsidRDefault="00432C41" w:rsidP="00466D21">
    <w:pPr>
      <w:pStyle w:val="Hlavika"/>
      <w:ind w:left="10"/>
      <w:rPr>
        <w:color w:val="auto"/>
        <w:sz w:val="22"/>
      </w:rPr>
    </w:pPr>
    <w:r>
      <w:rPr>
        <w:sz w:val="18"/>
        <w:szCs w:val="18"/>
      </w:rPr>
      <w:t>Schválený text k rozhodnutiu o registrácii, ev. č. 2019/03005-REG</w:t>
    </w:r>
  </w:p>
  <w:p w14:paraId="4F319350" w14:textId="77777777" w:rsidR="00432C41" w:rsidRDefault="00432C4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CBDD9" w14:textId="77777777" w:rsidR="004D1985" w:rsidRDefault="004D1985" w:rsidP="007D0DB3">
    <w:pPr>
      <w:pStyle w:val="Hlavika"/>
      <w:rPr>
        <w:color w:val="auto"/>
        <w:sz w:val="22"/>
      </w:rPr>
    </w:pPr>
    <w:r>
      <w:rPr>
        <w:sz w:val="18"/>
        <w:szCs w:val="18"/>
      </w:rPr>
      <w:t>Schválený text k rozhodnutiu o registrácii, ev. č. 2019/03005-REG</w:t>
    </w:r>
  </w:p>
  <w:p w14:paraId="20FEEB32" w14:textId="77777777" w:rsidR="004D1985" w:rsidRDefault="004D198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41AB4"/>
    <w:multiLevelType w:val="hybridMultilevel"/>
    <w:tmpl w:val="63507120"/>
    <w:lvl w:ilvl="0" w:tplc="7F58D510">
      <w:start w:val="1"/>
      <w:numFmt w:val="bullet"/>
      <w:lvlText w:val="-"/>
      <w:lvlJc w:val="left"/>
      <w:pPr>
        <w:ind w:left="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77406B8">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06AE0B6">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F6813FE">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EE60806">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8C205F2">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A34B4FA">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F501684">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A100594">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0CD7F55"/>
    <w:multiLevelType w:val="hybridMultilevel"/>
    <w:tmpl w:val="529EFE98"/>
    <w:lvl w:ilvl="0" w:tplc="D6B2113E">
      <w:start w:val="1"/>
      <w:numFmt w:val="decimal"/>
      <w:lvlText w:val="%1"/>
      <w:lvlJc w:val="left"/>
      <w:pPr>
        <w:ind w:left="1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D67A8C2C">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D74AC8BE">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BCF2126A">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EF1C88A8">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FEFA7FEA">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C8F04D8E">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B23C24F8">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85AA5E1A">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2" w15:restartNumberingAfterBreak="0">
    <w:nsid w:val="2C782F0D"/>
    <w:multiLevelType w:val="hybridMultilevel"/>
    <w:tmpl w:val="87F09F30"/>
    <w:lvl w:ilvl="0" w:tplc="7F58D510">
      <w:start w:val="1"/>
      <w:numFmt w:val="bullet"/>
      <w:lvlText w:val="-"/>
      <w:lvlJc w:val="left"/>
      <w:pPr>
        <w:ind w:left="763"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3" w15:restartNumberingAfterBreak="0">
    <w:nsid w:val="3B3B7FEA"/>
    <w:multiLevelType w:val="hybridMultilevel"/>
    <w:tmpl w:val="03F412F0"/>
    <w:lvl w:ilvl="0" w:tplc="092EAA1C">
      <w:start w:val="1"/>
      <w:numFmt w:val="bullet"/>
      <w:lvlText w:val="•"/>
      <w:lvlJc w:val="left"/>
      <w:pPr>
        <w:ind w:left="5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BF6C95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D06EE7A">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A6AF0C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8B83FF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46C4F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68451C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B231A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0DC563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C220313"/>
    <w:multiLevelType w:val="hybridMultilevel"/>
    <w:tmpl w:val="60202CB0"/>
    <w:lvl w:ilvl="0" w:tplc="E61E9A2A">
      <w:start w:val="1"/>
      <w:numFmt w:val="bullet"/>
      <w:lvlText w:val="•"/>
      <w:lvlJc w:val="left"/>
      <w:pPr>
        <w:ind w:left="7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F56D0B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24853B4">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6B2854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C489FD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D0E680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456D1E8">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8D4921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1F4AB36">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9315ABD"/>
    <w:multiLevelType w:val="hybridMultilevel"/>
    <w:tmpl w:val="A718DE88"/>
    <w:lvl w:ilvl="0" w:tplc="9E824748">
      <w:start w:val="1"/>
      <w:numFmt w:val="bullet"/>
      <w:lvlText w:val="-"/>
      <w:lvlJc w:val="left"/>
      <w:pPr>
        <w:ind w:left="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77406B8">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06AE0B6">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F6813FE">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EE60806">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8C205F2">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A34B4FA">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F501684">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A100594">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74F242CE"/>
    <w:multiLevelType w:val="hybridMultilevel"/>
    <w:tmpl w:val="2982A520"/>
    <w:lvl w:ilvl="0" w:tplc="04150001">
      <w:start w:val="1"/>
      <w:numFmt w:val="bullet"/>
      <w:lvlText w:val=""/>
      <w:lvlJc w:val="left"/>
      <w:pPr>
        <w:ind w:left="726"/>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BF56D0B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24853B4">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6B2854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C489FD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D0E680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456D1E8">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8D4921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1F4AB36">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7A682BFE"/>
    <w:multiLevelType w:val="hybridMultilevel"/>
    <w:tmpl w:val="D7D838CE"/>
    <w:lvl w:ilvl="0" w:tplc="7F58D510">
      <w:start w:val="1"/>
      <w:numFmt w:val="bullet"/>
      <w:lvlText w:val="-"/>
      <w:lvlJc w:val="left"/>
      <w:pPr>
        <w:ind w:left="1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67085E8">
      <w:start w:val="1"/>
      <w:numFmt w:val="bullet"/>
      <w:lvlText w:val="o"/>
      <w:lvlJc w:val="left"/>
      <w:pPr>
        <w:ind w:left="11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4B67AC6">
      <w:start w:val="1"/>
      <w:numFmt w:val="bullet"/>
      <w:lvlText w:val="▪"/>
      <w:lvlJc w:val="left"/>
      <w:pPr>
        <w:ind w:left="18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8B04AA4">
      <w:start w:val="1"/>
      <w:numFmt w:val="bullet"/>
      <w:lvlText w:val="•"/>
      <w:lvlJc w:val="left"/>
      <w:pPr>
        <w:ind w:left="25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58CC5D6">
      <w:start w:val="1"/>
      <w:numFmt w:val="bullet"/>
      <w:lvlText w:val="o"/>
      <w:lvlJc w:val="left"/>
      <w:pPr>
        <w:ind w:left="32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5AEB3C2">
      <w:start w:val="1"/>
      <w:numFmt w:val="bullet"/>
      <w:lvlText w:val="▪"/>
      <w:lvlJc w:val="left"/>
      <w:pPr>
        <w:ind w:left="39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9E0D9A6">
      <w:start w:val="1"/>
      <w:numFmt w:val="bullet"/>
      <w:lvlText w:val="•"/>
      <w:lvlJc w:val="left"/>
      <w:pPr>
        <w:ind w:left="47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B4861BA">
      <w:start w:val="1"/>
      <w:numFmt w:val="bullet"/>
      <w:lvlText w:val="o"/>
      <w:lvlJc w:val="left"/>
      <w:pPr>
        <w:ind w:left="54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97EF416">
      <w:start w:val="1"/>
      <w:numFmt w:val="bullet"/>
      <w:lvlText w:val="▪"/>
      <w:lvlJc w:val="left"/>
      <w:pPr>
        <w:ind w:left="6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FB816BE"/>
    <w:multiLevelType w:val="hybridMultilevel"/>
    <w:tmpl w:val="6064547A"/>
    <w:lvl w:ilvl="0" w:tplc="04150001">
      <w:start w:val="1"/>
      <w:numFmt w:val="bullet"/>
      <w:lvlText w:val=""/>
      <w:lvlJc w:val="left"/>
      <w:pPr>
        <w:ind w:left="567"/>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8BF6C95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D06EE7A">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A6AF0C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8B83FF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46C4F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68451C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B231A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0DC563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7"/>
  </w:num>
  <w:num w:numId="2">
    <w:abstractNumId w:val="4"/>
  </w:num>
  <w:num w:numId="3">
    <w:abstractNumId w:val="5"/>
  </w:num>
  <w:num w:numId="4">
    <w:abstractNumId w:val="1"/>
  </w:num>
  <w:num w:numId="5">
    <w:abstractNumId w:val="3"/>
  </w:num>
  <w:num w:numId="6">
    <w:abstractNumId w:val="0"/>
  </w:num>
  <w:num w:numId="7">
    <w:abstractNumId w:val="2"/>
  </w:num>
  <w:num w:numId="8">
    <w:abstractNumId w:val="6"/>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789"/>
    <w:rsid w:val="000005EA"/>
    <w:rsid w:val="00015918"/>
    <w:rsid w:val="0002017F"/>
    <w:rsid w:val="00031A5F"/>
    <w:rsid w:val="00044390"/>
    <w:rsid w:val="00047544"/>
    <w:rsid w:val="00053585"/>
    <w:rsid w:val="00060339"/>
    <w:rsid w:val="00062785"/>
    <w:rsid w:val="00073552"/>
    <w:rsid w:val="00073A99"/>
    <w:rsid w:val="00087A8B"/>
    <w:rsid w:val="00090703"/>
    <w:rsid w:val="000B4880"/>
    <w:rsid w:val="000E696D"/>
    <w:rsid w:val="000E7AF5"/>
    <w:rsid w:val="000F01C9"/>
    <w:rsid w:val="000F14D2"/>
    <w:rsid w:val="000F58DF"/>
    <w:rsid w:val="000F5FBF"/>
    <w:rsid w:val="001055EE"/>
    <w:rsid w:val="001133F1"/>
    <w:rsid w:val="00126F09"/>
    <w:rsid w:val="00130A72"/>
    <w:rsid w:val="00186931"/>
    <w:rsid w:val="001926C5"/>
    <w:rsid w:val="001C252C"/>
    <w:rsid w:val="001C736D"/>
    <w:rsid w:val="001C79BF"/>
    <w:rsid w:val="001D5123"/>
    <w:rsid w:val="001E4E84"/>
    <w:rsid w:val="001F259E"/>
    <w:rsid w:val="001F25B4"/>
    <w:rsid w:val="001F3856"/>
    <w:rsid w:val="001F7E19"/>
    <w:rsid w:val="002013DA"/>
    <w:rsid w:val="00205666"/>
    <w:rsid w:val="00211FA6"/>
    <w:rsid w:val="00212A97"/>
    <w:rsid w:val="0021474E"/>
    <w:rsid w:val="00217294"/>
    <w:rsid w:val="00221401"/>
    <w:rsid w:val="002422BC"/>
    <w:rsid w:val="00244659"/>
    <w:rsid w:val="00251C0E"/>
    <w:rsid w:val="00251F0B"/>
    <w:rsid w:val="00261FE8"/>
    <w:rsid w:val="00265FFF"/>
    <w:rsid w:val="00282308"/>
    <w:rsid w:val="002824D6"/>
    <w:rsid w:val="002901A4"/>
    <w:rsid w:val="002905F0"/>
    <w:rsid w:val="002967BA"/>
    <w:rsid w:val="002B3E3E"/>
    <w:rsid w:val="002B6999"/>
    <w:rsid w:val="002B6F73"/>
    <w:rsid w:val="002D37F0"/>
    <w:rsid w:val="002D7499"/>
    <w:rsid w:val="002E599E"/>
    <w:rsid w:val="002E5CDE"/>
    <w:rsid w:val="002F7708"/>
    <w:rsid w:val="00304E77"/>
    <w:rsid w:val="003103E5"/>
    <w:rsid w:val="00313F87"/>
    <w:rsid w:val="003217E9"/>
    <w:rsid w:val="00323A37"/>
    <w:rsid w:val="00330A35"/>
    <w:rsid w:val="00337D51"/>
    <w:rsid w:val="00347294"/>
    <w:rsid w:val="003531E1"/>
    <w:rsid w:val="00353ECF"/>
    <w:rsid w:val="00362F65"/>
    <w:rsid w:val="00365FF7"/>
    <w:rsid w:val="003A14E3"/>
    <w:rsid w:val="003A74B4"/>
    <w:rsid w:val="003C1FD9"/>
    <w:rsid w:val="003C7E3E"/>
    <w:rsid w:val="003D3ED8"/>
    <w:rsid w:val="003D582B"/>
    <w:rsid w:val="003E075E"/>
    <w:rsid w:val="003E2168"/>
    <w:rsid w:val="003E299A"/>
    <w:rsid w:val="003E695B"/>
    <w:rsid w:val="003F0AB2"/>
    <w:rsid w:val="003F457A"/>
    <w:rsid w:val="003F4CEF"/>
    <w:rsid w:val="00407F1A"/>
    <w:rsid w:val="00414741"/>
    <w:rsid w:val="0041756C"/>
    <w:rsid w:val="00422C81"/>
    <w:rsid w:val="004245EA"/>
    <w:rsid w:val="00432C41"/>
    <w:rsid w:val="00444737"/>
    <w:rsid w:val="0045062C"/>
    <w:rsid w:val="00457470"/>
    <w:rsid w:val="00457E21"/>
    <w:rsid w:val="004667FC"/>
    <w:rsid w:val="00466D21"/>
    <w:rsid w:val="0047508E"/>
    <w:rsid w:val="00480B55"/>
    <w:rsid w:val="0048182E"/>
    <w:rsid w:val="00484A17"/>
    <w:rsid w:val="004957C4"/>
    <w:rsid w:val="004A4149"/>
    <w:rsid w:val="004A66DB"/>
    <w:rsid w:val="004B1EED"/>
    <w:rsid w:val="004B7500"/>
    <w:rsid w:val="004C011C"/>
    <w:rsid w:val="004C3C07"/>
    <w:rsid w:val="004C735A"/>
    <w:rsid w:val="004D1985"/>
    <w:rsid w:val="004E2EDA"/>
    <w:rsid w:val="004E714A"/>
    <w:rsid w:val="004F4058"/>
    <w:rsid w:val="004F796E"/>
    <w:rsid w:val="0051264C"/>
    <w:rsid w:val="00513A1F"/>
    <w:rsid w:val="00513BD2"/>
    <w:rsid w:val="005146F6"/>
    <w:rsid w:val="005261E7"/>
    <w:rsid w:val="00553F35"/>
    <w:rsid w:val="005602AD"/>
    <w:rsid w:val="005735EC"/>
    <w:rsid w:val="00580B14"/>
    <w:rsid w:val="00592DED"/>
    <w:rsid w:val="00593ECA"/>
    <w:rsid w:val="005A2179"/>
    <w:rsid w:val="005B4827"/>
    <w:rsid w:val="005B5FB2"/>
    <w:rsid w:val="005B6710"/>
    <w:rsid w:val="005D201F"/>
    <w:rsid w:val="005F6250"/>
    <w:rsid w:val="00600D70"/>
    <w:rsid w:val="00605709"/>
    <w:rsid w:val="006205F7"/>
    <w:rsid w:val="006216B2"/>
    <w:rsid w:val="00623FF1"/>
    <w:rsid w:val="0062562D"/>
    <w:rsid w:val="00635B73"/>
    <w:rsid w:val="00636E1B"/>
    <w:rsid w:val="006420A0"/>
    <w:rsid w:val="00643692"/>
    <w:rsid w:val="00646118"/>
    <w:rsid w:val="00650239"/>
    <w:rsid w:val="00650FC6"/>
    <w:rsid w:val="00653F4D"/>
    <w:rsid w:val="006571DA"/>
    <w:rsid w:val="0067724D"/>
    <w:rsid w:val="00682AEC"/>
    <w:rsid w:val="0068674C"/>
    <w:rsid w:val="00697D04"/>
    <w:rsid w:val="006A162E"/>
    <w:rsid w:val="006A6015"/>
    <w:rsid w:val="006A6E84"/>
    <w:rsid w:val="006B0E77"/>
    <w:rsid w:val="006B451E"/>
    <w:rsid w:val="006D49D6"/>
    <w:rsid w:val="006D7628"/>
    <w:rsid w:val="006F46E0"/>
    <w:rsid w:val="00705C37"/>
    <w:rsid w:val="00710C94"/>
    <w:rsid w:val="00716387"/>
    <w:rsid w:val="00716885"/>
    <w:rsid w:val="0072667A"/>
    <w:rsid w:val="0073232F"/>
    <w:rsid w:val="007449AC"/>
    <w:rsid w:val="00756E9C"/>
    <w:rsid w:val="0076313B"/>
    <w:rsid w:val="0076665A"/>
    <w:rsid w:val="00772F14"/>
    <w:rsid w:val="00777D3E"/>
    <w:rsid w:val="0078208A"/>
    <w:rsid w:val="007876C1"/>
    <w:rsid w:val="00790351"/>
    <w:rsid w:val="007926E2"/>
    <w:rsid w:val="007A1396"/>
    <w:rsid w:val="007A4B0F"/>
    <w:rsid w:val="007B23BB"/>
    <w:rsid w:val="007B5E2E"/>
    <w:rsid w:val="007B6381"/>
    <w:rsid w:val="007C2A00"/>
    <w:rsid w:val="007C57B2"/>
    <w:rsid w:val="007D0DB3"/>
    <w:rsid w:val="007D393E"/>
    <w:rsid w:val="007D47FF"/>
    <w:rsid w:val="007D7480"/>
    <w:rsid w:val="007E0FCA"/>
    <w:rsid w:val="007E6137"/>
    <w:rsid w:val="007F17B0"/>
    <w:rsid w:val="00802229"/>
    <w:rsid w:val="008253EC"/>
    <w:rsid w:val="00833B71"/>
    <w:rsid w:val="00836D5C"/>
    <w:rsid w:val="0084697C"/>
    <w:rsid w:val="008476C2"/>
    <w:rsid w:val="00853C45"/>
    <w:rsid w:val="00857692"/>
    <w:rsid w:val="00863EFA"/>
    <w:rsid w:val="008829A8"/>
    <w:rsid w:val="00884F62"/>
    <w:rsid w:val="00897619"/>
    <w:rsid w:val="008A37E3"/>
    <w:rsid w:val="008B3B0F"/>
    <w:rsid w:val="008C7906"/>
    <w:rsid w:val="008D3A74"/>
    <w:rsid w:val="008D77FA"/>
    <w:rsid w:val="008E570A"/>
    <w:rsid w:val="008F6FAD"/>
    <w:rsid w:val="0093257A"/>
    <w:rsid w:val="009437AE"/>
    <w:rsid w:val="009605AC"/>
    <w:rsid w:val="00963D33"/>
    <w:rsid w:val="00965C2C"/>
    <w:rsid w:val="00975B59"/>
    <w:rsid w:val="00976418"/>
    <w:rsid w:val="00980C22"/>
    <w:rsid w:val="009A5A46"/>
    <w:rsid w:val="009A6F8E"/>
    <w:rsid w:val="009B1C08"/>
    <w:rsid w:val="009B217A"/>
    <w:rsid w:val="009C2829"/>
    <w:rsid w:val="009E1735"/>
    <w:rsid w:val="009E1FE5"/>
    <w:rsid w:val="009F4F85"/>
    <w:rsid w:val="00A066F9"/>
    <w:rsid w:val="00A1722B"/>
    <w:rsid w:val="00A21DFD"/>
    <w:rsid w:val="00A372B7"/>
    <w:rsid w:val="00A43D4A"/>
    <w:rsid w:val="00A451CE"/>
    <w:rsid w:val="00A53746"/>
    <w:rsid w:val="00A5475A"/>
    <w:rsid w:val="00A70ACD"/>
    <w:rsid w:val="00A731E1"/>
    <w:rsid w:val="00A75722"/>
    <w:rsid w:val="00A97587"/>
    <w:rsid w:val="00AA00E2"/>
    <w:rsid w:val="00AF46E0"/>
    <w:rsid w:val="00B07789"/>
    <w:rsid w:val="00B07B77"/>
    <w:rsid w:val="00B32E98"/>
    <w:rsid w:val="00B4082E"/>
    <w:rsid w:val="00B423B4"/>
    <w:rsid w:val="00B428D0"/>
    <w:rsid w:val="00B506A5"/>
    <w:rsid w:val="00B64328"/>
    <w:rsid w:val="00B836EA"/>
    <w:rsid w:val="00B92C0C"/>
    <w:rsid w:val="00BA3643"/>
    <w:rsid w:val="00BA4E5F"/>
    <w:rsid w:val="00BA77E4"/>
    <w:rsid w:val="00BB2915"/>
    <w:rsid w:val="00BB4AC0"/>
    <w:rsid w:val="00BB6836"/>
    <w:rsid w:val="00BC1F1C"/>
    <w:rsid w:val="00BC273F"/>
    <w:rsid w:val="00BE1736"/>
    <w:rsid w:val="00BE3B70"/>
    <w:rsid w:val="00C00B17"/>
    <w:rsid w:val="00C036AC"/>
    <w:rsid w:val="00C139D8"/>
    <w:rsid w:val="00C176CF"/>
    <w:rsid w:val="00C22708"/>
    <w:rsid w:val="00C2586E"/>
    <w:rsid w:val="00C33B1E"/>
    <w:rsid w:val="00C41668"/>
    <w:rsid w:val="00C42C08"/>
    <w:rsid w:val="00C44F30"/>
    <w:rsid w:val="00C460BC"/>
    <w:rsid w:val="00C47482"/>
    <w:rsid w:val="00C529B2"/>
    <w:rsid w:val="00C556B8"/>
    <w:rsid w:val="00C5587F"/>
    <w:rsid w:val="00C57696"/>
    <w:rsid w:val="00C61C25"/>
    <w:rsid w:val="00C84BBF"/>
    <w:rsid w:val="00CA08B9"/>
    <w:rsid w:val="00CA4802"/>
    <w:rsid w:val="00CA7D89"/>
    <w:rsid w:val="00CB5A3E"/>
    <w:rsid w:val="00CC5089"/>
    <w:rsid w:val="00CD760F"/>
    <w:rsid w:val="00CE52B5"/>
    <w:rsid w:val="00CF571F"/>
    <w:rsid w:val="00D007D9"/>
    <w:rsid w:val="00D049E7"/>
    <w:rsid w:val="00D151BC"/>
    <w:rsid w:val="00D15ED6"/>
    <w:rsid w:val="00D168BE"/>
    <w:rsid w:val="00D25089"/>
    <w:rsid w:val="00D379F7"/>
    <w:rsid w:val="00D4258C"/>
    <w:rsid w:val="00D547BA"/>
    <w:rsid w:val="00D56390"/>
    <w:rsid w:val="00D91109"/>
    <w:rsid w:val="00D93CC8"/>
    <w:rsid w:val="00D94116"/>
    <w:rsid w:val="00D95C30"/>
    <w:rsid w:val="00DA510E"/>
    <w:rsid w:val="00DA5EC2"/>
    <w:rsid w:val="00DB3EED"/>
    <w:rsid w:val="00DC3053"/>
    <w:rsid w:val="00DC72C1"/>
    <w:rsid w:val="00DD5C72"/>
    <w:rsid w:val="00DD7718"/>
    <w:rsid w:val="00DE0B64"/>
    <w:rsid w:val="00E02C06"/>
    <w:rsid w:val="00E079AF"/>
    <w:rsid w:val="00E17CF1"/>
    <w:rsid w:val="00E267FD"/>
    <w:rsid w:val="00E4410C"/>
    <w:rsid w:val="00E478FD"/>
    <w:rsid w:val="00E565FA"/>
    <w:rsid w:val="00E6104A"/>
    <w:rsid w:val="00E6224F"/>
    <w:rsid w:val="00E62962"/>
    <w:rsid w:val="00E70EDB"/>
    <w:rsid w:val="00E72FBE"/>
    <w:rsid w:val="00E74078"/>
    <w:rsid w:val="00E74BCD"/>
    <w:rsid w:val="00E74C4F"/>
    <w:rsid w:val="00E80B85"/>
    <w:rsid w:val="00E8372B"/>
    <w:rsid w:val="00E8374C"/>
    <w:rsid w:val="00E86B07"/>
    <w:rsid w:val="00EA0379"/>
    <w:rsid w:val="00EA09DA"/>
    <w:rsid w:val="00EA0E67"/>
    <w:rsid w:val="00EA123B"/>
    <w:rsid w:val="00EA124E"/>
    <w:rsid w:val="00EB0609"/>
    <w:rsid w:val="00EB1332"/>
    <w:rsid w:val="00EC0EB2"/>
    <w:rsid w:val="00EC13A8"/>
    <w:rsid w:val="00EE0C10"/>
    <w:rsid w:val="00EE1CCB"/>
    <w:rsid w:val="00EE68B4"/>
    <w:rsid w:val="00EF7480"/>
    <w:rsid w:val="00F23FDD"/>
    <w:rsid w:val="00F255BA"/>
    <w:rsid w:val="00F31769"/>
    <w:rsid w:val="00F3297A"/>
    <w:rsid w:val="00F44E9B"/>
    <w:rsid w:val="00F516E4"/>
    <w:rsid w:val="00F5521D"/>
    <w:rsid w:val="00F664D9"/>
    <w:rsid w:val="00F77943"/>
    <w:rsid w:val="00F77A41"/>
    <w:rsid w:val="00F82472"/>
    <w:rsid w:val="00F84CB0"/>
    <w:rsid w:val="00F9159B"/>
    <w:rsid w:val="00F920B1"/>
    <w:rsid w:val="00FA51D0"/>
    <w:rsid w:val="00FB06C6"/>
    <w:rsid w:val="00FB5DBB"/>
    <w:rsid w:val="00FB7C7B"/>
    <w:rsid w:val="00FD2432"/>
    <w:rsid w:val="00FD5167"/>
    <w:rsid w:val="00FE1B63"/>
    <w:rsid w:val="00FE4E94"/>
    <w:rsid w:val="00FE6664"/>
    <w:rsid w:val="00FF0224"/>
    <w:rsid w:val="00FF4C3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5307"/>
  <w15:docId w15:val="{C378D598-BBDE-4707-9B9E-908A3872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5" w:line="248" w:lineRule="auto"/>
      <w:ind w:left="58" w:hanging="10"/>
    </w:pPr>
    <w:rPr>
      <w:rFonts w:ascii="Times New Roman" w:eastAsia="Times New Roman" w:hAnsi="Times New Roman" w:cs="Times New Roman"/>
      <w:color w:val="000000"/>
      <w:sz w:val="21"/>
    </w:rPr>
  </w:style>
  <w:style w:type="paragraph" w:styleId="Nadpis1">
    <w:name w:val="heading 1"/>
    <w:next w:val="Normlny"/>
    <w:link w:val="Nadpis1Char"/>
    <w:uiPriority w:val="9"/>
    <w:unhideWhenUsed/>
    <w:qFormat/>
    <w:pPr>
      <w:keepNext/>
      <w:keepLines/>
      <w:spacing w:after="13" w:line="249" w:lineRule="auto"/>
      <w:ind w:left="57" w:hanging="10"/>
      <w:outlineLvl w:val="0"/>
    </w:pPr>
    <w:rPr>
      <w:rFonts w:ascii="Times New Roman" w:eastAsia="Times New Roman" w:hAnsi="Times New Roman" w:cs="Times New Roman"/>
      <w:b/>
      <w:color w:val="000000"/>
      <w:sz w:val="21"/>
    </w:rPr>
  </w:style>
  <w:style w:type="paragraph" w:styleId="Nadpis2">
    <w:name w:val="heading 2"/>
    <w:next w:val="Normlny"/>
    <w:link w:val="Nadpis2Char"/>
    <w:uiPriority w:val="9"/>
    <w:unhideWhenUsed/>
    <w:qFormat/>
    <w:pPr>
      <w:keepNext/>
      <w:keepLines/>
      <w:spacing w:after="5" w:line="248" w:lineRule="auto"/>
      <w:ind w:left="58" w:hanging="10"/>
      <w:outlineLvl w:val="1"/>
    </w:pPr>
    <w:rPr>
      <w:rFonts w:ascii="Times New Roman" w:eastAsia="Times New Roman" w:hAnsi="Times New Roman" w:cs="Times New Roman"/>
      <w:color w:val="000000"/>
      <w:sz w:val="21"/>
      <w:u w:val="single" w:color="000000"/>
    </w:rPr>
  </w:style>
  <w:style w:type="paragraph" w:styleId="Nadpis3">
    <w:name w:val="heading 3"/>
    <w:next w:val="Normlny"/>
    <w:link w:val="Nadpis3Char"/>
    <w:uiPriority w:val="9"/>
    <w:unhideWhenUsed/>
    <w:qFormat/>
    <w:pPr>
      <w:keepNext/>
      <w:keepLines/>
      <w:spacing w:after="13" w:line="249" w:lineRule="auto"/>
      <w:ind w:left="57" w:hanging="10"/>
      <w:outlineLvl w:val="2"/>
    </w:pPr>
    <w:rPr>
      <w:rFonts w:ascii="Times New Roman" w:eastAsia="Times New Roman" w:hAnsi="Times New Roman" w:cs="Times New Roman"/>
      <w:b/>
      <w:color w:val="000000"/>
      <w:sz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1"/>
    </w:rPr>
  </w:style>
  <w:style w:type="character" w:customStyle="1" w:styleId="Nadpis2Char">
    <w:name w:val="Nadpis 2 Char"/>
    <w:link w:val="Nadpis2"/>
    <w:rPr>
      <w:rFonts w:ascii="Times New Roman" w:eastAsia="Times New Roman" w:hAnsi="Times New Roman" w:cs="Times New Roman"/>
      <w:color w:val="000000"/>
      <w:sz w:val="21"/>
      <w:u w:val="single" w:color="000000"/>
    </w:rPr>
  </w:style>
  <w:style w:type="character" w:customStyle="1" w:styleId="Nadpis3Char">
    <w:name w:val="Nadpis 3 Char"/>
    <w:link w:val="Nadpis3"/>
    <w:rPr>
      <w:rFonts w:ascii="Times New Roman" w:eastAsia="Times New Roman" w:hAnsi="Times New Roman" w:cs="Times New Roman"/>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3531E1"/>
    <w:pPr>
      <w:ind w:left="720"/>
      <w:contextualSpacing/>
    </w:pPr>
  </w:style>
  <w:style w:type="paragraph" w:styleId="Textbubliny">
    <w:name w:val="Balloon Text"/>
    <w:basedOn w:val="Normlny"/>
    <w:link w:val="TextbublinyChar"/>
    <w:uiPriority w:val="99"/>
    <w:semiHidden/>
    <w:unhideWhenUsed/>
    <w:rsid w:val="0073232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3232F"/>
    <w:rPr>
      <w:rFonts w:ascii="Segoe UI" w:eastAsia="Times New Roman" w:hAnsi="Segoe UI" w:cs="Segoe UI"/>
      <w:color w:val="000000"/>
      <w:sz w:val="18"/>
      <w:szCs w:val="18"/>
    </w:rPr>
  </w:style>
  <w:style w:type="character" w:styleId="Odkaznakomentr">
    <w:name w:val="annotation reference"/>
    <w:basedOn w:val="Predvolenpsmoodseku"/>
    <w:uiPriority w:val="99"/>
    <w:semiHidden/>
    <w:unhideWhenUsed/>
    <w:rsid w:val="00E6224F"/>
    <w:rPr>
      <w:sz w:val="16"/>
      <w:szCs w:val="16"/>
    </w:rPr>
  </w:style>
  <w:style w:type="paragraph" w:styleId="Textkomentra">
    <w:name w:val="annotation text"/>
    <w:basedOn w:val="Normlny"/>
    <w:link w:val="TextkomentraChar"/>
    <w:uiPriority w:val="99"/>
    <w:semiHidden/>
    <w:unhideWhenUsed/>
    <w:rsid w:val="00E6224F"/>
    <w:pPr>
      <w:spacing w:line="240" w:lineRule="auto"/>
    </w:pPr>
    <w:rPr>
      <w:sz w:val="20"/>
      <w:szCs w:val="20"/>
    </w:rPr>
  </w:style>
  <w:style w:type="character" w:customStyle="1" w:styleId="TextkomentraChar">
    <w:name w:val="Text komentára Char"/>
    <w:basedOn w:val="Predvolenpsmoodseku"/>
    <w:link w:val="Textkomentra"/>
    <w:uiPriority w:val="99"/>
    <w:semiHidden/>
    <w:rsid w:val="00E6224F"/>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6224F"/>
    <w:rPr>
      <w:b/>
      <w:bCs/>
    </w:rPr>
  </w:style>
  <w:style w:type="character" w:customStyle="1" w:styleId="PredmetkomentraChar">
    <w:name w:val="Predmet komentára Char"/>
    <w:basedOn w:val="TextkomentraChar"/>
    <w:link w:val="Predmetkomentra"/>
    <w:uiPriority w:val="99"/>
    <w:semiHidden/>
    <w:rsid w:val="00E6224F"/>
    <w:rPr>
      <w:rFonts w:ascii="Times New Roman" w:eastAsia="Times New Roman" w:hAnsi="Times New Roman" w:cs="Times New Roman"/>
      <w:b/>
      <w:bCs/>
      <w:color w:val="000000"/>
      <w:sz w:val="20"/>
      <w:szCs w:val="20"/>
    </w:rPr>
  </w:style>
  <w:style w:type="table" w:styleId="Mriekatabuky">
    <w:name w:val="Table Grid"/>
    <w:basedOn w:val="Normlnatabuka"/>
    <w:uiPriority w:val="39"/>
    <w:rsid w:val="00F44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nhideWhenUsed/>
    <w:rsid w:val="008C7906"/>
    <w:pPr>
      <w:tabs>
        <w:tab w:val="center" w:pos="4536"/>
        <w:tab w:val="right" w:pos="9072"/>
      </w:tabs>
      <w:spacing w:after="0" w:line="240" w:lineRule="auto"/>
    </w:pPr>
  </w:style>
  <w:style w:type="character" w:customStyle="1" w:styleId="HlavikaChar">
    <w:name w:val="Hlavička Char"/>
    <w:basedOn w:val="Predvolenpsmoodseku"/>
    <w:link w:val="Hlavika"/>
    <w:rsid w:val="008C7906"/>
    <w:rPr>
      <w:rFonts w:ascii="Times New Roman" w:eastAsia="Times New Roman" w:hAnsi="Times New Roman" w:cs="Times New Roman"/>
      <w:color w:val="000000"/>
      <w:sz w:val="21"/>
    </w:rPr>
  </w:style>
  <w:style w:type="paragraph" w:styleId="Pta">
    <w:name w:val="footer"/>
    <w:basedOn w:val="Normlny"/>
    <w:link w:val="PtaChar"/>
    <w:uiPriority w:val="99"/>
    <w:unhideWhenUsed/>
    <w:rsid w:val="008C7906"/>
    <w:pPr>
      <w:tabs>
        <w:tab w:val="center" w:pos="4536"/>
        <w:tab w:val="right" w:pos="9072"/>
      </w:tabs>
      <w:spacing w:after="0" w:line="240" w:lineRule="auto"/>
    </w:pPr>
  </w:style>
  <w:style w:type="character" w:customStyle="1" w:styleId="PtaChar">
    <w:name w:val="Päta Char"/>
    <w:basedOn w:val="Predvolenpsmoodseku"/>
    <w:link w:val="Pta"/>
    <w:uiPriority w:val="99"/>
    <w:rsid w:val="008C7906"/>
    <w:rPr>
      <w:rFonts w:ascii="Times New Roman" w:eastAsia="Times New Roman" w:hAnsi="Times New Roman" w:cs="Times New Roman"/>
      <w:color w:val="000000"/>
      <w:sz w:val="21"/>
    </w:rPr>
  </w:style>
  <w:style w:type="character" w:styleId="Hypertextovprepojenie">
    <w:name w:val="Hyperlink"/>
    <w:uiPriority w:val="99"/>
    <w:rsid w:val="009E1FE5"/>
    <w:rPr>
      <w:color w:val="0000FF"/>
      <w:u w:val="single"/>
    </w:rPr>
  </w:style>
  <w:style w:type="character" w:styleId="PouitHypertextovPrepojenie">
    <w:name w:val="FollowedHyperlink"/>
    <w:basedOn w:val="Predvolenpsmoodseku"/>
    <w:uiPriority w:val="99"/>
    <w:semiHidden/>
    <w:unhideWhenUsed/>
    <w:rsid w:val="00CD76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87235">
      <w:bodyDiv w:val="1"/>
      <w:marLeft w:val="0"/>
      <w:marRight w:val="0"/>
      <w:marTop w:val="0"/>
      <w:marBottom w:val="0"/>
      <w:divBdr>
        <w:top w:val="none" w:sz="0" w:space="0" w:color="auto"/>
        <w:left w:val="none" w:sz="0" w:space="0" w:color="auto"/>
        <w:bottom w:val="none" w:sz="0" w:space="0" w:color="auto"/>
        <w:right w:val="none" w:sz="0" w:space="0" w:color="auto"/>
      </w:divBdr>
    </w:div>
    <w:div w:id="1343388130">
      <w:bodyDiv w:val="1"/>
      <w:marLeft w:val="0"/>
      <w:marRight w:val="0"/>
      <w:marTop w:val="0"/>
      <w:marBottom w:val="0"/>
      <w:divBdr>
        <w:top w:val="none" w:sz="0" w:space="0" w:color="auto"/>
        <w:left w:val="none" w:sz="0" w:space="0" w:color="auto"/>
        <w:bottom w:val="none" w:sz="0" w:space="0" w:color="auto"/>
        <w:right w:val="none" w:sz="0" w:space="0" w:color="auto"/>
      </w:divBdr>
    </w:div>
    <w:div w:id="1531332507">
      <w:bodyDiv w:val="1"/>
      <w:marLeft w:val="0"/>
      <w:marRight w:val="0"/>
      <w:marTop w:val="0"/>
      <w:marBottom w:val="0"/>
      <w:divBdr>
        <w:top w:val="none" w:sz="0" w:space="0" w:color="auto"/>
        <w:left w:val="none" w:sz="0" w:space="0" w:color="auto"/>
        <w:bottom w:val="none" w:sz="0" w:space="0" w:color="auto"/>
        <w:right w:val="none" w:sz="0" w:space="0" w:color="auto"/>
      </w:divBdr>
    </w:div>
    <w:div w:id="1538467176">
      <w:bodyDiv w:val="1"/>
      <w:marLeft w:val="0"/>
      <w:marRight w:val="0"/>
      <w:marTop w:val="0"/>
      <w:marBottom w:val="0"/>
      <w:divBdr>
        <w:top w:val="none" w:sz="0" w:space="0" w:color="auto"/>
        <w:left w:val="none" w:sz="0" w:space="0" w:color="auto"/>
        <w:bottom w:val="none" w:sz="0" w:space="0" w:color="auto"/>
        <w:right w:val="none" w:sz="0" w:space="0" w:color="auto"/>
      </w:divBdr>
    </w:div>
    <w:div w:id="1924490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68AC5-2011-45C3-AACE-1335E166F0F4}">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2.xml><?xml version="1.0" encoding="utf-8"?>
<ds:datastoreItem xmlns:ds="http://schemas.openxmlformats.org/officeDocument/2006/customXml" ds:itemID="{875DDC25-7613-4A92-B925-0BB5445067DC}">
  <ds:schemaRefs>
    <ds:schemaRef ds:uri="http://schemas.microsoft.com/sharepoint/v3/contenttype/forms"/>
  </ds:schemaRefs>
</ds:datastoreItem>
</file>

<file path=customXml/itemProps3.xml><?xml version="1.0" encoding="utf-8"?>
<ds:datastoreItem xmlns:ds="http://schemas.openxmlformats.org/officeDocument/2006/customXml" ds:itemID="{30AF11B7-7119-4758-A0C5-A05A16485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C5311-2C14-4542-9058-702AB7C0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28</Pages>
  <Words>11558</Words>
  <Characters>65886</Characters>
  <Application>Microsoft Office Word</Application>
  <DocSecurity>0</DocSecurity>
  <Lines>549</Lines>
  <Paragraphs>154</Paragraphs>
  <ScaleCrop>false</ScaleCrop>
  <HeadingPairs>
    <vt:vector size="6" baseType="variant">
      <vt:variant>
        <vt:lpstr>Názov</vt:lpstr>
      </vt:variant>
      <vt:variant>
        <vt:i4>1</vt:i4>
      </vt:variant>
      <vt:variant>
        <vt:lpstr>Tytuł</vt:lpstr>
      </vt:variant>
      <vt:variant>
        <vt:i4>1</vt:i4>
      </vt:variant>
      <vt:variant>
        <vt:lpstr>Název</vt:lpstr>
      </vt:variant>
      <vt:variant>
        <vt:i4>1</vt:i4>
      </vt:variant>
    </vt:vector>
  </HeadingPairs>
  <TitlesOfParts>
    <vt:vector size="3" baseType="lpstr">
      <vt:lpstr>Eliquis, INN-apixaban</vt:lpstr>
      <vt:lpstr>Eliquis, INN-apixaban</vt:lpstr>
      <vt:lpstr>Eliquis, INN-apixaban</vt:lpstr>
    </vt:vector>
  </TitlesOfParts>
  <Company/>
  <LinksUpToDate>false</LinksUpToDate>
  <CharactersWithSpaces>77290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Eliquis, INN-apixaban</dc:title>
  <dc:subject>EPAR</dc:subject>
  <dc:creator>CHMP</dc:creator>
  <cp:keywords>Eliquis, INN-apixaban</cp:keywords>
  <cp:lastModifiedBy>PM</cp:lastModifiedBy>
  <cp:revision>7</cp:revision>
  <dcterms:created xsi:type="dcterms:W3CDTF">2020-10-04T14:41:00Z</dcterms:created>
  <dcterms:modified xsi:type="dcterms:W3CDTF">2020-10-12T11:40:00Z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